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ascii="宋体"/>
          <w:b/>
          <w:bCs/>
          <w:color w:val="auto"/>
          <w:sz w:val="44"/>
          <w:szCs w:val="44"/>
        </w:rPr>
      </w:pPr>
    </w:p>
    <w:p>
      <w:pPr>
        <w:pStyle w:val="2"/>
        <w:jc w:val="center"/>
        <w:rPr>
          <w:rFonts w:hAnsi="宋体" w:cs="Times New Roman"/>
          <w:b/>
          <w:bCs/>
          <w:color w:val="auto"/>
          <w:sz w:val="48"/>
          <w:szCs w:val="48"/>
        </w:rPr>
      </w:pPr>
      <w:r>
        <w:rPr>
          <w:rFonts w:hint="eastAsia" w:hAnsi="宋体"/>
          <w:b/>
          <w:bCs/>
          <w:color w:val="auto"/>
          <w:sz w:val="48"/>
          <w:szCs w:val="48"/>
        </w:rPr>
        <w:t>喀什地区妇幼保健院信息化建设项目</w:t>
      </w:r>
    </w:p>
    <w:p>
      <w:pPr>
        <w:rPr>
          <w:rFonts w:ascii="宋体"/>
          <w:color w:val="auto"/>
        </w:rPr>
      </w:pPr>
    </w:p>
    <w:p>
      <w:pPr>
        <w:rPr>
          <w:rFonts w:ascii="宋体"/>
          <w:color w:val="auto"/>
        </w:rPr>
      </w:pPr>
    </w:p>
    <w:p>
      <w:pPr>
        <w:spacing w:line="240" w:lineRule="atLeast"/>
        <w:jc w:val="center"/>
        <w:rPr>
          <w:rFonts w:ascii="宋体"/>
          <w:b/>
          <w:bCs/>
          <w:color w:val="auto"/>
          <w:sz w:val="44"/>
          <w:szCs w:val="44"/>
        </w:rPr>
      </w:pPr>
      <w:r>
        <w:rPr>
          <w:rFonts w:hint="eastAsia" w:ascii="宋体" w:hAnsi="宋体" w:cs="宋体"/>
          <w:b/>
          <w:bCs/>
          <w:color w:val="auto"/>
          <w:sz w:val="44"/>
          <w:szCs w:val="44"/>
        </w:rPr>
        <w:t>招</w:t>
      </w:r>
      <w:r>
        <w:rPr>
          <w:rFonts w:ascii="宋体" w:hAnsi="宋体" w:cs="宋体"/>
          <w:b/>
          <w:bCs/>
          <w:color w:val="auto"/>
          <w:sz w:val="44"/>
          <w:szCs w:val="44"/>
        </w:rPr>
        <w:t xml:space="preserve"> </w:t>
      </w:r>
      <w:r>
        <w:rPr>
          <w:rFonts w:hint="eastAsia" w:ascii="宋体" w:hAnsi="宋体" w:cs="宋体"/>
          <w:b/>
          <w:bCs/>
          <w:color w:val="auto"/>
          <w:sz w:val="44"/>
          <w:szCs w:val="44"/>
        </w:rPr>
        <w:t>标</w:t>
      </w:r>
      <w:r>
        <w:rPr>
          <w:rFonts w:ascii="宋体" w:hAnsi="宋体" w:cs="宋体"/>
          <w:b/>
          <w:bCs/>
          <w:color w:val="auto"/>
          <w:sz w:val="44"/>
          <w:szCs w:val="44"/>
        </w:rPr>
        <w:t xml:space="preserve"> </w:t>
      </w:r>
      <w:r>
        <w:rPr>
          <w:rFonts w:hint="eastAsia" w:ascii="宋体" w:hAnsi="宋体" w:cs="宋体"/>
          <w:b/>
          <w:bCs/>
          <w:color w:val="auto"/>
          <w:sz w:val="44"/>
          <w:szCs w:val="44"/>
        </w:rPr>
        <w:t>文</w:t>
      </w:r>
      <w:r>
        <w:rPr>
          <w:rFonts w:ascii="宋体" w:hAnsi="宋体" w:cs="宋体"/>
          <w:b/>
          <w:bCs/>
          <w:color w:val="auto"/>
          <w:sz w:val="44"/>
          <w:szCs w:val="44"/>
        </w:rPr>
        <w:t xml:space="preserve"> </w:t>
      </w:r>
      <w:r>
        <w:rPr>
          <w:rFonts w:hint="eastAsia" w:ascii="宋体" w:hAnsi="宋体" w:cs="宋体"/>
          <w:b/>
          <w:bCs/>
          <w:color w:val="auto"/>
          <w:sz w:val="44"/>
          <w:szCs w:val="44"/>
        </w:rPr>
        <w:t>件</w:t>
      </w:r>
    </w:p>
    <w:p>
      <w:pPr>
        <w:spacing w:line="240" w:lineRule="atLeast"/>
        <w:jc w:val="center"/>
        <w:rPr>
          <w:rFonts w:ascii="宋体"/>
          <w:b/>
          <w:bCs/>
          <w:color w:val="auto"/>
          <w:sz w:val="32"/>
          <w:szCs w:val="32"/>
        </w:rPr>
      </w:pPr>
      <w:r>
        <w:rPr>
          <w:rFonts w:hint="eastAsia" w:ascii="宋体" w:hAnsi="宋体" w:cs="宋体"/>
          <w:b/>
          <w:bCs/>
          <w:color w:val="auto"/>
          <w:sz w:val="32"/>
          <w:szCs w:val="32"/>
        </w:rPr>
        <w:t>项目编号：</w:t>
      </w:r>
      <w:r>
        <w:rPr>
          <w:rFonts w:ascii="宋体" w:hAnsi="宋体" w:cs="宋体"/>
          <w:b/>
          <w:bCs/>
          <w:color w:val="auto"/>
          <w:sz w:val="32"/>
          <w:szCs w:val="32"/>
        </w:rPr>
        <w:t>ZJ(GK)-21094</w:t>
      </w:r>
    </w:p>
    <w:p>
      <w:pPr>
        <w:spacing w:line="240" w:lineRule="atLeast"/>
        <w:jc w:val="center"/>
        <w:rPr>
          <w:rFonts w:ascii="宋体"/>
          <w:b/>
          <w:bCs/>
          <w:color w:val="auto"/>
          <w:sz w:val="32"/>
          <w:szCs w:val="32"/>
        </w:rPr>
      </w:pPr>
    </w:p>
    <w:p>
      <w:pPr>
        <w:spacing w:line="240" w:lineRule="atLeast"/>
        <w:jc w:val="center"/>
        <w:rPr>
          <w:rFonts w:ascii="宋体"/>
          <w:b/>
          <w:bCs/>
          <w:color w:val="auto"/>
          <w:sz w:val="32"/>
          <w:szCs w:val="32"/>
        </w:rPr>
      </w:pPr>
      <w:r>
        <w:rPr>
          <w:rFonts w:ascii="宋体" w:hAnsi="宋体" w:cs="宋体"/>
          <w:b/>
          <w:bCs/>
          <w:color w:val="auto"/>
          <w:sz w:val="32"/>
          <w:szCs w:val="32"/>
        </w:rPr>
        <w:t xml:space="preserve">  </w:t>
      </w:r>
    </w:p>
    <w:p>
      <w:pPr>
        <w:spacing w:line="240" w:lineRule="atLeast"/>
        <w:ind w:firstLine="1120" w:firstLineChars="400"/>
        <w:rPr>
          <w:rFonts w:ascii="宋体"/>
          <w:b/>
          <w:bCs/>
          <w:color w:val="auto"/>
          <w:sz w:val="28"/>
          <w:szCs w:val="28"/>
        </w:rPr>
      </w:pPr>
      <w:r>
        <w:rPr>
          <w:rFonts w:hint="eastAsia" w:ascii="宋体" w:hAnsi="宋体" w:cs="宋体"/>
          <w:b/>
          <w:bCs/>
          <w:color w:val="auto"/>
          <w:sz w:val="28"/>
          <w:szCs w:val="28"/>
        </w:rPr>
        <w:t>采购人名称：</w:t>
      </w:r>
      <w:r>
        <w:rPr>
          <w:rFonts w:ascii="宋体" w:hAnsi="宋体" w:cs="宋体"/>
          <w:b/>
          <w:bCs/>
          <w:color w:val="auto"/>
          <w:sz w:val="28"/>
          <w:szCs w:val="28"/>
          <w:u w:val="single"/>
        </w:rPr>
        <w:t xml:space="preserve">     </w:t>
      </w:r>
      <w:r>
        <w:rPr>
          <w:rFonts w:hint="eastAsia" w:ascii="宋体" w:hAnsi="宋体" w:cs="宋体"/>
          <w:b/>
          <w:bCs/>
          <w:color w:val="auto"/>
          <w:sz w:val="28"/>
          <w:szCs w:val="28"/>
          <w:u w:val="single"/>
        </w:rPr>
        <w:t>喀什地区妇幼保健院</w:t>
      </w:r>
      <w:r>
        <w:rPr>
          <w:rFonts w:ascii="宋体" w:hAnsi="宋体" w:cs="宋体"/>
          <w:b/>
          <w:bCs/>
          <w:color w:val="auto"/>
          <w:sz w:val="28"/>
          <w:szCs w:val="28"/>
          <w:u w:val="single"/>
        </w:rPr>
        <w:t xml:space="preserve">      </w:t>
      </w:r>
      <w:r>
        <w:rPr>
          <w:rFonts w:ascii="宋体" w:hAnsi="宋体" w:cs="宋体"/>
          <w:b/>
          <w:bCs/>
          <w:color w:val="auto"/>
          <w:sz w:val="28"/>
          <w:szCs w:val="28"/>
        </w:rPr>
        <w:t xml:space="preserve">   </w:t>
      </w:r>
    </w:p>
    <w:p>
      <w:pPr>
        <w:ind w:firstLine="1120" w:firstLineChars="400"/>
        <w:rPr>
          <w:rFonts w:ascii="宋体"/>
          <w:b/>
          <w:bCs/>
          <w:color w:val="auto"/>
          <w:sz w:val="28"/>
          <w:szCs w:val="28"/>
          <w:u w:val="single"/>
        </w:rPr>
      </w:pPr>
      <w:r>
        <w:rPr>
          <w:rFonts w:hint="eastAsia" w:ascii="宋体" w:hAnsi="宋体" w:cs="宋体"/>
          <w:b/>
          <w:bCs/>
          <w:color w:val="auto"/>
          <w:sz w:val="28"/>
          <w:szCs w:val="28"/>
        </w:rPr>
        <w:t>联</w:t>
      </w:r>
      <w:r>
        <w:rPr>
          <w:rFonts w:ascii="宋体" w:hAnsi="宋体" w:cs="宋体"/>
          <w:b/>
          <w:bCs/>
          <w:color w:val="auto"/>
          <w:sz w:val="28"/>
          <w:szCs w:val="28"/>
        </w:rPr>
        <w:t xml:space="preserve">  </w:t>
      </w:r>
      <w:r>
        <w:rPr>
          <w:rFonts w:hint="eastAsia" w:ascii="宋体" w:hAnsi="宋体" w:cs="宋体"/>
          <w:b/>
          <w:bCs/>
          <w:color w:val="auto"/>
          <w:sz w:val="28"/>
          <w:szCs w:val="28"/>
        </w:rPr>
        <w:t>系</w:t>
      </w:r>
      <w:r>
        <w:rPr>
          <w:rFonts w:ascii="宋体" w:hAnsi="宋体" w:cs="宋体"/>
          <w:b/>
          <w:bCs/>
          <w:color w:val="auto"/>
          <w:sz w:val="28"/>
          <w:szCs w:val="28"/>
        </w:rPr>
        <w:t xml:space="preserve">  </w:t>
      </w:r>
      <w:r>
        <w:rPr>
          <w:rFonts w:hint="eastAsia" w:ascii="宋体" w:hAnsi="宋体" w:cs="宋体"/>
          <w:b/>
          <w:bCs/>
          <w:color w:val="auto"/>
          <w:sz w:val="28"/>
          <w:szCs w:val="28"/>
        </w:rPr>
        <w:t>人：</w:t>
      </w:r>
      <w:r>
        <w:rPr>
          <w:rFonts w:ascii="宋体" w:hAnsi="宋体" w:cs="宋体"/>
          <w:b/>
          <w:bCs/>
          <w:color w:val="auto"/>
          <w:sz w:val="28"/>
          <w:szCs w:val="28"/>
          <w:u w:val="single"/>
        </w:rPr>
        <w:t xml:space="preserve">       </w:t>
      </w:r>
      <w:r>
        <w:rPr>
          <w:rFonts w:hint="eastAsia" w:ascii="宋体" w:hAnsi="宋体" w:cs="宋体"/>
          <w:b/>
          <w:bCs/>
          <w:color w:val="auto"/>
          <w:sz w:val="28"/>
          <w:szCs w:val="28"/>
          <w:u w:val="single"/>
        </w:rPr>
        <w:t>阿布都拉江</w:t>
      </w:r>
      <w:r>
        <w:rPr>
          <w:rFonts w:ascii="宋体" w:hAnsi="宋体" w:cs="宋体"/>
          <w:b/>
          <w:bCs/>
          <w:color w:val="auto"/>
          <w:sz w:val="28"/>
          <w:szCs w:val="28"/>
          <w:u w:val="single"/>
        </w:rPr>
        <w:t xml:space="preserve">          </w:t>
      </w:r>
      <w:r>
        <w:rPr>
          <w:rFonts w:ascii="宋体" w:hAnsi="宋体" w:cs="宋体"/>
          <w:b/>
          <w:bCs/>
          <w:color w:val="auto"/>
          <w:sz w:val="28"/>
          <w:szCs w:val="28"/>
        </w:rPr>
        <w:t xml:space="preserve">    </w:t>
      </w:r>
    </w:p>
    <w:p>
      <w:pPr>
        <w:spacing w:line="360" w:lineRule="auto"/>
        <w:ind w:firstLine="1120" w:firstLineChars="400"/>
        <w:rPr>
          <w:rFonts w:ascii="宋体"/>
          <w:b/>
          <w:bCs/>
          <w:color w:val="auto"/>
          <w:sz w:val="28"/>
          <w:szCs w:val="28"/>
          <w:u w:val="single"/>
        </w:rPr>
      </w:pPr>
      <w:r>
        <w:rPr>
          <w:rFonts w:hint="eastAsia" w:ascii="宋体" w:hAnsi="宋体" w:cs="宋体"/>
          <w:b/>
          <w:bCs/>
          <w:color w:val="auto"/>
          <w:sz w:val="28"/>
          <w:szCs w:val="28"/>
        </w:rPr>
        <w:t>联</w:t>
      </w:r>
      <w:r>
        <w:rPr>
          <w:rFonts w:ascii="宋体" w:hAnsi="宋体" w:cs="宋体"/>
          <w:b/>
          <w:bCs/>
          <w:color w:val="auto"/>
          <w:sz w:val="28"/>
          <w:szCs w:val="28"/>
        </w:rPr>
        <w:t xml:space="preserve"> </w:t>
      </w:r>
      <w:r>
        <w:rPr>
          <w:rFonts w:hint="eastAsia" w:ascii="宋体" w:hAnsi="宋体" w:cs="宋体"/>
          <w:b/>
          <w:bCs/>
          <w:color w:val="auto"/>
          <w:sz w:val="28"/>
          <w:szCs w:val="28"/>
        </w:rPr>
        <w:t>系电</w:t>
      </w:r>
      <w:r>
        <w:rPr>
          <w:rFonts w:ascii="宋体" w:hAnsi="宋体" w:cs="宋体"/>
          <w:b/>
          <w:bCs/>
          <w:color w:val="auto"/>
          <w:sz w:val="28"/>
          <w:szCs w:val="28"/>
        </w:rPr>
        <w:t xml:space="preserve"> </w:t>
      </w:r>
      <w:r>
        <w:rPr>
          <w:rFonts w:hint="eastAsia" w:ascii="宋体" w:hAnsi="宋体" w:cs="宋体"/>
          <w:b/>
          <w:bCs/>
          <w:color w:val="auto"/>
          <w:sz w:val="28"/>
          <w:szCs w:val="28"/>
        </w:rPr>
        <w:t>话：</w:t>
      </w:r>
      <w:r>
        <w:rPr>
          <w:rFonts w:ascii="宋体" w:hAnsi="宋体" w:cs="宋体"/>
          <w:b/>
          <w:bCs/>
          <w:color w:val="auto"/>
          <w:sz w:val="28"/>
          <w:szCs w:val="28"/>
          <w:u w:val="single"/>
        </w:rPr>
        <w:t xml:space="preserve">      13657550708       </w:t>
      </w:r>
    </w:p>
    <w:p>
      <w:pPr>
        <w:spacing w:line="240" w:lineRule="atLeast"/>
        <w:jc w:val="center"/>
        <w:rPr>
          <w:rFonts w:ascii="宋体"/>
          <w:b/>
          <w:bCs/>
          <w:color w:val="auto"/>
          <w:sz w:val="28"/>
          <w:szCs w:val="28"/>
        </w:rPr>
      </w:pPr>
    </w:p>
    <w:p>
      <w:pPr>
        <w:pStyle w:val="2"/>
        <w:rPr>
          <w:rFonts w:hAnsi="宋体" w:cs="Times New Roman"/>
          <w:color w:val="auto"/>
          <w:sz w:val="28"/>
          <w:szCs w:val="28"/>
        </w:rPr>
      </w:pPr>
    </w:p>
    <w:p>
      <w:pPr>
        <w:rPr>
          <w:rFonts w:ascii="宋体"/>
          <w:color w:val="auto"/>
        </w:rPr>
      </w:pPr>
    </w:p>
    <w:p>
      <w:pPr>
        <w:rPr>
          <w:rFonts w:ascii="宋体"/>
          <w:color w:val="auto"/>
        </w:rPr>
      </w:pPr>
    </w:p>
    <w:p>
      <w:pPr>
        <w:pStyle w:val="2"/>
        <w:rPr>
          <w:rFonts w:hAnsi="宋体" w:cs="Times New Roman"/>
          <w:color w:val="auto"/>
          <w:sz w:val="28"/>
          <w:szCs w:val="28"/>
        </w:rPr>
      </w:pPr>
    </w:p>
    <w:p>
      <w:pPr>
        <w:spacing w:line="240" w:lineRule="atLeast"/>
        <w:ind w:firstLine="1120" w:firstLineChars="400"/>
        <w:rPr>
          <w:rFonts w:ascii="宋体"/>
          <w:b/>
          <w:bCs/>
          <w:color w:val="auto"/>
          <w:sz w:val="28"/>
          <w:szCs w:val="28"/>
        </w:rPr>
      </w:pPr>
      <w:r>
        <w:rPr>
          <w:rFonts w:hint="eastAsia" w:ascii="宋体" w:hAnsi="宋体" w:cs="宋体"/>
          <w:b/>
          <w:bCs/>
          <w:color w:val="auto"/>
          <w:sz w:val="28"/>
          <w:szCs w:val="28"/>
        </w:rPr>
        <w:t>代理机构名称：</w:t>
      </w:r>
      <w:r>
        <w:rPr>
          <w:rFonts w:ascii="宋体" w:hAnsi="宋体" w:cs="宋体"/>
          <w:b/>
          <w:bCs/>
          <w:color w:val="auto"/>
          <w:sz w:val="28"/>
          <w:szCs w:val="28"/>
        </w:rPr>
        <w:t xml:space="preserve"> </w:t>
      </w:r>
      <w:r>
        <w:rPr>
          <w:rFonts w:ascii="宋体" w:hAnsi="宋体" w:cs="宋体"/>
          <w:b/>
          <w:bCs/>
          <w:color w:val="auto"/>
          <w:sz w:val="28"/>
          <w:szCs w:val="28"/>
          <w:u w:val="single"/>
        </w:rPr>
        <w:t xml:space="preserve">  </w:t>
      </w:r>
      <w:r>
        <w:rPr>
          <w:rFonts w:hint="eastAsia" w:ascii="宋体" w:hAnsi="宋体" w:cs="宋体"/>
          <w:b/>
          <w:bCs/>
          <w:color w:val="auto"/>
          <w:sz w:val="28"/>
          <w:szCs w:val="28"/>
          <w:u w:val="single"/>
        </w:rPr>
        <w:t>中经国际招标集团有限公司</w:t>
      </w:r>
      <w:r>
        <w:rPr>
          <w:rFonts w:ascii="宋体" w:hAnsi="宋体" w:cs="宋体"/>
          <w:b/>
          <w:bCs/>
          <w:color w:val="auto"/>
          <w:sz w:val="28"/>
          <w:szCs w:val="28"/>
          <w:u w:val="single"/>
        </w:rPr>
        <w:t xml:space="preserve">  </w:t>
      </w:r>
      <w:r>
        <w:rPr>
          <w:rFonts w:ascii="宋体" w:hAnsi="宋体" w:cs="宋体"/>
          <w:b/>
          <w:bCs/>
          <w:color w:val="auto"/>
          <w:sz w:val="28"/>
          <w:szCs w:val="28"/>
        </w:rPr>
        <w:t xml:space="preserve">  </w:t>
      </w:r>
    </w:p>
    <w:p>
      <w:pPr>
        <w:spacing w:line="240" w:lineRule="atLeast"/>
        <w:ind w:firstLine="1120" w:firstLineChars="400"/>
        <w:rPr>
          <w:rFonts w:ascii="宋体"/>
          <w:b/>
          <w:bCs/>
          <w:color w:val="auto"/>
          <w:sz w:val="28"/>
          <w:szCs w:val="28"/>
        </w:rPr>
      </w:pPr>
      <w:r>
        <w:rPr>
          <w:rFonts w:hint="eastAsia" w:ascii="宋体" w:hAnsi="宋体" w:cs="宋体"/>
          <w:b/>
          <w:bCs/>
          <w:color w:val="auto"/>
          <w:sz w:val="28"/>
          <w:szCs w:val="28"/>
        </w:rPr>
        <w:t>联</w:t>
      </w:r>
      <w:r>
        <w:rPr>
          <w:rFonts w:ascii="宋体" w:hAnsi="宋体" w:cs="宋体"/>
          <w:b/>
          <w:bCs/>
          <w:color w:val="auto"/>
          <w:sz w:val="28"/>
          <w:szCs w:val="28"/>
        </w:rPr>
        <w:t xml:space="preserve">   </w:t>
      </w:r>
      <w:r>
        <w:rPr>
          <w:rFonts w:hint="eastAsia" w:ascii="宋体" w:hAnsi="宋体" w:cs="宋体"/>
          <w:b/>
          <w:bCs/>
          <w:color w:val="auto"/>
          <w:sz w:val="28"/>
          <w:szCs w:val="28"/>
        </w:rPr>
        <w:t>系</w:t>
      </w:r>
      <w:r>
        <w:rPr>
          <w:rFonts w:ascii="宋体" w:hAnsi="宋体" w:cs="宋体"/>
          <w:b/>
          <w:bCs/>
          <w:color w:val="auto"/>
          <w:sz w:val="28"/>
          <w:szCs w:val="28"/>
        </w:rPr>
        <w:t xml:space="preserve">   </w:t>
      </w:r>
      <w:r>
        <w:rPr>
          <w:rFonts w:hint="eastAsia" w:ascii="宋体" w:hAnsi="宋体" w:cs="宋体"/>
          <w:b/>
          <w:bCs/>
          <w:color w:val="auto"/>
          <w:sz w:val="28"/>
          <w:szCs w:val="28"/>
        </w:rPr>
        <w:t>人：</w:t>
      </w:r>
      <w:r>
        <w:rPr>
          <w:rFonts w:ascii="宋体" w:hAnsi="宋体" w:cs="宋体"/>
          <w:b/>
          <w:bCs/>
          <w:color w:val="auto"/>
          <w:sz w:val="28"/>
          <w:szCs w:val="28"/>
        </w:rPr>
        <w:t xml:space="preserve"> </w:t>
      </w:r>
      <w:r>
        <w:rPr>
          <w:rFonts w:ascii="宋体" w:hAnsi="宋体" w:cs="宋体"/>
          <w:b/>
          <w:bCs/>
          <w:color w:val="auto"/>
          <w:sz w:val="28"/>
          <w:szCs w:val="28"/>
          <w:u w:val="single"/>
        </w:rPr>
        <w:t xml:space="preserve">         </w:t>
      </w:r>
      <w:r>
        <w:rPr>
          <w:rFonts w:hint="eastAsia" w:ascii="宋体" w:hAnsi="宋体" w:cs="宋体"/>
          <w:b/>
          <w:bCs/>
          <w:color w:val="auto"/>
          <w:sz w:val="28"/>
          <w:szCs w:val="28"/>
          <w:u w:val="single"/>
        </w:rPr>
        <w:t>王丽娟</w:t>
      </w:r>
      <w:r>
        <w:rPr>
          <w:rFonts w:ascii="宋体" w:hAnsi="宋体" w:cs="宋体"/>
          <w:b/>
          <w:bCs/>
          <w:color w:val="auto"/>
          <w:sz w:val="28"/>
          <w:szCs w:val="28"/>
          <w:u w:val="single"/>
        </w:rPr>
        <w:t xml:space="preserve">            </w:t>
      </w:r>
      <w:r>
        <w:rPr>
          <w:rFonts w:ascii="宋体" w:hAnsi="宋体" w:cs="宋体"/>
          <w:b/>
          <w:bCs/>
          <w:color w:val="auto"/>
          <w:sz w:val="28"/>
          <w:szCs w:val="28"/>
        </w:rPr>
        <w:t xml:space="preserve">       </w:t>
      </w:r>
    </w:p>
    <w:p>
      <w:pPr>
        <w:spacing w:line="240" w:lineRule="atLeast"/>
        <w:ind w:firstLine="1120" w:firstLineChars="400"/>
        <w:rPr>
          <w:rFonts w:ascii="宋体"/>
          <w:b/>
          <w:bCs/>
          <w:color w:val="auto"/>
          <w:sz w:val="28"/>
          <w:szCs w:val="28"/>
        </w:rPr>
      </w:pPr>
      <w:r>
        <w:rPr>
          <w:rFonts w:hint="eastAsia" w:ascii="宋体" w:hAnsi="宋体" w:cs="宋体"/>
          <w:b/>
          <w:bCs/>
          <w:color w:val="auto"/>
          <w:sz w:val="28"/>
          <w:szCs w:val="28"/>
        </w:rPr>
        <w:t>联</w:t>
      </w:r>
      <w:r>
        <w:rPr>
          <w:rFonts w:ascii="宋体" w:hAnsi="宋体" w:cs="宋体"/>
          <w:b/>
          <w:bCs/>
          <w:color w:val="auto"/>
          <w:sz w:val="28"/>
          <w:szCs w:val="28"/>
        </w:rPr>
        <w:t xml:space="preserve"> </w:t>
      </w:r>
      <w:r>
        <w:rPr>
          <w:rFonts w:hint="eastAsia" w:ascii="宋体" w:hAnsi="宋体" w:cs="宋体"/>
          <w:b/>
          <w:bCs/>
          <w:color w:val="auto"/>
          <w:sz w:val="28"/>
          <w:szCs w:val="28"/>
        </w:rPr>
        <w:t>系</w:t>
      </w:r>
      <w:r>
        <w:rPr>
          <w:rFonts w:ascii="宋体" w:hAnsi="宋体" w:cs="宋体"/>
          <w:b/>
          <w:bCs/>
          <w:color w:val="auto"/>
          <w:sz w:val="28"/>
          <w:szCs w:val="28"/>
        </w:rPr>
        <w:t xml:space="preserve"> </w:t>
      </w:r>
      <w:r>
        <w:rPr>
          <w:rFonts w:hint="eastAsia" w:ascii="宋体" w:hAnsi="宋体" w:cs="宋体"/>
          <w:b/>
          <w:bCs/>
          <w:color w:val="auto"/>
          <w:sz w:val="28"/>
          <w:szCs w:val="28"/>
        </w:rPr>
        <w:t>电</w:t>
      </w:r>
      <w:r>
        <w:rPr>
          <w:rFonts w:ascii="宋体" w:hAnsi="宋体" w:cs="宋体"/>
          <w:b/>
          <w:bCs/>
          <w:color w:val="auto"/>
          <w:sz w:val="28"/>
          <w:szCs w:val="28"/>
        </w:rPr>
        <w:t xml:space="preserve"> </w:t>
      </w:r>
      <w:r>
        <w:rPr>
          <w:rFonts w:hint="eastAsia" w:ascii="宋体" w:hAnsi="宋体" w:cs="宋体"/>
          <w:b/>
          <w:bCs/>
          <w:color w:val="auto"/>
          <w:sz w:val="28"/>
          <w:szCs w:val="28"/>
        </w:rPr>
        <w:t>话</w:t>
      </w:r>
      <w:r>
        <w:rPr>
          <w:rFonts w:ascii="宋体" w:hAnsi="宋体" w:cs="宋体"/>
          <w:b/>
          <w:bCs/>
          <w:color w:val="auto"/>
          <w:sz w:val="28"/>
          <w:szCs w:val="28"/>
        </w:rPr>
        <w:t xml:space="preserve"> </w:t>
      </w:r>
      <w:r>
        <w:rPr>
          <w:rFonts w:hint="eastAsia" w:ascii="宋体" w:hAnsi="宋体" w:cs="宋体"/>
          <w:b/>
          <w:bCs/>
          <w:color w:val="auto"/>
          <w:sz w:val="28"/>
          <w:szCs w:val="28"/>
        </w:rPr>
        <w:t>：</w:t>
      </w:r>
      <w:r>
        <w:rPr>
          <w:rFonts w:ascii="宋体" w:hAnsi="宋体" w:cs="宋体"/>
          <w:b/>
          <w:bCs/>
          <w:color w:val="auto"/>
          <w:sz w:val="28"/>
          <w:szCs w:val="28"/>
        </w:rPr>
        <w:t xml:space="preserve"> </w:t>
      </w:r>
      <w:r>
        <w:rPr>
          <w:rFonts w:ascii="宋体" w:hAnsi="宋体" w:cs="宋体"/>
          <w:b/>
          <w:bCs/>
          <w:color w:val="auto"/>
          <w:sz w:val="28"/>
          <w:szCs w:val="28"/>
          <w:u w:val="single"/>
        </w:rPr>
        <w:t xml:space="preserve">       15099650569          </w:t>
      </w:r>
      <w:r>
        <w:rPr>
          <w:rFonts w:ascii="宋体" w:hAnsi="宋体" w:cs="宋体"/>
          <w:b/>
          <w:bCs/>
          <w:color w:val="auto"/>
          <w:sz w:val="28"/>
          <w:szCs w:val="28"/>
        </w:rPr>
        <w:t xml:space="preserve">   </w:t>
      </w:r>
    </w:p>
    <w:p>
      <w:pPr>
        <w:pStyle w:val="2"/>
        <w:rPr>
          <w:rFonts w:hAnsi="宋体" w:cs="Times New Roman"/>
          <w:color w:val="auto"/>
        </w:rPr>
      </w:pPr>
    </w:p>
    <w:p>
      <w:pPr>
        <w:spacing w:line="240" w:lineRule="atLeast"/>
        <w:ind w:firstLine="3080" w:firstLineChars="1100"/>
        <w:rPr>
          <w:rFonts w:ascii="宋体"/>
          <w:b/>
          <w:bCs/>
          <w:color w:val="auto"/>
          <w:sz w:val="28"/>
          <w:szCs w:val="28"/>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宋体" w:hAnsi="宋体" w:cs="宋体"/>
          <w:b/>
          <w:bCs/>
          <w:color w:val="auto"/>
          <w:sz w:val="28"/>
          <w:szCs w:val="28"/>
        </w:rPr>
        <w:t>日期：</w:t>
      </w:r>
      <w:r>
        <w:rPr>
          <w:rFonts w:ascii="宋体" w:hAnsi="宋体" w:cs="宋体"/>
          <w:b/>
          <w:bCs/>
          <w:color w:val="auto"/>
          <w:sz w:val="28"/>
          <w:szCs w:val="28"/>
        </w:rPr>
        <w:t xml:space="preserve">2021 </w:t>
      </w:r>
      <w:r>
        <w:rPr>
          <w:rFonts w:hint="eastAsia" w:ascii="宋体" w:hAnsi="宋体" w:cs="宋体"/>
          <w:b/>
          <w:bCs/>
          <w:color w:val="auto"/>
          <w:sz w:val="28"/>
          <w:szCs w:val="28"/>
        </w:rPr>
        <w:t>年</w:t>
      </w:r>
      <w:r>
        <w:rPr>
          <w:rFonts w:ascii="宋体" w:hAnsi="宋体" w:cs="宋体"/>
          <w:b/>
          <w:bCs/>
          <w:color w:val="auto"/>
          <w:sz w:val="28"/>
          <w:szCs w:val="28"/>
        </w:rPr>
        <w:t>9</w:t>
      </w:r>
      <w:r>
        <w:rPr>
          <w:rFonts w:hint="eastAsia" w:ascii="宋体" w:hAnsi="宋体" w:cs="宋体"/>
          <w:b/>
          <w:bCs/>
          <w:color w:val="auto"/>
          <w:sz w:val="28"/>
          <w:szCs w:val="28"/>
        </w:rPr>
        <w:t>月</w:t>
      </w:r>
    </w:p>
    <w:p>
      <w:pPr>
        <w:jc w:val="center"/>
        <w:rPr>
          <w:rFonts w:ascii="宋体"/>
          <w:b/>
          <w:bCs/>
          <w:color w:val="auto"/>
          <w:sz w:val="40"/>
          <w:szCs w:val="40"/>
        </w:rPr>
      </w:pPr>
      <w:r>
        <w:rPr>
          <w:rFonts w:hint="eastAsia" w:ascii="宋体" w:hAnsi="宋体" w:cs="宋体"/>
          <w:b/>
          <w:bCs/>
          <w:color w:val="auto"/>
          <w:sz w:val="40"/>
          <w:szCs w:val="40"/>
        </w:rPr>
        <w:t>目录</w:t>
      </w:r>
    </w:p>
    <w:p>
      <w:pPr>
        <w:pStyle w:val="15"/>
        <w:tabs>
          <w:tab w:val="right" w:leader="dot" w:pos="8312"/>
        </w:tabs>
        <w:rPr>
          <w:color w:val="auto"/>
        </w:rPr>
      </w:pPr>
      <w:r>
        <w:rPr>
          <w:rFonts w:ascii="宋体" w:hAnsi="宋体" w:cs="宋体"/>
          <w:color w:val="auto"/>
          <w:kern w:val="0"/>
        </w:rPr>
        <w:fldChar w:fldCharType="begin"/>
      </w:r>
      <w:r>
        <w:rPr>
          <w:rFonts w:ascii="宋体" w:hAnsi="宋体" w:cs="宋体"/>
          <w:color w:val="auto"/>
          <w:kern w:val="0"/>
        </w:rPr>
        <w:instrText xml:space="preserve">TOC \o "1-2" \h \u </w:instrText>
      </w:r>
      <w:r>
        <w:rPr>
          <w:rFonts w:ascii="宋体" w:hAnsi="宋体" w:cs="宋体"/>
          <w:color w:val="auto"/>
          <w:kern w:val="0"/>
        </w:rPr>
        <w:fldChar w:fldCharType="separate"/>
      </w:r>
      <w:r>
        <w:rPr>
          <w:color w:val="auto"/>
        </w:rPr>
        <w:fldChar w:fldCharType="begin"/>
      </w:r>
      <w:r>
        <w:rPr>
          <w:color w:val="auto"/>
        </w:rPr>
        <w:instrText xml:space="preserve"> HYPERLINK \l "_Toc21371" </w:instrText>
      </w:r>
      <w:r>
        <w:rPr>
          <w:color w:val="auto"/>
        </w:rPr>
        <w:fldChar w:fldCharType="separate"/>
      </w:r>
      <w:r>
        <w:rPr>
          <w:rFonts w:hint="eastAsia" w:hAnsi="宋体" w:cs="宋体"/>
          <w:color w:val="auto"/>
        </w:rPr>
        <w:t>第</w:t>
      </w:r>
      <w:r>
        <w:rPr>
          <w:rFonts w:hAnsi="宋体"/>
          <w:color w:val="auto"/>
        </w:rPr>
        <w:t>1</w:t>
      </w:r>
      <w:r>
        <w:rPr>
          <w:rFonts w:hint="eastAsia" w:hAnsi="宋体" w:cs="宋体"/>
          <w:color w:val="auto"/>
        </w:rPr>
        <w:t>章</w:t>
      </w:r>
      <w:r>
        <w:rPr>
          <w:rFonts w:hAnsi="宋体"/>
          <w:color w:val="auto"/>
        </w:rPr>
        <w:t xml:space="preserve">  </w:t>
      </w:r>
      <w:r>
        <w:rPr>
          <w:rFonts w:hint="eastAsia" w:hAnsi="宋体" w:cs="宋体"/>
          <w:color w:val="auto"/>
        </w:rPr>
        <w:t>供应商须知</w:t>
      </w:r>
      <w:r>
        <w:rPr>
          <w:color w:val="auto"/>
        </w:rPr>
        <w:tab/>
      </w:r>
      <w:r>
        <w:rPr>
          <w:color w:val="auto"/>
        </w:rPr>
        <w:fldChar w:fldCharType="begin"/>
      </w:r>
      <w:r>
        <w:rPr>
          <w:color w:val="auto"/>
        </w:rPr>
        <w:instrText xml:space="preserve"> PAGEREF _Toc21371 \h </w:instrText>
      </w:r>
      <w:r>
        <w:rPr>
          <w:color w:val="auto"/>
        </w:rPr>
        <w:fldChar w:fldCharType="separate"/>
      </w:r>
      <w:r>
        <w:rPr>
          <w:color w:val="auto"/>
        </w:rPr>
        <w:t>3</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"_Toc8578" </w:instrText>
      </w:r>
      <w:r>
        <w:rPr>
          <w:color w:val="auto"/>
        </w:rPr>
        <w:fldChar w:fldCharType="separate"/>
      </w:r>
      <w:r>
        <w:rPr>
          <w:rFonts w:hint="eastAsia" w:ascii="宋体" w:hAnsi="宋体" w:cs="宋体"/>
          <w:color w:val="auto"/>
        </w:rPr>
        <w:t>一</w:t>
      </w:r>
      <w:r>
        <w:rPr>
          <w:rFonts w:ascii="宋体" w:hAnsi="宋体" w:cs="宋体"/>
          <w:color w:val="auto"/>
        </w:rPr>
        <w:t xml:space="preserve">   </w:t>
      </w:r>
      <w:r>
        <w:rPr>
          <w:rFonts w:hint="eastAsia" w:ascii="宋体" w:hAnsi="宋体" w:cs="宋体"/>
          <w:color w:val="auto"/>
        </w:rPr>
        <w:t>总</w:t>
      </w:r>
      <w:r>
        <w:rPr>
          <w:rFonts w:ascii="宋体" w:hAnsi="宋体" w:cs="宋体"/>
          <w:color w:val="auto"/>
        </w:rPr>
        <w:t xml:space="preserve"> </w:t>
      </w:r>
      <w:r>
        <w:rPr>
          <w:rFonts w:hint="eastAsia" w:ascii="宋体" w:hAnsi="宋体" w:cs="宋体"/>
          <w:color w:val="auto"/>
        </w:rPr>
        <w:t>则</w:t>
      </w:r>
      <w:r>
        <w:rPr>
          <w:color w:val="auto"/>
        </w:rPr>
        <w:tab/>
      </w:r>
      <w:r>
        <w:rPr>
          <w:color w:val="auto"/>
        </w:rPr>
        <w:fldChar w:fldCharType="begin"/>
      </w:r>
      <w:r>
        <w:rPr>
          <w:color w:val="auto"/>
        </w:rPr>
        <w:instrText xml:space="preserve"> PAGEREF _Toc8578 \h </w:instrText>
      </w:r>
      <w:r>
        <w:rPr>
          <w:color w:val="auto"/>
        </w:rPr>
        <w:fldChar w:fldCharType="separate"/>
      </w:r>
      <w:r>
        <w:rPr>
          <w:color w:val="auto"/>
        </w:rPr>
        <w:t>3</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"_Toc23227" </w:instrText>
      </w:r>
      <w:r>
        <w:rPr>
          <w:color w:val="auto"/>
        </w:rPr>
        <w:fldChar w:fldCharType="separate"/>
      </w:r>
      <w:r>
        <w:rPr>
          <w:rFonts w:hint="eastAsia" w:ascii="宋体" w:hAnsi="宋体" w:cs="宋体"/>
          <w:color w:val="auto"/>
        </w:rPr>
        <w:t>二</w:t>
      </w:r>
      <w:r>
        <w:rPr>
          <w:rFonts w:ascii="宋体" w:hAnsi="宋体" w:cs="宋体"/>
          <w:color w:val="auto"/>
        </w:rPr>
        <w:t xml:space="preserve">   </w:t>
      </w:r>
      <w:r>
        <w:rPr>
          <w:rFonts w:hint="eastAsia" w:ascii="宋体" w:hAnsi="宋体" w:cs="宋体"/>
          <w:color w:val="auto"/>
        </w:rPr>
        <w:t>招标文件</w:t>
      </w:r>
      <w:r>
        <w:rPr>
          <w:color w:val="auto"/>
        </w:rPr>
        <w:tab/>
      </w:r>
      <w:r>
        <w:rPr>
          <w:color w:val="auto"/>
        </w:rPr>
        <w:fldChar w:fldCharType="begin"/>
      </w:r>
      <w:r>
        <w:rPr>
          <w:color w:val="auto"/>
        </w:rPr>
        <w:instrText xml:space="preserve"> PAGEREF _Toc23227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"_Toc7957" </w:instrText>
      </w:r>
      <w:r>
        <w:rPr>
          <w:color w:val="auto"/>
        </w:rPr>
        <w:fldChar w:fldCharType="separate"/>
      </w:r>
      <w:r>
        <w:rPr>
          <w:rFonts w:hint="eastAsia" w:ascii="宋体" w:hAnsi="宋体" w:cs="宋体"/>
          <w:color w:val="auto"/>
        </w:rPr>
        <w:t>三</w:t>
      </w:r>
      <w:r>
        <w:rPr>
          <w:rFonts w:ascii="宋体" w:hAnsi="宋体" w:cs="宋体"/>
          <w:color w:val="auto"/>
        </w:rPr>
        <w:t xml:space="preserve">   </w:t>
      </w:r>
      <w:r>
        <w:rPr>
          <w:rFonts w:hint="eastAsia" w:ascii="宋体" w:hAnsi="宋体" w:cs="宋体"/>
          <w:color w:val="auto"/>
        </w:rPr>
        <w:t>投标文件的编制</w:t>
      </w:r>
      <w:r>
        <w:rPr>
          <w:color w:val="auto"/>
        </w:rPr>
        <w:tab/>
      </w:r>
      <w:r>
        <w:rPr>
          <w:color w:val="auto"/>
        </w:rPr>
        <w:fldChar w:fldCharType="begin"/>
      </w:r>
      <w:r>
        <w:rPr>
          <w:color w:val="auto"/>
        </w:rPr>
        <w:instrText xml:space="preserve"> PAGEREF _Toc7957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"_Toc13349" </w:instrText>
      </w:r>
      <w:r>
        <w:rPr>
          <w:color w:val="auto"/>
        </w:rPr>
        <w:fldChar w:fldCharType="separate"/>
      </w:r>
      <w:r>
        <w:rPr>
          <w:rFonts w:hint="eastAsia" w:ascii="宋体" w:hAnsi="宋体" w:cs="宋体"/>
          <w:color w:val="auto"/>
        </w:rPr>
        <w:t>四</w:t>
      </w:r>
      <w:r>
        <w:rPr>
          <w:rFonts w:ascii="宋体" w:hAnsi="宋体" w:cs="宋体"/>
          <w:color w:val="auto"/>
        </w:rPr>
        <w:t xml:space="preserve">   </w:t>
      </w:r>
      <w:r>
        <w:rPr>
          <w:rFonts w:hint="eastAsia" w:ascii="宋体" w:hAnsi="宋体" w:cs="宋体"/>
          <w:color w:val="auto"/>
        </w:rPr>
        <w:t>投标文件的递交</w:t>
      </w:r>
      <w:r>
        <w:rPr>
          <w:color w:val="auto"/>
        </w:rPr>
        <w:tab/>
      </w:r>
      <w:r>
        <w:rPr>
          <w:color w:val="auto"/>
        </w:rPr>
        <w:fldChar w:fldCharType="begin"/>
      </w:r>
      <w:r>
        <w:rPr>
          <w:color w:val="auto"/>
        </w:rPr>
        <w:instrText xml:space="preserve"> PAGEREF _Toc13349 \h </w:instrText>
      </w:r>
      <w:r>
        <w:rPr>
          <w:color w:val="auto"/>
        </w:rPr>
        <w:fldChar w:fldCharType="separate"/>
      </w:r>
      <w:r>
        <w:rPr>
          <w:color w:val="auto"/>
        </w:rPr>
        <w:t>6</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"_Toc30738" </w:instrText>
      </w:r>
      <w:r>
        <w:rPr>
          <w:color w:val="auto"/>
        </w:rPr>
        <w:fldChar w:fldCharType="separate"/>
      </w:r>
      <w:r>
        <w:rPr>
          <w:rFonts w:hint="eastAsia" w:ascii="宋体" w:hAnsi="宋体" w:cs="宋体"/>
          <w:color w:val="auto"/>
        </w:rPr>
        <w:t>五</w:t>
      </w:r>
      <w:r>
        <w:rPr>
          <w:rFonts w:ascii="宋体" w:hAnsi="宋体" w:cs="宋体"/>
          <w:color w:val="auto"/>
        </w:rPr>
        <w:t xml:space="preserve">   </w:t>
      </w:r>
      <w:r>
        <w:rPr>
          <w:rFonts w:hint="eastAsia" w:ascii="宋体" w:hAnsi="宋体" w:cs="宋体"/>
          <w:color w:val="auto"/>
        </w:rPr>
        <w:t>开标及评标</w:t>
      </w:r>
      <w:r>
        <w:rPr>
          <w:color w:val="auto"/>
        </w:rPr>
        <w:tab/>
      </w:r>
      <w:r>
        <w:rPr>
          <w:color w:val="auto"/>
        </w:rPr>
        <w:fldChar w:fldCharType="begin"/>
      </w:r>
      <w:r>
        <w:rPr>
          <w:color w:val="auto"/>
        </w:rPr>
        <w:instrText xml:space="preserve"> PAGEREF _Toc30738 \h </w:instrText>
      </w:r>
      <w:r>
        <w:rPr>
          <w:color w:val="auto"/>
        </w:rPr>
        <w:fldChar w:fldCharType="separate"/>
      </w:r>
      <w:r>
        <w:rPr>
          <w:color w:val="auto"/>
        </w:rPr>
        <w:t>7</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"_Toc26274" </w:instrText>
      </w:r>
      <w:r>
        <w:rPr>
          <w:color w:val="auto"/>
        </w:rPr>
        <w:fldChar w:fldCharType="separate"/>
      </w:r>
      <w:r>
        <w:rPr>
          <w:rFonts w:hint="eastAsia" w:ascii="宋体" w:hAnsi="宋体" w:cs="宋体"/>
          <w:color w:val="auto"/>
        </w:rPr>
        <w:t>六</w:t>
      </w:r>
      <w:r>
        <w:rPr>
          <w:rFonts w:ascii="宋体" w:hAnsi="宋体" w:cs="宋体"/>
          <w:color w:val="auto"/>
        </w:rPr>
        <w:t xml:space="preserve">   </w:t>
      </w:r>
      <w:r>
        <w:rPr>
          <w:rFonts w:hint="eastAsia" w:ascii="宋体" w:hAnsi="宋体" w:cs="宋体"/>
          <w:color w:val="auto"/>
        </w:rPr>
        <w:t>确定中标</w:t>
      </w:r>
      <w:r>
        <w:rPr>
          <w:color w:val="auto"/>
        </w:rPr>
        <w:tab/>
      </w:r>
      <w:r>
        <w:rPr>
          <w:color w:val="auto"/>
        </w:rPr>
        <w:fldChar w:fldCharType="begin"/>
      </w:r>
      <w:r>
        <w:rPr>
          <w:color w:val="auto"/>
        </w:rPr>
        <w:instrText xml:space="preserve"> PAGEREF _Toc26274 \h </w:instrText>
      </w:r>
      <w:r>
        <w:rPr>
          <w:color w:val="auto"/>
        </w:rPr>
        <w:fldChar w:fldCharType="separate"/>
      </w:r>
      <w:r>
        <w:rPr>
          <w:color w:val="auto"/>
        </w:rPr>
        <w:t>10</w:t>
      </w:r>
      <w:r>
        <w:rPr>
          <w:color w:val="auto"/>
        </w:rPr>
        <w:fldChar w:fldCharType="end"/>
      </w:r>
      <w:r>
        <w:rPr>
          <w:color w:val="auto"/>
        </w:rPr>
        <w:fldChar w:fldCharType="end"/>
      </w:r>
    </w:p>
    <w:p>
      <w:pPr>
        <w:pStyle w:val="15"/>
        <w:tabs>
          <w:tab w:val="right" w:leader="dot" w:pos="8312"/>
        </w:tabs>
        <w:rPr>
          <w:color w:val="auto"/>
        </w:rPr>
      </w:pPr>
      <w:r>
        <w:rPr>
          <w:color w:val="auto"/>
        </w:rPr>
        <w:fldChar w:fldCharType="begin"/>
      </w:r>
      <w:r>
        <w:rPr>
          <w:color w:val="auto"/>
        </w:rPr>
        <w:instrText xml:space="preserve"> HYPERLINK \l "_Toc32643" </w:instrText>
      </w:r>
      <w:r>
        <w:rPr>
          <w:color w:val="auto"/>
        </w:rPr>
        <w:fldChar w:fldCharType="separate"/>
      </w:r>
      <w:r>
        <w:rPr>
          <w:rFonts w:hint="eastAsia" w:hAnsi="宋体" w:cs="宋体"/>
          <w:color w:val="auto"/>
        </w:rPr>
        <w:t>第</w:t>
      </w:r>
      <w:r>
        <w:rPr>
          <w:rFonts w:hAnsi="宋体"/>
          <w:color w:val="auto"/>
        </w:rPr>
        <w:t>2</w:t>
      </w:r>
      <w:r>
        <w:rPr>
          <w:rFonts w:hint="eastAsia" w:hAnsi="宋体" w:cs="宋体"/>
          <w:color w:val="auto"/>
        </w:rPr>
        <w:t>章</w:t>
      </w:r>
      <w:r>
        <w:rPr>
          <w:rFonts w:hAnsi="宋体"/>
          <w:color w:val="auto"/>
        </w:rPr>
        <w:t xml:space="preserve">   </w:t>
      </w:r>
      <w:r>
        <w:rPr>
          <w:rFonts w:hint="eastAsia" w:hAnsi="宋体" w:cs="宋体"/>
          <w:color w:val="auto"/>
        </w:rPr>
        <w:t>投标文件格式</w:t>
      </w:r>
      <w:r>
        <w:rPr>
          <w:color w:val="auto"/>
        </w:rPr>
        <w:tab/>
      </w:r>
      <w:r>
        <w:rPr>
          <w:color w:val="auto"/>
        </w:rPr>
        <w:fldChar w:fldCharType="begin"/>
      </w:r>
      <w:r>
        <w:rPr>
          <w:color w:val="auto"/>
        </w:rPr>
        <w:instrText xml:space="preserve"> PAGEREF _Toc32643 \h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"_Toc2922" </w:instrText>
      </w:r>
      <w:r>
        <w:rPr>
          <w:color w:val="auto"/>
        </w:rPr>
        <w:fldChar w:fldCharType="separate"/>
      </w:r>
      <w:r>
        <w:rPr>
          <w:rFonts w:hint="eastAsia" w:ascii="宋体" w:hAnsi="宋体" w:cs="宋体"/>
          <w:color w:val="auto"/>
        </w:rPr>
        <w:t>第一部分</w:t>
      </w:r>
      <w:r>
        <w:rPr>
          <w:rFonts w:ascii="宋体" w:hAnsi="宋体" w:cs="宋体"/>
          <w:color w:val="auto"/>
        </w:rPr>
        <w:t xml:space="preserve"> </w:t>
      </w:r>
      <w:r>
        <w:rPr>
          <w:rFonts w:hint="eastAsia" w:ascii="宋体" w:hAnsi="宋体" w:cs="宋体"/>
          <w:color w:val="auto"/>
        </w:rPr>
        <w:t>开标一览表及资格证明文件</w:t>
      </w:r>
      <w:r>
        <w:rPr>
          <w:color w:val="auto"/>
        </w:rPr>
        <w:tab/>
      </w:r>
      <w:r>
        <w:rPr>
          <w:color w:val="auto"/>
        </w:rPr>
        <w:fldChar w:fldCharType="begin"/>
      </w:r>
      <w:r>
        <w:rPr>
          <w:color w:val="auto"/>
        </w:rPr>
        <w:instrText xml:space="preserve"> PAGEREF _Toc2922 \h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"_Toc11930" </w:instrText>
      </w:r>
      <w:r>
        <w:rPr>
          <w:color w:val="auto"/>
        </w:rPr>
        <w:fldChar w:fldCharType="separate"/>
      </w:r>
      <w:r>
        <w:rPr>
          <w:rFonts w:ascii="宋体" w:hAnsi="宋体" w:cs="宋体"/>
          <w:color w:val="auto"/>
        </w:rPr>
        <w:t xml:space="preserve">1  </w:t>
      </w:r>
      <w:r>
        <w:rPr>
          <w:rFonts w:hint="eastAsia" w:ascii="宋体" w:hAnsi="宋体" w:cs="宋体"/>
          <w:color w:val="auto"/>
        </w:rPr>
        <w:t>开标一览表</w:t>
      </w:r>
      <w:r>
        <w:rPr>
          <w:color w:val="auto"/>
        </w:rPr>
        <w:tab/>
      </w:r>
      <w:r>
        <w:rPr>
          <w:color w:val="auto"/>
        </w:rPr>
        <w:fldChar w:fldCharType="begin"/>
      </w:r>
      <w:r>
        <w:rPr>
          <w:color w:val="auto"/>
        </w:rPr>
        <w:instrText xml:space="preserve"> PAGEREF _Toc11930 \h </w:instrText>
      </w:r>
      <w:r>
        <w:rPr>
          <w:color w:val="auto"/>
        </w:rPr>
        <w:fldChar w:fldCharType="separate"/>
      </w:r>
      <w:r>
        <w:rPr>
          <w:color w:val="auto"/>
        </w:rPr>
        <w:t>18</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"_Toc23503" </w:instrText>
      </w:r>
      <w:r>
        <w:rPr>
          <w:color w:val="auto"/>
        </w:rPr>
        <w:fldChar w:fldCharType="separate"/>
      </w:r>
      <w:r>
        <w:rPr>
          <w:rFonts w:hAnsi="宋体"/>
          <w:color w:val="auto"/>
        </w:rPr>
        <w:t xml:space="preserve">2  </w:t>
      </w:r>
      <w:r>
        <w:rPr>
          <w:rFonts w:hint="eastAsia" w:hAnsi="宋体" w:cs="宋体"/>
          <w:color w:val="auto"/>
        </w:rPr>
        <w:t>具有有效的独立法人营业执照；</w:t>
      </w:r>
      <w:r>
        <w:rPr>
          <w:color w:val="auto"/>
        </w:rPr>
        <w:tab/>
      </w:r>
      <w:r>
        <w:rPr>
          <w:color w:val="auto"/>
        </w:rPr>
        <w:fldChar w:fldCharType="begin"/>
      </w:r>
      <w:r>
        <w:rPr>
          <w:color w:val="auto"/>
        </w:rPr>
        <w:instrText xml:space="preserve"> PAGEREF _Toc23503 \h </w:instrText>
      </w:r>
      <w:r>
        <w:rPr>
          <w:color w:val="auto"/>
        </w:rPr>
        <w:fldChar w:fldCharType="separate"/>
      </w:r>
      <w:r>
        <w:rPr>
          <w:color w:val="auto"/>
        </w:rPr>
        <w:t>18</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"_Toc3477" </w:instrText>
      </w:r>
      <w:r>
        <w:rPr>
          <w:color w:val="auto"/>
        </w:rPr>
        <w:fldChar w:fldCharType="separate"/>
      </w:r>
      <w:r>
        <w:rPr>
          <w:rFonts w:ascii="宋体" w:hAnsi="宋体" w:cs="宋体"/>
          <w:color w:val="auto"/>
          <w:kern w:val="0"/>
        </w:rPr>
        <w:t xml:space="preserve">3  </w:t>
      </w:r>
      <w:r>
        <w:rPr>
          <w:rFonts w:hint="eastAsia" w:ascii="宋体" w:hAnsi="宋体" w:cs="宋体"/>
          <w:color w:val="auto"/>
          <w:kern w:val="0"/>
        </w:rPr>
        <w:t>法人代表资格证明书及授权书、被授权人身份证；</w:t>
      </w:r>
      <w:r>
        <w:rPr>
          <w:rFonts w:ascii="宋体" w:hAnsi="宋体" w:cs="宋体"/>
          <w:color w:val="auto"/>
          <w:kern w:val="0"/>
        </w:rPr>
        <w:t>(</w:t>
      </w:r>
      <w:r>
        <w:rPr>
          <w:rFonts w:hint="eastAsia" w:ascii="宋体" w:hAnsi="宋体" w:cs="宋体"/>
          <w:color w:val="auto"/>
          <w:kern w:val="0"/>
        </w:rPr>
        <w:t>法人投标须提供法人身份证及法人代表资格证明书</w:t>
      </w:r>
      <w:r>
        <w:rPr>
          <w:rFonts w:ascii="宋体" w:hAnsi="宋体" w:cs="宋体"/>
          <w:color w:val="auto"/>
          <w:kern w:val="0"/>
        </w:rPr>
        <w:t>)</w:t>
      </w:r>
      <w:r>
        <w:rPr>
          <w:rFonts w:hint="eastAsia" w:ascii="宋体" w:hAnsi="宋体" w:cs="宋体"/>
          <w:color w:val="auto"/>
          <w:kern w:val="0"/>
        </w:rPr>
        <w:t>；</w:t>
      </w:r>
      <w:r>
        <w:rPr>
          <w:color w:val="auto"/>
        </w:rPr>
        <w:tab/>
      </w:r>
      <w:r>
        <w:rPr>
          <w:color w:val="auto"/>
        </w:rPr>
        <w:fldChar w:fldCharType="begin"/>
      </w:r>
      <w:r>
        <w:rPr>
          <w:color w:val="auto"/>
        </w:rPr>
        <w:instrText xml:space="preserve"> PAGEREF _Toc3477 \h </w:instrText>
      </w:r>
      <w:r>
        <w:rPr>
          <w:color w:val="auto"/>
        </w:rPr>
        <w:fldChar w:fldCharType="separate"/>
      </w:r>
      <w:r>
        <w:rPr>
          <w:color w:val="auto"/>
        </w:rPr>
        <w:t>19</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"_Toc4866" </w:instrText>
      </w:r>
      <w:r>
        <w:rPr>
          <w:color w:val="auto"/>
        </w:rPr>
        <w:fldChar w:fldCharType="separate"/>
      </w:r>
      <w:r>
        <w:rPr>
          <w:rFonts w:ascii="宋体" w:hAnsi="宋体" w:cs="宋体"/>
          <w:color w:val="auto"/>
          <w:kern w:val="0"/>
        </w:rPr>
        <w:t xml:space="preserve">4  </w:t>
      </w:r>
      <w:r>
        <w:rPr>
          <w:rFonts w:hint="eastAsia" w:ascii="宋体" w:hAnsi="宋体" w:cs="宋体"/>
          <w:color w:val="auto"/>
          <w:kern w:val="0"/>
        </w:rPr>
        <w:t>财务状况报告近二年任意一年经审计的财务报告</w:t>
      </w:r>
      <w:r>
        <w:rPr>
          <w:rFonts w:ascii="宋体" w:cs="宋体"/>
          <w:color w:val="auto"/>
          <w:kern w:val="0"/>
        </w:rPr>
        <w:t>,</w:t>
      </w:r>
      <w:r>
        <w:rPr>
          <w:rFonts w:hint="eastAsia" w:ascii="宋体" w:hAnsi="宋体" w:cs="宋体"/>
          <w:color w:val="auto"/>
          <w:kern w:val="0"/>
        </w:rPr>
        <w:t>或新公司出具近</w:t>
      </w:r>
      <w:r>
        <w:rPr>
          <w:rFonts w:ascii="宋体" w:hAnsi="宋体" w:cs="宋体"/>
          <w:color w:val="auto"/>
          <w:kern w:val="0"/>
        </w:rPr>
        <w:t>6</w:t>
      </w:r>
      <w:r>
        <w:rPr>
          <w:rFonts w:hint="eastAsia" w:ascii="宋体" w:hAnsi="宋体" w:cs="宋体"/>
          <w:color w:val="auto"/>
          <w:kern w:val="0"/>
        </w:rPr>
        <w:t>个月任意一个月的银行资信证明；</w:t>
      </w:r>
      <w:r>
        <w:rPr>
          <w:color w:val="auto"/>
        </w:rPr>
        <w:tab/>
      </w:r>
      <w:r>
        <w:rPr>
          <w:color w:val="auto"/>
        </w:rPr>
        <w:fldChar w:fldCharType="begin"/>
      </w:r>
      <w:r>
        <w:rPr>
          <w:color w:val="auto"/>
        </w:rPr>
        <w:instrText xml:space="preserve"> PAGEREF _Toc4866 \h </w:instrText>
      </w:r>
      <w:r>
        <w:rPr>
          <w:color w:val="auto"/>
        </w:rPr>
        <w:fldChar w:fldCharType="separate"/>
      </w:r>
      <w:r>
        <w:rPr>
          <w:color w:val="auto"/>
        </w:rPr>
        <w:t>20</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"_Toc7593" </w:instrText>
      </w:r>
      <w:r>
        <w:rPr>
          <w:color w:val="auto"/>
        </w:rPr>
        <w:fldChar w:fldCharType="separate"/>
      </w:r>
      <w:r>
        <w:rPr>
          <w:rFonts w:ascii="宋体" w:hAnsi="宋体" w:cs="宋体"/>
          <w:color w:val="auto"/>
          <w:kern w:val="0"/>
        </w:rPr>
        <w:t xml:space="preserve">5  </w:t>
      </w:r>
      <w:r>
        <w:rPr>
          <w:rFonts w:hint="eastAsia" w:ascii="宋体" w:hAnsi="宋体" w:cs="宋体"/>
          <w:color w:val="auto"/>
          <w:kern w:val="0"/>
        </w:rPr>
        <w:t>依法缴纳近</w:t>
      </w:r>
      <w:r>
        <w:rPr>
          <w:rFonts w:ascii="宋体" w:hAnsi="宋体" w:cs="宋体"/>
          <w:color w:val="auto"/>
          <w:kern w:val="0"/>
        </w:rPr>
        <w:t>6</w:t>
      </w:r>
      <w:r>
        <w:rPr>
          <w:rFonts w:hint="eastAsia" w:ascii="宋体" w:hAnsi="宋体" w:cs="宋体"/>
          <w:color w:val="auto"/>
          <w:kern w:val="0"/>
        </w:rPr>
        <w:t>个月任意一个月社会保险的凭据；</w:t>
      </w:r>
      <w:r>
        <w:rPr>
          <w:color w:val="auto"/>
        </w:rPr>
        <w:tab/>
      </w:r>
      <w:r>
        <w:rPr>
          <w:color w:val="auto"/>
        </w:rPr>
        <w:fldChar w:fldCharType="begin"/>
      </w:r>
      <w:r>
        <w:rPr>
          <w:color w:val="auto"/>
        </w:rPr>
        <w:instrText xml:space="preserve"> PAGEREF _Toc7593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"_Toc11102" </w:instrText>
      </w:r>
      <w:r>
        <w:rPr>
          <w:color w:val="auto"/>
        </w:rPr>
        <w:fldChar w:fldCharType="separate"/>
      </w:r>
      <w:r>
        <w:rPr>
          <w:rFonts w:ascii="宋体" w:hAnsi="宋体" w:cs="宋体"/>
          <w:color w:val="auto"/>
          <w:kern w:val="0"/>
        </w:rPr>
        <w:t xml:space="preserve">6  </w:t>
      </w:r>
      <w:r>
        <w:rPr>
          <w:rFonts w:hint="eastAsia" w:ascii="宋体" w:hAnsi="宋体" w:cs="宋体"/>
          <w:color w:val="auto"/>
          <w:kern w:val="0"/>
        </w:rPr>
        <w:t>提供税务部门出具的近</w:t>
      </w:r>
      <w:r>
        <w:rPr>
          <w:rFonts w:ascii="宋体" w:hAnsi="宋体" w:cs="宋体"/>
          <w:color w:val="auto"/>
          <w:kern w:val="0"/>
        </w:rPr>
        <w:t>6</w:t>
      </w:r>
      <w:r>
        <w:rPr>
          <w:rFonts w:hint="eastAsia" w:ascii="宋体" w:hAnsi="宋体" w:cs="宋体"/>
          <w:color w:val="auto"/>
          <w:kern w:val="0"/>
        </w:rPr>
        <w:t>个月任意一个月的完税证明；</w:t>
      </w:r>
      <w:r>
        <w:rPr>
          <w:color w:val="auto"/>
        </w:rPr>
        <w:tab/>
      </w:r>
      <w:r>
        <w:rPr>
          <w:color w:val="auto"/>
        </w:rPr>
        <w:fldChar w:fldCharType="begin"/>
      </w:r>
      <w:r>
        <w:rPr>
          <w:color w:val="auto"/>
        </w:rPr>
        <w:instrText xml:space="preserve"> PAGEREF _Toc11102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"_Toc15858" </w:instrText>
      </w:r>
      <w:r>
        <w:rPr>
          <w:color w:val="auto"/>
        </w:rPr>
        <w:fldChar w:fldCharType="separate"/>
      </w:r>
      <w:r>
        <w:rPr>
          <w:rFonts w:hAnsi="宋体"/>
          <w:color w:val="auto"/>
        </w:rPr>
        <w:t xml:space="preserve">7  </w:t>
      </w:r>
      <w:r>
        <w:rPr>
          <w:rFonts w:hint="eastAsia" w:hAnsi="宋体" w:cs="宋体"/>
          <w:color w:val="auto"/>
        </w:rPr>
        <w:t>根据《财政部关于在政府采购活动中查询及使用信用记录有关问题的通知》（财库﹝</w:t>
      </w:r>
      <w:r>
        <w:rPr>
          <w:rFonts w:hAnsi="宋体"/>
          <w:color w:val="auto"/>
        </w:rPr>
        <w:t>2016</w:t>
      </w:r>
      <w:r>
        <w:rPr>
          <w:rFonts w:hint="eastAsia" w:hAnsi="宋体" w:cs="宋体"/>
          <w:color w:val="auto"/>
        </w:rPr>
        <w:t>﹞</w:t>
      </w:r>
      <w:r>
        <w:rPr>
          <w:rFonts w:hAnsi="宋体"/>
          <w:color w:val="auto"/>
        </w:rPr>
        <w:t>125</w:t>
      </w:r>
      <w:r>
        <w:rPr>
          <w:rFonts w:hint="eastAsia" w:hAnsi="宋体" w:cs="宋体"/>
          <w:color w:val="auto"/>
        </w:rPr>
        <w:t>号）的要求，凡拟参加本次招标项目的供应商，如在“信用中国”网站（</w:t>
      </w:r>
      <w:r>
        <w:rPr>
          <w:rFonts w:hAnsi="宋体"/>
          <w:color w:val="auto"/>
        </w:rPr>
        <w:t xml:space="preserve"> www.creditchina.gov.cn</w:t>
      </w:r>
      <w:r>
        <w:rPr>
          <w:rFonts w:hint="eastAsia" w:hAnsi="宋体" w:cs="宋体"/>
          <w:color w:val="auto"/>
        </w:rPr>
        <w:t>）</w:t>
      </w:r>
      <w:r>
        <w:rPr>
          <w:rFonts w:hAnsi="宋体"/>
          <w:color w:val="auto"/>
        </w:rPr>
        <w:t xml:space="preserve"> </w:t>
      </w:r>
      <w:r>
        <w:rPr>
          <w:rFonts w:hint="eastAsia" w:hAnsi="宋体" w:cs="宋体"/>
          <w:color w:val="auto"/>
        </w:rPr>
        <w:t>被列入失信被执行人、重大税收违法案件当事人名单</w:t>
      </w:r>
      <w:r>
        <w:rPr>
          <w:rFonts w:hAnsi="宋体"/>
          <w:color w:val="auto"/>
        </w:rPr>
        <w:t>(</w:t>
      </w:r>
      <w:r>
        <w:rPr>
          <w:rFonts w:hint="eastAsia" w:hAnsi="宋体" w:cs="宋体"/>
          <w:color w:val="auto"/>
        </w:rPr>
        <w:t>信用服务</w:t>
      </w:r>
      <w:r>
        <w:rPr>
          <w:rFonts w:hAnsi="宋体"/>
          <w:color w:val="auto"/>
        </w:rPr>
        <w:t>-</w:t>
      </w:r>
      <w:r>
        <w:rPr>
          <w:rFonts w:hint="eastAsia" w:hAnsi="宋体" w:cs="宋体"/>
          <w:color w:val="auto"/>
        </w:rPr>
        <w:t>失信惩戒对象查询</w:t>
      </w:r>
      <w:r>
        <w:rPr>
          <w:rFonts w:hAnsi="宋体"/>
          <w:color w:val="auto"/>
        </w:rPr>
        <w:t>-</w:t>
      </w:r>
      <w:r>
        <w:rPr>
          <w:rFonts w:hint="eastAsia" w:hAnsi="宋体" w:cs="宋体"/>
          <w:color w:val="auto"/>
        </w:rPr>
        <w:t>搜索栏输入单位全称</w:t>
      </w:r>
      <w:r>
        <w:rPr>
          <w:rFonts w:hAnsi="宋体"/>
          <w:color w:val="auto"/>
        </w:rPr>
        <w:t>-</w:t>
      </w:r>
      <w:r>
        <w:rPr>
          <w:rFonts w:hint="eastAsia" w:hAnsi="宋体" w:cs="宋体"/>
          <w:color w:val="auto"/>
        </w:rPr>
        <w:t>截图</w:t>
      </w:r>
      <w:r>
        <w:rPr>
          <w:rFonts w:hAnsi="宋体"/>
          <w:color w:val="auto"/>
        </w:rPr>
        <w:t>)</w:t>
      </w:r>
      <w:r>
        <w:rPr>
          <w:rFonts w:hint="eastAsia" w:hAnsi="宋体" w:cs="宋体"/>
          <w:color w:val="auto"/>
        </w:rPr>
        <w:t>、中国政府采购网（</w:t>
      </w:r>
      <w:r>
        <w:rPr>
          <w:rFonts w:hAnsi="宋体"/>
          <w:color w:val="auto"/>
        </w:rPr>
        <w:t>http://www.ccgp.gov.cn/search/cr/</w:t>
      </w:r>
      <w:r>
        <w:rPr>
          <w:rFonts w:hint="eastAsia" w:hAnsi="宋体" w:cs="宋体"/>
          <w:color w:val="auto"/>
        </w:rPr>
        <w:t>）严重违法失信行为记录名单的（尚在处罚期内的），“国家企业信用信息公示系统（</w:t>
      </w:r>
      <w:r>
        <w:rPr>
          <w:rFonts w:hAnsi="宋体"/>
          <w:color w:val="auto"/>
        </w:rPr>
        <w:t>http://www.gsxt.gov.cn</w:t>
      </w:r>
      <w:r>
        <w:rPr>
          <w:rFonts w:hint="eastAsia" w:hAnsi="宋体" w:cs="宋体"/>
          <w:color w:val="auto"/>
        </w:rPr>
        <w:t>）”列入经营异常名录信息、列入严重违法失信企业名单（黑名单）信息及企业信用信息公示报告；将拒绝其参加本次招标活动；</w:t>
      </w:r>
      <w:r>
        <w:rPr>
          <w:color w:val="auto"/>
        </w:rPr>
        <w:tab/>
      </w:r>
      <w:r>
        <w:rPr>
          <w:color w:val="auto"/>
        </w:rPr>
        <w:fldChar w:fldCharType="begin"/>
      </w:r>
      <w:r>
        <w:rPr>
          <w:color w:val="auto"/>
        </w:rPr>
        <w:instrText xml:space="preserve"> PAGEREF _Toc15858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"_Toc17677" </w:instrText>
      </w:r>
      <w:r>
        <w:rPr>
          <w:color w:val="auto"/>
        </w:rPr>
        <w:fldChar w:fldCharType="separate"/>
      </w:r>
      <w:r>
        <w:rPr>
          <w:rFonts w:hAnsi="宋体"/>
          <w:color w:val="auto"/>
        </w:rPr>
        <w:t xml:space="preserve">8  </w:t>
      </w:r>
      <w:r>
        <w:rPr>
          <w:rFonts w:hint="eastAsia" w:hAnsi="宋体" w:cs="宋体"/>
          <w:color w:val="auto"/>
        </w:rPr>
        <w:t>参与政府采购活动前</w:t>
      </w:r>
      <w:r>
        <w:rPr>
          <w:rFonts w:hAnsi="宋体"/>
          <w:color w:val="auto"/>
        </w:rPr>
        <w:t>3</w:t>
      </w:r>
      <w:r>
        <w:rPr>
          <w:rFonts w:hint="eastAsia" w:hAnsi="宋体" w:cs="宋体"/>
          <w:color w:val="auto"/>
        </w:rPr>
        <w:t>年内未被列入失信、重大税收违法案件、财政部门禁止参加政府采购活动的承诺书；</w:t>
      </w:r>
      <w:r>
        <w:rPr>
          <w:color w:val="auto"/>
        </w:rPr>
        <w:tab/>
      </w:r>
      <w:r>
        <w:rPr>
          <w:color w:val="auto"/>
        </w:rPr>
        <w:fldChar w:fldCharType="begin"/>
      </w:r>
      <w:r>
        <w:rPr>
          <w:color w:val="auto"/>
        </w:rPr>
        <w:instrText xml:space="preserve"> PAGEREF _Toc17677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"_Toc23917" </w:instrText>
      </w:r>
      <w:r>
        <w:rPr>
          <w:color w:val="auto"/>
        </w:rPr>
        <w:fldChar w:fldCharType="separate"/>
      </w:r>
      <w:r>
        <w:rPr>
          <w:rFonts w:hAnsi="宋体"/>
          <w:color w:val="auto"/>
        </w:rPr>
        <w:t xml:space="preserve">9  </w:t>
      </w:r>
      <w:r>
        <w:rPr>
          <w:rFonts w:hint="eastAsia" w:hAnsi="宋体" w:cs="宋体"/>
          <w:color w:val="auto"/>
        </w:rPr>
        <w:t>提供针对本次项目《反商业贿赂承诺书》</w:t>
      </w:r>
      <w:r>
        <w:rPr>
          <w:color w:val="auto"/>
        </w:rPr>
        <w:tab/>
      </w:r>
      <w:r>
        <w:rPr>
          <w:color w:val="auto"/>
        </w:rPr>
        <w:fldChar w:fldCharType="begin"/>
      </w:r>
      <w:r>
        <w:rPr>
          <w:color w:val="auto"/>
        </w:rPr>
        <w:instrText xml:space="preserve"> PAGEREF _Toc23917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"_Toc3240" </w:instrText>
      </w:r>
      <w:r>
        <w:rPr>
          <w:color w:val="auto"/>
        </w:rPr>
        <w:fldChar w:fldCharType="separate"/>
      </w:r>
      <w:r>
        <w:rPr>
          <w:rFonts w:hAnsi="宋体"/>
          <w:color w:val="auto"/>
        </w:rPr>
        <w:t xml:space="preserve">10 </w:t>
      </w:r>
      <w:r>
        <w:rPr>
          <w:rFonts w:hint="eastAsia" w:hAnsi="宋体" w:cs="宋体"/>
          <w:color w:val="auto"/>
        </w:rPr>
        <w:t>投标保证金银行转账回执单复印件；</w:t>
      </w:r>
      <w:r>
        <w:rPr>
          <w:color w:val="auto"/>
        </w:rPr>
        <w:tab/>
      </w:r>
      <w:r>
        <w:rPr>
          <w:color w:val="auto"/>
        </w:rPr>
        <w:fldChar w:fldCharType="begin"/>
      </w:r>
      <w:r>
        <w:rPr>
          <w:color w:val="auto"/>
        </w:rPr>
        <w:instrText xml:space="preserve"> PAGEREF _Toc3240 \h </w:instrText>
      </w:r>
      <w:r>
        <w:rPr>
          <w:color w:val="auto"/>
        </w:rPr>
        <w:fldChar w:fldCharType="separate"/>
      </w:r>
      <w:r>
        <w:rPr>
          <w:color w:val="auto"/>
        </w:rPr>
        <w:t>22</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"_Toc20886" </w:instrText>
      </w:r>
      <w:r>
        <w:rPr>
          <w:color w:val="auto"/>
        </w:rPr>
        <w:fldChar w:fldCharType="separate"/>
      </w:r>
      <w:r>
        <w:rPr>
          <w:rFonts w:ascii="宋体" w:hAnsi="宋体" w:cs="宋体"/>
          <w:color w:val="auto"/>
          <w:kern w:val="0"/>
        </w:rPr>
        <w:t xml:space="preserve">11  </w:t>
      </w:r>
      <w:r>
        <w:rPr>
          <w:rFonts w:hint="eastAsia" w:ascii="宋体" w:hAnsi="宋体" w:cs="宋体"/>
          <w:color w:val="auto"/>
          <w:kern w:val="0"/>
        </w:rPr>
        <w:t>银行开户许可证复印件或银行基本账户信息</w:t>
      </w:r>
      <w:r>
        <w:rPr>
          <w:rFonts w:ascii="宋体" w:hAnsi="宋体" w:cs="宋体"/>
          <w:color w:val="auto"/>
          <w:kern w:val="0"/>
        </w:rPr>
        <w:t>(</w:t>
      </w:r>
      <w:r>
        <w:rPr>
          <w:rFonts w:hint="eastAsia" w:ascii="宋体" w:hAnsi="宋体" w:cs="宋体"/>
          <w:color w:val="auto"/>
          <w:kern w:val="0"/>
        </w:rPr>
        <w:t>包含：银行账号及开户行名称）；</w:t>
      </w:r>
      <w:r>
        <w:rPr>
          <w:color w:val="auto"/>
        </w:rPr>
        <w:tab/>
      </w:r>
      <w:r>
        <w:rPr>
          <w:color w:val="auto"/>
        </w:rPr>
        <w:fldChar w:fldCharType="begin"/>
      </w:r>
      <w:r>
        <w:rPr>
          <w:color w:val="auto"/>
        </w:rPr>
        <w:instrText xml:space="preserve"> PAGEREF _Toc20886 \h </w:instrText>
      </w:r>
      <w:r>
        <w:rPr>
          <w:color w:val="auto"/>
        </w:rPr>
        <w:fldChar w:fldCharType="separate"/>
      </w:r>
      <w:r>
        <w:rPr>
          <w:color w:val="auto"/>
        </w:rPr>
        <w:t>22</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"_Toc6112" </w:instrText>
      </w:r>
      <w:r>
        <w:rPr>
          <w:color w:val="auto"/>
        </w:rPr>
        <w:fldChar w:fldCharType="separate"/>
      </w:r>
      <w:r>
        <w:rPr>
          <w:rFonts w:ascii="宋体" w:hAnsi="宋体" w:cs="宋体"/>
          <w:color w:val="auto"/>
          <w:kern w:val="0"/>
        </w:rPr>
        <w:t xml:space="preserve">12  </w:t>
      </w:r>
      <w:r>
        <w:rPr>
          <w:rFonts w:hint="eastAsia" w:ascii="宋体" w:hAnsi="宋体" w:cs="宋体"/>
          <w:color w:val="auto"/>
          <w:kern w:val="0"/>
        </w:rPr>
        <w:t>供应商可提供有利于投标的其他资格证明材料。</w:t>
      </w:r>
      <w:r>
        <w:rPr>
          <w:color w:val="auto"/>
        </w:rPr>
        <w:tab/>
      </w:r>
      <w:r>
        <w:rPr>
          <w:color w:val="auto"/>
        </w:rPr>
        <w:fldChar w:fldCharType="begin"/>
      </w:r>
      <w:r>
        <w:rPr>
          <w:color w:val="auto"/>
        </w:rPr>
        <w:instrText xml:space="preserve"> PAGEREF _Toc6112 \h </w:instrText>
      </w:r>
      <w:r>
        <w:rPr>
          <w:color w:val="auto"/>
        </w:rPr>
        <w:fldChar w:fldCharType="separate"/>
      </w:r>
      <w:r>
        <w:rPr>
          <w:color w:val="auto"/>
        </w:rPr>
        <w:t>22</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"_Toc7925" </w:instrText>
      </w:r>
      <w:r>
        <w:rPr>
          <w:color w:val="auto"/>
        </w:rPr>
        <w:fldChar w:fldCharType="separate"/>
      </w:r>
      <w:r>
        <w:rPr>
          <w:rFonts w:hint="eastAsia" w:ascii="宋体" w:hAnsi="宋体" w:cs="宋体"/>
          <w:color w:val="auto"/>
        </w:rPr>
        <w:t>第二部分</w:t>
      </w:r>
      <w:r>
        <w:rPr>
          <w:rFonts w:ascii="宋体" w:hAnsi="宋体" w:cs="宋体"/>
          <w:color w:val="auto"/>
        </w:rPr>
        <w:t xml:space="preserve"> </w:t>
      </w:r>
      <w:r>
        <w:rPr>
          <w:rFonts w:hint="eastAsia" w:ascii="宋体" w:hAnsi="宋体" w:cs="宋体"/>
          <w:color w:val="auto"/>
        </w:rPr>
        <w:t>商务及技术文件</w:t>
      </w:r>
      <w:r>
        <w:rPr>
          <w:color w:val="auto"/>
        </w:rPr>
        <w:tab/>
      </w:r>
      <w:r>
        <w:rPr>
          <w:color w:val="auto"/>
        </w:rPr>
        <w:fldChar w:fldCharType="begin"/>
      </w:r>
      <w:r>
        <w:rPr>
          <w:color w:val="auto"/>
        </w:rPr>
        <w:instrText xml:space="preserve"> PAGEREF _Toc7925 \h </w:instrText>
      </w:r>
      <w:r>
        <w:rPr>
          <w:color w:val="auto"/>
        </w:rPr>
        <w:fldChar w:fldCharType="separate"/>
      </w:r>
      <w:r>
        <w:rPr>
          <w:color w:val="auto"/>
        </w:rPr>
        <w:t>23</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"_Toc28750" </w:instrText>
      </w:r>
      <w:r>
        <w:rPr>
          <w:color w:val="auto"/>
        </w:rPr>
        <w:fldChar w:fldCharType="separate"/>
      </w:r>
      <w:r>
        <w:rPr>
          <w:rFonts w:hAnsi="宋体"/>
          <w:color w:val="auto"/>
        </w:rPr>
        <w:t xml:space="preserve">1   </w:t>
      </w:r>
      <w:r>
        <w:rPr>
          <w:rFonts w:hint="eastAsia" w:hAnsi="宋体" w:cs="宋体"/>
          <w:color w:val="auto"/>
        </w:rPr>
        <w:t>投标书</w:t>
      </w:r>
      <w:r>
        <w:rPr>
          <w:color w:val="auto"/>
        </w:rPr>
        <w:tab/>
      </w:r>
      <w:r>
        <w:rPr>
          <w:color w:val="auto"/>
        </w:rPr>
        <w:fldChar w:fldCharType="begin"/>
      </w:r>
      <w:r>
        <w:rPr>
          <w:color w:val="auto"/>
        </w:rPr>
        <w:instrText xml:space="preserve"> PAGEREF _Toc28750 \h </w:instrText>
      </w:r>
      <w:r>
        <w:rPr>
          <w:color w:val="auto"/>
        </w:rPr>
        <w:fldChar w:fldCharType="separate"/>
      </w:r>
      <w:r>
        <w:rPr>
          <w:color w:val="auto"/>
        </w:rPr>
        <w:t>24</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"_Toc11047" </w:instrText>
      </w:r>
      <w:r>
        <w:rPr>
          <w:color w:val="auto"/>
        </w:rPr>
        <w:fldChar w:fldCharType="separate"/>
      </w:r>
      <w:r>
        <w:rPr>
          <w:rFonts w:ascii="宋体" w:hAnsi="宋体" w:cs="宋体"/>
          <w:color w:val="auto"/>
        </w:rPr>
        <w:t xml:space="preserve">2   </w:t>
      </w:r>
      <w:r>
        <w:rPr>
          <w:rFonts w:hint="eastAsia" w:ascii="宋体" w:hAnsi="宋体" w:cs="宋体"/>
          <w:color w:val="auto"/>
        </w:rPr>
        <w:t>投标分项报价表</w:t>
      </w:r>
      <w:r>
        <w:rPr>
          <w:color w:val="auto"/>
        </w:rPr>
        <w:tab/>
      </w:r>
      <w:r>
        <w:rPr>
          <w:color w:val="auto"/>
        </w:rPr>
        <w:fldChar w:fldCharType="begin"/>
      </w:r>
      <w:r>
        <w:rPr>
          <w:color w:val="auto"/>
        </w:rPr>
        <w:instrText xml:space="preserve"> PAGEREF _Toc11047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"_Toc1502" </w:instrText>
      </w:r>
      <w:r>
        <w:rPr>
          <w:color w:val="auto"/>
        </w:rPr>
        <w:fldChar w:fldCharType="separate"/>
      </w:r>
      <w:r>
        <w:rPr>
          <w:rFonts w:hint="eastAsia" w:ascii="宋体" w:hAnsi="宋体" w:cs="宋体"/>
          <w:color w:val="auto"/>
        </w:rPr>
        <w:t>备品备件设备分项报价表（二）</w:t>
      </w:r>
      <w:r>
        <w:rPr>
          <w:color w:val="auto"/>
        </w:rPr>
        <w:tab/>
      </w:r>
      <w:r>
        <w:rPr>
          <w:color w:val="auto"/>
        </w:rPr>
        <w:fldChar w:fldCharType="begin"/>
      </w:r>
      <w:r>
        <w:rPr>
          <w:color w:val="auto"/>
        </w:rPr>
        <w:instrText xml:space="preserve"> PAGEREF _Toc1502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"_Toc19495" </w:instrText>
      </w:r>
      <w:r>
        <w:rPr>
          <w:color w:val="auto"/>
        </w:rPr>
        <w:fldChar w:fldCharType="separate"/>
      </w:r>
      <w:r>
        <w:rPr>
          <w:rFonts w:ascii="宋体" w:hAnsi="宋体" w:cs="宋体"/>
          <w:color w:val="auto"/>
        </w:rPr>
        <w:t xml:space="preserve">3   </w:t>
      </w:r>
      <w:r>
        <w:rPr>
          <w:rFonts w:hint="eastAsia" w:ascii="宋体" w:hAnsi="宋体" w:cs="宋体"/>
          <w:color w:val="auto"/>
        </w:rPr>
        <w:t>货物说明一览表</w:t>
      </w:r>
      <w:r>
        <w:rPr>
          <w:color w:val="auto"/>
        </w:rPr>
        <w:tab/>
      </w:r>
      <w:r>
        <w:rPr>
          <w:color w:val="auto"/>
        </w:rPr>
        <w:fldChar w:fldCharType="begin"/>
      </w:r>
      <w:r>
        <w:rPr>
          <w:color w:val="auto"/>
        </w:rPr>
        <w:instrText xml:space="preserve"> PAGEREF _Toc19495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"_Toc19822" </w:instrText>
      </w:r>
      <w:r>
        <w:rPr>
          <w:color w:val="auto"/>
        </w:rPr>
        <w:fldChar w:fldCharType="separate"/>
      </w:r>
      <w:r>
        <w:rPr>
          <w:rFonts w:hAnsi="宋体"/>
          <w:color w:val="auto"/>
        </w:rPr>
        <w:t xml:space="preserve">4   </w:t>
      </w:r>
      <w:r>
        <w:rPr>
          <w:rFonts w:hint="eastAsia" w:hAnsi="宋体" w:cs="宋体"/>
          <w:color w:val="auto"/>
        </w:rPr>
        <w:t>技术规格偏离表</w:t>
      </w:r>
      <w:r>
        <w:rPr>
          <w:color w:val="auto"/>
        </w:rPr>
        <w:tab/>
      </w:r>
      <w:r>
        <w:rPr>
          <w:color w:val="auto"/>
        </w:rPr>
        <w:fldChar w:fldCharType="begin"/>
      </w:r>
      <w:r>
        <w:rPr>
          <w:color w:val="auto"/>
        </w:rPr>
        <w:instrText xml:space="preserve"> PAGEREF _Toc19822 \h </w:instrText>
      </w:r>
      <w:r>
        <w:rPr>
          <w:color w:val="auto"/>
        </w:rPr>
        <w:fldChar w:fldCharType="separate"/>
      </w:r>
      <w:r>
        <w:rPr>
          <w:color w:val="auto"/>
        </w:rPr>
        <w:t>28</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"_Toc1763" </w:instrText>
      </w:r>
      <w:r>
        <w:rPr>
          <w:color w:val="auto"/>
        </w:rPr>
        <w:fldChar w:fldCharType="separate"/>
      </w:r>
      <w:r>
        <w:rPr>
          <w:rFonts w:ascii="宋体" w:hAnsi="宋体" w:cs="宋体"/>
          <w:color w:val="auto"/>
        </w:rPr>
        <w:t xml:space="preserve">5   </w:t>
      </w:r>
      <w:r>
        <w:rPr>
          <w:rFonts w:hint="eastAsia" w:ascii="宋体" w:hAnsi="宋体" w:cs="宋体"/>
          <w:color w:val="auto"/>
        </w:rPr>
        <w:t>商务条款偏离表</w:t>
      </w:r>
      <w:r>
        <w:rPr>
          <w:color w:val="auto"/>
        </w:rPr>
        <w:tab/>
      </w:r>
      <w:r>
        <w:rPr>
          <w:color w:val="auto"/>
        </w:rPr>
        <w:fldChar w:fldCharType="begin"/>
      </w:r>
      <w:r>
        <w:rPr>
          <w:color w:val="auto"/>
        </w:rPr>
        <w:instrText xml:space="preserve"> PAGEREF _Toc1763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"_Toc13724" </w:instrText>
      </w:r>
      <w:r>
        <w:rPr>
          <w:color w:val="auto"/>
        </w:rPr>
        <w:fldChar w:fldCharType="separate"/>
      </w:r>
      <w:r>
        <w:rPr>
          <w:rFonts w:ascii="宋体" w:hAnsi="宋体" w:cs="宋体"/>
          <w:color w:val="auto"/>
        </w:rPr>
        <w:t xml:space="preserve">6-1  </w:t>
      </w:r>
      <w:r>
        <w:rPr>
          <w:rFonts w:hint="eastAsia" w:ascii="宋体" w:hAnsi="宋体" w:cs="宋体"/>
          <w:color w:val="auto"/>
        </w:rPr>
        <w:t>中小企业声明函</w:t>
      </w:r>
      <w:r>
        <w:rPr>
          <w:color w:val="auto"/>
        </w:rPr>
        <w:tab/>
      </w:r>
      <w:r>
        <w:rPr>
          <w:color w:val="auto"/>
        </w:rPr>
        <w:fldChar w:fldCharType="begin"/>
      </w:r>
      <w:r>
        <w:rPr>
          <w:color w:val="auto"/>
        </w:rPr>
        <w:instrText xml:space="preserve"> PAGEREF _Toc13724 \h </w:instrText>
      </w:r>
      <w:r>
        <w:rPr>
          <w:color w:val="auto"/>
        </w:rPr>
        <w:fldChar w:fldCharType="separate"/>
      </w:r>
      <w:r>
        <w:rPr>
          <w:color w:val="auto"/>
        </w:rPr>
        <w:t>30</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"_Toc8024" </w:instrText>
      </w:r>
      <w:r>
        <w:rPr>
          <w:color w:val="auto"/>
        </w:rPr>
        <w:fldChar w:fldCharType="separate"/>
      </w:r>
      <w:r>
        <w:rPr>
          <w:rFonts w:ascii="宋体" w:hAnsi="宋体" w:cs="宋体"/>
          <w:color w:val="auto"/>
        </w:rPr>
        <w:t xml:space="preserve">6-2   </w:t>
      </w:r>
      <w:r>
        <w:rPr>
          <w:rFonts w:hint="eastAsia" w:ascii="宋体" w:hAnsi="宋体" w:cs="宋体"/>
          <w:color w:val="auto"/>
        </w:rPr>
        <w:t>残疾人福利性单位声明函</w:t>
      </w:r>
      <w:r>
        <w:rPr>
          <w:color w:val="auto"/>
        </w:rPr>
        <w:tab/>
      </w:r>
      <w:r>
        <w:rPr>
          <w:color w:val="auto"/>
        </w:rPr>
        <w:fldChar w:fldCharType="begin"/>
      </w:r>
      <w:r>
        <w:rPr>
          <w:color w:val="auto"/>
        </w:rPr>
        <w:instrText xml:space="preserve"> PAGEREF _Toc8024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"_Toc10972" </w:instrText>
      </w:r>
      <w:r>
        <w:rPr>
          <w:color w:val="auto"/>
        </w:rPr>
        <w:fldChar w:fldCharType="separate"/>
      </w:r>
      <w:r>
        <w:rPr>
          <w:rFonts w:ascii="宋体" w:hAnsi="宋体" w:cs="宋体"/>
          <w:color w:val="auto"/>
        </w:rPr>
        <w:t xml:space="preserve">7  </w:t>
      </w:r>
      <w:r>
        <w:rPr>
          <w:rFonts w:hint="eastAsia" w:ascii="宋体" w:hAnsi="宋体" w:cs="宋体"/>
          <w:color w:val="auto"/>
        </w:rPr>
        <w:t>供应商关联单位的说明</w:t>
      </w:r>
      <w:r>
        <w:rPr>
          <w:color w:val="auto"/>
        </w:rPr>
        <w:tab/>
      </w:r>
      <w:r>
        <w:rPr>
          <w:color w:val="auto"/>
        </w:rPr>
        <w:fldChar w:fldCharType="begin"/>
      </w:r>
      <w:r>
        <w:rPr>
          <w:color w:val="auto"/>
        </w:rPr>
        <w:instrText xml:space="preserve"> PAGEREF _Toc10972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"_Toc27971" </w:instrText>
      </w:r>
      <w:r>
        <w:rPr>
          <w:color w:val="auto"/>
        </w:rPr>
        <w:fldChar w:fldCharType="separate"/>
      </w:r>
      <w:r>
        <w:rPr>
          <w:rFonts w:ascii="宋体" w:hAnsi="宋体" w:cs="宋体"/>
          <w:color w:val="auto"/>
        </w:rPr>
        <w:t xml:space="preserve">8   </w:t>
      </w:r>
      <w:r>
        <w:rPr>
          <w:rFonts w:hint="eastAsia" w:ascii="宋体" w:hAnsi="宋体" w:cs="宋体"/>
          <w:color w:val="auto"/>
        </w:rPr>
        <w:t>供应商可提供有利于投标的其他资格证明材料</w:t>
      </w:r>
      <w:r>
        <w:rPr>
          <w:color w:val="auto"/>
        </w:rPr>
        <w:tab/>
      </w:r>
      <w:r>
        <w:rPr>
          <w:color w:val="auto"/>
        </w:rPr>
        <w:fldChar w:fldCharType="begin"/>
      </w:r>
      <w:r>
        <w:rPr>
          <w:color w:val="auto"/>
        </w:rPr>
        <w:instrText xml:space="preserve"> PAGEREF _Toc27971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8312"/>
        </w:tabs>
        <w:ind w:left="31680"/>
        <w:rPr>
          <w:color w:val="auto"/>
        </w:rPr>
      </w:pPr>
      <w:r>
        <w:rPr>
          <w:color w:val="auto"/>
        </w:rPr>
        <w:fldChar w:fldCharType="begin"/>
      </w:r>
      <w:r>
        <w:rPr>
          <w:color w:val="auto"/>
        </w:rPr>
        <w:instrText xml:space="preserve"> HYPERLINK \l "_Toc19887" </w:instrText>
      </w:r>
      <w:r>
        <w:rPr>
          <w:color w:val="auto"/>
        </w:rPr>
        <w:fldChar w:fldCharType="separate"/>
      </w:r>
      <w:r>
        <w:rPr>
          <w:rFonts w:ascii="宋体" w:hAnsi="宋体" w:cs="宋体"/>
          <w:color w:val="auto"/>
          <w:kern w:val="0"/>
        </w:rPr>
        <w:t xml:space="preserve">9  </w:t>
      </w:r>
      <w:r>
        <w:rPr>
          <w:rFonts w:hint="eastAsia" w:ascii="宋体" w:hAnsi="宋体" w:cs="宋体"/>
          <w:color w:val="auto"/>
          <w:kern w:val="0"/>
        </w:rPr>
        <w:t>投标文件格式范本</w:t>
      </w:r>
      <w:r>
        <w:rPr>
          <w:color w:val="auto"/>
        </w:rPr>
        <w:tab/>
      </w:r>
      <w:r>
        <w:rPr>
          <w:color w:val="auto"/>
        </w:rPr>
        <w:fldChar w:fldCharType="begin"/>
      </w:r>
      <w:r>
        <w:rPr>
          <w:color w:val="auto"/>
        </w:rPr>
        <w:instrText xml:space="preserve"> PAGEREF _Toc19887 \h </w:instrText>
      </w:r>
      <w:r>
        <w:rPr>
          <w:color w:val="auto"/>
        </w:rPr>
        <w:fldChar w:fldCharType="separate"/>
      </w:r>
      <w:r>
        <w:rPr>
          <w:color w:val="auto"/>
        </w:rPr>
        <w:t>32</w:t>
      </w:r>
      <w:r>
        <w:rPr>
          <w:color w:val="auto"/>
        </w:rPr>
        <w:fldChar w:fldCharType="end"/>
      </w:r>
      <w:r>
        <w:rPr>
          <w:color w:val="auto"/>
        </w:rPr>
        <w:fldChar w:fldCharType="end"/>
      </w:r>
    </w:p>
    <w:p>
      <w:pPr>
        <w:pStyle w:val="15"/>
        <w:tabs>
          <w:tab w:val="right" w:leader="dot" w:pos="8312"/>
        </w:tabs>
        <w:rPr>
          <w:color w:val="auto"/>
        </w:rPr>
      </w:pPr>
      <w:r>
        <w:rPr>
          <w:color w:val="auto"/>
        </w:rPr>
        <w:fldChar w:fldCharType="begin"/>
      </w:r>
      <w:r>
        <w:rPr>
          <w:color w:val="auto"/>
        </w:rPr>
        <w:instrText xml:space="preserve"> HYPERLINK \l "_Toc16209" </w:instrText>
      </w:r>
      <w:r>
        <w:rPr>
          <w:color w:val="auto"/>
        </w:rPr>
        <w:fldChar w:fldCharType="separate"/>
      </w:r>
      <w:r>
        <w:rPr>
          <w:rFonts w:hint="eastAsia" w:hAnsi="宋体" w:cs="宋体"/>
          <w:color w:val="auto"/>
        </w:rPr>
        <w:t>第</w:t>
      </w:r>
      <w:r>
        <w:rPr>
          <w:rFonts w:hAnsi="宋体"/>
          <w:color w:val="auto"/>
        </w:rPr>
        <w:t>3</w:t>
      </w:r>
      <w:r>
        <w:rPr>
          <w:rFonts w:hint="eastAsia" w:hAnsi="宋体" w:cs="宋体"/>
          <w:color w:val="auto"/>
        </w:rPr>
        <w:t>章</w:t>
      </w:r>
      <w:r>
        <w:rPr>
          <w:rFonts w:hAnsi="宋体"/>
          <w:color w:val="auto"/>
        </w:rPr>
        <w:t xml:space="preserve"> </w:t>
      </w:r>
      <w:r>
        <w:rPr>
          <w:rFonts w:hint="eastAsia" w:hAnsi="宋体" w:cs="宋体"/>
          <w:color w:val="auto"/>
        </w:rPr>
        <w:t>投标邀请</w:t>
      </w:r>
      <w:r>
        <w:rPr>
          <w:color w:val="auto"/>
        </w:rPr>
        <w:tab/>
      </w:r>
      <w:r>
        <w:rPr>
          <w:color w:val="auto"/>
        </w:rPr>
        <w:fldChar w:fldCharType="begin"/>
      </w:r>
      <w:r>
        <w:rPr>
          <w:color w:val="auto"/>
        </w:rPr>
        <w:instrText xml:space="preserve"> PAGEREF _Toc16209 \h </w:instrText>
      </w:r>
      <w:r>
        <w:rPr>
          <w:color w:val="auto"/>
        </w:rPr>
        <w:fldChar w:fldCharType="separate"/>
      </w:r>
      <w:r>
        <w:rPr>
          <w:color w:val="auto"/>
        </w:rPr>
        <w:t>34</w:t>
      </w:r>
      <w:r>
        <w:rPr>
          <w:color w:val="auto"/>
        </w:rPr>
        <w:fldChar w:fldCharType="end"/>
      </w:r>
      <w:r>
        <w:rPr>
          <w:color w:val="auto"/>
        </w:rPr>
        <w:fldChar w:fldCharType="end"/>
      </w:r>
    </w:p>
    <w:p>
      <w:pPr>
        <w:pStyle w:val="15"/>
        <w:tabs>
          <w:tab w:val="right" w:leader="dot" w:pos="8312"/>
        </w:tabs>
        <w:rPr>
          <w:color w:val="auto"/>
        </w:rPr>
      </w:pPr>
      <w:r>
        <w:rPr>
          <w:color w:val="auto"/>
        </w:rPr>
        <w:fldChar w:fldCharType="begin"/>
      </w:r>
      <w:r>
        <w:rPr>
          <w:color w:val="auto"/>
        </w:rPr>
        <w:instrText xml:space="preserve"> HYPERLINK \l "_Toc13105" </w:instrText>
      </w:r>
      <w:r>
        <w:rPr>
          <w:color w:val="auto"/>
        </w:rPr>
        <w:fldChar w:fldCharType="separate"/>
      </w:r>
      <w:r>
        <w:rPr>
          <w:rFonts w:hint="eastAsia" w:hAnsi="宋体" w:cs="宋体"/>
          <w:color w:val="auto"/>
        </w:rPr>
        <w:t>第</w:t>
      </w:r>
      <w:r>
        <w:rPr>
          <w:rFonts w:hAnsi="宋体"/>
          <w:color w:val="auto"/>
        </w:rPr>
        <w:t>4</w:t>
      </w:r>
      <w:r>
        <w:rPr>
          <w:rFonts w:hint="eastAsia" w:hAnsi="宋体" w:cs="宋体"/>
          <w:color w:val="auto"/>
        </w:rPr>
        <w:t>章</w:t>
      </w:r>
      <w:r>
        <w:rPr>
          <w:rFonts w:hAnsi="宋体"/>
          <w:color w:val="auto"/>
        </w:rPr>
        <w:t xml:space="preserve"> </w:t>
      </w:r>
      <w:r>
        <w:rPr>
          <w:rFonts w:hint="eastAsia" w:hAnsi="宋体" w:cs="宋体"/>
          <w:color w:val="auto"/>
        </w:rPr>
        <w:t>供应商须知资料表</w:t>
      </w:r>
      <w:r>
        <w:rPr>
          <w:color w:val="auto"/>
        </w:rPr>
        <w:tab/>
      </w:r>
      <w:r>
        <w:rPr>
          <w:color w:val="auto"/>
        </w:rPr>
        <w:fldChar w:fldCharType="begin"/>
      </w:r>
      <w:r>
        <w:rPr>
          <w:color w:val="auto"/>
        </w:rPr>
        <w:instrText xml:space="preserve"> PAGEREF _Toc13105 \h </w:instrText>
      </w:r>
      <w:r>
        <w:rPr>
          <w:color w:val="auto"/>
        </w:rPr>
        <w:fldChar w:fldCharType="separate"/>
      </w:r>
      <w:r>
        <w:rPr>
          <w:color w:val="auto"/>
        </w:rPr>
        <w:t>36</w:t>
      </w:r>
      <w:r>
        <w:rPr>
          <w:color w:val="auto"/>
        </w:rPr>
        <w:fldChar w:fldCharType="end"/>
      </w:r>
      <w:r>
        <w:rPr>
          <w:color w:val="auto"/>
        </w:rPr>
        <w:fldChar w:fldCharType="end"/>
      </w:r>
    </w:p>
    <w:p>
      <w:pPr>
        <w:pStyle w:val="15"/>
        <w:tabs>
          <w:tab w:val="right" w:leader="dot" w:pos="8312"/>
        </w:tabs>
        <w:rPr>
          <w:color w:val="auto"/>
        </w:rPr>
      </w:pPr>
      <w:r>
        <w:rPr>
          <w:color w:val="auto"/>
        </w:rPr>
        <w:fldChar w:fldCharType="begin"/>
      </w:r>
      <w:r>
        <w:rPr>
          <w:color w:val="auto"/>
        </w:rPr>
        <w:instrText xml:space="preserve"> HYPERLINK \l "_Toc14558" </w:instrText>
      </w:r>
      <w:r>
        <w:rPr>
          <w:color w:val="auto"/>
        </w:rPr>
        <w:fldChar w:fldCharType="separate"/>
      </w:r>
      <w:r>
        <w:rPr>
          <w:rFonts w:hint="eastAsia" w:hAnsi="宋体" w:cs="宋体"/>
          <w:color w:val="auto"/>
          <w:kern w:val="44"/>
        </w:rPr>
        <w:t>第</w:t>
      </w:r>
      <w:r>
        <w:rPr>
          <w:rFonts w:hAnsi="宋体"/>
          <w:color w:val="auto"/>
          <w:kern w:val="44"/>
        </w:rPr>
        <w:t>5</w:t>
      </w:r>
      <w:r>
        <w:rPr>
          <w:rFonts w:hint="eastAsia" w:hAnsi="宋体" w:cs="宋体"/>
          <w:color w:val="auto"/>
          <w:kern w:val="44"/>
        </w:rPr>
        <w:t>章</w:t>
      </w:r>
      <w:r>
        <w:rPr>
          <w:rFonts w:hAnsi="宋体"/>
          <w:color w:val="auto"/>
          <w:kern w:val="44"/>
        </w:rPr>
        <w:t xml:space="preserve"> </w:t>
      </w:r>
      <w:r>
        <w:rPr>
          <w:rFonts w:hint="eastAsia" w:hAnsi="宋体" w:cs="宋体"/>
          <w:color w:val="auto"/>
          <w:kern w:val="44"/>
        </w:rPr>
        <w:t>货物需求一览表及技术规格</w:t>
      </w:r>
      <w:r>
        <w:rPr>
          <w:color w:val="auto"/>
        </w:rPr>
        <w:tab/>
      </w:r>
      <w:r>
        <w:rPr>
          <w:color w:val="auto"/>
        </w:rPr>
        <w:fldChar w:fldCharType="begin"/>
      </w:r>
      <w:r>
        <w:rPr>
          <w:color w:val="auto"/>
        </w:rPr>
        <w:instrText xml:space="preserve"> PAGEREF _Toc14558 \h </w:instrText>
      </w:r>
      <w:r>
        <w:rPr>
          <w:color w:val="auto"/>
        </w:rPr>
        <w:fldChar w:fldCharType="separate"/>
      </w:r>
      <w:r>
        <w:rPr>
          <w:color w:val="auto"/>
        </w:rPr>
        <w:t>39</w:t>
      </w:r>
      <w:r>
        <w:rPr>
          <w:color w:val="auto"/>
        </w:rPr>
        <w:fldChar w:fldCharType="end"/>
      </w:r>
      <w:r>
        <w:rPr>
          <w:color w:val="auto"/>
        </w:rPr>
        <w:fldChar w:fldCharType="end"/>
      </w:r>
    </w:p>
    <w:p>
      <w:pPr>
        <w:pStyle w:val="15"/>
        <w:tabs>
          <w:tab w:val="right" w:leader="dot" w:pos="8312"/>
        </w:tabs>
        <w:rPr>
          <w:color w:val="auto"/>
        </w:rPr>
      </w:pPr>
      <w:r>
        <w:rPr>
          <w:color w:val="auto"/>
        </w:rPr>
        <w:fldChar w:fldCharType="begin"/>
      </w:r>
      <w:r>
        <w:rPr>
          <w:color w:val="auto"/>
        </w:rPr>
        <w:instrText xml:space="preserve"> HYPERLINK \l "_Toc20154" </w:instrText>
      </w:r>
      <w:r>
        <w:rPr>
          <w:color w:val="auto"/>
        </w:rPr>
        <w:fldChar w:fldCharType="separate"/>
      </w:r>
      <w:r>
        <w:rPr>
          <w:rFonts w:hint="eastAsia" w:hAnsi="宋体" w:cs="宋体"/>
          <w:color w:val="auto"/>
        </w:rPr>
        <w:t>第</w:t>
      </w:r>
      <w:r>
        <w:rPr>
          <w:rFonts w:hAnsi="宋体"/>
          <w:color w:val="auto"/>
        </w:rPr>
        <w:t>6</w:t>
      </w:r>
      <w:r>
        <w:rPr>
          <w:rFonts w:hint="eastAsia" w:hAnsi="宋体" w:cs="宋体"/>
          <w:color w:val="auto"/>
        </w:rPr>
        <w:t>章</w:t>
      </w:r>
      <w:r>
        <w:rPr>
          <w:rFonts w:hAnsi="宋体"/>
          <w:color w:val="auto"/>
        </w:rPr>
        <w:t xml:space="preserve"> </w:t>
      </w:r>
      <w:r>
        <w:rPr>
          <w:rFonts w:hint="eastAsia" w:hAnsi="宋体" w:cs="宋体"/>
          <w:color w:val="auto"/>
        </w:rPr>
        <w:t>评标方法和标准</w:t>
      </w:r>
      <w:r>
        <w:rPr>
          <w:color w:val="auto"/>
        </w:rPr>
        <w:tab/>
      </w:r>
      <w:r>
        <w:rPr>
          <w:color w:val="auto"/>
        </w:rPr>
        <w:fldChar w:fldCharType="begin"/>
      </w:r>
      <w:r>
        <w:rPr>
          <w:color w:val="auto"/>
        </w:rPr>
        <w:instrText xml:space="preserve"> PAGEREF _Toc20154 \h </w:instrText>
      </w:r>
      <w:r>
        <w:rPr>
          <w:color w:val="auto"/>
        </w:rPr>
        <w:fldChar w:fldCharType="separate"/>
      </w:r>
      <w:r>
        <w:rPr>
          <w:color w:val="auto"/>
        </w:rPr>
        <w:t>201</w:t>
      </w:r>
      <w:r>
        <w:rPr>
          <w:color w:val="auto"/>
        </w:rPr>
        <w:fldChar w:fldCharType="end"/>
      </w:r>
      <w:r>
        <w:rPr>
          <w:color w:val="auto"/>
        </w:rPr>
        <w:fldChar w:fldCharType="end"/>
      </w:r>
    </w:p>
    <w:p>
      <w:pPr>
        <w:pStyle w:val="15"/>
        <w:tabs>
          <w:tab w:val="right" w:leader="dot" w:pos="8312"/>
        </w:tabs>
        <w:rPr>
          <w:color w:val="auto"/>
        </w:rPr>
      </w:pPr>
      <w:r>
        <w:rPr>
          <w:color w:val="auto"/>
        </w:rPr>
        <w:fldChar w:fldCharType="begin"/>
      </w:r>
      <w:r>
        <w:rPr>
          <w:color w:val="auto"/>
        </w:rPr>
        <w:instrText xml:space="preserve"> HYPERLINK \l "_Toc17162" </w:instrText>
      </w:r>
      <w:r>
        <w:rPr>
          <w:color w:val="auto"/>
        </w:rPr>
        <w:fldChar w:fldCharType="separate"/>
      </w:r>
      <w:r>
        <w:rPr>
          <w:rFonts w:hint="eastAsia" w:hAnsi="宋体" w:cs="宋体"/>
          <w:color w:val="auto"/>
        </w:rPr>
        <w:t>第</w:t>
      </w:r>
      <w:r>
        <w:rPr>
          <w:rFonts w:hAnsi="宋体"/>
          <w:color w:val="auto"/>
        </w:rPr>
        <w:t>7</w:t>
      </w:r>
      <w:r>
        <w:rPr>
          <w:rFonts w:hint="eastAsia" w:hAnsi="宋体" w:cs="宋体"/>
          <w:color w:val="auto"/>
        </w:rPr>
        <w:t>章</w:t>
      </w:r>
      <w:r>
        <w:rPr>
          <w:rFonts w:hAnsi="宋体"/>
          <w:color w:val="auto"/>
        </w:rPr>
        <w:t xml:space="preserve"> </w:t>
      </w:r>
      <w:r>
        <w:rPr>
          <w:rFonts w:hint="eastAsia" w:hAnsi="宋体" w:cs="宋体"/>
          <w:color w:val="auto"/>
        </w:rPr>
        <w:t>政府采购合同</w:t>
      </w:r>
      <w:r>
        <w:rPr>
          <w:color w:val="auto"/>
        </w:rPr>
        <w:tab/>
      </w:r>
      <w:r>
        <w:rPr>
          <w:color w:val="auto"/>
        </w:rPr>
        <w:fldChar w:fldCharType="begin"/>
      </w:r>
      <w:r>
        <w:rPr>
          <w:color w:val="auto"/>
        </w:rPr>
        <w:instrText xml:space="preserve"> PAGEREF _Toc17162 \h </w:instrText>
      </w:r>
      <w:r>
        <w:rPr>
          <w:color w:val="auto"/>
        </w:rPr>
        <w:fldChar w:fldCharType="separate"/>
      </w:r>
      <w:r>
        <w:rPr>
          <w:color w:val="auto"/>
        </w:rPr>
        <w:t>210</w:t>
      </w:r>
      <w:r>
        <w:rPr>
          <w:color w:val="auto"/>
        </w:rPr>
        <w:fldChar w:fldCharType="end"/>
      </w:r>
      <w:r>
        <w:rPr>
          <w:color w:val="auto"/>
        </w:rPr>
        <w:fldChar w:fldCharType="end"/>
      </w:r>
    </w:p>
    <w:p>
      <w:pPr>
        <w:pStyle w:val="15"/>
        <w:tabs>
          <w:tab w:val="right" w:leader="dot" w:pos="8312"/>
        </w:tabs>
        <w:rPr>
          <w:color w:val="auto"/>
        </w:rPr>
      </w:pPr>
    </w:p>
    <w:p>
      <w:pPr>
        <w:pStyle w:val="3"/>
        <w:tabs>
          <w:tab w:val="left" w:pos="0"/>
        </w:tabs>
        <w:spacing w:before="0" w:after="0" w:line="240" w:lineRule="atLeast"/>
        <w:jc w:val="both"/>
        <w:rPr>
          <w:rFonts w:hAnsi="宋体" w:cs="Times New Roman"/>
          <w:color w:val="auto"/>
        </w:rPr>
        <w:sectPr>
          <w:headerReference r:id="rId5" w:type="default"/>
          <w:footerReference r:id="rId6" w:type="default"/>
          <w:pgSz w:w="11906" w:h="16838"/>
          <w:pgMar w:top="1440" w:right="1797" w:bottom="1440" w:left="1797" w:header="851" w:footer="992" w:gutter="0"/>
          <w:pgNumType w:start="1"/>
          <w:cols w:space="720" w:num="1"/>
          <w:docGrid w:linePitch="312" w:charSpace="0"/>
        </w:sectPr>
      </w:pPr>
      <w:r>
        <w:rPr>
          <w:rFonts w:hAnsi="宋体"/>
          <w:color w:val="auto"/>
          <w:kern w:val="0"/>
        </w:rPr>
        <w:fldChar w:fldCharType="end"/>
      </w:r>
    </w:p>
    <w:p>
      <w:pPr>
        <w:pStyle w:val="3"/>
        <w:tabs>
          <w:tab w:val="left" w:pos="0"/>
        </w:tabs>
        <w:spacing w:before="0" w:after="0" w:line="240" w:lineRule="atLeast"/>
        <w:rPr>
          <w:rFonts w:hAnsi="宋体" w:cs="Times New Roman"/>
          <w:color w:val="auto"/>
        </w:rPr>
      </w:pPr>
      <w:bookmarkStart w:id="0" w:name="_Toc21371"/>
      <w:r>
        <w:rPr>
          <w:rFonts w:hint="eastAsia" w:hAnsi="宋体"/>
          <w:color w:val="auto"/>
        </w:rPr>
        <w:t>第</w:t>
      </w:r>
      <w:r>
        <w:rPr>
          <w:rFonts w:hAnsi="宋体"/>
          <w:color w:val="auto"/>
        </w:rPr>
        <w:t>1</w:t>
      </w:r>
      <w:r>
        <w:rPr>
          <w:rFonts w:hint="eastAsia" w:hAnsi="宋体"/>
          <w:color w:val="auto"/>
        </w:rPr>
        <w:t>章</w:t>
      </w:r>
      <w:r>
        <w:rPr>
          <w:rFonts w:hAnsi="宋体"/>
          <w:color w:val="auto"/>
        </w:rPr>
        <w:t xml:space="preserve">  </w:t>
      </w:r>
      <w:r>
        <w:rPr>
          <w:rFonts w:hint="eastAsia" w:hAnsi="宋体"/>
          <w:color w:val="auto"/>
        </w:rPr>
        <w:t>供应商须知</w:t>
      </w:r>
      <w:bookmarkEnd w:id="0"/>
    </w:p>
    <w:p>
      <w:pPr>
        <w:pStyle w:val="4"/>
        <w:spacing w:before="0" w:line="240" w:lineRule="atLeast"/>
        <w:ind w:left="1080" w:leftChars="257" w:hanging="540"/>
        <w:rPr>
          <w:rFonts w:ascii="宋体" w:hAnsi="宋体" w:eastAsia="宋体" w:cs="Times New Roman"/>
          <w:color w:val="auto"/>
        </w:rPr>
      </w:pPr>
      <w:bookmarkStart w:id="1" w:name="_Toc520356143"/>
      <w:bookmarkStart w:id="2" w:name="_Toc216582805"/>
      <w:bookmarkStart w:id="3" w:name="_Toc515647757"/>
      <w:bookmarkStart w:id="4" w:name="_Toc21015"/>
      <w:bookmarkStart w:id="5" w:name="_Toc5597"/>
      <w:bookmarkStart w:id="6" w:name="_Toc16706"/>
      <w:bookmarkStart w:id="7" w:name="_Toc8578"/>
      <w:bookmarkStart w:id="8" w:name="_Toc21215"/>
      <w:r>
        <w:rPr>
          <w:rFonts w:hint="eastAsia" w:ascii="宋体" w:hAnsi="宋体" w:eastAsia="宋体" w:cs="宋体"/>
          <w:color w:val="auto"/>
          <w:sz w:val="28"/>
          <w:szCs w:val="28"/>
        </w:rPr>
        <w:t>一</w:t>
      </w:r>
      <w:r>
        <w:rPr>
          <w:rFonts w:ascii="宋体" w:hAnsi="宋体" w:eastAsia="宋体" w:cs="宋体"/>
          <w:color w:val="auto"/>
          <w:sz w:val="28"/>
          <w:szCs w:val="28"/>
        </w:rPr>
        <w:t xml:space="preserve">   </w:t>
      </w:r>
      <w:bookmarkEnd w:id="1"/>
      <w:bookmarkEnd w:id="2"/>
      <w:bookmarkEnd w:id="3"/>
      <w:r>
        <w:rPr>
          <w:rFonts w:hint="eastAsia" w:ascii="宋体" w:hAnsi="宋体" w:eastAsia="宋体" w:cs="宋体"/>
          <w:color w:val="auto"/>
          <w:sz w:val="28"/>
          <w:szCs w:val="28"/>
        </w:rPr>
        <w:t>总</w:t>
      </w:r>
      <w:r>
        <w:rPr>
          <w:rFonts w:ascii="宋体" w:hAnsi="宋体" w:eastAsia="宋体" w:cs="宋体"/>
          <w:color w:val="auto"/>
          <w:sz w:val="28"/>
          <w:szCs w:val="28"/>
        </w:rPr>
        <w:t xml:space="preserve"> </w:t>
      </w:r>
      <w:r>
        <w:rPr>
          <w:rFonts w:hint="eastAsia" w:ascii="宋体" w:hAnsi="宋体" w:eastAsia="宋体" w:cs="宋体"/>
          <w:color w:val="auto"/>
          <w:sz w:val="28"/>
          <w:szCs w:val="28"/>
        </w:rPr>
        <w:t>则</w:t>
      </w:r>
      <w:bookmarkEnd w:id="4"/>
      <w:bookmarkEnd w:id="5"/>
      <w:bookmarkEnd w:id="6"/>
      <w:bookmarkEnd w:id="7"/>
      <w:bookmarkEnd w:id="8"/>
    </w:p>
    <w:p>
      <w:pPr>
        <w:pStyle w:val="5"/>
        <w:spacing w:before="0" w:after="0" w:line="240" w:lineRule="atLeast"/>
        <w:rPr>
          <w:rFonts w:hAnsi="宋体" w:cs="Times New Roman"/>
          <w:color w:val="auto"/>
          <w:sz w:val="21"/>
          <w:szCs w:val="21"/>
          <w:u w:val="none"/>
        </w:rPr>
      </w:pPr>
      <w:bookmarkStart w:id="9" w:name="_Toc520356144"/>
      <w:bookmarkStart w:id="10" w:name="_Toc1120"/>
      <w:bookmarkStart w:id="11" w:name="_Toc32189"/>
      <w:bookmarkStart w:id="12" w:name="_Toc515647758"/>
      <w:bookmarkStart w:id="13" w:name="_Toc32623"/>
      <w:r>
        <w:rPr>
          <w:rFonts w:hAnsi="宋体"/>
          <w:color w:val="auto"/>
          <w:sz w:val="21"/>
          <w:szCs w:val="21"/>
          <w:u w:val="none"/>
        </w:rPr>
        <w:t>1.</w:t>
      </w:r>
      <w:r>
        <w:rPr>
          <w:rFonts w:hint="eastAsia" w:hAnsi="宋体"/>
          <w:color w:val="auto"/>
          <w:sz w:val="21"/>
          <w:szCs w:val="21"/>
          <w:u w:val="none"/>
        </w:rPr>
        <w:t>采购人、采购代理机构及</w:t>
      </w:r>
      <w:bookmarkEnd w:id="9"/>
      <w:bookmarkEnd w:id="10"/>
      <w:bookmarkEnd w:id="11"/>
      <w:bookmarkEnd w:id="12"/>
      <w:bookmarkEnd w:id="13"/>
      <w:r>
        <w:rPr>
          <w:rFonts w:hint="eastAsia" w:hAnsi="宋体"/>
          <w:color w:val="auto"/>
          <w:sz w:val="21"/>
          <w:szCs w:val="21"/>
          <w:u w:val="none"/>
        </w:rPr>
        <w:t>供应商</w:t>
      </w:r>
    </w:p>
    <w:p>
      <w:pPr>
        <w:numPr>
          <w:ilvl w:val="1"/>
          <w:numId w:val="2"/>
        </w:numPr>
        <w:tabs>
          <w:tab w:val="clear" w:pos="900"/>
        </w:tabs>
        <w:spacing w:line="240" w:lineRule="atLeast"/>
        <w:ind w:hanging="898"/>
        <w:rPr>
          <w:rFonts w:ascii="宋体"/>
          <w:color w:val="auto"/>
        </w:rPr>
      </w:pPr>
      <w:r>
        <w:rPr>
          <w:rFonts w:hint="eastAsia" w:ascii="宋体" w:hAnsi="宋体" w:cs="宋体"/>
          <w:color w:val="auto"/>
        </w:rPr>
        <w:t>采购人：是指依法开展政府采购活动的国家机关、事业单位、团体组织。</w:t>
      </w:r>
    </w:p>
    <w:p>
      <w:pPr>
        <w:tabs>
          <w:tab w:val="left" w:pos="0"/>
        </w:tabs>
        <w:spacing w:line="240" w:lineRule="atLeast"/>
        <w:ind w:left="900"/>
        <w:rPr>
          <w:rFonts w:ascii="宋体"/>
          <w:color w:val="auto"/>
        </w:rPr>
      </w:pPr>
      <w:r>
        <w:rPr>
          <w:rFonts w:hint="eastAsia" w:ascii="宋体" w:hAnsi="宋体" w:cs="宋体"/>
          <w:color w:val="auto"/>
        </w:rPr>
        <w:t>本项目的采购人见</w:t>
      </w:r>
      <w:r>
        <w:rPr>
          <w:rFonts w:hint="eastAsia" w:ascii="宋体" w:hAnsi="宋体" w:cs="宋体"/>
          <w:color w:val="auto"/>
          <w:u w:val="single"/>
        </w:rPr>
        <w:t>供应商须知资料表</w:t>
      </w:r>
      <w:r>
        <w:rPr>
          <w:rFonts w:hint="eastAsia" w:ascii="宋体" w:hAnsi="宋体" w:cs="宋体"/>
          <w:color w:val="auto"/>
        </w:rPr>
        <w:t>。</w:t>
      </w:r>
    </w:p>
    <w:p>
      <w:pPr>
        <w:numPr>
          <w:ilvl w:val="1"/>
          <w:numId w:val="2"/>
        </w:numPr>
        <w:tabs>
          <w:tab w:val="clear" w:pos="900"/>
        </w:tabs>
        <w:spacing w:line="240" w:lineRule="atLeast"/>
        <w:ind w:hanging="898"/>
        <w:rPr>
          <w:rFonts w:ascii="宋体"/>
          <w:color w:val="auto"/>
        </w:rPr>
      </w:pPr>
      <w:r>
        <w:rPr>
          <w:rFonts w:hint="eastAsia" w:ascii="宋体" w:hAnsi="宋体" w:cs="宋体"/>
          <w:color w:val="auto"/>
        </w:rPr>
        <w:t>采购代理机构：是指在集中采购机构或从事采购代理业务的社会中介机构。本项目的采购代理机构见</w:t>
      </w:r>
      <w:r>
        <w:rPr>
          <w:rFonts w:hint="eastAsia" w:ascii="宋体" w:hAnsi="宋体" w:cs="宋体"/>
          <w:color w:val="auto"/>
          <w:u w:val="single"/>
        </w:rPr>
        <w:t>供应商须知资料表</w:t>
      </w:r>
      <w:r>
        <w:rPr>
          <w:rFonts w:hint="eastAsia" w:ascii="宋体" w:hAnsi="宋体" w:cs="宋体"/>
          <w:color w:val="auto"/>
        </w:rPr>
        <w:t>。</w:t>
      </w:r>
    </w:p>
    <w:p>
      <w:pPr>
        <w:numPr>
          <w:ilvl w:val="1"/>
          <w:numId w:val="2"/>
        </w:numPr>
        <w:spacing w:line="240" w:lineRule="atLeast"/>
        <w:ind w:left="31680" w:hanging="787" w:hangingChars="375"/>
        <w:rPr>
          <w:rFonts w:ascii="宋体"/>
          <w:color w:val="auto"/>
        </w:rPr>
      </w:pPr>
      <w:r>
        <w:rPr>
          <w:rFonts w:ascii="宋体" w:hAnsi="宋体" w:cs="宋体"/>
          <w:color w:val="auto"/>
        </w:rPr>
        <w:t xml:space="preserve"> </w:t>
      </w:r>
      <w:r>
        <w:rPr>
          <w:rFonts w:hint="eastAsia" w:ascii="宋体" w:hAnsi="宋体" w:cs="宋体"/>
          <w:color w:val="auto"/>
        </w:rPr>
        <w:t>供应商：是指向采购人提供货物、工程或者服务的法人、非法人组织或者自然人。</w:t>
      </w:r>
      <w:r>
        <w:rPr>
          <w:rFonts w:ascii="宋体" w:hAnsi="宋体" w:cs="宋体"/>
          <w:color w:val="auto"/>
        </w:rPr>
        <w:t xml:space="preserve"> </w:t>
      </w:r>
      <w:r>
        <w:rPr>
          <w:rFonts w:hint="eastAsia" w:ascii="宋体" w:hAnsi="宋体" w:cs="宋体"/>
          <w:color w:val="auto"/>
        </w:rPr>
        <w:t>本项目的供应商及其投标货物须满足以下条件：</w:t>
      </w:r>
    </w:p>
    <w:p>
      <w:pPr>
        <w:spacing w:line="240" w:lineRule="atLeast"/>
        <w:ind w:left="31680" w:hanging="743" w:hangingChars="354"/>
        <w:rPr>
          <w:rFonts w:ascii="宋体"/>
          <w:color w:val="auto"/>
        </w:rPr>
      </w:pPr>
      <w:r>
        <w:rPr>
          <w:rFonts w:ascii="宋体" w:hAnsi="宋体" w:cs="宋体"/>
          <w:color w:val="auto"/>
        </w:rPr>
        <w:t>1.3.1</w:t>
      </w:r>
      <w:r>
        <w:rPr>
          <w:rFonts w:ascii="宋体" w:hAnsi="宋体" w:cs="宋体"/>
          <w:color w:val="auto"/>
        </w:rPr>
        <w:tab/>
      </w:r>
      <w:r>
        <w:rPr>
          <w:rFonts w:hint="eastAsia" w:ascii="宋体" w:hAnsi="宋体" w:cs="宋体"/>
          <w:color w:val="auto"/>
        </w:rPr>
        <w:t>在中华人民共和国境内注册，能够独立承担民事责任，有生产或供应能力的本国供应商。</w:t>
      </w:r>
    </w:p>
    <w:p>
      <w:pPr>
        <w:spacing w:line="240" w:lineRule="atLeast"/>
        <w:ind w:left="31680" w:hanging="787" w:hangingChars="375"/>
        <w:rPr>
          <w:rFonts w:ascii="宋体"/>
          <w:color w:val="auto"/>
        </w:rPr>
      </w:pPr>
      <w:r>
        <w:rPr>
          <w:rFonts w:ascii="宋体" w:hAnsi="宋体" w:cs="宋体"/>
          <w:color w:val="auto"/>
        </w:rPr>
        <w:t xml:space="preserve">1.3.2  </w:t>
      </w:r>
      <w:r>
        <w:rPr>
          <w:rFonts w:hint="eastAsia" w:ascii="宋体" w:hAnsi="宋体" w:cs="宋体"/>
          <w:color w:val="auto"/>
        </w:rPr>
        <w:t>具备《中华人民共和国政府采购法》第二十二条关于供应商条件的规定，遵守本项目采购人本级和上级财政部门政府采购的有关规定。</w:t>
      </w:r>
    </w:p>
    <w:p>
      <w:pPr>
        <w:spacing w:line="240" w:lineRule="atLeast"/>
        <w:ind w:left="31680" w:hanging="787" w:hangingChars="375"/>
        <w:rPr>
          <w:rFonts w:ascii="宋体"/>
          <w:color w:val="auto"/>
        </w:rPr>
      </w:pPr>
      <w:r>
        <w:rPr>
          <w:rFonts w:ascii="宋体" w:hAnsi="宋体" w:cs="宋体"/>
          <w:color w:val="auto"/>
        </w:rPr>
        <w:t xml:space="preserve">1.3.3   </w:t>
      </w:r>
      <w:r>
        <w:rPr>
          <w:rFonts w:hint="eastAsia" w:ascii="宋体" w:hAnsi="宋体" w:cs="宋体"/>
          <w:color w:val="auto"/>
        </w:rPr>
        <w:t>以采购代理机构认可的方式获得了本项目的招标文件。</w:t>
      </w:r>
    </w:p>
    <w:p>
      <w:pPr>
        <w:spacing w:line="240" w:lineRule="atLeast"/>
        <w:ind w:left="31680" w:hanging="787" w:hangingChars="375"/>
        <w:rPr>
          <w:rFonts w:ascii="宋体"/>
          <w:color w:val="auto"/>
        </w:rPr>
      </w:pPr>
      <w:r>
        <w:rPr>
          <w:rFonts w:ascii="宋体" w:hAnsi="宋体" w:cs="宋体"/>
          <w:color w:val="auto"/>
        </w:rPr>
        <w:t xml:space="preserve">1.3.4   </w:t>
      </w:r>
      <w:r>
        <w:rPr>
          <w:rFonts w:hint="eastAsia" w:ascii="宋体" w:hAnsi="宋体" w:cs="宋体"/>
          <w:color w:val="auto"/>
        </w:rPr>
        <w:t>符合</w:t>
      </w:r>
      <w:r>
        <w:rPr>
          <w:rFonts w:hint="eastAsia" w:ascii="宋体" w:hAnsi="宋体" w:cs="宋体"/>
          <w:color w:val="auto"/>
          <w:u w:val="single"/>
        </w:rPr>
        <w:t>供应商须知资料表</w:t>
      </w:r>
      <w:r>
        <w:rPr>
          <w:rFonts w:hint="eastAsia" w:ascii="宋体" w:hAnsi="宋体" w:cs="宋体"/>
          <w:color w:val="auto"/>
        </w:rPr>
        <w:t>中规定的其他要求。</w:t>
      </w:r>
    </w:p>
    <w:p>
      <w:pPr>
        <w:spacing w:line="240" w:lineRule="atLeast"/>
        <w:ind w:left="31680" w:hanging="787" w:hangingChars="375"/>
        <w:rPr>
          <w:rFonts w:ascii="宋体"/>
          <w:color w:val="auto"/>
        </w:rPr>
      </w:pPr>
      <w:r>
        <w:rPr>
          <w:rFonts w:ascii="宋体" w:hAnsi="宋体" w:cs="宋体"/>
          <w:color w:val="auto"/>
        </w:rPr>
        <w:t xml:space="preserve">1.3.5   </w:t>
      </w:r>
      <w:r>
        <w:rPr>
          <w:rFonts w:hint="eastAsia" w:ascii="宋体" w:hAnsi="宋体" w:cs="宋体"/>
          <w:color w:val="auto"/>
        </w:rPr>
        <w:t>若</w:t>
      </w:r>
      <w:r>
        <w:rPr>
          <w:rFonts w:hint="eastAsia" w:ascii="宋体" w:hAnsi="宋体" w:cs="宋体"/>
          <w:color w:val="auto"/>
          <w:u w:val="single"/>
        </w:rPr>
        <w:t>供应商须知资料表</w:t>
      </w:r>
      <w:r>
        <w:rPr>
          <w:rFonts w:hint="eastAsia" w:ascii="宋体" w:hAnsi="宋体" w:cs="宋体"/>
          <w:color w:val="auto"/>
        </w:rPr>
        <w:t>中写明允许采购进口产品，供应商应保证所投产品可履行合法报通关手续进入中国关境内。</w:t>
      </w:r>
    </w:p>
    <w:p>
      <w:pPr>
        <w:spacing w:line="240" w:lineRule="atLeast"/>
        <w:ind w:left="899" w:leftChars="428"/>
        <w:rPr>
          <w:rFonts w:ascii="宋体"/>
          <w:color w:val="auto"/>
        </w:rPr>
      </w:pPr>
      <w:r>
        <w:rPr>
          <w:rFonts w:hint="eastAsia" w:ascii="宋体" w:hAnsi="宋体" w:cs="宋体"/>
          <w:color w:val="auto"/>
        </w:rPr>
        <w:t>若</w:t>
      </w:r>
      <w:r>
        <w:rPr>
          <w:rFonts w:hint="eastAsia" w:ascii="宋体" w:hAnsi="宋体" w:cs="宋体"/>
          <w:color w:val="auto"/>
          <w:u w:val="single"/>
        </w:rPr>
        <w:t>供应商须知资料表</w:t>
      </w:r>
      <w:r>
        <w:rPr>
          <w:rFonts w:hint="eastAsia" w:ascii="宋体" w:hAnsi="宋体" w:cs="宋体"/>
          <w:color w:val="auto"/>
        </w:rPr>
        <w:t>中未写明允许采购进口产品，如供应商所投产品为进口产品，其投标将被认定为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35" w:hangingChars="350"/>
        <w:rPr>
          <w:rFonts w:ascii="宋体"/>
          <w:color w:val="auto"/>
        </w:rPr>
      </w:pPr>
      <w:r>
        <w:rPr>
          <w:rFonts w:ascii="宋体" w:hAnsi="宋体" w:cs="宋体"/>
          <w:color w:val="auto"/>
        </w:rPr>
        <w:t xml:space="preserve">1.3.6  </w:t>
      </w:r>
      <w:r>
        <w:rPr>
          <w:rFonts w:hint="eastAsia" w:ascii="宋体" w:hAnsi="宋体" w:cs="宋体"/>
          <w:color w:val="auto"/>
        </w:rPr>
        <w:t>若</w:t>
      </w:r>
      <w:r>
        <w:rPr>
          <w:rFonts w:hint="eastAsia" w:ascii="宋体" w:hAnsi="宋体" w:cs="宋体"/>
          <w:color w:val="auto"/>
          <w:u w:val="single"/>
        </w:rPr>
        <w:t>供应商须知资料表</w:t>
      </w:r>
      <w:r>
        <w:rPr>
          <w:rFonts w:hint="eastAsia" w:ascii="宋体" w:hAnsi="宋体" w:cs="宋体"/>
          <w:color w:val="auto"/>
        </w:rPr>
        <w:t>中写明专门面向中小企业采购的，如供应商为非中小企业且所投产品为非中小企业产品，其投标将被认定为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1.4     </w:t>
      </w:r>
      <w:r>
        <w:rPr>
          <w:rFonts w:hint="eastAsia" w:ascii="宋体" w:hAnsi="宋体" w:cs="宋体"/>
          <w:color w:val="auto"/>
        </w:rPr>
        <w:t>如</w:t>
      </w:r>
      <w:r>
        <w:rPr>
          <w:rFonts w:hint="eastAsia" w:ascii="宋体" w:hAnsi="宋体" w:cs="宋体"/>
          <w:color w:val="auto"/>
          <w:u w:val="single"/>
        </w:rPr>
        <w:t>供应商须知资料表</w:t>
      </w:r>
      <w:r>
        <w:rPr>
          <w:rFonts w:hint="eastAsia" w:ascii="宋体" w:hAnsi="宋体" w:cs="宋体"/>
          <w:color w:val="auto"/>
        </w:rPr>
        <w:t>中允许联合体投标，对联合体规定如下：</w:t>
      </w:r>
    </w:p>
    <w:p>
      <w:pPr>
        <w:spacing w:line="240" w:lineRule="atLeast"/>
        <w:ind w:left="31680" w:hanging="787" w:hangingChars="375"/>
        <w:rPr>
          <w:rFonts w:ascii="宋体"/>
          <w:color w:val="auto"/>
        </w:rPr>
      </w:pPr>
      <w:r>
        <w:rPr>
          <w:rFonts w:ascii="宋体" w:hAnsi="宋体" w:cs="宋体"/>
          <w:color w:val="auto"/>
        </w:rPr>
        <w:t xml:space="preserve">1.4.1   </w:t>
      </w:r>
      <w:r>
        <w:rPr>
          <w:rFonts w:hint="eastAsia" w:ascii="宋体" w:hAnsi="宋体" w:cs="宋体"/>
          <w:color w:val="auto"/>
        </w:rPr>
        <w:t>两个以上供应商可以组成一个投标联合体，以一个供应商的身份投标。</w:t>
      </w:r>
    </w:p>
    <w:p>
      <w:pPr>
        <w:spacing w:line="240" w:lineRule="atLeast"/>
        <w:ind w:left="31680" w:hanging="787" w:hangingChars="375"/>
        <w:rPr>
          <w:rFonts w:ascii="宋体"/>
          <w:color w:val="auto"/>
        </w:rPr>
      </w:pPr>
      <w:r>
        <w:rPr>
          <w:rFonts w:ascii="宋体" w:hAnsi="宋体" w:cs="宋体"/>
          <w:color w:val="auto"/>
        </w:rPr>
        <w:t xml:space="preserve">1.4.2   </w:t>
      </w:r>
      <w:r>
        <w:rPr>
          <w:rFonts w:hint="eastAsia" w:ascii="宋体" w:hAnsi="宋体" w:cs="宋体"/>
          <w:color w:val="auto"/>
        </w:rPr>
        <w:t>联合体各方均应符合《中华人民共和国政府采购法》第二十二条规定的条件。</w:t>
      </w:r>
    </w:p>
    <w:p>
      <w:pPr>
        <w:spacing w:line="240" w:lineRule="atLeast"/>
        <w:ind w:left="31680" w:hanging="787" w:hangingChars="375"/>
        <w:rPr>
          <w:rFonts w:ascii="宋体"/>
          <w:color w:val="auto"/>
        </w:rPr>
      </w:pPr>
      <w:r>
        <w:rPr>
          <w:rFonts w:ascii="宋体" w:hAnsi="宋体" w:cs="宋体"/>
          <w:color w:val="auto"/>
        </w:rPr>
        <w:t xml:space="preserve">1.4.3   </w:t>
      </w:r>
      <w:r>
        <w:rPr>
          <w:rFonts w:hint="eastAsia" w:ascii="宋体" w:hAnsi="宋体" w:cs="宋体"/>
          <w:color w:val="auto"/>
        </w:rPr>
        <w:t>采购人根据采购项目对供应商的特殊要求，联合体中至少应当有一方符合相关规定。</w:t>
      </w:r>
    </w:p>
    <w:p>
      <w:pPr>
        <w:spacing w:line="240" w:lineRule="atLeast"/>
        <w:ind w:left="31680" w:hanging="787" w:hangingChars="375"/>
        <w:rPr>
          <w:rFonts w:ascii="宋体"/>
          <w:color w:val="auto"/>
        </w:rPr>
      </w:pPr>
      <w:r>
        <w:rPr>
          <w:rFonts w:ascii="宋体" w:hAnsi="宋体" w:cs="宋体"/>
          <w:color w:val="auto"/>
        </w:rPr>
        <w:t xml:space="preserve">1.4.4   </w:t>
      </w:r>
      <w:r>
        <w:rPr>
          <w:rFonts w:hint="eastAsia" w:ascii="宋体" w:hAnsi="宋体" w:cs="宋体"/>
          <w:color w:val="auto"/>
        </w:rPr>
        <w:t>联合体各方应签订共同投标协议，明确约定联合体各方承担的工作和相应的责任，并将共同投标协议连同作为投标文件第一部分的内容提交。</w:t>
      </w:r>
    </w:p>
    <w:p>
      <w:pPr>
        <w:spacing w:line="240" w:lineRule="atLeast"/>
        <w:ind w:left="31680" w:hanging="787" w:hangingChars="375"/>
        <w:rPr>
          <w:rFonts w:ascii="宋体"/>
          <w:color w:val="auto"/>
        </w:rPr>
      </w:pPr>
      <w:r>
        <w:rPr>
          <w:rFonts w:ascii="宋体" w:hAnsi="宋体" w:cs="宋体"/>
          <w:color w:val="auto"/>
        </w:rPr>
        <w:t xml:space="preserve">1.4.5   </w:t>
      </w:r>
      <w:r>
        <w:rPr>
          <w:rFonts w:hint="eastAsia" w:ascii="宋体" w:hAnsi="宋体" w:cs="宋体"/>
          <w:color w:val="auto"/>
        </w:rPr>
        <w:t>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31680" w:hanging="787" w:hangingChars="375"/>
        <w:rPr>
          <w:rFonts w:ascii="宋体"/>
          <w:color w:val="auto"/>
        </w:rPr>
      </w:pPr>
      <w:r>
        <w:rPr>
          <w:rFonts w:ascii="宋体" w:hAnsi="宋体" w:cs="宋体"/>
          <w:color w:val="auto"/>
        </w:rPr>
        <w:t xml:space="preserve">1.4.6  </w:t>
      </w:r>
      <w:r>
        <w:rPr>
          <w:rFonts w:hint="eastAsia" w:ascii="宋体" w:hAnsi="宋体" w:cs="宋体"/>
          <w:color w:val="auto"/>
        </w:rPr>
        <w:t>联合体中有同类资质的供应商按照联合体分工承担相同工作的，按照较低的资质等级确定联合体的资质等级。</w:t>
      </w:r>
    </w:p>
    <w:p>
      <w:pPr>
        <w:spacing w:line="240" w:lineRule="atLeast"/>
        <w:ind w:left="31680" w:hanging="787" w:hangingChars="375"/>
        <w:rPr>
          <w:rFonts w:ascii="宋体"/>
          <w:color w:val="auto"/>
        </w:rPr>
      </w:pPr>
      <w:r>
        <w:rPr>
          <w:rFonts w:ascii="宋体" w:hAnsi="宋体" w:cs="宋体"/>
          <w:color w:val="auto"/>
        </w:rPr>
        <w:t xml:space="preserve">1.4.7  </w:t>
      </w:r>
      <w:r>
        <w:rPr>
          <w:rFonts w:hint="eastAsia" w:ascii="宋体" w:hAnsi="宋体" w:cs="宋体"/>
          <w:color w:val="auto"/>
        </w:rPr>
        <w:t>以联合体形式参加政府采购活动的，联合体各方不得再单独参加或者与其他供应商另外组成联合体参加本项目投标，否则相关投标将被认定为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1.4.8   </w:t>
      </w:r>
      <w:r>
        <w:rPr>
          <w:rFonts w:hint="eastAsia" w:ascii="宋体" w:hAnsi="宋体" w:cs="宋体"/>
          <w:color w:val="auto"/>
        </w:rPr>
        <w:t>对联合体投标的其他资格要求见</w:t>
      </w:r>
      <w:r>
        <w:rPr>
          <w:rFonts w:hint="eastAsia" w:ascii="宋体" w:hAnsi="宋体" w:cs="宋体"/>
          <w:color w:val="auto"/>
          <w:u w:val="single"/>
        </w:rPr>
        <w:t>供应商须知资料表</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1.5    </w:t>
      </w:r>
      <w:r>
        <w:rPr>
          <w:rFonts w:hint="eastAsia" w:ascii="宋体" w:hAnsi="宋体" w:cs="宋体"/>
          <w:color w:val="auto"/>
        </w:rPr>
        <w:t>单位负责人为同一人或者存在直接控股、管理关系的不同供应商，其相关投标将被认定为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1.6    </w:t>
      </w:r>
      <w:r>
        <w:rPr>
          <w:rFonts w:hint="eastAsia" w:ascii="宋体" w:hAnsi="宋体" w:cs="宋体"/>
          <w:color w:val="auto"/>
        </w:rPr>
        <w:t>为本项目提供过整体设计、规范编制或者项目管理、监理、检测等服务的供应商，不得再参加本项目上述服务以外的其他采购活动。否则其投标将被认定为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1.7</w:t>
      </w:r>
      <w:r>
        <w:rPr>
          <w:rFonts w:ascii="宋体" w:hAnsi="宋体" w:cs="宋体"/>
          <w:color w:val="auto"/>
        </w:rPr>
        <w:tab/>
      </w:r>
      <w:r>
        <w:rPr>
          <w:rFonts w:hint="eastAsia" w:ascii="宋体" w:hAnsi="宋体" w:cs="宋体"/>
          <w:color w:val="auto"/>
        </w:rPr>
        <w:t>供应商在投标过程中不得向采购人提供、给予任何有价值的物品，影响其正常决策行为。一经发现，其将被认定为</w:t>
      </w:r>
      <w:r>
        <w:rPr>
          <w:rFonts w:hint="eastAsia" w:ascii="宋体" w:hAnsi="宋体" w:cs="宋体"/>
          <w:b/>
          <w:bCs/>
          <w:color w:val="auto"/>
        </w:rPr>
        <w:t>投标无效</w:t>
      </w:r>
      <w:r>
        <w:rPr>
          <w:rFonts w:hint="eastAsia" w:ascii="宋体" w:hAnsi="宋体" w:cs="宋体"/>
          <w:color w:val="auto"/>
        </w:rPr>
        <w:t>。</w:t>
      </w:r>
    </w:p>
    <w:p>
      <w:pPr>
        <w:pStyle w:val="5"/>
        <w:spacing w:before="0" w:after="0" w:line="240" w:lineRule="atLeast"/>
        <w:rPr>
          <w:rFonts w:hAnsi="宋体" w:cs="Times New Roman"/>
          <w:color w:val="auto"/>
          <w:sz w:val="21"/>
          <w:szCs w:val="21"/>
          <w:u w:val="none"/>
        </w:rPr>
      </w:pPr>
      <w:bookmarkStart w:id="14" w:name="_Toc4067"/>
      <w:bookmarkStart w:id="15" w:name="_Toc515647759"/>
      <w:bookmarkStart w:id="16" w:name="_Toc5286"/>
      <w:bookmarkStart w:id="17" w:name="_Toc12139"/>
      <w:r>
        <w:rPr>
          <w:rFonts w:hAnsi="宋体"/>
          <w:color w:val="auto"/>
          <w:sz w:val="21"/>
          <w:szCs w:val="21"/>
          <w:u w:val="none"/>
        </w:rPr>
        <w:t>2.</w:t>
      </w:r>
      <w:r>
        <w:rPr>
          <w:rFonts w:hint="eastAsia" w:hAnsi="宋体"/>
          <w:color w:val="auto"/>
          <w:sz w:val="21"/>
          <w:szCs w:val="21"/>
          <w:u w:val="none"/>
        </w:rPr>
        <w:t>资金来源</w:t>
      </w:r>
      <w:bookmarkEnd w:id="14"/>
      <w:bookmarkEnd w:id="15"/>
      <w:bookmarkEnd w:id="16"/>
      <w:bookmarkEnd w:id="17"/>
    </w:p>
    <w:p>
      <w:pPr>
        <w:spacing w:line="240" w:lineRule="atLeast"/>
        <w:ind w:left="31680" w:hanging="787" w:hangingChars="375"/>
        <w:rPr>
          <w:rFonts w:ascii="宋体"/>
          <w:color w:val="auto"/>
        </w:rPr>
      </w:pPr>
      <w:r>
        <w:rPr>
          <w:rFonts w:ascii="宋体" w:hAnsi="宋体" w:cs="宋体"/>
          <w:color w:val="auto"/>
        </w:rPr>
        <w:t>2.1</w:t>
      </w:r>
      <w:r>
        <w:rPr>
          <w:rFonts w:ascii="宋体" w:hAnsi="宋体" w:cs="宋体"/>
          <w:color w:val="auto"/>
        </w:rPr>
        <w:tab/>
      </w:r>
      <w:r>
        <w:rPr>
          <w:rFonts w:hint="eastAsia" w:ascii="宋体" w:hAnsi="宋体" w:cs="宋体"/>
          <w:color w:val="auto"/>
        </w:rPr>
        <w:t>本项目的采购人已获得足以支付本次招标后所签订的合同项下的资金（包括财政性资金和本项目采购中无法与财政性资金分割的非财政性资金）。</w:t>
      </w:r>
    </w:p>
    <w:p>
      <w:pPr>
        <w:spacing w:line="240" w:lineRule="atLeast"/>
        <w:ind w:left="31680" w:hanging="787" w:hangingChars="375"/>
        <w:rPr>
          <w:rFonts w:ascii="宋体"/>
          <w:color w:val="auto"/>
        </w:rPr>
      </w:pPr>
      <w:r>
        <w:rPr>
          <w:rFonts w:ascii="宋体" w:hAnsi="宋体" w:cs="宋体"/>
          <w:color w:val="auto"/>
        </w:rPr>
        <w:t xml:space="preserve">2.2    </w:t>
      </w:r>
      <w:r>
        <w:rPr>
          <w:rFonts w:hint="eastAsia" w:ascii="宋体" w:hAnsi="宋体" w:cs="宋体"/>
          <w:color w:val="auto"/>
        </w:rPr>
        <w:t>项目预算金额和分项或分包最高限价</w:t>
      </w:r>
      <w:r>
        <w:rPr>
          <w:rFonts w:hint="eastAsia" w:ascii="宋体" w:hAnsi="宋体" w:cs="宋体"/>
          <w:color w:val="auto"/>
          <w:u w:val="single"/>
        </w:rPr>
        <w:t>见供应商须知资料表</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2.3    </w:t>
      </w:r>
      <w:r>
        <w:rPr>
          <w:rFonts w:hint="eastAsia" w:ascii="宋体" w:hAnsi="宋体" w:cs="宋体"/>
          <w:color w:val="auto"/>
        </w:rPr>
        <w:t>供应商报价超过招标文件规定的预算金额或者分项、分包最高限价的，其投标将被认定为</w:t>
      </w:r>
      <w:r>
        <w:rPr>
          <w:rFonts w:hint="eastAsia" w:ascii="宋体" w:hAnsi="宋体" w:cs="宋体"/>
          <w:b/>
          <w:bCs/>
          <w:color w:val="auto"/>
        </w:rPr>
        <w:t>投标无效</w:t>
      </w:r>
      <w:r>
        <w:rPr>
          <w:rFonts w:hint="eastAsia" w:ascii="宋体" w:hAnsi="宋体" w:cs="宋体"/>
          <w:color w:val="auto"/>
        </w:rPr>
        <w:t>。</w:t>
      </w:r>
    </w:p>
    <w:p>
      <w:pPr>
        <w:pStyle w:val="5"/>
        <w:spacing w:before="0" w:after="0" w:line="240" w:lineRule="atLeast"/>
        <w:rPr>
          <w:rFonts w:hAnsi="宋体" w:cs="Times New Roman"/>
          <w:color w:val="auto"/>
          <w:sz w:val="21"/>
          <w:szCs w:val="21"/>
          <w:u w:val="none"/>
        </w:rPr>
      </w:pPr>
      <w:bookmarkStart w:id="18" w:name="_Toc15936"/>
      <w:bookmarkStart w:id="19" w:name="_Toc520356145"/>
      <w:bookmarkStart w:id="20" w:name="_Toc20526"/>
      <w:bookmarkStart w:id="21" w:name="_Toc515647760"/>
      <w:bookmarkStart w:id="22" w:name="_Toc4840"/>
      <w:r>
        <w:rPr>
          <w:rFonts w:hAnsi="宋体"/>
          <w:color w:val="auto"/>
          <w:sz w:val="21"/>
          <w:szCs w:val="21"/>
          <w:u w:val="none"/>
        </w:rPr>
        <w:t>3.</w:t>
      </w:r>
      <w:r>
        <w:rPr>
          <w:rFonts w:hint="eastAsia" w:hAnsi="宋体"/>
          <w:color w:val="auto"/>
          <w:sz w:val="21"/>
          <w:szCs w:val="21"/>
          <w:u w:val="none"/>
        </w:rPr>
        <w:t>投标费用</w:t>
      </w:r>
      <w:bookmarkEnd w:id="18"/>
      <w:bookmarkEnd w:id="19"/>
      <w:bookmarkEnd w:id="20"/>
      <w:bookmarkEnd w:id="21"/>
      <w:bookmarkEnd w:id="22"/>
    </w:p>
    <w:p>
      <w:pPr>
        <w:spacing w:line="240" w:lineRule="atLeast"/>
        <w:ind w:left="31680" w:hanging="787" w:hangingChars="375"/>
        <w:rPr>
          <w:rFonts w:ascii="宋体"/>
          <w:color w:val="auto"/>
        </w:rPr>
      </w:pPr>
      <w:r>
        <w:rPr>
          <w:rFonts w:ascii="宋体"/>
          <w:color w:val="auto"/>
        </w:rPr>
        <w:tab/>
      </w:r>
      <w:r>
        <w:rPr>
          <w:rFonts w:hint="eastAsia" w:ascii="宋体" w:hAnsi="宋体" w:cs="宋体"/>
          <w:color w:val="auto"/>
        </w:rPr>
        <w:t>不论投标的结果如何，供应商应承担所有与准备和参加投标有关的费用。</w:t>
      </w:r>
    </w:p>
    <w:p>
      <w:pPr>
        <w:pStyle w:val="5"/>
        <w:spacing w:before="0" w:after="0" w:line="240" w:lineRule="atLeast"/>
        <w:rPr>
          <w:rFonts w:hAnsi="宋体" w:cs="Times New Roman"/>
          <w:color w:val="auto"/>
          <w:sz w:val="21"/>
          <w:szCs w:val="21"/>
          <w:u w:val="none"/>
        </w:rPr>
      </w:pPr>
      <w:bookmarkStart w:id="23" w:name="_Toc4463"/>
      <w:bookmarkStart w:id="24" w:name="_Toc6116"/>
      <w:bookmarkStart w:id="25" w:name="_Toc22810"/>
      <w:bookmarkStart w:id="26" w:name="_Toc515647761"/>
      <w:r>
        <w:rPr>
          <w:rFonts w:hAnsi="宋体"/>
          <w:color w:val="auto"/>
          <w:sz w:val="21"/>
          <w:szCs w:val="21"/>
          <w:u w:val="none"/>
        </w:rPr>
        <w:t>4.</w:t>
      </w:r>
      <w:r>
        <w:rPr>
          <w:rFonts w:hint="eastAsia" w:hAnsi="宋体"/>
          <w:color w:val="auto"/>
          <w:sz w:val="21"/>
          <w:szCs w:val="21"/>
          <w:u w:val="none"/>
        </w:rPr>
        <w:t>适用法律</w:t>
      </w:r>
      <w:bookmarkEnd w:id="23"/>
      <w:bookmarkEnd w:id="24"/>
      <w:bookmarkEnd w:id="25"/>
      <w:bookmarkEnd w:id="26"/>
    </w:p>
    <w:p>
      <w:pPr>
        <w:spacing w:line="240" w:lineRule="atLeast"/>
        <w:ind w:left="31680" w:hanging="787" w:hangingChars="375"/>
        <w:rPr>
          <w:rFonts w:ascii="宋体"/>
          <w:color w:val="auto"/>
        </w:rPr>
      </w:pPr>
      <w:r>
        <w:rPr>
          <w:rFonts w:ascii="宋体" w:hAnsi="宋体" w:cs="宋体"/>
          <w:color w:val="auto"/>
        </w:rPr>
        <w:t xml:space="preserve">       </w:t>
      </w:r>
      <w:r>
        <w:rPr>
          <w:rFonts w:hint="eastAsia" w:ascii="宋体" w:hAnsi="宋体" w:cs="宋体"/>
          <w:color w:val="auto"/>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pStyle w:val="4"/>
        <w:spacing w:before="0" w:line="240" w:lineRule="atLeast"/>
        <w:ind w:left="1080" w:leftChars="257" w:hanging="540"/>
        <w:rPr>
          <w:rFonts w:ascii="宋体" w:hAnsi="宋体" w:eastAsia="宋体" w:cs="Times New Roman"/>
          <w:color w:val="auto"/>
          <w:sz w:val="21"/>
          <w:szCs w:val="21"/>
        </w:rPr>
      </w:pPr>
      <w:bookmarkStart w:id="27" w:name="_Toc21566"/>
      <w:bookmarkStart w:id="28" w:name="_Toc216582806"/>
      <w:bookmarkStart w:id="29" w:name="_Toc520356146"/>
      <w:bookmarkStart w:id="30" w:name="_Toc6382"/>
      <w:bookmarkStart w:id="31" w:name="_Toc25381"/>
      <w:bookmarkStart w:id="32" w:name="_Toc4365"/>
      <w:bookmarkStart w:id="33" w:name="_Toc515647762"/>
      <w:bookmarkStart w:id="34" w:name="_Toc23227"/>
      <w:r>
        <w:rPr>
          <w:rFonts w:hint="eastAsia" w:ascii="宋体" w:hAnsi="宋体" w:eastAsia="宋体" w:cs="宋体"/>
          <w:color w:val="auto"/>
          <w:sz w:val="21"/>
          <w:szCs w:val="21"/>
        </w:rPr>
        <w:t>二</w:t>
      </w:r>
      <w:r>
        <w:rPr>
          <w:rFonts w:ascii="宋体" w:hAnsi="宋体" w:eastAsia="宋体" w:cs="宋体"/>
          <w:color w:val="auto"/>
          <w:sz w:val="21"/>
          <w:szCs w:val="21"/>
        </w:rPr>
        <w:t xml:space="preserve">   </w:t>
      </w:r>
      <w:r>
        <w:rPr>
          <w:rFonts w:hint="eastAsia" w:ascii="宋体" w:hAnsi="宋体" w:eastAsia="宋体" w:cs="宋体"/>
          <w:color w:val="auto"/>
          <w:sz w:val="21"/>
          <w:szCs w:val="21"/>
        </w:rPr>
        <w:t>招标文件</w:t>
      </w:r>
      <w:bookmarkEnd w:id="27"/>
      <w:bookmarkEnd w:id="28"/>
      <w:bookmarkEnd w:id="29"/>
      <w:bookmarkEnd w:id="30"/>
      <w:bookmarkEnd w:id="31"/>
      <w:bookmarkEnd w:id="32"/>
      <w:bookmarkEnd w:id="33"/>
      <w:bookmarkEnd w:id="34"/>
    </w:p>
    <w:p>
      <w:pPr>
        <w:pStyle w:val="5"/>
        <w:spacing w:before="0" w:after="0" w:line="240" w:lineRule="atLeast"/>
        <w:rPr>
          <w:rFonts w:hAnsi="宋体" w:cs="Times New Roman"/>
          <w:color w:val="auto"/>
          <w:sz w:val="21"/>
          <w:szCs w:val="21"/>
          <w:u w:val="none"/>
        </w:rPr>
      </w:pPr>
      <w:bookmarkStart w:id="35" w:name="_Toc520356147"/>
      <w:bookmarkStart w:id="36" w:name="_Toc25743"/>
      <w:bookmarkStart w:id="37" w:name="_Toc25000"/>
      <w:bookmarkStart w:id="38" w:name="_Toc14084"/>
      <w:bookmarkStart w:id="39" w:name="_Toc515647763"/>
      <w:r>
        <w:rPr>
          <w:rFonts w:hAnsi="宋体"/>
          <w:color w:val="auto"/>
          <w:sz w:val="21"/>
          <w:szCs w:val="21"/>
          <w:u w:val="none"/>
        </w:rPr>
        <w:t>5.</w:t>
      </w:r>
      <w:r>
        <w:rPr>
          <w:rFonts w:hint="eastAsia" w:hAnsi="宋体"/>
          <w:color w:val="auto"/>
          <w:sz w:val="21"/>
          <w:szCs w:val="21"/>
          <w:u w:val="none"/>
        </w:rPr>
        <w:t>招标文件构成</w:t>
      </w:r>
      <w:bookmarkEnd w:id="35"/>
      <w:bookmarkEnd w:id="36"/>
      <w:bookmarkEnd w:id="37"/>
      <w:bookmarkEnd w:id="38"/>
      <w:bookmarkEnd w:id="39"/>
    </w:p>
    <w:p>
      <w:pPr>
        <w:spacing w:line="240" w:lineRule="atLeast"/>
        <w:ind w:left="31680" w:hanging="787" w:hangingChars="375"/>
        <w:rPr>
          <w:rFonts w:ascii="宋体"/>
          <w:color w:val="auto"/>
        </w:rPr>
      </w:pPr>
      <w:r>
        <w:rPr>
          <w:rFonts w:ascii="宋体" w:hAnsi="宋体" w:cs="宋体"/>
          <w:color w:val="auto"/>
        </w:rPr>
        <w:t>5.1</w:t>
      </w:r>
      <w:r>
        <w:rPr>
          <w:rFonts w:ascii="宋体" w:hAnsi="宋体" w:cs="宋体"/>
          <w:color w:val="auto"/>
        </w:rPr>
        <w:tab/>
      </w:r>
      <w:r>
        <w:rPr>
          <w:rFonts w:hint="eastAsia" w:ascii="宋体" w:hAnsi="宋体" w:cs="宋体"/>
          <w:color w:val="auto"/>
        </w:rPr>
        <w:t>招标文件分为三册共</w:t>
      </w:r>
      <w:r>
        <w:rPr>
          <w:rFonts w:ascii="宋体" w:hAnsi="宋体" w:cs="宋体"/>
          <w:color w:val="auto"/>
        </w:rPr>
        <w:t>7</w:t>
      </w:r>
      <w:r>
        <w:rPr>
          <w:rFonts w:hint="eastAsia" w:ascii="宋体" w:hAnsi="宋体" w:cs="宋体"/>
          <w:color w:val="auto"/>
        </w:rPr>
        <w:t>章，内容如下：</w:t>
      </w:r>
    </w:p>
    <w:p>
      <w:pPr>
        <w:spacing w:line="240" w:lineRule="atLeast"/>
        <w:ind w:left="1056" w:leftChars="428" w:hanging="157" w:hangingChars="75"/>
        <w:rPr>
          <w:rFonts w:ascii="宋体"/>
          <w:color w:val="auto"/>
        </w:rPr>
      </w:pPr>
      <w:r>
        <w:rPr>
          <w:rFonts w:hint="eastAsia" w:ascii="宋体" w:hAnsi="宋体" w:cs="宋体"/>
          <w:color w:val="auto"/>
        </w:rPr>
        <w:t>第一册</w:t>
      </w:r>
    </w:p>
    <w:p>
      <w:pPr>
        <w:numPr>
          <w:ilvl w:val="0"/>
          <w:numId w:val="3"/>
        </w:numPr>
        <w:tabs>
          <w:tab w:val="left" w:pos="0"/>
        </w:tabs>
        <w:spacing w:line="240" w:lineRule="atLeast"/>
        <w:ind w:hanging="829"/>
        <w:rPr>
          <w:rFonts w:ascii="宋体"/>
          <w:color w:val="auto"/>
        </w:rPr>
      </w:pPr>
      <w:r>
        <w:rPr>
          <w:rFonts w:ascii="宋体" w:hAnsi="宋体" w:cs="宋体"/>
          <w:color w:val="auto"/>
        </w:rPr>
        <w:t xml:space="preserve"> </w:t>
      </w:r>
      <w:r>
        <w:rPr>
          <w:rFonts w:hint="eastAsia" w:ascii="宋体" w:hAnsi="宋体" w:cs="宋体"/>
          <w:color w:val="auto"/>
        </w:rPr>
        <w:t>供应商须知</w:t>
      </w:r>
    </w:p>
    <w:p>
      <w:pPr>
        <w:numPr>
          <w:ilvl w:val="0"/>
          <w:numId w:val="3"/>
        </w:numPr>
        <w:spacing w:line="240" w:lineRule="atLeast"/>
        <w:ind w:left="1081" w:leftChars="429" w:hanging="180"/>
        <w:rPr>
          <w:rFonts w:ascii="宋体"/>
          <w:color w:val="auto"/>
        </w:rPr>
      </w:pPr>
      <w:r>
        <w:rPr>
          <w:rFonts w:ascii="宋体" w:hAnsi="宋体" w:cs="宋体"/>
          <w:color w:val="auto"/>
        </w:rPr>
        <w:t xml:space="preserve"> </w:t>
      </w:r>
      <w:r>
        <w:rPr>
          <w:rFonts w:hint="eastAsia" w:ascii="宋体" w:hAnsi="宋体" w:cs="宋体"/>
          <w:color w:val="auto"/>
        </w:rPr>
        <w:t>投标文件格式</w:t>
      </w:r>
    </w:p>
    <w:p>
      <w:pPr>
        <w:spacing w:line="240" w:lineRule="atLeast"/>
        <w:ind w:left="1081" w:leftChars="429" w:hanging="180"/>
        <w:rPr>
          <w:rFonts w:ascii="宋体"/>
          <w:color w:val="auto"/>
        </w:rPr>
      </w:pPr>
      <w:r>
        <w:rPr>
          <w:rFonts w:hint="eastAsia" w:ascii="宋体" w:hAnsi="宋体" w:cs="宋体"/>
          <w:color w:val="auto"/>
        </w:rPr>
        <w:t>第二册</w:t>
      </w:r>
    </w:p>
    <w:p>
      <w:pPr>
        <w:numPr>
          <w:ilvl w:val="0"/>
          <w:numId w:val="3"/>
        </w:numPr>
        <w:spacing w:line="240" w:lineRule="atLeast"/>
        <w:ind w:left="1081" w:leftChars="429" w:hanging="180"/>
        <w:rPr>
          <w:rFonts w:ascii="宋体"/>
          <w:color w:val="auto"/>
        </w:rPr>
      </w:pPr>
      <w:r>
        <w:rPr>
          <w:rFonts w:ascii="宋体" w:hAnsi="宋体" w:cs="宋体"/>
          <w:color w:val="auto"/>
        </w:rPr>
        <w:t xml:space="preserve"> </w:t>
      </w:r>
      <w:r>
        <w:rPr>
          <w:rFonts w:hint="eastAsia" w:ascii="宋体" w:hAnsi="宋体" w:cs="宋体"/>
          <w:color w:val="auto"/>
        </w:rPr>
        <w:t>投标邀请</w:t>
      </w:r>
    </w:p>
    <w:p>
      <w:pPr>
        <w:numPr>
          <w:ilvl w:val="0"/>
          <w:numId w:val="3"/>
        </w:numPr>
        <w:spacing w:line="240" w:lineRule="atLeast"/>
        <w:ind w:left="1081" w:leftChars="429" w:hanging="180"/>
        <w:rPr>
          <w:rFonts w:ascii="宋体"/>
          <w:color w:val="auto"/>
        </w:rPr>
      </w:pPr>
      <w:r>
        <w:rPr>
          <w:rFonts w:ascii="宋体" w:hAnsi="宋体" w:cs="宋体"/>
          <w:color w:val="auto"/>
        </w:rPr>
        <w:t xml:space="preserve"> </w:t>
      </w:r>
      <w:r>
        <w:rPr>
          <w:rFonts w:hint="eastAsia" w:ascii="宋体" w:hAnsi="宋体" w:cs="宋体"/>
          <w:color w:val="auto"/>
        </w:rPr>
        <w:t>供应商须知资料表</w:t>
      </w:r>
    </w:p>
    <w:p>
      <w:pPr>
        <w:numPr>
          <w:ilvl w:val="0"/>
          <w:numId w:val="3"/>
        </w:numPr>
        <w:spacing w:line="240" w:lineRule="atLeast"/>
        <w:ind w:left="1081" w:leftChars="429" w:hanging="180"/>
        <w:rPr>
          <w:rFonts w:ascii="宋体"/>
          <w:color w:val="auto"/>
        </w:rPr>
      </w:pPr>
      <w:r>
        <w:rPr>
          <w:rFonts w:ascii="宋体" w:hAnsi="宋体" w:cs="宋体"/>
          <w:color w:val="auto"/>
        </w:rPr>
        <w:t xml:space="preserve"> </w:t>
      </w:r>
      <w:r>
        <w:rPr>
          <w:rFonts w:hint="eastAsia" w:ascii="宋体" w:hAnsi="宋体" w:cs="宋体"/>
          <w:color w:val="auto"/>
        </w:rPr>
        <w:t>货物需求一览表及技术规格</w:t>
      </w:r>
    </w:p>
    <w:p>
      <w:pPr>
        <w:numPr>
          <w:ilvl w:val="0"/>
          <w:numId w:val="3"/>
        </w:numPr>
        <w:spacing w:line="240" w:lineRule="atLeast"/>
        <w:ind w:left="1081" w:leftChars="429" w:hanging="180"/>
        <w:rPr>
          <w:rFonts w:ascii="宋体"/>
          <w:color w:val="auto"/>
        </w:rPr>
      </w:pPr>
      <w:r>
        <w:rPr>
          <w:rFonts w:ascii="宋体" w:hAnsi="宋体" w:cs="宋体"/>
          <w:color w:val="auto"/>
        </w:rPr>
        <w:t xml:space="preserve"> </w:t>
      </w:r>
      <w:r>
        <w:rPr>
          <w:rFonts w:hint="eastAsia" w:ascii="宋体" w:hAnsi="宋体" w:cs="宋体"/>
          <w:color w:val="auto"/>
        </w:rPr>
        <w:t>评标方法和标准</w:t>
      </w:r>
    </w:p>
    <w:p>
      <w:pPr>
        <w:spacing w:line="240" w:lineRule="atLeast"/>
        <w:ind w:left="901"/>
        <w:rPr>
          <w:rFonts w:ascii="宋体"/>
          <w:color w:val="auto"/>
        </w:rPr>
      </w:pPr>
      <w:r>
        <w:rPr>
          <w:rFonts w:hint="eastAsia" w:ascii="宋体" w:hAnsi="宋体" w:cs="宋体"/>
          <w:color w:val="auto"/>
        </w:rPr>
        <w:t>第三册</w:t>
      </w:r>
    </w:p>
    <w:p>
      <w:pPr>
        <w:numPr>
          <w:ilvl w:val="0"/>
          <w:numId w:val="3"/>
        </w:numPr>
        <w:spacing w:line="240" w:lineRule="atLeast"/>
        <w:ind w:left="718" w:leftChars="342" w:firstLine="210" w:firstLineChars="100"/>
        <w:rPr>
          <w:rFonts w:ascii="宋体"/>
          <w:color w:val="auto"/>
        </w:rPr>
      </w:pPr>
      <w:r>
        <w:rPr>
          <w:rFonts w:hint="eastAsia" w:ascii="宋体" w:hAnsi="宋体" w:cs="宋体"/>
          <w:color w:val="auto"/>
        </w:rPr>
        <w:t>政府采购合同格式</w:t>
      </w:r>
    </w:p>
    <w:p>
      <w:pPr>
        <w:spacing w:line="240" w:lineRule="atLeast"/>
        <w:ind w:left="31680" w:hanging="787" w:hangingChars="375"/>
        <w:rPr>
          <w:rFonts w:ascii="宋体"/>
          <w:color w:val="auto"/>
        </w:rPr>
      </w:pPr>
      <w:r>
        <w:rPr>
          <w:rFonts w:ascii="宋体" w:hAnsi="宋体" w:cs="宋体"/>
          <w:color w:val="auto"/>
        </w:rPr>
        <w:t>5.2</w:t>
      </w:r>
      <w:r>
        <w:rPr>
          <w:rFonts w:ascii="宋体" w:hAnsi="宋体" w:cs="宋体"/>
          <w:color w:val="auto"/>
        </w:rPr>
        <w:tab/>
      </w:r>
      <w:r>
        <w:rPr>
          <w:rFonts w:hint="eastAsia" w:ascii="宋体" w:hAnsi="宋体" w:cs="宋体"/>
          <w:color w:val="auto"/>
        </w:rPr>
        <w:t>如本文件的前后内容不一致，以最后描述为准。</w:t>
      </w:r>
    </w:p>
    <w:p>
      <w:pPr>
        <w:spacing w:line="240" w:lineRule="atLeast"/>
        <w:ind w:left="31680" w:hanging="787" w:hangingChars="375"/>
        <w:rPr>
          <w:rFonts w:ascii="宋体"/>
          <w:color w:val="auto"/>
        </w:rPr>
      </w:pPr>
      <w:r>
        <w:rPr>
          <w:rFonts w:ascii="宋体" w:hAnsi="宋体" w:cs="宋体"/>
          <w:color w:val="auto"/>
        </w:rPr>
        <w:t xml:space="preserve">5.3    </w:t>
      </w:r>
      <w:r>
        <w:rPr>
          <w:rFonts w:hint="eastAsia" w:ascii="宋体" w:hAnsi="宋体" w:cs="宋体"/>
          <w:color w:val="auto"/>
        </w:rPr>
        <w:t>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宋体" w:hAnsi="宋体" w:cs="宋体"/>
          <w:b/>
          <w:bCs/>
          <w:color w:val="auto"/>
        </w:rPr>
        <w:t>投标无效</w:t>
      </w:r>
      <w:r>
        <w:rPr>
          <w:rFonts w:hint="eastAsia" w:ascii="宋体" w:hAnsi="宋体" w:cs="宋体"/>
          <w:color w:val="auto"/>
        </w:rPr>
        <w:t>。</w:t>
      </w:r>
    </w:p>
    <w:p>
      <w:pPr>
        <w:pStyle w:val="5"/>
        <w:spacing w:before="0" w:after="0" w:line="240" w:lineRule="atLeast"/>
        <w:rPr>
          <w:rFonts w:hAnsi="宋体" w:cs="Times New Roman"/>
          <w:color w:val="auto"/>
          <w:sz w:val="21"/>
          <w:szCs w:val="21"/>
          <w:u w:val="none"/>
        </w:rPr>
      </w:pPr>
      <w:bookmarkStart w:id="40" w:name="_Toc520356148"/>
      <w:bookmarkStart w:id="41" w:name="_Toc515904805"/>
      <w:bookmarkStart w:id="42" w:name="_Toc28810"/>
      <w:bookmarkStart w:id="43" w:name="_Toc26044"/>
      <w:bookmarkStart w:id="44" w:name="_Toc9232"/>
      <w:r>
        <w:rPr>
          <w:rFonts w:hAnsi="宋体"/>
          <w:color w:val="auto"/>
          <w:sz w:val="21"/>
          <w:szCs w:val="21"/>
          <w:u w:val="none"/>
        </w:rPr>
        <w:t>6.</w:t>
      </w:r>
      <w:r>
        <w:rPr>
          <w:rFonts w:hint="eastAsia" w:hAnsi="宋体"/>
          <w:color w:val="auto"/>
          <w:sz w:val="21"/>
          <w:szCs w:val="21"/>
          <w:u w:val="none"/>
        </w:rPr>
        <w:t>招标文件的澄清</w:t>
      </w:r>
      <w:bookmarkEnd w:id="40"/>
      <w:bookmarkEnd w:id="41"/>
      <w:r>
        <w:rPr>
          <w:rFonts w:hint="eastAsia" w:hAnsi="宋体"/>
          <w:color w:val="auto"/>
          <w:sz w:val="21"/>
          <w:szCs w:val="21"/>
          <w:u w:val="none"/>
        </w:rPr>
        <w:t>与修改</w:t>
      </w:r>
      <w:bookmarkEnd w:id="42"/>
      <w:bookmarkEnd w:id="43"/>
      <w:bookmarkEnd w:id="44"/>
    </w:p>
    <w:p>
      <w:pPr>
        <w:pStyle w:val="2"/>
        <w:ind w:left="31680" w:hanging="735" w:hangingChars="350"/>
        <w:rPr>
          <w:rFonts w:hAnsi="宋体" w:cs="Times New Roman"/>
          <w:color w:val="auto"/>
          <w:sz w:val="21"/>
          <w:szCs w:val="21"/>
        </w:rPr>
      </w:pPr>
      <w:r>
        <w:rPr>
          <w:rFonts w:hAnsi="宋体"/>
          <w:color w:val="auto"/>
          <w:sz w:val="21"/>
          <w:szCs w:val="21"/>
        </w:rPr>
        <w:t xml:space="preserve">6.1    </w:t>
      </w:r>
      <w:r>
        <w:rPr>
          <w:rFonts w:hint="eastAsia" w:hAnsi="宋体"/>
          <w:color w:val="auto"/>
          <w:sz w:val="21"/>
          <w:szCs w:val="21"/>
        </w:rPr>
        <w:t>为了保证对招标文件的澄清和修改满足法律的时限要求，任何要求对招标文件进行澄清的供应商，均应在投标截止期十五日前，以书面形式将澄清要求通知采购人或采购代理机构。</w:t>
      </w:r>
    </w:p>
    <w:p>
      <w:pPr>
        <w:pStyle w:val="2"/>
        <w:ind w:left="31680" w:hanging="735" w:hangingChars="350"/>
        <w:rPr>
          <w:rFonts w:hAnsi="宋体" w:cs="Times New Roman"/>
          <w:color w:val="auto"/>
          <w:sz w:val="21"/>
          <w:szCs w:val="21"/>
        </w:rPr>
      </w:pPr>
      <w:bookmarkStart w:id="45" w:name="_Toc515904806"/>
      <w:bookmarkStart w:id="46" w:name="_Toc520356149"/>
      <w:bookmarkStart w:id="47" w:name="_Ref467378678"/>
      <w:r>
        <w:rPr>
          <w:rFonts w:hAnsi="宋体"/>
          <w:color w:val="auto"/>
          <w:sz w:val="21"/>
          <w:szCs w:val="21"/>
        </w:rPr>
        <w:t>6.2</w:t>
      </w:r>
      <w:r>
        <w:rPr>
          <w:rFonts w:hAnsi="宋体"/>
          <w:color w:val="auto"/>
          <w:sz w:val="21"/>
          <w:szCs w:val="21"/>
        </w:rPr>
        <w:tab/>
      </w:r>
      <w:r>
        <w:rPr>
          <w:rFonts w:hint="eastAsia" w:hAnsi="宋体"/>
          <w:color w:val="auto"/>
          <w:sz w:val="21"/>
          <w:szCs w:val="21"/>
        </w:rPr>
        <w:t>采购人可主动地或在解答供应商提出的澄清问题时对招标文件进行澄清或修改。采购代理机构将以发布澄清（更正）公告的方式，澄清或修改招标文件，澄清或修改内容作为招标文件的组成部分。</w:t>
      </w:r>
    </w:p>
    <w:p>
      <w:pPr>
        <w:pStyle w:val="2"/>
        <w:ind w:left="31680" w:hanging="735" w:hangingChars="350"/>
        <w:rPr>
          <w:rFonts w:hAnsi="宋体" w:cs="Times New Roman"/>
          <w:color w:val="auto"/>
          <w:sz w:val="21"/>
          <w:szCs w:val="21"/>
        </w:rPr>
      </w:pPr>
      <w:r>
        <w:rPr>
          <w:rFonts w:hAnsi="宋体"/>
          <w:color w:val="auto"/>
          <w:sz w:val="21"/>
          <w:szCs w:val="21"/>
        </w:rPr>
        <w:t>6.3</w:t>
      </w:r>
      <w:r>
        <w:rPr>
          <w:rFonts w:hAnsi="宋体"/>
          <w:color w:val="auto"/>
          <w:sz w:val="21"/>
          <w:szCs w:val="21"/>
        </w:rPr>
        <w:tab/>
      </w:r>
      <w:r>
        <w:rPr>
          <w:rFonts w:hint="eastAsia" w:hAnsi="宋体"/>
          <w:color w:val="auto"/>
          <w:sz w:val="21"/>
          <w:szCs w:val="21"/>
        </w:rPr>
        <w:t>澄清或者修改的内容可能影响投标文件编制的，采购代理机构将以书面形式通知所有购买招标文件的潜在供应商，并对其具有约束力。供应商在收到上述通知后，应及时向采购代理机构回函确认。</w:t>
      </w:r>
    </w:p>
    <w:p>
      <w:pPr>
        <w:pStyle w:val="5"/>
        <w:tabs>
          <w:tab w:val="left" w:pos="900"/>
        </w:tabs>
        <w:spacing w:before="0" w:after="0" w:line="240" w:lineRule="atLeast"/>
        <w:rPr>
          <w:rFonts w:hAnsi="宋体" w:cs="Times New Roman"/>
          <w:color w:val="auto"/>
          <w:sz w:val="21"/>
          <w:szCs w:val="21"/>
          <w:u w:val="none"/>
        </w:rPr>
      </w:pPr>
      <w:bookmarkStart w:id="48" w:name="_Toc25635"/>
      <w:bookmarkStart w:id="49" w:name="_Toc14569"/>
      <w:bookmarkStart w:id="50" w:name="_Toc17311"/>
      <w:r>
        <w:rPr>
          <w:rFonts w:hAnsi="宋体"/>
          <w:color w:val="auto"/>
          <w:sz w:val="21"/>
          <w:szCs w:val="21"/>
          <w:u w:val="none"/>
        </w:rPr>
        <w:t>7</w:t>
      </w:r>
      <w:bookmarkEnd w:id="45"/>
      <w:bookmarkEnd w:id="46"/>
      <w:bookmarkEnd w:id="47"/>
      <w:r>
        <w:rPr>
          <w:rFonts w:hAnsi="宋体"/>
          <w:color w:val="auto"/>
          <w:sz w:val="21"/>
          <w:szCs w:val="21"/>
          <w:u w:val="none"/>
        </w:rPr>
        <w:t>.</w:t>
      </w:r>
      <w:r>
        <w:rPr>
          <w:rFonts w:hint="eastAsia" w:hAnsi="宋体"/>
          <w:color w:val="auto"/>
          <w:sz w:val="21"/>
          <w:szCs w:val="21"/>
          <w:u w:val="none"/>
        </w:rPr>
        <w:t>投标截止时间的顺延</w:t>
      </w:r>
      <w:bookmarkEnd w:id="48"/>
      <w:bookmarkEnd w:id="49"/>
      <w:bookmarkEnd w:id="50"/>
    </w:p>
    <w:p>
      <w:pPr>
        <w:spacing w:line="240" w:lineRule="atLeast"/>
        <w:ind w:left="31680" w:hanging="787" w:hangingChars="375"/>
        <w:rPr>
          <w:rFonts w:ascii="宋体"/>
          <w:color w:val="auto"/>
        </w:rPr>
      </w:pPr>
      <w:r>
        <w:rPr>
          <w:rFonts w:ascii="宋体"/>
          <w:color w:val="auto"/>
        </w:rPr>
        <w:tab/>
      </w:r>
      <w:r>
        <w:rPr>
          <w:rFonts w:hint="eastAsia" w:ascii="宋体" w:hAnsi="宋体" w:cs="宋体"/>
          <w:color w:val="auto"/>
        </w:rPr>
        <w:t>为使供应商准备投标时有足够的时间对招标文件的澄清或者修改部分进行研究，采购人将依法决定是否顺延投标截止时间。</w:t>
      </w:r>
    </w:p>
    <w:p>
      <w:pPr>
        <w:pStyle w:val="4"/>
        <w:tabs>
          <w:tab w:val="left" w:pos="900"/>
        </w:tabs>
        <w:spacing w:before="0" w:line="240" w:lineRule="atLeast"/>
        <w:ind w:left="1080" w:leftChars="257" w:hanging="540"/>
        <w:rPr>
          <w:rFonts w:ascii="宋体" w:hAnsi="宋体" w:eastAsia="宋体" w:cs="Times New Roman"/>
          <w:color w:val="auto"/>
          <w:sz w:val="21"/>
          <w:szCs w:val="21"/>
        </w:rPr>
      </w:pPr>
      <w:bookmarkStart w:id="51" w:name="_Toc516367020"/>
      <w:bookmarkStart w:id="52" w:name="_Toc7636"/>
      <w:bookmarkStart w:id="53" w:name="_Toc7957"/>
      <w:bookmarkStart w:id="54" w:name="_Toc23138"/>
      <w:bookmarkStart w:id="55" w:name="_Toc515647766"/>
      <w:bookmarkStart w:id="56" w:name="_Toc20381"/>
      <w:bookmarkStart w:id="57" w:name="_Toc216582807"/>
      <w:bookmarkStart w:id="58" w:name="_Toc520356150"/>
      <w:bookmarkStart w:id="59" w:name="_Toc30808"/>
      <w:r>
        <w:rPr>
          <w:rFonts w:hint="eastAsia" w:ascii="宋体" w:hAnsi="宋体" w:eastAsia="宋体" w:cs="宋体"/>
          <w:color w:val="auto"/>
          <w:sz w:val="21"/>
          <w:szCs w:val="21"/>
        </w:rPr>
        <w:t>三</w:t>
      </w:r>
      <w:r>
        <w:rPr>
          <w:rFonts w:ascii="宋体" w:hAnsi="宋体" w:eastAsia="宋体" w:cs="宋体"/>
          <w:color w:val="auto"/>
          <w:sz w:val="21"/>
          <w:szCs w:val="21"/>
        </w:rPr>
        <w:t xml:space="preserve">   </w:t>
      </w:r>
      <w:r>
        <w:rPr>
          <w:rFonts w:hint="eastAsia" w:ascii="宋体" w:hAnsi="宋体" w:eastAsia="宋体" w:cs="宋体"/>
          <w:color w:val="auto"/>
          <w:sz w:val="21"/>
          <w:szCs w:val="21"/>
        </w:rPr>
        <w:t>投标文件</w:t>
      </w:r>
      <w:bookmarkEnd w:id="51"/>
      <w:r>
        <w:rPr>
          <w:rFonts w:hint="eastAsia" w:ascii="宋体" w:hAnsi="宋体" w:eastAsia="宋体" w:cs="宋体"/>
          <w:color w:val="auto"/>
          <w:sz w:val="21"/>
          <w:szCs w:val="21"/>
        </w:rPr>
        <w:t>的编制</w:t>
      </w:r>
      <w:bookmarkEnd w:id="52"/>
      <w:bookmarkEnd w:id="53"/>
      <w:bookmarkEnd w:id="54"/>
      <w:bookmarkEnd w:id="55"/>
      <w:bookmarkEnd w:id="56"/>
      <w:bookmarkEnd w:id="57"/>
      <w:bookmarkEnd w:id="58"/>
      <w:bookmarkEnd w:id="59"/>
    </w:p>
    <w:p>
      <w:pPr>
        <w:pStyle w:val="5"/>
        <w:tabs>
          <w:tab w:val="left" w:pos="900"/>
        </w:tabs>
        <w:spacing w:before="0" w:after="0" w:line="240" w:lineRule="atLeast"/>
        <w:rPr>
          <w:rFonts w:hAnsi="宋体" w:cs="Times New Roman"/>
          <w:color w:val="auto"/>
          <w:sz w:val="21"/>
          <w:szCs w:val="21"/>
          <w:u w:val="none"/>
        </w:rPr>
      </w:pPr>
      <w:bookmarkStart w:id="60" w:name="_Toc30852"/>
      <w:bookmarkStart w:id="61" w:name="_Toc516367021"/>
      <w:bookmarkStart w:id="62" w:name="_Toc7786"/>
      <w:bookmarkStart w:id="63" w:name="_Toc515647767"/>
      <w:bookmarkStart w:id="64" w:name="_Toc520356151"/>
      <w:bookmarkStart w:id="65" w:name="_Toc3553"/>
      <w:r>
        <w:rPr>
          <w:rFonts w:hAnsi="宋体"/>
          <w:color w:val="auto"/>
          <w:sz w:val="21"/>
          <w:szCs w:val="21"/>
          <w:u w:val="none"/>
        </w:rPr>
        <w:t>8.</w:t>
      </w:r>
      <w:r>
        <w:rPr>
          <w:rFonts w:hAnsi="宋体"/>
          <w:color w:val="auto"/>
          <w:sz w:val="21"/>
          <w:szCs w:val="21"/>
          <w:u w:val="none"/>
        </w:rPr>
        <w:tab/>
      </w:r>
      <w:r>
        <w:rPr>
          <w:rFonts w:hint="eastAsia" w:hAnsi="宋体"/>
          <w:color w:val="auto"/>
          <w:sz w:val="21"/>
          <w:szCs w:val="21"/>
          <w:u w:val="none"/>
        </w:rPr>
        <w:t>投标范围及投标文件中标准和计量单位的使用</w:t>
      </w:r>
      <w:bookmarkEnd w:id="60"/>
      <w:bookmarkEnd w:id="61"/>
      <w:bookmarkEnd w:id="62"/>
      <w:bookmarkEnd w:id="63"/>
      <w:bookmarkEnd w:id="64"/>
      <w:bookmarkEnd w:id="65"/>
    </w:p>
    <w:p>
      <w:pPr>
        <w:spacing w:line="240" w:lineRule="atLeast"/>
        <w:ind w:left="31680" w:hanging="787" w:hangingChars="375"/>
        <w:rPr>
          <w:rFonts w:ascii="宋体"/>
          <w:color w:val="auto"/>
        </w:rPr>
      </w:pPr>
      <w:r>
        <w:rPr>
          <w:rFonts w:ascii="宋体" w:hAnsi="宋体" w:cs="宋体"/>
          <w:color w:val="auto"/>
        </w:rPr>
        <w:t>8.1</w:t>
      </w:r>
      <w:r>
        <w:rPr>
          <w:rFonts w:ascii="宋体" w:hAnsi="宋体" w:cs="宋体"/>
          <w:color w:val="auto"/>
        </w:rPr>
        <w:tab/>
      </w:r>
      <w:r>
        <w:rPr>
          <w:rFonts w:hint="eastAsia" w:ascii="宋体" w:hAnsi="宋体" w:cs="宋体"/>
          <w:color w:val="auto"/>
        </w:rPr>
        <w:t>项目有分包的，供应商可对招标文件其中某一个或几个分包货物进行投标，除非在</w:t>
      </w:r>
      <w:r>
        <w:rPr>
          <w:rFonts w:hint="eastAsia" w:ascii="宋体" w:hAnsi="宋体" w:cs="宋体"/>
          <w:color w:val="auto"/>
          <w:u w:val="single"/>
        </w:rPr>
        <w:t>供应商须知资料表</w:t>
      </w:r>
      <w:r>
        <w:rPr>
          <w:rFonts w:hint="eastAsia" w:ascii="宋体" w:hAnsi="宋体" w:cs="宋体"/>
          <w:color w:val="auto"/>
        </w:rPr>
        <w:t>中另有规定。</w:t>
      </w:r>
    </w:p>
    <w:p>
      <w:pPr>
        <w:spacing w:line="240" w:lineRule="atLeast"/>
        <w:ind w:left="31680" w:hanging="787" w:hangingChars="375"/>
        <w:rPr>
          <w:rFonts w:ascii="宋体"/>
          <w:color w:val="auto"/>
        </w:rPr>
      </w:pPr>
      <w:r>
        <w:rPr>
          <w:rFonts w:ascii="宋体" w:hAnsi="宋体" w:cs="宋体"/>
          <w:color w:val="auto"/>
        </w:rPr>
        <w:t xml:space="preserve">8.2     </w:t>
      </w:r>
      <w:r>
        <w:rPr>
          <w:rFonts w:hint="eastAsia" w:ascii="宋体" w:hAnsi="宋体" w:cs="宋体"/>
          <w:color w:val="auto"/>
        </w:rPr>
        <w:t>供应商应当对所投分包招标文件中“服务需求”所列的所有内容进行投标，如仅响应某一包中的部分内容，其该包投标将被认定为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8.3     </w:t>
      </w:r>
      <w:r>
        <w:rPr>
          <w:rFonts w:hint="eastAsia" w:ascii="宋体" w:hAnsi="宋体" w:cs="宋体"/>
          <w:color w:val="auto"/>
        </w:rPr>
        <w:t>无论招标文件第</w:t>
      </w:r>
      <w:r>
        <w:rPr>
          <w:rFonts w:ascii="宋体" w:hAnsi="宋体" w:cs="宋体"/>
          <w:color w:val="auto"/>
        </w:rPr>
        <w:t>5</w:t>
      </w:r>
      <w:r>
        <w:rPr>
          <w:rFonts w:hint="eastAsia" w:ascii="宋体" w:hAnsi="宋体" w:cs="宋体"/>
          <w:color w:val="auto"/>
        </w:rPr>
        <w:t>章货物需求一览表及技术规格中是否要求，供应商所投货物均应符合国家强制性标准。</w:t>
      </w:r>
    </w:p>
    <w:p>
      <w:pPr>
        <w:spacing w:line="240" w:lineRule="atLeast"/>
        <w:ind w:left="31680" w:hanging="787" w:hangingChars="375"/>
        <w:rPr>
          <w:rFonts w:ascii="宋体"/>
          <w:color w:val="auto"/>
        </w:rPr>
      </w:pPr>
      <w:r>
        <w:rPr>
          <w:rFonts w:ascii="宋体" w:hAnsi="宋体" w:cs="宋体"/>
          <w:color w:val="auto"/>
        </w:rPr>
        <w:t xml:space="preserve">8.4     </w:t>
      </w:r>
      <w:r>
        <w:rPr>
          <w:rFonts w:hint="eastAsia" w:ascii="宋体" w:hAnsi="宋体" w:cs="宋体"/>
          <w:color w:val="auto"/>
        </w:rPr>
        <w:t>除招标文件中有特殊要求外，投标文件中所使用的计量单位，应采用中华人民共和国法定计量单位。</w:t>
      </w:r>
    </w:p>
    <w:p>
      <w:pPr>
        <w:pStyle w:val="5"/>
        <w:tabs>
          <w:tab w:val="left" w:pos="900"/>
        </w:tabs>
        <w:spacing w:before="0" w:after="0" w:line="240" w:lineRule="atLeast"/>
        <w:rPr>
          <w:rFonts w:hAnsi="宋体" w:cs="Times New Roman"/>
          <w:color w:val="auto"/>
          <w:sz w:val="21"/>
          <w:szCs w:val="21"/>
          <w:u w:val="none"/>
        </w:rPr>
      </w:pPr>
      <w:bookmarkStart w:id="66" w:name="_Ref467306195"/>
      <w:bookmarkStart w:id="67" w:name="_Ref467306676"/>
      <w:bookmarkStart w:id="68" w:name="_Toc516367022"/>
      <w:bookmarkStart w:id="69" w:name="_Toc28307"/>
      <w:bookmarkStart w:id="70" w:name="_Toc520356152"/>
      <w:bookmarkStart w:id="71" w:name="_Toc10364"/>
      <w:bookmarkStart w:id="72" w:name="_Toc515647768"/>
      <w:bookmarkStart w:id="73" w:name="_Toc32655"/>
      <w:r>
        <w:rPr>
          <w:rFonts w:hAnsi="宋体"/>
          <w:color w:val="auto"/>
          <w:sz w:val="21"/>
          <w:szCs w:val="21"/>
          <w:u w:val="none"/>
        </w:rPr>
        <w:t>9.</w:t>
      </w:r>
      <w:r>
        <w:rPr>
          <w:rFonts w:hint="eastAsia" w:hAnsi="宋体"/>
          <w:color w:val="auto"/>
          <w:sz w:val="21"/>
          <w:szCs w:val="21"/>
          <w:u w:val="none"/>
        </w:rPr>
        <w:t>投标文件</w:t>
      </w:r>
      <w:bookmarkEnd w:id="66"/>
      <w:bookmarkEnd w:id="67"/>
      <w:bookmarkEnd w:id="68"/>
      <w:r>
        <w:rPr>
          <w:rFonts w:hint="eastAsia" w:hAnsi="宋体"/>
          <w:color w:val="auto"/>
          <w:sz w:val="21"/>
          <w:szCs w:val="21"/>
          <w:u w:val="none"/>
        </w:rPr>
        <w:t>构成</w:t>
      </w:r>
      <w:bookmarkEnd w:id="69"/>
      <w:bookmarkEnd w:id="70"/>
      <w:bookmarkEnd w:id="71"/>
      <w:bookmarkEnd w:id="72"/>
      <w:bookmarkEnd w:id="73"/>
    </w:p>
    <w:p>
      <w:pPr>
        <w:tabs>
          <w:tab w:val="left" w:pos="900"/>
          <w:tab w:val="left" w:pos="5580"/>
        </w:tabs>
        <w:spacing w:line="240" w:lineRule="atLeast"/>
        <w:ind w:left="31680" w:hanging="840" w:hangingChars="400"/>
        <w:jc w:val="left"/>
        <w:rPr>
          <w:rFonts w:ascii="宋体"/>
          <w:color w:val="auto"/>
          <w:u w:val="single"/>
        </w:rPr>
      </w:pPr>
      <w:bookmarkStart w:id="74" w:name="_Ref467052588"/>
      <w:r>
        <w:rPr>
          <w:rFonts w:ascii="宋体" w:hAnsi="宋体" w:cs="宋体"/>
          <w:color w:val="auto"/>
        </w:rPr>
        <w:t xml:space="preserve">9.1     </w:t>
      </w:r>
      <w:r>
        <w:rPr>
          <w:rFonts w:hint="eastAsia" w:ascii="宋体" w:hAnsi="宋体" w:cs="宋体"/>
          <w:color w:val="auto"/>
          <w:u w:val="single"/>
        </w:rPr>
        <w:t>供应商应完整地按招标文件提供的投标文件格式及要求遍写投标文件，投标文件应包括“开标一览表及资格证明文件”和“商务及技术文件”两部分，两部分合订成一册，密封递交。供应商应承担封装失误产生的任何后果。</w:t>
      </w:r>
    </w:p>
    <w:p>
      <w:pPr>
        <w:spacing w:line="240" w:lineRule="atLeast"/>
        <w:ind w:left="31680" w:hanging="787" w:hangingChars="375"/>
        <w:rPr>
          <w:rFonts w:ascii="宋体"/>
          <w:color w:val="auto"/>
        </w:rPr>
      </w:pPr>
      <w:r>
        <w:rPr>
          <w:rFonts w:ascii="宋体" w:hAnsi="宋体" w:cs="宋体"/>
          <w:color w:val="auto"/>
        </w:rPr>
        <w:t xml:space="preserve">9.2    </w:t>
      </w:r>
      <w:r>
        <w:rPr>
          <w:rFonts w:hint="eastAsia" w:ascii="宋体" w:hAnsi="宋体" w:cs="宋体"/>
          <w:color w:val="auto"/>
        </w:rPr>
        <w:t>上述文件应按照招标文件规定的格式填写、签署和盖章。</w:t>
      </w:r>
    </w:p>
    <w:bookmarkEnd w:id="74"/>
    <w:p>
      <w:pPr>
        <w:pStyle w:val="5"/>
        <w:tabs>
          <w:tab w:val="left" w:pos="900"/>
        </w:tabs>
        <w:spacing w:before="0" w:after="0" w:line="240" w:lineRule="atLeast"/>
        <w:rPr>
          <w:rFonts w:hAnsi="宋体" w:cs="Times New Roman"/>
          <w:color w:val="auto"/>
          <w:sz w:val="21"/>
          <w:szCs w:val="21"/>
          <w:u w:val="none"/>
        </w:rPr>
      </w:pPr>
      <w:bookmarkStart w:id="75" w:name="_Toc10379"/>
      <w:bookmarkStart w:id="76" w:name="_Toc516367023"/>
      <w:bookmarkStart w:id="77" w:name="_Toc4601"/>
      <w:bookmarkStart w:id="78" w:name="_Toc520356153"/>
      <w:bookmarkStart w:id="79" w:name="_Toc515647769"/>
      <w:bookmarkStart w:id="80" w:name="_Toc27659"/>
      <w:r>
        <w:rPr>
          <w:rFonts w:hAnsi="宋体"/>
          <w:color w:val="auto"/>
          <w:sz w:val="21"/>
          <w:szCs w:val="21"/>
          <w:u w:val="none"/>
        </w:rPr>
        <w:t>10.</w:t>
      </w:r>
      <w:r>
        <w:rPr>
          <w:rFonts w:hAnsi="宋体"/>
          <w:color w:val="auto"/>
          <w:sz w:val="21"/>
          <w:szCs w:val="21"/>
          <w:u w:val="none"/>
        </w:rPr>
        <w:tab/>
      </w:r>
      <w:r>
        <w:rPr>
          <w:rFonts w:hint="eastAsia" w:hAnsi="宋体"/>
          <w:color w:val="auto"/>
          <w:sz w:val="21"/>
          <w:szCs w:val="21"/>
          <w:u w:val="none"/>
        </w:rPr>
        <w:t>证明投标标的的合格性和符合招标文件规定的技术文件</w:t>
      </w:r>
      <w:bookmarkEnd w:id="75"/>
      <w:bookmarkEnd w:id="76"/>
      <w:bookmarkEnd w:id="77"/>
      <w:bookmarkEnd w:id="78"/>
      <w:bookmarkEnd w:id="79"/>
      <w:bookmarkEnd w:id="80"/>
    </w:p>
    <w:p>
      <w:pPr>
        <w:spacing w:line="240" w:lineRule="atLeast"/>
        <w:ind w:left="31680" w:hanging="787" w:hangingChars="375"/>
        <w:rPr>
          <w:rFonts w:ascii="宋体"/>
          <w:color w:val="auto"/>
        </w:rPr>
      </w:pPr>
      <w:r>
        <w:rPr>
          <w:rFonts w:ascii="宋体" w:hAnsi="宋体" w:cs="宋体"/>
          <w:color w:val="auto"/>
        </w:rPr>
        <w:t>10.1</w:t>
      </w:r>
      <w:r>
        <w:rPr>
          <w:rFonts w:ascii="宋体" w:hAnsi="宋体" w:cs="宋体"/>
          <w:color w:val="auto"/>
        </w:rPr>
        <w:tab/>
      </w:r>
      <w:r>
        <w:rPr>
          <w:rFonts w:hint="eastAsia" w:ascii="宋体" w:hAnsi="宋体" w:cs="宋体"/>
          <w:color w:val="auto"/>
        </w:rPr>
        <w:t>供应商应提交证明文件，证明其投标内容符合招标文件规定。该证明文件是投标文件的一部分。</w:t>
      </w:r>
    </w:p>
    <w:p>
      <w:pPr>
        <w:spacing w:line="240" w:lineRule="atLeast"/>
        <w:ind w:left="31680" w:hanging="787" w:hangingChars="375"/>
        <w:rPr>
          <w:rFonts w:ascii="宋体"/>
          <w:color w:val="auto"/>
        </w:rPr>
      </w:pPr>
      <w:bookmarkStart w:id="81" w:name="_Ref467306244"/>
      <w:r>
        <w:rPr>
          <w:rFonts w:ascii="宋体" w:hAnsi="宋体" w:cs="宋体"/>
          <w:color w:val="auto"/>
        </w:rPr>
        <w:t>10.2</w:t>
      </w:r>
      <w:r>
        <w:rPr>
          <w:rFonts w:ascii="宋体" w:hAnsi="宋体" w:cs="宋体"/>
          <w:color w:val="auto"/>
        </w:rPr>
        <w:tab/>
      </w:r>
      <w:r>
        <w:rPr>
          <w:rFonts w:hint="eastAsia" w:ascii="宋体" w:hAnsi="宋体" w:cs="宋体"/>
          <w:color w:val="auto"/>
        </w:rPr>
        <w:t>上款所述的证明文件，可以是文字资料、图纸和数据，</w:t>
      </w:r>
      <w:bookmarkEnd w:id="81"/>
      <w:r>
        <w:rPr>
          <w:rFonts w:hint="eastAsia" w:ascii="宋体" w:hAnsi="宋体" w:cs="宋体"/>
          <w:color w:val="auto"/>
        </w:rPr>
        <w:t>它包括：</w:t>
      </w:r>
    </w:p>
    <w:p>
      <w:pPr>
        <w:spacing w:line="240" w:lineRule="atLeast"/>
        <w:ind w:left="31680" w:hanging="787" w:hangingChars="375"/>
        <w:rPr>
          <w:rFonts w:ascii="宋体"/>
          <w:color w:val="auto"/>
        </w:rPr>
      </w:pPr>
      <w:r>
        <w:rPr>
          <w:rFonts w:ascii="宋体" w:hAnsi="宋体" w:cs="宋体"/>
          <w:color w:val="auto"/>
        </w:rPr>
        <w:t>10.2.1</w:t>
      </w:r>
      <w:r>
        <w:rPr>
          <w:rFonts w:ascii="宋体" w:hAnsi="宋体" w:cs="宋体"/>
          <w:color w:val="auto"/>
        </w:rPr>
        <w:tab/>
      </w:r>
      <w:r>
        <w:rPr>
          <w:rFonts w:hint="eastAsia" w:ascii="宋体" w:hAnsi="宋体" w:cs="宋体"/>
          <w:color w:val="auto"/>
        </w:rPr>
        <w:t>货物主要技术指标和性能的详细说明；</w:t>
      </w:r>
    </w:p>
    <w:p>
      <w:pPr>
        <w:spacing w:line="240" w:lineRule="atLeast"/>
        <w:ind w:left="31680" w:hanging="787" w:hangingChars="375"/>
        <w:rPr>
          <w:rFonts w:ascii="宋体"/>
          <w:color w:val="auto"/>
        </w:rPr>
      </w:pPr>
      <w:r>
        <w:rPr>
          <w:rFonts w:ascii="宋体" w:hAnsi="宋体" w:cs="宋体"/>
          <w:color w:val="auto"/>
        </w:rPr>
        <w:t>10.2.2</w:t>
      </w:r>
      <w:r>
        <w:rPr>
          <w:rFonts w:ascii="宋体" w:hAnsi="宋体" w:cs="宋体"/>
          <w:color w:val="auto"/>
        </w:rPr>
        <w:tab/>
      </w:r>
      <w:r>
        <w:rPr>
          <w:rFonts w:hint="eastAsia" w:ascii="宋体" w:hAnsi="宋体" w:cs="宋体"/>
          <w:color w:val="auto"/>
        </w:rPr>
        <w:t>货物从买方开始使用至招标文件规定的保质期内正常、连续地使用所必须的备件和专用工具清单，包括备件和专用工具的货源及现行价格；</w:t>
      </w:r>
    </w:p>
    <w:p>
      <w:pPr>
        <w:spacing w:line="240" w:lineRule="atLeast"/>
        <w:ind w:left="31680" w:hanging="787" w:hangingChars="375"/>
        <w:rPr>
          <w:rFonts w:ascii="宋体"/>
          <w:color w:val="auto"/>
        </w:rPr>
      </w:pPr>
      <w:r>
        <w:rPr>
          <w:rFonts w:ascii="宋体" w:hAnsi="宋体" w:cs="宋体"/>
          <w:color w:val="auto"/>
        </w:rPr>
        <w:t>10.2.3</w:t>
      </w:r>
      <w:r>
        <w:rPr>
          <w:rFonts w:ascii="宋体" w:hAnsi="宋体" w:cs="宋体"/>
          <w:color w:val="auto"/>
        </w:rPr>
        <w:tab/>
      </w:r>
      <w:r>
        <w:rPr>
          <w:rFonts w:hint="eastAsia" w:ascii="宋体" w:hAnsi="宋体" w:cs="宋体"/>
          <w:color w:val="auto"/>
        </w:rPr>
        <w:t>对照招标文件技术规格，逐条说明所提供货物及伴随的工程和服务已对招标文件的技术规格做出了实质性的响应，或申明与技术规格条文的偏差和例外。</w:t>
      </w:r>
    </w:p>
    <w:p>
      <w:pPr>
        <w:spacing w:line="240" w:lineRule="atLeast"/>
        <w:ind w:left="31680" w:hanging="787" w:hangingChars="375"/>
        <w:rPr>
          <w:rFonts w:ascii="宋体"/>
          <w:color w:val="auto"/>
        </w:rPr>
      </w:pPr>
      <w:r>
        <w:rPr>
          <w:rFonts w:ascii="宋体" w:hAnsi="宋体" w:cs="宋体"/>
          <w:color w:val="auto"/>
        </w:rPr>
        <w:t>10.3</w:t>
      </w:r>
      <w:r>
        <w:rPr>
          <w:rFonts w:ascii="宋体" w:hAnsi="宋体" w:cs="宋体"/>
          <w:color w:val="auto"/>
        </w:rPr>
        <w:tab/>
      </w:r>
      <w:r>
        <w:rPr>
          <w:rFonts w:hint="eastAsia" w:ascii="宋体" w:hAnsi="宋体" w:cs="宋体"/>
          <w:color w:val="auto"/>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Style w:val="5"/>
        <w:spacing w:before="0" w:after="0" w:line="240" w:lineRule="atLeast"/>
        <w:rPr>
          <w:rFonts w:hAnsi="宋体" w:cs="Times New Roman"/>
          <w:color w:val="auto"/>
          <w:sz w:val="21"/>
          <w:szCs w:val="21"/>
          <w:u w:val="none"/>
        </w:rPr>
      </w:pPr>
      <w:bookmarkStart w:id="82" w:name="_Toc2248"/>
      <w:bookmarkStart w:id="83" w:name="_Toc515647770"/>
      <w:bookmarkStart w:id="84" w:name="_Toc23231"/>
      <w:bookmarkStart w:id="85" w:name="_Toc28654"/>
      <w:bookmarkStart w:id="86" w:name="_Toc520356155"/>
      <w:r>
        <w:rPr>
          <w:rFonts w:hAnsi="宋体"/>
          <w:color w:val="auto"/>
          <w:sz w:val="21"/>
          <w:szCs w:val="21"/>
          <w:u w:val="none"/>
        </w:rPr>
        <w:t>11.</w:t>
      </w:r>
      <w:r>
        <w:rPr>
          <w:rFonts w:hint="eastAsia" w:hAnsi="宋体"/>
          <w:color w:val="auto"/>
          <w:sz w:val="21"/>
          <w:szCs w:val="21"/>
          <w:u w:val="none"/>
        </w:rPr>
        <w:t>投标报价</w:t>
      </w:r>
      <w:bookmarkEnd w:id="82"/>
      <w:bookmarkEnd w:id="83"/>
      <w:bookmarkEnd w:id="84"/>
      <w:bookmarkEnd w:id="85"/>
      <w:bookmarkEnd w:id="86"/>
    </w:p>
    <w:p>
      <w:pPr>
        <w:spacing w:line="240" w:lineRule="atLeast"/>
        <w:ind w:left="31680" w:hanging="787" w:hangingChars="375"/>
        <w:rPr>
          <w:rFonts w:ascii="宋体"/>
          <w:color w:val="auto"/>
        </w:rPr>
      </w:pPr>
      <w:r>
        <w:rPr>
          <w:rFonts w:ascii="宋体" w:hAnsi="宋体" w:cs="宋体"/>
          <w:color w:val="auto"/>
        </w:rPr>
        <w:t>11.1</w:t>
      </w:r>
      <w:r>
        <w:rPr>
          <w:rFonts w:ascii="宋体" w:hAnsi="宋体" w:cs="宋体"/>
          <w:color w:val="auto"/>
        </w:rPr>
        <w:tab/>
      </w:r>
      <w:r>
        <w:rPr>
          <w:rFonts w:hint="eastAsia" w:ascii="宋体" w:hAnsi="宋体" w:cs="宋体"/>
          <w:color w:val="auto"/>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11.2</w:t>
      </w:r>
      <w:r>
        <w:rPr>
          <w:rFonts w:ascii="宋体" w:hAnsi="宋体" w:cs="宋体"/>
          <w:color w:val="auto"/>
        </w:rPr>
        <w:tab/>
      </w:r>
      <w:r>
        <w:rPr>
          <w:rFonts w:hint="eastAsia" w:ascii="宋体" w:hAnsi="宋体" w:cs="宋体"/>
          <w:color w:val="auto"/>
        </w:rPr>
        <w:t>供应商应在投标分项报价表上标明投标货物及相关服务的单价（如适用）和总价，并由法定代表人或其授权代表签署。</w:t>
      </w:r>
    </w:p>
    <w:p>
      <w:pPr>
        <w:spacing w:line="240" w:lineRule="atLeast"/>
        <w:ind w:left="31680" w:hanging="787" w:hangingChars="375"/>
        <w:rPr>
          <w:rFonts w:ascii="宋体"/>
          <w:color w:val="auto"/>
        </w:rPr>
      </w:pPr>
      <w:r>
        <w:rPr>
          <w:rFonts w:ascii="宋体" w:hAnsi="宋体" w:cs="宋体"/>
          <w:color w:val="auto"/>
        </w:rPr>
        <w:t>11.3</w:t>
      </w:r>
      <w:r>
        <w:rPr>
          <w:rFonts w:ascii="宋体" w:hAnsi="宋体" w:cs="宋体"/>
          <w:color w:val="auto"/>
        </w:rPr>
        <w:tab/>
      </w:r>
      <w:r>
        <w:rPr>
          <w:rFonts w:hint="eastAsia" w:ascii="宋体" w:hAnsi="宋体" w:cs="宋体"/>
          <w:color w:val="auto"/>
        </w:rPr>
        <w:t>投标分项报价表上的价格应按下列方式填写：</w:t>
      </w:r>
    </w:p>
    <w:p>
      <w:pPr>
        <w:spacing w:line="240" w:lineRule="atLeast"/>
        <w:ind w:left="31680" w:hanging="787" w:hangingChars="375"/>
        <w:rPr>
          <w:rFonts w:ascii="宋体"/>
          <w:color w:val="auto"/>
        </w:rPr>
      </w:pPr>
      <w:r>
        <w:rPr>
          <w:rFonts w:ascii="宋体" w:hAnsi="宋体" w:cs="宋体"/>
          <w:color w:val="auto"/>
        </w:rPr>
        <w:t xml:space="preserve">11.3.1  </w:t>
      </w:r>
      <w:r>
        <w:rPr>
          <w:rFonts w:hint="eastAsia" w:ascii="宋体" w:hAnsi="宋体" w:cs="宋体"/>
          <w:color w:val="auto"/>
        </w:rPr>
        <w:t>投标货物（包括备品备件、专用工具等）的出厂价（包括已在中国国内的进口货物完税后的仓库交货价、展室交货价或货架交货价），投标货物安装、调试、检验、技术服务和培训等费用；</w:t>
      </w:r>
    </w:p>
    <w:p>
      <w:pPr>
        <w:spacing w:line="240" w:lineRule="atLeast"/>
        <w:ind w:left="31680" w:hanging="787" w:hangingChars="375"/>
        <w:rPr>
          <w:rFonts w:ascii="宋体"/>
          <w:color w:val="auto"/>
        </w:rPr>
      </w:pPr>
      <w:r>
        <w:rPr>
          <w:rFonts w:ascii="宋体" w:hAnsi="宋体" w:cs="宋体"/>
          <w:color w:val="auto"/>
        </w:rPr>
        <w:t xml:space="preserve">11.3.2  </w:t>
      </w:r>
      <w:r>
        <w:rPr>
          <w:rFonts w:hint="eastAsia" w:ascii="宋体" w:hAnsi="宋体" w:cs="宋体"/>
          <w:color w:val="auto"/>
        </w:rPr>
        <w:t>货物运至最终目的地的运输费和保险费用。</w:t>
      </w:r>
    </w:p>
    <w:p>
      <w:pPr>
        <w:spacing w:line="240" w:lineRule="atLeast"/>
        <w:ind w:left="31680" w:hanging="787" w:hangingChars="375"/>
        <w:rPr>
          <w:rFonts w:ascii="宋体"/>
          <w:color w:val="auto"/>
        </w:rPr>
      </w:pPr>
      <w:r>
        <w:rPr>
          <w:rFonts w:ascii="宋体" w:hAnsi="宋体" w:cs="宋体"/>
          <w:color w:val="auto"/>
        </w:rPr>
        <w:t>11.4</w:t>
      </w:r>
      <w:r>
        <w:rPr>
          <w:rFonts w:ascii="宋体" w:hAnsi="宋体" w:cs="宋体"/>
          <w:color w:val="auto"/>
        </w:rPr>
        <w:tab/>
      </w:r>
      <w:r>
        <w:rPr>
          <w:rFonts w:hint="eastAsia" w:ascii="宋体" w:hAnsi="宋体" w:cs="宋体"/>
          <w:color w:val="auto"/>
        </w:rPr>
        <w:t>供应商所报的各分项投标单价在合同履行过程中是固定不变的，不得以任何理由予以变更。任何包含价格调整要求的投标，其投标将被认定为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11.5</w:t>
      </w:r>
      <w:r>
        <w:rPr>
          <w:rFonts w:ascii="宋体" w:hAnsi="宋体" w:cs="宋体"/>
          <w:color w:val="auto"/>
        </w:rPr>
        <w:tab/>
      </w:r>
      <w:r>
        <w:rPr>
          <w:rFonts w:hint="eastAsia" w:ascii="宋体" w:hAnsi="宋体" w:cs="宋体"/>
          <w:color w:val="auto"/>
        </w:rPr>
        <w:t>每种货物只能有一个投标报价。采购人不接受具有附加条件的报价。</w:t>
      </w:r>
    </w:p>
    <w:p>
      <w:pPr>
        <w:pStyle w:val="5"/>
        <w:spacing w:before="0" w:after="0" w:line="240" w:lineRule="atLeast"/>
        <w:rPr>
          <w:rFonts w:hAnsi="宋体" w:cs="Times New Roman"/>
          <w:color w:val="auto"/>
          <w:sz w:val="21"/>
          <w:szCs w:val="21"/>
          <w:u w:val="none"/>
        </w:rPr>
      </w:pPr>
      <w:bookmarkStart w:id="87" w:name="_Toc520356156"/>
      <w:bookmarkStart w:id="88" w:name="_Ref467306513"/>
      <w:bookmarkStart w:id="89" w:name="_Toc17788"/>
      <w:bookmarkStart w:id="90" w:name="_Toc515647771"/>
      <w:bookmarkStart w:id="91" w:name="_Toc23985"/>
      <w:bookmarkStart w:id="92" w:name="_Toc11514"/>
      <w:r>
        <w:rPr>
          <w:rFonts w:hAnsi="宋体"/>
          <w:color w:val="auto"/>
          <w:sz w:val="21"/>
          <w:szCs w:val="21"/>
          <w:u w:val="none"/>
        </w:rPr>
        <w:t>12.</w:t>
      </w:r>
      <w:r>
        <w:rPr>
          <w:rFonts w:hint="eastAsia" w:hAnsi="宋体"/>
          <w:color w:val="auto"/>
          <w:sz w:val="21"/>
          <w:szCs w:val="21"/>
          <w:u w:val="none"/>
        </w:rPr>
        <w:t>投标保证金</w:t>
      </w:r>
      <w:bookmarkEnd w:id="87"/>
      <w:bookmarkEnd w:id="88"/>
      <w:bookmarkEnd w:id="89"/>
      <w:bookmarkEnd w:id="90"/>
      <w:bookmarkEnd w:id="91"/>
      <w:bookmarkEnd w:id="92"/>
    </w:p>
    <w:p>
      <w:pPr>
        <w:spacing w:line="240" w:lineRule="atLeast"/>
        <w:ind w:left="31680" w:hanging="787" w:hangingChars="375"/>
        <w:rPr>
          <w:rFonts w:ascii="宋体"/>
          <w:color w:val="auto"/>
        </w:rPr>
      </w:pPr>
      <w:bookmarkStart w:id="93" w:name="_Ref467306302"/>
      <w:r>
        <w:rPr>
          <w:rFonts w:ascii="宋体" w:hAnsi="宋体" w:cs="宋体"/>
          <w:color w:val="auto"/>
        </w:rPr>
        <w:t>12.1</w:t>
      </w:r>
      <w:r>
        <w:rPr>
          <w:rFonts w:ascii="宋体" w:hAnsi="宋体" w:cs="宋体"/>
          <w:color w:val="auto"/>
        </w:rPr>
        <w:tab/>
      </w:r>
      <w:r>
        <w:rPr>
          <w:rFonts w:hint="eastAsia" w:ascii="宋体" w:hAnsi="宋体" w:cs="宋体"/>
          <w:color w:val="auto"/>
        </w:rPr>
        <w:t>供应商应提交</w:t>
      </w:r>
      <w:r>
        <w:rPr>
          <w:rFonts w:hint="eastAsia" w:ascii="宋体" w:hAnsi="宋体" w:cs="宋体"/>
          <w:color w:val="auto"/>
          <w:u w:val="single"/>
        </w:rPr>
        <w:t>供应商须知资料表</w:t>
      </w:r>
      <w:r>
        <w:rPr>
          <w:rFonts w:hint="eastAsia" w:ascii="宋体" w:hAnsi="宋体" w:cs="宋体"/>
          <w:color w:val="auto"/>
        </w:rPr>
        <w:t>中规定的投标保证金</w:t>
      </w:r>
      <w:bookmarkEnd w:id="93"/>
      <w:r>
        <w:rPr>
          <w:rFonts w:hint="eastAsia" w:ascii="宋体" w:hAnsi="宋体" w:cs="宋体"/>
          <w:color w:val="auto"/>
        </w:rPr>
        <w:t>，并作为其投标的一部分。</w:t>
      </w:r>
    </w:p>
    <w:p>
      <w:pPr>
        <w:spacing w:line="240" w:lineRule="atLeast"/>
        <w:ind w:left="31680" w:hanging="787" w:hangingChars="375"/>
        <w:rPr>
          <w:rFonts w:ascii="宋体"/>
          <w:color w:val="auto"/>
        </w:rPr>
      </w:pPr>
      <w:r>
        <w:rPr>
          <w:rFonts w:ascii="宋体" w:hAnsi="宋体" w:cs="宋体"/>
          <w:color w:val="auto"/>
        </w:rPr>
        <w:t>12.2</w:t>
      </w:r>
      <w:r>
        <w:rPr>
          <w:rFonts w:ascii="宋体" w:hAnsi="宋体" w:cs="宋体"/>
          <w:color w:val="auto"/>
        </w:rPr>
        <w:tab/>
      </w:r>
      <w:r>
        <w:rPr>
          <w:rFonts w:hint="eastAsia" w:ascii="宋体" w:hAnsi="宋体" w:cs="宋体"/>
          <w:color w:val="auto"/>
        </w:rPr>
        <w:t>供应商存在下列情形的，投标保证金不予退还：</w:t>
      </w:r>
    </w:p>
    <w:p>
      <w:pPr>
        <w:pStyle w:val="12"/>
        <w:tabs>
          <w:tab w:val="left" w:pos="2240"/>
        </w:tabs>
        <w:spacing w:line="240" w:lineRule="atLeast"/>
        <w:ind w:left="1041" w:leftChars="371" w:hanging="262" w:hangingChars="125"/>
        <w:rPr>
          <w:rFonts w:hAnsi="宋体" w:cs="Times New Roman"/>
          <w:color w:val="auto"/>
        </w:rPr>
      </w:pPr>
      <w:r>
        <w:rPr>
          <w:rFonts w:hint="eastAsia" w:hAnsi="宋体"/>
          <w:color w:val="auto"/>
        </w:rPr>
        <w:t>（</w:t>
      </w:r>
      <w:r>
        <w:rPr>
          <w:rFonts w:hAnsi="宋体"/>
          <w:color w:val="auto"/>
        </w:rPr>
        <w:t>1</w:t>
      </w:r>
      <w:r>
        <w:rPr>
          <w:rFonts w:hint="eastAsia" w:hAnsi="宋体"/>
          <w:color w:val="auto"/>
        </w:rPr>
        <w:t>）在投标有效期内，撤销投标的；</w:t>
      </w:r>
    </w:p>
    <w:p>
      <w:pPr>
        <w:pStyle w:val="12"/>
        <w:tabs>
          <w:tab w:val="left" w:pos="2240"/>
        </w:tabs>
        <w:spacing w:line="240" w:lineRule="atLeast"/>
        <w:ind w:left="1041" w:leftChars="371" w:hanging="262" w:hangingChars="125"/>
        <w:rPr>
          <w:rFonts w:hAnsi="宋体" w:cs="Times New Roman"/>
          <w:color w:val="auto"/>
        </w:rPr>
      </w:pPr>
      <w:r>
        <w:rPr>
          <w:rFonts w:hint="eastAsia" w:hAnsi="宋体"/>
          <w:color w:val="auto"/>
        </w:rPr>
        <w:t>（</w:t>
      </w:r>
      <w:r>
        <w:rPr>
          <w:rFonts w:hAnsi="宋体"/>
          <w:color w:val="auto"/>
        </w:rPr>
        <w:t>2</w:t>
      </w:r>
      <w:r>
        <w:rPr>
          <w:rFonts w:hint="eastAsia" w:hAnsi="宋体"/>
          <w:color w:val="auto"/>
        </w:rPr>
        <w:t>）中标后不按本须知第</w:t>
      </w:r>
      <w:r>
        <w:rPr>
          <w:rFonts w:hAnsi="宋体"/>
          <w:color w:val="auto"/>
        </w:rPr>
        <w:t>30</w:t>
      </w:r>
      <w:r>
        <w:rPr>
          <w:rFonts w:hint="eastAsia" w:hAnsi="宋体"/>
          <w:color w:val="auto"/>
        </w:rPr>
        <w:t>条的规定与采购人签订合同的；</w:t>
      </w:r>
    </w:p>
    <w:p>
      <w:pPr>
        <w:pStyle w:val="12"/>
        <w:tabs>
          <w:tab w:val="left" w:pos="2240"/>
        </w:tabs>
        <w:spacing w:line="240" w:lineRule="atLeast"/>
        <w:ind w:left="1041" w:leftChars="371" w:hanging="262" w:hangingChars="125"/>
        <w:rPr>
          <w:rFonts w:hAnsi="宋体" w:cs="Times New Roman"/>
          <w:color w:val="auto"/>
        </w:rPr>
      </w:pPr>
      <w:r>
        <w:rPr>
          <w:rFonts w:hint="eastAsia" w:hAnsi="宋体"/>
          <w:color w:val="auto"/>
        </w:rPr>
        <w:t>（</w:t>
      </w:r>
      <w:r>
        <w:rPr>
          <w:rFonts w:hAnsi="宋体"/>
          <w:color w:val="auto"/>
        </w:rPr>
        <w:t>3</w:t>
      </w:r>
      <w:r>
        <w:rPr>
          <w:rFonts w:hint="eastAsia" w:hAnsi="宋体"/>
          <w:color w:val="auto"/>
        </w:rPr>
        <w:t>）中标后不按本须知第</w:t>
      </w:r>
      <w:r>
        <w:rPr>
          <w:rFonts w:hAnsi="宋体"/>
          <w:color w:val="auto"/>
        </w:rPr>
        <w:t>31</w:t>
      </w:r>
      <w:r>
        <w:rPr>
          <w:rFonts w:hint="eastAsia" w:hAnsi="宋体"/>
          <w:color w:val="auto"/>
        </w:rPr>
        <w:t>条的规定提交履约保证金的；</w:t>
      </w:r>
    </w:p>
    <w:p>
      <w:pPr>
        <w:pStyle w:val="12"/>
        <w:tabs>
          <w:tab w:val="left" w:pos="2240"/>
        </w:tabs>
        <w:spacing w:line="240" w:lineRule="atLeast"/>
        <w:ind w:left="1041" w:leftChars="371" w:hanging="262" w:hangingChars="125"/>
        <w:rPr>
          <w:rFonts w:hAnsi="宋体" w:cs="Times New Roman"/>
          <w:color w:val="auto"/>
        </w:rPr>
      </w:pPr>
      <w:r>
        <w:rPr>
          <w:rFonts w:hint="eastAsia" w:hAnsi="宋体"/>
          <w:color w:val="auto"/>
        </w:rPr>
        <w:t>（</w:t>
      </w:r>
      <w:r>
        <w:rPr>
          <w:rFonts w:hAnsi="宋体"/>
          <w:color w:val="auto"/>
        </w:rPr>
        <w:t>4</w:t>
      </w:r>
      <w:r>
        <w:rPr>
          <w:rFonts w:hint="eastAsia" w:hAnsi="宋体"/>
          <w:color w:val="auto"/>
        </w:rPr>
        <w:t>）中标后不按本须知第</w:t>
      </w:r>
      <w:r>
        <w:rPr>
          <w:rFonts w:hAnsi="宋体"/>
          <w:color w:val="auto"/>
        </w:rPr>
        <w:t>32</w:t>
      </w:r>
      <w:r>
        <w:rPr>
          <w:rFonts w:hint="eastAsia" w:hAnsi="宋体"/>
          <w:color w:val="auto"/>
        </w:rPr>
        <w:t>条的规定缴纳中标服务费的；</w:t>
      </w:r>
    </w:p>
    <w:p>
      <w:pPr>
        <w:pStyle w:val="12"/>
        <w:tabs>
          <w:tab w:val="left" w:pos="2240"/>
        </w:tabs>
        <w:spacing w:line="240" w:lineRule="atLeast"/>
        <w:ind w:left="1041" w:leftChars="371" w:hanging="262" w:hangingChars="125"/>
        <w:rPr>
          <w:rFonts w:hAnsi="宋体" w:cs="Times New Roman"/>
          <w:color w:val="auto"/>
        </w:rPr>
      </w:pPr>
      <w:r>
        <w:rPr>
          <w:rFonts w:hint="eastAsia" w:hAnsi="宋体"/>
          <w:color w:val="auto"/>
        </w:rPr>
        <w:t>（</w:t>
      </w:r>
      <w:r>
        <w:rPr>
          <w:rFonts w:hAnsi="宋体"/>
          <w:color w:val="auto"/>
        </w:rPr>
        <w:t>5</w:t>
      </w:r>
      <w:r>
        <w:rPr>
          <w:rFonts w:hint="eastAsia" w:hAnsi="宋体"/>
          <w:color w:val="auto"/>
        </w:rPr>
        <w:t>）存在其他违法违规行为的。</w:t>
      </w:r>
    </w:p>
    <w:p>
      <w:pPr>
        <w:spacing w:line="240" w:lineRule="atLeast"/>
        <w:ind w:left="31680" w:hanging="787" w:hangingChars="375"/>
        <w:rPr>
          <w:rFonts w:ascii="宋体"/>
          <w:color w:val="auto"/>
        </w:rPr>
      </w:pPr>
      <w:bookmarkStart w:id="94" w:name="_Ref467306336"/>
      <w:r>
        <w:rPr>
          <w:rFonts w:ascii="宋体" w:hAnsi="宋体" w:cs="宋体"/>
          <w:color w:val="auto"/>
        </w:rPr>
        <w:t>12.3</w:t>
      </w:r>
      <w:r>
        <w:rPr>
          <w:rFonts w:ascii="宋体" w:hAnsi="宋体" w:cs="宋体"/>
          <w:color w:val="auto"/>
        </w:rPr>
        <w:tab/>
      </w:r>
      <w:bookmarkEnd w:id="94"/>
      <w:r>
        <w:rPr>
          <w:rFonts w:hint="eastAsia" w:ascii="宋体" w:hAnsi="宋体" w:cs="宋体"/>
          <w:color w:val="auto"/>
        </w:rPr>
        <w:t>政府采购信用担保试点范围内的项目，接受符合财政部门规定的政府采购投标担保函原件。</w:t>
      </w:r>
    </w:p>
    <w:p>
      <w:pPr>
        <w:spacing w:line="240" w:lineRule="atLeast"/>
        <w:ind w:left="31680" w:hanging="787" w:hangingChars="375"/>
        <w:rPr>
          <w:rFonts w:ascii="宋体"/>
          <w:color w:val="auto"/>
        </w:rPr>
      </w:pPr>
      <w:r>
        <w:rPr>
          <w:rFonts w:ascii="宋体" w:hAnsi="宋体" w:cs="宋体"/>
          <w:color w:val="auto"/>
        </w:rPr>
        <w:t>12.4</w:t>
      </w:r>
      <w:r>
        <w:rPr>
          <w:rFonts w:ascii="宋体" w:hAnsi="宋体" w:cs="宋体"/>
          <w:color w:val="auto"/>
        </w:rPr>
        <w:tab/>
      </w:r>
      <w:r>
        <w:rPr>
          <w:rFonts w:hint="eastAsia" w:ascii="宋体" w:hAnsi="宋体" w:cs="宋体"/>
          <w:color w:val="auto"/>
        </w:rPr>
        <w:t>供应商未按本须知第</w:t>
      </w:r>
      <w:r>
        <w:rPr>
          <w:rFonts w:ascii="宋体" w:hAnsi="宋体" w:cs="宋体"/>
          <w:color w:val="auto"/>
        </w:rPr>
        <w:t>12.1</w:t>
      </w:r>
      <w:r>
        <w:rPr>
          <w:rFonts w:hint="eastAsia" w:ascii="宋体" w:hAnsi="宋体" w:cs="宋体"/>
          <w:color w:val="auto"/>
        </w:rPr>
        <w:t>和</w:t>
      </w:r>
      <w:r>
        <w:rPr>
          <w:rFonts w:ascii="宋体" w:hAnsi="宋体" w:cs="宋体"/>
          <w:color w:val="auto"/>
        </w:rPr>
        <w:t>12.3</w:t>
      </w:r>
      <w:r>
        <w:rPr>
          <w:rFonts w:hint="eastAsia" w:ascii="宋体" w:hAnsi="宋体" w:cs="宋体"/>
          <w:color w:val="auto"/>
        </w:rPr>
        <w:t>条规定提交投标保证金的，其投标将被认定为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rPr>
          <w:rFonts w:ascii="宋体"/>
          <w:color w:val="auto"/>
        </w:rPr>
      </w:pPr>
      <w:r>
        <w:rPr>
          <w:rFonts w:ascii="宋体" w:hAnsi="宋体" w:cs="宋体"/>
          <w:color w:val="auto"/>
        </w:rPr>
        <w:t xml:space="preserve">12.4.1  </w:t>
      </w:r>
      <w:r>
        <w:rPr>
          <w:rFonts w:hint="eastAsia" w:ascii="宋体" w:hAnsi="宋体" w:cs="宋体"/>
          <w:color w:val="auto"/>
        </w:rPr>
        <w:t>采用电汇形式的，一般可以实时入账。</w:t>
      </w:r>
    </w:p>
    <w:p>
      <w:pPr>
        <w:spacing w:line="240" w:lineRule="atLeast"/>
        <w:ind w:left="31680" w:hanging="840" w:hangingChars="400"/>
        <w:jc w:val="left"/>
        <w:rPr>
          <w:rFonts w:ascii="宋体"/>
          <w:color w:val="auto"/>
        </w:rPr>
      </w:pPr>
      <w:r>
        <w:rPr>
          <w:rFonts w:ascii="宋体" w:hAnsi="宋体" w:cs="宋体"/>
          <w:color w:val="auto"/>
        </w:rPr>
        <w:t xml:space="preserve">12.4.2  </w:t>
      </w:r>
      <w:r>
        <w:rPr>
          <w:rFonts w:hint="eastAsia" w:ascii="宋体" w:hAnsi="宋体" w:cs="宋体"/>
          <w:color w:val="auto"/>
        </w:rPr>
        <w:t>采用支票形式的，供应商则应充分考虑支票入账时间，以确保投标保证金能按时进入指定账户。根据银行信息交换和付款时间，支票从递交至实际入账一般需要</w:t>
      </w:r>
      <w:r>
        <w:rPr>
          <w:rFonts w:ascii="宋体" w:hAnsi="宋体" w:cs="宋体"/>
          <w:color w:val="auto"/>
        </w:rPr>
        <w:t>4-5</w:t>
      </w:r>
      <w:r>
        <w:rPr>
          <w:rFonts w:hint="eastAsia" w:ascii="宋体" w:hAnsi="宋体" w:cs="宋体"/>
          <w:color w:val="auto"/>
        </w:rPr>
        <w:t>个工作日。如供应商未及时提交支票或支票不符合银行委托收款要求（如污损、折叠、胶装等），导致投标保证金不能按时进入指定账户的，将按照招标文件的第</w:t>
      </w:r>
      <w:r>
        <w:rPr>
          <w:rFonts w:ascii="宋体" w:hAnsi="宋体" w:cs="宋体"/>
          <w:color w:val="auto"/>
        </w:rPr>
        <w:t>22.2</w:t>
      </w:r>
      <w:r>
        <w:rPr>
          <w:rFonts w:hint="eastAsia" w:ascii="宋体" w:hAnsi="宋体" w:cs="宋体"/>
          <w:color w:val="auto"/>
        </w:rPr>
        <w:t>条相关规定处理。</w:t>
      </w:r>
    </w:p>
    <w:p>
      <w:pPr>
        <w:spacing w:line="240" w:lineRule="atLeast"/>
        <w:ind w:left="31680" w:hanging="787" w:hangingChars="375"/>
        <w:rPr>
          <w:rFonts w:ascii="宋体"/>
          <w:color w:val="auto"/>
        </w:rPr>
      </w:pPr>
      <w:r>
        <w:rPr>
          <w:rFonts w:ascii="宋体" w:hAnsi="宋体" w:cs="宋体"/>
          <w:color w:val="auto"/>
        </w:rPr>
        <w:t xml:space="preserve">12.5   </w:t>
      </w:r>
      <w:r>
        <w:rPr>
          <w:rFonts w:hint="eastAsia" w:ascii="宋体" w:hAnsi="宋体" w:cs="宋体"/>
          <w:color w:val="auto"/>
        </w:rPr>
        <w:t>联合体投标的，可以由联合体中的一方或者共同提交投标保证金。以一方名义提交投标保证金的，对联合体各方均具有约束力。</w:t>
      </w:r>
    </w:p>
    <w:p>
      <w:pPr>
        <w:spacing w:line="240" w:lineRule="atLeast"/>
        <w:ind w:left="31680" w:hanging="787" w:hangingChars="375"/>
        <w:rPr>
          <w:rFonts w:ascii="宋体"/>
          <w:color w:val="auto"/>
        </w:rPr>
      </w:pPr>
      <w:r>
        <w:rPr>
          <w:rFonts w:ascii="宋体" w:hAnsi="宋体" w:cs="宋体"/>
          <w:color w:val="auto"/>
        </w:rPr>
        <w:t>12.6</w:t>
      </w:r>
      <w:r>
        <w:rPr>
          <w:rFonts w:ascii="宋体" w:hAnsi="宋体" w:cs="宋体"/>
          <w:color w:val="auto"/>
        </w:rPr>
        <w:tab/>
      </w:r>
      <w:r>
        <w:rPr>
          <w:rFonts w:hint="eastAsia" w:ascii="宋体" w:hAnsi="宋体" w:cs="宋体"/>
          <w:color w:val="auto"/>
        </w:rPr>
        <w:t>投标保证金的退还</w:t>
      </w:r>
    </w:p>
    <w:p>
      <w:pPr>
        <w:spacing w:line="240" w:lineRule="atLeast"/>
        <w:ind w:left="31680" w:hanging="787" w:hangingChars="375"/>
        <w:rPr>
          <w:rFonts w:ascii="宋体"/>
          <w:color w:val="auto"/>
        </w:rPr>
      </w:pPr>
      <w:r>
        <w:rPr>
          <w:rFonts w:ascii="宋体" w:hAnsi="宋体" w:cs="宋体"/>
          <w:color w:val="auto"/>
        </w:rPr>
        <w:t xml:space="preserve">12.6.1  </w:t>
      </w:r>
      <w:r>
        <w:rPr>
          <w:rFonts w:hint="eastAsia" w:ascii="宋体" w:hAnsi="宋体" w:cs="宋体"/>
          <w:color w:val="auto"/>
        </w:rPr>
        <w:t>中标人应在与采购人签订合同之日起</w:t>
      </w:r>
      <w:r>
        <w:rPr>
          <w:rFonts w:ascii="宋体" w:hAnsi="宋体" w:cs="宋体"/>
          <w:color w:val="auto"/>
        </w:rPr>
        <w:t>5</w:t>
      </w:r>
      <w:r>
        <w:rPr>
          <w:rFonts w:hint="eastAsia" w:ascii="宋体" w:hAnsi="宋体" w:cs="宋体"/>
          <w:color w:val="auto"/>
        </w:rPr>
        <w:t>个工作日内，及时联系保证金收受机构办理投标保证金无息退还手续。</w:t>
      </w:r>
    </w:p>
    <w:p>
      <w:pPr>
        <w:spacing w:line="240" w:lineRule="atLeast"/>
        <w:ind w:left="31680" w:hanging="840" w:hangingChars="400"/>
        <w:rPr>
          <w:rFonts w:ascii="宋体"/>
          <w:color w:val="auto"/>
        </w:rPr>
      </w:pPr>
      <w:r>
        <w:rPr>
          <w:rFonts w:ascii="宋体" w:hAnsi="宋体" w:cs="宋体"/>
          <w:color w:val="auto"/>
        </w:rPr>
        <w:t xml:space="preserve">12.6.2  </w:t>
      </w:r>
      <w:r>
        <w:rPr>
          <w:rFonts w:hint="eastAsia" w:ascii="宋体" w:hAnsi="宋体" w:cs="宋体"/>
          <w:color w:val="auto"/>
        </w:rPr>
        <w:t>未中标供应商的投标保证金将在中标通知书发出之日暨中标结果公告公布之日起</w:t>
      </w:r>
      <w:r>
        <w:rPr>
          <w:rFonts w:ascii="宋体" w:hAnsi="宋体" w:cs="宋体"/>
          <w:color w:val="auto"/>
        </w:rPr>
        <w:t>5</w:t>
      </w:r>
      <w:r>
        <w:rPr>
          <w:rFonts w:hint="eastAsia" w:ascii="宋体" w:hAnsi="宋体" w:cs="宋体"/>
          <w:color w:val="auto"/>
        </w:rPr>
        <w:t>个工作日内无息退还。供应商应及时联系保证金收受机构办理退还投标保证金手续。</w:t>
      </w:r>
    </w:p>
    <w:p>
      <w:pPr>
        <w:spacing w:line="240" w:lineRule="atLeast"/>
        <w:rPr>
          <w:rFonts w:ascii="宋体"/>
          <w:color w:val="auto"/>
        </w:rPr>
      </w:pPr>
      <w:r>
        <w:rPr>
          <w:rFonts w:ascii="宋体" w:hAnsi="宋体" w:cs="宋体"/>
          <w:color w:val="auto"/>
        </w:rPr>
        <w:t xml:space="preserve">12.6.3  </w:t>
      </w:r>
      <w:r>
        <w:rPr>
          <w:rFonts w:hint="eastAsia" w:ascii="宋体" w:hAnsi="宋体" w:cs="宋体"/>
          <w:color w:val="auto"/>
        </w:rPr>
        <w:t>政府采购投标担保函不予退回。</w:t>
      </w:r>
    </w:p>
    <w:p>
      <w:pPr>
        <w:spacing w:line="240" w:lineRule="atLeast"/>
        <w:ind w:left="31680" w:hanging="840" w:hangingChars="400"/>
        <w:rPr>
          <w:rFonts w:ascii="宋体"/>
          <w:color w:val="auto"/>
        </w:rPr>
      </w:pPr>
      <w:r>
        <w:rPr>
          <w:rFonts w:ascii="宋体" w:hAnsi="宋体" w:cs="宋体"/>
          <w:color w:val="auto"/>
        </w:rPr>
        <w:t xml:space="preserve">12.7    </w:t>
      </w:r>
      <w:r>
        <w:rPr>
          <w:rFonts w:hint="eastAsia" w:ascii="宋体" w:hAnsi="宋体" w:cs="宋体"/>
          <w:color w:val="auto"/>
        </w:rPr>
        <w:t>因供应商自身原因导致无法及时退还的，采购人或采购代理机构将不承担相应责任。</w:t>
      </w:r>
    </w:p>
    <w:p>
      <w:pPr>
        <w:pStyle w:val="5"/>
        <w:spacing w:before="0" w:after="0" w:line="240" w:lineRule="atLeast"/>
        <w:rPr>
          <w:rFonts w:hAnsi="宋体" w:cs="Times New Roman"/>
          <w:color w:val="auto"/>
          <w:sz w:val="21"/>
          <w:szCs w:val="21"/>
          <w:u w:val="none"/>
        </w:rPr>
      </w:pPr>
      <w:bookmarkStart w:id="95" w:name="_Toc520356157"/>
      <w:bookmarkStart w:id="96" w:name="_Toc515647772"/>
      <w:bookmarkStart w:id="97" w:name="_Toc23590"/>
      <w:bookmarkStart w:id="98" w:name="_Toc32569"/>
      <w:bookmarkStart w:id="99" w:name="_Toc26580"/>
      <w:r>
        <w:rPr>
          <w:rFonts w:hAnsi="宋体"/>
          <w:color w:val="auto"/>
          <w:sz w:val="21"/>
          <w:szCs w:val="21"/>
          <w:u w:val="none"/>
        </w:rPr>
        <w:t>13.</w:t>
      </w:r>
      <w:r>
        <w:rPr>
          <w:rFonts w:hint="eastAsia" w:hAnsi="宋体"/>
          <w:color w:val="auto"/>
          <w:sz w:val="21"/>
          <w:szCs w:val="21"/>
          <w:u w:val="none"/>
        </w:rPr>
        <w:t>投标有效期</w:t>
      </w:r>
      <w:bookmarkEnd w:id="95"/>
      <w:bookmarkEnd w:id="96"/>
      <w:bookmarkEnd w:id="97"/>
      <w:bookmarkEnd w:id="98"/>
      <w:bookmarkEnd w:id="99"/>
    </w:p>
    <w:p>
      <w:pPr>
        <w:spacing w:line="240" w:lineRule="atLeast"/>
        <w:ind w:left="31680" w:hanging="787" w:hangingChars="375"/>
        <w:rPr>
          <w:rFonts w:ascii="宋体"/>
          <w:color w:val="auto"/>
        </w:rPr>
      </w:pPr>
      <w:r>
        <w:rPr>
          <w:rFonts w:ascii="宋体" w:hAnsi="宋体" w:cs="宋体"/>
          <w:color w:val="auto"/>
        </w:rPr>
        <w:t>13.1</w:t>
      </w:r>
      <w:r>
        <w:rPr>
          <w:rFonts w:ascii="宋体" w:hAnsi="宋体" w:cs="宋体"/>
          <w:color w:val="auto"/>
        </w:rPr>
        <w:tab/>
      </w:r>
      <w:r>
        <w:rPr>
          <w:rFonts w:hint="eastAsia" w:ascii="宋体" w:hAnsi="宋体" w:cs="宋体"/>
          <w:color w:val="auto"/>
        </w:rPr>
        <w:t>投标应在</w:t>
      </w:r>
      <w:r>
        <w:rPr>
          <w:rFonts w:hint="eastAsia" w:ascii="宋体" w:hAnsi="宋体" w:cs="宋体"/>
          <w:color w:val="auto"/>
          <w:u w:val="single"/>
        </w:rPr>
        <w:t>供应商须知资料表</w:t>
      </w:r>
      <w:r>
        <w:rPr>
          <w:rFonts w:hint="eastAsia" w:ascii="宋体" w:hAnsi="宋体" w:cs="宋体"/>
          <w:color w:val="auto"/>
        </w:rPr>
        <w:t>中规定时间内保持有效。投标有效期不满足要求的投标，其投标将被认定为</w:t>
      </w:r>
      <w:r>
        <w:rPr>
          <w:rFonts w:hint="eastAsia" w:ascii="宋体" w:hAnsi="宋体" w:cs="宋体"/>
          <w:b/>
          <w:bCs/>
          <w:color w:val="auto"/>
        </w:rPr>
        <w:t>投标无效</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13.2</w:t>
      </w:r>
      <w:r>
        <w:rPr>
          <w:rFonts w:ascii="宋体" w:hAnsi="宋体" w:cs="宋体"/>
          <w:color w:val="auto"/>
        </w:rPr>
        <w:tab/>
      </w:r>
      <w:r>
        <w:rPr>
          <w:rFonts w:hint="eastAsia" w:ascii="宋体" w:hAnsi="宋体" w:cs="宋体"/>
          <w:color w:val="auto"/>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pPr>
        <w:pStyle w:val="5"/>
        <w:spacing w:before="0" w:after="0" w:line="240" w:lineRule="atLeast"/>
        <w:rPr>
          <w:rFonts w:hAnsi="宋体" w:cs="Times New Roman"/>
          <w:color w:val="auto"/>
          <w:sz w:val="21"/>
          <w:szCs w:val="21"/>
          <w:u w:val="none"/>
        </w:rPr>
      </w:pPr>
      <w:bookmarkStart w:id="100" w:name="_Toc520356158"/>
      <w:bookmarkStart w:id="101" w:name="_Toc20503"/>
      <w:bookmarkStart w:id="102" w:name="_Toc515647773"/>
      <w:bookmarkStart w:id="103" w:name="_Toc17074"/>
      <w:bookmarkStart w:id="104" w:name="_Toc493"/>
      <w:r>
        <w:rPr>
          <w:rFonts w:hAnsi="宋体"/>
          <w:color w:val="auto"/>
          <w:sz w:val="21"/>
          <w:szCs w:val="21"/>
          <w:u w:val="none"/>
        </w:rPr>
        <w:t>14.</w:t>
      </w:r>
      <w:r>
        <w:rPr>
          <w:rFonts w:hint="eastAsia" w:hAnsi="宋体"/>
          <w:color w:val="auto"/>
          <w:sz w:val="21"/>
          <w:szCs w:val="21"/>
          <w:u w:val="none"/>
        </w:rPr>
        <w:t>投标文件的签署</w:t>
      </w:r>
      <w:bookmarkEnd w:id="100"/>
      <w:r>
        <w:rPr>
          <w:rFonts w:hint="eastAsia" w:hAnsi="宋体"/>
          <w:color w:val="auto"/>
          <w:sz w:val="21"/>
          <w:szCs w:val="21"/>
          <w:u w:val="none"/>
        </w:rPr>
        <w:t>及规定</w:t>
      </w:r>
      <w:bookmarkEnd w:id="101"/>
      <w:bookmarkEnd w:id="102"/>
      <w:bookmarkEnd w:id="103"/>
      <w:bookmarkEnd w:id="104"/>
    </w:p>
    <w:p>
      <w:pPr>
        <w:spacing w:line="240" w:lineRule="atLeast"/>
        <w:ind w:left="31680" w:hanging="787" w:hangingChars="375"/>
        <w:rPr>
          <w:rFonts w:ascii="宋体"/>
          <w:color w:val="auto"/>
        </w:rPr>
      </w:pPr>
      <w:bookmarkStart w:id="105" w:name="_Toc12751"/>
      <w:bookmarkStart w:id="106" w:name="_Toc520356161"/>
      <w:bookmarkStart w:id="107" w:name="_Toc9840"/>
      <w:bookmarkStart w:id="108" w:name="_Toc515647776"/>
      <w:r>
        <w:rPr>
          <w:rFonts w:ascii="宋体" w:hAnsi="宋体" w:cs="宋体"/>
          <w:color w:val="auto"/>
        </w:rPr>
        <w:t>14.1</w:t>
      </w:r>
      <w:r>
        <w:rPr>
          <w:rFonts w:ascii="宋体" w:hAnsi="宋体" w:cs="宋体"/>
          <w:color w:val="auto"/>
        </w:rPr>
        <w:tab/>
      </w:r>
      <w:r>
        <w:rPr>
          <w:rFonts w:hint="eastAsia" w:ascii="宋体" w:hAnsi="宋体" w:cs="宋体"/>
          <w:color w:val="auto"/>
        </w:rPr>
        <w:t>供应商应按供应商须知资料表中的规定，准备和递交投标文件正本、副本、开标一览表和电子</w:t>
      </w:r>
      <w:r>
        <w:rPr>
          <w:rFonts w:ascii="宋体" w:hAnsi="宋体" w:cs="宋体"/>
          <w:color w:val="auto"/>
        </w:rPr>
        <w:t>U</w:t>
      </w:r>
      <w:r>
        <w:rPr>
          <w:rFonts w:hint="eastAsia" w:ascii="宋体" w:hAnsi="宋体" w:cs="宋体"/>
          <w:color w:val="auto"/>
        </w:rPr>
        <w:t>盘，每份投标文件封皮须清楚地标明“正本”或“副本”。若正本和副本不符，以正本为准。</w:t>
      </w:r>
    </w:p>
    <w:p>
      <w:pPr>
        <w:spacing w:line="240" w:lineRule="atLeast"/>
        <w:ind w:left="31680" w:hanging="787" w:hangingChars="375"/>
        <w:rPr>
          <w:rFonts w:ascii="宋体"/>
          <w:color w:val="auto"/>
        </w:rPr>
      </w:pPr>
      <w:r>
        <w:rPr>
          <w:rFonts w:ascii="宋体" w:hAnsi="宋体" w:cs="宋体"/>
          <w:color w:val="auto"/>
        </w:rPr>
        <w:t xml:space="preserve">14.2  </w:t>
      </w:r>
      <w:r>
        <w:rPr>
          <w:rFonts w:hint="eastAsia" w:ascii="宋体" w:hAnsi="宋体" w:cs="宋体"/>
          <w:color w:val="auto"/>
        </w:rPr>
        <w:t>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spacing w:line="240" w:lineRule="atLeast"/>
        <w:ind w:left="31680" w:hanging="787" w:hangingChars="375"/>
        <w:rPr>
          <w:rFonts w:ascii="宋体"/>
          <w:color w:val="auto"/>
        </w:rPr>
      </w:pPr>
      <w:r>
        <w:rPr>
          <w:rFonts w:ascii="宋体" w:hAnsi="宋体" w:cs="宋体"/>
          <w:color w:val="auto"/>
        </w:rPr>
        <w:t xml:space="preserve">14.3    </w:t>
      </w:r>
      <w:r>
        <w:rPr>
          <w:rFonts w:hint="eastAsia" w:ascii="宋体" w:hAnsi="宋体" w:cs="宋体"/>
          <w:color w:val="auto"/>
        </w:rPr>
        <w:t>所有投标文件采用不可拆装的胶订方式装订，否则其投标文件将被认定为无效。</w:t>
      </w:r>
    </w:p>
    <w:p>
      <w:pPr>
        <w:spacing w:line="240" w:lineRule="atLeast"/>
        <w:ind w:left="31680" w:hanging="787" w:hangingChars="375"/>
        <w:rPr>
          <w:rFonts w:ascii="宋体"/>
          <w:color w:val="auto"/>
        </w:rPr>
      </w:pPr>
      <w:r>
        <w:rPr>
          <w:rFonts w:ascii="宋体" w:hAnsi="宋体" w:cs="宋体"/>
          <w:color w:val="auto"/>
        </w:rPr>
        <w:t>14.4</w:t>
      </w:r>
      <w:r>
        <w:rPr>
          <w:rFonts w:ascii="宋体" w:hAnsi="宋体" w:cs="宋体"/>
          <w:color w:val="auto"/>
        </w:rPr>
        <w:tab/>
      </w:r>
      <w:r>
        <w:rPr>
          <w:rFonts w:hint="eastAsia" w:ascii="宋体" w:hAnsi="宋体" w:cs="宋体"/>
          <w:color w:val="auto"/>
        </w:rPr>
        <w:t>投标文件因字迹潦草、表达不清或装订不当所引起的后果由供应商负责。</w:t>
      </w:r>
    </w:p>
    <w:p>
      <w:pPr>
        <w:pStyle w:val="2"/>
        <w:rPr>
          <w:rFonts w:hAnsi="宋体" w:cs="Times New Roman"/>
          <w:color w:val="auto"/>
        </w:rPr>
      </w:pPr>
    </w:p>
    <w:p>
      <w:pPr>
        <w:pStyle w:val="4"/>
        <w:spacing w:before="0" w:line="240" w:lineRule="atLeast"/>
        <w:ind w:left="1080" w:leftChars="257" w:hanging="540"/>
        <w:rPr>
          <w:rFonts w:ascii="宋体" w:hAnsi="宋体" w:eastAsia="宋体" w:cs="Times New Roman"/>
          <w:b/>
          <w:bCs/>
          <w:color w:val="auto"/>
          <w:sz w:val="21"/>
          <w:szCs w:val="21"/>
        </w:rPr>
      </w:pPr>
      <w:bookmarkStart w:id="109" w:name="_Toc16504"/>
      <w:bookmarkStart w:id="110" w:name="_Toc17149"/>
      <w:bookmarkStart w:id="111" w:name="_Toc13349"/>
      <w:r>
        <w:rPr>
          <w:rFonts w:hint="eastAsia" w:ascii="宋体" w:hAnsi="宋体" w:eastAsia="宋体" w:cs="宋体"/>
          <w:b/>
          <w:bCs/>
          <w:color w:val="auto"/>
          <w:sz w:val="21"/>
          <w:szCs w:val="21"/>
        </w:rPr>
        <w:t>四</w:t>
      </w:r>
      <w:r>
        <w:rPr>
          <w:rFonts w:ascii="宋体" w:hAnsi="宋体" w:eastAsia="宋体" w:cs="宋体"/>
          <w:b/>
          <w:bCs/>
          <w:color w:val="auto"/>
          <w:sz w:val="21"/>
          <w:szCs w:val="21"/>
        </w:rPr>
        <w:t xml:space="preserve">   </w:t>
      </w:r>
      <w:r>
        <w:rPr>
          <w:rFonts w:hint="eastAsia" w:ascii="宋体" w:hAnsi="宋体" w:eastAsia="宋体" w:cs="宋体"/>
          <w:b/>
          <w:bCs/>
          <w:color w:val="auto"/>
          <w:sz w:val="21"/>
          <w:szCs w:val="21"/>
        </w:rPr>
        <w:t>投标文件的递交</w:t>
      </w:r>
      <w:bookmarkEnd w:id="109"/>
      <w:bookmarkEnd w:id="110"/>
      <w:bookmarkEnd w:id="111"/>
    </w:p>
    <w:p>
      <w:pPr>
        <w:pStyle w:val="5"/>
        <w:spacing w:before="0" w:after="0" w:line="240" w:lineRule="atLeast"/>
        <w:rPr>
          <w:rFonts w:hAnsi="宋体" w:cs="Times New Roman"/>
          <w:color w:val="auto"/>
          <w:sz w:val="21"/>
          <w:szCs w:val="21"/>
          <w:u w:val="none"/>
        </w:rPr>
      </w:pPr>
      <w:bookmarkStart w:id="112" w:name="_Toc28066_WPSOffice_Level2"/>
      <w:bookmarkStart w:id="113" w:name="_Toc520356160"/>
      <w:bookmarkStart w:id="114" w:name="_Toc21645"/>
      <w:bookmarkStart w:id="115" w:name="_Toc31822"/>
      <w:bookmarkStart w:id="116" w:name="_Toc32337"/>
      <w:bookmarkStart w:id="117" w:name="_Toc515647775"/>
      <w:bookmarkStart w:id="118" w:name="_Toc25849_WPSOffice_Level2"/>
      <w:r>
        <w:rPr>
          <w:rFonts w:hAnsi="宋体"/>
          <w:color w:val="auto"/>
          <w:sz w:val="21"/>
          <w:szCs w:val="21"/>
          <w:u w:val="none"/>
        </w:rPr>
        <w:t>15.</w:t>
      </w:r>
      <w:r>
        <w:rPr>
          <w:rFonts w:hint="eastAsia" w:hAnsi="宋体"/>
          <w:color w:val="auto"/>
          <w:sz w:val="21"/>
          <w:szCs w:val="21"/>
          <w:u w:val="none"/>
        </w:rPr>
        <w:t>投标文件的密封和标记</w:t>
      </w:r>
      <w:bookmarkEnd w:id="112"/>
      <w:bookmarkEnd w:id="113"/>
      <w:bookmarkEnd w:id="114"/>
      <w:bookmarkEnd w:id="115"/>
      <w:bookmarkEnd w:id="116"/>
      <w:bookmarkEnd w:id="117"/>
      <w:bookmarkEnd w:id="118"/>
    </w:p>
    <w:p>
      <w:pPr>
        <w:spacing w:line="240" w:lineRule="atLeast"/>
        <w:ind w:left="31680" w:hanging="787" w:hangingChars="375"/>
        <w:rPr>
          <w:rFonts w:ascii="宋体"/>
          <w:color w:val="auto"/>
        </w:rPr>
      </w:pPr>
      <w:r>
        <w:rPr>
          <w:rFonts w:ascii="宋体" w:hAnsi="宋体" w:cs="宋体"/>
          <w:color w:val="auto"/>
        </w:rPr>
        <w:t xml:space="preserve">15.1   </w:t>
      </w:r>
      <w:r>
        <w:rPr>
          <w:rFonts w:hint="eastAsia" w:ascii="宋体" w:hAnsi="宋体" w:cs="宋体"/>
          <w:color w:val="auto"/>
        </w:rPr>
        <w:t>为方便谈判开启及进行资格审查，供应商应将投标文件第一部分和第二部分的内容合订成一册密封提交，并在封皮正面标明“投标文件”字样。</w:t>
      </w:r>
    </w:p>
    <w:p>
      <w:pPr>
        <w:spacing w:line="240" w:lineRule="atLeast"/>
        <w:ind w:left="31680" w:hanging="787" w:hangingChars="375"/>
        <w:rPr>
          <w:rFonts w:ascii="宋体"/>
          <w:color w:val="auto"/>
        </w:rPr>
      </w:pPr>
      <w:r>
        <w:rPr>
          <w:rFonts w:ascii="宋体" w:hAnsi="宋体" w:cs="宋体"/>
          <w:color w:val="auto"/>
        </w:rPr>
        <w:t xml:space="preserve">15.2   </w:t>
      </w:r>
      <w:r>
        <w:rPr>
          <w:rFonts w:hint="eastAsia" w:ascii="宋体" w:hAnsi="宋体" w:cs="宋体"/>
          <w:color w:val="auto"/>
        </w:rPr>
        <w:t>所有包装封皮和信封上均应：</w:t>
      </w:r>
    </w:p>
    <w:p>
      <w:pPr>
        <w:spacing w:line="240" w:lineRule="atLeast"/>
        <w:ind w:left="31680" w:hanging="787" w:hangingChars="375"/>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）注明采购公告或谈判邀请书中指明的项目名称、项目编号、供应商名称和“在（投标报价开启时间）之前不得启封”的字样。</w:t>
      </w:r>
    </w:p>
    <w:p>
      <w:pPr>
        <w:spacing w:line="240" w:lineRule="atLeast"/>
        <w:ind w:left="31680" w:hanging="787" w:hangingChars="375"/>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b/>
          <w:bCs/>
          <w:color w:val="auto"/>
          <w:sz w:val="24"/>
          <w:szCs w:val="24"/>
        </w:rPr>
        <w:t>在封口处加盖供应商单位章。</w:t>
      </w:r>
    </w:p>
    <w:p>
      <w:pPr>
        <w:spacing w:line="240" w:lineRule="atLeast"/>
        <w:ind w:left="31680" w:hanging="787" w:hangingChars="375"/>
        <w:rPr>
          <w:rFonts w:ascii="宋体"/>
          <w:color w:val="auto"/>
        </w:rPr>
      </w:pPr>
      <w:r>
        <w:rPr>
          <w:rFonts w:ascii="宋体" w:hAnsi="宋体" w:cs="宋体"/>
          <w:color w:val="auto"/>
        </w:rPr>
        <w:t xml:space="preserve">15.3    </w:t>
      </w:r>
      <w:r>
        <w:rPr>
          <w:rFonts w:hint="eastAsia" w:ascii="宋体" w:hAnsi="宋体" w:cs="宋体"/>
          <w:color w:val="auto"/>
        </w:rPr>
        <w:t>如果供应商未按上述要求密封标记的，将承担相应的后果。</w:t>
      </w:r>
    </w:p>
    <w:p>
      <w:pPr>
        <w:pStyle w:val="5"/>
        <w:spacing w:before="0" w:after="0" w:line="240" w:lineRule="atLeast"/>
        <w:rPr>
          <w:rFonts w:hAnsi="宋体" w:cs="Times New Roman"/>
          <w:color w:val="auto"/>
          <w:sz w:val="21"/>
          <w:szCs w:val="21"/>
          <w:u w:val="none"/>
        </w:rPr>
      </w:pPr>
      <w:r>
        <w:rPr>
          <w:rFonts w:hAnsi="宋体"/>
          <w:color w:val="auto"/>
          <w:sz w:val="21"/>
          <w:szCs w:val="21"/>
          <w:u w:val="none"/>
        </w:rPr>
        <w:t>16.</w:t>
      </w:r>
      <w:r>
        <w:rPr>
          <w:rFonts w:hint="eastAsia" w:hAnsi="宋体"/>
          <w:color w:val="auto"/>
          <w:sz w:val="21"/>
          <w:szCs w:val="21"/>
          <w:u w:val="none"/>
        </w:rPr>
        <w:t>投标截止</w:t>
      </w:r>
    </w:p>
    <w:p>
      <w:pPr>
        <w:spacing w:line="240" w:lineRule="atLeast"/>
        <w:ind w:left="31680" w:hanging="787" w:hangingChars="375"/>
        <w:rPr>
          <w:rFonts w:ascii="宋体"/>
          <w:color w:val="auto"/>
        </w:rPr>
      </w:pPr>
      <w:r>
        <w:rPr>
          <w:rFonts w:ascii="宋体" w:hAnsi="宋体" w:cs="宋体"/>
          <w:color w:val="auto"/>
        </w:rPr>
        <w:t>16.1</w:t>
      </w:r>
      <w:r>
        <w:rPr>
          <w:rFonts w:ascii="宋体" w:hAnsi="宋体" w:cs="宋体"/>
          <w:color w:val="auto"/>
        </w:rPr>
        <w:tab/>
      </w:r>
      <w:r>
        <w:rPr>
          <w:rFonts w:hint="eastAsia" w:ascii="宋体" w:hAnsi="宋体" w:cs="宋体"/>
          <w:color w:val="auto"/>
        </w:rPr>
        <w:t>供应商应在</w:t>
      </w:r>
      <w:r>
        <w:rPr>
          <w:rFonts w:hint="eastAsia" w:ascii="宋体" w:hAnsi="宋体" w:cs="宋体"/>
          <w:color w:val="auto"/>
          <w:u w:val="single"/>
        </w:rPr>
        <w:t>供应商须知资料表中</w:t>
      </w:r>
      <w:r>
        <w:rPr>
          <w:rFonts w:hint="eastAsia" w:ascii="宋体" w:hAnsi="宋体" w:cs="宋体"/>
          <w:color w:val="auto"/>
        </w:rPr>
        <w:t>规定的截止时间前，将投标文件递交到招标公告中规定的地点。</w:t>
      </w:r>
    </w:p>
    <w:p>
      <w:pPr>
        <w:spacing w:line="240" w:lineRule="atLeast"/>
        <w:ind w:left="31680" w:hanging="787" w:hangingChars="375"/>
        <w:rPr>
          <w:rFonts w:ascii="宋体"/>
          <w:color w:val="auto"/>
        </w:rPr>
      </w:pPr>
      <w:r>
        <w:rPr>
          <w:rFonts w:ascii="宋体" w:hAnsi="宋体" w:cs="宋体"/>
          <w:color w:val="auto"/>
        </w:rPr>
        <w:t>16.2</w:t>
      </w:r>
      <w:r>
        <w:rPr>
          <w:rFonts w:ascii="宋体" w:hAnsi="宋体" w:cs="宋体"/>
          <w:color w:val="auto"/>
        </w:rPr>
        <w:tab/>
      </w:r>
      <w:r>
        <w:rPr>
          <w:rFonts w:hint="eastAsia" w:ascii="宋体" w:hAnsi="宋体" w:cs="宋体"/>
          <w:color w:val="auto"/>
        </w:rPr>
        <w:t>采购人和采购代理机构有权按本须知的规定，延迟投标截止时间。在此情况下，采购人、采购代理机构和供应商受投标截止时间制约的所有权利和义务均应延长至新的截止时间。</w:t>
      </w:r>
    </w:p>
    <w:p>
      <w:pPr>
        <w:spacing w:line="240" w:lineRule="atLeast"/>
        <w:ind w:left="31680" w:hanging="787" w:hangingChars="375"/>
        <w:rPr>
          <w:rFonts w:ascii="宋体"/>
          <w:color w:val="auto"/>
        </w:rPr>
      </w:pPr>
      <w:r>
        <w:rPr>
          <w:rFonts w:ascii="宋体" w:hAnsi="宋体" w:cs="宋体"/>
          <w:color w:val="auto"/>
        </w:rPr>
        <w:t>16.3</w:t>
      </w:r>
      <w:r>
        <w:rPr>
          <w:rFonts w:ascii="宋体" w:hAnsi="宋体" w:cs="宋体"/>
          <w:color w:val="auto"/>
        </w:rPr>
        <w:tab/>
      </w:r>
      <w:r>
        <w:rPr>
          <w:rFonts w:hint="eastAsia" w:ascii="宋体" w:hAnsi="宋体" w:cs="宋体"/>
          <w:color w:val="auto"/>
        </w:rPr>
        <w:t>采购人和采购代理机构将拒绝接收在投标截止时间后送达的投标文件。</w:t>
      </w:r>
    </w:p>
    <w:p>
      <w:pPr>
        <w:pStyle w:val="5"/>
        <w:spacing w:before="0" w:after="0" w:line="360" w:lineRule="exact"/>
        <w:rPr>
          <w:rFonts w:hAnsi="宋体" w:cs="Times New Roman"/>
          <w:color w:val="auto"/>
          <w:sz w:val="21"/>
          <w:szCs w:val="21"/>
          <w:u w:val="none"/>
        </w:rPr>
      </w:pPr>
      <w:bookmarkStart w:id="119" w:name="_Toc18537"/>
      <w:bookmarkStart w:id="120" w:name="_Toc32303"/>
      <w:bookmarkStart w:id="121" w:name="_Toc520356162"/>
      <w:bookmarkStart w:id="122" w:name="_Toc24275"/>
      <w:bookmarkStart w:id="123" w:name="_Toc515647777"/>
      <w:r>
        <w:rPr>
          <w:rFonts w:hAnsi="宋体"/>
          <w:color w:val="auto"/>
          <w:sz w:val="21"/>
          <w:szCs w:val="21"/>
          <w:u w:val="none"/>
        </w:rPr>
        <w:t>17.</w:t>
      </w:r>
      <w:r>
        <w:rPr>
          <w:rFonts w:hint="eastAsia" w:hAnsi="宋体"/>
          <w:color w:val="auto"/>
          <w:sz w:val="21"/>
          <w:szCs w:val="21"/>
          <w:u w:val="none"/>
        </w:rPr>
        <w:t>投标文件的接收、修改与撤回</w:t>
      </w:r>
      <w:bookmarkEnd w:id="119"/>
      <w:bookmarkEnd w:id="120"/>
      <w:bookmarkEnd w:id="121"/>
      <w:bookmarkEnd w:id="122"/>
      <w:bookmarkEnd w:id="123"/>
    </w:p>
    <w:p>
      <w:pPr>
        <w:spacing w:line="360" w:lineRule="exact"/>
        <w:ind w:left="31680" w:hanging="787" w:hangingChars="375"/>
        <w:rPr>
          <w:rFonts w:ascii="宋体"/>
          <w:color w:val="auto"/>
        </w:rPr>
      </w:pPr>
      <w:r>
        <w:rPr>
          <w:rFonts w:ascii="宋体" w:hAnsi="宋体" w:cs="宋体"/>
          <w:color w:val="auto"/>
        </w:rPr>
        <w:t>17.1</w:t>
      </w:r>
      <w:r>
        <w:rPr>
          <w:rFonts w:ascii="宋体" w:hAnsi="宋体" w:cs="宋体"/>
          <w:color w:val="auto"/>
        </w:rPr>
        <w:tab/>
      </w:r>
      <w:r>
        <w:rPr>
          <w:rFonts w:hint="eastAsia" w:ascii="宋体" w:hAnsi="宋体" w:cs="宋体"/>
          <w:color w:val="auto"/>
        </w:rPr>
        <w:t>在投标截止时间后送达的投标文件的，采购人和采购代理机构将拒绝接收。</w:t>
      </w:r>
    </w:p>
    <w:p>
      <w:pPr>
        <w:spacing w:line="360" w:lineRule="exact"/>
        <w:ind w:left="31680" w:hanging="735" w:hangingChars="350"/>
        <w:rPr>
          <w:rFonts w:ascii="宋体"/>
          <w:color w:val="auto"/>
        </w:rPr>
      </w:pPr>
      <w:r>
        <w:rPr>
          <w:rFonts w:ascii="宋体" w:hAnsi="宋体" w:cs="宋体"/>
          <w:color w:val="auto"/>
        </w:rPr>
        <w:t>17.2</w:t>
      </w:r>
      <w:r>
        <w:rPr>
          <w:rFonts w:ascii="宋体" w:hAnsi="宋体" w:cs="宋体"/>
          <w:color w:val="auto"/>
        </w:rPr>
        <w:tab/>
      </w:r>
      <w:r>
        <w:rPr>
          <w:rFonts w:hint="eastAsia" w:ascii="宋体" w:hAnsi="宋体" w:cs="宋体"/>
          <w:color w:val="auto"/>
        </w:rPr>
        <w:t>递交投标文件以后，如果投标人要进行修改或撤回投标，须提出书面申请并在投标截止时间前送达开标地点，投标人对投标文件的修改或撤回通知应按本须知规定编制、密封、标记。</w:t>
      </w:r>
    </w:p>
    <w:p>
      <w:pPr>
        <w:spacing w:line="360" w:lineRule="exact"/>
        <w:ind w:left="735" w:leftChars="350" w:firstLine="105" w:firstLineChars="50"/>
        <w:rPr>
          <w:rFonts w:ascii="宋体"/>
          <w:color w:val="auto"/>
        </w:rPr>
      </w:pPr>
      <w:r>
        <w:rPr>
          <w:rFonts w:hint="eastAsia" w:ascii="宋体" w:hAnsi="宋体" w:cs="宋体"/>
          <w:color w:val="auto"/>
        </w:rPr>
        <w:t>采购人和采购代理机构将予以接收，并视为投标文件的组成部分。</w:t>
      </w:r>
    </w:p>
    <w:p>
      <w:pPr>
        <w:spacing w:line="360" w:lineRule="exact"/>
        <w:ind w:left="31680" w:hanging="787" w:hangingChars="375"/>
        <w:rPr>
          <w:rFonts w:ascii="宋体"/>
          <w:color w:val="auto"/>
        </w:rPr>
      </w:pPr>
      <w:r>
        <w:rPr>
          <w:rFonts w:ascii="宋体" w:hAnsi="宋体" w:cs="宋体"/>
          <w:color w:val="auto"/>
        </w:rPr>
        <w:t>17.3</w:t>
      </w:r>
      <w:r>
        <w:rPr>
          <w:rFonts w:ascii="宋体" w:hAnsi="宋体" w:cs="宋体"/>
          <w:color w:val="auto"/>
        </w:rPr>
        <w:tab/>
      </w:r>
      <w:r>
        <w:rPr>
          <w:rFonts w:hint="eastAsia" w:ascii="宋体" w:hAnsi="宋体" w:cs="宋体"/>
          <w:color w:val="auto"/>
        </w:rPr>
        <w:t>在投标截止期之后，采购人和采购代理机构不接受投标人主动对其投标文件做任何修改。</w:t>
      </w:r>
    </w:p>
    <w:p>
      <w:pPr>
        <w:pStyle w:val="20"/>
        <w:ind w:firstLine="0" w:firstLineChars="0"/>
        <w:rPr>
          <w:rFonts w:ascii="宋体"/>
          <w:color w:val="auto"/>
          <w:sz w:val="21"/>
          <w:szCs w:val="21"/>
        </w:rPr>
      </w:pPr>
      <w:r>
        <w:rPr>
          <w:rFonts w:ascii="宋体" w:hAnsi="宋体" w:cs="宋体"/>
          <w:color w:val="auto"/>
          <w:sz w:val="21"/>
          <w:szCs w:val="21"/>
        </w:rPr>
        <w:t>17.4</w:t>
      </w:r>
      <w:r>
        <w:rPr>
          <w:rFonts w:ascii="宋体" w:hAnsi="宋体" w:cs="宋体"/>
          <w:color w:val="auto"/>
          <w:sz w:val="21"/>
          <w:szCs w:val="21"/>
        </w:rPr>
        <w:tab/>
      </w:r>
      <w:r>
        <w:rPr>
          <w:rFonts w:hint="eastAsia" w:ascii="宋体" w:hAnsi="宋体" w:cs="宋体"/>
          <w:color w:val="auto"/>
          <w:sz w:val="21"/>
          <w:szCs w:val="21"/>
        </w:rPr>
        <w:t>采购人和采购代理机构对所接收投标文件概不退回。</w:t>
      </w:r>
    </w:p>
    <w:p>
      <w:pPr>
        <w:pStyle w:val="4"/>
        <w:spacing w:before="0" w:line="240" w:lineRule="atLeast"/>
        <w:ind w:left="1080" w:leftChars="257" w:hanging="540"/>
        <w:rPr>
          <w:rFonts w:ascii="宋体" w:hAnsi="宋体" w:eastAsia="宋体" w:cs="Times New Roman"/>
          <w:color w:val="auto"/>
          <w:sz w:val="24"/>
          <w:szCs w:val="24"/>
        </w:rPr>
      </w:pPr>
      <w:bookmarkStart w:id="124" w:name="_Toc12436"/>
      <w:bookmarkStart w:id="125" w:name="_Toc28397"/>
      <w:bookmarkStart w:id="126" w:name="_Toc30738"/>
      <w:bookmarkStart w:id="127" w:name="_Toc216582809"/>
      <w:bookmarkStart w:id="128" w:name="_Toc28398"/>
      <w:bookmarkStart w:id="129" w:name="_Toc515647778"/>
      <w:bookmarkStart w:id="130" w:name="_Toc520356163"/>
      <w:bookmarkStart w:id="131" w:name="_Toc28911"/>
      <w:r>
        <w:rPr>
          <w:rFonts w:hint="eastAsia" w:ascii="宋体" w:hAnsi="宋体" w:eastAsia="宋体" w:cs="宋体"/>
          <w:b/>
          <w:bCs/>
          <w:color w:val="auto"/>
          <w:sz w:val="21"/>
          <w:szCs w:val="21"/>
        </w:rPr>
        <w:t>五</w:t>
      </w:r>
      <w:r>
        <w:rPr>
          <w:rFonts w:ascii="宋体" w:hAnsi="宋体" w:eastAsia="宋体" w:cs="宋体"/>
          <w:b/>
          <w:bCs/>
          <w:color w:val="auto"/>
          <w:sz w:val="21"/>
          <w:szCs w:val="21"/>
        </w:rPr>
        <w:t xml:space="preserve">   </w:t>
      </w:r>
      <w:r>
        <w:rPr>
          <w:rFonts w:hint="eastAsia" w:ascii="宋体" w:hAnsi="宋体" w:eastAsia="宋体" w:cs="宋体"/>
          <w:b/>
          <w:bCs/>
          <w:color w:val="auto"/>
          <w:sz w:val="21"/>
          <w:szCs w:val="21"/>
        </w:rPr>
        <w:t>开标及评标</w:t>
      </w:r>
      <w:bookmarkEnd w:id="124"/>
      <w:bookmarkEnd w:id="125"/>
      <w:bookmarkEnd w:id="126"/>
      <w:bookmarkEnd w:id="127"/>
      <w:bookmarkEnd w:id="128"/>
      <w:bookmarkEnd w:id="129"/>
      <w:bookmarkEnd w:id="130"/>
      <w:bookmarkEnd w:id="131"/>
      <w:bookmarkStart w:id="132" w:name="_Toc515647779"/>
      <w:bookmarkStart w:id="133" w:name="_Toc520356164"/>
      <w:bookmarkStart w:id="134" w:name="_Toc25345"/>
      <w:bookmarkStart w:id="135" w:name="_Toc7186"/>
      <w:bookmarkStart w:id="136" w:name="_Toc31842"/>
    </w:p>
    <w:p>
      <w:pPr>
        <w:pStyle w:val="5"/>
        <w:spacing w:line="240" w:lineRule="atLeast"/>
        <w:rPr>
          <w:rFonts w:hAnsi="宋体" w:cs="Times New Roman"/>
          <w:color w:val="auto"/>
          <w:sz w:val="21"/>
          <w:szCs w:val="21"/>
        </w:rPr>
      </w:pPr>
      <w:r>
        <w:rPr>
          <w:rFonts w:hAnsi="宋体"/>
          <w:color w:val="auto"/>
          <w:sz w:val="21"/>
          <w:szCs w:val="21"/>
          <w:u w:val="none"/>
        </w:rPr>
        <w:t>18.</w:t>
      </w:r>
      <w:r>
        <w:rPr>
          <w:rFonts w:hint="eastAsia" w:hAnsi="宋体"/>
          <w:color w:val="auto"/>
          <w:sz w:val="21"/>
          <w:szCs w:val="21"/>
          <w:u w:val="none"/>
        </w:rPr>
        <w:t>开标</w:t>
      </w:r>
      <w:bookmarkEnd w:id="132"/>
      <w:bookmarkEnd w:id="133"/>
      <w:bookmarkEnd w:id="134"/>
      <w:bookmarkEnd w:id="135"/>
      <w:bookmarkEnd w:id="136"/>
    </w:p>
    <w:p>
      <w:pPr>
        <w:spacing w:line="240" w:lineRule="atLeast"/>
        <w:ind w:left="-788" w:leftChars="-375" w:firstLine="840" w:firstLineChars="400"/>
        <w:rPr>
          <w:rFonts w:ascii="宋体"/>
          <w:color w:val="auto"/>
        </w:rPr>
      </w:pPr>
      <w:r>
        <w:rPr>
          <w:rFonts w:ascii="宋体" w:hAnsi="宋体" w:cs="宋体"/>
          <w:color w:val="auto"/>
        </w:rPr>
        <w:t>18.1</w:t>
      </w:r>
      <w:r>
        <w:rPr>
          <w:rFonts w:hint="eastAsia" w:ascii="宋体" w:hAnsi="宋体" w:cs="宋体"/>
          <w:color w:val="auto"/>
        </w:rPr>
        <w:t>采购人和采购代理机构将按</w:t>
      </w:r>
      <w:r>
        <w:rPr>
          <w:rFonts w:hint="eastAsia" w:ascii="宋体" w:hAnsi="宋体" w:cs="宋体"/>
          <w:color w:val="auto"/>
          <w:u w:val="single"/>
        </w:rPr>
        <w:t>供应商须知资料表</w:t>
      </w:r>
      <w:r>
        <w:rPr>
          <w:rFonts w:hint="eastAsia" w:ascii="宋体" w:hAnsi="宋体" w:cs="宋体"/>
          <w:color w:val="auto"/>
        </w:rPr>
        <w:t>中规定的开标时间和地点组织公开开标并邀请所有供应商代表参加。</w:t>
      </w:r>
    </w:p>
    <w:p>
      <w:pPr>
        <w:spacing w:line="240" w:lineRule="atLeast"/>
        <w:ind w:left="735" w:leftChars="350" w:firstLine="105" w:firstLineChars="50"/>
        <w:rPr>
          <w:rFonts w:ascii="宋体"/>
          <w:color w:val="auto"/>
        </w:rPr>
      </w:pPr>
      <w:r>
        <w:rPr>
          <w:rFonts w:hint="eastAsia" w:ascii="宋体" w:hAnsi="宋体" w:cs="宋体"/>
          <w:color w:val="auto"/>
        </w:rPr>
        <w:t>供应商不足</w:t>
      </w:r>
      <w:r>
        <w:rPr>
          <w:rFonts w:ascii="宋体" w:hAnsi="宋体" w:cs="宋体"/>
          <w:color w:val="auto"/>
        </w:rPr>
        <w:t>3</w:t>
      </w:r>
      <w:r>
        <w:rPr>
          <w:rFonts w:hint="eastAsia" w:ascii="宋体" w:hAnsi="宋体" w:cs="宋体"/>
          <w:color w:val="auto"/>
        </w:rPr>
        <w:t>家的，不得开标。</w:t>
      </w:r>
    </w:p>
    <w:p>
      <w:pPr>
        <w:spacing w:line="240" w:lineRule="atLeast"/>
        <w:rPr>
          <w:rFonts w:ascii="宋体"/>
          <w:color w:val="auto"/>
        </w:rPr>
      </w:pPr>
      <w:r>
        <w:rPr>
          <w:rFonts w:ascii="宋体" w:hAnsi="宋体" w:cs="宋体"/>
          <w:color w:val="auto"/>
        </w:rPr>
        <w:t xml:space="preserve">18.2   </w:t>
      </w:r>
      <w:r>
        <w:rPr>
          <w:rFonts w:hint="eastAsia" w:ascii="宋体" w:hAnsi="宋体" w:cs="宋体"/>
          <w:color w:val="auto"/>
        </w:rPr>
        <w:t>开标时，由供应商或其推选的代表检查自己或所代表的投标文件的密封标记情况，经记录后，由采购人或采购代理机构当众拆封投标文件第一部分，宣读供应商名称、投标价格及招标文件规定的内容。对于供应商在投标截止期前递交的投标声明，在开标时当众宣读，评标时有效。</w:t>
      </w:r>
    </w:p>
    <w:p>
      <w:pPr>
        <w:spacing w:line="240" w:lineRule="atLeast"/>
        <w:ind w:left="1056" w:leftChars="428" w:hanging="157" w:hangingChars="75"/>
        <w:rPr>
          <w:rFonts w:ascii="宋体"/>
          <w:color w:val="auto"/>
        </w:rPr>
      </w:pPr>
      <w:r>
        <w:rPr>
          <w:rFonts w:hint="eastAsia" w:ascii="宋体" w:hAnsi="宋体" w:cs="宋体"/>
          <w:color w:val="auto"/>
        </w:rPr>
        <w:t>未宣读投标价格、价格折扣等实质内容，评标时不予承认。</w:t>
      </w:r>
    </w:p>
    <w:p>
      <w:pPr>
        <w:spacing w:line="240" w:lineRule="atLeast"/>
        <w:ind w:left="31680" w:hanging="787" w:hangingChars="375"/>
        <w:rPr>
          <w:rFonts w:ascii="宋体"/>
          <w:color w:val="auto"/>
        </w:rPr>
      </w:pPr>
      <w:r>
        <w:rPr>
          <w:rFonts w:ascii="宋体" w:hAnsi="宋体" w:cs="宋体"/>
          <w:color w:val="auto"/>
        </w:rPr>
        <w:t xml:space="preserve">18.3    </w:t>
      </w:r>
      <w:r>
        <w:rPr>
          <w:rFonts w:hint="eastAsia" w:ascii="宋体" w:hAnsi="宋体" w:cs="宋体"/>
          <w:color w:val="auto"/>
        </w:rPr>
        <w:t>采购人或采购代理机构将对开标过程进行记录</w:t>
      </w:r>
      <w:bookmarkStart w:id="137" w:name="_Toc520356165"/>
      <w:r>
        <w:rPr>
          <w:rFonts w:hint="eastAsia" w:ascii="宋体" w:hAnsi="宋体" w:cs="宋体"/>
          <w:color w:val="auto"/>
        </w:rPr>
        <w:t>，由参加开标的各供应商代表和相关工作人员签字确认，并存档备查。</w:t>
      </w:r>
    </w:p>
    <w:p>
      <w:pPr>
        <w:spacing w:line="240" w:lineRule="atLeast"/>
        <w:ind w:left="31680" w:hanging="787" w:hangingChars="375"/>
        <w:rPr>
          <w:rFonts w:ascii="宋体"/>
          <w:color w:val="auto"/>
        </w:rPr>
      </w:pPr>
      <w:r>
        <w:rPr>
          <w:rFonts w:ascii="宋体" w:hAnsi="宋体" w:cs="宋体"/>
          <w:color w:val="auto"/>
        </w:rPr>
        <w:t xml:space="preserve">18.4    </w:t>
      </w:r>
      <w:r>
        <w:rPr>
          <w:rFonts w:hint="eastAsia" w:ascii="宋体" w:hAnsi="宋体" w:cs="宋体"/>
          <w:color w:val="auto"/>
        </w:rPr>
        <w:t>供应商代表对开标过程和开标记录有疑义，以及认为采购人、采购代理机构相关工作人员有需要回避的情形的，应当场提出询问或者回避申请。</w:t>
      </w:r>
      <w:bookmarkEnd w:id="137"/>
    </w:p>
    <w:p>
      <w:pPr>
        <w:pStyle w:val="5"/>
        <w:spacing w:before="0" w:after="0" w:line="360" w:lineRule="exact"/>
        <w:rPr>
          <w:rFonts w:hAnsi="宋体" w:cs="Times New Roman"/>
          <w:color w:val="auto"/>
          <w:sz w:val="21"/>
          <w:szCs w:val="21"/>
          <w:u w:val="none"/>
        </w:rPr>
      </w:pPr>
      <w:bookmarkStart w:id="138" w:name="_Toc21372"/>
      <w:bookmarkStart w:id="139" w:name="_Toc515647780"/>
      <w:bookmarkStart w:id="140" w:name="_Toc14136"/>
      <w:bookmarkStart w:id="141" w:name="_Toc19296"/>
      <w:bookmarkStart w:id="142" w:name="_Toc18574"/>
      <w:r>
        <w:rPr>
          <w:rFonts w:hAnsi="宋体"/>
          <w:color w:val="auto"/>
          <w:sz w:val="21"/>
          <w:szCs w:val="21"/>
          <w:u w:val="none"/>
        </w:rPr>
        <w:t>19.</w:t>
      </w:r>
      <w:r>
        <w:rPr>
          <w:rFonts w:hint="eastAsia" w:hAnsi="宋体"/>
          <w:color w:val="auto"/>
          <w:sz w:val="21"/>
          <w:szCs w:val="21"/>
          <w:u w:val="none"/>
        </w:rPr>
        <w:t>资格审查及组建评标委员会</w:t>
      </w:r>
      <w:bookmarkEnd w:id="138"/>
      <w:bookmarkEnd w:id="139"/>
      <w:bookmarkEnd w:id="140"/>
      <w:bookmarkEnd w:id="141"/>
    </w:p>
    <w:p>
      <w:pPr>
        <w:spacing w:line="240" w:lineRule="atLeast"/>
        <w:rPr>
          <w:rFonts w:ascii="宋体"/>
          <w:color w:val="auto"/>
        </w:rPr>
      </w:pPr>
      <w:r>
        <w:rPr>
          <w:rFonts w:ascii="宋体" w:hAnsi="宋体" w:cs="宋体"/>
          <w:color w:val="auto"/>
        </w:rPr>
        <w:t xml:space="preserve">19.1    </w:t>
      </w:r>
      <w:r>
        <w:rPr>
          <w:rFonts w:hint="eastAsia" w:ascii="宋体" w:hAnsi="宋体" w:cs="宋体"/>
          <w:color w:val="auto"/>
        </w:rPr>
        <w:t>采购人或采购代理机构依据法律法规和招标文件中规定的内容，对供应商及其服务的资格进行审查，开标需携带：</w:t>
      </w:r>
    </w:p>
    <w:p>
      <w:pPr>
        <w:pStyle w:val="2"/>
        <w:rPr>
          <w:rFonts w:hAnsi="宋体" w:cs="Times New Roman"/>
          <w:b/>
          <w:bCs/>
          <w:color w:val="auto"/>
          <w:sz w:val="21"/>
          <w:szCs w:val="21"/>
        </w:rPr>
      </w:pPr>
      <w:r>
        <w:rPr>
          <w:rFonts w:hAnsi="宋体"/>
          <w:b/>
          <w:bCs/>
          <w:color w:val="auto"/>
          <w:sz w:val="21"/>
          <w:szCs w:val="21"/>
        </w:rPr>
        <w:t>1.</w:t>
      </w:r>
      <w:r>
        <w:rPr>
          <w:rFonts w:hint="eastAsia" w:hAnsi="宋体"/>
          <w:b/>
          <w:bCs/>
          <w:color w:val="auto"/>
          <w:sz w:val="21"/>
          <w:szCs w:val="21"/>
        </w:rPr>
        <w:t>具有有效的独立法人营业执照；</w:t>
      </w:r>
    </w:p>
    <w:p>
      <w:pPr>
        <w:pStyle w:val="2"/>
        <w:rPr>
          <w:rFonts w:hAnsi="宋体" w:cs="Times New Roman"/>
          <w:b/>
          <w:bCs/>
          <w:color w:val="auto"/>
          <w:sz w:val="21"/>
          <w:szCs w:val="21"/>
        </w:rPr>
      </w:pPr>
      <w:r>
        <w:rPr>
          <w:rFonts w:hAnsi="宋体"/>
          <w:b/>
          <w:bCs/>
          <w:color w:val="auto"/>
          <w:sz w:val="21"/>
          <w:szCs w:val="21"/>
        </w:rPr>
        <w:t>2.</w:t>
      </w:r>
      <w:r>
        <w:rPr>
          <w:rFonts w:hint="eastAsia" w:hAnsi="宋体"/>
          <w:b/>
          <w:bCs/>
          <w:color w:val="auto"/>
          <w:sz w:val="21"/>
          <w:szCs w:val="21"/>
        </w:rPr>
        <w:t>法人代表资格证明书及授权书、被授权人身份证；</w:t>
      </w:r>
      <w:r>
        <w:rPr>
          <w:rFonts w:hAnsi="宋体"/>
          <w:b/>
          <w:bCs/>
          <w:color w:val="auto"/>
          <w:sz w:val="21"/>
          <w:szCs w:val="21"/>
        </w:rPr>
        <w:t>(</w:t>
      </w:r>
      <w:r>
        <w:rPr>
          <w:rFonts w:hint="eastAsia" w:hAnsi="宋体"/>
          <w:b/>
          <w:bCs/>
          <w:color w:val="auto"/>
          <w:sz w:val="21"/>
          <w:szCs w:val="21"/>
        </w:rPr>
        <w:t>法人投标须提供法人身份证及法人代表资格证明书</w:t>
      </w:r>
      <w:r>
        <w:rPr>
          <w:rFonts w:hAnsi="宋体"/>
          <w:b/>
          <w:bCs/>
          <w:color w:val="auto"/>
          <w:sz w:val="21"/>
          <w:szCs w:val="21"/>
        </w:rPr>
        <w:t>)</w:t>
      </w:r>
      <w:r>
        <w:rPr>
          <w:rFonts w:hint="eastAsia" w:hAnsi="宋体"/>
          <w:b/>
          <w:bCs/>
          <w:color w:val="auto"/>
          <w:sz w:val="21"/>
          <w:szCs w:val="21"/>
        </w:rPr>
        <w:t>；</w:t>
      </w:r>
    </w:p>
    <w:p>
      <w:pPr>
        <w:pStyle w:val="2"/>
        <w:rPr>
          <w:rFonts w:hAnsi="宋体" w:cs="Times New Roman"/>
          <w:b/>
          <w:bCs/>
          <w:color w:val="auto"/>
          <w:sz w:val="21"/>
          <w:szCs w:val="21"/>
        </w:rPr>
      </w:pPr>
      <w:r>
        <w:rPr>
          <w:rFonts w:hAnsi="宋体"/>
          <w:b/>
          <w:bCs/>
          <w:color w:val="auto"/>
          <w:sz w:val="21"/>
          <w:szCs w:val="21"/>
        </w:rPr>
        <w:t>3.</w:t>
      </w:r>
      <w:r>
        <w:rPr>
          <w:rFonts w:hint="eastAsia" w:hAnsi="宋体"/>
          <w:b/>
          <w:bCs/>
          <w:color w:val="auto"/>
          <w:sz w:val="21"/>
          <w:szCs w:val="21"/>
        </w:rPr>
        <w:t>财务状况报告近二年任意一年经审计的财务报告</w:t>
      </w:r>
      <w:r>
        <w:rPr>
          <w:rFonts w:hAnsi="宋体"/>
          <w:b/>
          <w:bCs/>
          <w:color w:val="auto"/>
          <w:sz w:val="21"/>
          <w:szCs w:val="21"/>
        </w:rPr>
        <w:t>,</w:t>
      </w:r>
      <w:r>
        <w:rPr>
          <w:rFonts w:hint="eastAsia" w:hAnsi="宋体"/>
          <w:b/>
          <w:bCs/>
          <w:color w:val="auto"/>
          <w:sz w:val="21"/>
          <w:szCs w:val="21"/>
        </w:rPr>
        <w:t>或新公司出具近</w:t>
      </w:r>
      <w:r>
        <w:rPr>
          <w:rFonts w:hAnsi="宋体"/>
          <w:b/>
          <w:bCs/>
          <w:color w:val="auto"/>
          <w:sz w:val="21"/>
          <w:szCs w:val="21"/>
        </w:rPr>
        <w:t>6</w:t>
      </w:r>
      <w:r>
        <w:rPr>
          <w:rFonts w:hint="eastAsia" w:hAnsi="宋体"/>
          <w:b/>
          <w:bCs/>
          <w:color w:val="auto"/>
          <w:sz w:val="21"/>
          <w:szCs w:val="21"/>
        </w:rPr>
        <w:t>个月任意一个月的银行资信证明；</w:t>
      </w:r>
    </w:p>
    <w:p>
      <w:pPr>
        <w:pStyle w:val="2"/>
        <w:rPr>
          <w:rFonts w:hAnsi="宋体" w:cs="Times New Roman"/>
          <w:b/>
          <w:bCs/>
          <w:color w:val="auto"/>
          <w:sz w:val="21"/>
          <w:szCs w:val="21"/>
        </w:rPr>
      </w:pPr>
      <w:r>
        <w:rPr>
          <w:rFonts w:hAnsi="宋体"/>
          <w:b/>
          <w:bCs/>
          <w:color w:val="auto"/>
          <w:sz w:val="21"/>
          <w:szCs w:val="21"/>
        </w:rPr>
        <w:t>4.</w:t>
      </w:r>
      <w:r>
        <w:rPr>
          <w:rFonts w:hint="eastAsia" w:hAnsi="宋体"/>
          <w:b/>
          <w:bCs/>
          <w:color w:val="auto"/>
          <w:sz w:val="21"/>
          <w:szCs w:val="21"/>
        </w:rPr>
        <w:t>依法缴纳近</w:t>
      </w:r>
      <w:r>
        <w:rPr>
          <w:rFonts w:hAnsi="宋体"/>
          <w:b/>
          <w:bCs/>
          <w:color w:val="auto"/>
          <w:sz w:val="21"/>
          <w:szCs w:val="21"/>
        </w:rPr>
        <w:t>6</w:t>
      </w:r>
      <w:r>
        <w:rPr>
          <w:rFonts w:hint="eastAsia" w:hAnsi="宋体"/>
          <w:b/>
          <w:bCs/>
          <w:color w:val="auto"/>
          <w:sz w:val="21"/>
          <w:szCs w:val="21"/>
        </w:rPr>
        <w:t>个月任意一个月社会保险的凭据；</w:t>
      </w:r>
    </w:p>
    <w:p>
      <w:pPr>
        <w:pStyle w:val="2"/>
        <w:rPr>
          <w:rFonts w:hAnsi="宋体" w:cs="Times New Roman"/>
          <w:b/>
          <w:bCs/>
          <w:color w:val="auto"/>
          <w:sz w:val="21"/>
          <w:szCs w:val="21"/>
        </w:rPr>
      </w:pPr>
      <w:r>
        <w:rPr>
          <w:rFonts w:hAnsi="宋体"/>
          <w:b/>
          <w:bCs/>
          <w:color w:val="auto"/>
          <w:sz w:val="21"/>
          <w:szCs w:val="21"/>
        </w:rPr>
        <w:t>5.</w:t>
      </w:r>
      <w:r>
        <w:rPr>
          <w:rFonts w:hint="eastAsia" w:hAnsi="宋体"/>
          <w:b/>
          <w:bCs/>
          <w:color w:val="auto"/>
          <w:sz w:val="21"/>
          <w:szCs w:val="21"/>
        </w:rPr>
        <w:t>提供税务部门出具的近</w:t>
      </w:r>
      <w:r>
        <w:rPr>
          <w:rFonts w:hAnsi="宋体"/>
          <w:b/>
          <w:bCs/>
          <w:color w:val="auto"/>
          <w:sz w:val="21"/>
          <w:szCs w:val="21"/>
        </w:rPr>
        <w:t>6</w:t>
      </w:r>
      <w:r>
        <w:rPr>
          <w:rFonts w:hint="eastAsia" w:hAnsi="宋体"/>
          <w:b/>
          <w:bCs/>
          <w:color w:val="auto"/>
          <w:sz w:val="21"/>
          <w:szCs w:val="21"/>
        </w:rPr>
        <w:t>个月任意一个月的完税证明；</w:t>
      </w:r>
    </w:p>
    <w:p>
      <w:pPr>
        <w:pStyle w:val="2"/>
        <w:rPr>
          <w:rFonts w:hAnsi="宋体" w:cs="Times New Roman"/>
          <w:b/>
          <w:bCs/>
          <w:color w:val="auto"/>
          <w:sz w:val="21"/>
          <w:szCs w:val="21"/>
        </w:rPr>
      </w:pPr>
      <w:r>
        <w:rPr>
          <w:rFonts w:hAnsi="宋体"/>
          <w:b/>
          <w:bCs/>
          <w:color w:val="auto"/>
          <w:sz w:val="21"/>
          <w:szCs w:val="21"/>
        </w:rPr>
        <w:t>6.</w:t>
      </w:r>
      <w:r>
        <w:rPr>
          <w:rFonts w:hint="eastAsia" w:hAnsi="宋体"/>
          <w:b/>
          <w:bCs/>
          <w:color w:val="auto"/>
          <w:sz w:val="21"/>
          <w:szCs w:val="21"/>
        </w:rPr>
        <w:t>参与政府采购活动前</w:t>
      </w:r>
      <w:r>
        <w:rPr>
          <w:rFonts w:hAnsi="宋体"/>
          <w:b/>
          <w:bCs/>
          <w:color w:val="auto"/>
          <w:sz w:val="21"/>
          <w:szCs w:val="21"/>
        </w:rPr>
        <w:t>3</w:t>
      </w:r>
      <w:r>
        <w:rPr>
          <w:rFonts w:hint="eastAsia" w:hAnsi="宋体"/>
          <w:b/>
          <w:bCs/>
          <w:color w:val="auto"/>
          <w:sz w:val="21"/>
          <w:szCs w:val="21"/>
        </w:rPr>
        <w:t>年内未被列入失信、重大税收违法案件、财政部门禁止参加政府采购活动的承诺书；</w:t>
      </w:r>
    </w:p>
    <w:p>
      <w:pPr>
        <w:pStyle w:val="2"/>
        <w:rPr>
          <w:rFonts w:hAnsi="宋体" w:cs="Times New Roman"/>
          <w:b/>
          <w:bCs/>
          <w:color w:val="auto"/>
          <w:sz w:val="21"/>
          <w:szCs w:val="21"/>
        </w:rPr>
      </w:pPr>
      <w:r>
        <w:rPr>
          <w:rFonts w:hAnsi="宋体"/>
          <w:b/>
          <w:bCs/>
          <w:color w:val="auto"/>
          <w:sz w:val="21"/>
          <w:szCs w:val="21"/>
        </w:rPr>
        <w:t>7.</w:t>
      </w:r>
      <w:r>
        <w:rPr>
          <w:rFonts w:hint="eastAsia" w:hAnsi="宋体"/>
          <w:b/>
          <w:bCs/>
          <w:color w:val="auto"/>
          <w:sz w:val="21"/>
          <w:szCs w:val="21"/>
        </w:rPr>
        <w:t>根据《财政部关于在政府采购活动中查询及使用信用记录有关问题的通知》（财库﹝</w:t>
      </w:r>
      <w:r>
        <w:rPr>
          <w:rFonts w:hAnsi="宋体"/>
          <w:b/>
          <w:bCs/>
          <w:color w:val="auto"/>
          <w:sz w:val="21"/>
          <w:szCs w:val="21"/>
        </w:rPr>
        <w:t>2016</w:t>
      </w:r>
      <w:r>
        <w:rPr>
          <w:rFonts w:hint="eastAsia" w:hAnsi="宋体"/>
          <w:b/>
          <w:bCs/>
          <w:color w:val="auto"/>
          <w:sz w:val="21"/>
          <w:szCs w:val="21"/>
        </w:rPr>
        <w:t>﹞</w:t>
      </w:r>
      <w:r>
        <w:rPr>
          <w:rFonts w:hAnsi="宋体"/>
          <w:b/>
          <w:bCs/>
          <w:color w:val="auto"/>
          <w:sz w:val="21"/>
          <w:szCs w:val="21"/>
        </w:rPr>
        <w:t>125</w:t>
      </w:r>
      <w:r>
        <w:rPr>
          <w:rFonts w:hint="eastAsia" w:hAnsi="宋体"/>
          <w:b/>
          <w:bCs/>
          <w:color w:val="auto"/>
          <w:sz w:val="21"/>
          <w:szCs w:val="21"/>
        </w:rPr>
        <w:t>号）的要求，凡拟参加本次招标项目的供应商，如在“信用中国”网站（</w:t>
      </w:r>
      <w:r>
        <w:rPr>
          <w:rFonts w:hAnsi="宋体"/>
          <w:b/>
          <w:bCs/>
          <w:color w:val="auto"/>
          <w:sz w:val="21"/>
          <w:szCs w:val="21"/>
        </w:rPr>
        <w:t xml:space="preserve"> www.creditchina.gov.cn</w:t>
      </w:r>
      <w:r>
        <w:rPr>
          <w:rFonts w:hint="eastAsia" w:hAnsi="宋体"/>
          <w:b/>
          <w:bCs/>
          <w:color w:val="auto"/>
          <w:sz w:val="21"/>
          <w:szCs w:val="21"/>
        </w:rPr>
        <w:t>）</w:t>
      </w:r>
      <w:r>
        <w:rPr>
          <w:rFonts w:hAnsi="宋体"/>
          <w:b/>
          <w:bCs/>
          <w:color w:val="auto"/>
          <w:sz w:val="21"/>
          <w:szCs w:val="21"/>
        </w:rPr>
        <w:t xml:space="preserve"> </w:t>
      </w:r>
      <w:r>
        <w:rPr>
          <w:rFonts w:hint="eastAsia" w:hAnsi="宋体"/>
          <w:b/>
          <w:bCs/>
          <w:color w:val="auto"/>
          <w:sz w:val="21"/>
          <w:szCs w:val="21"/>
        </w:rPr>
        <w:t>被列入失信被执行人、重大税收违法案件当事人名单</w:t>
      </w:r>
      <w:r>
        <w:rPr>
          <w:rFonts w:hAnsi="宋体"/>
          <w:b/>
          <w:bCs/>
          <w:color w:val="auto"/>
          <w:sz w:val="21"/>
          <w:szCs w:val="21"/>
        </w:rPr>
        <w:t>(</w:t>
      </w:r>
      <w:r>
        <w:rPr>
          <w:rFonts w:hint="eastAsia" w:hAnsi="宋体"/>
          <w:b/>
          <w:bCs/>
          <w:color w:val="auto"/>
          <w:sz w:val="21"/>
          <w:szCs w:val="21"/>
        </w:rPr>
        <w:t>信用服务</w:t>
      </w:r>
      <w:r>
        <w:rPr>
          <w:rFonts w:hAnsi="宋体"/>
          <w:b/>
          <w:bCs/>
          <w:color w:val="auto"/>
          <w:sz w:val="21"/>
          <w:szCs w:val="21"/>
        </w:rPr>
        <w:t>-</w:t>
      </w:r>
      <w:r>
        <w:rPr>
          <w:rFonts w:hint="eastAsia" w:hAnsi="宋体"/>
          <w:b/>
          <w:bCs/>
          <w:color w:val="auto"/>
          <w:sz w:val="21"/>
          <w:szCs w:val="21"/>
        </w:rPr>
        <w:t>失信惩戒对象查询</w:t>
      </w:r>
      <w:r>
        <w:rPr>
          <w:rFonts w:hAnsi="宋体"/>
          <w:b/>
          <w:bCs/>
          <w:color w:val="auto"/>
          <w:sz w:val="21"/>
          <w:szCs w:val="21"/>
        </w:rPr>
        <w:t>-</w:t>
      </w:r>
      <w:r>
        <w:rPr>
          <w:rFonts w:hint="eastAsia" w:hAnsi="宋体"/>
          <w:b/>
          <w:bCs/>
          <w:color w:val="auto"/>
          <w:sz w:val="21"/>
          <w:szCs w:val="21"/>
        </w:rPr>
        <w:t>搜索栏输入单位全称</w:t>
      </w:r>
      <w:r>
        <w:rPr>
          <w:rFonts w:hAnsi="宋体"/>
          <w:b/>
          <w:bCs/>
          <w:color w:val="auto"/>
          <w:sz w:val="21"/>
          <w:szCs w:val="21"/>
        </w:rPr>
        <w:t>-</w:t>
      </w:r>
      <w:r>
        <w:rPr>
          <w:rFonts w:hint="eastAsia" w:hAnsi="宋体"/>
          <w:b/>
          <w:bCs/>
          <w:color w:val="auto"/>
          <w:sz w:val="21"/>
          <w:szCs w:val="21"/>
        </w:rPr>
        <w:t>截图</w:t>
      </w:r>
      <w:r>
        <w:rPr>
          <w:rFonts w:hAnsi="宋体"/>
          <w:b/>
          <w:bCs/>
          <w:color w:val="auto"/>
          <w:sz w:val="21"/>
          <w:szCs w:val="21"/>
        </w:rPr>
        <w:t>)</w:t>
      </w:r>
      <w:r>
        <w:rPr>
          <w:rFonts w:hint="eastAsia" w:hAnsi="宋体"/>
          <w:b/>
          <w:bCs/>
          <w:color w:val="auto"/>
          <w:sz w:val="21"/>
          <w:szCs w:val="21"/>
        </w:rPr>
        <w:t>、中国政府采购网（</w:t>
      </w:r>
      <w:r>
        <w:rPr>
          <w:rFonts w:hAnsi="宋体"/>
          <w:b/>
          <w:bCs/>
          <w:color w:val="auto"/>
          <w:sz w:val="21"/>
          <w:szCs w:val="21"/>
        </w:rPr>
        <w:t>http://www.ccgp.gov.cn/search/cr/</w:t>
      </w:r>
      <w:r>
        <w:rPr>
          <w:rFonts w:hint="eastAsia" w:hAnsi="宋体"/>
          <w:b/>
          <w:bCs/>
          <w:color w:val="auto"/>
          <w:sz w:val="21"/>
          <w:szCs w:val="21"/>
        </w:rPr>
        <w:t>）严重违法失信行为记录名单的（尚在处罚期内的），“国家企业信用信息公示系统（</w:t>
      </w:r>
      <w:r>
        <w:rPr>
          <w:rFonts w:hAnsi="宋体"/>
          <w:b/>
          <w:bCs/>
          <w:color w:val="auto"/>
          <w:sz w:val="21"/>
          <w:szCs w:val="21"/>
        </w:rPr>
        <w:t>http://www.gsxt.gov.cn</w:t>
      </w:r>
      <w:r>
        <w:rPr>
          <w:rFonts w:hint="eastAsia" w:hAnsi="宋体"/>
          <w:b/>
          <w:bCs/>
          <w:color w:val="auto"/>
          <w:sz w:val="21"/>
          <w:szCs w:val="21"/>
        </w:rPr>
        <w:t>）”列入经营异常名录信息、列入严重违法失信企业名单（黑名单）信息及企业信用信息公示报告；将拒绝其参加本次招标活动；（以招标代理或招标人查询为准）</w:t>
      </w:r>
    </w:p>
    <w:p>
      <w:pPr>
        <w:pStyle w:val="2"/>
        <w:rPr>
          <w:rFonts w:hAnsi="宋体" w:cs="Times New Roman"/>
          <w:b/>
          <w:bCs/>
          <w:color w:val="auto"/>
          <w:sz w:val="21"/>
          <w:szCs w:val="21"/>
        </w:rPr>
      </w:pPr>
      <w:r>
        <w:rPr>
          <w:rFonts w:hAnsi="宋体"/>
          <w:b/>
          <w:bCs/>
          <w:color w:val="auto"/>
          <w:sz w:val="21"/>
          <w:szCs w:val="21"/>
        </w:rPr>
        <w:t>8.</w:t>
      </w:r>
      <w:r>
        <w:rPr>
          <w:rFonts w:hint="eastAsia" w:hAnsi="宋体"/>
          <w:b/>
          <w:bCs/>
          <w:color w:val="auto"/>
          <w:sz w:val="21"/>
          <w:szCs w:val="21"/>
        </w:rPr>
        <w:t>提供针对本次项目《反商业贿赂承诺书》；</w:t>
      </w:r>
    </w:p>
    <w:p>
      <w:pPr>
        <w:pStyle w:val="2"/>
        <w:rPr>
          <w:rFonts w:hAnsi="宋体" w:cs="Times New Roman"/>
          <w:b/>
          <w:bCs/>
          <w:color w:val="auto"/>
          <w:sz w:val="21"/>
          <w:szCs w:val="21"/>
        </w:rPr>
      </w:pPr>
      <w:r>
        <w:rPr>
          <w:rFonts w:hAnsi="宋体"/>
          <w:b/>
          <w:bCs/>
          <w:color w:val="auto"/>
          <w:sz w:val="21"/>
          <w:szCs w:val="21"/>
        </w:rPr>
        <w:t>9.</w:t>
      </w:r>
      <w:r>
        <w:rPr>
          <w:rFonts w:hint="eastAsia" w:hAnsi="宋体"/>
          <w:b/>
          <w:bCs/>
          <w:color w:val="auto"/>
          <w:sz w:val="21"/>
          <w:szCs w:val="21"/>
        </w:rPr>
        <w:t>提供投标保证金的银行转账回执单。</w:t>
      </w:r>
    </w:p>
    <w:p>
      <w:pPr>
        <w:spacing w:line="290" w:lineRule="exact"/>
        <w:ind w:hanging="853"/>
        <w:rPr>
          <w:rFonts w:ascii="宋体"/>
          <w:color w:val="auto"/>
        </w:rPr>
      </w:pPr>
      <w:r>
        <w:rPr>
          <w:rFonts w:ascii="宋体" w:hAnsi="宋体" w:cs="宋体"/>
          <w:color w:val="auto"/>
        </w:rPr>
        <w:t xml:space="preserve">19.2   </w:t>
      </w:r>
      <w:r>
        <w:rPr>
          <w:rFonts w:hint="eastAsia" w:ascii="宋体" w:hAnsi="宋体" w:cs="宋体"/>
          <w:color w:val="auto"/>
        </w:rPr>
        <w:t>采购人或采购代理机构将在开标前</w:t>
      </w:r>
      <w:r>
        <w:rPr>
          <w:rFonts w:ascii="宋体" w:hAnsi="宋体" w:cs="宋体"/>
          <w:color w:val="auto"/>
        </w:rPr>
        <w:t>1</w:t>
      </w:r>
      <w:r>
        <w:rPr>
          <w:rFonts w:hint="eastAsia" w:ascii="宋体" w:hAnsi="宋体" w:cs="宋体"/>
          <w:color w:val="auto"/>
        </w:rPr>
        <w:t>个工作日至投标截止后</w:t>
      </w:r>
      <w:r>
        <w:rPr>
          <w:rFonts w:ascii="宋体" w:hAnsi="宋体" w:cs="宋体"/>
          <w:color w:val="auto"/>
        </w:rPr>
        <w:t>1</w:t>
      </w:r>
      <w:r>
        <w:rPr>
          <w:rFonts w:hint="eastAsia" w:ascii="宋体" w:hAnsi="宋体" w:cs="宋体"/>
          <w:color w:val="auto"/>
        </w:rPr>
        <w:t>小时的期间内查询供应商的信用记录。供应商存在不良信用记录的，其投标将被认定为</w:t>
      </w:r>
      <w:r>
        <w:rPr>
          <w:rFonts w:hint="eastAsia" w:ascii="宋体" w:hAnsi="宋体" w:cs="宋体"/>
          <w:b/>
          <w:bCs/>
          <w:color w:val="auto"/>
        </w:rPr>
        <w:t>投标无效</w:t>
      </w:r>
      <w:r>
        <w:rPr>
          <w:rFonts w:hint="eastAsia" w:ascii="宋体" w:hAnsi="宋体" w:cs="宋体"/>
          <w:color w:val="auto"/>
        </w:rPr>
        <w:t>。</w:t>
      </w:r>
    </w:p>
    <w:p>
      <w:pPr>
        <w:spacing w:line="290" w:lineRule="exact"/>
        <w:ind w:hanging="853"/>
        <w:rPr>
          <w:rFonts w:ascii="宋体"/>
          <w:color w:val="auto"/>
        </w:rPr>
      </w:pPr>
      <w:r>
        <w:rPr>
          <w:rFonts w:ascii="宋体" w:hAnsi="宋体" w:cs="宋体"/>
          <w:color w:val="auto"/>
        </w:rPr>
        <w:t xml:space="preserve">19.2.1 </w:t>
      </w:r>
      <w:r>
        <w:rPr>
          <w:rFonts w:hint="eastAsia" w:ascii="宋体" w:hAnsi="宋体" w:cs="宋体"/>
          <w:color w:val="auto"/>
        </w:rPr>
        <w:t>不良信用记录指：在“信用中国”网站（</w:t>
      </w:r>
      <w:r>
        <w:rPr>
          <w:rFonts w:ascii="宋体" w:hAnsi="宋体" w:cs="宋体"/>
          <w:color w:val="auto"/>
        </w:rPr>
        <w:t xml:space="preserve"> www.creditchina.gov.cn</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被列入失信被执行人、重大税收违法案件当事人名单</w:t>
      </w:r>
      <w:r>
        <w:rPr>
          <w:rFonts w:ascii="宋体" w:hAnsi="宋体" w:cs="宋体"/>
          <w:color w:val="auto"/>
        </w:rPr>
        <w:t>(</w:t>
      </w:r>
      <w:r>
        <w:rPr>
          <w:rFonts w:hint="eastAsia" w:ascii="宋体" w:hAnsi="宋体" w:cs="宋体"/>
          <w:color w:val="auto"/>
        </w:rPr>
        <w:t>信用服务</w:t>
      </w:r>
      <w:r>
        <w:rPr>
          <w:rFonts w:ascii="宋体" w:cs="宋体"/>
          <w:color w:val="auto"/>
        </w:rPr>
        <w:t>-</w:t>
      </w:r>
      <w:r>
        <w:rPr>
          <w:rFonts w:hint="eastAsia" w:ascii="宋体" w:hAnsi="宋体" w:cs="宋体"/>
          <w:color w:val="auto"/>
        </w:rPr>
        <w:t>失信惩戒对象查询</w:t>
      </w:r>
      <w:r>
        <w:rPr>
          <w:rFonts w:ascii="宋体" w:cs="宋体"/>
          <w:color w:val="auto"/>
        </w:rPr>
        <w:t>-</w:t>
      </w:r>
      <w:r>
        <w:rPr>
          <w:rFonts w:hint="eastAsia" w:ascii="宋体" w:hAnsi="宋体" w:cs="宋体"/>
          <w:color w:val="auto"/>
        </w:rPr>
        <w:t>搜索栏输入单位全称</w:t>
      </w:r>
      <w:r>
        <w:rPr>
          <w:rFonts w:ascii="宋体" w:cs="宋体"/>
          <w:color w:val="auto"/>
        </w:rPr>
        <w:t>-</w:t>
      </w:r>
      <w:r>
        <w:rPr>
          <w:rFonts w:hint="eastAsia" w:ascii="宋体" w:hAnsi="宋体" w:cs="宋体"/>
          <w:color w:val="auto"/>
        </w:rPr>
        <w:t>截图</w:t>
      </w:r>
      <w:r>
        <w:rPr>
          <w:rFonts w:ascii="宋体" w:hAnsi="宋体" w:cs="宋体"/>
          <w:color w:val="auto"/>
        </w:rPr>
        <w:t>)</w:t>
      </w:r>
      <w:r>
        <w:rPr>
          <w:rFonts w:hint="eastAsia" w:ascii="宋体" w:hAnsi="宋体" w:cs="宋体"/>
          <w:color w:val="auto"/>
        </w:rPr>
        <w:t>、中国政府采购网（</w:t>
      </w:r>
      <w:r>
        <w:rPr>
          <w:rFonts w:ascii="宋体" w:hAnsi="宋体" w:cs="宋体"/>
          <w:color w:val="auto"/>
        </w:rPr>
        <w:t>http://www.ccgp.gov.cn/search/cr/</w:t>
      </w:r>
      <w:r>
        <w:rPr>
          <w:rFonts w:hint="eastAsia" w:ascii="宋体" w:hAnsi="宋体" w:cs="宋体"/>
          <w:color w:val="auto"/>
        </w:rPr>
        <w:t>）严重违法失信行为记录名单的（尚在处罚期内的），“国家企业信用信息公示系统（</w:t>
      </w:r>
      <w:r>
        <w:rPr>
          <w:rFonts w:ascii="宋体" w:hAnsi="宋体" w:cs="宋体"/>
          <w:color w:val="auto"/>
        </w:rPr>
        <w:t>http://www.gsxt.gov.cn</w:t>
      </w:r>
      <w:r>
        <w:rPr>
          <w:rFonts w:hint="eastAsia" w:ascii="宋体" w:hAnsi="宋体" w:cs="宋体"/>
          <w:color w:val="auto"/>
        </w:rPr>
        <w:t>）”列入经营异常名录信息、列入严重违法失信企业名单（黑名单）信息及企业信用信息公示报告；将拒绝其参加本次招标活动</w:t>
      </w:r>
      <w:r>
        <w:rPr>
          <w:rFonts w:hint="eastAsia" w:ascii="宋体" w:hAnsi="宋体" w:cs="宋体"/>
          <w:b/>
          <w:bCs/>
          <w:color w:val="auto"/>
        </w:rPr>
        <w:t>。</w:t>
      </w:r>
    </w:p>
    <w:p>
      <w:pPr>
        <w:spacing w:line="290" w:lineRule="exact"/>
        <w:ind w:left="31680" w:hanging="6" w:hangingChars="3"/>
        <w:rPr>
          <w:rFonts w:ascii="宋体"/>
          <w:color w:val="auto"/>
        </w:rPr>
      </w:pPr>
      <w:r>
        <w:rPr>
          <w:rFonts w:hint="eastAsia" w:ascii="宋体" w:hAnsi="宋体" w:cs="宋体"/>
          <w:color w:val="auto"/>
        </w:rPr>
        <w:t>以联合体形式参加投标的，联合体任何成员存在以上不良信用记录的，联合体投标将被认定为</w:t>
      </w:r>
      <w:r>
        <w:rPr>
          <w:rFonts w:hint="eastAsia" w:ascii="宋体" w:hAnsi="宋体" w:cs="宋体"/>
          <w:b/>
          <w:bCs/>
          <w:color w:val="auto"/>
        </w:rPr>
        <w:t>投标无效</w:t>
      </w:r>
      <w:r>
        <w:rPr>
          <w:rFonts w:hint="eastAsia" w:ascii="宋体" w:hAnsi="宋体" w:cs="宋体"/>
          <w:color w:val="auto"/>
        </w:rPr>
        <w:t>。</w:t>
      </w:r>
    </w:p>
    <w:p>
      <w:pPr>
        <w:pStyle w:val="2"/>
        <w:spacing w:line="290" w:lineRule="exact"/>
        <w:ind w:left="31680" w:hanging="849" w:hangingChars="354"/>
        <w:jc w:val="both"/>
        <w:rPr>
          <w:rFonts w:hAnsi="宋体" w:cs="Times New Roman"/>
          <w:color w:val="auto"/>
          <w:sz w:val="21"/>
          <w:szCs w:val="21"/>
        </w:rPr>
      </w:pPr>
      <w:r>
        <w:rPr>
          <w:rFonts w:hAnsi="宋体"/>
          <w:color w:val="auto"/>
        </w:rPr>
        <w:t>19</w:t>
      </w:r>
      <w:r>
        <w:rPr>
          <w:rFonts w:hAnsi="宋体"/>
          <w:color w:val="auto"/>
          <w:sz w:val="21"/>
          <w:szCs w:val="21"/>
        </w:rPr>
        <w:t xml:space="preserve">.2.2 </w:t>
      </w:r>
      <w:r>
        <w:rPr>
          <w:rFonts w:hint="eastAsia" w:hAnsi="宋体"/>
          <w:color w:val="auto"/>
          <w:sz w:val="21"/>
          <w:szCs w:val="21"/>
        </w:rPr>
        <w:t>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pPr>
        <w:pStyle w:val="2"/>
        <w:spacing w:line="290" w:lineRule="exact"/>
        <w:ind w:firstLine="630" w:firstLineChars="300"/>
        <w:jc w:val="both"/>
        <w:rPr>
          <w:rFonts w:hAnsi="宋体" w:cs="Times New Roman"/>
          <w:color w:val="auto"/>
          <w:sz w:val="21"/>
          <w:szCs w:val="21"/>
        </w:rPr>
      </w:pPr>
      <w:r>
        <w:rPr>
          <w:rFonts w:hint="eastAsia" w:hAnsi="宋体"/>
          <w:color w:val="auto"/>
          <w:sz w:val="21"/>
          <w:szCs w:val="21"/>
        </w:rPr>
        <w:t>供应商自行提供的与网站信息不一致的其他证明材料亦不作为资格审查依据。</w:t>
      </w:r>
    </w:p>
    <w:p>
      <w:pPr>
        <w:spacing w:line="290" w:lineRule="exact"/>
        <w:ind w:left="31680" w:hanging="743" w:hangingChars="354"/>
        <w:rPr>
          <w:rFonts w:ascii="宋体"/>
          <w:color w:val="auto"/>
        </w:rPr>
      </w:pPr>
      <w:r>
        <w:rPr>
          <w:rFonts w:ascii="宋体" w:hAnsi="宋体" w:cs="宋体"/>
          <w:color w:val="auto"/>
        </w:rPr>
        <w:t xml:space="preserve">19.3   </w:t>
      </w:r>
      <w:r>
        <w:rPr>
          <w:rFonts w:hint="eastAsia" w:ascii="宋体" w:hAnsi="宋体" w:cs="宋体"/>
          <w:color w:val="auto"/>
        </w:rPr>
        <w:t>按照《中华人民共和国政府采购法》、《中华人民共和国政府采购法实施条例》及本项目本级和上级财政部门的有关规定依法</w:t>
      </w:r>
      <w:r>
        <w:rPr>
          <w:rFonts w:hint="eastAsia" w:ascii="宋体" w:hAnsi="宋体" w:cs="宋体"/>
          <w:b/>
          <w:bCs/>
          <w:color w:val="auto"/>
        </w:rPr>
        <w:t>组建</w:t>
      </w:r>
      <w:r>
        <w:rPr>
          <w:rFonts w:ascii="宋体" w:hAnsi="宋体" w:cs="宋体"/>
          <w:b/>
          <w:bCs/>
          <w:color w:val="auto"/>
        </w:rPr>
        <w:t>5</w:t>
      </w:r>
      <w:r>
        <w:rPr>
          <w:rFonts w:hint="eastAsia" w:ascii="宋体" w:hAnsi="宋体" w:cs="宋体"/>
          <w:b/>
          <w:bCs/>
          <w:color w:val="auto"/>
        </w:rPr>
        <w:t>名评标委员会专家</w:t>
      </w:r>
      <w:r>
        <w:rPr>
          <w:rFonts w:hint="eastAsia" w:ascii="宋体" w:hAnsi="宋体" w:cs="宋体"/>
          <w:color w:val="auto"/>
        </w:rPr>
        <w:t>，负责评标工作。</w:t>
      </w:r>
    </w:p>
    <w:bookmarkEnd w:id="105"/>
    <w:bookmarkEnd w:id="106"/>
    <w:bookmarkEnd w:id="107"/>
    <w:bookmarkEnd w:id="108"/>
    <w:bookmarkEnd w:id="142"/>
    <w:p>
      <w:pPr>
        <w:pStyle w:val="5"/>
        <w:spacing w:before="0" w:after="0" w:line="290" w:lineRule="exact"/>
        <w:rPr>
          <w:rFonts w:hAnsi="宋体" w:cs="Times New Roman"/>
          <w:b w:val="0"/>
          <w:bCs w:val="0"/>
          <w:color w:val="auto"/>
          <w:sz w:val="21"/>
          <w:szCs w:val="21"/>
          <w:bdr w:val="single" w:color="auto" w:sz="4" w:space="0"/>
        </w:rPr>
      </w:pPr>
      <w:bookmarkStart w:id="143" w:name="_Toc520356166"/>
      <w:bookmarkStart w:id="144" w:name="_Toc515647781"/>
      <w:bookmarkStart w:id="145" w:name="_Toc28479"/>
      <w:bookmarkStart w:id="146" w:name="_Toc19949"/>
      <w:bookmarkStart w:id="147" w:name="_Toc25607"/>
      <w:r>
        <w:rPr>
          <w:rFonts w:hAnsi="宋体"/>
          <w:color w:val="auto"/>
          <w:sz w:val="21"/>
          <w:szCs w:val="21"/>
          <w:u w:val="none"/>
        </w:rPr>
        <w:t>20.</w:t>
      </w:r>
      <w:r>
        <w:rPr>
          <w:rFonts w:hint="eastAsia" w:hAnsi="宋体"/>
          <w:color w:val="auto"/>
          <w:sz w:val="21"/>
          <w:szCs w:val="21"/>
          <w:u w:val="none"/>
        </w:rPr>
        <w:t>投标文件</w:t>
      </w:r>
      <w:bookmarkEnd w:id="143"/>
      <w:r>
        <w:rPr>
          <w:rFonts w:hint="eastAsia" w:hAnsi="宋体"/>
          <w:color w:val="auto"/>
          <w:sz w:val="21"/>
          <w:szCs w:val="21"/>
          <w:u w:val="none"/>
        </w:rPr>
        <w:t>符合性审查与澄清</w:t>
      </w:r>
      <w:bookmarkEnd w:id="144"/>
      <w:bookmarkEnd w:id="145"/>
      <w:bookmarkEnd w:id="146"/>
      <w:bookmarkEnd w:id="147"/>
    </w:p>
    <w:p>
      <w:pPr>
        <w:spacing w:line="290" w:lineRule="exact"/>
        <w:ind w:left="31680" w:hanging="787" w:hangingChars="375"/>
        <w:rPr>
          <w:rFonts w:ascii="宋体"/>
          <w:color w:val="auto"/>
        </w:rPr>
      </w:pPr>
      <w:r>
        <w:rPr>
          <w:rFonts w:ascii="宋体" w:hAnsi="宋体" w:cs="宋体"/>
          <w:color w:val="auto"/>
        </w:rPr>
        <w:t xml:space="preserve">20.1   </w:t>
      </w:r>
      <w:r>
        <w:rPr>
          <w:rFonts w:hint="eastAsia" w:ascii="宋体" w:hAnsi="宋体" w:cs="宋体"/>
          <w:color w:val="auto"/>
        </w:rPr>
        <w:t>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pPr>
        <w:spacing w:line="290" w:lineRule="exact"/>
        <w:ind w:left="31680" w:hanging="787" w:hangingChars="375"/>
        <w:rPr>
          <w:rFonts w:ascii="宋体"/>
          <w:color w:val="auto"/>
        </w:rPr>
      </w:pPr>
      <w:r>
        <w:rPr>
          <w:rFonts w:ascii="宋体" w:hAnsi="宋体" w:cs="宋体"/>
          <w:color w:val="auto"/>
        </w:rPr>
        <w:t>20.2</w:t>
      </w:r>
      <w:r>
        <w:rPr>
          <w:rFonts w:ascii="宋体" w:hAnsi="宋体" w:cs="宋体"/>
          <w:color w:val="auto"/>
        </w:rPr>
        <w:tab/>
      </w:r>
      <w:r>
        <w:rPr>
          <w:rFonts w:hint="eastAsia" w:ascii="宋体" w:hAnsi="宋体" w:cs="宋体"/>
          <w:color w:val="auto"/>
        </w:rPr>
        <w:t>投标文件的澄清</w:t>
      </w:r>
    </w:p>
    <w:p>
      <w:pPr>
        <w:spacing w:line="290" w:lineRule="exact"/>
        <w:ind w:left="31680" w:hanging="787" w:hangingChars="375"/>
        <w:rPr>
          <w:rFonts w:ascii="宋体"/>
          <w:color w:val="auto"/>
        </w:rPr>
      </w:pPr>
      <w:r>
        <w:rPr>
          <w:rFonts w:ascii="宋体" w:hAnsi="宋体" w:cs="宋体"/>
          <w:color w:val="auto"/>
        </w:rPr>
        <w:t xml:space="preserve">20.2.1  </w:t>
      </w:r>
      <w:r>
        <w:rPr>
          <w:rFonts w:hint="eastAsia" w:ascii="宋体" w:hAnsi="宋体" w:cs="宋体"/>
          <w:color w:val="auto"/>
        </w:rPr>
        <w:t>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pPr>
        <w:spacing w:line="290" w:lineRule="exact"/>
        <w:ind w:left="31680" w:hanging="787" w:hangingChars="375"/>
        <w:rPr>
          <w:rFonts w:ascii="宋体"/>
          <w:color w:val="auto"/>
        </w:rPr>
      </w:pPr>
      <w:r>
        <w:rPr>
          <w:rFonts w:ascii="宋体" w:hAnsi="宋体" w:cs="宋体"/>
          <w:color w:val="auto"/>
        </w:rPr>
        <w:t xml:space="preserve">20.2.2  </w:t>
      </w:r>
      <w:r>
        <w:rPr>
          <w:rFonts w:hint="eastAsia" w:ascii="宋体" w:hAnsi="宋体" w:cs="宋体"/>
          <w:color w:val="auto"/>
        </w:rPr>
        <w:t>供应商的的澄清、说明或补正将作为投标文件的一部分。</w:t>
      </w:r>
    </w:p>
    <w:p>
      <w:pPr>
        <w:spacing w:line="290" w:lineRule="exact"/>
        <w:ind w:left="31680" w:hanging="787" w:hangingChars="375"/>
        <w:rPr>
          <w:rFonts w:ascii="宋体"/>
          <w:color w:val="auto"/>
        </w:rPr>
      </w:pPr>
      <w:r>
        <w:rPr>
          <w:rFonts w:ascii="宋体" w:hAnsi="宋体" w:cs="宋体"/>
          <w:color w:val="auto"/>
        </w:rPr>
        <w:t xml:space="preserve">20.3  </w:t>
      </w:r>
      <w:r>
        <w:rPr>
          <w:rFonts w:hint="eastAsia" w:ascii="宋体" w:hAnsi="宋体" w:cs="宋体"/>
          <w:color w:val="auto"/>
        </w:rPr>
        <w:t>投标文件报价出现前后不一致的，按照下列规定修正：</w:t>
      </w:r>
    </w:p>
    <w:p>
      <w:pPr>
        <w:spacing w:line="290" w:lineRule="exact"/>
        <w:ind w:left="31680" w:hanging="892" w:hangingChars="425"/>
        <w:rPr>
          <w:rFonts w:ascii="宋体"/>
          <w:color w:val="auto"/>
        </w:rPr>
      </w:pPr>
      <w:r>
        <w:rPr>
          <w:rFonts w:hint="eastAsia" w:ascii="宋体" w:hAnsi="宋体" w:cs="宋体"/>
          <w:color w:val="auto"/>
        </w:rPr>
        <w:t>　　</w:t>
      </w:r>
      <w:r>
        <w:rPr>
          <w:rFonts w:ascii="宋体" w:hAnsi="宋体" w:cs="宋体"/>
          <w:color w:val="auto"/>
        </w:rPr>
        <w:t xml:space="preserve">   </w:t>
      </w:r>
      <w:r>
        <w:rPr>
          <w:rFonts w:hint="eastAsia" w:ascii="宋体" w:hAnsi="宋体" w:cs="宋体"/>
          <w:color w:val="auto"/>
        </w:rPr>
        <w:t>（一）投标文件中开标一览表（报价表）内容与投标文件中相应内容不一致的，以开标一览表（报价表）为准；</w:t>
      </w:r>
    </w:p>
    <w:p>
      <w:pPr>
        <w:spacing w:line="290" w:lineRule="exact"/>
        <w:ind w:left="31680" w:hanging="787" w:hangingChars="375"/>
        <w:rPr>
          <w:rFonts w:ascii="宋体"/>
          <w:color w:val="auto"/>
        </w:rPr>
      </w:pPr>
      <w:r>
        <w:rPr>
          <w:rFonts w:hint="eastAsia" w:ascii="宋体" w:hAnsi="宋体" w:cs="宋体"/>
          <w:color w:val="auto"/>
        </w:rPr>
        <w:t>　　</w:t>
      </w:r>
      <w:r>
        <w:rPr>
          <w:rFonts w:ascii="宋体" w:hAnsi="宋体" w:cs="宋体"/>
          <w:color w:val="auto"/>
        </w:rPr>
        <w:t xml:space="preserve">   </w:t>
      </w:r>
      <w:r>
        <w:rPr>
          <w:rFonts w:hint="eastAsia" w:ascii="宋体" w:hAnsi="宋体" w:cs="宋体"/>
          <w:color w:val="auto"/>
        </w:rPr>
        <w:t>（二）大写金额和小写金额不一致的，以大写金额为准；</w:t>
      </w:r>
    </w:p>
    <w:p>
      <w:pPr>
        <w:spacing w:line="290" w:lineRule="exact"/>
        <w:ind w:left="31680" w:hanging="892" w:hangingChars="425"/>
        <w:rPr>
          <w:rFonts w:ascii="宋体"/>
          <w:color w:val="auto"/>
        </w:rPr>
      </w:pPr>
      <w:r>
        <w:rPr>
          <w:rFonts w:hint="eastAsia" w:ascii="宋体" w:hAnsi="宋体" w:cs="宋体"/>
          <w:color w:val="auto"/>
        </w:rPr>
        <w:t>　</w:t>
      </w:r>
      <w:r>
        <w:rPr>
          <w:rFonts w:ascii="宋体" w:hAnsi="宋体" w:cs="宋体"/>
          <w:color w:val="auto"/>
        </w:rPr>
        <w:t xml:space="preserve">   </w:t>
      </w:r>
      <w:r>
        <w:rPr>
          <w:rFonts w:hint="eastAsia" w:ascii="宋体" w:hAnsi="宋体" w:cs="宋体"/>
          <w:color w:val="auto"/>
        </w:rPr>
        <w:t>　（三）单价金额小数点或者百分比有明显错位的，以开标一览表的总价为准，并修改单价；</w:t>
      </w:r>
    </w:p>
    <w:p>
      <w:pPr>
        <w:spacing w:line="290" w:lineRule="exact"/>
        <w:ind w:left="31680" w:hanging="787" w:hangingChars="375"/>
        <w:rPr>
          <w:rFonts w:ascii="宋体"/>
          <w:color w:val="auto"/>
        </w:rPr>
      </w:pPr>
      <w:r>
        <w:rPr>
          <w:rFonts w:hint="eastAsia" w:ascii="宋体" w:hAnsi="宋体" w:cs="宋体"/>
          <w:color w:val="auto"/>
        </w:rPr>
        <w:t>　</w:t>
      </w:r>
      <w:r>
        <w:rPr>
          <w:rFonts w:ascii="宋体" w:hAnsi="宋体" w:cs="宋体"/>
          <w:color w:val="auto"/>
        </w:rPr>
        <w:t xml:space="preserve">   </w:t>
      </w:r>
      <w:r>
        <w:rPr>
          <w:rFonts w:hint="eastAsia" w:ascii="宋体" w:hAnsi="宋体" w:cs="宋体"/>
          <w:color w:val="auto"/>
        </w:rPr>
        <w:t>　（四）总价金额与按单价汇总金额不一致的，以单价金额计算结果为准。</w:t>
      </w:r>
    </w:p>
    <w:p>
      <w:pPr>
        <w:spacing w:line="290" w:lineRule="exact"/>
        <w:ind w:left="31680" w:hanging="787" w:hangingChars="375"/>
        <w:rPr>
          <w:rFonts w:ascii="宋体"/>
          <w:color w:val="auto"/>
        </w:rPr>
      </w:pPr>
      <w:r>
        <w:rPr>
          <w:rFonts w:hint="eastAsia" w:ascii="宋体" w:hAnsi="宋体" w:cs="宋体"/>
          <w:color w:val="auto"/>
        </w:rPr>
        <w:t>　　</w:t>
      </w:r>
      <w:r>
        <w:rPr>
          <w:rFonts w:ascii="宋体" w:hAnsi="宋体" w:cs="宋体"/>
          <w:color w:val="auto"/>
        </w:rPr>
        <w:t xml:space="preserve">    </w:t>
      </w:r>
      <w:r>
        <w:rPr>
          <w:rFonts w:hint="eastAsia" w:ascii="宋体" w:hAnsi="宋体" w:cs="宋体"/>
          <w:color w:val="auto"/>
        </w:rPr>
        <w:t>同时出现两种以上不一致的，按照前款规定的顺序修正。修正后的报价按照第</w:t>
      </w:r>
      <w:r>
        <w:rPr>
          <w:rFonts w:ascii="宋体" w:hAnsi="宋体" w:cs="宋体"/>
          <w:color w:val="auto"/>
        </w:rPr>
        <w:t>20.2</w:t>
      </w:r>
      <w:r>
        <w:rPr>
          <w:rFonts w:hint="eastAsia" w:ascii="宋体" w:hAnsi="宋体" w:cs="宋体"/>
          <w:color w:val="auto"/>
        </w:rPr>
        <w:t>条的规定经供应商确认后产生约束力，供应商不确认的，其投标将被认定为</w:t>
      </w:r>
      <w:r>
        <w:rPr>
          <w:rFonts w:hint="eastAsia" w:ascii="宋体" w:hAnsi="宋体" w:cs="宋体"/>
          <w:b/>
          <w:bCs/>
          <w:color w:val="auto"/>
        </w:rPr>
        <w:t>投标无效</w:t>
      </w:r>
      <w:r>
        <w:rPr>
          <w:rFonts w:hint="eastAsia" w:ascii="宋体" w:hAnsi="宋体" w:cs="宋体"/>
          <w:color w:val="auto"/>
        </w:rPr>
        <w:t>。</w:t>
      </w:r>
    </w:p>
    <w:p>
      <w:pPr>
        <w:spacing w:line="290" w:lineRule="exact"/>
        <w:ind w:firstLine="735" w:firstLineChars="350"/>
        <w:rPr>
          <w:rFonts w:ascii="宋体"/>
          <w:color w:val="auto"/>
        </w:rPr>
      </w:pPr>
      <w:r>
        <w:rPr>
          <w:rFonts w:hint="eastAsia" w:ascii="宋体" w:hAnsi="宋体" w:cs="宋体"/>
          <w:color w:val="auto"/>
        </w:rPr>
        <w:t>对不同文字文本投标文件的解释发生异议的，以中文文本为准。</w:t>
      </w:r>
    </w:p>
    <w:p>
      <w:pPr>
        <w:spacing w:line="290" w:lineRule="exact"/>
        <w:ind w:left="31680" w:hanging="787" w:hangingChars="375"/>
        <w:rPr>
          <w:rFonts w:ascii="宋体"/>
          <w:color w:val="auto"/>
        </w:rPr>
      </w:pPr>
      <w:r>
        <w:rPr>
          <w:rFonts w:ascii="宋体" w:hAnsi="宋体" w:cs="宋体"/>
          <w:color w:val="auto"/>
        </w:rPr>
        <w:t xml:space="preserve">20.4   </w:t>
      </w:r>
      <w:r>
        <w:rPr>
          <w:rFonts w:hint="eastAsia" w:ascii="宋体" w:hAnsi="宋体" w:cs="宋体"/>
          <w:color w:val="auto"/>
        </w:rPr>
        <w:t>如一个分包内只有一种产品，不同供应商所投产品为同一品牌的，按如下方式处理：</w:t>
      </w:r>
    </w:p>
    <w:p>
      <w:pPr>
        <w:spacing w:line="290" w:lineRule="exact"/>
        <w:ind w:left="31680" w:hanging="787" w:hangingChars="375"/>
        <w:rPr>
          <w:rFonts w:ascii="宋体"/>
          <w:color w:val="auto"/>
        </w:rPr>
      </w:pPr>
      <w:r>
        <w:rPr>
          <w:rFonts w:ascii="宋体" w:hAnsi="宋体" w:cs="宋体"/>
          <w:color w:val="auto"/>
        </w:rPr>
        <w:t xml:space="preserve">20.4.1   </w:t>
      </w:r>
      <w:r>
        <w:rPr>
          <w:rFonts w:hint="eastAsia" w:ascii="宋体" w:hAnsi="宋体" w:cs="宋体"/>
          <w:color w:val="auto"/>
        </w:rPr>
        <w:t>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spacing w:line="290" w:lineRule="exact"/>
        <w:ind w:left="31680" w:hanging="787" w:hangingChars="375"/>
        <w:rPr>
          <w:rFonts w:ascii="宋体"/>
          <w:color w:val="auto"/>
        </w:rPr>
      </w:pPr>
      <w:r>
        <w:rPr>
          <w:rFonts w:ascii="宋体" w:hAnsi="宋体" w:cs="宋体"/>
          <w:color w:val="auto"/>
        </w:rPr>
        <w:t xml:space="preserve">20.5    </w:t>
      </w:r>
      <w:r>
        <w:rPr>
          <w:rFonts w:hint="eastAsia" w:ascii="宋体" w:hAnsi="宋体" w:cs="宋体"/>
          <w:color w:val="auto"/>
        </w:rPr>
        <w:t>供应商所投产品如被列入财政部与国家主管部门颁发的节能产品目录或环境标志产品目录或无线局域网产品目录，应提供相关证明，在评标时予以优先采购，具体优先采购办法见第六章评标方法和标准。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31680" w:hanging="787" w:hangingChars="375"/>
        <w:rPr>
          <w:rFonts w:ascii="宋体"/>
          <w:color w:val="auto"/>
        </w:rPr>
      </w:pPr>
      <w:r>
        <w:rPr>
          <w:rFonts w:ascii="宋体" w:hAnsi="宋体" w:cs="宋体"/>
          <w:color w:val="auto"/>
        </w:rPr>
        <w:t xml:space="preserve">        </w:t>
      </w:r>
      <w:r>
        <w:rPr>
          <w:rFonts w:hint="eastAsia" w:ascii="宋体" w:hAnsi="宋体" w:cs="宋体"/>
          <w:color w:val="auto"/>
        </w:rPr>
        <w:t>如采购人所采购产品为政府强制采购的节能产品，供应商所投产品的品牌及型号必须为清单中有效期内产品并提供证明文件，否则其投标将被认定为</w:t>
      </w:r>
      <w:r>
        <w:rPr>
          <w:rFonts w:hint="eastAsia" w:ascii="宋体" w:hAnsi="宋体" w:cs="宋体"/>
          <w:b/>
          <w:bCs/>
          <w:color w:val="auto"/>
        </w:rPr>
        <w:t>投标无效</w:t>
      </w:r>
      <w:r>
        <w:rPr>
          <w:rFonts w:hint="eastAsia" w:ascii="宋体" w:hAnsi="宋体" w:cs="宋体"/>
          <w:color w:val="auto"/>
        </w:rPr>
        <w:t>。</w:t>
      </w:r>
    </w:p>
    <w:p>
      <w:pPr>
        <w:pStyle w:val="5"/>
        <w:spacing w:before="0" w:after="0" w:line="240" w:lineRule="atLeast"/>
        <w:rPr>
          <w:rFonts w:hAnsi="宋体" w:cs="Times New Roman"/>
          <w:color w:val="auto"/>
          <w:sz w:val="21"/>
          <w:szCs w:val="21"/>
          <w:u w:val="none"/>
        </w:rPr>
      </w:pPr>
      <w:bookmarkStart w:id="150" w:name="_Toc28888"/>
      <w:bookmarkStart w:id="151" w:name="_Toc515647782"/>
      <w:bookmarkStart w:id="152" w:name="_Toc6364"/>
      <w:bookmarkStart w:id="153" w:name="_Toc9469"/>
      <w:r>
        <w:rPr>
          <w:rFonts w:hAnsi="宋体"/>
          <w:color w:val="auto"/>
          <w:sz w:val="21"/>
          <w:szCs w:val="21"/>
          <w:u w:val="none"/>
        </w:rPr>
        <w:t>21.</w:t>
      </w:r>
      <w:r>
        <w:rPr>
          <w:rFonts w:hint="eastAsia" w:hAnsi="宋体"/>
          <w:color w:val="auto"/>
          <w:sz w:val="21"/>
          <w:szCs w:val="21"/>
          <w:u w:val="none"/>
        </w:rPr>
        <w:t>投标偏离</w:t>
      </w:r>
      <w:bookmarkEnd w:id="150"/>
      <w:bookmarkEnd w:id="151"/>
      <w:bookmarkEnd w:id="152"/>
      <w:bookmarkEnd w:id="153"/>
    </w:p>
    <w:p>
      <w:pPr>
        <w:spacing w:line="240" w:lineRule="atLeast"/>
        <w:ind w:left="768" w:leftChars="99" w:hanging="560" w:hangingChars="267"/>
        <w:rPr>
          <w:rFonts w:ascii="宋体"/>
          <w:color w:val="auto"/>
        </w:rPr>
      </w:pPr>
      <w:r>
        <w:rPr>
          <w:rFonts w:ascii="宋体" w:hAnsi="宋体" w:cs="宋体"/>
          <w:color w:val="auto"/>
        </w:rPr>
        <w:t xml:space="preserve">     </w:t>
      </w:r>
      <w:r>
        <w:rPr>
          <w:rFonts w:hint="eastAsia" w:ascii="宋体" w:hAnsi="宋体" w:cs="宋体"/>
          <w:color w:val="auto"/>
        </w:rPr>
        <w:t>评标委员会可以接受投标文件中不构成实质性偏离的不正规或不一致。</w:t>
      </w:r>
      <w:bookmarkStart w:id="154" w:name="_Toc515647783"/>
      <w:bookmarkStart w:id="155" w:name="_Toc6092"/>
      <w:bookmarkStart w:id="156" w:name="_Toc4950"/>
    </w:p>
    <w:p>
      <w:pPr>
        <w:pStyle w:val="5"/>
        <w:spacing w:before="0" w:after="0" w:line="240" w:lineRule="atLeast"/>
        <w:rPr>
          <w:rFonts w:hAnsi="宋体" w:cs="Times New Roman"/>
          <w:color w:val="auto"/>
          <w:sz w:val="21"/>
          <w:szCs w:val="21"/>
          <w:u w:val="none"/>
        </w:rPr>
      </w:pPr>
      <w:bookmarkStart w:id="157" w:name="_Toc20254"/>
      <w:r>
        <w:rPr>
          <w:rFonts w:hAnsi="宋体"/>
          <w:color w:val="auto"/>
          <w:sz w:val="21"/>
          <w:szCs w:val="21"/>
          <w:u w:val="none"/>
        </w:rPr>
        <w:t>22.</w:t>
      </w:r>
      <w:r>
        <w:rPr>
          <w:rFonts w:hint="eastAsia" w:hAnsi="宋体"/>
          <w:color w:val="auto"/>
          <w:sz w:val="21"/>
          <w:szCs w:val="21"/>
          <w:u w:val="none"/>
        </w:rPr>
        <w:t>投标</w:t>
      </w:r>
      <w:bookmarkEnd w:id="154"/>
      <w:r>
        <w:rPr>
          <w:rFonts w:hint="eastAsia" w:hAnsi="宋体"/>
          <w:color w:val="auto"/>
          <w:sz w:val="21"/>
          <w:szCs w:val="21"/>
          <w:u w:val="none"/>
        </w:rPr>
        <w:t>无效</w:t>
      </w:r>
      <w:bookmarkEnd w:id="155"/>
      <w:bookmarkEnd w:id="156"/>
      <w:bookmarkEnd w:id="157"/>
    </w:p>
    <w:p>
      <w:pPr>
        <w:spacing w:line="240" w:lineRule="atLeast"/>
        <w:ind w:left="739" w:leftChars="-23" w:hanging="787" w:hangingChars="375"/>
        <w:rPr>
          <w:rFonts w:ascii="宋体"/>
          <w:color w:val="auto"/>
        </w:rPr>
      </w:pPr>
      <w:r>
        <w:rPr>
          <w:rFonts w:ascii="宋体" w:hAnsi="宋体" w:cs="宋体"/>
          <w:color w:val="auto"/>
        </w:rPr>
        <w:t xml:space="preserve">22.1   </w:t>
      </w:r>
      <w:r>
        <w:rPr>
          <w:rFonts w:hint="eastAsia" w:ascii="宋体" w:hAnsi="宋体" w:cs="宋体"/>
          <w:color w:val="auto"/>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cs="宋体"/>
          <w:b/>
          <w:bCs/>
          <w:color w:val="auto"/>
        </w:rPr>
        <w:t>投标无效</w:t>
      </w:r>
      <w:r>
        <w:rPr>
          <w:rFonts w:hint="eastAsia" w:ascii="宋体" w:hAnsi="宋体" w:cs="宋体"/>
          <w:color w:val="auto"/>
        </w:rPr>
        <w:t>。供应商不得通过修正或撤销不符合要求的偏离，从而使其投标成为实质上响应的投标。</w:t>
      </w:r>
    </w:p>
    <w:p>
      <w:pPr>
        <w:spacing w:line="240" w:lineRule="atLeast"/>
        <w:ind w:left="792" w:leftChars="377"/>
        <w:rPr>
          <w:rFonts w:ascii="宋体"/>
          <w:color w:val="auto"/>
        </w:rPr>
      </w:pPr>
      <w:r>
        <w:rPr>
          <w:rFonts w:hint="eastAsia" w:ascii="宋体" w:hAnsi="宋体" w:cs="宋体"/>
          <w:color w:val="auto"/>
        </w:rPr>
        <w:t>评标委员会决定投标的响应性只根据招标文件要求、投标文件内容及财政主管部门指定相关信息发布媒体。</w:t>
      </w:r>
    </w:p>
    <w:p>
      <w:pPr>
        <w:spacing w:line="240" w:lineRule="atLeast"/>
        <w:ind w:left="31680" w:hanging="787" w:hangingChars="375"/>
        <w:rPr>
          <w:rFonts w:ascii="宋体"/>
          <w:color w:val="auto"/>
        </w:rPr>
      </w:pPr>
      <w:r>
        <w:rPr>
          <w:rFonts w:ascii="宋体" w:hAnsi="宋体" w:cs="宋体"/>
          <w:color w:val="auto"/>
        </w:rPr>
        <w:t>22.2</w:t>
      </w:r>
      <w:r>
        <w:rPr>
          <w:rFonts w:ascii="宋体" w:hAnsi="宋体" w:cs="宋体"/>
          <w:color w:val="auto"/>
        </w:rPr>
        <w:tab/>
      </w:r>
      <w:r>
        <w:rPr>
          <w:rFonts w:hint="eastAsia" w:ascii="宋体" w:hAnsi="宋体" w:cs="宋体"/>
          <w:b/>
          <w:bCs/>
          <w:color w:val="auto"/>
        </w:rPr>
        <w:t>如发现下列情况之一的，其投标将被认定为投标无效</w:t>
      </w:r>
      <w:r>
        <w:rPr>
          <w:rFonts w:hint="eastAsia" w:ascii="宋体" w:hAnsi="宋体" w:cs="宋体"/>
          <w:color w:val="auto"/>
        </w:rPr>
        <w:t>：</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未按招标文件规定的形式和金额提交投标保证金的；</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未按照招标文件规定要求签署、盖章的；</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未满足招标文件中技术条款的实质性要求；</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与其他供应商串通投标，或者与招标人串通投标；</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属于招标文件规定的其他投标无效情形；</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评标委员会认为供应商的报价明显低于其他通过符合性检查供应商的报价，有可能影响履约的，且供应商未按照规定证明其报价合理性的；</w:t>
      </w:r>
    </w:p>
    <w:p>
      <w:pPr>
        <w:numPr>
          <w:ilvl w:val="0"/>
          <w:numId w:val="4"/>
        </w:numPr>
        <w:spacing w:line="240" w:lineRule="atLeast"/>
        <w:ind w:left="1081" w:leftChars="429" w:hanging="180"/>
        <w:rPr>
          <w:rFonts w:ascii="宋体"/>
          <w:b/>
          <w:bCs/>
          <w:color w:val="auto"/>
        </w:rPr>
      </w:pPr>
      <w:r>
        <w:rPr>
          <w:rFonts w:hint="eastAsia" w:ascii="宋体" w:hAnsi="宋体" w:cs="宋体"/>
          <w:b/>
          <w:bCs/>
          <w:color w:val="auto"/>
        </w:rPr>
        <w:t>投标文件含有采购人不能接受的附加条件的；</w:t>
      </w:r>
    </w:p>
    <w:p>
      <w:pPr>
        <w:numPr>
          <w:ilvl w:val="0"/>
          <w:numId w:val="4"/>
        </w:numPr>
        <w:tabs>
          <w:tab w:val="left" w:pos="0"/>
        </w:tabs>
        <w:spacing w:line="240" w:lineRule="atLeast"/>
        <w:ind w:left="1081" w:leftChars="429" w:hanging="180"/>
        <w:rPr>
          <w:rFonts w:ascii="宋体"/>
          <w:b/>
          <w:bCs/>
          <w:color w:val="auto"/>
        </w:rPr>
      </w:pPr>
      <w:r>
        <w:rPr>
          <w:rFonts w:hint="eastAsia" w:ascii="宋体" w:hAnsi="宋体" w:cs="宋体"/>
          <w:b/>
          <w:bCs/>
          <w:color w:val="auto"/>
        </w:rPr>
        <w:t>不符合法规和招标文件中规定的其他实质性要求的。</w:t>
      </w:r>
    </w:p>
    <w:p>
      <w:pPr>
        <w:spacing w:line="240" w:lineRule="atLeast"/>
        <w:outlineLvl w:val="2"/>
        <w:rPr>
          <w:rFonts w:ascii="宋体"/>
          <w:b/>
          <w:bCs/>
          <w:color w:val="auto"/>
        </w:rPr>
      </w:pPr>
      <w:bookmarkStart w:id="158" w:name="_Toc515647784"/>
      <w:bookmarkStart w:id="159" w:name="_Toc13652"/>
      <w:bookmarkStart w:id="160" w:name="_Toc10960"/>
      <w:bookmarkStart w:id="161" w:name="_Toc22941"/>
      <w:r>
        <w:rPr>
          <w:rFonts w:ascii="宋体" w:hAnsi="宋体" w:cs="宋体"/>
          <w:b/>
          <w:bCs/>
          <w:color w:val="auto"/>
        </w:rPr>
        <w:t>23.</w:t>
      </w:r>
      <w:bookmarkEnd w:id="149"/>
      <w:r>
        <w:rPr>
          <w:rFonts w:hint="eastAsia" w:ascii="宋体" w:hAnsi="宋体" w:cs="宋体"/>
          <w:b/>
          <w:bCs/>
          <w:color w:val="auto"/>
        </w:rPr>
        <w:t>比较与评价</w:t>
      </w:r>
      <w:bookmarkEnd w:id="158"/>
      <w:bookmarkEnd w:id="159"/>
      <w:bookmarkEnd w:id="160"/>
      <w:bookmarkEnd w:id="161"/>
    </w:p>
    <w:p>
      <w:pPr>
        <w:spacing w:line="240" w:lineRule="atLeast"/>
        <w:ind w:left="31680" w:hanging="787" w:hangingChars="375"/>
        <w:rPr>
          <w:rFonts w:ascii="宋体"/>
          <w:color w:val="auto"/>
          <w:highlight w:val="yellow"/>
        </w:rPr>
      </w:pPr>
      <w:r>
        <w:rPr>
          <w:rFonts w:ascii="宋体" w:hAnsi="宋体" w:cs="宋体"/>
          <w:color w:val="auto"/>
        </w:rPr>
        <w:t>23.1</w:t>
      </w:r>
      <w:r>
        <w:rPr>
          <w:rFonts w:ascii="宋体" w:hAnsi="宋体" w:cs="宋体"/>
          <w:color w:val="auto"/>
        </w:rPr>
        <w:tab/>
      </w:r>
      <w:r>
        <w:rPr>
          <w:rFonts w:hint="eastAsia" w:ascii="宋体" w:hAnsi="宋体" w:cs="宋体"/>
          <w:color w:val="auto"/>
        </w:rPr>
        <w:t>经符合性审查合格的投标文件，评标委员会将根据招标文件确定的评标方法和标准，对其技术部分和商务部分作进一步的比较和评价。</w:t>
      </w:r>
    </w:p>
    <w:p>
      <w:pPr>
        <w:spacing w:line="240" w:lineRule="atLeast"/>
        <w:ind w:left="31680" w:hanging="787" w:hangingChars="375"/>
        <w:rPr>
          <w:rFonts w:ascii="宋体"/>
          <w:color w:val="auto"/>
        </w:rPr>
      </w:pPr>
      <w:r>
        <w:rPr>
          <w:rFonts w:ascii="宋体" w:hAnsi="宋体" w:cs="宋体"/>
          <w:color w:val="auto"/>
        </w:rPr>
        <w:t xml:space="preserve">23.2  </w:t>
      </w:r>
      <w:r>
        <w:rPr>
          <w:rFonts w:ascii="宋体" w:hAnsi="宋体" w:cs="宋体"/>
          <w:color w:val="auto"/>
        </w:rPr>
        <w:tab/>
      </w:r>
      <w:r>
        <w:rPr>
          <w:rFonts w:hint="eastAsia" w:ascii="宋体" w:hAnsi="宋体" w:cs="宋体"/>
          <w:color w:val="auto"/>
        </w:rPr>
        <w:t>评标严格按照招标文件的要求和条件进行。根据实际情况，在</w:t>
      </w:r>
      <w:r>
        <w:rPr>
          <w:rFonts w:hint="eastAsia" w:ascii="宋体" w:hAnsi="宋体" w:cs="宋体"/>
          <w:color w:val="auto"/>
          <w:u w:val="single"/>
        </w:rPr>
        <w:t>供应商须知资料表</w:t>
      </w:r>
      <w:r>
        <w:rPr>
          <w:rFonts w:hint="eastAsia" w:ascii="宋体" w:hAnsi="宋体" w:cs="宋体"/>
          <w:color w:val="auto"/>
        </w:rPr>
        <w:t>中规定采用下列一种评标方法，详细评标标准见招标文件第六章：</w:t>
      </w:r>
    </w:p>
    <w:p>
      <w:pPr>
        <w:pStyle w:val="12"/>
        <w:spacing w:line="240" w:lineRule="atLeast"/>
        <w:ind w:left="898" w:leftChars="342" w:hanging="180"/>
        <w:rPr>
          <w:rFonts w:hAnsi="宋体" w:cs="Times New Roman"/>
          <w:color w:val="auto"/>
        </w:rPr>
      </w:pPr>
      <w:r>
        <w:rPr>
          <w:rFonts w:hint="eastAsia" w:hAnsi="宋体"/>
          <w:color w:val="auto"/>
        </w:rPr>
        <w:t>（</w:t>
      </w:r>
      <w:r>
        <w:rPr>
          <w:rFonts w:hAnsi="宋体"/>
          <w:color w:val="auto"/>
        </w:rPr>
        <w:t>1</w:t>
      </w:r>
      <w:r>
        <w:rPr>
          <w:rFonts w:hint="eastAsia" w:hAnsi="宋体"/>
          <w:color w:val="auto"/>
        </w:rPr>
        <w:t>）</w:t>
      </w:r>
      <w:r>
        <w:rPr>
          <w:rFonts w:hAnsi="宋体"/>
          <w:color w:val="auto"/>
        </w:rPr>
        <w:t xml:space="preserve"> </w:t>
      </w:r>
      <w:r>
        <w:rPr>
          <w:rFonts w:hint="eastAsia" w:hAnsi="宋体"/>
          <w:color w:val="auto"/>
        </w:rPr>
        <w:t>综合评分法，是指投标文件满足招标文件全部实质性要求，且按照评审因素的量化指标评审得分最高的供应商为中标候选人的评标方法。</w:t>
      </w:r>
    </w:p>
    <w:p>
      <w:pPr>
        <w:spacing w:line="240" w:lineRule="atLeast"/>
        <w:ind w:left="31680" w:hanging="791" w:hangingChars="375"/>
        <w:rPr>
          <w:rFonts w:ascii="宋体"/>
          <w:b/>
          <w:bCs/>
          <w:color w:val="auto"/>
        </w:rPr>
      </w:pPr>
      <w:r>
        <w:rPr>
          <w:rFonts w:ascii="宋体" w:hAnsi="宋体" w:cs="宋体"/>
          <w:b/>
          <w:bCs/>
          <w:color w:val="auto"/>
        </w:rPr>
        <w:t xml:space="preserve">23.3   </w:t>
      </w:r>
      <w:r>
        <w:rPr>
          <w:rFonts w:hint="eastAsia" w:ascii="宋体" w:hAnsi="宋体" w:cs="宋体"/>
          <w:b/>
          <w:bCs/>
          <w:color w:val="auto"/>
        </w:rPr>
        <w:t>根据《政府采购促进中小企业发展管理办法》（财库</w:t>
      </w:r>
      <w:r>
        <w:rPr>
          <w:rFonts w:ascii="宋体" w:hAnsi="宋体" w:cs="宋体"/>
          <w:b/>
          <w:bCs/>
          <w:color w:val="auto"/>
        </w:rPr>
        <w:t>[2020]46</w:t>
      </w:r>
      <w:r>
        <w:rPr>
          <w:rFonts w:hint="eastAsia" w:ascii="宋体" w:hAnsi="宋体" w:cs="宋体"/>
          <w:b/>
          <w:bCs/>
          <w:color w:val="auto"/>
        </w:rPr>
        <w:t>号）、《财政部</w:t>
      </w:r>
      <w:r>
        <w:rPr>
          <w:rFonts w:ascii="宋体" w:hAnsi="宋体" w:cs="宋体"/>
          <w:b/>
          <w:bCs/>
          <w:color w:val="auto"/>
        </w:rPr>
        <w:t xml:space="preserve"> </w:t>
      </w:r>
      <w:r>
        <w:rPr>
          <w:rFonts w:hint="eastAsia" w:ascii="宋体" w:hAnsi="宋体" w:cs="宋体"/>
          <w:b/>
          <w:bCs/>
          <w:color w:val="auto"/>
        </w:rPr>
        <w:t>司法部关于政府采购支持监狱企业发展有关问题的通知》（财库〔</w:t>
      </w:r>
      <w:r>
        <w:rPr>
          <w:rFonts w:ascii="宋体" w:hAnsi="宋体" w:cs="宋体"/>
          <w:b/>
          <w:bCs/>
          <w:color w:val="auto"/>
        </w:rPr>
        <w:t>2014</w:t>
      </w:r>
      <w:r>
        <w:rPr>
          <w:rFonts w:hint="eastAsia" w:ascii="宋体" w:hAnsi="宋体" w:cs="宋体"/>
          <w:b/>
          <w:bCs/>
          <w:color w:val="auto"/>
        </w:rPr>
        <w:t>〕</w:t>
      </w:r>
      <w:r>
        <w:rPr>
          <w:rFonts w:ascii="宋体" w:hAnsi="宋体" w:cs="宋体"/>
          <w:b/>
          <w:bCs/>
          <w:color w:val="auto"/>
        </w:rPr>
        <w:t>68</w:t>
      </w:r>
      <w:r>
        <w:rPr>
          <w:rFonts w:hint="eastAsia" w:ascii="宋体" w:hAnsi="宋体" w:cs="宋体"/>
          <w:b/>
          <w:bCs/>
          <w:color w:val="auto"/>
        </w:rPr>
        <w:t>号）和《三部门联合发布关于促进残疾人就业政府采购政策的通知》（</w:t>
      </w:r>
      <w:bookmarkStart w:id="162" w:name="sendNo"/>
      <w:r>
        <w:rPr>
          <w:rFonts w:hint="eastAsia" w:ascii="宋体" w:hAnsi="宋体" w:cs="宋体"/>
          <w:b/>
          <w:bCs/>
          <w:color w:val="auto"/>
        </w:rPr>
        <w:t>财库〔</w:t>
      </w:r>
      <w:bookmarkEnd w:id="162"/>
      <w:r>
        <w:rPr>
          <w:rFonts w:ascii="宋体" w:hAnsi="宋体" w:cs="宋体"/>
          <w:b/>
          <w:bCs/>
          <w:color w:val="auto"/>
        </w:rPr>
        <w:t>2017</w:t>
      </w:r>
      <w:r>
        <w:rPr>
          <w:rFonts w:hint="eastAsia" w:ascii="宋体" w:hAnsi="宋体" w:cs="宋体"/>
          <w:b/>
          <w:bCs/>
          <w:color w:val="auto"/>
        </w:rPr>
        <w:t>〕</w:t>
      </w:r>
      <w:r>
        <w:rPr>
          <w:rFonts w:ascii="宋体" w:hAnsi="宋体" w:cs="宋体"/>
          <w:b/>
          <w:bCs/>
          <w:color w:val="auto"/>
        </w:rPr>
        <w:t>141</w:t>
      </w:r>
      <w:r>
        <w:rPr>
          <w:rFonts w:hint="eastAsia" w:ascii="宋体" w:hAnsi="宋体" w:cs="宋体"/>
          <w:b/>
          <w:bCs/>
          <w:color w:val="auto"/>
        </w:rPr>
        <w:t>号）的规定，对满足价格扣除条件且在投标文件中提交了《供应商企业类型声明函》或省级以上监狱管理局、戒毒管理局（含新疆生产建设兵团）出具的属于监狱企业的证明文件的供应商，其投标报价扣除</w:t>
      </w:r>
      <w:r>
        <w:rPr>
          <w:rFonts w:ascii="宋体" w:hAnsi="宋体" w:cs="宋体"/>
          <w:b/>
          <w:bCs/>
          <w:color w:val="auto"/>
        </w:rPr>
        <w:t>6-10%</w:t>
      </w:r>
      <w:r>
        <w:rPr>
          <w:rFonts w:hint="eastAsia" w:ascii="宋体" w:hAnsi="宋体" w:cs="宋体"/>
          <w:b/>
          <w:bCs/>
          <w:color w:val="auto"/>
        </w:rPr>
        <w:t>后参与评审。</w:t>
      </w:r>
    </w:p>
    <w:p>
      <w:pPr>
        <w:spacing w:line="240" w:lineRule="atLeast"/>
        <w:ind w:left="31680" w:hanging="791" w:hangingChars="375"/>
        <w:rPr>
          <w:rFonts w:ascii="宋体"/>
          <w:color w:val="auto"/>
        </w:rPr>
      </w:pPr>
      <w:r>
        <w:rPr>
          <w:rFonts w:ascii="宋体" w:hAnsi="宋体" w:cs="宋体"/>
          <w:b/>
          <w:bCs/>
          <w:color w:val="auto"/>
        </w:rPr>
        <w:t xml:space="preserve">23.4  </w:t>
      </w:r>
      <w:r>
        <w:rPr>
          <w:rFonts w:hint="eastAsia" w:ascii="宋体" w:hAnsi="宋体" w:cs="宋体"/>
          <w:b/>
          <w:bCs/>
          <w:color w:val="auto"/>
        </w:rPr>
        <w:t>根据《政府采购促进中小企业发展管理办法》（财库</w:t>
      </w:r>
      <w:r>
        <w:rPr>
          <w:rFonts w:ascii="宋体" w:hAnsi="宋体" w:cs="宋体"/>
          <w:b/>
          <w:bCs/>
          <w:color w:val="auto"/>
        </w:rPr>
        <w:t>[2020]46</w:t>
      </w:r>
      <w:r>
        <w:rPr>
          <w:rFonts w:hint="eastAsia" w:ascii="宋体" w:hAnsi="宋体" w:cs="宋体"/>
          <w:b/>
          <w:bCs/>
          <w:color w:val="auto"/>
        </w:rPr>
        <w:t>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ascii="宋体"/>
          <w:color w:val="auto"/>
        </w:rPr>
        <w:t>  </w:t>
      </w:r>
    </w:p>
    <w:p>
      <w:pPr>
        <w:pStyle w:val="5"/>
        <w:spacing w:before="0" w:after="0" w:line="240" w:lineRule="atLeast"/>
        <w:rPr>
          <w:rFonts w:hAnsi="宋体" w:cs="Times New Roman"/>
          <w:color w:val="auto"/>
          <w:sz w:val="21"/>
          <w:szCs w:val="21"/>
          <w:u w:val="none"/>
        </w:rPr>
      </w:pPr>
      <w:bookmarkStart w:id="163" w:name="_Toc26143"/>
      <w:bookmarkStart w:id="164" w:name="_Toc515647785"/>
      <w:bookmarkStart w:id="165" w:name="_Toc9378"/>
      <w:bookmarkStart w:id="166" w:name="_Toc20227"/>
      <w:r>
        <w:rPr>
          <w:rFonts w:hAnsi="宋体"/>
          <w:color w:val="auto"/>
          <w:sz w:val="21"/>
          <w:szCs w:val="21"/>
          <w:u w:val="none"/>
        </w:rPr>
        <w:t>24.</w:t>
      </w:r>
      <w:r>
        <w:rPr>
          <w:rFonts w:hint="eastAsia" w:hAnsi="宋体"/>
          <w:color w:val="auto"/>
          <w:sz w:val="21"/>
          <w:szCs w:val="21"/>
          <w:u w:val="none"/>
        </w:rPr>
        <w:t>废标</w:t>
      </w:r>
      <w:bookmarkEnd w:id="163"/>
      <w:bookmarkEnd w:id="164"/>
      <w:bookmarkEnd w:id="165"/>
      <w:bookmarkEnd w:id="166"/>
    </w:p>
    <w:p>
      <w:pPr>
        <w:spacing w:line="240" w:lineRule="atLeast"/>
        <w:ind w:left="891" w:leftChars="399" w:hanging="53" w:hangingChars="25"/>
        <w:rPr>
          <w:rFonts w:ascii="宋体"/>
          <w:b/>
          <w:bCs/>
          <w:color w:val="auto"/>
        </w:rPr>
      </w:pPr>
      <w:r>
        <w:rPr>
          <w:rFonts w:hint="eastAsia" w:ascii="宋体" w:hAnsi="宋体" w:cs="宋体"/>
          <w:b/>
          <w:bCs/>
          <w:color w:val="auto"/>
        </w:rPr>
        <w:t>出现下列情形之一，将导致项目废标：</w:t>
      </w:r>
      <w:r>
        <w:rPr>
          <w:rFonts w:ascii="宋体" w:hAnsi="宋体" w:cs="宋体"/>
          <w:b/>
          <w:bCs/>
          <w:color w:val="auto"/>
        </w:rPr>
        <w:t xml:space="preserve"> </w:t>
      </w:r>
    </w:p>
    <w:p>
      <w:pPr>
        <w:spacing w:line="240" w:lineRule="atLeast"/>
        <w:ind w:left="31680" w:hanging="791" w:hangingChars="375"/>
        <w:rPr>
          <w:rFonts w:ascii="宋体"/>
          <w:b/>
          <w:bCs/>
          <w:color w:val="auto"/>
        </w:rPr>
      </w:pPr>
      <w:r>
        <w:rPr>
          <w:rFonts w:ascii="宋体"/>
          <w:b/>
          <w:bCs/>
          <w:color w:val="auto"/>
        </w:rPr>
        <w:tab/>
      </w:r>
      <w:r>
        <w:rPr>
          <w:rFonts w:hint="eastAsia" w:ascii="宋体" w:hAnsi="宋体" w:cs="宋体"/>
          <w:b/>
          <w:bCs/>
          <w:color w:val="auto"/>
        </w:rPr>
        <w:t>（</w:t>
      </w:r>
      <w:r>
        <w:rPr>
          <w:rFonts w:ascii="宋体" w:hAnsi="宋体" w:cs="宋体"/>
          <w:b/>
          <w:bCs/>
          <w:color w:val="auto"/>
        </w:rPr>
        <w:t>1</w:t>
      </w:r>
      <w:r>
        <w:rPr>
          <w:rFonts w:hint="eastAsia" w:ascii="宋体" w:hAnsi="宋体" w:cs="宋体"/>
          <w:b/>
          <w:bCs/>
          <w:color w:val="auto"/>
        </w:rPr>
        <w:t>）符合专业条件的供应商或者对招标文件做实质性响应的供应商不足三家；</w:t>
      </w:r>
    </w:p>
    <w:p>
      <w:pPr>
        <w:spacing w:line="240" w:lineRule="atLeast"/>
        <w:ind w:left="31680" w:hanging="791" w:hangingChars="375"/>
        <w:rPr>
          <w:rFonts w:ascii="宋体"/>
          <w:b/>
          <w:bCs/>
          <w:color w:val="auto"/>
        </w:rPr>
      </w:pPr>
      <w:r>
        <w:rPr>
          <w:rFonts w:ascii="宋体"/>
          <w:b/>
          <w:bCs/>
          <w:color w:val="auto"/>
        </w:rPr>
        <w:tab/>
      </w:r>
      <w:r>
        <w:rPr>
          <w:rFonts w:hint="eastAsia" w:ascii="宋体" w:hAnsi="宋体" w:cs="宋体"/>
          <w:b/>
          <w:bCs/>
          <w:color w:val="auto"/>
        </w:rPr>
        <w:t>（</w:t>
      </w:r>
      <w:r>
        <w:rPr>
          <w:rFonts w:ascii="宋体" w:hAnsi="宋体" w:cs="宋体"/>
          <w:b/>
          <w:bCs/>
          <w:color w:val="auto"/>
        </w:rPr>
        <w:t>2</w:t>
      </w:r>
      <w:r>
        <w:rPr>
          <w:rFonts w:hint="eastAsia" w:ascii="宋体" w:hAnsi="宋体" w:cs="宋体"/>
          <w:b/>
          <w:bCs/>
          <w:color w:val="auto"/>
        </w:rPr>
        <w:t>）出现影响采购公正的违法、违规行为的；</w:t>
      </w:r>
    </w:p>
    <w:p>
      <w:pPr>
        <w:spacing w:line="240" w:lineRule="atLeast"/>
        <w:ind w:firstLine="843" w:firstLineChars="400"/>
        <w:rPr>
          <w:rFonts w:ascii="宋体"/>
          <w:b/>
          <w:bCs/>
          <w:color w:val="auto"/>
        </w:rPr>
      </w:pPr>
      <w:r>
        <w:rPr>
          <w:rFonts w:hint="eastAsia" w:ascii="宋体" w:hAnsi="宋体" w:cs="宋体"/>
          <w:b/>
          <w:bCs/>
          <w:color w:val="auto"/>
        </w:rPr>
        <w:t>（</w:t>
      </w:r>
      <w:r>
        <w:rPr>
          <w:rFonts w:ascii="宋体" w:hAnsi="宋体" w:cs="宋体"/>
          <w:b/>
          <w:bCs/>
          <w:color w:val="auto"/>
        </w:rPr>
        <w:t>3</w:t>
      </w:r>
      <w:r>
        <w:rPr>
          <w:rFonts w:hint="eastAsia" w:ascii="宋体" w:hAnsi="宋体" w:cs="宋体"/>
          <w:b/>
          <w:bCs/>
          <w:color w:val="auto"/>
        </w:rPr>
        <w:t>）供应商的报价均超过了采购预算，采购人不能支付的；</w:t>
      </w:r>
    </w:p>
    <w:p>
      <w:pPr>
        <w:spacing w:line="240" w:lineRule="atLeast"/>
        <w:ind w:firstLine="843" w:firstLineChars="400"/>
        <w:rPr>
          <w:rFonts w:ascii="宋体"/>
          <w:b/>
          <w:bCs/>
          <w:color w:val="auto"/>
        </w:rPr>
      </w:pPr>
      <w:r>
        <w:rPr>
          <w:rFonts w:hint="eastAsia" w:ascii="宋体" w:hAnsi="宋体" w:cs="宋体"/>
          <w:b/>
          <w:bCs/>
          <w:color w:val="auto"/>
        </w:rPr>
        <w:t>（</w:t>
      </w:r>
      <w:r>
        <w:rPr>
          <w:rFonts w:ascii="宋体" w:hAnsi="宋体" w:cs="宋体"/>
          <w:b/>
          <w:bCs/>
          <w:color w:val="auto"/>
        </w:rPr>
        <w:t>4</w:t>
      </w:r>
      <w:r>
        <w:rPr>
          <w:rFonts w:hint="eastAsia" w:ascii="宋体" w:hAnsi="宋体" w:cs="宋体"/>
          <w:b/>
          <w:bCs/>
          <w:color w:val="auto"/>
        </w:rPr>
        <w:t>）因重大变故，采购任务取消的。</w:t>
      </w:r>
      <w:r>
        <w:rPr>
          <w:rFonts w:ascii="宋体" w:hAnsi="宋体" w:cs="宋体"/>
          <w:b/>
          <w:bCs/>
          <w:color w:val="auto"/>
        </w:rPr>
        <w:t xml:space="preserve">   </w:t>
      </w:r>
    </w:p>
    <w:p>
      <w:pPr>
        <w:pStyle w:val="5"/>
        <w:spacing w:before="0" w:after="0" w:line="240" w:lineRule="atLeast"/>
        <w:rPr>
          <w:rFonts w:hAnsi="宋体" w:cs="Times New Roman"/>
          <w:color w:val="auto"/>
          <w:sz w:val="21"/>
          <w:szCs w:val="21"/>
          <w:u w:val="none"/>
        </w:rPr>
      </w:pPr>
      <w:bookmarkStart w:id="167" w:name="_Toc29491"/>
      <w:bookmarkStart w:id="168" w:name="_Toc31289"/>
      <w:bookmarkStart w:id="169" w:name="_Toc24972"/>
      <w:bookmarkStart w:id="170" w:name="_Toc515647786"/>
      <w:bookmarkStart w:id="171" w:name="_Toc520356169"/>
      <w:r>
        <w:rPr>
          <w:rFonts w:hAnsi="宋体"/>
          <w:color w:val="auto"/>
          <w:sz w:val="21"/>
          <w:szCs w:val="21"/>
          <w:u w:val="none"/>
        </w:rPr>
        <w:t>25.</w:t>
      </w:r>
      <w:r>
        <w:rPr>
          <w:rFonts w:hint="eastAsia" w:hAnsi="宋体"/>
          <w:color w:val="auto"/>
          <w:sz w:val="21"/>
          <w:szCs w:val="21"/>
          <w:u w:val="none"/>
        </w:rPr>
        <w:t>保密原则</w:t>
      </w:r>
      <w:bookmarkEnd w:id="167"/>
      <w:bookmarkEnd w:id="168"/>
      <w:bookmarkEnd w:id="169"/>
      <w:bookmarkEnd w:id="170"/>
    </w:p>
    <w:p>
      <w:pPr>
        <w:spacing w:line="240" w:lineRule="atLeast"/>
        <w:ind w:left="31680" w:hanging="787" w:hangingChars="375"/>
        <w:rPr>
          <w:rFonts w:ascii="宋体"/>
          <w:color w:val="auto"/>
        </w:rPr>
      </w:pPr>
      <w:r>
        <w:rPr>
          <w:rFonts w:ascii="宋体" w:hAnsi="宋体" w:cs="宋体"/>
          <w:color w:val="auto"/>
        </w:rPr>
        <w:t>25.1</w:t>
      </w:r>
      <w:r>
        <w:rPr>
          <w:rFonts w:ascii="宋体" w:hAnsi="宋体" w:cs="宋体"/>
          <w:color w:val="auto"/>
        </w:rPr>
        <w:tab/>
      </w:r>
      <w:r>
        <w:rPr>
          <w:rFonts w:hint="eastAsia" w:ascii="宋体" w:hAnsi="宋体" w:cs="宋体"/>
          <w:color w:val="auto"/>
        </w:rPr>
        <w:t>评标将在严格保密的情况下进行。</w:t>
      </w:r>
    </w:p>
    <w:p>
      <w:pPr>
        <w:spacing w:line="240" w:lineRule="atLeast"/>
        <w:ind w:left="31680" w:hanging="787" w:hangingChars="375"/>
        <w:rPr>
          <w:rFonts w:ascii="宋体"/>
          <w:color w:val="auto"/>
        </w:rPr>
      </w:pPr>
      <w:r>
        <w:rPr>
          <w:rFonts w:ascii="宋体" w:hAnsi="宋体" w:cs="宋体"/>
          <w:color w:val="auto"/>
        </w:rPr>
        <w:t>25.2</w:t>
      </w:r>
      <w:r>
        <w:rPr>
          <w:rFonts w:ascii="宋体" w:hAnsi="宋体" w:cs="宋体"/>
          <w:color w:val="auto"/>
        </w:rPr>
        <w:tab/>
      </w:r>
      <w:r>
        <w:rPr>
          <w:rFonts w:hint="eastAsia" w:ascii="宋体" w:hAnsi="宋体" w:cs="宋体"/>
          <w:color w:val="auto"/>
        </w:rPr>
        <w:t>政府采购评审专家应当遵守评审工作纪律，不得泄露评审文件、评审情况和评审中获悉的商业秘密。</w:t>
      </w:r>
    </w:p>
    <w:p>
      <w:pPr>
        <w:spacing w:line="240" w:lineRule="atLeast"/>
        <w:ind w:left="1080" w:leftChars="257" w:hanging="540"/>
        <w:rPr>
          <w:rFonts w:ascii="宋体"/>
          <w:color w:val="auto"/>
        </w:rPr>
      </w:pPr>
    </w:p>
    <w:p>
      <w:pPr>
        <w:pStyle w:val="4"/>
        <w:spacing w:before="0" w:line="240" w:lineRule="atLeast"/>
        <w:ind w:left="1080" w:leftChars="257" w:hanging="540"/>
        <w:rPr>
          <w:rFonts w:ascii="宋体" w:hAnsi="宋体" w:eastAsia="宋体" w:cs="Times New Roman"/>
          <w:b/>
          <w:bCs/>
          <w:color w:val="auto"/>
          <w:sz w:val="21"/>
          <w:szCs w:val="21"/>
        </w:rPr>
      </w:pPr>
      <w:bookmarkStart w:id="172" w:name="_Toc20578"/>
      <w:bookmarkStart w:id="173" w:name="_Toc12143"/>
      <w:bookmarkStart w:id="174" w:name="_Toc23904"/>
      <w:bookmarkStart w:id="175" w:name="_Toc26274"/>
      <w:bookmarkStart w:id="176" w:name="_Toc216582810"/>
      <w:bookmarkStart w:id="177" w:name="_Toc30610"/>
      <w:bookmarkStart w:id="178" w:name="_Toc515647787"/>
      <w:r>
        <w:rPr>
          <w:rFonts w:hint="eastAsia" w:ascii="宋体" w:hAnsi="宋体" w:eastAsia="宋体" w:cs="宋体"/>
          <w:b/>
          <w:bCs/>
          <w:color w:val="auto"/>
          <w:sz w:val="21"/>
          <w:szCs w:val="21"/>
        </w:rPr>
        <w:t>六</w:t>
      </w:r>
      <w:r>
        <w:rPr>
          <w:rFonts w:ascii="宋体" w:hAnsi="宋体" w:eastAsia="宋体" w:cs="宋体"/>
          <w:b/>
          <w:bCs/>
          <w:color w:val="auto"/>
          <w:sz w:val="21"/>
          <w:szCs w:val="21"/>
        </w:rPr>
        <w:t xml:space="preserve">   </w:t>
      </w:r>
      <w:bookmarkEnd w:id="171"/>
      <w:r>
        <w:rPr>
          <w:rFonts w:hint="eastAsia" w:ascii="宋体" w:hAnsi="宋体" w:eastAsia="宋体" w:cs="宋体"/>
          <w:b/>
          <w:bCs/>
          <w:color w:val="auto"/>
          <w:sz w:val="21"/>
          <w:szCs w:val="21"/>
        </w:rPr>
        <w:t>确定中标</w:t>
      </w:r>
      <w:bookmarkEnd w:id="172"/>
      <w:bookmarkEnd w:id="173"/>
      <w:bookmarkEnd w:id="174"/>
      <w:bookmarkEnd w:id="175"/>
      <w:bookmarkEnd w:id="176"/>
      <w:bookmarkEnd w:id="177"/>
      <w:bookmarkEnd w:id="178"/>
    </w:p>
    <w:p>
      <w:pPr>
        <w:pStyle w:val="2"/>
        <w:rPr>
          <w:rFonts w:hAnsi="宋体" w:cs="Times New Roman"/>
          <w:color w:val="auto"/>
          <w:sz w:val="21"/>
          <w:szCs w:val="21"/>
        </w:rPr>
      </w:pPr>
    </w:p>
    <w:p>
      <w:pPr>
        <w:pStyle w:val="5"/>
        <w:spacing w:before="0" w:after="0" w:line="240" w:lineRule="atLeast"/>
        <w:rPr>
          <w:rFonts w:hAnsi="宋体" w:cs="Times New Roman"/>
          <w:color w:val="auto"/>
          <w:sz w:val="21"/>
          <w:szCs w:val="21"/>
          <w:u w:val="none"/>
        </w:rPr>
      </w:pPr>
      <w:bookmarkStart w:id="179" w:name="_Toc23617"/>
      <w:bookmarkStart w:id="180" w:name="_Toc10050"/>
      <w:bookmarkStart w:id="181" w:name="_Toc520356170"/>
      <w:bookmarkStart w:id="182" w:name="_Toc23762"/>
      <w:bookmarkStart w:id="183" w:name="_Ref467307010"/>
      <w:bookmarkStart w:id="184" w:name="_Toc515647788"/>
      <w:r>
        <w:rPr>
          <w:rFonts w:hAnsi="宋体"/>
          <w:color w:val="auto"/>
          <w:sz w:val="21"/>
          <w:szCs w:val="21"/>
          <w:u w:val="none"/>
        </w:rPr>
        <w:t>26.</w:t>
      </w:r>
      <w:r>
        <w:rPr>
          <w:rFonts w:hint="eastAsia" w:hAnsi="宋体"/>
          <w:color w:val="auto"/>
          <w:sz w:val="21"/>
          <w:szCs w:val="21"/>
          <w:u w:val="none"/>
        </w:rPr>
        <w:t>中标候选人的确定原则及标准</w:t>
      </w:r>
      <w:bookmarkEnd w:id="179"/>
      <w:bookmarkEnd w:id="180"/>
      <w:bookmarkEnd w:id="181"/>
      <w:bookmarkEnd w:id="182"/>
      <w:bookmarkEnd w:id="183"/>
      <w:bookmarkEnd w:id="184"/>
    </w:p>
    <w:p>
      <w:pPr>
        <w:spacing w:line="240" w:lineRule="atLeast"/>
        <w:ind w:left="31680" w:hanging="787" w:hangingChars="375"/>
        <w:rPr>
          <w:rFonts w:ascii="宋体"/>
          <w:color w:val="auto"/>
        </w:rPr>
      </w:pPr>
      <w:r>
        <w:rPr>
          <w:rFonts w:ascii="宋体"/>
          <w:color w:val="auto"/>
        </w:rPr>
        <w:tab/>
      </w:r>
      <w:r>
        <w:rPr>
          <w:rFonts w:hint="eastAsia" w:ascii="宋体" w:hAnsi="宋体" w:cs="宋体"/>
          <w:color w:val="auto"/>
        </w:rPr>
        <w:t>对实质上响应招标文件的供应商按下列方法进行排序，确定投标候选人：</w:t>
      </w:r>
    </w:p>
    <w:p>
      <w:pPr>
        <w:spacing w:line="240" w:lineRule="atLeast"/>
        <w:ind w:left="901"/>
        <w:rPr>
          <w:rFonts w:ascii="宋体"/>
          <w:color w:val="auto"/>
        </w:rPr>
      </w:pPr>
      <w:bookmarkStart w:id="185" w:name="_Toc520356171"/>
      <w:bookmarkStart w:id="186" w:name="_Toc515647789"/>
      <w:r>
        <w:rPr>
          <w:rFonts w:hint="eastAsia" w:ascii="宋体" w:hAnsi="宋体" w:cs="宋体"/>
          <w:color w:val="auto"/>
        </w:rPr>
        <w:t>（</w:t>
      </w:r>
      <w:r>
        <w:rPr>
          <w:rFonts w:ascii="宋体" w:hAnsi="宋体" w:cs="宋体"/>
          <w:color w:val="auto"/>
        </w:rPr>
        <w:t>1</w:t>
      </w:r>
      <w:r>
        <w:rPr>
          <w:rFonts w:hint="eastAsia" w:ascii="宋体" w:hAnsi="宋体" w:cs="宋体"/>
          <w:color w:val="auto"/>
        </w:rPr>
        <w:t>）采用最低评标价法的，除了算术修正和落实政府采购政策需进行的价格扣除外，不对投标人的投标价格进行任何调整。评标结果按修正和扣除后的投标报价由低到高顺序排列。报价相同的处理方式详见招标文件第</w:t>
      </w:r>
      <w:r>
        <w:rPr>
          <w:rFonts w:ascii="宋体" w:hAnsi="宋体" w:cs="宋体"/>
          <w:color w:val="auto"/>
        </w:rPr>
        <w:t>6</w:t>
      </w:r>
      <w:r>
        <w:rPr>
          <w:rFonts w:hint="eastAsia" w:ascii="宋体" w:hAnsi="宋体" w:cs="宋体"/>
          <w:color w:val="auto"/>
        </w:rPr>
        <w:t>章。</w:t>
      </w:r>
    </w:p>
    <w:p>
      <w:pPr>
        <w:spacing w:line="240" w:lineRule="atLeast"/>
        <w:ind w:left="901"/>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）采用综合评分法的，评标结果按评审后得分由高到低顺序排列。得分相同的，按修正和扣除后的投标报价由低到高顺序排列。得分与投标报价均相同的处理方式详见招标文件第</w:t>
      </w:r>
      <w:r>
        <w:rPr>
          <w:rFonts w:ascii="宋体" w:hAnsi="宋体" w:cs="宋体"/>
          <w:color w:val="auto"/>
        </w:rPr>
        <w:t>6</w:t>
      </w:r>
      <w:r>
        <w:rPr>
          <w:rFonts w:hint="eastAsia" w:ascii="宋体" w:hAnsi="宋体" w:cs="宋体"/>
          <w:color w:val="auto"/>
        </w:rPr>
        <w:t>章。</w:t>
      </w:r>
    </w:p>
    <w:p>
      <w:pPr>
        <w:spacing w:line="240" w:lineRule="atLeast"/>
        <w:ind w:left="901"/>
        <w:rPr>
          <w:rFonts w:ascii="宋体"/>
          <w:b/>
          <w:bCs/>
          <w:color w:val="auto"/>
        </w:rPr>
      </w:pPr>
      <w:r>
        <w:rPr>
          <w:rFonts w:hint="eastAsia" w:ascii="宋体" w:hAnsi="宋体" w:cs="宋体"/>
          <w:b/>
          <w:bCs/>
          <w:color w:val="auto"/>
        </w:rPr>
        <w:t>本项目采用综合评分法，其中价格占</w:t>
      </w:r>
      <w:r>
        <w:rPr>
          <w:rFonts w:ascii="宋体" w:hAnsi="宋体" w:cs="宋体"/>
          <w:b/>
          <w:bCs/>
          <w:color w:val="auto"/>
        </w:rPr>
        <w:t>30%</w:t>
      </w:r>
      <w:r>
        <w:rPr>
          <w:rFonts w:hint="eastAsia" w:ascii="宋体" w:hAnsi="宋体" w:cs="宋体"/>
          <w:b/>
          <w:bCs/>
          <w:color w:val="auto"/>
        </w:rPr>
        <w:t>，商务占</w:t>
      </w:r>
      <w:r>
        <w:rPr>
          <w:rFonts w:ascii="宋体" w:hAnsi="宋体" w:cs="宋体"/>
          <w:b/>
          <w:bCs/>
          <w:color w:val="auto"/>
        </w:rPr>
        <w:t>7%</w:t>
      </w:r>
      <w:r>
        <w:rPr>
          <w:rFonts w:hint="eastAsia" w:ascii="宋体" w:hAnsi="宋体" w:cs="宋体"/>
          <w:b/>
          <w:bCs/>
          <w:color w:val="auto"/>
        </w:rPr>
        <w:t>，技术</w:t>
      </w:r>
      <w:r>
        <w:rPr>
          <w:rFonts w:ascii="宋体" w:hAnsi="宋体" w:cs="宋体"/>
          <w:b/>
          <w:bCs/>
          <w:color w:val="auto"/>
        </w:rPr>
        <w:t>63%</w:t>
      </w:r>
      <w:r>
        <w:rPr>
          <w:rFonts w:hint="eastAsia" w:ascii="宋体" w:hAnsi="宋体" w:cs="宋体"/>
          <w:b/>
          <w:bCs/>
          <w:color w:val="auto"/>
        </w:rPr>
        <w:t>。</w:t>
      </w:r>
    </w:p>
    <w:p>
      <w:pPr>
        <w:pStyle w:val="5"/>
        <w:tabs>
          <w:tab w:val="left" w:pos="900"/>
        </w:tabs>
        <w:spacing w:before="0" w:after="0" w:line="240" w:lineRule="atLeast"/>
        <w:rPr>
          <w:rFonts w:hAnsi="宋体" w:cs="Times New Roman"/>
          <w:color w:val="auto"/>
          <w:sz w:val="21"/>
          <w:szCs w:val="21"/>
          <w:u w:val="none"/>
        </w:rPr>
      </w:pPr>
      <w:bookmarkStart w:id="187" w:name="_Toc9653"/>
      <w:bookmarkStart w:id="188" w:name="_Toc23951"/>
      <w:bookmarkStart w:id="189" w:name="_Toc9286"/>
      <w:r>
        <w:rPr>
          <w:rFonts w:hAnsi="宋体"/>
          <w:color w:val="auto"/>
          <w:sz w:val="21"/>
          <w:szCs w:val="21"/>
          <w:u w:val="none"/>
        </w:rPr>
        <w:t>2</w:t>
      </w:r>
      <w:bookmarkEnd w:id="185"/>
      <w:r>
        <w:rPr>
          <w:rFonts w:hAnsi="宋体"/>
          <w:color w:val="auto"/>
          <w:sz w:val="21"/>
          <w:szCs w:val="21"/>
          <w:u w:val="none"/>
        </w:rPr>
        <w:t>7.</w:t>
      </w:r>
      <w:r>
        <w:rPr>
          <w:rFonts w:hint="eastAsia" w:hAnsi="宋体"/>
          <w:color w:val="auto"/>
          <w:sz w:val="21"/>
          <w:szCs w:val="21"/>
          <w:u w:val="none"/>
        </w:rPr>
        <w:t>确定中标候选人和中标人</w:t>
      </w:r>
      <w:bookmarkEnd w:id="186"/>
      <w:bookmarkEnd w:id="187"/>
      <w:bookmarkEnd w:id="188"/>
      <w:bookmarkEnd w:id="189"/>
    </w:p>
    <w:p>
      <w:pPr>
        <w:spacing w:line="240" w:lineRule="atLeast"/>
        <w:ind w:left="31680" w:hanging="787" w:hangingChars="375"/>
        <w:rPr>
          <w:rFonts w:ascii="宋体"/>
          <w:color w:val="auto"/>
        </w:rPr>
      </w:pPr>
      <w:r>
        <w:rPr>
          <w:rFonts w:ascii="宋体"/>
          <w:color w:val="auto"/>
        </w:rPr>
        <w:tab/>
      </w:r>
      <w:r>
        <w:rPr>
          <w:rFonts w:hint="eastAsia" w:ascii="宋体" w:hAnsi="宋体" w:cs="宋体"/>
          <w:color w:val="auto"/>
        </w:rPr>
        <w:t>评标委员会将根据评标标准，按</w:t>
      </w:r>
      <w:r>
        <w:rPr>
          <w:rFonts w:hint="eastAsia" w:ascii="宋体" w:hAnsi="宋体" w:cs="宋体"/>
          <w:color w:val="auto"/>
          <w:u w:val="single"/>
        </w:rPr>
        <w:t>供应商须知资料表中</w:t>
      </w:r>
      <w:r>
        <w:rPr>
          <w:rFonts w:hint="eastAsia" w:ascii="宋体" w:hAnsi="宋体" w:cs="宋体"/>
          <w:color w:val="auto"/>
        </w:rPr>
        <w:t>规定数量推荐中标候选人；或根据采购人的委托，直接确定中标人。</w:t>
      </w:r>
    </w:p>
    <w:p>
      <w:pPr>
        <w:pStyle w:val="5"/>
        <w:tabs>
          <w:tab w:val="left" w:pos="900"/>
        </w:tabs>
        <w:spacing w:before="0" w:after="0" w:line="240" w:lineRule="atLeast"/>
        <w:rPr>
          <w:rFonts w:hAnsi="宋体" w:cs="Times New Roman"/>
          <w:color w:val="auto"/>
          <w:sz w:val="21"/>
          <w:szCs w:val="21"/>
          <w:u w:val="none"/>
        </w:rPr>
      </w:pPr>
      <w:bookmarkStart w:id="190" w:name="_Toc520356173"/>
      <w:bookmarkStart w:id="191" w:name="_Ref467306874"/>
      <w:bookmarkStart w:id="192" w:name="_Toc28562"/>
      <w:bookmarkStart w:id="193" w:name="_Toc515647790"/>
      <w:bookmarkStart w:id="194" w:name="_Toc380"/>
      <w:bookmarkStart w:id="195" w:name="_Toc8389"/>
      <w:r>
        <w:rPr>
          <w:rFonts w:hAnsi="宋体"/>
          <w:color w:val="auto"/>
          <w:sz w:val="21"/>
          <w:szCs w:val="21"/>
          <w:u w:val="none"/>
        </w:rPr>
        <w:t>28.</w:t>
      </w:r>
      <w:bookmarkEnd w:id="190"/>
      <w:bookmarkEnd w:id="191"/>
      <w:r>
        <w:rPr>
          <w:rFonts w:hint="eastAsia" w:hAnsi="宋体"/>
          <w:color w:val="auto"/>
          <w:sz w:val="21"/>
          <w:szCs w:val="21"/>
          <w:u w:val="none"/>
        </w:rPr>
        <w:t>采购任务取消</w:t>
      </w:r>
      <w:bookmarkEnd w:id="192"/>
      <w:bookmarkEnd w:id="193"/>
      <w:bookmarkEnd w:id="194"/>
      <w:bookmarkEnd w:id="195"/>
    </w:p>
    <w:p>
      <w:pPr>
        <w:spacing w:line="240" w:lineRule="atLeast"/>
        <w:ind w:left="31680" w:hanging="787" w:hangingChars="375"/>
        <w:rPr>
          <w:rFonts w:ascii="宋体"/>
          <w:color w:val="auto"/>
        </w:rPr>
      </w:pPr>
      <w:r>
        <w:rPr>
          <w:rFonts w:ascii="宋体"/>
          <w:color w:val="auto"/>
        </w:rPr>
        <w:tab/>
      </w:r>
      <w:r>
        <w:rPr>
          <w:rFonts w:hint="eastAsia" w:ascii="宋体" w:hAnsi="宋体" w:cs="宋体"/>
          <w:color w:val="auto"/>
        </w:rPr>
        <w:t>因重大变故采购任务取消时，采购人有权拒绝任何供应商中标，且对受影响的供应商不承担任何责任。</w:t>
      </w:r>
      <w:bookmarkStart w:id="196" w:name="_Toc520356174"/>
    </w:p>
    <w:p>
      <w:pPr>
        <w:pStyle w:val="5"/>
        <w:spacing w:before="0" w:after="0" w:line="240" w:lineRule="atLeast"/>
        <w:rPr>
          <w:rFonts w:hAnsi="宋体" w:cs="Times New Roman"/>
          <w:color w:val="auto"/>
          <w:sz w:val="21"/>
          <w:szCs w:val="21"/>
          <w:u w:val="none"/>
        </w:rPr>
      </w:pPr>
      <w:bookmarkStart w:id="197" w:name="_Toc31099"/>
      <w:bookmarkStart w:id="198" w:name="_Toc30170"/>
      <w:bookmarkStart w:id="199" w:name="_Toc8579"/>
      <w:bookmarkStart w:id="200" w:name="_Toc515647791"/>
      <w:r>
        <w:rPr>
          <w:rFonts w:hAnsi="宋体"/>
          <w:color w:val="auto"/>
          <w:sz w:val="21"/>
          <w:szCs w:val="21"/>
          <w:u w:val="none"/>
        </w:rPr>
        <w:t>29.</w:t>
      </w:r>
      <w:r>
        <w:rPr>
          <w:rFonts w:hint="eastAsia" w:hAnsi="宋体"/>
          <w:color w:val="auto"/>
          <w:sz w:val="21"/>
          <w:szCs w:val="21"/>
          <w:u w:val="none"/>
        </w:rPr>
        <w:t>中标通知书</w:t>
      </w:r>
      <w:bookmarkEnd w:id="196"/>
      <w:r>
        <w:rPr>
          <w:rFonts w:hint="eastAsia" w:hAnsi="宋体"/>
          <w:color w:val="auto"/>
          <w:sz w:val="21"/>
          <w:szCs w:val="21"/>
          <w:u w:val="none"/>
        </w:rPr>
        <w:t>和招标结果通知书</w:t>
      </w:r>
      <w:bookmarkEnd w:id="197"/>
      <w:bookmarkEnd w:id="198"/>
      <w:bookmarkEnd w:id="199"/>
      <w:bookmarkEnd w:id="200"/>
    </w:p>
    <w:p>
      <w:pPr>
        <w:spacing w:line="240" w:lineRule="atLeast"/>
        <w:ind w:left="31680" w:hanging="787" w:hangingChars="375"/>
        <w:rPr>
          <w:rFonts w:ascii="宋体"/>
          <w:color w:val="auto"/>
        </w:rPr>
      </w:pPr>
      <w:r>
        <w:rPr>
          <w:rFonts w:ascii="宋体" w:hAnsi="宋体" w:cs="宋体"/>
          <w:color w:val="auto"/>
        </w:rPr>
        <w:t>29.1</w:t>
      </w:r>
      <w:r>
        <w:rPr>
          <w:rFonts w:ascii="宋体" w:hAnsi="宋体" w:cs="宋体"/>
          <w:color w:val="auto"/>
        </w:rPr>
        <w:tab/>
      </w:r>
      <w:r>
        <w:rPr>
          <w:rFonts w:hint="eastAsia" w:ascii="宋体" w:hAnsi="宋体" w:cs="宋体"/>
          <w:color w:val="auto"/>
        </w:rPr>
        <w:t>在投标有效期内，中标人确定后，采购人或者采购代理机构发布中标公告，同时以书面形式向中标人发出中标通知书。</w:t>
      </w:r>
    </w:p>
    <w:p>
      <w:pPr>
        <w:spacing w:line="240" w:lineRule="atLeast"/>
        <w:ind w:left="31680" w:hanging="787" w:hangingChars="375"/>
        <w:rPr>
          <w:rFonts w:ascii="宋体"/>
          <w:color w:val="auto"/>
        </w:rPr>
      </w:pPr>
      <w:r>
        <w:rPr>
          <w:rFonts w:ascii="宋体" w:hAnsi="宋体" w:cs="宋体"/>
          <w:color w:val="auto"/>
        </w:rPr>
        <w:t>29.2</w:t>
      </w:r>
      <w:r>
        <w:rPr>
          <w:rFonts w:ascii="宋体" w:hAnsi="宋体" w:cs="宋体"/>
          <w:color w:val="auto"/>
        </w:rPr>
        <w:tab/>
      </w:r>
      <w:r>
        <w:rPr>
          <w:rFonts w:hint="eastAsia" w:ascii="宋体" w:hAnsi="宋体" w:cs="宋体"/>
          <w:color w:val="auto"/>
        </w:rPr>
        <w:t>中标通知书是合同的组成部分。</w:t>
      </w:r>
    </w:p>
    <w:p>
      <w:pPr>
        <w:spacing w:line="240" w:lineRule="atLeast"/>
        <w:ind w:left="31680" w:hanging="787" w:hangingChars="375"/>
        <w:rPr>
          <w:rFonts w:ascii="宋体"/>
          <w:color w:val="auto"/>
        </w:rPr>
      </w:pPr>
      <w:r>
        <w:rPr>
          <w:rFonts w:ascii="宋体" w:hAnsi="宋体" w:cs="宋体"/>
          <w:color w:val="auto"/>
        </w:rPr>
        <w:t xml:space="preserve">29.3    </w:t>
      </w:r>
      <w:r>
        <w:rPr>
          <w:rFonts w:hint="eastAsia" w:ascii="宋体" w:hAnsi="宋体" w:cs="宋体"/>
          <w:color w:val="auto"/>
        </w:rPr>
        <w:t>招标结果通知书和中标通知书同时发出。招标结果通知书中将告知未通过资格审查的供应商未通过的原因；采用综合评分法评审的，还将告知未中标人本人的评审得分和排序。</w:t>
      </w:r>
    </w:p>
    <w:p>
      <w:pPr>
        <w:pStyle w:val="5"/>
        <w:spacing w:before="0" w:after="0" w:line="240" w:lineRule="atLeast"/>
        <w:rPr>
          <w:rFonts w:hAnsi="宋体" w:cs="Times New Roman"/>
          <w:color w:val="auto"/>
          <w:sz w:val="21"/>
          <w:szCs w:val="21"/>
          <w:u w:val="none"/>
        </w:rPr>
      </w:pPr>
      <w:bookmarkStart w:id="201" w:name="_Ref467306978"/>
      <w:bookmarkStart w:id="202" w:name="_Toc520356175"/>
      <w:bookmarkStart w:id="203" w:name="_Toc7779"/>
      <w:bookmarkStart w:id="204" w:name="_Toc790"/>
      <w:bookmarkStart w:id="205" w:name="_Ref467307204"/>
      <w:bookmarkStart w:id="206" w:name="_Ref467307062"/>
      <w:bookmarkStart w:id="207" w:name="_Toc15653"/>
      <w:bookmarkStart w:id="208" w:name="_Toc515647792"/>
      <w:bookmarkStart w:id="209" w:name="_Ref467306377"/>
      <w:r>
        <w:rPr>
          <w:rFonts w:hAnsi="宋体"/>
          <w:color w:val="auto"/>
          <w:sz w:val="21"/>
          <w:szCs w:val="21"/>
          <w:u w:val="none"/>
        </w:rPr>
        <w:t>30.</w:t>
      </w:r>
      <w:r>
        <w:rPr>
          <w:rFonts w:hint="eastAsia" w:hAnsi="宋体"/>
          <w:color w:val="auto"/>
          <w:sz w:val="21"/>
          <w:szCs w:val="21"/>
          <w:u w:val="none"/>
        </w:rPr>
        <w:t>签订合同</w:t>
      </w:r>
      <w:bookmarkEnd w:id="201"/>
      <w:bookmarkEnd w:id="202"/>
      <w:bookmarkEnd w:id="203"/>
      <w:bookmarkEnd w:id="204"/>
      <w:bookmarkEnd w:id="205"/>
      <w:bookmarkEnd w:id="206"/>
      <w:bookmarkEnd w:id="207"/>
      <w:bookmarkEnd w:id="208"/>
      <w:bookmarkEnd w:id="209"/>
    </w:p>
    <w:p>
      <w:pPr>
        <w:spacing w:line="240" w:lineRule="atLeast"/>
        <w:ind w:left="31680" w:hanging="787" w:hangingChars="375"/>
        <w:rPr>
          <w:rFonts w:ascii="宋体"/>
          <w:color w:val="auto"/>
        </w:rPr>
      </w:pPr>
      <w:r>
        <w:rPr>
          <w:rFonts w:ascii="宋体" w:hAnsi="宋体" w:cs="宋体"/>
          <w:color w:val="auto"/>
        </w:rPr>
        <w:t>30.1</w:t>
      </w:r>
      <w:r>
        <w:rPr>
          <w:rFonts w:ascii="宋体" w:hAnsi="宋体" w:cs="宋体"/>
          <w:color w:val="auto"/>
        </w:rPr>
        <w:tab/>
      </w:r>
      <w:r>
        <w:rPr>
          <w:rFonts w:hint="eastAsia" w:ascii="宋体" w:hAnsi="宋体" w:cs="宋体"/>
          <w:color w:val="auto"/>
        </w:rPr>
        <w:t>中标人应当自发出中标通知书之日起</w:t>
      </w:r>
      <w:r>
        <w:rPr>
          <w:rFonts w:ascii="宋体" w:hAnsi="宋体" w:cs="宋体"/>
          <w:color w:val="auto"/>
        </w:rPr>
        <w:t>30</w:t>
      </w:r>
      <w:r>
        <w:rPr>
          <w:rFonts w:hint="eastAsia" w:ascii="宋体" w:hAnsi="宋体" w:cs="宋体"/>
          <w:color w:val="auto"/>
        </w:rPr>
        <w:t>日内，与采购人签订合同。</w:t>
      </w:r>
    </w:p>
    <w:p>
      <w:pPr>
        <w:spacing w:line="240" w:lineRule="atLeast"/>
        <w:ind w:left="31680" w:hanging="787" w:hangingChars="375"/>
        <w:rPr>
          <w:rFonts w:ascii="宋体"/>
          <w:color w:val="auto"/>
        </w:rPr>
      </w:pPr>
      <w:r>
        <w:rPr>
          <w:rFonts w:ascii="宋体" w:hAnsi="宋体" w:cs="宋体"/>
          <w:color w:val="auto"/>
        </w:rPr>
        <w:t>30.2</w:t>
      </w:r>
      <w:r>
        <w:rPr>
          <w:rFonts w:ascii="宋体" w:hAnsi="宋体" w:cs="宋体"/>
          <w:color w:val="auto"/>
        </w:rPr>
        <w:tab/>
      </w:r>
      <w:bookmarkStart w:id="210" w:name="_Toc520356176"/>
      <w:bookmarkStart w:id="211" w:name="_Ref467306425"/>
      <w:bookmarkStart w:id="212" w:name="_Ref467307090"/>
      <w:r>
        <w:rPr>
          <w:rFonts w:hint="eastAsia" w:ascii="宋体" w:hAnsi="宋体" w:cs="宋体"/>
          <w:color w:val="auto"/>
        </w:rPr>
        <w:t>招标文件、中标人的投标文件及其澄清文件等，均为签订合同的依据。</w:t>
      </w:r>
    </w:p>
    <w:p>
      <w:pPr>
        <w:spacing w:line="240" w:lineRule="atLeast"/>
        <w:ind w:left="31680" w:hanging="787" w:hangingChars="375"/>
        <w:rPr>
          <w:rFonts w:ascii="宋体"/>
          <w:color w:val="auto"/>
        </w:rPr>
      </w:pPr>
      <w:r>
        <w:rPr>
          <w:rFonts w:ascii="宋体" w:hAnsi="宋体" w:cs="宋体"/>
          <w:color w:val="auto"/>
        </w:rPr>
        <w:t xml:space="preserve">30.3   </w:t>
      </w:r>
      <w:r>
        <w:rPr>
          <w:rFonts w:hint="eastAsia" w:ascii="宋体" w:hAnsi="宋体" w:cs="宋体"/>
          <w:color w:val="auto"/>
        </w:rPr>
        <w:t>中标人拒绝与采购人签订合同的，采购人可以按照评审报告推荐的中标候选人名单排序，确定下一中标候选人为中标人，也可以重新开展政府采购活动。</w:t>
      </w:r>
    </w:p>
    <w:p>
      <w:pPr>
        <w:pStyle w:val="5"/>
        <w:spacing w:before="0" w:after="0" w:line="240" w:lineRule="atLeast"/>
        <w:rPr>
          <w:rFonts w:hAnsi="宋体" w:cs="Times New Roman"/>
          <w:color w:val="auto"/>
          <w:sz w:val="21"/>
          <w:szCs w:val="21"/>
          <w:u w:val="none"/>
        </w:rPr>
      </w:pPr>
      <w:bookmarkStart w:id="213" w:name="_Toc20240"/>
      <w:bookmarkStart w:id="214" w:name="_Toc515647793"/>
      <w:bookmarkStart w:id="215" w:name="_Toc14080"/>
      <w:bookmarkStart w:id="216" w:name="_Toc22555"/>
      <w:r>
        <w:rPr>
          <w:rFonts w:hAnsi="宋体"/>
          <w:color w:val="auto"/>
        </w:rPr>
        <w:t>31</w:t>
      </w:r>
      <w:r>
        <w:rPr>
          <w:rFonts w:hAnsi="宋体"/>
          <w:color w:val="auto"/>
          <w:sz w:val="21"/>
          <w:szCs w:val="21"/>
          <w:u w:val="none"/>
        </w:rPr>
        <w:t>.</w:t>
      </w:r>
      <w:r>
        <w:rPr>
          <w:rFonts w:hint="eastAsia" w:hAnsi="宋体"/>
          <w:color w:val="auto"/>
          <w:sz w:val="21"/>
          <w:szCs w:val="21"/>
          <w:u w:val="none"/>
        </w:rPr>
        <w:t>履约保证金</w:t>
      </w:r>
      <w:bookmarkEnd w:id="210"/>
      <w:bookmarkEnd w:id="211"/>
      <w:bookmarkEnd w:id="212"/>
      <w:bookmarkEnd w:id="213"/>
      <w:bookmarkEnd w:id="214"/>
      <w:bookmarkEnd w:id="215"/>
      <w:bookmarkEnd w:id="216"/>
    </w:p>
    <w:p>
      <w:pPr>
        <w:spacing w:line="240" w:lineRule="atLeast"/>
        <w:ind w:left="31680" w:hanging="787" w:hangingChars="375"/>
        <w:rPr>
          <w:rFonts w:ascii="宋体"/>
          <w:color w:val="auto"/>
        </w:rPr>
      </w:pPr>
      <w:r>
        <w:rPr>
          <w:rFonts w:ascii="宋体" w:hAnsi="宋体" w:cs="宋体"/>
          <w:color w:val="auto"/>
        </w:rPr>
        <w:t>31.1</w:t>
      </w:r>
      <w:r>
        <w:rPr>
          <w:rFonts w:ascii="宋体" w:hAnsi="宋体" w:cs="宋体"/>
          <w:color w:val="auto"/>
        </w:rPr>
        <w:tab/>
      </w:r>
      <w:r>
        <w:rPr>
          <w:rFonts w:hint="eastAsia" w:ascii="宋体" w:hAnsi="宋体" w:cs="宋体"/>
          <w:color w:val="auto"/>
        </w:rPr>
        <w:t>中标人应按照</w:t>
      </w:r>
      <w:r>
        <w:rPr>
          <w:rFonts w:hint="eastAsia" w:ascii="宋体" w:hAnsi="宋体" w:cs="宋体"/>
          <w:color w:val="auto"/>
          <w:u w:val="single"/>
        </w:rPr>
        <w:t>供应商须知资料表</w:t>
      </w:r>
      <w:r>
        <w:rPr>
          <w:rFonts w:hint="eastAsia" w:ascii="宋体" w:hAnsi="宋体" w:cs="宋体"/>
          <w:color w:val="auto"/>
        </w:rPr>
        <w:t>规定向采购人缴纳履约保证金（如采用保函形式，格式见本章附件</w:t>
      </w:r>
      <w:r>
        <w:rPr>
          <w:rFonts w:ascii="宋体" w:hAnsi="宋体" w:cs="宋体"/>
          <w:color w:val="auto"/>
        </w:rPr>
        <w:t>1</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31.2</w:t>
      </w:r>
      <w:r>
        <w:rPr>
          <w:rFonts w:ascii="宋体" w:hAnsi="宋体" w:cs="宋体"/>
          <w:color w:val="auto"/>
        </w:rPr>
        <w:tab/>
      </w:r>
      <w:r>
        <w:rPr>
          <w:rFonts w:hint="eastAsia" w:ascii="宋体" w:hAnsi="宋体" w:cs="宋体"/>
          <w:color w:val="auto"/>
        </w:rPr>
        <w:t>政府采购利用担保试点范围内的项目，除</w:t>
      </w:r>
      <w:r>
        <w:rPr>
          <w:rFonts w:ascii="宋体" w:hAnsi="宋体" w:cs="宋体"/>
          <w:color w:val="auto"/>
        </w:rPr>
        <w:t>31.1</w:t>
      </w:r>
      <w:r>
        <w:rPr>
          <w:rFonts w:hint="eastAsia" w:ascii="宋体" w:hAnsi="宋体" w:cs="宋体"/>
          <w:color w:val="auto"/>
        </w:rPr>
        <w:t>规定的情形外，中标人也可以按照财政部门的规定，向采购人提供合格的履约担保函（格式见本章附件</w:t>
      </w:r>
      <w:r>
        <w:rPr>
          <w:rFonts w:ascii="宋体" w:hAnsi="宋体" w:cs="宋体"/>
          <w:color w:val="auto"/>
        </w:rPr>
        <w:t>2</w:t>
      </w:r>
      <w:r>
        <w:rPr>
          <w:rFonts w:hint="eastAsia" w:ascii="宋体" w:hAnsi="宋体" w:cs="宋体"/>
          <w:color w:val="auto"/>
        </w:rPr>
        <w:t>）。</w:t>
      </w:r>
    </w:p>
    <w:p>
      <w:pPr>
        <w:spacing w:line="240" w:lineRule="atLeast"/>
        <w:ind w:left="31680" w:hanging="787" w:hangingChars="375"/>
        <w:rPr>
          <w:rFonts w:ascii="宋体"/>
          <w:color w:val="auto"/>
        </w:rPr>
      </w:pPr>
      <w:r>
        <w:rPr>
          <w:rFonts w:ascii="宋体" w:hAnsi="宋体" w:cs="宋体"/>
          <w:color w:val="auto"/>
        </w:rPr>
        <w:t xml:space="preserve">31.3   </w:t>
      </w:r>
      <w:r>
        <w:rPr>
          <w:rFonts w:hint="eastAsia" w:ascii="宋体" w:hAnsi="宋体" w:cs="宋体"/>
          <w:color w:val="auto"/>
        </w:rPr>
        <w:t>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rPr>
          <w:rFonts w:hAnsi="宋体" w:cs="Times New Roman"/>
          <w:color w:val="auto"/>
          <w:sz w:val="21"/>
          <w:szCs w:val="21"/>
          <w:u w:val="none"/>
        </w:rPr>
      </w:pPr>
      <w:bookmarkStart w:id="217" w:name="_Toc29408"/>
      <w:bookmarkStart w:id="218" w:name="_Toc8972"/>
      <w:bookmarkStart w:id="219" w:name="_Toc3090"/>
      <w:bookmarkStart w:id="220" w:name="_Toc515647794"/>
      <w:r>
        <w:rPr>
          <w:rFonts w:hAnsi="宋体"/>
          <w:color w:val="auto"/>
          <w:sz w:val="21"/>
          <w:szCs w:val="21"/>
          <w:u w:val="none"/>
        </w:rPr>
        <w:t>32.</w:t>
      </w:r>
      <w:r>
        <w:rPr>
          <w:rFonts w:hint="eastAsia" w:hAnsi="宋体"/>
          <w:color w:val="auto"/>
          <w:sz w:val="21"/>
          <w:szCs w:val="21"/>
          <w:u w:val="none"/>
        </w:rPr>
        <w:t>中标服务费</w:t>
      </w:r>
      <w:bookmarkEnd w:id="217"/>
      <w:bookmarkEnd w:id="218"/>
      <w:bookmarkEnd w:id="219"/>
      <w:bookmarkEnd w:id="220"/>
    </w:p>
    <w:p>
      <w:pPr>
        <w:spacing w:line="240" w:lineRule="atLeast"/>
        <w:ind w:left="787" w:leftChars="200" w:hanging="367" w:hangingChars="175"/>
        <w:rPr>
          <w:rFonts w:ascii="宋体"/>
          <w:color w:val="auto"/>
        </w:rPr>
      </w:pPr>
      <w:r>
        <w:rPr>
          <w:rFonts w:ascii="宋体" w:hAnsi="宋体" w:cs="宋体"/>
          <w:color w:val="auto"/>
        </w:rPr>
        <w:t xml:space="preserve">   </w:t>
      </w:r>
      <w:r>
        <w:rPr>
          <w:rFonts w:hint="eastAsia" w:ascii="宋体" w:hAnsi="宋体" w:cs="宋体"/>
          <w:color w:val="auto"/>
        </w:rPr>
        <w:t>中标人须按照</w:t>
      </w:r>
      <w:r>
        <w:rPr>
          <w:rFonts w:hint="eastAsia" w:ascii="宋体" w:hAnsi="宋体" w:cs="宋体"/>
          <w:color w:val="auto"/>
          <w:u w:val="single"/>
        </w:rPr>
        <w:t>投标须知资料表</w:t>
      </w:r>
      <w:r>
        <w:rPr>
          <w:rFonts w:hint="eastAsia" w:ascii="宋体" w:hAnsi="宋体" w:cs="宋体"/>
          <w:color w:val="auto"/>
        </w:rPr>
        <w:t>规定，向采购代理机构支付中标服务费。</w:t>
      </w:r>
    </w:p>
    <w:p>
      <w:pPr>
        <w:pStyle w:val="5"/>
        <w:spacing w:before="0" w:after="0" w:line="240" w:lineRule="atLeast"/>
        <w:rPr>
          <w:rFonts w:hAnsi="宋体" w:cs="Times New Roman"/>
          <w:color w:val="auto"/>
          <w:sz w:val="21"/>
          <w:szCs w:val="21"/>
          <w:u w:val="none"/>
        </w:rPr>
      </w:pPr>
      <w:bookmarkStart w:id="221" w:name="_Toc7049"/>
      <w:bookmarkStart w:id="222" w:name="_Toc6923"/>
      <w:bookmarkStart w:id="223" w:name="_Toc515647795"/>
      <w:bookmarkStart w:id="224" w:name="_Toc8524"/>
      <w:r>
        <w:rPr>
          <w:rFonts w:hAnsi="宋体"/>
          <w:color w:val="auto"/>
          <w:sz w:val="21"/>
          <w:szCs w:val="21"/>
          <w:u w:val="none"/>
        </w:rPr>
        <w:t>33.</w:t>
      </w:r>
      <w:r>
        <w:rPr>
          <w:rFonts w:hint="eastAsia" w:hAnsi="宋体"/>
          <w:color w:val="auto"/>
          <w:sz w:val="21"/>
          <w:szCs w:val="21"/>
          <w:u w:val="none"/>
        </w:rPr>
        <w:t>政府采购信用担保</w:t>
      </w:r>
      <w:bookmarkEnd w:id="221"/>
      <w:bookmarkEnd w:id="222"/>
      <w:bookmarkEnd w:id="223"/>
      <w:bookmarkEnd w:id="224"/>
    </w:p>
    <w:p>
      <w:pPr>
        <w:spacing w:line="240" w:lineRule="atLeast"/>
        <w:ind w:left="31680" w:hanging="787" w:hangingChars="375"/>
        <w:rPr>
          <w:rFonts w:ascii="宋体"/>
          <w:color w:val="auto"/>
        </w:rPr>
      </w:pPr>
      <w:r>
        <w:rPr>
          <w:rFonts w:ascii="宋体" w:hAnsi="宋体" w:cs="宋体"/>
          <w:color w:val="auto"/>
        </w:rPr>
        <w:t xml:space="preserve">33.1   </w:t>
      </w:r>
      <w:r>
        <w:rPr>
          <w:rFonts w:hint="eastAsia" w:ascii="宋体" w:hAnsi="宋体" w:cs="宋体"/>
          <w:color w:val="auto"/>
        </w:rPr>
        <w:t>本项目是否属于信用担保试点范围见</w:t>
      </w:r>
      <w:r>
        <w:rPr>
          <w:rFonts w:hint="eastAsia" w:ascii="宋体" w:hAnsi="宋体" w:cs="宋体"/>
          <w:color w:val="auto"/>
          <w:u w:val="single"/>
        </w:rPr>
        <w:t>供应商须知资料表</w:t>
      </w:r>
      <w:r>
        <w:rPr>
          <w:rFonts w:hint="eastAsia" w:ascii="宋体" w:hAnsi="宋体" w:cs="宋体"/>
          <w:color w:val="auto"/>
        </w:rPr>
        <w:t>。</w:t>
      </w:r>
    </w:p>
    <w:p>
      <w:pPr>
        <w:spacing w:line="240" w:lineRule="atLeast"/>
        <w:ind w:left="31680" w:hanging="743" w:hangingChars="354"/>
        <w:rPr>
          <w:rFonts w:ascii="宋体"/>
          <w:color w:val="auto"/>
        </w:rPr>
      </w:pPr>
      <w:r>
        <w:rPr>
          <w:rFonts w:ascii="宋体" w:hAnsi="宋体" w:cs="宋体"/>
          <w:color w:val="auto"/>
        </w:rPr>
        <w:t xml:space="preserve">33.2   </w:t>
      </w:r>
      <w:r>
        <w:rPr>
          <w:rFonts w:hint="eastAsia" w:ascii="宋体" w:hAnsi="宋体" w:cs="宋体"/>
          <w:color w:val="auto"/>
        </w:rPr>
        <w:t>如属于政府采购信用担保试点范围内，中小型企业供应商可以自由按照财政部门的规定，采用投标担保、履约担保和融资担保。</w:t>
      </w:r>
    </w:p>
    <w:p>
      <w:pPr>
        <w:spacing w:line="240" w:lineRule="atLeast"/>
        <w:ind w:left="31680" w:hanging="787" w:hangingChars="375"/>
        <w:rPr>
          <w:rFonts w:ascii="宋体"/>
          <w:color w:val="auto"/>
        </w:rPr>
      </w:pPr>
      <w:r>
        <w:rPr>
          <w:rFonts w:ascii="宋体" w:hAnsi="宋体" w:cs="宋体"/>
          <w:color w:val="auto"/>
        </w:rPr>
        <w:t xml:space="preserve">33.2.1 </w:t>
      </w:r>
      <w:r>
        <w:rPr>
          <w:rFonts w:hint="eastAsia" w:ascii="宋体" w:hAnsi="宋体" w:cs="宋体"/>
          <w:color w:val="auto"/>
        </w:rPr>
        <w:t>供应商递交的投标担保函和履约担保函应符合本招标文件的规定。</w:t>
      </w:r>
    </w:p>
    <w:p>
      <w:pPr>
        <w:spacing w:line="240" w:lineRule="atLeast"/>
        <w:ind w:left="31680" w:hanging="787" w:hangingChars="375"/>
        <w:rPr>
          <w:rFonts w:ascii="宋体"/>
          <w:color w:val="auto"/>
        </w:rPr>
      </w:pPr>
      <w:r>
        <w:rPr>
          <w:rFonts w:ascii="宋体" w:hAnsi="宋体" w:cs="宋体"/>
          <w:color w:val="auto"/>
        </w:rPr>
        <w:t xml:space="preserve">33.2.2 </w:t>
      </w:r>
      <w:r>
        <w:rPr>
          <w:rFonts w:hint="eastAsia" w:ascii="宋体" w:hAnsi="宋体" w:cs="宋体"/>
          <w:color w:val="auto"/>
        </w:rPr>
        <w:t>中标人可以采取融资担保的形式为政府采购项目履约进行融资。</w:t>
      </w:r>
    </w:p>
    <w:p>
      <w:pPr>
        <w:spacing w:line="240" w:lineRule="atLeast"/>
        <w:ind w:left="31680" w:hanging="787" w:hangingChars="375"/>
        <w:rPr>
          <w:rFonts w:ascii="宋体"/>
          <w:color w:val="auto"/>
        </w:rPr>
      </w:pPr>
      <w:r>
        <w:rPr>
          <w:rFonts w:ascii="宋体" w:hAnsi="宋体" w:cs="宋体"/>
          <w:color w:val="auto"/>
        </w:rPr>
        <w:t xml:space="preserve">33.2.3 </w:t>
      </w:r>
      <w:r>
        <w:rPr>
          <w:rFonts w:hint="eastAsia" w:ascii="宋体" w:hAnsi="宋体" w:cs="宋体"/>
          <w:color w:val="auto"/>
        </w:rPr>
        <w:t>合格的政府采购专业信用担保机构名单见</w:t>
      </w:r>
      <w:r>
        <w:rPr>
          <w:rFonts w:hint="eastAsia" w:ascii="宋体" w:hAnsi="宋体" w:cs="宋体"/>
          <w:color w:val="auto"/>
          <w:u w:val="single"/>
        </w:rPr>
        <w:t>供应商须知资料表</w:t>
      </w:r>
      <w:r>
        <w:rPr>
          <w:rFonts w:hint="eastAsia" w:ascii="宋体" w:hAnsi="宋体" w:cs="宋体"/>
          <w:color w:val="auto"/>
        </w:rPr>
        <w:t>。</w:t>
      </w:r>
    </w:p>
    <w:p>
      <w:pPr>
        <w:pStyle w:val="5"/>
        <w:spacing w:before="0" w:after="0" w:line="240" w:lineRule="atLeast"/>
        <w:rPr>
          <w:rFonts w:hAnsi="宋体" w:cs="Times New Roman"/>
          <w:color w:val="auto"/>
          <w:sz w:val="21"/>
          <w:szCs w:val="21"/>
          <w:u w:val="none"/>
        </w:rPr>
      </w:pPr>
      <w:bookmarkStart w:id="225" w:name="_Toc2133"/>
      <w:bookmarkStart w:id="226" w:name="_Toc515647796"/>
      <w:bookmarkStart w:id="227" w:name="_Toc12709"/>
      <w:bookmarkStart w:id="228" w:name="_Toc23999"/>
      <w:r>
        <w:rPr>
          <w:rFonts w:hAnsi="宋体"/>
          <w:color w:val="auto"/>
          <w:sz w:val="21"/>
          <w:szCs w:val="21"/>
          <w:u w:val="none"/>
        </w:rPr>
        <w:t>34.</w:t>
      </w:r>
      <w:r>
        <w:rPr>
          <w:rFonts w:hint="eastAsia" w:hAnsi="宋体"/>
          <w:color w:val="auto"/>
          <w:sz w:val="21"/>
          <w:szCs w:val="21"/>
          <w:u w:val="none"/>
        </w:rPr>
        <w:t>廉洁自律规定</w:t>
      </w:r>
      <w:bookmarkEnd w:id="225"/>
      <w:bookmarkEnd w:id="226"/>
      <w:bookmarkEnd w:id="227"/>
      <w:bookmarkEnd w:id="228"/>
    </w:p>
    <w:p>
      <w:pPr>
        <w:spacing w:line="240" w:lineRule="atLeast"/>
        <w:ind w:left="31680" w:hanging="787" w:hangingChars="375"/>
        <w:rPr>
          <w:rFonts w:ascii="宋体"/>
          <w:color w:val="auto"/>
        </w:rPr>
      </w:pPr>
      <w:r>
        <w:rPr>
          <w:rFonts w:ascii="宋体" w:hAnsi="宋体" w:cs="宋体"/>
          <w:color w:val="auto"/>
        </w:rPr>
        <w:t xml:space="preserve">34.1   </w:t>
      </w:r>
      <w:r>
        <w:rPr>
          <w:rFonts w:hint="eastAsia" w:ascii="宋体" w:hAnsi="宋体" w:cs="宋体"/>
          <w:color w:val="auto"/>
        </w:rPr>
        <w:t>采购代理机构工作人员不得以不正当手段获取政府采购代理业务，不得与采购人、供应商恶意串通操纵政府采购活动。</w:t>
      </w:r>
    </w:p>
    <w:p>
      <w:pPr>
        <w:spacing w:line="240" w:lineRule="atLeast"/>
        <w:ind w:left="31680" w:hanging="787" w:hangingChars="375"/>
        <w:rPr>
          <w:rFonts w:ascii="宋体"/>
          <w:color w:val="auto"/>
        </w:rPr>
      </w:pPr>
      <w:r>
        <w:rPr>
          <w:rFonts w:ascii="宋体" w:hAnsi="宋体" w:cs="宋体"/>
          <w:color w:val="auto"/>
        </w:rPr>
        <w:t xml:space="preserve">34.2   </w:t>
      </w:r>
      <w:r>
        <w:rPr>
          <w:rFonts w:hint="eastAsia" w:ascii="宋体" w:hAnsi="宋体" w:cs="宋体"/>
          <w:color w:val="auto"/>
        </w:rPr>
        <w:t>采购代理机构工作人员不得接受采购人或者供应商组织的宴请、旅游、娱乐，不得收受礼品、现金、有价证券等，不得向采购人或者供应商报销应当由个人承担的费用。</w:t>
      </w:r>
    </w:p>
    <w:p>
      <w:pPr>
        <w:spacing w:line="240" w:lineRule="atLeast"/>
        <w:ind w:left="31680" w:hanging="787" w:hangingChars="375"/>
        <w:rPr>
          <w:rFonts w:ascii="宋体"/>
          <w:color w:val="auto"/>
        </w:rPr>
      </w:pPr>
      <w:r>
        <w:rPr>
          <w:rFonts w:ascii="宋体" w:hAnsi="宋体" w:cs="宋体"/>
          <w:color w:val="auto"/>
        </w:rPr>
        <w:t xml:space="preserve">34.3   </w:t>
      </w:r>
      <w:r>
        <w:rPr>
          <w:rFonts w:hint="eastAsia" w:ascii="宋体" w:hAnsi="宋体" w:cs="宋体"/>
          <w:color w:val="auto"/>
        </w:rPr>
        <w:t>为强化采购代理机构内部监督机制，供应商可按</w:t>
      </w:r>
      <w:r>
        <w:rPr>
          <w:rFonts w:hint="eastAsia" w:ascii="宋体" w:hAnsi="宋体" w:cs="宋体"/>
          <w:color w:val="auto"/>
          <w:u w:val="single"/>
        </w:rPr>
        <w:t>供应商须知资料表中的</w:t>
      </w:r>
      <w:r>
        <w:rPr>
          <w:rFonts w:hint="eastAsia" w:ascii="宋体" w:hAnsi="宋体" w:cs="宋体"/>
          <w:color w:val="auto"/>
        </w:rPr>
        <w:t>监督电话和邮箱，反映采购代理机构的廉洁自律等问题。</w:t>
      </w:r>
    </w:p>
    <w:p>
      <w:pPr>
        <w:pStyle w:val="5"/>
        <w:spacing w:before="0" w:after="0" w:line="240" w:lineRule="atLeast"/>
        <w:rPr>
          <w:rFonts w:hAnsi="宋体" w:cs="Times New Roman"/>
          <w:color w:val="auto"/>
          <w:sz w:val="21"/>
          <w:szCs w:val="21"/>
          <w:u w:val="none"/>
        </w:rPr>
      </w:pPr>
      <w:bookmarkStart w:id="229" w:name="_Toc11586"/>
      <w:bookmarkStart w:id="230" w:name="_Toc515647797"/>
      <w:bookmarkStart w:id="231" w:name="_Toc12865"/>
      <w:bookmarkStart w:id="232" w:name="_Toc25480"/>
      <w:r>
        <w:rPr>
          <w:rFonts w:hAnsi="宋体"/>
          <w:color w:val="auto"/>
          <w:sz w:val="21"/>
          <w:szCs w:val="21"/>
          <w:u w:val="none"/>
        </w:rPr>
        <w:t>35.</w:t>
      </w:r>
      <w:r>
        <w:rPr>
          <w:rFonts w:hint="eastAsia" w:hAnsi="宋体"/>
          <w:color w:val="auto"/>
          <w:sz w:val="21"/>
          <w:szCs w:val="21"/>
          <w:u w:val="none"/>
        </w:rPr>
        <w:t>人员回避</w:t>
      </w:r>
      <w:bookmarkEnd w:id="229"/>
      <w:bookmarkEnd w:id="230"/>
      <w:bookmarkEnd w:id="231"/>
      <w:bookmarkEnd w:id="232"/>
    </w:p>
    <w:p>
      <w:pPr>
        <w:spacing w:line="240" w:lineRule="atLeast"/>
        <w:ind w:left="31680" w:hanging="787" w:hangingChars="375"/>
        <w:rPr>
          <w:rFonts w:ascii="宋体"/>
          <w:color w:val="auto"/>
        </w:rPr>
      </w:pPr>
      <w:r>
        <w:rPr>
          <w:rFonts w:ascii="宋体" w:hAnsi="宋体" w:cs="宋体"/>
          <w:color w:val="auto"/>
        </w:rPr>
        <w:t xml:space="preserve">       </w:t>
      </w:r>
      <w:r>
        <w:rPr>
          <w:rFonts w:hint="eastAsia" w:ascii="宋体" w:hAnsi="宋体" w:cs="宋体"/>
          <w:color w:val="auto"/>
        </w:rPr>
        <w:t>供应商认为采购人员及其相关人员有法律法规所列与其他供应商有利害关系的，可以向采购人或采购代理机构书面提出回避申请，并说明理由。</w:t>
      </w:r>
    </w:p>
    <w:p>
      <w:pPr>
        <w:ind w:left="31680" w:hanging="791" w:hangingChars="375"/>
        <w:jc w:val="left"/>
        <w:outlineLvl w:val="2"/>
        <w:rPr>
          <w:rFonts w:ascii="宋体"/>
          <w:b/>
          <w:bCs/>
          <w:color w:val="auto"/>
        </w:rPr>
      </w:pPr>
      <w:r>
        <w:rPr>
          <w:rFonts w:ascii="宋体" w:hAnsi="宋体" w:cs="宋体"/>
          <w:b/>
          <w:bCs/>
          <w:color w:val="auto"/>
        </w:rPr>
        <w:t>36.</w:t>
      </w:r>
      <w:r>
        <w:rPr>
          <w:rFonts w:hint="eastAsia" w:ascii="宋体" w:hAnsi="宋体" w:cs="宋体"/>
          <w:b/>
          <w:bCs/>
          <w:color w:val="auto"/>
        </w:rPr>
        <w:t>质疑与接收</w:t>
      </w:r>
    </w:p>
    <w:p>
      <w:pPr>
        <w:ind w:left="31680" w:hanging="787" w:hangingChars="375"/>
        <w:jc w:val="left"/>
        <w:rPr>
          <w:rFonts w:ascii="宋体"/>
          <w:color w:val="auto"/>
        </w:rPr>
      </w:pPr>
      <w:r>
        <w:rPr>
          <w:rFonts w:ascii="宋体" w:hAnsi="宋体" w:cs="宋体"/>
          <w:color w:val="auto"/>
        </w:rPr>
        <w:t xml:space="preserve">36.1    </w:t>
      </w:r>
      <w:r>
        <w:rPr>
          <w:rFonts w:hint="eastAsia" w:ascii="宋体" w:hAnsi="宋体" w:cs="宋体"/>
          <w:color w:val="auto"/>
        </w:rPr>
        <w:t>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ind w:left="31680" w:hanging="787" w:hangingChars="375"/>
        <w:jc w:val="left"/>
        <w:rPr>
          <w:rFonts w:ascii="宋体"/>
          <w:color w:val="auto"/>
        </w:rPr>
      </w:pPr>
      <w:r>
        <w:rPr>
          <w:rFonts w:ascii="宋体" w:hAnsi="宋体" w:cs="宋体"/>
          <w:color w:val="auto"/>
        </w:rPr>
        <w:t xml:space="preserve">36.2    </w:t>
      </w:r>
      <w:r>
        <w:rPr>
          <w:rFonts w:hint="eastAsia" w:ascii="宋体" w:hAnsi="宋体" w:cs="宋体"/>
          <w:color w:val="auto"/>
        </w:rPr>
        <w:t>质疑供应商应按照财政部制定的《政府采购质疑函范本》格式（可从财政部官方网站下载）和《政府采购质疑和投诉办法》的要求，在法定质疑期内以纸质形式提出质疑，针对同一采购程序环节的质疑应一次性提出。</w:t>
      </w:r>
    </w:p>
    <w:p>
      <w:pPr>
        <w:ind w:left="958" w:leftChars="456" w:firstLine="52" w:firstLineChars="25"/>
        <w:jc w:val="left"/>
        <w:rPr>
          <w:rFonts w:ascii="宋体"/>
          <w:color w:val="auto"/>
        </w:rPr>
      </w:pPr>
      <w:r>
        <w:rPr>
          <w:rFonts w:hint="eastAsia" w:ascii="宋体" w:hAnsi="宋体" w:cs="宋体"/>
          <w:color w:val="auto"/>
        </w:rPr>
        <w:t>超出法定质疑期的、重复提出的、分次提出的或内容、形式不符合《政府采购质疑和投诉办法》的，质疑供应商将依法承担不利后果。</w:t>
      </w:r>
    </w:p>
    <w:p>
      <w:pPr>
        <w:ind w:left="31680" w:hanging="787" w:hangingChars="375"/>
        <w:jc w:val="left"/>
        <w:rPr>
          <w:rFonts w:ascii="宋体"/>
          <w:color w:val="auto"/>
        </w:rPr>
      </w:pPr>
      <w:r>
        <w:rPr>
          <w:rFonts w:ascii="宋体" w:hAnsi="宋体" w:cs="宋体"/>
          <w:color w:val="auto"/>
        </w:rPr>
        <w:t xml:space="preserve">36.3    </w:t>
      </w:r>
      <w:r>
        <w:rPr>
          <w:rFonts w:hint="eastAsia" w:ascii="宋体" w:hAnsi="宋体" w:cs="宋体"/>
          <w:color w:val="auto"/>
        </w:rPr>
        <w:t>采购代理机构质疑函接收部门、联系电话和通讯地址</w:t>
      </w:r>
      <w:r>
        <w:rPr>
          <w:rFonts w:ascii="宋体" w:hAnsi="宋体" w:cs="宋体"/>
          <w:color w:val="auto"/>
        </w:rPr>
        <w:t xml:space="preserve">, </w:t>
      </w:r>
      <w:r>
        <w:rPr>
          <w:rFonts w:hint="eastAsia" w:ascii="宋体" w:hAnsi="宋体" w:cs="宋体"/>
          <w:color w:val="auto"/>
        </w:rPr>
        <w:t>见供应商须知资料表。</w:t>
      </w:r>
    </w:p>
    <w:p>
      <w:pPr>
        <w:ind w:left="31680" w:hanging="787" w:hangingChars="375"/>
        <w:jc w:val="left"/>
        <w:outlineLvl w:val="2"/>
        <w:rPr>
          <w:rFonts w:ascii="宋体"/>
          <w:b/>
          <w:bCs/>
          <w:color w:val="auto"/>
        </w:rPr>
      </w:pPr>
      <w:r>
        <w:rPr>
          <w:rFonts w:ascii="宋体" w:hAnsi="宋体" w:cs="宋体"/>
          <w:color w:val="auto"/>
        </w:rPr>
        <w:t>37.</w:t>
      </w:r>
      <w:r>
        <w:rPr>
          <w:rFonts w:hint="eastAsia" w:ascii="宋体" w:hAnsi="宋体" w:cs="宋体"/>
          <w:b/>
          <w:bCs/>
          <w:color w:val="auto"/>
        </w:rPr>
        <w:t>质疑的提出</w:t>
      </w:r>
    </w:p>
    <w:p>
      <w:pPr>
        <w:ind w:left="31680" w:hanging="787" w:hangingChars="375"/>
        <w:jc w:val="left"/>
        <w:rPr>
          <w:rFonts w:ascii="宋体"/>
          <w:color w:val="auto"/>
        </w:rPr>
      </w:pPr>
      <w:r>
        <w:rPr>
          <w:rFonts w:ascii="宋体" w:hAnsi="宋体" w:cs="宋体"/>
          <w:color w:val="auto"/>
        </w:rPr>
        <w:t xml:space="preserve">37.1   </w:t>
      </w:r>
      <w:r>
        <w:rPr>
          <w:rFonts w:hint="eastAsia" w:ascii="宋体" w:hAnsi="宋体" w:cs="宋体"/>
          <w:color w:val="auto"/>
        </w:rPr>
        <w:t>本采购文件中所称质疑及答复，是指参加本次采购活动的供应商对政府采购活动中的采购文件、采购过程和成交结果向采购方提出质疑，采购方答复质疑的行为。</w:t>
      </w:r>
    </w:p>
    <w:p>
      <w:pPr>
        <w:ind w:left="31680" w:hanging="787" w:hangingChars="375"/>
        <w:jc w:val="left"/>
        <w:rPr>
          <w:rFonts w:ascii="宋体"/>
          <w:color w:val="auto"/>
        </w:rPr>
      </w:pPr>
      <w:r>
        <w:rPr>
          <w:rFonts w:ascii="宋体" w:hAnsi="宋体" w:cs="宋体"/>
          <w:color w:val="auto"/>
        </w:rPr>
        <w:t xml:space="preserve">37.2   </w:t>
      </w:r>
      <w:r>
        <w:rPr>
          <w:rFonts w:hint="eastAsia" w:ascii="宋体" w:hAnsi="宋体" w:cs="宋体"/>
          <w:color w:val="auto"/>
        </w:rPr>
        <w:t>供应商认为采购文件、采购过程和成交结果使自己的权益受到损害的，可以在知道或者应知其权益受到损害之日起</w:t>
      </w:r>
      <w:r>
        <w:rPr>
          <w:rFonts w:ascii="宋体" w:hAnsi="宋体" w:cs="宋体"/>
          <w:color w:val="auto"/>
        </w:rPr>
        <w:t>7</w:t>
      </w:r>
      <w:r>
        <w:rPr>
          <w:rFonts w:hint="eastAsia" w:ascii="宋体" w:hAnsi="宋体" w:cs="宋体"/>
          <w:color w:val="auto"/>
        </w:rPr>
        <w:t>个工作日内，以书面形式向采购方提出质疑。供应商应知其权益受到损害之日，是指：</w:t>
      </w:r>
    </w:p>
    <w:p>
      <w:pPr>
        <w:ind w:left="875" w:leftChars="342" w:hanging="157" w:hangingChars="75"/>
        <w:jc w:val="left"/>
        <w:rPr>
          <w:rFonts w:ascii="宋体"/>
          <w:color w:val="auto"/>
        </w:rPr>
      </w:pPr>
      <w:r>
        <w:rPr>
          <w:rFonts w:hint="eastAsia" w:ascii="宋体" w:hAnsi="宋体" w:cs="宋体"/>
          <w:color w:val="auto"/>
        </w:rPr>
        <w:t>（一）对可以质疑的采购文件提出质疑的，为收到采购文件之日或者采购文件公告期限届满之日；</w:t>
      </w:r>
    </w:p>
    <w:p>
      <w:pPr>
        <w:ind w:left="875" w:leftChars="342" w:hanging="157" w:hangingChars="75"/>
        <w:jc w:val="left"/>
        <w:rPr>
          <w:rFonts w:ascii="宋体"/>
          <w:color w:val="auto"/>
        </w:rPr>
      </w:pPr>
      <w:r>
        <w:rPr>
          <w:rFonts w:hint="eastAsia" w:ascii="宋体" w:hAnsi="宋体" w:cs="宋体"/>
          <w:color w:val="auto"/>
        </w:rPr>
        <w:t>（二）对采购过程提出质疑的，为各采购程序环节结束之日；</w:t>
      </w:r>
    </w:p>
    <w:p>
      <w:pPr>
        <w:ind w:firstLine="630" w:firstLineChars="300"/>
        <w:jc w:val="left"/>
        <w:rPr>
          <w:rFonts w:ascii="宋体"/>
          <w:color w:val="auto"/>
        </w:rPr>
      </w:pPr>
      <w:r>
        <w:rPr>
          <w:rFonts w:hint="eastAsia" w:ascii="宋体" w:hAnsi="宋体" w:cs="宋体"/>
          <w:color w:val="auto"/>
        </w:rPr>
        <w:t>（三）对成交结果提出质疑的，为成交结果公告期限届满之日。</w:t>
      </w:r>
    </w:p>
    <w:p>
      <w:pPr>
        <w:ind w:left="31680" w:hanging="787" w:hangingChars="375"/>
        <w:jc w:val="left"/>
        <w:rPr>
          <w:rFonts w:ascii="宋体"/>
          <w:color w:val="auto"/>
        </w:rPr>
      </w:pPr>
      <w:r>
        <w:rPr>
          <w:rFonts w:ascii="宋体" w:hAnsi="宋体" w:cs="宋体"/>
          <w:color w:val="auto"/>
        </w:rPr>
        <w:t xml:space="preserve">37.3   </w:t>
      </w:r>
      <w:r>
        <w:rPr>
          <w:rFonts w:hint="eastAsia" w:ascii="宋体" w:hAnsi="宋体" w:cs="宋体"/>
          <w:color w:val="auto"/>
        </w:rPr>
        <w:t>对可以质疑的采购文件提出质疑的，质疑人为参与本项目的报价方或潜在报价方。可质疑的文件为采购公告以及采购文件（包括属于其组成部分的澄清、修改、补充文件和评审标准、合同文本等）。</w:t>
      </w:r>
    </w:p>
    <w:p>
      <w:pPr>
        <w:ind w:left="31680" w:hanging="787" w:hangingChars="375"/>
        <w:jc w:val="left"/>
        <w:rPr>
          <w:rFonts w:ascii="宋体"/>
          <w:color w:val="auto"/>
        </w:rPr>
      </w:pPr>
      <w:r>
        <w:rPr>
          <w:rFonts w:ascii="宋体" w:hAnsi="宋体" w:cs="宋体"/>
          <w:color w:val="auto"/>
        </w:rPr>
        <w:t xml:space="preserve">37.4  </w:t>
      </w:r>
      <w:r>
        <w:rPr>
          <w:rFonts w:hint="eastAsia" w:ascii="宋体" w:hAnsi="宋体" w:cs="宋体"/>
          <w:color w:val="auto"/>
        </w:rPr>
        <w:t>对采购过程和成交结果提出质疑的，质疑人为直接参与本项目的报价方。采购过程</w:t>
      </w:r>
      <w:r>
        <w:rPr>
          <w:rFonts w:ascii="宋体" w:cs="宋体"/>
          <w:color w:val="auto"/>
        </w:rPr>
        <w:t>,</w:t>
      </w:r>
      <w:r>
        <w:rPr>
          <w:rFonts w:hint="eastAsia" w:ascii="宋体" w:hAnsi="宋体" w:cs="宋体"/>
          <w:color w:val="auto"/>
        </w:rPr>
        <w:t>即从采购项目信息公告发布起到成交结果公告止，包括采购文件的发出、提交响应文件、响应文件开启、评审等各个采购程序环节。</w:t>
      </w:r>
    </w:p>
    <w:p>
      <w:pPr>
        <w:ind w:left="31680" w:hanging="787" w:hangingChars="375"/>
        <w:jc w:val="left"/>
        <w:rPr>
          <w:rFonts w:ascii="宋体"/>
          <w:color w:val="auto"/>
        </w:rPr>
      </w:pPr>
      <w:r>
        <w:rPr>
          <w:rFonts w:ascii="宋体" w:hAnsi="宋体" w:cs="宋体"/>
          <w:color w:val="auto"/>
        </w:rPr>
        <w:t xml:space="preserve">37.5   </w:t>
      </w:r>
      <w:r>
        <w:rPr>
          <w:rFonts w:hint="eastAsia" w:ascii="宋体" w:hAnsi="宋体" w:cs="宋体"/>
          <w:color w:val="auto"/>
        </w:rPr>
        <w:t>提出质疑应当符合下列条件：</w:t>
      </w:r>
    </w:p>
    <w:p>
      <w:pPr>
        <w:ind w:left="875" w:leftChars="342" w:hanging="157" w:hangingChars="75"/>
        <w:jc w:val="left"/>
        <w:rPr>
          <w:rFonts w:ascii="宋体"/>
          <w:color w:val="auto"/>
        </w:rPr>
      </w:pPr>
      <w:r>
        <w:rPr>
          <w:rFonts w:hint="eastAsia" w:ascii="宋体" w:hAnsi="宋体" w:cs="宋体"/>
          <w:color w:val="auto"/>
        </w:rPr>
        <w:t>（一）质疑主体应当符合有关规定；</w:t>
      </w:r>
    </w:p>
    <w:p>
      <w:pPr>
        <w:ind w:left="875" w:leftChars="342" w:hanging="157" w:hangingChars="75"/>
        <w:jc w:val="left"/>
        <w:rPr>
          <w:rFonts w:ascii="宋体"/>
          <w:color w:val="auto"/>
        </w:rPr>
      </w:pPr>
      <w:r>
        <w:rPr>
          <w:rFonts w:hint="eastAsia" w:ascii="宋体" w:hAnsi="宋体" w:cs="宋体"/>
          <w:color w:val="auto"/>
        </w:rPr>
        <w:t>（二）在质疑法定期限内提出；</w:t>
      </w:r>
    </w:p>
    <w:p>
      <w:pPr>
        <w:ind w:left="875" w:leftChars="342" w:hanging="157" w:hangingChars="75"/>
        <w:jc w:val="left"/>
        <w:rPr>
          <w:rFonts w:ascii="宋体"/>
          <w:color w:val="auto"/>
        </w:rPr>
      </w:pPr>
      <w:r>
        <w:rPr>
          <w:rFonts w:hint="eastAsia" w:ascii="宋体" w:hAnsi="宋体" w:cs="宋体"/>
          <w:color w:val="auto"/>
        </w:rPr>
        <w:t>（三）属于可以提出质疑的政府采购事项受理范围和本项目采购人的管辖权范围；</w:t>
      </w:r>
    </w:p>
    <w:p>
      <w:pPr>
        <w:ind w:left="875" w:leftChars="342" w:hanging="157" w:hangingChars="75"/>
        <w:jc w:val="left"/>
        <w:rPr>
          <w:rFonts w:ascii="宋体"/>
          <w:color w:val="auto"/>
        </w:rPr>
      </w:pPr>
      <w:r>
        <w:rPr>
          <w:rFonts w:hint="eastAsia" w:ascii="宋体" w:hAnsi="宋体" w:cs="宋体"/>
          <w:color w:val="auto"/>
        </w:rPr>
        <w:t>（四）政府采购法律、法规、规章规定的其他条件。</w:t>
      </w:r>
    </w:p>
    <w:p>
      <w:pPr>
        <w:ind w:left="31680" w:hanging="787" w:hangingChars="375"/>
        <w:jc w:val="left"/>
        <w:rPr>
          <w:rFonts w:ascii="宋体"/>
          <w:color w:val="auto"/>
        </w:rPr>
      </w:pPr>
      <w:r>
        <w:rPr>
          <w:rFonts w:ascii="宋体" w:hAnsi="宋体" w:cs="宋体"/>
          <w:color w:val="auto"/>
        </w:rPr>
        <w:t xml:space="preserve">37.6    </w:t>
      </w:r>
      <w:r>
        <w:rPr>
          <w:rFonts w:hint="eastAsia" w:ascii="宋体" w:hAnsi="宋体" w:cs="宋体"/>
          <w:color w:val="auto"/>
        </w:rPr>
        <w:t>提出质疑应当具有明确的请求和提供必要的证明材料。明确的请求</w:t>
      </w:r>
      <w:r>
        <w:rPr>
          <w:rFonts w:ascii="宋体" w:cs="宋体"/>
          <w:color w:val="auto"/>
        </w:rPr>
        <w:t>,</w:t>
      </w:r>
      <w:r>
        <w:rPr>
          <w:rFonts w:hint="eastAsia" w:ascii="宋体" w:hAnsi="宋体" w:cs="宋体"/>
          <w:color w:val="auto"/>
        </w:rPr>
        <w:t>即质疑人在质疑函中提出的，要求采购方对其予以支持的主张。必要的证明材料</w:t>
      </w:r>
      <w:r>
        <w:rPr>
          <w:rFonts w:ascii="宋体" w:cs="宋体"/>
          <w:color w:val="auto"/>
        </w:rPr>
        <w:t>,</w:t>
      </w:r>
      <w:r>
        <w:rPr>
          <w:rFonts w:hint="eastAsia" w:ascii="宋体" w:hAnsi="宋体" w:cs="宋体"/>
          <w:color w:val="auto"/>
        </w:rPr>
        <w:t>即能够证明质疑人的质疑请求成立的必要材料，包括相关证据、依据和其他有关材料。</w:t>
      </w:r>
    </w:p>
    <w:p>
      <w:pPr>
        <w:ind w:left="31680" w:hanging="787" w:hangingChars="375"/>
        <w:jc w:val="left"/>
        <w:rPr>
          <w:rFonts w:ascii="宋体"/>
          <w:color w:val="auto"/>
        </w:rPr>
      </w:pPr>
      <w:r>
        <w:rPr>
          <w:rFonts w:ascii="宋体" w:hAnsi="宋体" w:cs="宋体"/>
          <w:color w:val="auto"/>
        </w:rPr>
        <w:t xml:space="preserve">37.7   </w:t>
      </w:r>
      <w:r>
        <w:rPr>
          <w:rFonts w:hint="eastAsia" w:ascii="宋体" w:hAnsi="宋体" w:cs="宋体"/>
          <w:color w:val="auto"/>
        </w:rPr>
        <w:t>质疑人所提供的证明材料应当具有真实性、合法性以及与质疑事项的关联性和证明力，否则不能作为认定该质疑事项成立的依据。</w:t>
      </w:r>
    </w:p>
    <w:p>
      <w:pPr>
        <w:ind w:left="31680" w:hanging="787" w:hangingChars="375"/>
        <w:jc w:val="left"/>
        <w:rPr>
          <w:rFonts w:ascii="宋体"/>
          <w:color w:val="auto"/>
        </w:rPr>
      </w:pPr>
      <w:r>
        <w:rPr>
          <w:rFonts w:ascii="宋体" w:hAnsi="宋体" w:cs="宋体"/>
          <w:color w:val="auto"/>
        </w:rPr>
        <w:t xml:space="preserve">37.8   </w:t>
      </w:r>
      <w:r>
        <w:rPr>
          <w:rFonts w:hint="eastAsia" w:ascii="宋体" w:hAnsi="宋体" w:cs="宋体"/>
          <w:color w:val="auto"/>
        </w:rPr>
        <w:t>质疑人提出质疑时应当提交质疑函。质疑函包括下列内容：</w:t>
      </w:r>
    </w:p>
    <w:p>
      <w:pPr>
        <w:ind w:left="875" w:leftChars="342" w:hanging="157" w:hangingChars="75"/>
        <w:jc w:val="left"/>
        <w:rPr>
          <w:rFonts w:ascii="宋体"/>
          <w:color w:val="auto"/>
        </w:rPr>
      </w:pPr>
      <w:r>
        <w:rPr>
          <w:rFonts w:hint="eastAsia" w:ascii="宋体" w:hAnsi="宋体" w:cs="宋体"/>
          <w:color w:val="auto"/>
        </w:rPr>
        <w:t>（一）提出质疑的质疑人的名称、地址、邮编、联系人及联系电话等；</w:t>
      </w:r>
    </w:p>
    <w:p>
      <w:pPr>
        <w:ind w:left="875" w:leftChars="342" w:hanging="157" w:hangingChars="75"/>
        <w:jc w:val="left"/>
        <w:rPr>
          <w:rFonts w:ascii="宋体"/>
          <w:color w:val="auto"/>
        </w:rPr>
      </w:pPr>
      <w:r>
        <w:rPr>
          <w:rFonts w:hint="eastAsia" w:ascii="宋体" w:hAnsi="宋体" w:cs="宋体"/>
          <w:color w:val="auto"/>
        </w:rPr>
        <w:t>（二）质疑项目的名称、编号；</w:t>
      </w:r>
    </w:p>
    <w:p>
      <w:pPr>
        <w:ind w:left="875" w:leftChars="342" w:hanging="157" w:hangingChars="75"/>
        <w:jc w:val="left"/>
        <w:rPr>
          <w:rFonts w:ascii="宋体"/>
          <w:color w:val="auto"/>
        </w:rPr>
      </w:pPr>
      <w:r>
        <w:rPr>
          <w:rFonts w:hint="eastAsia" w:ascii="宋体" w:hAnsi="宋体" w:cs="宋体"/>
          <w:color w:val="auto"/>
        </w:rPr>
        <w:t>（三）质疑事项；</w:t>
      </w:r>
    </w:p>
    <w:p>
      <w:pPr>
        <w:ind w:left="875" w:leftChars="342" w:hanging="157" w:hangingChars="75"/>
        <w:jc w:val="left"/>
        <w:rPr>
          <w:rFonts w:ascii="宋体"/>
          <w:color w:val="auto"/>
        </w:rPr>
      </w:pPr>
      <w:r>
        <w:rPr>
          <w:rFonts w:hint="eastAsia" w:ascii="宋体" w:hAnsi="宋体" w:cs="宋体"/>
          <w:color w:val="auto"/>
        </w:rPr>
        <w:t>（四）事实依据和证明材料；</w:t>
      </w:r>
    </w:p>
    <w:p>
      <w:pPr>
        <w:ind w:left="875" w:leftChars="342" w:hanging="157" w:hangingChars="75"/>
        <w:jc w:val="left"/>
        <w:rPr>
          <w:rFonts w:ascii="宋体"/>
          <w:color w:val="auto"/>
        </w:rPr>
      </w:pPr>
      <w:r>
        <w:rPr>
          <w:rFonts w:hint="eastAsia" w:ascii="宋体" w:hAnsi="宋体" w:cs="宋体"/>
          <w:color w:val="auto"/>
        </w:rPr>
        <w:t>（五）法律依据；</w:t>
      </w:r>
    </w:p>
    <w:p>
      <w:pPr>
        <w:ind w:left="875" w:leftChars="342" w:hanging="157" w:hangingChars="75"/>
        <w:jc w:val="left"/>
        <w:rPr>
          <w:rFonts w:ascii="宋体"/>
          <w:color w:val="auto"/>
        </w:rPr>
      </w:pPr>
      <w:r>
        <w:rPr>
          <w:rFonts w:hint="eastAsia" w:ascii="宋体" w:hAnsi="宋体" w:cs="宋体"/>
          <w:color w:val="auto"/>
        </w:rPr>
        <w:t>（六）提出质疑的日期。</w:t>
      </w:r>
    </w:p>
    <w:p>
      <w:pPr>
        <w:ind w:left="958" w:leftChars="456" w:firstLine="52" w:firstLineChars="25"/>
        <w:jc w:val="left"/>
        <w:rPr>
          <w:rFonts w:ascii="宋体"/>
          <w:color w:val="auto"/>
        </w:rPr>
      </w:pPr>
      <w:r>
        <w:rPr>
          <w:rFonts w:hint="eastAsia" w:ascii="宋体" w:hAnsi="宋体" w:cs="宋体"/>
          <w:color w:val="auto"/>
        </w:rPr>
        <w:t>质疑函采用实名制。质疑人为自然人的应当由本人签字，并附有效身份证明文件；质疑人为法人或者非法人组织的应当由法定代表人或者负责人签字并加盖公章，并附有效身份证明文件。</w:t>
      </w:r>
    </w:p>
    <w:p>
      <w:pPr>
        <w:ind w:left="31680" w:hanging="787" w:hangingChars="375"/>
        <w:jc w:val="left"/>
        <w:rPr>
          <w:rFonts w:ascii="宋体"/>
          <w:color w:val="auto"/>
        </w:rPr>
      </w:pPr>
      <w:r>
        <w:rPr>
          <w:rFonts w:ascii="宋体" w:hAnsi="宋体" w:cs="宋体"/>
          <w:color w:val="auto"/>
        </w:rPr>
        <w:t xml:space="preserve">37.9   </w:t>
      </w:r>
      <w:r>
        <w:rPr>
          <w:rFonts w:hint="eastAsia" w:ascii="宋体" w:hAnsi="宋体" w:cs="宋体"/>
          <w:color w:val="auto"/>
        </w:rPr>
        <w:t>质疑人可以委托代理人进行质疑。代理人应当提交授权委托书。授权委托书应当载明委托代理的具体权限、期限和相关事项。</w:t>
      </w:r>
    </w:p>
    <w:p>
      <w:pPr>
        <w:ind w:left="31680" w:hanging="787" w:hangingChars="375"/>
        <w:jc w:val="left"/>
        <w:rPr>
          <w:rFonts w:ascii="宋体"/>
          <w:color w:val="auto"/>
        </w:rPr>
      </w:pPr>
      <w:r>
        <w:rPr>
          <w:rFonts w:ascii="宋体" w:hAnsi="宋体" w:cs="宋体"/>
          <w:color w:val="auto"/>
        </w:rPr>
        <w:t xml:space="preserve">37.10   </w:t>
      </w:r>
      <w:r>
        <w:rPr>
          <w:rFonts w:hint="eastAsia" w:ascii="宋体" w:hAnsi="宋体" w:cs="宋体"/>
          <w:color w:val="auto"/>
        </w:rPr>
        <w:t>质疑的审查和受理。采购方在收到质疑函后应当及时审查是否符合质疑受理条件，对符合质疑受理条件的，及时予以受理。</w:t>
      </w:r>
    </w:p>
    <w:p>
      <w:pPr>
        <w:ind w:left="31680" w:hanging="787" w:hangingChars="375"/>
        <w:jc w:val="left"/>
        <w:rPr>
          <w:rFonts w:ascii="宋体"/>
          <w:color w:val="auto"/>
        </w:rPr>
      </w:pPr>
      <w:r>
        <w:rPr>
          <w:rFonts w:ascii="宋体" w:hAnsi="宋体" w:cs="宋体"/>
          <w:color w:val="auto"/>
        </w:rPr>
        <w:t xml:space="preserve">37.11    </w:t>
      </w:r>
      <w:r>
        <w:rPr>
          <w:rFonts w:hint="eastAsia" w:ascii="宋体" w:hAnsi="宋体" w:cs="宋体"/>
          <w:color w:val="auto"/>
        </w:rPr>
        <w:t>对不符合质疑受理条件的，分别按照下列不同情形予以处理：</w:t>
      </w:r>
    </w:p>
    <w:p>
      <w:pPr>
        <w:ind w:left="875" w:leftChars="342" w:hanging="157" w:hangingChars="75"/>
        <w:jc w:val="left"/>
        <w:rPr>
          <w:rFonts w:ascii="宋体"/>
          <w:color w:val="auto"/>
        </w:rPr>
      </w:pPr>
      <w:r>
        <w:rPr>
          <w:rFonts w:hint="eastAsia" w:ascii="宋体" w:hAnsi="宋体" w:cs="宋体"/>
          <w:color w:val="auto"/>
        </w:rPr>
        <w:t>（一）质疑函内容不符合规定的，告知质疑人进行修改并重新提出质疑。修改后质疑事项仍不具体、不明确或者最终递交质疑函的时间超过质疑法定期限的，不予受理；</w:t>
      </w:r>
    </w:p>
    <w:p>
      <w:pPr>
        <w:ind w:left="875" w:leftChars="342" w:hanging="157" w:hangingChars="75"/>
        <w:jc w:val="left"/>
        <w:rPr>
          <w:rFonts w:ascii="宋体"/>
          <w:color w:val="auto"/>
        </w:rPr>
      </w:pPr>
      <w:r>
        <w:rPr>
          <w:rFonts w:hint="eastAsia" w:ascii="宋体" w:hAnsi="宋体" w:cs="宋体"/>
          <w:color w:val="auto"/>
        </w:rPr>
        <w:t>（二）质疑主体不符合有关规定的，告知质疑人不予受理；</w:t>
      </w:r>
    </w:p>
    <w:p>
      <w:pPr>
        <w:ind w:left="875" w:leftChars="342" w:hanging="157" w:hangingChars="75"/>
        <w:jc w:val="left"/>
        <w:rPr>
          <w:rFonts w:ascii="宋体"/>
          <w:color w:val="auto"/>
        </w:rPr>
      </w:pPr>
      <w:r>
        <w:rPr>
          <w:rFonts w:hint="eastAsia" w:ascii="宋体" w:hAnsi="宋体" w:cs="宋体"/>
          <w:color w:val="auto"/>
        </w:rPr>
        <w:t>（三）超过质疑法定期限提出质疑的，告知质疑人不予受理；</w:t>
      </w:r>
    </w:p>
    <w:p>
      <w:pPr>
        <w:ind w:left="875" w:leftChars="342" w:hanging="157" w:hangingChars="75"/>
        <w:jc w:val="left"/>
        <w:rPr>
          <w:rFonts w:ascii="宋体"/>
          <w:color w:val="auto"/>
        </w:rPr>
      </w:pPr>
      <w:r>
        <w:rPr>
          <w:rFonts w:hint="eastAsia" w:ascii="宋体" w:hAnsi="宋体" w:cs="宋体"/>
          <w:color w:val="auto"/>
        </w:rPr>
        <w:t>（四）对不属于可以提出质疑的政府采购事项提出质疑的，告知质疑人不予受理；</w:t>
      </w:r>
    </w:p>
    <w:p>
      <w:pPr>
        <w:ind w:left="875" w:leftChars="342" w:hanging="157" w:hangingChars="75"/>
        <w:jc w:val="left"/>
        <w:rPr>
          <w:rFonts w:ascii="宋体"/>
          <w:color w:val="auto"/>
        </w:rPr>
      </w:pPr>
      <w:r>
        <w:rPr>
          <w:rFonts w:hint="eastAsia" w:ascii="宋体" w:hAnsi="宋体" w:cs="宋体"/>
          <w:color w:val="auto"/>
        </w:rPr>
        <w:t>（五）质疑不属于本项目采购方管辖的，告知质疑人向有管辖权的采购人提出质疑；</w:t>
      </w:r>
    </w:p>
    <w:p>
      <w:pPr>
        <w:ind w:left="875" w:leftChars="342" w:hanging="157" w:hangingChars="75"/>
        <w:jc w:val="left"/>
        <w:rPr>
          <w:rFonts w:ascii="宋体"/>
          <w:color w:val="auto"/>
        </w:rPr>
      </w:pPr>
      <w:r>
        <w:rPr>
          <w:rFonts w:hint="eastAsia" w:ascii="宋体" w:hAnsi="宋体" w:cs="宋体"/>
          <w:color w:val="auto"/>
        </w:rPr>
        <w:t>（六）质疑不符合其他条件的，告知质疑人不予受理。</w:t>
      </w:r>
    </w:p>
    <w:p>
      <w:pPr>
        <w:ind w:left="31680" w:hanging="791" w:hangingChars="375"/>
        <w:jc w:val="left"/>
        <w:outlineLvl w:val="2"/>
        <w:rPr>
          <w:rFonts w:ascii="宋体"/>
          <w:b/>
          <w:bCs/>
          <w:color w:val="auto"/>
        </w:rPr>
      </w:pPr>
      <w:r>
        <w:rPr>
          <w:rFonts w:ascii="宋体" w:hAnsi="宋体" w:cs="宋体"/>
          <w:b/>
          <w:bCs/>
          <w:color w:val="auto"/>
        </w:rPr>
        <w:t>38.</w:t>
      </w:r>
      <w:r>
        <w:rPr>
          <w:rFonts w:hint="eastAsia" w:ascii="宋体" w:hAnsi="宋体" w:cs="宋体"/>
          <w:b/>
          <w:bCs/>
          <w:color w:val="auto"/>
        </w:rPr>
        <w:t>质疑的处理和答复</w:t>
      </w:r>
    </w:p>
    <w:p>
      <w:pPr>
        <w:ind w:left="31680" w:hanging="787" w:hangingChars="375"/>
        <w:jc w:val="left"/>
        <w:rPr>
          <w:rFonts w:ascii="宋体"/>
          <w:color w:val="auto"/>
        </w:rPr>
      </w:pPr>
      <w:r>
        <w:rPr>
          <w:rFonts w:ascii="宋体" w:hAnsi="宋体" w:cs="宋体"/>
          <w:color w:val="auto"/>
        </w:rPr>
        <w:t xml:space="preserve">  </w:t>
      </w:r>
      <w:r>
        <w:rPr>
          <w:rFonts w:hint="eastAsia" w:ascii="宋体" w:hAnsi="宋体" w:cs="宋体"/>
          <w:color w:val="auto"/>
        </w:rPr>
        <w:t>采购方受理质疑后，将及时把质疑函发送给被质疑人，并要求其在一定限期内提交书面答复，同时提供有关证据、依据和相关材料。</w:t>
      </w:r>
    </w:p>
    <w:p>
      <w:pPr>
        <w:ind w:left="31680" w:hanging="787" w:hangingChars="375"/>
        <w:jc w:val="left"/>
        <w:rPr>
          <w:rFonts w:ascii="宋体"/>
          <w:color w:val="auto"/>
        </w:rPr>
      </w:pPr>
      <w:r>
        <w:rPr>
          <w:rFonts w:ascii="宋体" w:hAnsi="宋体" w:cs="宋体"/>
          <w:color w:val="auto"/>
        </w:rPr>
        <w:t xml:space="preserve">38.1    </w:t>
      </w:r>
      <w:r>
        <w:rPr>
          <w:rFonts w:hint="eastAsia" w:ascii="宋体" w:hAnsi="宋体" w:cs="宋体"/>
          <w:color w:val="auto"/>
        </w:rPr>
        <w:t>对于质疑事项中涉及的问题较多、情况比较复杂的，为了全面查清事实、取得充分的证据，采购方认为有必要时，可以进行调查取证或者组织质证。</w:t>
      </w:r>
    </w:p>
    <w:p>
      <w:pPr>
        <w:ind w:left="31680" w:hanging="787" w:hangingChars="375"/>
        <w:jc w:val="left"/>
        <w:rPr>
          <w:rFonts w:ascii="宋体"/>
          <w:color w:val="auto"/>
        </w:rPr>
      </w:pPr>
      <w:r>
        <w:rPr>
          <w:rFonts w:ascii="宋体" w:hAnsi="宋体" w:cs="宋体"/>
          <w:color w:val="auto"/>
        </w:rPr>
        <w:t xml:space="preserve">38.2  </w:t>
      </w:r>
      <w:r>
        <w:rPr>
          <w:rFonts w:hint="eastAsia" w:ascii="宋体" w:hAnsi="宋体" w:cs="宋体"/>
          <w:color w:val="auto"/>
        </w:rPr>
        <w:t>对评审过程、成交结果提出质疑的，采购方可以组织原评审委员会协助答复质疑。</w:t>
      </w:r>
    </w:p>
    <w:p>
      <w:pPr>
        <w:ind w:left="31680" w:hanging="787" w:hangingChars="375"/>
        <w:jc w:val="left"/>
        <w:rPr>
          <w:rFonts w:ascii="宋体"/>
          <w:color w:val="auto"/>
        </w:rPr>
      </w:pPr>
      <w:r>
        <w:rPr>
          <w:rFonts w:ascii="宋体" w:hAnsi="宋体" w:cs="宋体"/>
          <w:color w:val="auto"/>
        </w:rPr>
        <w:t xml:space="preserve">38.3  </w:t>
      </w:r>
      <w:r>
        <w:rPr>
          <w:rFonts w:hint="eastAsia" w:ascii="宋体" w:hAnsi="宋体" w:cs="宋体"/>
          <w:color w:val="auto"/>
        </w:rPr>
        <w:t>质疑处理过程中，质疑人书面申请撤回质疑的，将终止质疑处理程序。</w:t>
      </w:r>
    </w:p>
    <w:p>
      <w:pPr>
        <w:ind w:left="31680" w:hanging="787" w:hangingChars="375"/>
        <w:jc w:val="left"/>
        <w:rPr>
          <w:rFonts w:ascii="宋体"/>
          <w:color w:val="auto"/>
        </w:rPr>
      </w:pPr>
      <w:r>
        <w:rPr>
          <w:rFonts w:ascii="宋体" w:hAnsi="宋体" w:cs="宋体"/>
          <w:color w:val="auto"/>
        </w:rPr>
        <w:t xml:space="preserve">38.4 </w:t>
      </w:r>
      <w:r>
        <w:rPr>
          <w:rFonts w:hint="eastAsia" w:ascii="宋体" w:hAnsi="宋体" w:cs="宋体"/>
          <w:color w:val="auto"/>
        </w:rPr>
        <w:t>质疑人拒绝配合采购方依法对质疑进行调查处理的，采购方将按质疑人自动撤回质疑处理；被质疑人拒绝配合采购方依法对质疑进行调查处理的，采购方将视同其认可质疑事项。</w:t>
      </w:r>
    </w:p>
    <w:p>
      <w:pPr>
        <w:ind w:left="31680" w:hanging="787" w:hangingChars="375"/>
        <w:jc w:val="left"/>
        <w:rPr>
          <w:rFonts w:ascii="宋体"/>
          <w:color w:val="auto"/>
        </w:rPr>
      </w:pPr>
      <w:r>
        <w:rPr>
          <w:rFonts w:ascii="宋体" w:hAnsi="宋体" w:cs="宋体"/>
          <w:color w:val="auto"/>
        </w:rPr>
        <w:t xml:space="preserve">38.5   </w:t>
      </w:r>
      <w:r>
        <w:rPr>
          <w:rFonts w:hint="eastAsia" w:ascii="宋体" w:hAnsi="宋体" w:cs="宋体"/>
          <w:color w:val="auto"/>
        </w:rPr>
        <w:t>质疑人拒绝配合采购方依法对质疑进行调查处理的，采购方将按质疑人自动撤回质疑处理；被质疑人拒绝配合采购方依法对质疑进行调查处理的，采购方将视同其认可质疑事项。</w:t>
      </w:r>
    </w:p>
    <w:p>
      <w:pPr>
        <w:ind w:left="31680" w:hanging="787" w:hangingChars="375"/>
        <w:jc w:val="left"/>
        <w:rPr>
          <w:rFonts w:ascii="宋体"/>
          <w:color w:val="auto"/>
        </w:rPr>
      </w:pPr>
      <w:r>
        <w:rPr>
          <w:rFonts w:ascii="宋体" w:hAnsi="宋体" w:cs="宋体"/>
          <w:color w:val="auto"/>
        </w:rPr>
        <w:t xml:space="preserve">38.6  </w:t>
      </w:r>
      <w:r>
        <w:rPr>
          <w:rFonts w:hint="eastAsia" w:ascii="宋体" w:hAnsi="宋体" w:cs="宋体"/>
          <w:color w:val="auto"/>
        </w:rPr>
        <w:t>采购方将在正式受理质疑后</w:t>
      </w:r>
      <w:r>
        <w:rPr>
          <w:rFonts w:ascii="宋体" w:hAnsi="宋体" w:cs="宋体"/>
          <w:color w:val="auto"/>
        </w:rPr>
        <w:t>7</w:t>
      </w:r>
      <w:r>
        <w:rPr>
          <w:rFonts w:hint="eastAsia" w:ascii="宋体" w:hAnsi="宋体" w:cs="宋体"/>
          <w:color w:val="auto"/>
        </w:rPr>
        <w:t>个工作日内作出答复。</w:t>
      </w:r>
    </w:p>
    <w:p>
      <w:pPr>
        <w:pStyle w:val="41"/>
        <w:rPr>
          <w:rFonts w:hAnsi="宋体" w:cs="Times New Roman"/>
          <w:color w:val="auto"/>
          <w:sz w:val="21"/>
          <w:szCs w:val="21"/>
        </w:rPr>
      </w:pPr>
      <w:r>
        <w:rPr>
          <w:rFonts w:hAnsi="宋体"/>
          <w:color w:val="auto"/>
        </w:rPr>
        <w:t>38</w:t>
      </w:r>
      <w:r>
        <w:rPr>
          <w:rFonts w:hAnsi="宋体"/>
          <w:color w:val="auto"/>
          <w:sz w:val="21"/>
          <w:szCs w:val="21"/>
        </w:rPr>
        <w:t xml:space="preserve">.7  </w:t>
      </w:r>
      <w:r>
        <w:rPr>
          <w:rFonts w:hint="eastAsia" w:hAnsi="宋体"/>
          <w:color w:val="auto"/>
          <w:sz w:val="21"/>
          <w:szCs w:val="21"/>
        </w:rPr>
        <w:t>质疑答复应当包括下列内容：</w:t>
      </w:r>
    </w:p>
    <w:p>
      <w:pPr>
        <w:pStyle w:val="41"/>
        <w:rPr>
          <w:rFonts w:hAnsi="宋体" w:cs="Times New Roman"/>
          <w:color w:val="auto"/>
          <w:sz w:val="21"/>
          <w:szCs w:val="21"/>
        </w:rPr>
      </w:pPr>
      <w:r>
        <w:rPr>
          <w:rFonts w:hAnsi="宋体"/>
          <w:color w:val="auto"/>
          <w:sz w:val="21"/>
          <w:szCs w:val="21"/>
        </w:rPr>
        <w:t xml:space="preserve">        </w:t>
      </w:r>
      <w:r>
        <w:rPr>
          <w:rFonts w:hint="eastAsia" w:hAnsi="宋体"/>
          <w:color w:val="auto"/>
          <w:sz w:val="21"/>
          <w:szCs w:val="21"/>
        </w:rPr>
        <w:t>（一）质疑人的姓名或者名称；</w:t>
      </w:r>
    </w:p>
    <w:p>
      <w:pPr>
        <w:pStyle w:val="41"/>
        <w:rPr>
          <w:rFonts w:hAnsi="宋体" w:cs="Times New Roman"/>
          <w:color w:val="auto"/>
          <w:sz w:val="21"/>
          <w:szCs w:val="21"/>
        </w:rPr>
      </w:pPr>
      <w:r>
        <w:rPr>
          <w:rFonts w:hAnsi="宋体"/>
          <w:color w:val="auto"/>
          <w:sz w:val="21"/>
          <w:szCs w:val="21"/>
        </w:rPr>
        <w:t xml:space="preserve">        </w:t>
      </w:r>
      <w:r>
        <w:rPr>
          <w:rFonts w:hint="eastAsia" w:hAnsi="宋体"/>
          <w:color w:val="auto"/>
          <w:sz w:val="21"/>
          <w:szCs w:val="21"/>
        </w:rPr>
        <w:t>（二）收到质疑函的日期、质疑项目名称及编号；</w:t>
      </w:r>
    </w:p>
    <w:p>
      <w:pPr>
        <w:pStyle w:val="41"/>
        <w:rPr>
          <w:rFonts w:hAnsi="宋体" w:cs="Times New Roman"/>
          <w:color w:val="auto"/>
          <w:sz w:val="21"/>
          <w:szCs w:val="21"/>
        </w:rPr>
      </w:pPr>
      <w:r>
        <w:rPr>
          <w:rFonts w:hAnsi="宋体"/>
          <w:color w:val="auto"/>
          <w:sz w:val="21"/>
          <w:szCs w:val="21"/>
        </w:rPr>
        <w:t xml:space="preserve">        </w:t>
      </w:r>
      <w:r>
        <w:rPr>
          <w:rFonts w:hint="eastAsia" w:hAnsi="宋体"/>
          <w:color w:val="auto"/>
          <w:sz w:val="21"/>
          <w:szCs w:val="21"/>
        </w:rPr>
        <w:t>（三）质疑事项、质疑答复的具体内容、事实依据和法律依据；</w:t>
      </w:r>
    </w:p>
    <w:p>
      <w:pPr>
        <w:pStyle w:val="41"/>
        <w:rPr>
          <w:rFonts w:hAnsi="宋体" w:cs="Times New Roman"/>
          <w:color w:val="auto"/>
          <w:sz w:val="21"/>
          <w:szCs w:val="21"/>
        </w:rPr>
      </w:pPr>
      <w:r>
        <w:rPr>
          <w:rFonts w:hAnsi="宋体"/>
          <w:color w:val="auto"/>
          <w:sz w:val="21"/>
          <w:szCs w:val="21"/>
        </w:rPr>
        <w:t xml:space="preserve">        </w:t>
      </w:r>
      <w:r>
        <w:rPr>
          <w:rFonts w:hint="eastAsia" w:hAnsi="宋体"/>
          <w:color w:val="auto"/>
          <w:sz w:val="21"/>
          <w:szCs w:val="21"/>
        </w:rPr>
        <w:t>（四）告知质疑供应商依法投诉的权利；</w:t>
      </w:r>
    </w:p>
    <w:p>
      <w:pPr>
        <w:pStyle w:val="41"/>
        <w:ind w:firstLine="840" w:firstLineChars="400"/>
        <w:rPr>
          <w:rFonts w:hAnsi="宋体" w:cs="Times New Roman"/>
          <w:color w:val="auto"/>
          <w:sz w:val="21"/>
          <w:szCs w:val="21"/>
        </w:rPr>
      </w:pPr>
      <w:r>
        <w:rPr>
          <w:rFonts w:hint="eastAsia" w:hAnsi="宋体"/>
          <w:color w:val="auto"/>
          <w:sz w:val="21"/>
          <w:szCs w:val="21"/>
        </w:rPr>
        <w:t>（五）质疑答复人名称；</w:t>
      </w:r>
    </w:p>
    <w:p>
      <w:pPr>
        <w:ind w:left="718" w:leftChars="342" w:firstLine="210" w:firstLineChars="100"/>
        <w:jc w:val="left"/>
        <w:rPr>
          <w:rFonts w:ascii="宋体"/>
          <w:color w:val="auto"/>
        </w:rPr>
      </w:pPr>
      <w:r>
        <w:rPr>
          <w:rFonts w:hint="eastAsia" w:ascii="宋体" w:hAnsi="宋体" w:cs="宋体"/>
          <w:color w:val="auto"/>
        </w:rPr>
        <w:t>（六）答复质疑的日期。</w:t>
      </w:r>
    </w:p>
    <w:p>
      <w:pPr>
        <w:jc w:val="center"/>
        <w:outlineLvl w:val="1"/>
        <w:rPr>
          <w:rFonts w:ascii="宋体"/>
          <w:b/>
          <w:bCs/>
          <w:color w:val="auto"/>
          <w:sz w:val="24"/>
          <w:szCs w:val="24"/>
        </w:rPr>
      </w:pPr>
      <w:bookmarkStart w:id="233" w:name="_Toc435"/>
      <w:bookmarkStart w:id="234" w:name="_Toc3750"/>
      <w:bookmarkStart w:id="235" w:name="_Toc25761"/>
      <w:bookmarkStart w:id="236" w:name="_Toc12135"/>
      <w:bookmarkStart w:id="237" w:name="_Toc4670"/>
      <w:bookmarkStart w:id="238" w:name="_Toc2335"/>
      <w:bookmarkStart w:id="239" w:name="_Toc30870"/>
      <w:bookmarkStart w:id="240" w:name="_Toc27626"/>
      <w:bookmarkStart w:id="241" w:name="_Toc2251"/>
      <w:bookmarkStart w:id="242" w:name="_Toc12854"/>
      <w:bookmarkStart w:id="243" w:name="_Toc15048"/>
      <w:bookmarkStart w:id="244" w:name="_Toc7867"/>
      <w:bookmarkStart w:id="245" w:name="_Toc11739"/>
      <w:bookmarkStart w:id="246" w:name="_Toc7782"/>
      <w:r>
        <w:rPr>
          <w:rFonts w:hint="eastAsia" w:ascii="宋体" w:hAnsi="宋体" w:cs="宋体"/>
          <w:b/>
          <w:bCs/>
          <w:color w:val="auto"/>
          <w:sz w:val="24"/>
          <w:szCs w:val="24"/>
        </w:rPr>
        <w:t>质疑函范本</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adjustRightInd w:val="0"/>
        <w:snapToGrid w:val="0"/>
        <w:spacing w:line="360" w:lineRule="exact"/>
        <w:outlineLvl w:val="1"/>
        <w:rPr>
          <w:rFonts w:ascii="宋体"/>
          <w:color w:val="auto"/>
        </w:rPr>
      </w:pPr>
      <w:bookmarkStart w:id="247" w:name="_Toc29534"/>
      <w:bookmarkStart w:id="248" w:name="_Toc31020"/>
      <w:bookmarkStart w:id="249" w:name="_Toc14896"/>
      <w:bookmarkStart w:id="250" w:name="_Toc18345"/>
      <w:bookmarkStart w:id="251" w:name="_Toc20504"/>
      <w:bookmarkStart w:id="252" w:name="_Toc7044"/>
      <w:bookmarkStart w:id="253" w:name="_Toc28797"/>
      <w:bookmarkStart w:id="254" w:name="_Toc3356"/>
      <w:bookmarkStart w:id="255" w:name="_Toc13218"/>
      <w:bookmarkStart w:id="256" w:name="_Toc7517"/>
      <w:bookmarkStart w:id="257" w:name="_Toc32439"/>
      <w:bookmarkStart w:id="258" w:name="_Toc8620"/>
      <w:bookmarkStart w:id="259" w:name="_Toc9491"/>
      <w:bookmarkStart w:id="260" w:name="_Toc24926"/>
      <w:bookmarkStart w:id="261" w:name="_Toc24391"/>
      <w:r>
        <w:rPr>
          <w:rFonts w:hint="eastAsia" w:ascii="宋体" w:hAnsi="宋体" w:cs="宋体"/>
          <w:color w:val="auto"/>
        </w:rPr>
        <w:t>一、质疑供应商基本信息</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djustRightInd w:val="0"/>
        <w:snapToGrid w:val="0"/>
        <w:spacing w:line="360" w:lineRule="exact"/>
        <w:rPr>
          <w:rFonts w:ascii="宋体"/>
          <w:color w:val="auto"/>
          <w:u w:val="dotted"/>
        </w:rPr>
      </w:pPr>
      <w:r>
        <w:rPr>
          <w:rFonts w:hint="eastAsia" w:ascii="宋体" w:hAnsi="宋体" w:cs="宋体"/>
          <w:color w:val="auto"/>
        </w:rPr>
        <w:t>质疑供应商：</w:t>
      </w:r>
      <w:r>
        <w:rPr>
          <w:rFonts w:ascii="宋体" w:hAnsi="宋体" w:cs="宋体"/>
          <w:color w:val="auto"/>
          <w:u w:val="dotted"/>
        </w:rPr>
        <w:t xml:space="preserve">                                        </w:t>
      </w:r>
    </w:p>
    <w:p>
      <w:pPr>
        <w:adjustRightInd w:val="0"/>
        <w:snapToGrid w:val="0"/>
        <w:spacing w:line="360" w:lineRule="exact"/>
        <w:rPr>
          <w:rFonts w:ascii="宋体"/>
          <w:color w:val="auto"/>
        </w:rPr>
      </w:pPr>
      <w:r>
        <w:rPr>
          <w:rFonts w:hint="eastAsia" w:ascii="宋体" w:hAnsi="宋体" w:cs="宋体"/>
          <w:color w:val="auto"/>
        </w:rPr>
        <w:t>地址：</w:t>
      </w:r>
      <w:r>
        <w:rPr>
          <w:rFonts w:ascii="宋体" w:hAnsi="宋体" w:cs="宋体"/>
          <w:color w:val="auto"/>
          <w:u w:val="dotted"/>
        </w:rPr>
        <w:t xml:space="preserve">                          </w:t>
      </w:r>
      <w:r>
        <w:rPr>
          <w:rFonts w:hint="eastAsia" w:ascii="宋体" w:hAnsi="宋体" w:cs="宋体"/>
          <w:color w:val="auto"/>
        </w:rPr>
        <w:t>邮编：</w:t>
      </w:r>
      <w:r>
        <w:rPr>
          <w:rFonts w:ascii="宋体" w:hAnsi="宋体" w:cs="宋体"/>
          <w:color w:val="auto"/>
          <w:u w:val="dotted"/>
        </w:rPr>
        <w:t xml:space="preserve">                                                   </w:t>
      </w:r>
    </w:p>
    <w:p>
      <w:pPr>
        <w:adjustRightInd w:val="0"/>
        <w:snapToGrid w:val="0"/>
        <w:spacing w:line="360" w:lineRule="exact"/>
        <w:rPr>
          <w:rFonts w:ascii="宋体"/>
          <w:color w:val="auto"/>
        </w:rPr>
      </w:pPr>
      <w:r>
        <w:rPr>
          <w:rFonts w:hint="eastAsia" w:ascii="宋体" w:hAnsi="宋体" w:cs="宋体"/>
          <w:color w:val="auto"/>
        </w:rPr>
        <w:t>联系人：</w:t>
      </w:r>
      <w:r>
        <w:rPr>
          <w:rFonts w:ascii="宋体" w:hAnsi="宋体" w:cs="宋体"/>
          <w:color w:val="auto"/>
          <w:u w:val="dotted"/>
        </w:rPr>
        <w:t xml:space="preserve">                      </w:t>
      </w:r>
      <w:r>
        <w:rPr>
          <w:rFonts w:hint="eastAsia" w:ascii="宋体" w:hAnsi="宋体" w:cs="宋体"/>
          <w:color w:val="auto"/>
        </w:rPr>
        <w:t>联系电话：</w:t>
      </w:r>
      <w:r>
        <w:rPr>
          <w:rFonts w:ascii="宋体" w:hAnsi="宋体" w:cs="宋体"/>
          <w:color w:val="auto"/>
          <w:u w:val="dotted"/>
        </w:rPr>
        <w:t xml:space="preserve">                              </w:t>
      </w:r>
    </w:p>
    <w:p>
      <w:pPr>
        <w:adjustRightInd w:val="0"/>
        <w:snapToGrid w:val="0"/>
        <w:spacing w:line="360" w:lineRule="exact"/>
        <w:rPr>
          <w:rFonts w:ascii="宋体"/>
          <w:color w:val="auto"/>
          <w:u w:val="dotted"/>
        </w:rPr>
      </w:pPr>
      <w:r>
        <w:rPr>
          <w:rFonts w:hint="eastAsia" w:ascii="宋体" w:hAnsi="宋体" w:cs="宋体"/>
          <w:color w:val="auto"/>
        </w:rPr>
        <w:t>授权代表：</w:t>
      </w:r>
      <w:r>
        <w:rPr>
          <w:rFonts w:ascii="宋体" w:hAnsi="宋体" w:cs="宋体"/>
          <w:color w:val="auto"/>
          <w:u w:val="dotted"/>
        </w:rPr>
        <w:t xml:space="preserve">                                          </w:t>
      </w:r>
    </w:p>
    <w:p>
      <w:pPr>
        <w:adjustRightInd w:val="0"/>
        <w:snapToGrid w:val="0"/>
        <w:spacing w:line="360" w:lineRule="exact"/>
        <w:rPr>
          <w:rFonts w:ascii="宋体"/>
          <w:color w:val="auto"/>
        </w:rPr>
      </w:pPr>
      <w:r>
        <w:rPr>
          <w:rFonts w:hint="eastAsia" w:ascii="宋体" w:hAnsi="宋体" w:cs="宋体"/>
          <w:color w:val="auto"/>
        </w:rPr>
        <w:t>联系电话：</w:t>
      </w:r>
      <w:r>
        <w:rPr>
          <w:rFonts w:ascii="宋体" w:hAnsi="宋体" w:cs="宋体"/>
          <w:color w:val="auto"/>
          <w:u w:val="dotted"/>
        </w:rPr>
        <w:t xml:space="preserve">                                           </w:t>
      </w:r>
      <w:r>
        <w:rPr>
          <w:rFonts w:ascii="宋体" w:hAnsi="宋体" w:cs="宋体"/>
          <w:color w:val="auto"/>
        </w:rPr>
        <w:t xml:space="preserve"> </w:t>
      </w:r>
    </w:p>
    <w:p>
      <w:pPr>
        <w:adjustRightInd w:val="0"/>
        <w:snapToGrid w:val="0"/>
        <w:spacing w:line="360" w:lineRule="exact"/>
        <w:rPr>
          <w:rFonts w:ascii="宋体"/>
          <w:color w:val="auto"/>
        </w:rPr>
      </w:pPr>
      <w:r>
        <w:rPr>
          <w:rFonts w:hint="eastAsia" w:ascii="宋体" w:hAnsi="宋体" w:cs="宋体"/>
          <w:color w:val="auto"/>
        </w:rPr>
        <w:t>地址：</w:t>
      </w:r>
      <w:r>
        <w:rPr>
          <w:rFonts w:ascii="宋体" w:hAnsi="宋体" w:cs="宋体"/>
          <w:color w:val="auto"/>
        </w:rPr>
        <w:t xml:space="preserve"> </w:t>
      </w:r>
      <w:r>
        <w:rPr>
          <w:rFonts w:ascii="宋体" w:hAnsi="宋体" w:cs="宋体"/>
          <w:color w:val="auto"/>
          <w:u w:val="dotted"/>
        </w:rPr>
        <w:t xml:space="preserve">                        </w:t>
      </w:r>
      <w:r>
        <w:rPr>
          <w:rFonts w:hint="eastAsia" w:ascii="宋体" w:hAnsi="宋体" w:cs="宋体"/>
          <w:color w:val="auto"/>
        </w:rPr>
        <w:t>邮编：</w:t>
      </w:r>
      <w:r>
        <w:rPr>
          <w:rFonts w:ascii="宋体" w:hAnsi="宋体" w:cs="宋体"/>
          <w:color w:val="auto"/>
          <w:u w:val="dotted"/>
        </w:rPr>
        <w:t xml:space="preserve">                                                </w:t>
      </w:r>
    </w:p>
    <w:p>
      <w:pPr>
        <w:adjustRightInd w:val="0"/>
        <w:snapToGrid w:val="0"/>
        <w:spacing w:line="360" w:lineRule="exact"/>
        <w:outlineLvl w:val="1"/>
        <w:rPr>
          <w:rFonts w:ascii="宋体"/>
          <w:color w:val="auto"/>
        </w:rPr>
      </w:pPr>
      <w:bookmarkStart w:id="262" w:name="_Toc30222"/>
      <w:bookmarkStart w:id="263" w:name="_Toc20123"/>
      <w:bookmarkStart w:id="264" w:name="_Toc4409"/>
      <w:bookmarkStart w:id="265" w:name="_Toc11512"/>
      <w:bookmarkStart w:id="266" w:name="_Toc13274"/>
      <w:bookmarkStart w:id="267" w:name="_Toc663"/>
      <w:bookmarkStart w:id="268" w:name="_Toc2978"/>
      <w:bookmarkStart w:id="269" w:name="_Toc3694"/>
      <w:bookmarkStart w:id="270" w:name="_Toc12179"/>
      <w:bookmarkStart w:id="271" w:name="_Toc9221"/>
      <w:bookmarkStart w:id="272" w:name="_Toc13889"/>
      <w:bookmarkStart w:id="273" w:name="_Toc31363"/>
      <w:bookmarkStart w:id="274" w:name="_Toc226"/>
      <w:bookmarkStart w:id="275" w:name="_Toc32083"/>
      <w:bookmarkStart w:id="276" w:name="_Toc27681"/>
      <w:r>
        <w:rPr>
          <w:rFonts w:hint="eastAsia" w:ascii="宋体" w:hAnsi="宋体" w:cs="宋体"/>
          <w:color w:val="auto"/>
        </w:rPr>
        <w:t>二、质疑项目基本情况</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adjustRightInd w:val="0"/>
        <w:snapToGrid w:val="0"/>
        <w:spacing w:line="360" w:lineRule="exact"/>
        <w:rPr>
          <w:rFonts w:ascii="宋体"/>
          <w:color w:val="auto"/>
        </w:rPr>
      </w:pPr>
      <w:r>
        <w:rPr>
          <w:rFonts w:hint="eastAsia" w:ascii="宋体" w:hAnsi="宋体" w:cs="宋体"/>
          <w:color w:val="auto"/>
        </w:rPr>
        <w:t>质疑项目的名称：</w:t>
      </w:r>
      <w:r>
        <w:rPr>
          <w:rFonts w:ascii="宋体" w:hAnsi="宋体" w:cs="宋体"/>
          <w:color w:val="auto"/>
          <w:u w:val="dotted"/>
        </w:rPr>
        <w:t xml:space="preserve">                                      </w:t>
      </w:r>
    </w:p>
    <w:p>
      <w:pPr>
        <w:adjustRightInd w:val="0"/>
        <w:snapToGrid w:val="0"/>
        <w:spacing w:line="360" w:lineRule="exact"/>
        <w:rPr>
          <w:rFonts w:ascii="宋体"/>
          <w:color w:val="auto"/>
        </w:rPr>
      </w:pPr>
      <w:r>
        <w:rPr>
          <w:rFonts w:hint="eastAsia" w:ascii="宋体" w:hAnsi="宋体" w:cs="宋体"/>
          <w:color w:val="auto"/>
        </w:rPr>
        <w:t>质疑项目的编号：</w:t>
      </w:r>
      <w:r>
        <w:rPr>
          <w:rFonts w:ascii="宋体" w:hAnsi="宋体" w:cs="宋体"/>
          <w:color w:val="auto"/>
          <w:u w:val="dotted"/>
        </w:rPr>
        <w:t xml:space="preserve">               </w:t>
      </w:r>
      <w:r>
        <w:rPr>
          <w:rFonts w:hint="eastAsia" w:ascii="宋体" w:hAnsi="宋体" w:cs="宋体"/>
          <w:color w:val="auto"/>
        </w:rPr>
        <w:t>包号：</w:t>
      </w:r>
      <w:r>
        <w:rPr>
          <w:rFonts w:ascii="宋体" w:hAnsi="宋体" w:cs="宋体"/>
          <w:color w:val="auto"/>
          <w:u w:val="dotted"/>
        </w:rPr>
        <w:t xml:space="preserve">                 </w:t>
      </w:r>
    </w:p>
    <w:p>
      <w:pPr>
        <w:adjustRightInd w:val="0"/>
        <w:snapToGrid w:val="0"/>
        <w:spacing w:line="360" w:lineRule="exact"/>
        <w:rPr>
          <w:rFonts w:ascii="宋体"/>
          <w:color w:val="auto"/>
          <w:u w:val="dotted"/>
        </w:rPr>
      </w:pPr>
      <w:r>
        <w:rPr>
          <w:rFonts w:hint="eastAsia" w:ascii="宋体" w:hAnsi="宋体" w:cs="宋体"/>
          <w:color w:val="auto"/>
        </w:rPr>
        <w:t>采购人名称：</w:t>
      </w:r>
      <w:r>
        <w:rPr>
          <w:rFonts w:ascii="宋体" w:hAnsi="宋体" w:cs="宋体"/>
          <w:color w:val="auto"/>
          <w:u w:val="dotted"/>
        </w:rPr>
        <w:t xml:space="preserve">                                         </w:t>
      </w:r>
    </w:p>
    <w:p>
      <w:pPr>
        <w:adjustRightInd w:val="0"/>
        <w:snapToGrid w:val="0"/>
        <w:spacing w:line="360" w:lineRule="exact"/>
        <w:rPr>
          <w:rFonts w:ascii="宋体"/>
          <w:color w:val="auto"/>
        </w:rPr>
      </w:pPr>
      <w:r>
        <w:rPr>
          <w:rFonts w:hint="eastAsia" w:ascii="宋体" w:hAnsi="宋体" w:cs="宋体"/>
          <w:color w:val="auto"/>
        </w:rPr>
        <w:t>采购文件获取日期：</w:t>
      </w:r>
      <w:r>
        <w:rPr>
          <w:rFonts w:ascii="宋体" w:hAnsi="宋体" w:cs="宋体"/>
          <w:color w:val="auto"/>
          <w:u w:val="dotted"/>
        </w:rPr>
        <w:t xml:space="preserve">                                           </w:t>
      </w:r>
    </w:p>
    <w:p>
      <w:pPr>
        <w:adjustRightInd w:val="0"/>
        <w:snapToGrid w:val="0"/>
        <w:spacing w:line="360" w:lineRule="exact"/>
        <w:outlineLvl w:val="1"/>
        <w:rPr>
          <w:rFonts w:ascii="宋体"/>
          <w:color w:val="auto"/>
        </w:rPr>
      </w:pPr>
      <w:bookmarkStart w:id="277" w:name="_Toc28889"/>
      <w:bookmarkStart w:id="278" w:name="_Toc17609"/>
      <w:bookmarkStart w:id="279" w:name="_Toc12401"/>
      <w:bookmarkStart w:id="280" w:name="_Toc3773"/>
      <w:bookmarkStart w:id="281" w:name="_Toc4900"/>
      <w:bookmarkStart w:id="282" w:name="_Toc21644"/>
      <w:bookmarkStart w:id="283" w:name="_Toc6588"/>
      <w:bookmarkStart w:id="284" w:name="_Toc17103"/>
      <w:bookmarkStart w:id="285" w:name="_Toc21917"/>
      <w:bookmarkStart w:id="286" w:name="_Toc1349"/>
      <w:bookmarkStart w:id="287" w:name="_Toc4978"/>
      <w:bookmarkStart w:id="288" w:name="_Toc11713"/>
      <w:bookmarkStart w:id="289" w:name="_Toc12111"/>
      <w:bookmarkStart w:id="290" w:name="_Toc4484"/>
      <w:bookmarkStart w:id="291" w:name="_Toc17475"/>
      <w:r>
        <w:rPr>
          <w:rFonts w:hint="eastAsia" w:ascii="宋体" w:hAnsi="宋体" w:cs="宋体"/>
          <w:color w:val="auto"/>
        </w:rPr>
        <w:t>三、质疑事项具体内容</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adjustRightInd w:val="0"/>
        <w:snapToGrid w:val="0"/>
        <w:spacing w:line="360" w:lineRule="exact"/>
        <w:rPr>
          <w:rFonts w:ascii="宋体"/>
          <w:color w:val="auto"/>
          <w:u w:val="dotted"/>
        </w:rPr>
      </w:pPr>
      <w:r>
        <w:rPr>
          <w:rFonts w:hint="eastAsia" w:ascii="宋体" w:hAnsi="宋体" w:cs="宋体"/>
          <w:color w:val="auto"/>
        </w:rPr>
        <w:t>质疑事项</w:t>
      </w:r>
      <w:r>
        <w:rPr>
          <w:rFonts w:ascii="宋体" w:hAnsi="宋体" w:cs="宋体"/>
          <w:color w:val="auto"/>
        </w:rPr>
        <w:t>1</w:t>
      </w:r>
      <w:r>
        <w:rPr>
          <w:rFonts w:hint="eastAsia" w:ascii="宋体" w:hAnsi="宋体" w:cs="宋体"/>
          <w:color w:val="auto"/>
        </w:rPr>
        <w:t>：</w:t>
      </w:r>
      <w:r>
        <w:rPr>
          <w:rFonts w:ascii="宋体" w:hAnsi="宋体" w:cs="宋体"/>
          <w:color w:val="auto"/>
          <w:u w:val="dotted"/>
        </w:rPr>
        <w:t xml:space="preserve">                                         </w:t>
      </w:r>
    </w:p>
    <w:p>
      <w:pPr>
        <w:adjustRightInd w:val="0"/>
        <w:snapToGrid w:val="0"/>
        <w:spacing w:line="360" w:lineRule="exact"/>
        <w:rPr>
          <w:rFonts w:ascii="宋体"/>
          <w:color w:val="auto"/>
          <w:u w:val="dotted"/>
        </w:rPr>
      </w:pPr>
      <w:r>
        <w:rPr>
          <w:rFonts w:hint="eastAsia" w:ascii="宋体" w:hAnsi="宋体" w:cs="宋体"/>
          <w:color w:val="auto"/>
        </w:rPr>
        <w:t>事实依据：</w:t>
      </w:r>
      <w:r>
        <w:rPr>
          <w:rFonts w:ascii="宋体" w:hAnsi="宋体" w:cs="宋体"/>
          <w:color w:val="auto"/>
          <w:u w:val="dotted"/>
        </w:rPr>
        <w:t xml:space="preserve">                                          </w:t>
      </w:r>
    </w:p>
    <w:p>
      <w:pPr>
        <w:adjustRightInd w:val="0"/>
        <w:snapToGrid w:val="0"/>
        <w:spacing w:line="360" w:lineRule="exact"/>
        <w:rPr>
          <w:rFonts w:ascii="宋体"/>
          <w:color w:val="auto"/>
        </w:rPr>
      </w:pPr>
      <w:r>
        <w:rPr>
          <w:rFonts w:ascii="宋体" w:hAnsi="宋体" w:cs="宋体"/>
          <w:color w:val="auto"/>
          <w:u w:val="dotted"/>
        </w:rPr>
        <w:t xml:space="preserve">                                                       </w:t>
      </w:r>
    </w:p>
    <w:p>
      <w:pPr>
        <w:adjustRightInd w:val="0"/>
        <w:snapToGrid w:val="0"/>
        <w:spacing w:line="360" w:lineRule="exact"/>
        <w:rPr>
          <w:rFonts w:ascii="宋体"/>
          <w:color w:val="auto"/>
          <w:u w:val="dotted"/>
        </w:rPr>
      </w:pPr>
      <w:r>
        <w:rPr>
          <w:rFonts w:hint="eastAsia" w:ascii="宋体" w:hAnsi="宋体" w:cs="宋体"/>
          <w:color w:val="auto"/>
        </w:rPr>
        <w:t>法律依据：</w:t>
      </w:r>
      <w:r>
        <w:rPr>
          <w:rFonts w:ascii="宋体" w:hAnsi="宋体" w:cs="宋体"/>
          <w:color w:val="auto"/>
          <w:u w:val="dotted"/>
        </w:rPr>
        <w:t xml:space="preserve">                                          </w:t>
      </w:r>
    </w:p>
    <w:p>
      <w:pPr>
        <w:adjustRightInd w:val="0"/>
        <w:snapToGrid w:val="0"/>
        <w:spacing w:line="360" w:lineRule="exact"/>
        <w:rPr>
          <w:rFonts w:ascii="宋体"/>
          <w:color w:val="auto"/>
          <w:u w:val="dotted"/>
        </w:rPr>
      </w:pPr>
      <w:r>
        <w:rPr>
          <w:rFonts w:ascii="宋体" w:hAnsi="宋体" w:cs="宋体"/>
          <w:color w:val="auto"/>
          <w:u w:val="dotted"/>
        </w:rPr>
        <w:t xml:space="preserve">                                                     </w:t>
      </w:r>
    </w:p>
    <w:p>
      <w:pPr>
        <w:adjustRightInd w:val="0"/>
        <w:snapToGrid w:val="0"/>
        <w:spacing w:line="360" w:lineRule="exact"/>
        <w:rPr>
          <w:rFonts w:ascii="宋体"/>
          <w:color w:val="auto"/>
          <w:u w:val="dotted"/>
        </w:rPr>
      </w:pPr>
      <w:r>
        <w:rPr>
          <w:rFonts w:hint="eastAsia" w:ascii="宋体" w:hAnsi="宋体" w:cs="宋体"/>
          <w:color w:val="auto"/>
        </w:rPr>
        <w:t>质疑事项</w:t>
      </w:r>
      <w:r>
        <w:rPr>
          <w:rFonts w:ascii="宋体" w:hAnsi="宋体" w:cs="宋体"/>
          <w:color w:val="auto"/>
        </w:rPr>
        <w:t>2</w:t>
      </w:r>
    </w:p>
    <w:p>
      <w:pPr>
        <w:adjustRightInd w:val="0"/>
        <w:snapToGrid w:val="0"/>
        <w:spacing w:line="360" w:lineRule="exact"/>
        <w:rPr>
          <w:rFonts w:ascii="宋体"/>
          <w:color w:val="auto"/>
        </w:rPr>
      </w:pPr>
      <w:r>
        <w:rPr>
          <w:rFonts w:hint="eastAsia" w:ascii="宋体" w:hAnsi="宋体" w:cs="宋体"/>
          <w:color w:val="auto"/>
        </w:rPr>
        <w:t>……</w:t>
      </w:r>
    </w:p>
    <w:p>
      <w:pPr>
        <w:adjustRightInd w:val="0"/>
        <w:snapToGrid w:val="0"/>
        <w:spacing w:line="360" w:lineRule="exact"/>
        <w:outlineLvl w:val="1"/>
        <w:rPr>
          <w:rFonts w:ascii="宋体"/>
          <w:color w:val="auto"/>
        </w:rPr>
      </w:pPr>
      <w:bookmarkStart w:id="292" w:name="_Toc25423"/>
      <w:bookmarkStart w:id="293" w:name="_Toc19561"/>
      <w:bookmarkStart w:id="294" w:name="_Toc29909"/>
      <w:bookmarkStart w:id="295" w:name="_Toc11900"/>
      <w:bookmarkStart w:id="296" w:name="_Toc12953"/>
      <w:bookmarkStart w:id="297" w:name="_Toc20101"/>
      <w:bookmarkStart w:id="298" w:name="_Toc11725"/>
      <w:bookmarkStart w:id="299" w:name="_Toc30785"/>
      <w:bookmarkStart w:id="300" w:name="_Toc19138"/>
      <w:bookmarkStart w:id="301" w:name="_Toc19830"/>
      <w:bookmarkStart w:id="302" w:name="_Toc31962"/>
      <w:bookmarkStart w:id="303" w:name="_Toc14716"/>
      <w:bookmarkStart w:id="304" w:name="_Toc14902"/>
      <w:bookmarkStart w:id="305" w:name="_Toc15774"/>
      <w:bookmarkStart w:id="306" w:name="_Toc11711"/>
      <w:r>
        <w:rPr>
          <w:rFonts w:hint="eastAsia" w:ascii="宋体" w:hAnsi="宋体" w:cs="宋体"/>
          <w:color w:val="auto"/>
        </w:rPr>
        <w:t>四、与质疑事项相关的质疑请求</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exact"/>
        <w:rPr>
          <w:rFonts w:ascii="宋体"/>
          <w:color w:val="auto"/>
          <w:u w:val="dotted"/>
        </w:rPr>
      </w:pPr>
      <w:r>
        <w:rPr>
          <w:rFonts w:hint="eastAsia" w:ascii="宋体" w:hAnsi="宋体" w:cs="宋体"/>
          <w:color w:val="auto"/>
        </w:rPr>
        <w:t>请求：</w:t>
      </w:r>
      <w:r>
        <w:rPr>
          <w:rFonts w:ascii="宋体" w:hAnsi="宋体" w:cs="宋体"/>
          <w:color w:val="auto"/>
          <w:u w:val="dotted"/>
        </w:rPr>
        <w:t xml:space="preserve">                                               </w:t>
      </w:r>
    </w:p>
    <w:p>
      <w:pPr>
        <w:spacing w:line="360" w:lineRule="exact"/>
        <w:rPr>
          <w:rFonts w:ascii="宋体"/>
          <w:color w:val="auto"/>
        </w:rPr>
      </w:pPr>
      <w:r>
        <w:rPr>
          <w:rFonts w:hint="eastAsia" w:ascii="宋体" w:hAnsi="宋体" w:cs="宋体"/>
          <w:color w:val="auto"/>
        </w:rPr>
        <w:t>签字</w:t>
      </w:r>
      <w:r>
        <w:rPr>
          <w:rFonts w:ascii="宋体" w:hAnsi="宋体" w:cs="宋体"/>
          <w:color w:val="auto"/>
        </w:rPr>
        <w:t>(</w:t>
      </w:r>
      <w:r>
        <w:rPr>
          <w:rFonts w:hint="eastAsia" w:ascii="宋体" w:hAnsi="宋体" w:cs="宋体"/>
          <w:color w:val="auto"/>
        </w:rPr>
        <w:t>签章</w:t>
      </w:r>
      <w:r>
        <w:rPr>
          <w:rFonts w:ascii="宋体" w:hAnsi="宋体" w:cs="宋体"/>
          <w:color w:val="auto"/>
        </w:rPr>
        <w:t>)</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公章：</w:t>
      </w:r>
      <w:r>
        <w:rPr>
          <w:rFonts w:ascii="宋体" w:hAnsi="宋体" w:cs="宋体"/>
          <w:color w:val="auto"/>
        </w:rPr>
        <w:t xml:space="preserve">                      </w:t>
      </w:r>
    </w:p>
    <w:p>
      <w:pPr>
        <w:spacing w:line="360" w:lineRule="exact"/>
        <w:rPr>
          <w:rFonts w:ascii="宋体"/>
          <w:color w:val="auto"/>
        </w:rPr>
      </w:pPr>
      <w:r>
        <w:rPr>
          <w:rFonts w:hint="eastAsia" w:ascii="宋体" w:hAnsi="宋体" w:cs="宋体"/>
          <w:color w:val="auto"/>
        </w:rPr>
        <w:t>日期：</w:t>
      </w:r>
      <w:r>
        <w:rPr>
          <w:rFonts w:ascii="宋体" w:hAnsi="宋体" w:cs="宋体"/>
          <w:color w:val="auto"/>
        </w:rPr>
        <w:t xml:space="preserve">    </w:t>
      </w:r>
    </w:p>
    <w:p>
      <w:pPr>
        <w:rPr>
          <w:rFonts w:ascii="宋体"/>
          <w:b/>
          <w:bCs/>
          <w:color w:val="auto"/>
        </w:rPr>
      </w:pPr>
      <w:r>
        <w:rPr>
          <w:rFonts w:hint="eastAsia" w:ascii="宋体" w:hAnsi="宋体" w:cs="宋体"/>
          <w:b/>
          <w:bCs/>
          <w:color w:val="auto"/>
        </w:rPr>
        <w:t>质疑函制作说明：</w:t>
      </w:r>
    </w:p>
    <w:p>
      <w:pPr>
        <w:widowControl/>
        <w:ind w:firstLine="420" w:firstLineChars="200"/>
        <w:jc w:val="left"/>
        <w:rPr>
          <w:rFonts w:ascii="宋体"/>
          <w:color w:val="auto"/>
        </w:rPr>
      </w:pPr>
      <w:r>
        <w:rPr>
          <w:rFonts w:ascii="宋体" w:hAnsi="宋体" w:cs="宋体"/>
          <w:color w:val="auto"/>
        </w:rPr>
        <w:t>1.</w:t>
      </w:r>
      <w:r>
        <w:rPr>
          <w:rFonts w:hint="eastAsia" w:ascii="宋体" w:hAnsi="宋体" w:cs="宋体"/>
          <w:color w:val="auto"/>
        </w:rPr>
        <w:t>供应商提出质疑时，应提交质疑函和必要的证明材料。</w:t>
      </w:r>
    </w:p>
    <w:p>
      <w:pPr>
        <w:widowControl/>
        <w:ind w:firstLine="420" w:firstLineChars="200"/>
        <w:jc w:val="left"/>
        <w:rPr>
          <w:rFonts w:ascii="宋体"/>
          <w:color w:val="auto"/>
        </w:rPr>
      </w:pPr>
      <w:r>
        <w:rPr>
          <w:rFonts w:ascii="宋体" w:hAnsi="宋体" w:cs="宋体"/>
          <w:color w:val="auto"/>
        </w:rPr>
        <w:t>2.</w:t>
      </w:r>
      <w:r>
        <w:rPr>
          <w:rFonts w:hint="eastAsia" w:ascii="宋体" w:hAnsi="宋体" w:cs="宋体"/>
          <w:color w:val="auto"/>
        </w:rPr>
        <w:t>质疑供应商若委托代理人进行质疑的，质疑函应按要求列明“授权代表”的有关内容，并在附件中提交由质疑</w:t>
      </w:r>
      <w:r>
        <w:rPr>
          <w:rFonts w:hint="eastAsia" w:ascii="宋体" w:hAnsi="宋体" w:cs="宋体"/>
          <w:color w:val="auto"/>
          <w:kern w:val="0"/>
        </w:rPr>
        <w:t>供应商签署的授权委托书。授权委托书应载明代理人的姓名或者名称、代理事项、具体权限、期限和相关事项。</w:t>
      </w:r>
    </w:p>
    <w:p>
      <w:pPr>
        <w:widowControl/>
        <w:ind w:firstLine="420" w:firstLineChars="200"/>
        <w:jc w:val="left"/>
        <w:rPr>
          <w:rFonts w:ascii="宋体"/>
          <w:color w:val="auto"/>
        </w:rPr>
      </w:pPr>
      <w:r>
        <w:rPr>
          <w:rFonts w:ascii="宋体" w:hAnsi="宋体" w:cs="宋体"/>
          <w:color w:val="auto"/>
        </w:rPr>
        <w:t>3.</w:t>
      </w:r>
      <w:r>
        <w:rPr>
          <w:rFonts w:hint="eastAsia" w:ascii="宋体" w:hAnsi="宋体" w:cs="宋体"/>
          <w:color w:val="auto"/>
        </w:rPr>
        <w:t>质疑供应商若对项目的某一分包进行质疑，质疑函中应列明具体分包号。</w:t>
      </w:r>
    </w:p>
    <w:p>
      <w:pPr>
        <w:widowControl/>
        <w:ind w:firstLine="420" w:firstLineChars="200"/>
        <w:jc w:val="left"/>
        <w:rPr>
          <w:rFonts w:ascii="宋体"/>
          <w:color w:val="auto"/>
        </w:rPr>
      </w:pPr>
      <w:r>
        <w:rPr>
          <w:rFonts w:ascii="宋体" w:hAnsi="宋体" w:cs="宋体"/>
          <w:color w:val="auto"/>
        </w:rPr>
        <w:t>4.</w:t>
      </w:r>
      <w:r>
        <w:rPr>
          <w:rFonts w:hint="eastAsia" w:ascii="宋体" w:hAnsi="宋体" w:cs="宋体"/>
          <w:color w:val="auto"/>
        </w:rPr>
        <w:t>质疑函的质疑事项应具体、明确，并有必要的事实依据和法律依据。</w:t>
      </w:r>
    </w:p>
    <w:p>
      <w:pPr>
        <w:widowControl/>
        <w:ind w:firstLine="420" w:firstLineChars="200"/>
        <w:jc w:val="left"/>
        <w:rPr>
          <w:rFonts w:ascii="宋体"/>
          <w:color w:val="auto"/>
        </w:rPr>
      </w:pPr>
      <w:r>
        <w:rPr>
          <w:rFonts w:ascii="宋体" w:hAnsi="宋体" w:cs="宋体"/>
          <w:color w:val="auto"/>
        </w:rPr>
        <w:t>5.</w:t>
      </w:r>
      <w:r>
        <w:rPr>
          <w:rFonts w:hint="eastAsia" w:ascii="宋体" w:hAnsi="宋体" w:cs="宋体"/>
          <w:color w:val="auto"/>
        </w:rPr>
        <w:t>质疑函的质疑请求应与质疑事项相关。</w:t>
      </w:r>
    </w:p>
    <w:p>
      <w:pPr>
        <w:widowControl/>
        <w:ind w:firstLine="420" w:firstLineChars="200"/>
        <w:jc w:val="left"/>
        <w:rPr>
          <w:rFonts w:ascii="宋体"/>
          <w:color w:val="auto"/>
        </w:rPr>
      </w:pPr>
      <w:r>
        <w:rPr>
          <w:rFonts w:ascii="宋体" w:hAnsi="宋体" w:cs="宋体"/>
          <w:color w:val="auto"/>
        </w:rPr>
        <w:t>6.</w:t>
      </w:r>
      <w:r>
        <w:rPr>
          <w:rFonts w:hint="eastAsia" w:ascii="宋体" w:hAnsi="宋体" w:cs="宋体"/>
          <w:color w:val="auto"/>
        </w:rPr>
        <w:t>质疑供应商为自然人的，质疑函应由本人签字；质疑供应商为法人或者其他组织的，质疑函应由法定代表人、主要负责人，或者其授权代表签字或者盖章，并加盖公章。</w:t>
      </w:r>
    </w:p>
    <w:p>
      <w:pPr>
        <w:pStyle w:val="4"/>
        <w:spacing w:before="0" w:line="240" w:lineRule="atLeast"/>
        <w:jc w:val="both"/>
        <w:rPr>
          <w:rFonts w:ascii="宋体" w:hAnsi="宋体" w:eastAsia="宋体" w:cs="Times New Roman"/>
          <w:color w:val="auto"/>
          <w:sz w:val="21"/>
          <w:szCs w:val="21"/>
        </w:rPr>
      </w:pPr>
      <w:bookmarkStart w:id="307" w:name="_Toc21748"/>
      <w:bookmarkStart w:id="308" w:name="_Toc515647799"/>
      <w:bookmarkStart w:id="309" w:name="_Toc26168"/>
      <w:bookmarkStart w:id="310" w:name="_Toc16186"/>
      <w:bookmarkStart w:id="311" w:name="_Toc22796"/>
      <w:bookmarkStart w:id="312" w:name="_Toc18045"/>
      <w:bookmarkStart w:id="313" w:name="_Toc9538"/>
      <w:bookmarkStart w:id="314" w:name="_Toc350"/>
    </w:p>
    <w:p>
      <w:pPr>
        <w:rPr>
          <w:rFonts w:ascii="宋体"/>
          <w:color w:val="auto"/>
        </w:rPr>
      </w:pPr>
    </w:p>
    <w:p>
      <w:pPr>
        <w:pStyle w:val="40"/>
        <w:numPr>
          <w:ilvl w:val="1"/>
          <w:numId w:val="0"/>
        </w:numPr>
        <w:rPr>
          <w:rFonts w:cs="Times New Roman"/>
          <w:color w:val="auto"/>
        </w:rPr>
      </w:pPr>
    </w:p>
    <w:p>
      <w:pPr>
        <w:rPr>
          <w:color w:val="auto"/>
        </w:rPr>
      </w:pPr>
    </w:p>
    <w:p>
      <w:pPr>
        <w:pStyle w:val="40"/>
        <w:numPr>
          <w:ilvl w:val="1"/>
          <w:numId w:val="0"/>
        </w:numPr>
        <w:ind w:left="1134"/>
        <w:rPr>
          <w:rFonts w:cs="Times New Roman"/>
          <w:color w:val="auto"/>
        </w:rPr>
      </w:pPr>
    </w:p>
    <w:p>
      <w:pPr>
        <w:pStyle w:val="40"/>
        <w:numPr>
          <w:ilvl w:val="1"/>
          <w:numId w:val="0"/>
        </w:numPr>
        <w:ind w:left="1134"/>
        <w:rPr>
          <w:rFonts w:cs="Times New Roman"/>
          <w:color w:val="auto"/>
        </w:rPr>
      </w:pPr>
    </w:p>
    <w:p>
      <w:pPr>
        <w:rPr>
          <w:color w:val="auto"/>
        </w:rPr>
      </w:pPr>
    </w:p>
    <w:p>
      <w:pPr>
        <w:pStyle w:val="4"/>
        <w:spacing w:before="0" w:line="200" w:lineRule="exact"/>
        <w:jc w:val="left"/>
        <w:rPr>
          <w:rFonts w:ascii="宋体" w:hAnsi="宋体" w:eastAsia="宋体" w:cs="Times New Roman"/>
          <w:color w:val="auto"/>
          <w:sz w:val="21"/>
          <w:szCs w:val="21"/>
        </w:rPr>
      </w:pPr>
      <w:bookmarkStart w:id="315" w:name="_Toc20400"/>
      <w:bookmarkStart w:id="316" w:name="_Toc24453"/>
      <w:bookmarkStart w:id="317" w:name="_Toc24982"/>
      <w:bookmarkStart w:id="318" w:name="_Toc2377"/>
      <w:bookmarkStart w:id="319" w:name="_Toc30767"/>
      <w:bookmarkStart w:id="320" w:name="_Toc2061"/>
      <w:bookmarkStart w:id="321" w:name="_Toc30320"/>
      <w:bookmarkStart w:id="322" w:name="_Toc26999"/>
      <w:bookmarkStart w:id="323" w:name="_Toc21673"/>
      <w:bookmarkStart w:id="324" w:name="_Toc32229"/>
      <w:bookmarkStart w:id="325" w:name="_Toc30924"/>
      <w:bookmarkStart w:id="326" w:name="_Toc19077"/>
      <w:bookmarkStart w:id="327" w:name="_Toc7137"/>
      <w:bookmarkStart w:id="328" w:name="_Toc11158"/>
      <w:r>
        <w:rPr>
          <w:rFonts w:hint="eastAsia" w:ascii="宋体" w:hAnsi="宋体" w:eastAsia="宋体" w:cs="宋体"/>
          <w:color w:val="auto"/>
          <w:sz w:val="21"/>
          <w:szCs w:val="21"/>
        </w:rPr>
        <w:t>附件</w:t>
      </w:r>
      <w:r>
        <w:rPr>
          <w:rFonts w:ascii="宋体" w:hAnsi="宋体" w:eastAsia="宋体" w:cs="宋体"/>
          <w:color w:val="auto"/>
          <w:sz w:val="21"/>
          <w:szCs w:val="21"/>
        </w:rPr>
        <w:t>1</w:t>
      </w:r>
      <w:r>
        <w:rPr>
          <w:rFonts w:hint="eastAsia" w:ascii="宋体" w:hAnsi="宋体" w:eastAsia="宋体" w:cs="宋体"/>
          <w:color w:val="auto"/>
          <w:sz w:val="21"/>
          <w:szCs w:val="21"/>
        </w:rPr>
        <w:t>：履约保证金保函（格式）</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pStyle w:val="12"/>
        <w:spacing w:line="200" w:lineRule="exact"/>
        <w:ind w:hanging="540"/>
        <w:rPr>
          <w:rFonts w:hAnsi="宋体" w:cs="Times New Roman"/>
          <w:b/>
          <w:bCs/>
          <w:color w:val="auto"/>
        </w:rPr>
      </w:pPr>
      <w:r>
        <w:rPr>
          <w:rFonts w:hAnsi="宋体"/>
          <w:b/>
          <w:bCs/>
          <w:color w:val="auto"/>
        </w:rPr>
        <w:t xml:space="preserve">                         </w:t>
      </w:r>
      <w:r>
        <w:rPr>
          <w:rFonts w:hint="eastAsia" w:hAnsi="宋体"/>
          <w:b/>
          <w:bCs/>
          <w:color w:val="auto"/>
        </w:rPr>
        <w:t>（中标后开具）</w:t>
      </w:r>
    </w:p>
    <w:p>
      <w:pPr>
        <w:pStyle w:val="12"/>
        <w:spacing w:line="200" w:lineRule="exact"/>
        <w:ind w:hanging="540"/>
        <w:rPr>
          <w:rFonts w:hAnsi="宋体" w:cs="Times New Roman"/>
          <w:b/>
          <w:bCs/>
          <w:color w:val="auto"/>
        </w:rPr>
      </w:pPr>
    </w:p>
    <w:p>
      <w:pPr>
        <w:pStyle w:val="12"/>
        <w:spacing w:line="200" w:lineRule="exact"/>
        <w:rPr>
          <w:rFonts w:hAnsi="宋体"/>
          <w:color w:val="auto"/>
        </w:rPr>
      </w:pPr>
      <w:r>
        <w:rPr>
          <w:rFonts w:hint="eastAsia" w:hAnsi="宋体"/>
          <w:color w:val="auto"/>
        </w:rPr>
        <w:t>致</w:t>
      </w:r>
      <w:r>
        <w:rPr>
          <w:rFonts w:hAnsi="宋体"/>
          <w:color w:val="auto"/>
        </w:rPr>
        <w:t>: (</w:t>
      </w:r>
      <w:r>
        <w:rPr>
          <w:rFonts w:hint="eastAsia" w:hAnsi="宋体"/>
          <w:i/>
          <w:iCs/>
          <w:color w:val="auto"/>
          <w:u w:val="single"/>
        </w:rPr>
        <w:t>买方名称</w:t>
      </w:r>
      <w:r>
        <w:rPr>
          <w:rFonts w:hAnsi="宋体"/>
          <w:color w:val="auto"/>
        </w:rPr>
        <w:t>)</w:t>
      </w:r>
    </w:p>
    <w:p>
      <w:pPr>
        <w:pStyle w:val="12"/>
        <w:spacing w:line="200" w:lineRule="exact"/>
        <w:ind w:hanging="540"/>
        <w:jc w:val="center"/>
        <w:rPr>
          <w:rFonts w:hAnsi="宋体" w:cs="Times New Roman"/>
          <w:color w:val="auto"/>
        </w:rPr>
      </w:pPr>
      <w:r>
        <w:rPr>
          <w:rFonts w:hAnsi="宋体"/>
          <w:color w:val="auto"/>
          <w:u w:val="single"/>
        </w:rPr>
        <w:t xml:space="preserve">             </w:t>
      </w:r>
      <w:r>
        <w:rPr>
          <w:rFonts w:hint="eastAsia" w:hAnsi="宋体"/>
          <w:color w:val="auto"/>
        </w:rPr>
        <w:t>号合同履约保函</w:t>
      </w:r>
    </w:p>
    <w:p>
      <w:pPr>
        <w:pStyle w:val="12"/>
        <w:spacing w:line="200" w:lineRule="exact"/>
        <w:ind w:hanging="540"/>
        <w:jc w:val="center"/>
        <w:rPr>
          <w:rFonts w:hAnsi="宋体" w:cs="Times New Roman"/>
          <w:color w:val="auto"/>
        </w:rPr>
      </w:pPr>
    </w:p>
    <w:p>
      <w:pPr>
        <w:pStyle w:val="12"/>
        <w:spacing w:line="200" w:lineRule="exact"/>
        <w:ind w:firstLine="525" w:firstLineChars="250"/>
        <w:rPr>
          <w:rFonts w:hAnsi="宋体" w:cs="Times New Roman"/>
          <w:color w:val="auto"/>
        </w:rPr>
      </w:pPr>
      <w:r>
        <w:rPr>
          <w:rFonts w:hint="eastAsia" w:hAnsi="宋体"/>
          <w:color w:val="auto"/>
        </w:rPr>
        <w:t>本保函作为贵方与</w:t>
      </w:r>
      <w:r>
        <w:rPr>
          <w:rFonts w:hAnsi="宋体"/>
          <w:color w:val="auto"/>
        </w:rPr>
        <w:t>(</w:t>
      </w:r>
      <w:r>
        <w:rPr>
          <w:rFonts w:hint="eastAsia" w:hAnsi="宋体"/>
          <w:i/>
          <w:iCs/>
          <w:color w:val="auto"/>
          <w:u w:val="single"/>
        </w:rPr>
        <w:t>卖方名称</w:t>
      </w:r>
      <w:r>
        <w:rPr>
          <w:rFonts w:hAnsi="宋体"/>
          <w:color w:val="auto"/>
        </w:rPr>
        <w:t>)(</w:t>
      </w:r>
      <w:r>
        <w:rPr>
          <w:rFonts w:hint="eastAsia" w:hAnsi="宋体"/>
          <w:color w:val="auto"/>
        </w:rPr>
        <w:t>以下简称卖方</w:t>
      </w:r>
      <w:r>
        <w:rPr>
          <w:rFonts w:hAnsi="宋体"/>
          <w:color w:val="auto"/>
        </w:rPr>
        <w:t>)</w:t>
      </w:r>
      <w:r>
        <w:rPr>
          <w:rFonts w:hint="eastAsia" w:hAnsi="宋体"/>
          <w:color w:val="auto"/>
        </w:rPr>
        <w:t>于</w:t>
      </w: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日就</w:t>
      </w:r>
      <w:r>
        <w:rPr>
          <w:rFonts w:hAnsi="宋体"/>
          <w:color w:val="auto"/>
          <w:u w:val="single"/>
        </w:rPr>
        <w:t xml:space="preserve">                  </w:t>
      </w:r>
      <w:r>
        <w:rPr>
          <w:rFonts w:hint="eastAsia" w:hAnsi="宋体"/>
          <w:color w:val="auto"/>
        </w:rPr>
        <w:t>项目</w:t>
      </w:r>
      <w:r>
        <w:rPr>
          <w:rFonts w:hAnsi="宋体"/>
          <w:color w:val="auto"/>
        </w:rPr>
        <w:t>(</w:t>
      </w:r>
      <w:r>
        <w:rPr>
          <w:rFonts w:hint="eastAsia" w:hAnsi="宋体"/>
          <w:color w:val="auto"/>
        </w:rPr>
        <w:t>以下简称项目</w:t>
      </w:r>
      <w:r>
        <w:rPr>
          <w:rFonts w:hAnsi="宋体"/>
          <w:color w:val="auto"/>
        </w:rPr>
        <w:t>)</w:t>
      </w:r>
      <w:r>
        <w:rPr>
          <w:rFonts w:hint="eastAsia" w:hAnsi="宋体"/>
          <w:color w:val="auto"/>
        </w:rPr>
        <w:t>项下提供</w:t>
      </w:r>
      <w:r>
        <w:rPr>
          <w:rFonts w:hAnsi="宋体"/>
          <w:color w:val="auto"/>
        </w:rPr>
        <w:t>(</w:t>
      </w:r>
      <w:r>
        <w:rPr>
          <w:rFonts w:hint="eastAsia" w:hAnsi="宋体"/>
          <w:i/>
          <w:iCs/>
          <w:color w:val="auto"/>
          <w:u w:val="single"/>
        </w:rPr>
        <w:t>货物名称</w:t>
      </w:r>
      <w:r>
        <w:rPr>
          <w:rFonts w:hAnsi="宋体"/>
          <w:color w:val="auto"/>
        </w:rPr>
        <w:t>)(</w:t>
      </w:r>
      <w:r>
        <w:rPr>
          <w:rFonts w:hint="eastAsia" w:hAnsi="宋体"/>
          <w:color w:val="auto"/>
        </w:rPr>
        <w:t>以下简称货物</w:t>
      </w:r>
      <w:r>
        <w:rPr>
          <w:rFonts w:hAnsi="宋体"/>
          <w:color w:val="auto"/>
        </w:rPr>
        <w:t>)</w:t>
      </w:r>
      <w:r>
        <w:rPr>
          <w:rFonts w:hint="eastAsia" w:hAnsi="宋体"/>
          <w:color w:val="auto"/>
        </w:rPr>
        <w:t>签订的</w:t>
      </w:r>
      <w:r>
        <w:rPr>
          <w:rFonts w:hAnsi="宋体"/>
          <w:color w:val="auto"/>
        </w:rPr>
        <w:t>(</w:t>
      </w:r>
      <w:r>
        <w:rPr>
          <w:rFonts w:hint="eastAsia" w:hAnsi="宋体"/>
          <w:i/>
          <w:iCs/>
          <w:color w:val="auto"/>
          <w:u w:val="single"/>
        </w:rPr>
        <w:t>合同号</w:t>
      </w:r>
      <w:r>
        <w:rPr>
          <w:rFonts w:hAnsi="宋体"/>
          <w:color w:val="auto"/>
        </w:rPr>
        <w:t>)</w:t>
      </w:r>
      <w:r>
        <w:rPr>
          <w:rFonts w:hint="eastAsia" w:hAnsi="宋体"/>
          <w:color w:val="auto"/>
        </w:rPr>
        <w:t>号合同的履约保函。</w:t>
      </w:r>
    </w:p>
    <w:p>
      <w:pPr>
        <w:pStyle w:val="12"/>
        <w:spacing w:line="240" w:lineRule="atLeast"/>
        <w:ind w:firstLine="472" w:firstLineChars="225"/>
        <w:rPr>
          <w:rFonts w:hAnsi="宋体"/>
          <w:color w:val="auto"/>
        </w:rPr>
      </w:pPr>
      <w:r>
        <w:rPr>
          <w:rFonts w:hAnsi="宋体"/>
          <w:color w:val="auto"/>
        </w:rPr>
        <w:t>(</w:t>
      </w:r>
      <w:r>
        <w:rPr>
          <w:rFonts w:hint="eastAsia" w:hAnsi="宋体"/>
          <w:i/>
          <w:iCs/>
          <w:color w:val="auto"/>
          <w:u w:val="single"/>
        </w:rPr>
        <w:t>出具保函的银行名称</w:t>
      </w:r>
      <w:r>
        <w:rPr>
          <w:rFonts w:hAnsi="宋体"/>
          <w:color w:val="auto"/>
        </w:rPr>
        <w:t>)(</w:t>
      </w:r>
      <w:r>
        <w:rPr>
          <w:rFonts w:hint="eastAsia" w:hAnsi="宋体"/>
          <w:color w:val="auto"/>
        </w:rPr>
        <w:t>以下简称银行</w:t>
      </w:r>
      <w:r>
        <w:rPr>
          <w:rFonts w:hAnsi="宋体"/>
          <w:color w:val="auto"/>
        </w:rPr>
        <w:t>)</w:t>
      </w:r>
      <w:r>
        <w:rPr>
          <w:rFonts w:hint="eastAsia" w:hAnsi="宋体"/>
          <w:color w:val="auto"/>
        </w:rPr>
        <w:t>无条件地、不可撤销地具结保证本行、其继承人和受让人无追索地向贵方以</w:t>
      </w:r>
      <w:r>
        <w:rPr>
          <w:rFonts w:hAnsi="宋体"/>
          <w:color w:val="auto"/>
        </w:rPr>
        <w:t>(</w:t>
      </w:r>
      <w:r>
        <w:rPr>
          <w:rFonts w:hint="eastAsia" w:hAnsi="宋体"/>
          <w:i/>
          <w:iCs/>
          <w:color w:val="auto"/>
          <w:u w:val="single"/>
        </w:rPr>
        <w:t>货币名称</w:t>
      </w:r>
      <w:r>
        <w:rPr>
          <w:rFonts w:hAnsi="宋体"/>
          <w:color w:val="auto"/>
        </w:rPr>
        <w:t>)</w:t>
      </w:r>
      <w:r>
        <w:rPr>
          <w:rFonts w:hint="eastAsia" w:hAnsi="宋体"/>
          <w:color w:val="auto"/>
        </w:rPr>
        <w:t>支付总额不超过</w:t>
      </w:r>
      <w:r>
        <w:rPr>
          <w:rFonts w:hAnsi="宋体"/>
          <w:color w:val="auto"/>
        </w:rPr>
        <w:t>(</w:t>
      </w:r>
      <w:r>
        <w:rPr>
          <w:rFonts w:hint="eastAsia" w:hAnsi="宋体"/>
          <w:i/>
          <w:iCs/>
          <w:color w:val="auto"/>
          <w:u w:val="single"/>
        </w:rPr>
        <w:t>货币数量</w:t>
      </w:r>
      <w:r>
        <w:rPr>
          <w:rFonts w:hAnsi="宋体"/>
          <w:color w:val="auto"/>
        </w:rPr>
        <w:t>),</w:t>
      </w:r>
      <w:r>
        <w:rPr>
          <w:rFonts w:hint="eastAsia" w:hAnsi="宋体"/>
          <w:color w:val="auto"/>
        </w:rPr>
        <w:t>即相当于合同价格的</w:t>
      </w:r>
      <w:r>
        <w:rPr>
          <w:rFonts w:hAnsi="宋体"/>
          <w:color w:val="auto"/>
          <w:u w:val="single"/>
        </w:rPr>
        <w:t xml:space="preserve">     </w:t>
      </w:r>
      <w:r>
        <w:rPr>
          <w:rFonts w:hAnsi="宋体"/>
          <w:color w:val="auto"/>
        </w:rPr>
        <w:t>%,</w:t>
      </w:r>
      <w:r>
        <w:rPr>
          <w:rFonts w:hint="eastAsia" w:hAnsi="宋体"/>
          <w:color w:val="auto"/>
        </w:rPr>
        <w:t>并以此约定如下</w:t>
      </w:r>
      <w:r>
        <w:rPr>
          <w:rFonts w:hAnsi="宋体"/>
          <w:color w:val="auto"/>
        </w:rPr>
        <w:t>:</w:t>
      </w:r>
    </w:p>
    <w:p>
      <w:pPr>
        <w:pStyle w:val="12"/>
        <w:spacing w:line="240" w:lineRule="atLeast"/>
        <w:ind w:left="540" w:leftChars="257"/>
        <w:rPr>
          <w:rFonts w:hAnsi="宋体" w:cs="Times New Roman"/>
          <w:color w:val="auto"/>
        </w:rPr>
      </w:pPr>
      <w:r>
        <w:rPr>
          <w:rFonts w:hAnsi="宋体"/>
          <w:color w:val="auto"/>
        </w:rPr>
        <w:t>1.</w:t>
      </w:r>
      <w:r>
        <w:rPr>
          <w:rFonts w:hint="eastAsia" w:hAnsi="宋体"/>
          <w:color w:val="auto"/>
        </w:rPr>
        <w:t>只要贵方确定卖方未能忠实地履行所有合同文件的规定和双方此后一致</w:t>
      </w:r>
      <w:r>
        <w:rPr>
          <w:rFonts w:hAnsi="宋体"/>
          <w:color w:val="auto"/>
        </w:rPr>
        <w:t xml:space="preserve"> </w:t>
      </w:r>
      <w:r>
        <w:rPr>
          <w:rFonts w:hint="eastAsia" w:hAnsi="宋体"/>
          <w:color w:val="auto"/>
        </w:rPr>
        <w:t>同意的修改、补充和变动</w:t>
      </w:r>
      <w:r>
        <w:rPr>
          <w:rFonts w:hAnsi="宋体"/>
          <w:color w:val="auto"/>
        </w:rPr>
        <w:t>,</w:t>
      </w:r>
      <w:r>
        <w:rPr>
          <w:rFonts w:hint="eastAsia" w:hAnsi="宋体"/>
          <w:color w:val="auto"/>
        </w:rPr>
        <w:t>包括更改和</w:t>
      </w:r>
      <w:r>
        <w:rPr>
          <w:rFonts w:hAnsi="宋体"/>
          <w:color w:val="auto"/>
        </w:rPr>
        <w:t>/</w:t>
      </w:r>
      <w:r>
        <w:rPr>
          <w:rFonts w:hint="eastAsia" w:hAnsi="宋体"/>
          <w:color w:val="auto"/>
        </w:rPr>
        <w:t>或修补贵方认为有缺陷的货物</w:t>
      </w:r>
      <w:r>
        <w:rPr>
          <w:rFonts w:hAnsi="宋体"/>
          <w:color w:val="auto"/>
        </w:rPr>
        <w:t>(</w:t>
      </w:r>
      <w:r>
        <w:rPr>
          <w:rFonts w:hint="eastAsia" w:hAnsi="宋体"/>
          <w:color w:val="auto"/>
        </w:rPr>
        <w:t>以下简称违约</w:t>
      </w:r>
      <w:r>
        <w:rPr>
          <w:rFonts w:hAnsi="宋体"/>
          <w:color w:val="auto"/>
        </w:rPr>
        <w:t>),</w:t>
      </w:r>
      <w:r>
        <w:rPr>
          <w:rFonts w:hint="eastAsia" w:hAnsi="宋体"/>
          <w:color w:val="auto"/>
        </w:rPr>
        <w:t>无论卖方有任何反对</w:t>
      </w:r>
      <w:r>
        <w:rPr>
          <w:rFonts w:hAnsi="宋体"/>
          <w:color w:val="auto"/>
        </w:rPr>
        <w:t>,</w:t>
      </w:r>
      <w:r>
        <w:rPr>
          <w:rFonts w:hint="eastAsia" w:hAnsi="宋体"/>
          <w:color w:val="auto"/>
        </w:rPr>
        <w:t>本行将凭贵方关于卖方违约说明的书面通知</w:t>
      </w:r>
      <w:r>
        <w:rPr>
          <w:rFonts w:hAnsi="宋体"/>
          <w:color w:val="auto"/>
        </w:rPr>
        <w:t>,</w:t>
      </w:r>
      <w:r>
        <w:rPr>
          <w:rFonts w:hint="eastAsia" w:hAnsi="宋体"/>
          <w:color w:val="auto"/>
        </w:rPr>
        <w:t>立即按贵方提出的累计总额不超过上述金额的款项和按贵方通知规定的方式付给贵方。</w:t>
      </w:r>
    </w:p>
    <w:p>
      <w:pPr>
        <w:pStyle w:val="12"/>
        <w:spacing w:line="240" w:lineRule="atLeast"/>
        <w:ind w:left="540"/>
        <w:rPr>
          <w:rFonts w:hAnsi="宋体" w:cs="Times New Roman"/>
          <w:color w:val="auto"/>
        </w:rPr>
      </w:pPr>
      <w:r>
        <w:rPr>
          <w:rFonts w:hAnsi="宋体"/>
          <w:color w:val="auto"/>
        </w:rPr>
        <w:t>2.</w:t>
      </w:r>
      <w:r>
        <w:rPr>
          <w:rFonts w:hint="eastAsia" w:hAnsi="宋体"/>
          <w:color w:val="auto"/>
        </w:rPr>
        <w:t>本保函项下的任何支付应为免税和净值。对于现有或将来的税收、关税、收费、费用扣减或预提税款，不论这些款项是何种性质和由谁征收，都不应从本保函项下的支付中扣除。</w:t>
      </w:r>
    </w:p>
    <w:p>
      <w:pPr>
        <w:pStyle w:val="12"/>
        <w:spacing w:line="240" w:lineRule="atLeast"/>
        <w:ind w:left="540"/>
        <w:rPr>
          <w:rFonts w:hAnsi="宋体" w:cs="Times New Roman"/>
          <w:color w:val="auto"/>
        </w:rPr>
      </w:pPr>
      <w:r>
        <w:rPr>
          <w:rFonts w:hAnsi="宋体"/>
          <w:color w:val="auto"/>
        </w:rPr>
        <w:t>3.</w:t>
      </w:r>
      <w:r>
        <w:rPr>
          <w:rFonts w:hint="eastAsia" w:hAnsi="宋体"/>
          <w:color w:val="auto"/>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2"/>
        <w:spacing w:line="240" w:lineRule="atLeast"/>
        <w:ind w:left="1080" w:leftChars="257" w:hanging="540"/>
        <w:rPr>
          <w:rFonts w:hAnsi="宋体" w:cs="Times New Roman"/>
          <w:color w:val="auto"/>
        </w:rPr>
      </w:pPr>
      <w:r>
        <w:rPr>
          <w:rFonts w:hAnsi="宋体"/>
          <w:color w:val="auto"/>
        </w:rPr>
        <w:t>4.</w:t>
      </w:r>
      <w:r>
        <w:rPr>
          <w:rFonts w:hint="eastAsia" w:hAnsi="宋体"/>
          <w:color w:val="auto"/>
        </w:rPr>
        <w:t>本保函在本合同规定的保证期期满前完全有效。</w:t>
      </w:r>
    </w:p>
    <w:p>
      <w:pPr>
        <w:pStyle w:val="12"/>
        <w:spacing w:line="240" w:lineRule="atLeast"/>
        <w:ind w:left="1080" w:leftChars="257" w:hanging="540"/>
        <w:rPr>
          <w:rFonts w:hAnsi="宋体" w:cs="Times New Roman"/>
          <w:color w:val="auto"/>
        </w:rPr>
      </w:pPr>
    </w:p>
    <w:p>
      <w:pPr>
        <w:pStyle w:val="12"/>
        <w:spacing w:line="240" w:lineRule="atLeast"/>
        <w:ind w:left="1080" w:leftChars="257" w:hanging="540"/>
        <w:rPr>
          <w:rFonts w:hAnsi="宋体" w:cs="Times New Roman"/>
          <w:color w:val="auto"/>
        </w:rPr>
      </w:pPr>
      <w:r>
        <w:rPr>
          <w:rFonts w:hint="eastAsia" w:hAnsi="宋体"/>
          <w:color w:val="auto"/>
        </w:rPr>
        <w:t>谨启</w:t>
      </w:r>
    </w:p>
    <w:p>
      <w:pPr>
        <w:pStyle w:val="12"/>
        <w:spacing w:line="240" w:lineRule="atLeast"/>
        <w:ind w:left="1080" w:leftChars="257" w:hanging="540"/>
        <w:rPr>
          <w:rFonts w:hAnsi="宋体" w:cs="Times New Roman"/>
          <w:color w:val="auto"/>
        </w:rPr>
      </w:pPr>
      <w:r>
        <w:rPr>
          <w:rFonts w:hint="eastAsia" w:hAnsi="宋体"/>
          <w:color w:val="auto"/>
        </w:rPr>
        <w:t>出具保函银行名称：</w:t>
      </w:r>
      <w:r>
        <w:rPr>
          <w:rFonts w:hAnsi="宋体"/>
          <w:color w:val="auto"/>
          <w:u w:val="single"/>
        </w:rPr>
        <w:t xml:space="preserve">                             </w:t>
      </w:r>
    </w:p>
    <w:p>
      <w:pPr>
        <w:pStyle w:val="12"/>
        <w:spacing w:line="240" w:lineRule="atLeast"/>
        <w:ind w:left="1080" w:leftChars="257" w:hanging="540"/>
        <w:rPr>
          <w:rFonts w:hAnsi="宋体"/>
          <w:color w:val="auto"/>
          <w:u w:val="single"/>
        </w:rPr>
      </w:pPr>
      <w:r>
        <w:rPr>
          <w:rFonts w:hint="eastAsia" w:hAnsi="宋体"/>
          <w:color w:val="auto"/>
        </w:rPr>
        <w:t>签字人姓名和职务：</w:t>
      </w:r>
      <w:r>
        <w:rPr>
          <w:rFonts w:hAnsi="宋体"/>
          <w:color w:val="auto"/>
          <w:u w:val="single"/>
        </w:rPr>
        <w:t xml:space="preserve">                             </w:t>
      </w:r>
    </w:p>
    <w:p>
      <w:pPr>
        <w:pStyle w:val="12"/>
        <w:spacing w:line="240" w:lineRule="atLeast"/>
        <w:ind w:left="1080" w:leftChars="257" w:hanging="540"/>
        <w:rPr>
          <w:rFonts w:hAnsi="宋体" w:cs="Times New Roman"/>
          <w:color w:val="auto"/>
        </w:rPr>
      </w:pPr>
      <w:r>
        <w:rPr>
          <w:rFonts w:hint="eastAsia" w:hAnsi="宋体"/>
          <w:color w:val="auto"/>
        </w:rPr>
        <w:t>签字人签名：</w:t>
      </w:r>
      <w:r>
        <w:rPr>
          <w:rFonts w:hAnsi="宋体"/>
          <w:color w:val="auto"/>
          <w:u w:val="single"/>
        </w:rPr>
        <w:t xml:space="preserve">                                   </w:t>
      </w:r>
    </w:p>
    <w:p>
      <w:pPr>
        <w:pStyle w:val="12"/>
        <w:spacing w:line="240" w:lineRule="atLeast"/>
        <w:ind w:left="1080" w:leftChars="257" w:hanging="540"/>
        <w:rPr>
          <w:rFonts w:hAnsi="宋体"/>
          <w:color w:val="auto"/>
          <w:u w:val="single"/>
        </w:rPr>
      </w:pPr>
      <w:r>
        <w:rPr>
          <w:rFonts w:hint="eastAsia" w:hAnsi="宋体"/>
          <w:color w:val="auto"/>
        </w:rPr>
        <w:t>公章：</w:t>
      </w:r>
      <w:r>
        <w:rPr>
          <w:rFonts w:hAnsi="宋体"/>
          <w:color w:val="auto"/>
          <w:u w:val="single"/>
        </w:rPr>
        <w:t xml:space="preserve">                                         </w:t>
      </w:r>
    </w:p>
    <w:p>
      <w:pPr>
        <w:pStyle w:val="4"/>
        <w:spacing w:before="0" w:line="240" w:lineRule="atLeast"/>
        <w:ind w:left="1080" w:leftChars="257" w:hanging="540"/>
        <w:jc w:val="left"/>
        <w:rPr>
          <w:rFonts w:ascii="宋体" w:hAnsi="宋体" w:eastAsia="宋体" w:cs="Times New Roman"/>
          <w:color w:val="auto"/>
          <w:sz w:val="21"/>
          <w:szCs w:val="21"/>
        </w:rPr>
      </w:pPr>
      <w:r>
        <w:rPr>
          <w:rFonts w:ascii="宋体" w:hAnsi="宋体" w:eastAsia="宋体" w:cs="Times New Roman"/>
          <w:color w:val="auto"/>
          <w:sz w:val="21"/>
          <w:szCs w:val="21"/>
        </w:rPr>
        <w:br w:type="page"/>
      </w:r>
      <w:bookmarkStart w:id="329" w:name="_Toc10951"/>
      <w:bookmarkStart w:id="330" w:name="_Toc6548"/>
      <w:bookmarkStart w:id="331" w:name="_Toc515647800"/>
      <w:bookmarkStart w:id="332" w:name="_Toc19310"/>
      <w:bookmarkStart w:id="333" w:name="_Toc18981"/>
      <w:bookmarkStart w:id="334" w:name="_Toc25280"/>
      <w:bookmarkStart w:id="335" w:name="_Toc17276"/>
      <w:bookmarkStart w:id="336" w:name="_Toc23267"/>
      <w:bookmarkStart w:id="337" w:name="_Toc30821"/>
      <w:bookmarkStart w:id="338" w:name="_Toc24660"/>
      <w:bookmarkStart w:id="339" w:name="_Toc9415"/>
      <w:bookmarkStart w:id="340" w:name="_Toc9975"/>
      <w:bookmarkStart w:id="341" w:name="_Toc14068"/>
      <w:bookmarkStart w:id="342" w:name="_Toc471"/>
      <w:bookmarkStart w:id="343" w:name="_Toc7938"/>
      <w:bookmarkStart w:id="344" w:name="_Toc6883"/>
      <w:bookmarkStart w:id="345" w:name="_Toc10389"/>
      <w:bookmarkStart w:id="346" w:name="_Toc32401"/>
      <w:bookmarkStart w:id="347" w:name="_Toc7338"/>
      <w:bookmarkStart w:id="348" w:name="_Toc6020"/>
      <w:bookmarkStart w:id="349" w:name="_Toc218"/>
      <w:bookmarkStart w:id="350" w:name="_Toc22953"/>
      <w:r>
        <w:rPr>
          <w:rFonts w:hint="eastAsia" w:ascii="宋体" w:hAnsi="宋体" w:eastAsia="宋体" w:cs="宋体"/>
          <w:color w:val="auto"/>
          <w:sz w:val="21"/>
          <w:szCs w:val="21"/>
        </w:rPr>
        <w:t>附件</w:t>
      </w:r>
      <w:r>
        <w:rPr>
          <w:rFonts w:ascii="宋体" w:hAnsi="宋体" w:eastAsia="宋体" w:cs="宋体"/>
          <w:color w:val="auto"/>
          <w:sz w:val="21"/>
          <w:szCs w:val="21"/>
        </w:rPr>
        <w:t>2</w:t>
      </w:r>
      <w:r>
        <w:rPr>
          <w:rFonts w:hint="eastAsia" w:ascii="宋体" w:hAnsi="宋体" w:eastAsia="宋体" w:cs="宋体"/>
          <w:color w:val="auto"/>
          <w:sz w:val="21"/>
          <w:szCs w:val="21"/>
        </w:rPr>
        <w:t>：履约担保函格式</w:t>
      </w:r>
      <w:bookmarkEnd w:id="329"/>
      <w:bookmarkEnd w:id="330"/>
      <w:bookmarkEnd w:id="331"/>
      <w:r>
        <w:rPr>
          <w:rFonts w:ascii="宋体" w:hAnsi="宋体" w:eastAsia="宋体" w:cs="宋体"/>
          <w:color w:val="auto"/>
          <w:sz w:val="21"/>
          <w:szCs w:val="21"/>
        </w:rPr>
        <w:t xml:space="preserve"> </w:t>
      </w:r>
      <w:r>
        <w:rPr>
          <w:rFonts w:hint="eastAsia" w:ascii="宋体" w:hAnsi="宋体" w:eastAsia="宋体" w:cs="宋体"/>
          <w:color w:val="auto"/>
          <w:sz w:val="21"/>
          <w:szCs w:val="21"/>
        </w:rPr>
        <w:t>本项目不适用</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4"/>
        <w:spacing w:before="0" w:line="240" w:lineRule="atLeast"/>
        <w:ind w:left="1080" w:leftChars="257" w:hanging="540"/>
        <w:rPr>
          <w:rFonts w:ascii="宋体" w:hAnsi="宋体" w:eastAsia="宋体" w:cs="Times New Roman"/>
          <w:color w:val="auto"/>
          <w:sz w:val="21"/>
          <w:szCs w:val="21"/>
        </w:rPr>
      </w:pPr>
      <w:bookmarkStart w:id="351" w:name="_Toc10315"/>
      <w:bookmarkStart w:id="352" w:name="_Toc18765"/>
      <w:bookmarkStart w:id="353" w:name="_Toc23195"/>
      <w:bookmarkStart w:id="354" w:name="_Toc22578"/>
      <w:bookmarkStart w:id="355" w:name="_Toc32308"/>
      <w:bookmarkStart w:id="356" w:name="_Toc12491"/>
      <w:bookmarkStart w:id="357" w:name="_Toc31088"/>
      <w:bookmarkStart w:id="358" w:name="_Toc31076"/>
      <w:bookmarkStart w:id="359" w:name="_Toc7211"/>
      <w:bookmarkStart w:id="360" w:name="_Toc19050"/>
      <w:bookmarkStart w:id="361" w:name="_Toc25632"/>
      <w:bookmarkStart w:id="362" w:name="_Toc1090"/>
      <w:bookmarkStart w:id="363" w:name="_Toc15824"/>
      <w:bookmarkStart w:id="364" w:name="_Toc14989"/>
      <w:bookmarkStart w:id="365" w:name="_Toc11129"/>
      <w:bookmarkStart w:id="366" w:name="_Toc162"/>
      <w:bookmarkStart w:id="367" w:name="_Toc10124"/>
      <w:bookmarkStart w:id="368" w:name="_Toc2801"/>
      <w:bookmarkStart w:id="369" w:name="_Toc20443"/>
      <w:bookmarkStart w:id="370" w:name="_Toc515647801"/>
      <w:bookmarkStart w:id="371" w:name="_Toc22003"/>
      <w:bookmarkStart w:id="372" w:name="_Toc13962"/>
      <w:bookmarkStart w:id="373" w:name="_Toc26726"/>
      <w:r>
        <w:rPr>
          <w:rFonts w:hint="eastAsia" w:ascii="宋体" w:hAnsi="宋体" w:eastAsia="宋体" w:cs="宋体"/>
          <w:color w:val="auto"/>
          <w:sz w:val="21"/>
          <w:szCs w:val="21"/>
        </w:rPr>
        <w:t>（采用政府采购信用担保形式时使用）</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pacing w:line="240" w:lineRule="atLeast"/>
        <w:ind w:left="1080" w:leftChars="257" w:hanging="540"/>
        <w:rPr>
          <w:rFonts w:ascii="宋体"/>
          <w:b/>
          <w:bCs/>
          <w:color w:val="auto"/>
          <w:kern w:val="0"/>
        </w:rPr>
      </w:pPr>
    </w:p>
    <w:p>
      <w:pPr>
        <w:jc w:val="center"/>
        <w:rPr>
          <w:rFonts w:ascii="宋体"/>
          <w:color w:val="auto"/>
        </w:rPr>
      </w:pPr>
      <w:r>
        <w:rPr>
          <w:rFonts w:hint="eastAsia" w:ascii="宋体" w:hAnsi="宋体" w:cs="宋体"/>
          <w:color w:val="auto"/>
        </w:rPr>
        <w:t>政府采购履约担保函（项目用）</w:t>
      </w:r>
    </w:p>
    <w:p>
      <w:pPr>
        <w:rPr>
          <w:rFonts w:ascii="宋体"/>
          <w:color w:val="auto"/>
        </w:rPr>
      </w:pPr>
      <w:r>
        <w:rPr>
          <w:rFonts w:ascii="宋体" w:hAnsi="宋体" w:cs="宋体"/>
          <w:color w:val="auto"/>
        </w:rPr>
        <w:t xml:space="preserve">                                                   </w:t>
      </w:r>
      <w:r>
        <w:rPr>
          <w:rFonts w:hint="eastAsia" w:ascii="宋体" w:hAnsi="宋体" w:cs="宋体"/>
          <w:color w:val="auto"/>
        </w:rPr>
        <w:t>编号：</w:t>
      </w:r>
    </w:p>
    <w:p>
      <w:pPr>
        <w:rPr>
          <w:rFonts w:ascii="宋体"/>
          <w:color w:val="auto"/>
        </w:rPr>
      </w:pPr>
    </w:p>
    <w:p>
      <w:pPr>
        <w:rPr>
          <w:rFonts w:ascii="宋体"/>
          <w:color w:val="auto"/>
        </w:rPr>
      </w:pPr>
      <w:r>
        <w:rPr>
          <w:rFonts w:ascii="宋体" w:hAnsi="宋体" w:cs="宋体"/>
          <w:color w:val="auto"/>
          <w:u w:val="single"/>
        </w:rPr>
        <w:t xml:space="preserve">                  </w:t>
      </w:r>
      <w:r>
        <w:rPr>
          <w:rFonts w:hint="eastAsia" w:ascii="宋体" w:hAnsi="宋体" w:cs="宋体"/>
          <w:color w:val="auto"/>
        </w:rPr>
        <w:t>（采购人）：</w:t>
      </w:r>
    </w:p>
    <w:p>
      <w:pPr>
        <w:rPr>
          <w:rFonts w:ascii="宋体"/>
          <w:color w:val="auto"/>
        </w:rPr>
      </w:pPr>
    </w:p>
    <w:p>
      <w:pPr>
        <w:ind w:firstLine="420" w:firstLineChars="200"/>
        <w:rPr>
          <w:rFonts w:ascii="宋体"/>
          <w:color w:val="auto"/>
        </w:rPr>
      </w:pPr>
      <w:r>
        <w:rPr>
          <w:rFonts w:hint="eastAsia" w:ascii="宋体" w:hAnsi="宋体" w:cs="宋体"/>
          <w:color w:val="auto"/>
        </w:rPr>
        <w:t>鉴于你方与</w:t>
      </w:r>
      <w:r>
        <w:rPr>
          <w:rFonts w:ascii="宋体" w:hAnsi="宋体" w:cs="宋体"/>
          <w:color w:val="auto"/>
          <w:u w:val="single"/>
        </w:rPr>
        <w:t xml:space="preserve">                    </w:t>
      </w:r>
      <w:r>
        <w:rPr>
          <w:rFonts w:hint="eastAsia" w:ascii="宋体" w:hAnsi="宋体" w:cs="宋体"/>
          <w:color w:val="auto"/>
        </w:rPr>
        <w:t>（以下简称供应商）于</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日签定编号为</w:t>
      </w:r>
      <w:r>
        <w:rPr>
          <w:rFonts w:ascii="宋体" w:hAnsi="宋体" w:cs="宋体"/>
          <w:color w:val="auto"/>
        </w:rPr>
        <w:t xml:space="preserve">   </w:t>
      </w:r>
      <w:r>
        <w:rPr>
          <w:rFonts w:hint="eastAsia" w:ascii="宋体" w:hAnsi="宋体" w:cs="宋体"/>
          <w:color w:val="auto"/>
        </w:rPr>
        <w:t>的《</w:t>
      </w:r>
      <w:r>
        <w:rPr>
          <w:rFonts w:ascii="宋体" w:hAnsi="宋体" w:cs="宋体"/>
          <w:color w:val="auto"/>
          <w:u w:val="single"/>
        </w:rPr>
        <w:t xml:space="preserve">           </w:t>
      </w:r>
      <w:r>
        <w:rPr>
          <w:rFonts w:hint="eastAsia" w:ascii="宋体" w:hAnsi="宋体" w:cs="宋体"/>
          <w:color w:val="auto"/>
        </w:rPr>
        <w:t>政府采购合同》（以下简称主合同），且依据该合同的约定，供应商应在</w:t>
      </w:r>
      <w:r>
        <w:rPr>
          <w:rFonts w:ascii="宋体" w:hAnsi="宋体" w:cs="宋体"/>
          <w:color w:val="auto"/>
          <w:u w:val="single"/>
        </w:rPr>
        <w:t xml:space="preserve">    </w:t>
      </w:r>
      <w:r>
        <w:rPr>
          <w:rFonts w:hint="eastAsia" w:ascii="宋体" w:hAnsi="宋体" w:cs="宋体"/>
          <w:color w:val="auto"/>
        </w:rPr>
        <w:t>年</w:t>
      </w:r>
    </w:p>
    <w:p>
      <w:pPr>
        <w:rPr>
          <w:rFonts w:ascii="宋体"/>
          <w:color w:val="auto"/>
        </w:rPr>
      </w:pP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日前向你方交纳履约保证金，且可以履约担保函的形式交纳履约保证金。应供应商的申请，我方以保证的方式向你方提供如下履约保证金担保：</w:t>
      </w:r>
    </w:p>
    <w:p>
      <w:pPr>
        <w:ind w:firstLine="420" w:firstLineChars="200"/>
        <w:outlineLvl w:val="0"/>
        <w:rPr>
          <w:rFonts w:ascii="宋体"/>
          <w:color w:val="auto"/>
        </w:rPr>
      </w:pPr>
      <w:bookmarkStart w:id="374" w:name="_Toc15579"/>
      <w:bookmarkStart w:id="375" w:name="_Toc18169"/>
      <w:bookmarkStart w:id="376" w:name="_Toc20908"/>
      <w:bookmarkStart w:id="377" w:name="_Toc9607"/>
      <w:bookmarkStart w:id="378" w:name="_Toc28031"/>
      <w:bookmarkStart w:id="379" w:name="_Toc30746"/>
      <w:bookmarkStart w:id="380" w:name="_Toc18779"/>
      <w:bookmarkStart w:id="381" w:name="_Toc32673"/>
      <w:bookmarkStart w:id="382" w:name="_Toc25909"/>
      <w:bookmarkStart w:id="383" w:name="_Toc30096"/>
      <w:bookmarkStart w:id="384" w:name="_Toc5406"/>
      <w:bookmarkStart w:id="385" w:name="_Toc25371"/>
      <w:bookmarkStart w:id="386" w:name="_Toc32218"/>
      <w:bookmarkStart w:id="387" w:name="_Toc19268"/>
      <w:bookmarkStart w:id="388" w:name="_Toc18127"/>
      <w:bookmarkStart w:id="389" w:name="_Toc3247"/>
      <w:bookmarkStart w:id="390" w:name="_Toc3006"/>
      <w:r>
        <w:rPr>
          <w:rFonts w:hint="eastAsia" w:ascii="宋体" w:hAnsi="宋体" w:cs="宋体"/>
          <w:color w:val="auto"/>
        </w:rPr>
        <w:t>一、保证责任的情形及保证金额</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ind w:firstLine="420" w:firstLineChars="200"/>
        <w:rPr>
          <w:rFonts w:ascii="宋体"/>
          <w:color w:val="auto"/>
        </w:rPr>
      </w:pPr>
      <w:r>
        <w:rPr>
          <w:rFonts w:hint="eastAsia" w:ascii="宋体" w:hAnsi="宋体" w:cs="宋体"/>
          <w:color w:val="auto"/>
        </w:rPr>
        <w:t>（一）在供应商出现下列情形之一时，我方承担保证责任：</w:t>
      </w:r>
    </w:p>
    <w:p>
      <w:pPr>
        <w:ind w:firstLine="420" w:firstLineChars="200"/>
        <w:rPr>
          <w:rFonts w:ascii="宋体"/>
          <w:color w:val="auto"/>
        </w:rPr>
      </w:pPr>
      <w:r>
        <w:rPr>
          <w:rFonts w:ascii="宋体" w:hAnsi="宋体" w:cs="宋体"/>
          <w:color w:val="auto"/>
        </w:rPr>
        <w:t>1</w:t>
      </w:r>
      <w:r>
        <w:rPr>
          <w:rFonts w:hint="eastAsia" w:ascii="宋体" w:hAnsi="宋体" w:cs="宋体"/>
          <w:color w:val="auto"/>
        </w:rPr>
        <w:t>．将中标项目转让给他人，或者在投标文件中未说明，且未经采购招标机构人同意，将中标项目分包给他人的；</w:t>
      </w:r>
    </w:p>
    <w:p>
      <w:pPr>
        <w:rPr>
          <w:rFonts w:ascii="宋体"/>
          <w:color w:val="auto"/>
        </w:rPr>
      </w:pPr>
      <w:r>
        <w:rPr>
          <w:rFonts w:hint="eastAsia" w:ascii="宋体" w:hAnsi="宋体" w:cs="宋体"/>
          <w:color w:val="auto"/>
        </w:rPr>
        <w:t>　　</w:t>
      </w:r>
      <w:r>
        <w:rPr>
          <w:rFonts w:ascii="宋体" w:hAnsi="宋体" w:cs="宋体"/>
          <w:color w:val="auto"/>
        </w:rPr>
        <w:t>2</w:t>
      </w:r>
      <w:r>
        <w:rPr>
          <w:rFonts w:hint="eastAsia" w:ascii="宋体" w:hAnsi="宋体" w:cs="宋体"/>
          <w:color w:val="auto"/>
        </w:rPr>
        <w:t>．主合同约定的应当缴纳履约保证金的情形</w:t>
      </w:r>
      <w:r>
        <w:rPr>
          <w:rFonts w:ascii="宋体" w:hAnsi="宋体" w:cs="宋体"/>
          <w:color w:val="auto"/>
        </w:rPr>
        <w:t xml:space="preserve">: </w:t>
      </w:r>
    </w:p>
    <w:p>
      <w:pPr>
        <w:ind w:firstLine="420" w:firstLineChars="200"/>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）未按主合同约定的质量、数量和期限供应货物</w:t>
      </w:r>
      <w:r>
        <w:rPr>
          <w:rFonts w:ascii="宋体" w:hAnsi="宋体" w:cs="宋体"/>
          <w:color w:val="auto"/>
        </w:rPr>
        <w:t>/</w:t>
      </w:r>
      <w:r>
        <w:rPr>
          <w:rFonts w:hint="eastAsia" w:ascii="宋体" w:hAnsi="宋体" w:cs="宋体"/>
          <w:color w:val="auto"/>
        </w:rPr>
        <w:t>提供服务</w:t>
      </w:r>
      <w:r>
        <w:rPr>
          <w:rFonts w:ascii="宋体" w:hAnsi="宋体" w:cs="宋体"/>
          <w:color w:val="auto"/>
        </w:rPr>
        <w:t>/</w:t>
      </w:r>
      <w:r>
        <w:rPr>
          <w:rFonts w:hint="eastAsia" w:ascii="宋体" w:hAnsi="宋体" w:cs="宋体"/>
          <w:color w:val="auto"/>
        </w:rPr>
        <w:t>完成工程的；</w:t>
      </w:r>
    </w:p>
    <w:p>
      <w:pPr>
        <w:ind w:firstLine="420" w:firstLineChars="200"/>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w:t>
      </w:r>
      <w:r>
        <w:rPr>
          <w:rFonts w:ascii="宋体" w:hAnsi="宋体" w:cs="宋体"/>
          <w:color w:val="auto"/>
          <w:u w:val="single"/>
        </w:rPr>
        <w:t xml:space="preserve">                                                           </w:t>
      </w:r>
      <w:r>
        <w:rPr>
          <w:rFonts w:hint="eastAsia" w:ascii="宋体" w:hAnsi="宋体" w:cs="宋体"/>
          <w:color w:val="auto"/>
        </w:rPr>
        <w:t>。</w:t>
      </w:r>
    </w:p>
    <w:p>
      <w:pPr>
        <w:ind w:firstLine="420" w:firstLineChars="200"/>
        <w:rPr>
          <w:rFonts w:ascii="宋体"/>
          <w:color w:val="auto"/>
        </w:rPr>
      </w:pPr>
      <w:r>
        <w:rPr>
          <w:rFonts w:hint="eastAsia" w:ascii="宋体" w:hAnsi="宋体" w:cs="宋体"/>
          <w:color w:val="auto"/>
        </w:rPr>
        <w:t>（二）我方的保证范围是主合同约定的合同价款总额的</w:t>
      </w:r>
      <w:r>
        <w:rPr>
          <w:rFonts w:ascii="宋体" w:hAnsi="宋体" w:cs="宋体"/>
          <w:color w:val="auto"/>
          <w:u w:val="single"/>
        </w:rPr>
        <w:t xml:space="preserve">        </w:t>
      </w:r>
      <w:r>
        <w:rPr>
          <w:rFonts w:ascii="宋体" w:hAnsi="宋体" w:cs="宋体"/>
          <w:color w:val="auto"/>
        </w:rPr>
        <w:t>%</w:t>
      </w:r>
      <w:r>
        <w:rPr>
          <w:rFonts w:hint="eastAsia" w:ascii="宋体" w:hAnsi="宋体" w:cs="宋体"/>
          <w:color w:val="auto"/>
        </w:rPr>
        <w:t>数额为</w:t>
      </w:r>
      <w:r>
        <w:rPr>
          <w:rFonts w:ascii="宋体" w:hAnsi="宋体" w:cs="宋体"/>
          <w:color w:val="auto"/>
          <w:u w:val="single"/>
        </w:rPr>
        <w:t xml:space="preserve">         </w:t>
      </w:r>
      <w:r>
        <w:rPr>
          <w:rFonts w:hint="eastAsia" w:ascii="宋体" w:hAnsi="宋体" w:cs="宋体"/>
          <w:color w:val="auto"/>
        </w:rPr>
        <w:t>元（大写</w:t>
      </w:r>
      <w:r>
        <w:rPr>
          <w:rFonts w:ascii="宋体" w:hAnsi="宋体" w:cs="宋体"/>
          <w:color w:val="auto"/>
          <w:u w:val="single"/>
        </w:rPr>
        <w:t xml:space="preserve">           </w:t>
      </w:r>
      <w:r>
        <w:rPr>
          <w:rFonts w:hint="eastAsia" w:ascii="宋体" w:hAnsi="宋体" w:cs="宋体"/>
          <w:color w:val="auto"/>
        </w:rPr>
        <w:t>），币种为</w:t>
      </w:r>
      <w:r>
        <w:rPr>
          <w:rFonts w:ascii="宋体" w:hAnsi="宋体" w:cs="宋体"/>
          <w:color w:val="auto"/>
          <w:u w:val="single"/>
        </w:rPr>
        <w:t xml:space="preserve">        </w:t>
      </w:r>
      <w:r>
        <w:rPr>
          <w:rFonts w:hint="eastAsia" w:ascii="宋体" w:hAnsi="宋体" w:cs="宋体"/>
          <w:color w:val="auto"/>
        </w:rPr>
        <w:t>。（即主合同履约保证金金额）</w:t>
      </w:r>
    </w:p>
    <w:p>
      <w:pPr>
        <w:ind w:firstLine="420" w:firstLineChars="200"/>
        <w:outlineLvl w:val="0"/>
        <w:rPr>
          <w:rFonts w:ascii="宋体"/>
          <w:color w:val="auto"/>
        </w:rPr>
      </w:pPr>
      <w:bookmarkStart w:id="391" w:name="_Toc12446"/>
      <w:bookmarkStart w:id="392" w:name="_Toc21115"/>
      <w:bookmarkStart w:id="393" w:name="_Toc4082"/>
      <w:bookmarkStart w:id="394" w:name="_Toc26484"/>
      <w:bookmarkStart w:id="395" w:name="_Toc26279"/>
      <w:bookmarkStart w:id="396" w:name="_Toc13003"/>
      <w:bookmarkStart w:id="397" w:name="_Toc31702"/>
      <w:bookmarkStart w:id="398" w:name="_Toc2714"/>
      <w:bookmarkStart w:id="399" w:name="_Toc14218"/>
      <w:bookmarkStart w:id="400" w:name="_Toc8339"/>
      <w:bookmarkStart w:id="401" w:name="_Toc11625"/>
      <w:bookmarkStart w:id="402" w:name="_Toc18588"/>
      <w:bookmarkStart w:id="403" w:name="_Toc20182"/>
      <w:bookmarkStart w:id="404" w:name="_Toc8329"/>
      <w:bookmarkStart w:id="405" w:name="_Toc2235"/>
      <w:bookmarkStart w:id="406" w:name="_Toc11824"/>
      <w:bookmarkStart w:id="407" w:name="_Toc19801"/>
      <w:r>
        <w:rPr>
          <w:rFonts w:hint="eastAsia" w:ascii="宋体" w:hAnsi="宋体" w:cs="宋体"/>
          <w:color w:val="auto"/>
        </w:rPr>
        <w:t>二、保证的方式及保证期间</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ind w:firstLine="420" w:firstLineChars="200"/>
        <w:rPr>
          <w:rFonts w:ascii="宋体"/>
          <w:color w:val="auto"/>
        </w:rPr>
      </w:pPr>
      <w:r>
        <w:rPr>
          <w:rFonts w:hint="eastAsia" w:ascii="宋体" w:hAnsi="宋体" w:cs="宋体"/>
          <w:color w:val="auto"/>
        </w:rPr>
        <w:t>我方保证的方式为：连带责任保证。</w:t>
      </w:r>
    </w:p>
    <w:p>
      <w:pPr>
        <w:ind w:firstLine="420" w:firstLineChars="200"/>
        <w:rPr>
          <w:rFonts w:ascii="宋体"/>
          <w:color w:val="auto"/>
        </w:rPr>
      </w:pPr>
      <w:r>
        <w:rPr>
          <w:rFonts w:hint="eastAsia" w:ascii="宋体" w:hAnsi="宋体" w:cs="宋体"/>
          <w:color w:val="auto"/>
        </w:rPr>
        <w:t>我方保证的期间为：自本合同生效之日起至供应商按照主合同约定的供货</w:t>
      </w:r>
      <w:r>
        <w:rPr>
          <w:rFonts w:ascii="宋体" w:hAnsi="宋体" w:cs="宋体"/>
          <w:color w:val="auto"/>
        </w:rPr>
        <w:t>/</w:t>
      </w:r>
      <w:r>
        <w:rPr>
          <w:rFonts w:hint="eastAsia" w:ascii="宋体" w:hAnsi="宋体" w:cs="宋体"/>
          <w:color w:val="auto"/>
        </w:rPr>
        <w:t>完工期限届满后</w:t>
      </w:r>
      <w:r>
        <w:rPr>
          <w:rFonts w:ascii="宋体" w:hAnsi="宋体" w:cs="宋体"/>
          <w:color w:val="auto"/>
          <w:u w:val="single"/>
        </w:rPr>
        <w:t xml:space="preserve">     </w:t>
      </w:r>
      <w:r>
        <w:rPr>
          <w:rFonts w:hint="eastAsia" w:ascii="宋体" w:hAnsi="宋体" w:cs="宋体"/>
          <w:color w:val="auto"/>
        </w:rPr>
        <w:t>日内。</w:t>
      </w:r>
    </w:p>
    <w:p>
      <w:pPr>
        <w:ind w:firstLine="420" w:firstLineChars="200"/>
        <w:rPr>
          <w:rFonts w:ascii="宋体"/>
          <w:color w:val="auto"/>
        </w:rPr>
      </w:pPr>
      <w:r>
        <w:rPr>
          <w:rFonts w:hint="eastAsia" w:ascii="宋体" w:hAnsi="宋体" w:cs="宋体"/>
          <w:color w:val="auto"/>
        </w:rPr>
        <w:t>如果供应商未按主合同约定向贵方供应货物</w:t>
      </w:r>
      <w:r>
        <w:rPr>
          <w:rFonts w:ascii="宋体" w:hAnsi="宋体" w:cs="宋体"/>
          <w:color w:val="auto"/>
        </w:rPr>
        <w:t>/</w:t>
      </w:r>
      <w:r>
        <w:rPr>
          <w:rFonts w:hint="eastAsia" w:ascii="宋体" w:hAnsi="宋体" w:cs="宋体"/>
          <w:color w:val="auto"/>
        </w:rPr>
        <w:t>提供服务</w:t>
      </w:r>
      <w:r>
        <w:rPr>
          <w:rFonts w:ascii="宋体" w:hAnsi="宋体" w:cs="宋体"/>
          <w:color w:val="auto"/>
        </w:rPr>
        <w:t>/</w:t>
      </w:r>
      <w:r>
        <w:rPr>
          <w:rFonts w:hint="eastAsia" w:ascii="宋体" w:hAnsi="宋体" w:cs="宋体"/>
          <w:color w:val="auto"/>
        </w:rPr>
        <w:t>完成工程的，由我方在保证金额内向你方支付上述款项。</w:t>
      </w:r>
    </w:p>
    <w:p>
      <w:pPr>
        <w:ind w:firstLine="420" w:firstLineChars="200"/>
        <w:outlineLvl w:val="0"/>
        <w:rPr>
          <w:rFonts w:ascii="宋体"/>
          <w:color w:val="auto"/>
        </w:rPr>
      </w:pPr>
      <w:bookmarkStart w:id="408" w:name="_Toc27427"/>
      <w:bookmarkStart w:id="409" w:name="_Toc31139"/>
      <w:bookmarkStart w:id="410" w:name="_Toc3244"/>
      <w:bookmarkStart w:id="411" w:name="_Toc28015"/>
      <w:bookmarkStart w:id="412" w:name="_Toc4358"/>
      <w:bookmarkStart w:id="413" w:name="_Toc1859"/>
      <w:bookmarkStart w:id="414" w:name="_Toc8670"/>
      <w:bookmarkStart w:id="415" w:name="_Toc25720"/>
      <w:bookmarkStart w:id="416" w:name="_Toc18850"/>
      <w:bookmarkStart w:id="417" w:name="_Toc20469"/>
      <w:bookmarkStart w:id="418" w:name="_Toc8304"/>
      <w:bookmarkStart w:id="419" w:name="_Toc25741"/>
      <w:bookmarkStart w:id="420" w:name="_Toc10132"/>
      <w:bookmarkStart w:id="421" w:name="_Toc7341"/>
      <w:bookmarkStart w:id="422" w:name="_Toc22178"/>
      <w:bookmarkStart w:id="423" w:name="_Toc23426"/>
      <w:bookmarkStart w:id="424" w:name="_Toc25129"/>
      <w:r>
        <w:rPr>
          <w:rFonts w:hint="eastAsia" w:ascii="宋体" w:hAnsi="宋体" w:cs="宋体"/>
          <w:color w:val="auto"/>
        </w:rPr>
        <w:t>三、承担保证责任的程序</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ind w:firstLine="420" w:firstLineChars="200"/>
        <w:rPr>
          <w:rFonts w:ascii="宋体"/>
          <w:color w:val="auto"/>
        </w:rPr>
      </w:pPr>
      <w:r>
        <w:rPr>
          <w:rFonts w:ascii="宋体" w:hAnsi="宋体" w:cs="宋体"/>
          <w:color w:val="auto"/>
        </w:rPr>
        <w:t>1</w:t>
      </w:r>
      <w:r>
        <w:rPr>
          <w:rFonts w:hint="eastAsia" w:ascii="宋体" w:hAnsi="宋体" w:cs="宋体"/>
          <w:color w:val="auto"/>
        </w:rPr>
        <w:t>．你方要求我方承担保证责任的，应在本保函保证期间内向我方发出书面索赔通知。索赔通知应写明要求索赔的金额，支付款项应到达的帐号。并附有证明供应商违约事实的证明材料。</w:t>
      </w:r>
    </w:p>
    <w:p>
      <w:pPr>
        <w:ind w:firstLine="420" w:firstLineChars="200"/>
        <w:rPr>
          <w:rFonts w:ascii="宋体"/>
          <w:color w:val="auto"/>
        </w:rPr>
      </w:pPr>
      <w:r>
        <w:rPr>
          <w:rFonts w:hint="eastAsia" w:ascii="宋体" w:hAnsi="宋体" w:cs="宋体"/>
          <w:color w:val="auto"/>
        </w:rPr>
        <w:t>如果你方与供应商因货物质量问题产生争议，你方还需同时提供</w:t>
      </w:r>
      <w:r>
        <w:rPr>
          <w:rFonts w:ascii="宋体" w:hAnsi="宋体" w:cs="宋体"/>
          <w:color w:val="auto"/>
          <w:u w:val="single"/>
        </w:rPr>
        <w:t xml:space="preserve">        </w:t>
      </w:r>
      <w:r>
        <w:rPr>
          <w:rFonts w:hint="eastAsia" w:ascii="宋体" w:hAnsi="宋体" w:cs="宋体"/>
          <w:color w:val="auto"/>
        </w:rPr>
        <w:t>部门出具的质量检测报告，或经诉讼（仲裁）程序裁决后的裁决书、调解书，本保证人即按照检测结果或裁决书、调解书决定是否承担保证责任。</w:t>
      </w:r>
    </w:p>
    <w:p>
      <w:pPr>
        <w:ind w:firstLine="420" w:firstLineChars="200"/>
        <w:rPr>
          <w:rFonts w:ascii="宋体"/>
          <w:color w:val="auto"/>
        </w:rPr>
      </w:pPr>
      <w:r>
        <w:rPr>
          <w:rFonts w:ascii="宋体" w:hAnsi="宋体" w:cs="宋体"/>
          <w:color w:val="auto"/>
        </w:rPr>
        <w:t>2</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我方收到你方的书面索赔通知及相应证明材料，在</w:t>
      </w:r>
      <w:r>
        <w:rPr>
          <w:rFonts w:ascii="宋体" w:hAnsi="宋体" w:cs="宋体"/>
          <w:color w:val="auto"/>
          <w:u w:val="single"/>
        </w:rPr>
        <w:t xml:space="preserve">     </w:t>
      </w:r>
      <w:r>
        <w:rPr>
          <w:rFonts w:hint="eastAsia" w:ascii="宋体" w:hAnsi="宋体" w:cs="宋体"/>
          <w:color w:val="auto"/>
        </w:rPr>
        <w:t>工作日内进行核定后按照本保函的承诺承担保证责任。</w:t>
      </w:r>
    </w:p>
    <w:p>
      <w:pPr>
        <w:ind w:firstLine="420" w:firstLineChars="200"/>
        <w:outlineLvl w:val="0"/>
        <w:rPr>
          <w:rFonts w:ascii="宋体"/>
          <w:color w:val="auto"/>
        </w:rPr>
      </w:pPr>
      <w:bookmarkStart w:id="425" w:name="_Toc29798"/>
      <w:bookmarkStart w:id="426" w:name="_Toc22761"/>
      <w:bookmarkStart w:id="427" w:name="_Toc28873"/>
      <w:bookmarkStart w:id="428" w:name="_Toc30392"/>
      <w:bookmarkStart w:id="429" w:name="_Toc27304"/>
      <w:bookmarkStart w:id="430" w:name="_Toc27122"/>
      <w:bookmarkStart w:id="431" w:name="_Toc29915"/>
      <w:bookmarkStart w:id="432" w:name="_Toc18359"/>
      <w:bookmarkStart w:id="433" w:name="_Toc5513"/>
      <w:bookmarkStart w:id="434" w:name="_Toc4574"/>
      <w:bookmarkStart w:id="435" w:name="_Toc28909"/>
      <w:bookmarkStart w:id="436" w:name="_Toc12964"/>
      <w:bookmarkStart w:id="437" w:name="_Toc15833"/>
      <w:bookmarkStart w:id="438" w:name="_Toc3818"/>
      <w:bookmarkStart w:id="439" w:name="_Toc3627"/>
      <w:bookmarkStart w:id="440" w:name="_Toc21493"/>
      <w:bookmarkStart w:id="441" w:name="_Toc8026"/>
      <w:r>
        <w:rPr>
          <w:rFonts w:hint="eastAsia" w:ascii="宋体" w:hAnsi="宋体" w:cs="宋体"/>
          <w:color w:val="auto"/>
        </w:rPr>
        <w:t>四、保证责任的终止</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ind w:firstLine="420" w:firstLineChars="200"/>
        <w:rPr>
          <w:rFonts w:ascii="宋体"/>
          <w:color w:val="auto"/>
        </w:rPr>
      </w:pPr>
      <w:r>
        <w:rPr>
          <w:rFonts w:ascii="宋体" w:hAnsi="宋体" w:cs="宋体"/>
          <w:color w:val="auto"/>
        </w:rPr>
        <w:t>1</w:t>
      </w:r>
      <w:r>
        <w:rPr>
          <w:rFonts w:hint="eastAsia" w:ascii="宋体" w:hAnsi="宋体" w:cs="宋体"/>
          <w:color w:val="auto"/>
        </w:rPr>
        <w:t>．保证期间届满你方未向我方书面主张保证责任的，自保证期间届满次日起，我方保证责任自动终止。保证期间届满前，主合同约定的货物</w:t>
      </w:r>
      <w:r>
        <w:rPr>
          <w:rFonts w:ascii="宋体"/>
          <w:color w:val="auto"/>
        </w:rPr>
        <w:t>\</w:t>
      </w:r>
      <w:r>
        <w:rPr>
          <w:rFonts w:hint="eastAsia" w:ascii="宋体" w:hAnsi="宋体" w:cs="宋体"/>
          <w:color w:val="auto"/>
        </w:rPr>
        <w:t>工程</w:t>
      </w:r>
      <w:r>
        <w:rPr>
          <w:rFonts w:ascii="宋体"/>
          <w:color w:val="auto"/>
        </w:rPr>
        <w:t>\</w:t>
      </w:r>
      <w:r>
        <w:rPr>
          <w:rFonts w:hint="eastAsia" w:ascii="宋体" w:hAnsi="宋体" w:cs="宋体"/>
          <w:color w:val="auto"/>
        </w:rPr>
        <w:t>服务全部验收合格的，自验收合格日起，我方保证责任自动终止。</w:t>
      </w:r>
    </w:p>
    <w:p>
      <w:pPr>
        <w:ind w:firstLine="420" w:firstLineChars="200"/>
        <w:rPr>
          <w:rFonts w:ascii="宋体"/>
          <w:color w:val="auto"/>
        </w:rPr>
      </w:pPr>
      <w:r>
        <w:rPr>
          <w:rFonts w:ascii="宋体" w:hAnsi="宋体" w:cs="宋体"/>
          <w:color w:val="auto"/>
        </w:rPr>
        <w:t>2</w:t>
      </w:r>
      <w:r>
        <w:rPr>
          <w:rFonts w:hint="eastAsia" w:ascii="宋体" w:hAnsi="宋体" w:cs="宋体"/>
          <w:color w:val="auto"/>
        </w:rPr>
        <w:t>．我方按照本保函向你方履行了保证责任后，自我方向你方支付款项（支付款项从我方账户划出）之日起，保证责任即终止。</w:t>
      </w:r>
    </w:p>
    <w:p>
      <w:pPr>
        <w:ind w:firstLine="420" w:firstLineChars="200"/>
        <w:rPr>
          <w:rFonts w:ascii="宋体"/>
          <w:color w:val="auto"/>
        </w:rPr>
      </w:pPr>
      <w:r>
        <w:rPr>
          <w:rFonts w:ascii="宋体" w:hAnsi="宋体" w:cs="宋体"/>
          <w:color w:val="auto"/>
        </w:rPr>
        <w:t>3</w:t>
      </w:r>
      <w:r>
        <w:rPr>
          <w:rFonts w:hint="eastAsia" w:ascii="宋体" w:hAnsi="宋体" w:cs="宋体"/>
          <w:color w:val="auto"/>
        </w:rPr>
        <w:t>．按照法律法规的规定或出现应终止我方保证责任的其它情形的，我方在本保函项下的保证责任亦终止。</w:t>
      </w:r>
    </w:p>
    <w:p>
      <w:pPr>
        <w:ind w:firstLine="420" w:firstLineChars="200"/>
        <w:rPr>
          <w:rFonts w:ascii="宋体"/>
          <w:color w:val="auto"/>
        </w:rPr>
      </w:pPr>
      <w:r>
        <w:rPr>
          <w:rFonts w:ascii="宋体" w:hAnsi="宋体" w:cs="宋体"/>
          <w:color w:val="auto"/>
        </w:rPr>
        <w:t>4</w:t>
      </w:r>
      <w:r>
        <w:rPr>
          <w:rFonts w:hint="eastAsia" w:ascii="宋体" w:hAnsi="宋体" w:cs="宋体"/>
          <w:color w:val="auto"/>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0" w:firstLineChars="200"/>
        <w:outlineLvl w:val="0"/>
        <w:rPr>
          <w:rFonts w:ascii="宋体"/>
          <w:color w:val="auto"/>
        </w:rPr>
      </w:pPr>
      <w:bookmarkStart w:id="442" w:name="_Toc3766"/>
      <w:bookmarkStart w:id="443" w:name="_Toc24078"/>
      <w:bookmarkStart w:id="444" w:name="_Toc8177"/>
      <w:bookmarkStart w:id="445" w:name="_Toc19794"/>
      <w:bookmarkStart w:id="446" w:name="_Toc6003"/>
      <w:bookmarkStart w:id="447" w:name="_Toc11285"/>
      <w:bookmarkStart w:id="448" w:name="_Toc6497"/>
      <w:bookmarkStart w:id="449" w:name="_Toc13869"/>
      <w:bookmarkStart w:id="450" w:name="_Toc15392"/>
      <w:bookmarkStart w:id="451" w:name="_Toc25835"/>
      <w:bookmarkStart w:id="452" w:name="_Toc1471"/>
      <w:bookmarkStart w:id="453" w:name="_Toc32479"/>
      <w:bookmarkStart w:id="454" w:name="_Toc17198"/>
      <w:bookmarkStart w:id="455" w:name="_Toc20173"/>
      <w:bookmarkStart w:id="456" w:name="_Toc21687"/>
      <w:bookmarkStart w:id="457" w:name="_Toc15561"/>
      <w:bookmarkStart w:id="458" w:name="_Toc22405"/>
      <w:r>
        <w:rPr>
          <w:rFonts w:hint="eastAsia" w:ascii="宋体" w:hAnsi="宋体" w:cs="宋体"/>
          <w:color w:val="auto"/>
        </w:rPr>
        <w:t>五、免责条款</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ind w:firstLine="420" w:firstLineChars="200"/>
        <w:rPr>
          <w:rFonts w:ascii="宋体"/>
          <w:color w:val="auto"/>
        </w:rPr>
      </w:pPr>
      <w:r>
        <w:rPr>
          <w:rFonts w:ascii="宋体" w:hAnsi="宋体" w:cs="宋体"/>
          <w:color w:val="auto"/>
        </w:rPr>
        <w:t>1</w:t>
      </w:r>
      <w:r>
        <w:rPr>
          <w:rFonts w:hint="eastAsia" w:ascii="宋体" w:hAnsi="宋体" w:cs="宋体"/>
          <w:color w:val="auto"/>
        </w:rPr>
        <w:t>．因你方违反主合同约定致使供应商不能履行义务的，我方不承担保证责任。</w:t>
      </w:r>
    </w:p>
    <w:p>
      <w:pPr>
        <w:ind w:firstLine="420" w:firstLineChars="200"/>
        <w:rPr>
          <w:rFonts w:ascii="宋体"/>
          <w:color w:val="auto"/>
        </w:rPr>
      </w:pPr>
      <w:r>
        <w:rPr>
          <w:rFonts w:ascii="宋体" w:hAnsi="宋体" w:cs="宋体"/>
          <w:color w:val="auto"/>
        </w:rPr>
        <w:t>2</w:t>
      </w:r>
      <w:r>
        <w:rPr>
          <w:rFonts w:hint="eastAsia" w:ascii="宋体" w:hAnsi="宋体" w:cs="宋体"/>
          <w:color w:val="auto"/>
        </w:rPr>
        <w:t>．依照法律法规的规定或你方与供应商的另行约定，全部或者部分免除供应商应缴纳的保证金义务的，我方亦免除相应的保证责任。</w:t>
      </w:r>
    </w:p>
    <w:p>
      <w:pPr>
        <w:ind w:firstLine="420" w:firstLineChars="200"/>
        <w:rPr>
          <w:rFonts w:ascii="宋体"/>
          <w:color w:val="auto"/>
        </w:rPr>
      </w:pPr>
      <w:r>
        <w:rPr>
          <w:rFonts w:ascii="宋体" w:hAnsi="宋体" w:cs="宋体"/>
          <w:color w:val="auto"/>
        </w:rPr>
        <w:t>3</w:t>
      </w:r>
      <w:r>
        <w:rPr>
          <w:rFonts w:hint="eastAsia" w:ascii="宋体" w:hAnsi="宋体" w:cs="宋体"/>
          <w:color w:val="auto"/>
        </w:rPr>
        <w:t>．因不可抗力造成供应商不能履行供货义务的，我方不承担保证责任。</w:t>
      </w:r>
    </w:p>
    <w:p>
      <w:pPr>
        <w:ind w:firstLine="420" w:firstLineChars="200"/>
        <w:outlineLvl w:val="0"/>
        <w:rPr>
          <w:rFonts w:ascii="宋体"/>
          <w:color w:val="auto"/>
        </w:rPr>
      </w:pPr>
      <w:bookmarkStart w:id="459" w:name="_Toc15993"/>
      <w:bookmarkStart w:id="460" w:name="_Toc10609"/>
      <w:bookmarkStart w:id="461" w:name="_Toc2338"/>
      <w:bookmarkStart w:id="462" w:name="_Toc11837"/>
      <w:bookmarkStart w:id="463" w:name="_Toc10670"/>
      <w:bookmarkStart w:id="464" w:name="_Toc29931"/>
      <w:bookmarkStart w:id="465" w:name="_Toc3926"/>
      <w:bookmarkStart w:id="466" w:name="_Toc10239"/>
      <w:bookmarkStart w:id="467" w:name="_Toc3200"/>
      <w:bookmarkStart w:id="468" w:name="_Toc14185"/>
      <w:bookmarkStart w:id="469" w:name="_Toc29897"/>
      <w:bookmarkStart w:id="470" w:name="_Toc6108"/>
      <w:bookmarkStart w:id="471" w:name="_Toc5374"/>
      <w:bookmarkStart w:id="472" w:name="_Toc7864"/>
      <w:bookmarkStart w:id="473" w:name="_Toc6937"/>
      <w:bookmarkStart w:id="474" w:name="_Toc21003"/>
      <w:bookmarkStart w:id="475" w:name="_Toc14587"/>
      <w:r>
        <w:rPr>
          <w:rFonts w:hint="eastAsia" w:ascii="宋体" w:hAnsi="宋体" w:cs="宋体"/>
          <w:color w:val="auto"/>
        </w:rPr>
        <w:t>六、争议的解决</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ind w:firstLine="420" w:firstLineChars="200"/>
        <w:rPr>
          <w:rFonts w:ascii="宋体"/>
          <w:color w:val="auto"/>
        </w:rPr>
      </w:pPr>
      <w:r>
        <w:rPr>
          <w:rFonts w:hint="eastAsia" w:ascii="宋体" w:hAnsi="宋体" w:cs="宋体"/>
          <w:color w:val="auto"/>
        </w:rPr>
        <w:t>因本保函发生的纠纷，由你我双方协商解决，协商不成的，通过诉讼程序解决，诉讼管辖地法院为</w:t>
      </w:r>
      <w:r>
        <w:rPr>
          <w:rFonts w:ascii="宋体" w:hAnsi="宋体" w:cs="宋体"/>
          <w:color w:val="auto"/>
          <w:u w:val="single"/>
        </w:rPr>
        <w:t xml:space="preserve">        </w:t>
      </w:r>
      <w:r>
        <w:rPr>
          <w:rFonts w:hint="eastAsia" w:ascii="宋体" w:hAnsi="宋体" w:cs="宋体"/>
          <w:color w:val="auto"/>
        </w:rPr>
        <w:t>法院。</w:t>
      </w:r>
    </w:p>
    <w:p>
      <w:pPr>
        <w:ind w:firstLine="420" w:firstLineChars="200"/>
        <w:outlineLvl w:val="0"/>
        <w:rPr>
          <w:rFonts w:ascii="宋体"/>
          <w:color w:val="auto"/>
        </w:rPr>
      </w:pPr>
      <w:bookmarkStart w:id="476" w:name="_Toc2369"/>
      <w:bookmarkStart w:id="477" w:name="_Toc16417"/>
      <w:bookmarkStart w:id="478" w:name="_Toc27592"/>
      <w:bookmarkStart w:id="479" w:name="_Toc24880"/>
      <w:bookmarkStart w:id="480" w:name="_Toc31503"/>
      <w:bookmarkStart w:id="481" w:name="_Toc20812"/>
      <w:bookmarkStart w:id="482" w:name="_Toc31738"/>
      <w:bookmarkStart w:id="483" w:name="_Toc7993"/>
      <w:bookmarkStart w:id="484" w:name="_Toc23626"/>
      <w:bookmarkStart w:id="485" w:name="_Toc28872"/>
      <w:bookmarkStart w:id="486" w:name="_Toc20963"/>
      <w:bookmarkStart w:id="487" w:name="_Toc12550"/>
      <w:bookmarkStart w:id="488" w:name="_Toc19768"/>
      <w:bookmarkStart w:id="489" w:name="_Toc14079"/>
      <w:bookmarkStart w:id="490" w:name="_Toc10888"/>
      <w:bookmarkStart w:id="491" w:name="_Toc11366"/>
      <w:bookmarkStart w:id="492" w:name="_Toc9107"/>
      <w:r>
        <w:rPr>
          <w:rFonts w:hint="eastAsia" w:ascii="宋体" w:hAnsi="宋体" w:cs="宋体"/>
          <w:color w:val="auto"/>
        </w:rPr>
        <w:t>七、保函的生效</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ind w:firstLine="420" w:firstLineChars="200"/>
        <w:rPr>
          <w:rFonts w:ascii="宋体"/>
          <w:color w:val="auto"/>
        </w:rPr>
      </w:pPr>
      <w:r>
        <w:rPr>
          <w:rFonts w:hint="eastAsia" w:ascii="宋体" w:hAnsi="宋体" w:cs="宋体"/>
          <w:color w:val="auto"/>
        </w:rPr>
        <w:t>本保函自我方加盖公章之日起生效。</w:t>
      </w:r>
    </w:p>
    <w:p>
      <w:pPr>
        <w:rPr>
          <w:rFonts w:ascii="宋体"/>
          <w:color w:val="auto"/>
        </w:rPr>
      </w:pPr>
    </w:p>
    <w:p>
      <w:pPr>
        <w:rPr>
          <w:rFonts w:ascii="宋体"/>
          <w:color w:val="auto"/>
        </w:rPr>
      </w:pPr>
      <w:r>
        <w:rPr>
          <w:rFonts w:ascii="宋体" w:hAnsi="宋体" w:cs="宋体"/>
          <w:color w:val="auto"/>
        </w:rPr>
        <w:t xml:space="preserve">                                      </w:t>
      </w:r>
    </w:p>
    <w:p>
      <w:pPr>
        <w:ind w:firstLine="4725" w:firstLineChars="2250"/>
        <w:rPr>
          <w:rFonts w:ascii="宋体"/>
          <w:color w:val="auto"/>
        </w:rPr>
      </w:pPr>
      <w:r>
        <w:rPr>
          <w:rFonts w:hint="eastAsia" w:ascii="宋体" w:hAnsi="宋体" w:cs="宋体"/>
          <w:color w:val="auto"/>
        </w:rPr>
        <w:t>保证人：（公章）</w:t>
      </w:r>
    </w:p>
    <w:p>
      <w:pPr>
        <w:rPr>
          <w:rFonts w:ascii="宋体"/>
          <w:color w:val="auto"/>
        </w:rPr>
      </w:pPr>
      <w:r>
        <w:rPr>
          <w:rFonts w:ascii="宋体" w:hAnsi="宋体" w:cs="宋体"/>
          <w:color w:val="auto"/>
        </w:rPr>
        <w:t xml:space="preserve">                   </w:t>
      </w:r>
    </w:p>
    <w:p>
      <w:pPr>
        <w:rPr>
          <w:rFonts w:asci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pStyle w:val="2"/>
        <w:spacing w:line="240" w:lineRule="atLeast"/>
        <w:ind w:firstLine="0"/>
        <w:rPr>
          <w:rFonts w:hAnsi="宋体" w:cs="Times New Roman"/>
          <w:color w:val="auto"/>
          <w:kern w:val="2"/>
          <w:sz w:val="21"/>
          <w:szCs w:val="21"/>
        </w:rPr>
      </w:pPr>
      <w:r>
        <w:rPr>
          <w:rFonts w:hAnsi="宋体" w:cs="Times New Roman"/>
          <w:b/>
          <w:bCs/>
          <w:color w:val="auto"/>
          <w:sz w:val="21"/>
          <w:szCs w:val="21"/>
        </w:rPr>
        <w:br w:type="page"/>
      </w:r>
    </w:p>
    <w:p>
      <w:pPr>
        <w:pStyle w:val="3"/>
        <w:spacing w:before="0" w:after="0" w:line="240" w:lineRule="atLeast"/>
        <w:ind w:left="1844" w:firstLine="1265" w:firstLineChars="600"/>
        <w:jc w:val="left"/>
        <w:rPr>
          <w:rFonts w:hAnsi="宋体" w:cs="Times New Roman"/>
          <w:color w:val="auto"/>
          <w:sz w:val="21"/>
          <w:szCs w:val="21"/>
        </w:rPr>
      </w:pPr>
      <w:bookmarkStart w:id="493" w:name="_Toc515647802"/>
      <w:bookmarkStart w:id="494" w:name="_Toc32643"/>
      <w:bookmarkStart w:id="495" w:name="_Toc728"/>
      <w:bookmarkStart w:id="496" w:name="_Toc702"/>
      <w:bookmarkStart w:id="497" w:name="_Toc216582812"/>
      <w:bookmarkStart w:id="498" w:name="_Toc29770"/>
      <w:r>
        <w:rPr>
          <w:rFonts w:hint="eastAsia" w:hAnsi="宋体"/>
          <w:color w:val="auto"/>
          <w:sz w:val="21"/>
          <w:szCs w:val="21"/>
        </w:rPr>
        <w:t>第</w:t>
      </w:r>
      <w:r>
        <w:rPr>
          <w:rFonts w:hAnsi="宋体"/>
          <w:color w:val="auto"/>
          <w:sz w:val="21"/>
          <w:szCs w:val="21"/>
        </w:rPr>
        <w:t>2</w:t>
      </w:r>
      <w:r>
        <w:rPr>
          <w:rFonts w:hint="eastAsia" w:hAnsi="宋体"/>
          <w:color w:val="auto"/>
          <w:sz w:val="21"/>
          <w:szCs w:val="21"/>
        </w:rPr>
        <w:t>章</w:t>
      </w:r>
      <w:r>
        <w:rPr>
          <w:rFonts w:hAnsi="宋体"/>
          <w:color w:val="auto"/>
          <w:sz w:val="21"/>
          <w:szCs w:val="21"/>
        </w:rPr>
        <w:t xml:space="preserve">   </w:t>
      </w:r>
      <w:r>
        <w:rPr>
          <w:rFonts w:hint="eastAsia" w:hAnsi="宋体"/>
          <w:color w:val="auto"/>
          <w:sz w:val="21"/>
          <w:szCs w:val="21"/>
        </w:rPr>
        <w:t>投标文件格式</w:t>
      </w:r>
      <w:bookmarkEnd w:id="493"/>
      <w:bookmarkEnd w:id="494"/>
      <w:bookmarkEnd w:id="495"/>
      <w:bookmarkEnd w:id="496"/>
      <w:bookmarkEnd w:id="497"/>
      <w:bookmarkEnd w:id="498"/>
    </w:p>
    <w:p>
      <w:pPr>
        <w:spacing w:line="240" w:lineRule="atLeast"/>
        <w:ind w:left="735" w:leftChars="350" w:firstLine="105" w:firstLineChars="50"/>
        <w:rPr>
          <w:rFonts w:ascii="宋体"/>
          <w:color w:val="auto"/>
        </w:rPr>
      </w:pPr>
    </w:p>
    <w:p>
      <w:pPr>
        <w:pStyle w:val="4"/>
        <w:spacing w:before="0" w:line="240" w:lineRule="atLeast"/>
        <w:ind w:left="1080" w:leftChars="257" w:hanging="540"/>
        <w:rPr>
          <w:rFonts w:ascii="宋体" w:hAnsi="宋体" w:eastAsia="宋体" w:cs="Times New Roman"/>
          <w:color w:val="auto"/>
          <w:kern w:val="2"/>
          <w:sz w:val="24"/>
          <w:szCs w:val="24"/>
        </w:rPr>
      </w:pPr>
      <w:bookmarkStart w:id="499" w:name="_Toc515647803"/>
      <w:bookmarkStart w:id="500" w:name="_Toc18974"/>
      <w:bookmarkStart w:id="501" w:name="_Toc2922"/>
      <w:bookmarkStart w:id="502" w:name="_Toc18694"/>
      <w:bookmarkStart w:id="503" w:name="_Toc22572"/>
      <w:r>
        <w:rPr>
          <w:rFonts w:hint="eastAsia" w:ascii="宋体" w:hAnsi="宋体" w:eastAsia="宋体" w:cs="宋体"/>
          <w:color w:val="auto"/>
          <w:kern w:val="2"/>
          <w:sz w:val="24"/>
          <w:szCs w:val="24"/>
        </w:rPr>
        <w:t>第一部分</w:t>
      </w:r>
      <w:r>
        <w:rPr>
          <w:rFonts w:ascii="宋体" w:hAnsi="宋体" w:eastAsia="宋体" w:cs="宋体"/>
          <w:color w:val="auto"/>
          <w:kern w:val="2"/>
          <w:sz w:val="24"/>
          <w:szCs w:val="24"/>
        </w:rPr>
        <w:t xml:space="preserve"> </w:t>
      </w:r>
      <w:r>
        <w:rPr>
          <w:rFonts w:hint="eastAsia" w:ascii="宋体" w:hAnsi="宋体" w:eastAsia="宋体" w:cs="宋体"/>
          <w:color w:val="auto"/>
          <w:kern w:val="2"/>
          <w:sz w:val="24"/>
          <w:szCs w:val="24"/>
        </w:rPr>
        <w:t>开标一览表及资格证明文件</w:t>
      </w:r>
      <w:bookmarkEnd w:id="499"/>
      <w:bookmarkEnd w:id="500"/>
      <w:bookmarkEnd w:id="501"/>
      <w:bookmarkEnd w:id="502"/>
      <w:bookmarkEnd w:id="503"/>
    </w:p>
    <w:p>
      <w:pPr>
        <w:spacing w:line="240" w:lineRule="atLeast"/>
        <w:ind w:left="31680" w:hanging="619" w:hangingChars="295"/>
        <w:jc w:val="center"/>
        <w:rPr>
          <w:rFonts w:ascii="宋体"/>
          <w:color w:val="auto"/>
        </w:rPr>
      </w:pPr>
    </w:p>
    <w:p>
      <w:pPr>
        <w:pStyle w:val="12"/>
        <w:spacing w:line="500" w:lineRule="exact"/>
        <w:ind w:left="1079" w:leftChars="257" w:hanging="539"/>
        <w:jc w:val="left"/>
        <w:rPr>
          <w:rFonts w:hAnsi="宋体" w:cs="Times New Roman"/>
          <w:color w:val="auto"/>
        </w:rPr>
      </w:pPr>
      <w:r>
        <w:rPr>
          <w:rFonts w:hAnsi="宋体"/>
          <w:color w:val="auto"/>
        </w:rPr>
        <w:t>1</w:t>
      </w:r>
      <w:r>
        <w:rPr>
          <w:rFonts w:hint="eastAsia" w:hAnsi="宋体"/>
          <w:color w:val="auto"/>
        </w:rPr>
        <w:t>、开标一览表；</w:t>
      </w:r>
    </w:p>
    <w:p>
      <w:pPr>
        <w:pStyle w:val="20"/>
        <w:spacing w:line="400" w:lineRule="exact"/>
        <w:ind w:firstLine="31680"/>
        <w:rPr>
          <w:rFonts w:ascii="宋体"/>
          <w:color w:val="auto"/>
          <w:sz w:val="21"/>
          <w:szCs w:val="21"/>
        </w:rPr>
      </w:pPr>
      <w:r>
        <w:rPr>
          <w:rFonts w:ascii="宋体" w:hAnsi="宋体" w:cs="宋体"/>
          <w:color w:val="auto"/>
          <w:sz w:val="21"/>
          <w:szCs w:val="21"/>
        </w:rPr>
        <w:t>2</w:t>
      </w:r>
      <w:r>
        <w:rPr>
          <w:rFonts w:hint="eastAsia" w:ascii="宋体" w:hAnsi="宋体" w:cs="宋体"/>
          <w:color w:val="auto"/>
          <w:sz w:val="21"/>
          <w:szCs w:val="21"/>
        </w:rPr>
        <w:t>、具有有效的独立法人营业执照；</w:t>
      </w:r>
    </w:p>
    <w:p>
      <w:pPr>
        <w:pStyle w:val="20"/>
        <w:spacing w:line="400" w:lineRule="exact"/>
        <w:ind w:firstLine="31680"/>
        <w:rPr>
          <w:rFonts w:ascii="宋体"/>
          <w:color w:val="auto"/>
          <w:sz w:val="21"/>
          <w:szCs w:val="21"/>
        </w:rPr>
      </w:pPr>
      <w:r>
        <w:rPr>
          <w:rFonts w:ascii="宋体" w:hAnsi="宋体" w:cs="宋体"/>
          <w:color w:val="auto"/>
          <w:sz w:val="21"/>
          <w:szCs w:val="21"/>
        </w:rPr>
        <w:t>3</w:t>
      </w:r>
      <w:r>
        <w:rPr>
          <w:rFonts w:hint="eastAsia" w:ascii="宋体" w:hAnsi="宋体" w:cs="宋体"/>
          <w:color w:val="auto"/>
          <w:sz w:val="21"/>
          <w:szCs w:val="21"/>
        </w:rPr>
        <w:t>、法人代表资格证明书及授权书、被授权人身份证；</w:t>
      </w:r>
      <w:r>
        <w:rPr>
          <w:rFonts w:ascii="宋体" w:hAnsi="宋体" w:cs="宋体"/>
          <w:color w:val="auto"/>
          <w:sz w:val="21"/>
          <w:szCs w:val="21"/>
        </w:rPr>
        <w:t>(</w:t>
      </w:r>
      <w:r>
        <w:rPr>
          <w:rFonts w:hint="eastAsia" w:ascii="宋体" w:hAnsi="宋体" w:cs="宋体"/>
          <w:color w:val="auto"/>
          <w:sz w:val="21"/>
          <w:szCs w:val="21"/>
        </w:rPr>
        <w:t>法人投标须提供法人身份证及法人代表资格证明书</w:t>
      </w:r>
      <w:r>
        <w:rPr>
          <w:rFonts w:ascii="宋体" w:hAnsi="宋体" w:cs="宋体"/>
          <w:color w:val="auto"/>
          <w:sz w:val="21"/>
          <w:szCs w:val="21"/>
        </w:rPr>
        <w:t>)</w:t>
      </w:r>
      <w:r>
        <w:rPr>
          <w:rFonts w:hint="eastAsia" w:ascii="宋体" w:hAnsi="宋体" w:cs="宋体"/>
          <w:color w:val="auto"/>
          <w:sz w:val="21"/>
          <w:szCs w:val="21"/>
        </w:rPr>
        <w:t>；</w:t>
      </w:r>
    </w:p>
    <w:p>
      <w:pPr>
        <w:pStyle w:val="20"/>
        <w:spacing w:line="400" w:lineRule="exact"/>
        <w:ind w:firstLine="31680"/>
        <w:rPr>
          <w:rFonts w:ascii="宋体"/>
          <w:color w:val="auto"/>
          <w:sz w:val="21"/>
          <w:szCs w:val="21"/>
        </w:rPr>
      </w:pPr>
      <w:r>
        <w:rPr>
          <w:rFonts w:ascii="宋体" w:hAnsi="宋体" w:cs="宋体"/>
          <w:color w:val="auto"/>
          <w:sz w:val="21"/>
          <w:szCs w:val="21"/>
        </w:rPr>
        <w:t>4</w:t>
      </w:r>
      <w:r>
        <w:rPr>
          <w:rFonts w:hint="eastAsia" w:ascii="宋体" w:hAnsi="宋体" w:cs="宋体"/>
          <w:color w:val="auto"/>
          <w:sz w:val="21"/>
          <w:szCs w:val="21"/>
        </w:rPr>
        <w:t>、财务状况报告近二年任意一年经审计的财务报告</w:t>
      </w:r>
      <w:r>
        <w:rPr>
          <w:rFonts w:ascii="宋体" w:cs="宋体"/>
          <w:color w:val="auto"/>
          <w:sz w:val="21"/>
          <w:szCs w:val="21"/>
        </w:rPr>
        <w:t>,</w:t>
      </w:r>
      <w:r>
        <w:rPr>
          <w:rFonts w:hint="eastAsia" w:ascii="宋体" w:hAnsi="宋体" w:cs="宋体"/>
          <w:color w:val="auto"/>
          <w:sz w:val="21"/>
          <w:szCs w:val="21"/>
        </w:rPr>
        <w:t>或新公司出具近</w:t>
      </w:r>
      <w:r>
        <w:rPr>
          <w:rFonts w:ascii="宋体" w:hAnsi="宋体" w:cs="宋体"/>
          <w:color w:val="auto"/>
          <w:sz w:val="21"/>
          <w:szCs w:val="21"/>
        </w:rPr>
        <w:t>6</w:t>
      </w:r>
      <w:r>
        <w:rPr>
          <w:rFonts w:hint="eastAsia" w:ascii="宋体" w:hAnsi="宋体" w:cs="宋体"/>
          <w:color w:val="auto"/>
          <w:sz w:val="21"/>
          <w:szCs w:val="21"/>
        </w:rPr>
        <w:t>个月任意一个月的银行资信证明；</w:t>
      </w:r>
    </w:p>
    <w:p>
      <w:pPr>
        <w:pStyle w:val="20"/>
        <w:spacing w:line="400" w:lineRule="exact"/>
        <w:ind w:firstLine="31680"/>
        <w:rPr>
          <w:rFonts w:ascii="宋体"/>
          <w:color w:val="auto"/>
          <w:sz w:val="21"/>
          <w:szCs w:val="21"/>
        </w:rPr>
      </w:pPr>
      <w:r>
        <w:rPr>
          <w:rFonts w:ascii="宋体" w:hAnsi="宋体" w:cs="宋体"/>
          <w:color w:val="auto"/>
          <w:sz w:val="21"/>
          <w:szCs w:val="21"/>
        </w:rPr>
        <w:t>5</w:t>
      </w:r>
      <w:r>
        <w:rPr>
          <w:rFonts w:hint="eastAsia" w:ascii="宋体" w:hAnsi="宋体" w:cs="宋体"/>
          <w:color w:val="auto"/>
          <w:sz w:val="21"/>
          <w:szCs w:val="21"/>
        </w:rPr>
        <w:t>、依法缴纳近</w:t>
      </w:r>
      <w:r>
        <w:rPr>
          <w:rFonts w:ascii="宋体" w:hAnsi="宋体" w:cs="宋体"/>
          <w:color w:val="auto"/>
          <w:sz w:val="21"/>
          <w:szCs w:val="21"/>
        </w:rPr>
        <w:t>6</w:t>
      </w:r>
      <w:r>
        <w:rPr>
          <w:rFonts w:hint="eastAsia" w:ascii="宋体" w:hAnsi="宋体" w:cs="宋体"/>
          <w:color w:val="auto"/>
          <w:sz w:val="21"/>
          <w:szCs w:val="21"/>
        </w:rPr>
        <w:t>个月任意一个月社会保险的凭据；</w:t>
      </w:r>
    </w:p>
    <w:p>
      <w:pPr>
        <w:pStyle w:val="20"/>
        <w:spacing w:line="400" w:lineRule="exact"/>
        <w:ind w:firstLine="31680"/>
        <w:rPr>
          <w:rFonts w:ascii="宋体"/>
          <w:color w:val="auto"/>
          <w:sz w:val="21"/>
          <w:szCs w:val="21"/>
        </w:rPr>
      </w:pPr>
      <w:r>
        <w:rPr>
          <w:rFonts w:ascii="宋体" w:hAnsi="宋体" w:cs="宋体"/>
          <w:color w:val="auto"/>
          <w:sz w:val="21"/>
          <w:szCs w:val="21"/>
        </w:rPr>
        <w:t>6</w:t>
      </w:r>
      <w:r>
        <w:rPr>
          <w:rFonts w:hint="eastAsia" w:ascii="宋体" w:hAnsi="宋体" w:cs="宋体"/>
          <w:color w:val="auto"/>
          <w:sz w:val="21"/>
          <w:szCs w:val="21"/>
        </w:rPr>
        <w:t>、提供税务部门出具的近</w:t>
      </w:r>
      <w:r>
        <w:rPr>
          <w:rFonts w:ascii="宋体" w:hAnsi="宋体" w:cs="宋体"/>
          <w:color w:val="auto"/>
          <w:sz w:val="21"/>
          <w:szCs w:val="21"/>
        </w:rPr>
        <w:t>6</w:t>
      </w:r>
      <w:r>
        <w:rPr>
          <w:rFonts w:hint="eastAsia" w:ascii="宋体" w:hAnsi="宋体" w:cs="宋体"/>
          <w:color w:val="auto"/>
          <w:sz w:val="21"/>
          <w:szCs w:val="21"/>
        </w:rPr>
        <w:t>个月任意一个月的完税证明；</w:t>
      </w:r>
    </w:p>
    <w:p>
      <w:pPr>
        <w:pStyle w:val="20"/>
        <w:spacing w:line="400" w:lineRule="exact"/>
        <w:ind w:firstLine="31680"/>
        <w:rPr>
          <w:rFonts w:ascii="宋体"/>
          <w:color w:val="auto"/>
          <w:sz w:val="21"/>
          <w:szCs w:val="21"/>
        </w:rPr>
      </w:pPr>
      <w:r>
        <w:rPr>
          <w:rFonts w:ascii="宋体" w:hAnsi="宋体" w:cs="宋体"/>
          <w:color w:val="auto"/>
          <w:sz w:val="21"/>
          <w:szCs w:val="21"/>
        </w:rPr>
        <w:t>7</w:t>
      </w:r>
      <w:r>
        <w:rPr>
          <w:rFonts w:hint="eastAsia" w:ascii="宋体" w:hAnsi="宋体" w:cs="宋体"/>
          <w:color w:val="auto"/>
          <w:sz w:val="21"/>
          <w:szCs w:val="21"/>
        </w:rPr>
        <w:t>、根据《财政部关于在政府采购活动中查询及使用信用记录有关问题的通知》（财库﹝</w:t>
      </w:r>
      <w:r>
        <w:rPr>
          <w:rFonts w:ascii="宋体" w:hAnsi="宋体" w:cs="宋体"/>
          <w:color w:val="auto"/>
          <w:sz w:val="21"/>
          <w:szCs w:val="21"/>
        </w:rPr>
        <w:t>2016</w:t>
      </w:r>
      <w:r>
        <w:rPr>
          <w:rFonts w:hint="eastAsia" w:ascii="宋体" w:hAnsi="宋体" w:cs="宋体"/>
          <w:color w:val="auto"/>
          <w:sz w:val="21"/>
          <w:szCs w:val="21"/>
        </w:rPr>
        <w:t>﹞</w:t>
      </w:r>
      <w:r>
        <w:rPr>
          <w:rFonts w:ascii="宋体" w:hAnsi="宋体" w:cs="宋体"/>
          <w:color w:val="auto"/>
          <w:sz w:val="21"/>
          <w:szCs w:val="21"/>
        </w:rPr>
        <w:t>125</w:t>
      </w:r>
      <w:r>
        <w:rPr>
          <w:rFonts w:hint="eastAsia" w:ascii="宋体" w:hAnsi="宋体" w:cs="宋体"/>
          <w:color w:val="auto"/>
          <w:sz w:val="21"/>
          <w:szCs w:val="21"/>
        </w:rPr>
        <w:t>号）的要求，凡拟参加本次招标项目的供应商，如在“信用中国”网站（</w:t>
      </w:r>
      <w:r>
        <w:rPr>
          <w:rFonts w:ascii="宋体" w:hAnsi="宋体" w:cs="宋体"/>
          <w:color w:val="auto"/>
          <w:sz w:val="21"/>
          <w:szCs w:val="21"/>
        </w:rPr>
        <w:t xml:space="preserve"> www.creditchina.gov.cn</w:t>
      </w:r>
      <w:r>
        <w:rPr>
          <w:rFonts w:hint="eastAsia" w:ascii="宋体" w:hAnsi="宋体" w:cs="宋体"/>
          <w:color w:val="auto"/>
          <w:sz w:val="21"/>
          <w:szCs w:val="21"/>
        </w:rPr>
        <w:t>）</w:t>
      </w:r>
      <w:r>
        <w:rPr>
          <w:rFonts w:ascii="宋体" w:hAnsi="宋体" w:cs="宋体"/>
          <w:color w:val="auto"/>
          <w:sz w:val="21"/>
          <w:szCs w:val="21"/>
        </w:rPr>
        <w:t xml:space="preserve"> </w:t>
      </w:r>
      <w:r>
        <w:rPr>
          <w:rFonts w:hint="eastAsia" w:ascii="宋体" w:hAnsi="宋体" w:cs="宋体"/>
          <w:color w:val="auto"/>
          <w:sz w:val="21"/>
          <w:szCs w:val="21"/>
        </w:rPr>
        <w:t>被列入失信被执行人、重大税收违法案件当事人名单</w:t>
      </w:r>
      <w:r>
        <w:rPr>
          <w:rFonts w:ascii="宋体" w:hAnsi="宋体" w:cs="宋体"/>
          <w:color w:val="auto"/>
          <w:sz w:val="21"/>
          <w:szCs w:val="21"/>
        </w:rPr>
        <w:t>(</w:t>
      </w:r>
      <w:r>
        <w:rPr>
          <w:rFonts w:hint="eastAsia" w:ascii="宋体" w:hAnsi="宋体" w:cs="宋体"/>
          <w:color w:val="auto"/>
          <w:sz w:val="21"/>
          <w:szCs w:val="21"/>
        </w:rPr>
        <w:t>信用服务</w:t>
      </w:r>
      <w:r>
        <w:rPr>
          <w:rFonts w:ascii="宋体" w:cs="宋体"/>
          <w:color w:val="auto"/>
          <w:sz w:val="21"/>
          <w:szCs w:val="21"/>
        </w:rPr>
        <w:t>-</w:t>
      </w:r>
      <w:r>
        <w:rPr>
          <w:rFonts w:hint="eastAsia" w:ascii="宋体" w:hAnsi="宋体" w:cs="宋体"/>
          <w:color w:val="auto"/>
          <w:sz w:val="21"/>
          <w:szCs w:val="21"/>
        </w:rPr>
        <w:t>失信惩戒对象查询</w:t>
      </w:r>
      <w:r>
        <w:rPr>
          <w:rFonts w:ascii="宋体" w:cs="宋体"/>
          <w:color w:val="auto"/>
          <w:sz w:val="21"/>
          <w:szCs w:val="21"/>
        </w:rPr>
        <w:t>-</w:t>
      </w:r>
      <w:r>
        <w:rPr>
          <w:rFonts w:hint="eastAsia" w:ascii="宋体" w:hAnsi="宋体" w:cs="宋体"/>
          <w:color w:val="auto"/>
          <w:sz w:val="21"/>
          <w:szCs w:val="21"/>
        </w:rPr>
        <w:t>搜索栏输入单位全称</w:t>
      </w:r>
      <w:r>
        <w:rPr>
          <w:rFonts w:ascii="宋体" w:cs="宋体"/>
          <w:color w:val="auto"/>
          <w:sz w:val="21"/>
          <w:szCs w:val="21"/>
        </w:rPr>
        <w:t>-</w:t>
      </w:r>
      <w:r>
        <w:rPr>
          <w:rFonts w:hint="eastAsia" w:ascii="宋体" w:hAnsi="宋体" w:cs="宋体"/>
          <w:color w:val="auto"/>
          <w:sz w:val="21"/>
          <w:szCs w:val="21"/>
        </w:rPr>
        <w:t>截图</w:t>
      </w:r>
      <w:r>
        <w:rPr>
          <w:rFonts w:ascii="宋体" w:hAnsi="宋体" w:cs="宋体"/>
          <w:color w:val="auto"/>
          <w:sz w:val="21"/>
          <w:szCs w:val="21"/>
        </w:rPr>
        <w:t>)</w:t>
      </w:r>
      <w:r>
        <w:rPr>
          <w:rFonts w:hint="eastAsia" w:ascii="宋体" w:hAnsi="宋体" w:cs="宋体"/>
          <w:color w:val="auto"/>
          <w:sz w:val="21"/>
          <w:szCs w:val="21"/>
        </w:rPr>
        <w:t>、中国政府采购网（</w:t>
      </w:r>
      <w:r>
        <w:rPr>
          <w:rFonts w:ascii="宋体" w:hAnsi="宋体" w:cs="宋体"/>
          <w:color w:val="auto"/>
          <w:sz w:val="21"/>
          <w:szCs w:val="21"/>
        </w:rPr>
        <w:t>http://www.ccgp.gov.cn/search/cr/</w:t>
      </w:r>
      <w:r>
        <w:rPr>
          <w:rFonts w:hint="eastAsia" w:ascii="宋体" w:hAnsi="宋体" w:cs="宋体"/>
          <w:color w:val="auto"/>
          <w:sz w:val="21"/>
          <w:szCs w:val="21"/>
        </w:rPr>
        <w:t>）严重违法失信行为记录名单的（尚在处罚期内的），“国家企业信用信息公示系统（</w:t>
      </w:r>
      <w:r>
        <w:rPr>
          <w:rFonts w:ascii="宋体" w:hAnsi="宋体" w:cs="宋体"/>
          <w:color w:val="auto"/>
          <w:sz w:val="21"/>
          <w:szCs w:val="21"/>
        </w:rPr>
        <w:t>http://www.gsxt.gov.cn</w:t>
      </w:r>
      <w:r>
        <w:rPr>
          <w:rFonts w:hint="eastAsia" w:ascii="宋体" w:hAnsi="宋体" w:cs="宋体"/>
          <w:color w:val="auto"/>
          <w:sz w:val="21"/>
          <w:szCs w:val="21"/>
        </w:rPr>
        <w:t>）”列入经营异常名录信息、列入严重违法失信企业名单（黑名单）信息及企业信用信息公示报告；将拒绝其参加本次招标活动；</w:t>
      </w:r>
    </w:p>
    <w:p>
      <w:pPr>
        <w:pStyle w:val="12"/>
        <w:spacing w:line="500" w:lineRule="exact"/>
        <w:ind w:left="1079" w:leftChars="257" w:hanging="539"/>
        <w:jc w:val="left"/>
        <w:rPr>
          <w:rFonts w:hAnsi="宋体" w:cs="Times New Roman"/>
          <w:color w:val="auto"/>
        </w:rPr>
      </w:pPr>
      <w:r>
        <w:rPr>
          <w:rFonts w:hAnsi="宋体"/>
          <w:color w:val="auto"/>
        </w:rPr>
        <w:t>8</w:t>
      </w:r>
      <w:r>
        <w:rPr>
          <w:rFonts w:hint="eastAsia" w:hAnsi="宋体"/>
          <w:color w:val="auto"/>
        </w:rPr>
        <w:t>、参与政府采购活动前</w:t>
      </w:r>
      <w:r>
        <w:rPr>
          <w:rFonts w:hAnsi="宋体"/>
          <w:color w:val="auto"/>
        </w:rPr>
        <w:t>3</w:t>
      </w:r>
      <w:r>
        <w:rPr>
          <w:rFonts w:hint="eastAsia" w:hAnsi="宋体"/>
          <w:color w:val="auto"/>
        </w:rPr>
        <w:t>年内未被列入失信、重大税收违法案件、财政部门禁止参加政府采购活动的承诺书；</w:t>
      </w:r>
    </w:p>
    <w:p>
      <w:pPr>
        <w:pStyle w:val="12"/>
        <w:spacing w:line="500" w:lineRule="exact"/>
        <w:ind w:left="1079" w:leftChars="257" w:hanging="539"/>
        <w:jc w:val="left"/>
        <w:rPr>
          <w:rFonts w:hAnsi="宋体" w:cs="Times New Roman"/>
          <w:color w:val="auto"/>
        </w:rPr>
      </w:pPr>
      <w:r>
        <w:rPr>
          <w:rFonts w:hAnsi="宋体"/>
          <w:color w:val="auto"/>
        </w:rPr>
        <w:t>9</w:t>
      </w:r>
      <w:r>
        <w:rPr>
          <w:rFonts w:hint="eastAsia" w:hAnsi="宋体"/>
          <w:color w:val="auto"/>
        </w:rPr>
        <w:t>、提供针对本次项目《反商业贿赂承诺书》；</w:t>
      </w:r>
    </w:p>
    <w:p>
      <w:pPr>
        <w:pStyle w:val="12"/>
        <w:spacing w:line="500" w:lineRule="exact"/>
        <w:ind w:left="1079" w:leftChars="257" w:hanging="539"/>
        <w:jc w:val="left"/>
        <w:rPr>
          <w:rFonts w:hAnsi="宋体" w:cs="Times New Roman"/>
          <w:color w:val="auto"/>
        </w:rPr>
      </w:pPr>
      <w:r>
        <w:rPr>
          <w:rFonts w:hAnsi="宋体"/>
          <w:color w:val="auto"/>
        </w:rPr>
        <w:t>10</w:t>
      </w:r>
      <w:r>
        <w:rPr>
          <w:rFonts w:hint="eastAsia" w:hAnsi="宋体"/>
          <w:color w:val="auto"/>
        </w:rPr>
        <w:t>、投标保证金银行转账回执单复印件；</w:t>
      </w:r>
    </w:p>
    <w:p>
      <w:pPr>
        <w:pStyle w:val="12"/>
        <w:spacing w:line="500" w:lineRule="exact"/>
        <w:ind w:left="1079" w:leftChars="257" w:hanging="539"/>
        <w:jc w:val="left"/>
        <w:rPr>
          <w:rFonts w:hAnsi="宋体" w:cs="Times New Roman"/>
          <w:color w:val="auto"/>
        </w:rPr>
      </w:pPr>
      <w:r>
        <w:rPr>
          <w:rFonts w:hAnsi="宋体"/>
          <w:color w:val="auto"/>
        </w:rPr>
        <w:t>11</w:t>
      </w:r>
      <w:r>
        <w:rPr>
          <w:rFonts w:hint="eastAsia" w:hAnsi="宋体"/>
          <w:color w:val="auto"/>
        </w:rPr>
        <w:t>、银行开户许可证复印件或银行基本账户信息</w:t>
      </w:r>
      <w:r>
        <w:rPr>
          <w:rFonts w:hAnsi="宋体"/>
          <w:color w:val="auto"/>
        </w:rPr>
        <w:t>(</w:t>
      </w:r>
      <w:r>
        <w:rPr>
          <w:rFonts w:hint="eastAsia" w:hAnsi="宋体"/>
          <w:color w:val="auto"/>
        </w:rPr>
        <w:t>包含：银行账号及开户行名称）；</w:t>
      </w:r>
    </w:p>
    <w:p>
      <w:pPr>
        <w:pStyle w:val="12"/>
        <w:spacing w:line="500" w:lineRule="exact"/>
        <w:ind w:left="1079" w:leftChars="257" w:hanging="539"/>
        <w:jc w:val="left"/>
        <w:rPr>
          <w:rFonts w:hAnsi="宋体" w:cs="Times New Roman"/>
          <w:color w:val="auto"/>
          <w:sz w:val="28"/>
          <w:szCs w:val="28"/>
        </w:rPr>
      </w:pPr>
      <w:r>
        <w:rPr>
          <w:rFonts w:hAnsi="宋体"/>
          <w:color w:val="auto"/>
        </w:rPr>
        <w:t>12</w:t>
      </w:r>
      <w:r>
        <w:rPr>
          <w:rFonts w:hint="eastAsia" w:hAnsi="宋体"/>
          <w:color w:val="auto"/>
        </w:rPr>
        <w:t>、供应商可提供有利于投标的其他资格证明材料。</w:t>
      </w:r>
    </w:p>
    <w:p>
      <w:pPr>
        <w:pStyle w:val="2"/>
        <w:rPr>
          <w:rFonts w:hAnsi="宋体" w:cs="Times New Roman"/>
          <w:color w:val="auto"/>
          <w:sz w:val="21"/>
          <w:szCs w:val="21"/>
        </w:rPr>
      </w:pPr>
    </w:p>
    <w:p>
      <w:pPr>
        <w:rPr>
          <w:rFonts w:ascii="宋体"/>
          <w:b/>
          <w:bCs/>
          <w:color w:val="auto"/>
        </w:rPr>
      </w:pPr>
      <w:bookmarkStart w:id="504" w:name="_Toc515647804"/>
      <w:bookmarkStart w:id="505" w:name="_Toc15286"/>
      <w:bookmarkStart w:id="506" w:name="_Toc16568"/>
      <w:bookmarkStart w:id="507" w:name="_Toc30524"/>
      <w:bookmarkStart w:id="508" w:name="_Toc10957"/>
    </w:p>
    <w:p>
      <w:pPr>
        <w:rPr>
          <w:rFonts w:ascii="宋体"/>
          <w:color w:val="auto"/>
        </w:rPr>
      </w:pPr>
      <w:bookmarkStart w:id="509" w:name="_Toc2679"/>
      <w:bookmarkStart w:id="510" w:name="_Toc5230"/>
      <w:bookmarkStart w:id="511" w:name="_Toc8165"/>
    </w:p>
    <w:p>
      <w:pPr>
        <w:pStyle w:val="20"/>
        <w:ind w:firstLine="31680"/>
        <w:rPr>
          <w:rFonts w:ascii="宋体"/>
          <w:color w:val="auto"/>
        </w:rPr>
      </w:pPr>
    </w:p>
    <w:p>
      <w:pPr>
        <w:pStyle w:val="20"/>
        <w:ind w:firstLine="31680"/>
        <w:rPr>
          <w:rFonts w:ascii="宋体"/>
          <w:color w:val="auto"/>
        </w:rPr>
      </w:pPr>
    </w:p>
    <w:p>
      <w:pPr>
        <w:pStyle w:val="20"/>
        <w:ind w:firstLine="31680"/>
        <w:rPr>
          <w:rFonts w:ascii="宋体"/>
          <w:color w:val="auto"/>
        </w:rPr>
      </w:pPr>
    </w:p>
    <w:p>
      <w:pPr>
        <w:pStyle w:val="4"/>
        <w:spacing w:before="0" w:line="240" w:lineRule="atLeast"/>
        <w:ind w:firstLine="3373" w:firstLineChars="1400"/>
        <w:jc w:val="both"/>
        <w:rPr>
          <w:rFonts w:ascii="宋体" w:hAnsi="宋体" w:eastAsia="宋体" w:cs="Times New Roman"/>
          <w:b/>
          <w:bCs/>
          <w:color w:val="auto"/>
          <w:sz w:val="24"/>
          <w:szCs w:val="24"/>
        </w:rPr>
      </w:pPr>
      <w:bookmarkStart w:id="512" w:name="_Toc11930"/>
      <w:r>
        <w:rPr>
          <w:rFonts w:ascii="宋体" w:hAnsi="宋体" w:eastAsia="宋体" w:cs="宋体"/>
          <w:b/>
          <w:bCs/>
          <w:color w:val="auto"/>
          <w:sz w:val="24"/>
          <w:szCs w:val="24"/>
        </w:rPr>
        <w:t xml:space="preserve">1  </w:t>
      </w:r>
      <w:r>
        <w:rPr>
          <w:rFonts w:hint="eastAsia" w:ascii="宋体" w:hAnsi="宋体" w:eastAsia="宋体" w:cs="宋体"/>
          <w:b/>
          <w:bCs/>
          <w:color w:val="auto"/>
          <w:sz w:val="24"/>
          <w:szCs w:val="24"/>
        </w:rPr>
        <w:t>开标一览表</w:t>
      </w:r>
      <w:bookmarkEnd w:id="504"/>
      <w:bookmarkEnd w:id="505"/>
      <w:bookmarkEnd w:id="506"/>
      <w:bookmarkEnd w:id="507"/>
      <w:bookmarkEnd w:id="508"/>
      <w:bookmarkEnd w:id="509"/>
      <w:bookmarkEnd w:id="510"/>
      <w:bookmarkEnd w:id="511"/>
      <w:bookmarkEnd w:id="512"/>
      <w:bookmarkStart w:id="513" w:name="_Hlt520356241"/>
      <w:bookmarkEnd w:id="513"/>
      <w:bookmarkStart w:id="514" w:name="_Toc494296984"/>
      <w:bookmarkStart w:id="515" w:name="_Toc480942349"/>
      <w:bookmarkStart w:id="516" w:name="_Ref467988698"/>
      <w:bookmarkStart w:id="517" w:name="_Toc216582813"/>
      <w:bookmarkStart w:id="518" w:name="_Toc520356217"/>
    </w:p>
    <w:p>
      <w:pPr>
        <w:pStyle w:val="2"/>
        <w:tabs>
          <w:tab w:val="left" w:pos="5580"/>
        </w:tabs>
        <w:spacing w:line="240" w:lineRule="atLeast"/>
        <w:ind w:left="1080" w:leftChars="257" w:hanging="540"/>
        <w:rPr>
          <w:rFonts w:hAnsi="宋体" w:cs="Times New Roman"/>
          <w:color w:val="auto"/>
        </w:rPr>
      </w:pPr>
    </w:p>
    <w:p>
      <w:pPr>
        <w:tabs>
          <w:tab w:val="left" w:pos="1800"/>
          <w:tab w:val="left" w:pos="5580"/>
        </w:tabs>
        <w:spacing w:line="240" w:lineRule="atLeast"/>
        <w:ind w:right="-867" w:rightChars="-413"/>
        <w:rPr>
          <w:rFonts w:ascii="宋体"/>
          <w:color w:val="auto"/>
          <w:sz w:val="24"/>
          <w:szCs w:val="24"/>
        </w:rPr>
      </w:pPr>
      <w:r>
        <w:rPr>
          <w:rFonts w:hint="eastAsia" w:ascii="宋体" w:hAnsi="宋体" w:cs="宋体"/>
          <w:color w:val="auto"/>
          <w:sz w:val="24"/>
          <w:szCs w:val="24"/>
        </w:rPr>
        <w:t>项目名称：　</w:t>
      </w:r>
      <w:r>
        <w:rPr>
          <w:rFonts w:ascii="宋体" w:hAnsi="宋体" w:cs="宋体"/>
          <w:color w:val="auto"/>
          <w:sz w:val="24"/>
          <w:szCs w:val="24"/>
        </w:rPr>
        <w:t xml:space="preserve">                          </w:t>
      </w:r>
      <w:r>
        <w:rPr>
          <w:rFonts w:hint="eastAsia" w:ascii="宋体" w:hAnsi="宋体" w:cs="宋体"/>
          <w:color w:val="auto"/>
          <w:sz w:val="24"/>
          <w:szCs w:val="24"/>
        </w:rPr>
        <w:t>项目编号：</w:t>
      </w:r>
      <w:r>
        <w:rPr>
          <w:rFonts w:ascii="宋体" w:hAnsi="宋体" w:cs="宋体"/>
          <w:color w:val="auto"/>
          <w:sz w:val="24"/>
          <w:szCs w:val="24"/>
        </w:rPr>
        <w:t xml:space="preserve">                 </w:t>
      </w:r>
    </w:p>
    <w:p>
      <w:pPr>
        <w:tabs>
          <w:tab w:val="left" w:pos="1800"/>
          <w:tab w:val="left" w:pos="5580"/>
        </w:tabs>
        <w:spacing w:line="240" w:lineRule="atLeast"/>
        <w:ind w:right="-867" w:rightChars="-413"/>
        <w:rPr>
          <w:rFonts w:ascii="宋体"/>
          <w:color w:val="auto"/>
          <w:sz w:val="24"/>
          <w:szCs w:val="24"/>
        </w:rPr>
      </w:pPr>
    </w:p>
    <w:p>
      <w:pPr>
        <w:tabs>
          <w:tab w:val="left" w:pos="1800"/>
          <w:tab w:val="left" w:pos="5580"/>
        </w:tabs>
        <w:spacing w:line="240" w:lineRule="atLeast"/>
        <w:ind w:right="-867" w:rightChars="-413"/>
        <w:rPr>
          <w:rFonts w:ascii="宋体"/>
          <w:color w:val="auto"/>
          <w:sz w:val="24"/>
          <w:szCs w:val="24"/>
        </w:rPr>
      </w:pPr>
      <w:r>
        <w:rPr>
          <w:rFonts w:hint="eastAsia" w:ascii="宋体" w:hAnsi="宋体" w:cs="宋体"/>
          <w:color w:val="auto"/>
          <w:sz w:val="24"/>
          <w:szCs w:val="24"/>
        </w:rPr>
        <w:t>报价单位：人民币</w:t>
      </w:r>
      <w:r>
        <w:rPr>
          <w:rFonts w:ascii="宋体" w:hAnsi="宋体" w:cs="宋体"/>
          <w:color w:val="auto"/>
          <w:sz w:val="24"/>
          <w:szCs w:val="24"/>
        </w:rPr>
        <w:t xml:space="preserve">  </w:t>
      </w:r>
      <w:r>
        <w:rPr>
          <w:rFonts w:hint="eastAsia" w:ascii="宋体" w:hAnsi="宋体" w:cs="宋体"/>
          <w:b/>
          <w:bCs/>
          <w:color w:val="auto"/>
          <w:sz w:val="24"/>
          <w:szCs w:val="24"/>
        </w:rPr>
        <w:t>元</w:t>
      </w:r>
      <w:r>
        <w:rPr>
          <w:rFonts w:ascii="宋体" w:hAnsi="宋体" w:cs="宋体"/>
          <w:b/>
          <w:bCs/>
          <w:color w:val="auto"/>
          <w:sz w:val="24"/>
          <w:szCs w:val="24"/>
        </w:rPr>
        <w:t xml:space="preserve">                  </w:t>
      </w:r>
      <w:r>
        <w:rPr>
          <w:rFonts w:hint="eastAsia" w:ascii="宋体" w:hAnsi="宋体" w:cs="宋体"/>
          <w:color w:val="auto"/>
          <w:sz w:val="24"/>
          <w:szCs w:val="24"/>
        </w:rPr>
        <w:t>包号：</w:t>
      </w:r>
      <w:r>
        <w:rPr>
          <w:rFonts w:ascii="宋体" w:hAnsi="宋体" w:cs="宋体"/>
          <w:color w:val="auto"/>
          <w:sz w:val="24"/>
          <w:szCs w:val="24"/>
        </w:rPr>
        <w:t xml:space="preserve">       </w:t>
      </w:r>
    </w:p>
    <w:tbl>
      <w:tblPr>
        <w:tblStyle w:val="21"/>
        <w:tblW w:w="9358" w:type="dxa"/>
        <w:tblInd w:w="2" w:type="dxa"/>
        <w:tblLayout w:type="fixed"/>
        <w:tblCellMar>
          <w:top w:w="0" w:type="dxa"/>
          <w:left w:w="0" w:type="dxa"/>
          <w:bottom w:w="0" w:type="dxa"/>
          <w:right w:w="0" w:type="dxa"/>
        </w:tblCellMar>
      </w:tblPr>
      <w:tblGrid>
        <w:gridCol w:w="1214"/>
        <w:gridCol w:w="2215"/>
        <w:gridCol w:w="1675"/>
        <w:gridCol w:w="2127"/>
        <w:gridCol w:w="2127"/>
      </w:tblGrid>
      <w:tr>
        <w:tblPrEx>
          <w:tblCellMar>
            <w:top w:w="0" w:type="dxa"/>
            <w:left w:w="0" w:type="dxa"/>
            <w:bottom w:w="0" w:type="dxa"/>
            <w:right w:w="0" w:type="dxa"/>
          </w:tblCellMar>
        </w:tblPrEx>
        <w:trPr>
          <w:trHeight w:val="631" w:hRule="atLeast"/>
        </w:trPr>
        <w:tc>
          <w:tcPr>
            <w:tcW w:w="1214"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ascii="宋体"/>
                <w:color w:val="auto"/>
                <w:sz w:val="24"/>
                <w:szCs w:val="24"/>
              </w:rPr>
            </w:pPr>
            <w:r>
              <w:rPr>
                <w:rFonts w:hint="eastAsia" w:ascii="宋体" w:hAnsi="宋体" w:cs="宋体"/>
                <w:color w:val="auto"/>
                <w:sz w:val="24"/>
                <w:szCs w:val="24"/>
              </w:rPr>
              <w:t>货物内容</w:t>
            </w:r>
          </w:p>
        </w:tc>
        <w:tc>
          <w:tcPr>
            <w:tcW w:w="2215"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宋体"/>
                <w:color w:val="auto"/>
                <w:sz w:val="24"/>
                <w:szCs w:val="24"/>
              </w:rPr>
            </w:pPr>
            <w:r>
              <w:rPr>
                <w:rFonts w:hint="eastAsia" w:ascii="宋体" w:hAnsi="宋体" w:cs="宋体"/>
                <w:color w:val="auto"/>
                <w:sz w:val="24"/>
                <w:szCs w:val="24"/>
              </w:rPr>
              <w:t>投标总价</w:t>
            </w:r>
          </w:p>
        </w:tc>
        <w:tc>
          <w:tcPr>
            <w:tcW w:w="167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宋体"/>
                <w:color w:val="auto"/>
                <w:sz w:val="24"/>
                <w:szCs w:val="24"/>
              </w:rPr>
            </w:pPr>
            <w:r>
              <w:rPr>
                <w:rFonts w:hint="eastAsia" w:ascii="宋体" w:hAnsi="宋体" w:cs="宋体"/>
                <w:color w:val="auto"/>
                <w:sz w:val="24"/>
                <w:szCs w:val="24"/>
              </w:rPr>
              <w:t>投标保证金</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宋体"/>
                <w:color w:val="auto"/>
                <w:sz w:val="24"/>
                <w:szCs w:val="24"/>
              </w:rPr>
            </w:pPr>
            <w:r>
              <w:rPr>
                <w:rFonts w:hint="eastAsia" w:ascii="宋体" w:hAnsi="宋体" w:cs="宋体"/>
                <w:color w:val="auto"/>
                <w:sz w:val="24"/>
                <w:szCs w:val="24"/>
              </w:rPr>
              <w:t>建设周期</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宋体"/>
                <w:color w:val="auto"/>
                <w:sz w:val="24"/>
                <w:szCs w:val="24"/>
              </w:rPr>
            </w:pPr>
            <w:r>
              <w:rPr>
                <w:rFonts w:hint="eastAsia" w:ascii="宋体" w:hAnsi="宋体" w:cs="宋体"/>
                <w:color w:val="auto"/>
                <w:sz w:val="24"/>
                <w:szCs w:val="24"/>
              </w:rPr>
              <w:t>备注</w:t>
            </w:r>
          </w:p>
        </w:tc>
      </w:tr>
      <w:tr>
        <w:tblPrEx>
          <w:tblCellMar>
            <w:top w:w="0" w:type="dxa"/>
            <w:left w:w="0" w:type="dxa"/>
            <w:bottom w:w="0" w:type="dxa"/>
            <w:right w:w="0" w:type="dxa"/>
          </w:tblCellMar>
        </w:tblPrEx>
        <w:trPr>
          <w:cantSplit/>
          <w:trHeight w:val="1545" w:hRule="atLeast"/>
        </w:trPr>
        <w:tc>
          <w:tcPr>
            <w:tcW w:w="1214"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ascii="宋体"/>
                <w:color w:val="auto"/>
                <w:sz w:val="24"/>
                <w:szCs w:val="24"/>
              </w:rPr>
            </w:pPr>
          </w:p>
        </w:tc>
        <w:tc>
          <w:tcPr>
            <w:tcW w:w="2215"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ascii="宋体"/>
                <w:color w:val="auto"/>
                <w:sz w:val="24"/>
                <w:szCs w:val="24"/>
              </w:rPr>
            </w:pPr>
            <w:r>
              <w:rPr>
                <w:rFonts w:hint="eastAsia" w:ascii="宋体" w:hAnsi="宋体" w:cs="宋体"/>
                <w:color w:val="auto"/>
                <w:sz w:val="24"/>
                <w:szCs w:val="24"/>
              </w:rPr>
              <w:t>大写：</w:t>
            </w:r>
          </w:p>
          <w:p>
            <w:pPr>
              <w:tabs>
                <w:tab w:val="left" w:pos="5580"/>
              </w:tabs>
              <w:spacing w:line="240" w:lineRule="atLeast"/>
              <w:jc w:val="left"/>
              <w:rPr>
                <w:rFonts w:ascii="宋体"/>
                <w:color w:val="auto"/>
                <w:sz w:val="24"/>
                <w:szCs w:val="24"/>
              </w:rPr>
            </w:pPr>
            <w:r>
              <w:rPr>
                <w:rFonts w:hint="eastAsia" w:ascii="宋体" w:hAnsi="宋体" w:cs="宋体"/>
                <w:color w:val="auto"/>
                <w:sz w:val="24"/>
                <w:szCs w:val="24"/>
              </w:rPr>
              <w:t>小写：</w:t>
            </w:r>
          </w:p>
        </w:tc>
        <w:tc>
          <w:tcPr>
            <w:tcW w:w="167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宋体"/>
                <w:color w:val="auto"/>
                <w:sz w:val="24"/>
                <w:szCs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ascii="宋体"/>
                <w:color w:val="auto"/>
                <w:sz w:val="24"/>
                <w:szCs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ascii="宋体"/>
                <w:color w:val="auto"/>
                <w:sz w:val="24"/>
                <w:szCs w:val="24"/>
              </w:rPr>
            </w:pPr>
          </w:p>
        </w:tc>
      </w:tr>
    </w:tbl>
    <w:p>
      <w:pPr>
        <w:pStyle w:val="12"/>
        <w:tabs>
          <w:tab w:val="left" w:pos="5580"/>
        </w:tabs>
        <w:spacing w:line="240" w:lineRule="atLeast"/>
        <w:ind w:left="1080" w:leftChars="257" w:hanging="540"/>
        <w:rPr>
          <w:rFonts w:hAnsi="宋体" w:cs="Times New Roman"/>
          <w:color w:val="auto"/>
          <w:sz w:val="24"/>
          <w:szCs w:val="24"/>
        </w:rPr>
      </w:pPr>
    </w:p>
    <w:p>
      <w:pPr>
        <w:pStyle w:val="12"/>
        <w:tabs>
          <w:tab w:val="left" w:pos="5580"/>
        </w:tabs>
        <w:spacing w:line="240" w:lineRule="atLeast"/>
        <w:ind w:left="1080" w:leftChars="257" w:hanging="540"/>
        <w:rPr>
          <w:rFonts w:hAnsi="宋体" w:cs="Times New Roman"/>
          <w:color w:val="auto"/>
          <w:sz w:val="24"/>
          <w:szCs w:val="24"/>
          <w:u w:val="single"/>
        </w:rPr>
      </w:pPr>
    </w:p>
    <w:p>
      <w:pPr>
        <w:pStyle w:val="12"/>
        <w:tabs>
          <w:tab w:val="left" w:pos="5580"/>
        </w:tabs>
        <w:spacing w:line="240" w:lineRule="atLeast"/>
        <w:ind w:left="1080" w:leftChars="257" w:hanging="540"/>
        <w:rPr>
          <w:rFonts w:hAnsi="宋体" w:cs="Times New Roman"/>
          <w:color w:val="auto"/>
          <w:sz w:val="24"/>
          <w:szCs w:val="24"/>
        </w:rPr>
      </w:pPr>
      <w:r>
        <w:rPr>
          <w:rFonts w:hint="eastAsia" w:hAnsi="宋体"/>
          <w:color w:val="auto"/>
          <w:sz w:val="24"/>
          <w:szCs w:val="24"/>
        </w:rPr>
        <w:t>供应商名称（公章）：</w:t>
      </w:r>
      <w:r>
        <w:rPr>
          <w:rFonts w:hAnsi="宋体"/>
          <w:color w:val="auto"/>
          <w:sz w:val="24"/>
          <w:szCs w:val="24"/>
          <w:u w:val="single"/>
        </w:rPr>
        <w:t xml:space="preserve">                       </w:t>
      </w:r>
    </w:p>
    <w:p>
      <w:pPr>
        <w:pStyle w:val="12"/>
        <w:tabs>
          <w:tab w:val="left" w:pos="5580"/>
        </w:tabs>
        <w:spacing w:line="240" w:lineRule="atLeast"/>
        <w:ind w:left="1080" w:leftChars="257" w:hanging="540"/>
        <w:rPr>
          <w:rFonts w:hAnsi="宋体" w:cs="Times New Roman"/>
          <w:color w:val="auto"/>
          <w:sz w:val="24"/>
          <w:szCs w:val="24"/>
          <w:u w:val="single"/>
        </w:rPr>
      </w:pPr>
      <w:r>
        <w:rPr>
          <w:rFonts w:hint="eastAsia" w:hAnsi="宋体"/>
          <w:color w:val="auto"/>
          <w:sz w:val="24"/>
          <w:szCs w:val="24"/>
        </w:rPr>
        <w:t>法定代表人或委托代理</w:t>
      </w:r>
      <w:r>
        <w:rPr>
          <w:rFonts w:hAnsi="宋体"/>
          <w:color w:val="auto"/>
          <w:sz w:val="24"/>
          <w:szCs w:val="24"/>
        </w:rPr>
        <w:t>(</w:t>
      </w:r>
      <w:r>
        <w:rPr>
          <w:rFonts w:hint="eastAsia" w:hAnsi="宋体"/>
          <w:color w:val="auto"/>
          <w:sz w:val="24"/>
          <w:szCs w:val="24"/>
        </w:rPr>
        <w:t>签字</w:t>
      </w:r>
      <w:r>
        <w:rPr>
          <w:rFonts w:hAnsi="宋体"/>
          <w:color w:val="auto"/>
          <w:sz w:val="24"/>
          <w:szCs w:val="24"/>
        </w:rPr>
        <w:t>):</w:t>
      </w:r>
      <w:r>
        <w:rPr>
          <w:rFonts w:hAnsi="宋体" w:cs="Times New Roman"/>
          <w:color w:val="auto"/>
          <w:sz w:val="24"/>
          <w:szCs w:val="24"/>
          <w:u w:val="single"/>
        </w:rPr>
        <w:tab/>
      </w:r>
    </w:p>
    <w:p>
      <w:pPr>
        <w:pStyle w:val="12"/>
        <w:tabs>
          <w:tab w:val="left" w:pos="5580"/>
        </w:tabs>
        <w:spacing w:line="240" w:lineRule="atLeast"/>
        <w:ind w:left="1080" w:leftChars="257" w:hanging="540"/>
        <w:rPr>
          <w:rFonts w:hAnsi="宋体" w:cs="Times New Roman"/>
          <w:color w:val="auto"/>
          <w:sz w:val="24"/>
          <w:szCs w:val="24"/>
        </w:rPr>
      </w:pPr>
    </w:p>
    <w:p>
      <w:pPr>
        <w:pStyle w:val="12"/>
        <w:tabs>
          <w:tab w:val="left" w:pos="5580"/>
        </w:tabs>
        <w:spacing w:line="240" w:lineRule="atLeast"/>
        <w:ind w:left="1080" w:leftChars="257" w:hanging="540"/>
        <w:rPr>
          <w:rFonts w:hAnsi="宋体" w:cs="Times New Roman"/>
          <w:color w:val="auto"/>
          <w:sz w:val="24"/>
          <w:szCs w:val="24"/>
        </w:rPr>
      </w:pPr>
      <w:r>
        <w:rPr>
          <w:rFonts w:hint="eastAsia" w:hAnsi="宋体"/>
          <w:color w:val="auto"/>
          <w:sz w:val="24"/>
          <w:szCs w:val="24"/>
        </w:rPr>
        <w:t>注</w:t>
      </w:r>
      <w:r>
        <w:rPr>
          <w:rFonts w:hAnsi="宋体"/>
          <w:color w:val="auto"/>
          <w:sz w:val="24"/>
          <w:szCs w:val="24"/>
        </w:rPr>
        <w:t>:1</w:t>
      </w:r>
      <w:r>
        <w:rPr>
          <w:rFonts w:hint="eastAsia" w:hAnsi="宋体"/>
          <w:color w:val="auto"/>
          <w:sz w:val="24"/>
          <w:szCs w:val="24"/>
        </w:rPr>
        <w:t>、此表应按供应商须知的规定装订密封。</w:t>
      </w:r>
    </w:p>
    <w:p>
      <w:pPr>
        <w:pStyle w:val="12"/>
        <w:numPr>
          <w:ilvl w:val="0"/>
          <w:numId w:val="5"/>
        </w:numPr>
        <w:tabs>
          <w:tab w:val="left" w:pos="5580"/>
        </w:tabs>
        <w:spacing w:line="240" w:lineRule="atLeast"/>
        <w:ind w:left="1079" w:leftChars="428" w:hanging="180" w:hangingChars="75"/>
        <w:rPr>
          <w:rFonts w:hAnsi="宋体" w:cs="Times New Roman"/>
          <w:color w:val="auto"/>
          <w:sz w:val="24"/>
          <w:szCs w:val="24"/>
        </w:rPr>
      </w:pPr>
      <w:r>
        <w:rPr>
          <w:rFonts w:hint="eastAsia" w:hAnsi="宋体"/>
          <w:color w:val="auto"/>
          <w:sz w:val="24"/>
          <w:szCs w:val="24"/>
        </w:rPr>
        <w:t>此表中，每包的投标总价应和投标分项报价表的总价相一致。</w:t>
      </w:r>
    </w:p>
    <w:p>
      <w:pPr>
        <w:pStyle w:val="12"/>
        <w:numPr>
          <w:ilvl w:val="0"/>
          <w:numId w:val="5"/>
        </w:numPr>
        <w:tabs>
          <w:tab w:val="left" w:pos="5580"/>
        </w:tabs>
        <w:spacing w:line="240" w:lineRule="atLeast"/>
        <w:ind w:left="1079" w:leftChars="428" w:hanging="180" w:hangingChars="75"/>
        <w:rPr>
          <w:rFonts w:hAnsi="宋体" w:cs="Times New Roman"/>
          <w:color w:val="auto"/>
          <w:sz w:val="24"/>
          <w:szCs w:val="24"/>
        </w:rPr>
      </w:pPr>
      <w:r>
        <w:rPr>
          <w:rFonts w:hint="eastAsia" w:hAnsi="宋体"/>
          <w:color w:val="auto"/>
          <w:sz w:val="24"/>
          <w:szCs w:val="24"/>
        </w:rPr>
        <w:t>此报价中包含运费、安装调试等杂费。</w:t>
      </w:r>
    </w:p>
    <w:p>
      <w:pPr>
        <w:rPr>
          <w:rFonts w:ascii="宋体"/>
          <w:color w:val="auto"/>
          <w:sz w:val="24"/>
          <w:szCs w:val="24"/>
        </w:rPr>
      </w:pPr>
      <w:r>
        <w:rPr>
          <w:rFonts w:ascii="宋体" w:hAnsi="宋体" w:cs="宋体"/>
          <w:color w:val="auto"/>
          <w:sz w:val="24"/>
          <w:szCs w:val="24"/>
        </w:rPr>
        <w:t xml:space="preserve"> </w:t>
      </w:r>
      <w:bookmarkEnd w:id="514"/>
      <w:bookmarkStart w:id="519" w:name="_Toc31862"/>
    </w:p>
    <w:p>
      <w:pPr>
        <w:rPr>
          <w:rFonts w:ascii="宋体"/>
          <w:color w:val="auto"/>
          <w:sz w:val="24"/>
          <w:szCs w:val="24"/>
        </w:rPr>
      </w:pPr>
    </w:p>
    <w:p>
      <w:pPr>
        <w:rPr>
          <w:rFonts w:ascii="宋体"/>
          <w:color w:val="auto"/>
          <w:sz w:val="24"/>
          <w:szCs w:val="24"/>
        </w:rPr>
      </w:pPr>
    </w:p>
    <w:p>
      <w:pPr>
        <w:pStyle w:val="2"/>
        <w:rPr>
          <w:rFonts w:hAnsi="宋体" w:cs="Times New Roman"/>
          <w:color w:val="auto"/>
        </w:rPr>
      </w:pPr>
    </w:p>
    <w:p>
      <w:pPr>
        <w:pStyle w:val="2"/>
        <w:rPr>
          <w:rFonts w:hAnsi="宋体" w:cs="Times New Roman"/>
          <w:color w:val="auto"/>
        </w:rPr>
      </w:pPr>
    </w:p>
    <w:bookmarkEnd w:id="519"/>
    <w:p>
      <w:pPr>
        <w:pStyle w:val="16"/>
        <w:rPr>
          <w:rFonts w:ascii="宋体"/>
          <w:color w:val="auto"/>
        </w:rPr>
      </w:pPr>
    </w:p>
    <w:p>
      <w:pPr>
        <w:pStyle w:val="2"/>
        <w:rPr>
          <w:rFonts w:hAnsi="宋体" w:cs="Times New Roman"/>
          <w:b/>
          <w:bCs/>
          <w:color w:val="auto"/>
        </w:rPr>
      </w:pPr>
    </w:p>
    <w:p>
      <w:pPr>
        <w:pStyle w:val="2"/>
        <w:rPr>
          <w:rFonts w:hAnsi="宋体" w:cs="Times New Roman"/>
          <w:b/>
          <w:bCs/>
          <w:color w:val="auto"/>
        </w:rPr>
      </w:pPr>
    </w:p>
    <w:p>
      <w:pPr>
        <w:pStyle w:val="2"/>
        <w:outlineLvl w:val="1"/>
        <w:rPr>
          <w:rFonts w:hAnsi="宋体" w:cs="Times New Roman"/>
          <w:b/>
          <w:bCs/>
          <w:color w:val="auto"/>
        </w:rPr>
      </w:pPr>
      <w:bookmarkStart w:id="520" w:name="_Toc23503"/>
      <w:r>
        <w:rPr>
          <w:rFonts w:hAnsi="宋体"/>
          <w:b/>
          <w:bCs/>
          <w:color w:val="auto"/>
        </w:rPr>
        <w:t xml:space="preserve">2  </w:t>
      </w:r>
      <w:r>
        <w:rPr>
          <w:rFonts w:hint="eastAsia" w:hAnsi="宋体"/>
          <w:b/>
          <w:bCs/>
          <w:color w:val="auto"/>
        </w:rPr>
        <w:t>具有有效的独立法人营业执照；</w:t>
      </w:r>
      <w:bookmarkEnd w:id="520"/>
    </w:p>
    <w:p>
      <w:pPr>
        <w:pStyle w:val="20"/>
        <w:spacing w:line="400" w:lineRule="exact"/>
        <w:ind w:firstLine="0" w:firstLineChars="0"/>
        <w:rPr>
          <w:rFonts w:ascii="宋体"/>
          <w:b/>
          <w:bCs/>
          <w:color w:val="auto"/>
          <w:kern w:val="0"/>
        </w:rPr>
      </w:pPr>
    </w:p>
    <w:p>
      <w:pPr>
        <w:pStyle w:val="20"/>
        <w:spacing w:line="400" w:lineRule="exact"/>
        <w:ind w:firstLine="3168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pStyle w:val="20"/>
        <w:spacing w:line="400" w:lineRule="exact"/>
        <w:ind w:firstLine="0" w:firstLineChars="0"/>
        <w:rPr>
          <w:rFonts w:ascii="宋体"/>
          <w:b/>
          <w:bCs/>
          <w:color w:val="auto"/>
          <w:kern w:val="0"/>
        </w:rPr>
      </w:pPr>
    </w:p>
    <w:p>
      <w:pPr>
        <w:adjustRightInd w:val="0"/>
        <w:snapToGrid w:val="0"/>
        <w:spacing w:beforeLines="100" w:afterLines="100" w:line="360" w:lineRule="auto"/>
        <w:ind w:firstLine="482" w:firstLineChars="200"/>
        <w:outlineLvl w:val="1"/>
        <w:rPr>
          <w:rFonts w:ascii="宋体"/>
          <w:b/>
          <w:bCs/>
          <w:color w:val="auto"/>
          <w:kern w:val="0"/>
          <w:sz w:val="24"/>
          <w:szCs w:val="24"/>
        </w:rPr>
      </w:pPr>
      <w:bookmarkStart w:id="521" w:name="_Toc3477"/>
      <w:r>
        <w:rPr>
          <w:rFonts w:ascii="宋体" w:hAnsi="宋体" w:cs="宋体"/>
          <w:b/>
          <w:bCs/>
          <w:color w:val="auto"/>
          <w:kern w:val="0"/>
          <w:sz w:val="24"/>
          <w:szCs w:val="24"/>
        </w:rPr>
        <w:t xml:space="preserve">3  </w:t>
      </w:r>
      <w:r>
        <w:rPr>
          <w:rFonts w:hint="eastAsia" w:ascii="宋体" w:hAnsi="宋体" w:cs="宋体"/>
          <w:b/>
          <w:bCs/>
          <w:color w:val="auto"/>
          <w:kern w:val="0"/>
          <w:sz w:val="24"/>
          <w:szCs w:val="24"/>
        </w:rPr>
        <w:t>法人代表资格证明书及授权书、被授权人身份证；</w:t>
      </w:r>
      <w:r>
        <w:rPr>
          <w:rFonts w:ascii="宋体" w:hAnsi="宋体" w:cs="宋体"/>
          <w:b/>
          <w:bCs/>
          <w:color w:val="auto"/>
          <w:kern w:val="0"/>
          <w:sz w:val="24"/>
          <w:szCs w:val="24"/>
        </w:rPr>
        <w:t>(</w:t>
      </w:r>
      <w:r>
        <w:rPr>
          <w:rFonts w:hint="eastAsia" w:ascii="宋体" w:hAnsi="宋体" w:cs="宋体"/>
          <w:b/>
          <w:bCs/>
          <w:color w:val="auto"/>
          <w:kern w:val="0"/>
          <w:sz w:val="24"/>
          <w:szCs w:val="24"/>
        </w:rPr>
        <w:t>法人投标须提供法人身份证及法人代表资格证明书</w:t>
      </w:r>
      <w:r>
        <w:rPr>
          <w:rFonts w:ascii="宋体" w:hAnsi="宋体" w:cs="宋体"/>
          <w:b/>
          <w:bCs/>
          <w:color w:val="auto"/>
          <w:kern w:val="0"/>
          <w:sz w:val="24"/>
          <w:szCs w:val="24"/>
        </w:rPr>
        <w:t>)</w:t>
      </w:r>
      <w:r>
        <w:rPr>
          <w:rFonts w:hint="eastAsia" w:ascii="宋体" w:hAnsi="宋体" w:cs="宋体"/>
          <w:b/>
          <w:bCs/>
          <w:color w:val="auto"/>
          <w:kern w:val="0"/>
          <w:sz w:val="24"/>
          <w:szCs w:val="24"/>
        </w:rPr>
        <w:t>；</w:t>
      </w:r>
      <w:bookmarkEnd w:id="521"/>
    </w:p>
    <w:p>
      <w:pPr>
        <w:adjustRightInd w:val="0"/>
        <w:snapToGrid w:val="0"/>
        <w:spacing w:beforeLines="100" w:afterLines="100" w:line="360" w:lineRule="auto"/>
        <w:rPr>
          <w:rFonts w:ascii="宋体"/>
          <w:color w:val="auto"/>
        </w:rPr>
      </w:pPr>
      <w:r>
        <w:rPr>
          <w:rFonts w:hint="eastAsia" w:ascii="宋体" w:hAnsi="宋体" w:cs="宋体"/>
          <w:b/>
          <w:bCs/>
          <w:color w:val="auto"/>
        </w:rPr>
        <w:t>（一）法定代表人身份证明</w:t>
      </w:r>
    </w:p>
    <w:p>
      <w:pPr>
        <w:spacing w:line="360" w:lineRule="auto"/>
        <w:rPr>
          <w:rFonts w:ascii="宋体"/>
          <w:color w:val="auto"/>
        </w:rPr>
      </w:pPr>
      <w:r>
        <w:rPr>
          <w:rFonts w:ascii="宋体" w:hAnsi="宋体" w:cs="宋体"/>
          <w:color w:val="auto"/>
        </w:rPr>
        <w:t xml:space="preserve">     </w:t>
      </w:r>
      <w:r>
        <w:rPr>
          <w:rFonts w:ascii="宋体" w:hAnsi="宋体" w:cs="宋体"/>
          <w:color w:val="auto"/>
          <w:u w:val="single"/>
        </w:rPr>
        <w:t xml:space="preserve">          </w:t>
      </w:r>
      <w:r>
        <w:rPr>
          <w:rFonts w:hint="eastAsia" w:ascii="宋体" w:hAnsi="宋体" w:cs="宋体"/>
          <w:color w:val="auto"/>
        </w:rPr>
        <w:t>同志，现任我单位</w:t>
      </w:r>
      <w:r>
        <w:rPr>
          <w:rFonts w:ascii="宋体" w:hAnsi="宋体" w:cs="宋体"/>
          <w:color w:val="auto"/>
          <w:u w:val="single"/>
        </w:rPr>
        <w:t xml:space="preserve">          </w:t>
      </w:r>
      <w:r>
        <w:rPr>
          <w:rFonts w:hint="eastAsia" w:ascii="宋体" w:hAnsi="宋体" w:cs="宋体"/>
          <w:color w:val="auto"/>
        </w:rPr>
        <w:t>职务，为法定代表人，特此证明。</w:t>
      </w:r>
    </w:p>
    <w:p>
      <w:pPr>
        <w:spacing w:line="360" w:lineRule="auto"/>
        <w:ind w:firstLine="210" w:firstLineChars="100"/>
        <w:rPr>
          <w:rFonts w:ascii="宋体"/>
          <w:color w:val="auto"/>
        </w:rPr>
      </w:pPr>
      <w:r>
        <w:rPr>
          <w:rFonts w:hint="eastAsia" w:ascii="宋体" w:hAnsi="宋体" w:cs="宋体"/>
          <w:color w:val="auto"/>
        </w:rPr>
        <w:t>签发日期：</w:t>
      </w:r>
      <w:r>
        <w:rPr>
          <w:rFonts w:ascii="宋体" w:hAnsi="宋体" w:cs="宋体"/>
          <w:color w:val="auto"/>
        </w:rPr>
        <w:t xml:space="preserve">                  </w:t>
      </w:r>
      <w:r>
        <w:rPr>
          <w:rFonts w:hint="eastAsia" w:ascii="宋体" w:hAnsi="宋体" w:cs="宋体"/>
          <w:color w:val="auto"/>
        </w:rPr>
        <w:t>单位：</w:t>
      </w:r>
      <w:r>
        <w:rPr>
          <w:rFonts w:ascii="宋体" w:hAnsi="宋体" w:cs="宋体"/>
          <w:color w:val="auto"/>
        </w:rPr>
        <w:t xml:space="preserve">        </w:t>
      </w:r>
    </w:p>
    <w:p>
      <w:pPr>
        <w:spacing w:line="360" w:lineRule="auto"/>
        <w:ind w:firstLine="210" w:firstLineChars="100"/>
        <w:rPr>
          <w:rFonts w:ascii="宋体"/>
          <w:color w:val="auto"/>
        </w:rPr>
      </w:pPr>
      <w:r>
        <w:rPr>
          <w:rFonts w:hint="eastAsia" w:ascii="宋体" w:hAnsi="宋体" w:cs="宋体"/>
          <w:color w:val="auto"/>
        </w:rPr>
        <w:t>附：代表人性别：</w:t>
      </w:r>
      <w:r>
        <w:rPr>
          <w:rFonts w:ascii="宋体" w:hAnsi="宋体" w:cs="宋体"/>
          <w:color w:val="auto"/>
        </w:rPr>
        <w:t xml:space="preserve">            </w:t>
      </w:r>
      <w:r>
        <w:rPr>
          <w:rFonts w:hint="eastAsia" w:ascii="宋体" w:hAnsi="宋体" w:cs="宋体"/>
          <w:color w:val="auto"/>
        </w:rPr>
        <w:t>年龄：</w:t>
      </w:r>
      <w:r>
        <w:rPr>
          <w:rFonts w:ascii="宋体" w:hAnsi="宋体" w:cs="宋体"/>
          <w:color w:val="auto"/>
        </w:rPr>
        <w:t xml:space="preserve">           </w:t>
      </w:r>
      <w:r>
        <w:rPr>
          <w:rFonts w:hint="eastAsia" w:ascii="宋体" w:hAnsi="宋体" w:cs="宋体"/>
          <w:color w:val="auto"/>
        </w:rPr>
        <w:t>身份证号码：</w:t>
      </w:r>
    </w:p>
    <w:p>
      <w:pPr>
        <w:spacing w:line="360" w:lineRule="auto"/>
        <w:ind w:firstLine="210" w:firstLineChars="100"/>
        <w:rPr>
          <w:rFonts w:ascii="宋体"/>
          <w:color w:val="auto"/>
        </w:rPr>
      </w:pPr>
      <w:r>
        <w:rPr>
          <w:rFonts w:hint="eastAsia" w:ascii="宋体" w:hAnsi="宋体" w:cs="宋体"/>
          <w:color w:val="auto"/>
        </w:rPr>
        <w:t>联系电话：</w:t>
      </w:r>
    </w:p>
    <w:p>
      <w:pPr>
        <w:spacing w:line="360" w:lineRule="auto"/>
        <w:ind w:firstLine="210" w:firstLineChars="100"/>
        <w:rPr>
          <w:rFonts w:ascii="宋体"/>
          <w:color w:val="auto"/>
        </w:rPr>
      </w:pPr>
      <w:r>
        <w:rPr>
          <w:rFonts w:hint="eastAsia" w:ascii="宋体" w:hAnsi="宋体" w:cs="宋体"/>
          <w:color w:val="auto"/>
        </w:rPr>
        <w:t>营业执照号码：</w:t>
      </w:r>
      <w:r>
        <w:rPr>
          <w:rFonts w:ascii="宋体" w:hAnsi="宋体" w:cs="宋体"/>
          <w:color w:val="auto"/>
        </w:rPr>
        <w:t xml:space="preserve">              </w:t>
      </w:r>
      <w:r>
        <w:rPr>
          <w:rFonts w:hint="eastAsia" w:ascii="宋体" w:hAnsi="宋体" w:cs="宋体"/>
          <w:color w:val="auto"/>
        </w:rPr>
        <w:t>经济性质：</w:t>
      </w:r>
    </w:p>
    <w:p>
      <w:pPr>
        <w:spacing w:line="360" w:lineRule="auto"/>
        <w:rPr>
          <w:rFonts w:ascii="宋体"/>
          <w:color w:val="auto"/>
        </w:rPr>
      </w:pPr>
      <w:r>
        <w:rPr>
          <w:rFonts w:hint="eastAsia" w:ascii="宋体" w:hAnsi="宋体" w:cs="宋体"/>
          <w:color w:val="auto"/>
        </w:rPr>
        <w:t>说明：</w:t>
      </w:r>
    </w:p>
    <w:p>
      <w:pPr>
        <w:spacing w:line="360" w:lineRule="auto"/>
        <w:ind w:firstLine="210" w:firstLineChars="100"/>
        <w:rPr>
          <w:rFonts w:ascii="宋体"/>
          <w:color w:val="auto"/>
        </w:rPr>
      </w:pPr>
      <w:r>
        <w:rPr>
          <w:rFonts w:ascii="宋体" w:hAnsi="宋体" w:cs="宋体"/>
          <w:color w:val="auto"/>
        </w:rPr>
        <w:t>1</w:t>
      </w:r>
      <w:r>
        <w:rPr>
          <w:rFonts w:hint="eastAsia" w:ascii="宋体" w:hAnsi="宋体" w:cs="宋体"/>
          <w:color w:val="auto"/>
        </w:rPr>
        <w:t>、法定代表人为企业事业单位、国家机关、社会团体的主要行政负责人。</w:t>
      </w:r>
    </w:p>
    <w:p>
      <w:pPr>
        <w:spacing w:line="360" w:lineRule="auto"/>
        <w:rPr>
          <w:rFonts w:ascii="宋体"/>
          <w:color w:val="auto"/>
        </w:rPr>
      </w:pPr>
      <w:r>
        <w:rPr>
          <w:rFonts w:ascii="宋体" w:hAnsi="宋体" w:cs="宋体"/>
          <w:color w:val="auto"/>
        </w:rPr>
        <w:t xml:space="preserve">  2</w:t>
      </w:r>
      <w:r>
        <w:rPr>
          <w:rFonts w:hint="eastAsia" w:ascii="宋体" w:hAnsi="宋体" w:cs="宋体"/>
          <w:color w:val="auto"/>
        </w:rPr>
        <w:t>、内容必须填写真实、清楚、涂改无效，不得转让。</w:t>
      </w:r>
    </w:p>
    <w:p>
      <w:pPr>
        <w:spacing w:line="360" w:lineRule="auto"/>
        <w:ind w:firstLine="210" w:firstLineChars="100"/>
        <w:rPr>
          <w:rFonts w:ascii="宋体"/>
          <w:color w:val="auto"/>
        </w:rPr>
      </w:pPr>
      <w:r>
        <w:rPr>
          <w:rFonts w:ascii="宋体" w:hAnsi="宋体" w:cs="宋体"/>
          <w:color w:val="auto"/>
        </w:rPr>
        <w:t>3</w:t>
      </w:r>
      <w:r>
        <w:rPr>
          <w:rFonts w:hint="eastAsia" w:ascii="宋体" w:hAnsi="宋体" w:cs="宋体"/>
          <w:color w:val="auto"/>
        </w:rPr>
        <w:t>、将此证明书原件提交采购代理机构作为谈判投标文件附件。</w:t>
      </w:r>
    </w:p>
    <w:p>
      <w:pPr>
        <w:spacing w:line="360" w:lineRule="auto"/>
        <w:rPr>
          <w:rFonts w:ascii="宋体"/>
          <w:color w:val="auto"/>
        </w:rPr>
      </w:pPr>
      <w:r>
        <w:rPr>
          <w:rFonts w:ascii="宋体" w:hAnsi="宋体" w:cs="宋体"/>
          <w:color w:val="auto"/>
        </w:rPr>
        <w:t xml:space="preserve">  (</w:t>
      </w:r>
      <w:r>
        <w:rPr>
          <w:rFonts w:hint="eastAsia" w:ascii="宋体" w:hAnsi="宋体" w:cs="宋体"/>
          <w:color w:val="auto"/>
        </w:rPr>
        <w:t>为避免废标，请供应商务必提供本附件</w:t>
      </w:r>
      <w:r>
        <w:rPr>
          <w:rFonts w:ascii="宋体" w:hAnsi="宋体" w:cs="宋体"/>
          <w:color w:val="auto"/>
        </w:rPr>
        <w:t>)</w:t>
      </w:r>
    </w:p>
    <w:p>
      <w:pPr>
        <w:spacing w:line="360" w:lineRule="auto"/>
        <w:rPr>
          <w:rFonts w:ascii="宋体"/>
          <w:color w:val="auto"/>
        </w:rPr>
      </w:pPr>
      <w:r>
        <w:rPr>
          <w:color w:val="auto"/>
        </w:rPr>
        <w:pict>
          <v:shape id="_x0000_s1030" o:spid="_x0000_s1030" o:spt="176" type="#_x0000_t176" style="position:absolute;left:0pt;margin-left:0pt;margin-top:0pt;height:50pt;width:50pt;visibility:hidden;z-index:251659264;mso-width-relative:page;mso-height-relative:page;" coordsize="21600,21600">
            <v:handles>
              <v:h position="#0,center" xrange="0,10800"/>
            </v:handles>
            <v:path/>
            <v:fill focussize="0,0"/>
            <v:stroke joinstyle="miter"/>
            <v:imagedata o:title=""/>
            <o:lock v:ext="edit" selection="t"/>
          </v:shape>
        </w:pict>
      </w:r>
      <w:r>
        <w:rPr>
          <w:color w:val="auto"/>
        </w:rPr>
        <w:pict>
          <v:shape id="1026" o:spid="_x0000_s1031" o:spt="176" type="#_x0000_t176" style="position:absolute;left:0pt;margin-left:12.15pt;margin-top:0.85pt;height:124.75pt;width:183.75pt;z-index:251660288;mso-width-relative:page;mso-height-relative:page;" coordsize="21600,21600">
            <v:path/>
            <v:fill focussize="0,0"/>
            <v:stroke joinstyle="miter"/>
            <v:imagedata o:title=""/>
            <o:lock v:ext="edit"/>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p>
              </w:txbxContent>
            </v:textbox>
          </v:shape>
        </w:pict>
      </w:r>
      <w:r>
        <w:rPr>
          <w:color w:val="auto"/>
        </w:rPr>
        <w:pict>
          <v:roundrect id="1027" o:spid="_x0000_s1032" o:spt="2" style="position:absolute;left:0pt;margin-left:229.8pt;margin-top:2.25pt;height:122.6pt;width:205.5pt;z-index:251661312;mso-width-relative:page;mso-height-relative:page;" stroked="t" coordsize="21600,21600" arcsize="0.166666666666667">
            <v:path/>
            <v:fill focussize="0,0"/>
            <v:stroke weight="1.25pt" color="#808080"/>
            <v:imagedata o:title=""/>
            <o:lock v:ext="edit"/>
            <v:textbo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法定代表人身份证复印件反面</w:t>
                  </w:r>
                </w:p>
                <w:p/>
                <w:p>
                  <w:pPr>
                    <w:pStyle w:val="2"/>
                    <w:rPr>
                      <w:rFonts w:cs="Times New Roman"/>
                    </w:rPr>
                  </w:pPr>
                </w:p>
                <w:p>
                  <w:pPr>
                    <w:pStyle w:val="2"/>
                    <w:rPr>
                      <w:rFonts w:cs="Times New Roman"/>
                    </w:rPr>
                  </w:pPr>
                </w:p>
                <w:p>
                  <w:pPr>
                    <w:pStyle w:val="2"/>
                    <w:rPr>
                      <w:rFonts w:cs="Times New Roman"/>
                    </w:rPr>
                  </w:pPr>
                </w:p>
                <w:p>
                  <w:pPr>
                    <w:pStyle w:val="2"/>
                    <w:rPr>
                      <w:rFonts w:cs="Times New Roman"/>
                    </w:rPr>
                  </w:pPr>
                </w:p>
              </w:txbxContent>
            </v:textbox>
          </v:roundrect>
        </w:pict>
      </w:r>
    </w:p>
    <w:p>
      <w:pPr>
        <w:spacing w:line="360" w:lineRule="auto"/>
        <w:rPr>
          <w:rFonts w:ascii="宋体"/>
          <w:color w:val="auto"/>
        </w:rPr>
      </w:pPr>
    </w:p>
    <w:p>
      <w:pPr>
        <w:spacing w:line="360" w:lineRule="auto"/>
        <w:rPr>
          <w:rFonts w:ascii="宋体"/>
          <w:color w:val="auto"/>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color w:val="auto"/>
        </w:rPr>
      </w:pPr>
    </w:p>
    <w:p>
      <w:pPr>
        <w:autoSpaceDE w:val="0"/>
        <w:autoSpaceDN w:val="0"/>
        <w:adjustRightInd w:val="0"/>
        <w:spacing w:line="360" w:lineRule="auto"/>
        <w:ind w:right="246"/>
        <w:rPr>
          <w:rFonts w:ascii="宋体"/>
          <w:color w:val="auto"/>
          <w:kern w:val="0"/>
        </w:rPr>
      </w:pPr>
    </w:p>
    <w:p>
      <w:pPr>
        <w:autoSpaceDE w:val="0"/>
        <w:autoSpaceDN w:val="0"/>
        <w:adjustRightInd w:val="0"/>
        <w:spacing w:line="360" w:lineRule="auto"/>
        <w:ind w:right="246"/>
        <w:rPr>
          <w:rFonts w:ascii="宋体"/>
          <w:color w:val="auto"/>
          <w:kern w:val="0"/>
        </w:rPr>
      </w:pPr>
    </w:p>
    <w:p>
      <w:pPr>
        <w:autoSpaceDE w:val="0"/>
        <w:autoSpaceDN w:val="0"/>
        <w:adjustRightInd w:val="0"/>
        <w:spacing w:line="360" w:lineRule="auto"/>
        <w:ind w:right="246" w:firstLine="686" w:firstLineChars="327"/>
        <w:rPr>
          <w:rFonts w:ascii="宋体"/>
          <w:color w:val="auto"/>
          <w:kern w:val="0"/>
        </w:rPr>
      </w:pPr>
    </w:p>
    <w:p>
      <w:pPr>
        <w:autoSpaceDE w:val="0"/>
        <w:autoSpaceDN w:val="0"/>
        <w:adjustRightInd w:val="0"/>
        <w:spacing w:line="360" w:lineRule="auto"/>
        <w:ind w:right="246" w:firstLine="686" w:firstLineChars="327"/>
        <w:rPr>
          <w:rFonts w:ascii="宋体"/>
          <w:color w:val="auto"/>
        </w:rPr>
      </w:pPr>
      <w:r>
        <w:rPr>
          <w:rFonts w:hint="eastAsia" w:ascii="宋体" w:hAnsi="宋体" w:cs="宋体"/>
          <w:color w:val="auto"/>
          <w:kern w:val="0"/>
        </w:rPr>
        <w:t>供应商（公章）：</w:t>
      </w:r>
      <w:r>
        <w:rPr>
          <w:rFonts w:ascii="宋体" w:hAnsi="宋体" w:cs="宋体"/>
          <w:color w:val="auto"/>
          <w:kern w:val="0"/>
          <w:u w:val="single"/>
        </w:rPr>
        <w:t xml:space="preserve">                             </w:t>
      </w:r>
      <w:r>
        <w:rPr>
          <w:rFonts w:ascii="宋体" w:hAnsi="宋体" w:cs="宋体"/>
          <w:color w:val="auto"/>
          <w:kern w:val="0"/>
        </w:rPr>
        <w:t xml:space="preserve"> </w:t>
      </w:r>
    </w:p>
    <w:p>
      <w:pPr>
        <w:adjustRightInd w:val="0"/>
        <w:snapToGrid w:val="0"/>
        <w:spacing w:line="360" w:lineRule="auto"/>
        <w:ind w:firstLine="686" w:firstLineChars="327"/>
        <w:rPr>
          <w:rFonts w:ascii="宋体"/>
          <w:color w:val="auto"/>
        </w:rPr>
      </w:pPr>
      <w:r>
        <w:rPr>
          <w:rFonts w:hint="eastAsia" w:ascii="宋体" w:hAnsi="宋体" w:cs="宋体"/>
          <w:color w:val="auto"/>
          <w:kern w:val="0"/>
        </w:rPr>
        <w:t>法定代表人（签</w:t>
      </w:r>
      <w:r>
        <w:rPr>
          <w:rFonts w:ascii="宋体" w:hAnsi="宋体" w:cs="宋体"/>
          <w:color w:val="auto"/>
          <w:kern w:val="0"/>
        </w:rPr>
        <w:t>/</w:t>
      </w:r>
      <w:r>
        <w:rPr>
          <w:rFonts w:hint="eastAsia" w:ascii="宋体" w:hAnsi="宋体" w:cs="宋体"/>
          <w:color w:val="auto"/>
          <w:kern w:val="0"/>
        </w:rPr>
        <w:t>章）：</w:t>
      </w:r>
      <w:r>
        <w:rPr>
          <w:rFonts w:ascii="宋体" w:hAnsi="宋体" w:cs="宋体"/>
          <w:color w:val="auto"/>
          <w:u w:val="single"/>
        </w:rPr>
        <w:t xml:space="preserve">                    </w:t>
      </w:r>
    </w:p>
    <w:p>
      <w:pPr>
        <w:adjustRightInd w:val="0"/>
        <w:snapToGrid w:val="0"/>
        <w:spacing w:line="360" w:lineRule="auto"/>
        <w:ind w:firstLine="686" w:firstLineChars="327"/>
        <w:rPr>
          <w:rFonts w:ascii="宋体"/>
          <w:b/>
          <w:bCs/>
          <w:color w:val="auto"/>
          <w:sz w:val="24"/>
          <w:szCs w:val="24"/>
        </w:rPr>
      </w:pPr>
      <w:r>
        <w:rPr>
          <w:rFonts w:hint="eastAsia" w:ascii="宋体" w:hAnsi="宋体" w:cs="宋体"/>
          <w:color w:val="auto"/>
        </w:rPr>
        <w:t>日期：</w:t>
      </w:r>
      <w:r>
        <w:rPr>
          <w:rFonts w:ascii="宋体" w:hAnsi="宋体" w:cs="宋体"/>
          <w:color w:val="auto"/>
          <w:u w:val="single"/>
        </w:rPr>
        <w:t xml:space="preserve">                                       </w:t>
      </w:r>
      <w:bookmarkStart w:id="522" w:name="_Toc1083"/>
      <w:bookmarkStart w:id="523" w:name="_Toc515647807"/>
      <w:bookmarkStart w:id="524" w:name="_Toc22472"/>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pStyle w:val="16"/>
        <w:rPr>
          <w:rFonts w:ascii="宋体"/>
          <w:b/>
          <w:bCs/>
          <w:color w:val="auto"/>
          <w:sz w:val="24"/>
          <w:szCs w:val="24"/>
        </w:rPr>
      </w:pPr>
    </w:p>
    <w:p>
      <w:pPr>
        <w:spacing w:line="360" w:lineRule="auto"/>
        <w:rPr>
          <w:rFonts w:ascii="宋体"/>
          <w:b/>
          <w:bCs/>
          <w:color w:val="auto"/>
          <w:sz w:val="24"/>
          <w:szCs w:val="24"/>
          <w:u w:val="single"/>
        </w:rPr>
      </w:pPr>
      <w:r>
        <w:rPr>
          <w:rFonts w:hint="eastAsia" w:ascii="宋体" w:hAnsi="宋体" w:cs="宋体"/>
          <w:b/>
          <w:bCs/>
          <w:color w:val="auto"/>
          <w:sz w:val="24"/>
          <w:szCs w:val="24"/>
        </w:rPr>
        <w:t>（二）法定代表人授权委托书</w:t>
      </w:r>
      <w:bookmarkEnd w:id="522"/>
      <w:bookmarkEnd w:id="523"/>
      <w:bookmarkEnd w:id="524"/>
    </w:p>
    <w:p>
      <w:pPr>
        <w:pStyle w:val="12"/>
        <w:tabs>
          <w:tab w:val="left" w:pos="5580"/>
        </w:tabs>
        <w:spacing w:line="360" w:lineRule="exact"/>
        <w:rPr>
          <w:rFonts w:hAnsi="宋体" w:cs="Times New Roman"/>
          <w:color w:val="auto"/>
        </w:rPr>
      </w:pPr>
      <w:r>
        <w:rPr>
          <w:rFonts w:hAnsi="宋体"/>
          <w:color w:val="auto"/>
        </w:rPr>
        <w:t xml:space="preserve">    </w:t>
      </w:r>
      <w:r>
        <w:rPr>
          <w:rFonts w:hint="eastAsia" w:hAnsi="宋体"/>
          <w:color w:val="auto"/>
        </w:rPr>
        <w:t>本授权书声明：注册于</w:t>
      </w:r>
      <w:r>
        <w:rPr>
          <w:rFonts w:hint="eastAsia" w:hAnsi="宋体"/>
          <w:color w:val="auto"/>
          <w:u w:val="single"/>
        </w:rPr>
        <w:t>（国家或地区的名称）</w:t>
      </w:r>
      <w:r>
        <w:rPr>
          <w:rFonts w:hint="eastAsia" w:hAnsi="宋体"/>
          <w:color w:val="auto"/>
        </w:rPr>
        <w:t>的（</w:t>
      </w:r>
      <w:r>
        <w:rPr>
          <w:rFonts w:hint="eastAsia" w:hAnsi="宋体"/>
          <w:i/>
          <w:iCs/>
          <w:color w:val="auto"/>
          <w:u w:val="single"/>
        </w:rPr>
        <w:t>供应商</w:t>
      </w:r>
      <w:r>
        <w:rPr>
          <w:rFonts w:hint="eastAsia" w:hAnsi="宋体"/>
          <w:color w:val="auto"/>
        </w:rPr>
        <w:t>）的在下面签字的（</w:t>
      </w:r>
      <w:r>
        <w:rPr>
          <w:rFonts w:hint="eastAsia" w:hAnsi="宋体"/>
          <w:i/>
          <w:iCs/>
          <w:color w:val="auto"/>
          <w:u w:val="single"/>
        </w:rPr>
        <w:t>法人代表姓名、职务</w:t>
      </w:r>
      <w:r>
        <w:rPr>
          <w:rFonts w:hint="eastAsia" w:hAnsi="宋体"/>
          <w:color w:val="auto"/>
        </w:rPr>
        <w:t>）代表我单位授权（</w:t>
      </w:r>
      <w:r>
        <w:rPr>
          <w:rFonts w:hint="eastAsia" w:hAnsi="宋体"/>
          <w:i/>
          <w:iCs/>
          <w:color w:val="auto"/>
          <w:u w:val="single"/>
        </w:rPr>
        <w:t>单位名称</w:t>
      </w:r>
      <w:r>
        <w:rPr>
          <w:rFonts w:hint="eastAsia" w:hAnsi="宋体"/>
          <w:color w:val="auto"/>
        </w:rPr>
        <w:t>）的在下面签字的（</w:t>
      </w:r>
      <w:r>
        <w:rPr>
          <w:rFonts w:hint="eastAsia" w:hAnsi="宋体"/>
          <w:i/>
          <w:iCs/>
          <w:color w:val="auto"/>
          <w:u w:val="single"/>
        </w:rPr>
        <w:t>被授权人的姓名、职务</w:t>
      </w:r>
      <w:r>
        <w:rPr>
          <w:rFonts w:hint="eastAsia" w:hAnsi="宋体"/>
          <w:color w:val="auto"/>
        </w:rPr>
        <w:t>）为我单位的合法代理人，就（</w:t>
      </w:r>
      <w:r>
        <w:rPr>
          <w:rFonts w:hint="eastAsia" w:hAnsi="宋体"/>
          <w:i/>
          <w:iCs/>
          <w:color w:val="auto"/>
          <w:u w:val="single"/>
        </w:rPr>
        <w:t>项目名称</w:t>
      </w:r>
      <w:r>
        <w:rPr>
          <w:rFonts w:hint="eastAsia" w:hAnsi="宋体"/>
          <w:color w:val="auto"/>
        </w:rPr>
        <w:t>）的投标，以我单位名义处理一切与之有关的事务。　　</w:t>
      </w:r>
    </w:p>
    <w:p>
      <w:pPr>
        <w:pStyle w:val="12"/>
        <w:tabs>
          <w:tab w:val="left" w:pos="5580"/>
        </w:tabs>
        <w:spacing w:line="360" w:lineRule="exact"/>
        <w:ind w:left="-540" w:leftChars="-257" w:firstLine="787" w:firstLineChars="375"/>
        <w:rPr>
          <w:rFonts w:hAnsi="宋体" w:cs="Times New Roman"/>
          <w:color w:val="auto"/>
        </w:rPr>
      </w:pPr>
      <w:r>
        <w:rPr>
          <w:rFonts w:hint="eastAsia" w:hAnsi="宋体"/>
          <w:color w:val="auto"/>
        </w:rPr>
        <w:t>本授权书于</w:t>
      </w:r>
      <w:r>
        <w:rPr>
          <w:rFonts w:hAnsi="宋体"/>
          <w:color w:val="auto"/>
          <w:u w:val="single"/>
        </w:rPr>
        <w:t xml:space="preserve">           </w:t>
      </w:r>
      <w:r>
        <w:rPr>
          <w:rFonts w:hint="eastAsia" w:hAnsi="宋体"/>
          <w:color w:val="auto"/>
        </w:rPr>
        <w:t>年</w:t>
      </w:r>
      <w:r>
        <w:rPr>
          <w:rFonts w:hAnsi="宋体"/>
          <w:color w:val="auto"/>
          <w:u w:val="single"/>
        </w:rPr>
        <w:t xml:space="preserve">     </w:t>
      </w:r>
      <w:r>
        <w:rPr>
          <w:rFonts w:hint="eastAsia" w:hAnsi="宋体"/>
          <w:color w:val="auto"/>
        </w:rPr>
        <w:t>月</w:t>
      </w:r>
      <w:r>
        <w:rPr>
          <w:rFonts w:hAnsi="宋体"/>
          <w:color w:val="auto"/>
          <w:u w:val="single"/>
        </w:rPr>
        <w:t xml:space="preserve">     </w:t>
      </w:r>
      <w:r>
        <w:rPr>
          <w:rFonts w:hint="eastAsia" w:hAnsi="宋体"/>
          <w:color w:val="auto"/>
        </w:rPr>
        <w:t>日签字生效</w:t>
      </w:r>
      <w:r>
        <w:rPr>
          <w:rFonts w:hAnsi="宋体"/>
          <w:color w:val="auto"/>
        </w:rPr>
        <w:t>,</w:t>
      </w:r>
      <w:r>
        <w:rPr>
          <w:rFonts w:hint="eastAsia" w:hAnsi="宋体"/>
          <w:color w:val="auto"/>
        </w:rPr>
        <w:t>特此声明。</w:t>
      </w:r>
    </w:p>
    <w:p>
      <w:pPr>
        <w:pStyle w:val="12"/>
        <w:tabs>
          <w:tab w:val="left" w:pos="5580"/>
        </w:tabs>
        <w:spacing w:line="240" w:lineRule="atLeast"/>
        <w:ind w:left="-540" w:leftChars="-257" w:firstLine="787" w:firstLineChars="375"/>
        <w:rPr>
          <w:rFonts w:hAnsi="宋体" w:cs="Times New Roman"/>
          <w:color w:val="auto"/>
        </w:rPr>
      </w:pPr>
      <w:r>
        <w:rPr>
          <w:color w:val="auto"/>
        </w:rPr>
        <w:pict>
          <v:roundrect id="1028" o:spid="_x0000_s1033" o:spt="2" style="position:absolute;left:0pt;margin-left:239.3pt;margin-top:13.2pt;height:76.3pt;width:195.15pt;z-index:251662336;mso-width-relative:page;mso-height-relative:page;" stroked="t" coordsize="21600,21600" arcsize="0.166666666666667">
            <v:path/>
            <v:fill focussize="0,0"/>
            <v:stroke weight="1.25pt" color="#808080"/>
            <v:imagedata o:title=""/>
            <o:lock v:ext="edit"/>
            <v:textbox>
              <w:txbxContent>
                <w:p>
                  <w:pPr>
                    <w:rPr>
                      <w:rFonts w:hAnsi="宋体"/>
                    </w:rPr>
                  </w:pPr>
                </w:p>
                <w:p>
                  <w:pPr>
                    <w:rPr>
                      <w:rFonts w:hAnsi="宋体"/>
                    </w:rPr>
                  </w:pPr>
                </w:p>
                <w:p>
                  <w:pPr>
                    <w:rPr>
                      <w:rFonts w:hAnsi="宋体"/>
                    </w:rPr>
                  </w:pPr>
                </w:p>
                <w:p>
                  <w:r>
                    <w:rPr>
                      <w:rFonts w:hint="eastAsia" w:hAnsi="宋体" w:cs="宋体"/>
                    </w:rPr>
                    <w:t>授权委托人身份证复印件反面</w:t>
                  </w:r>
                </w:p>
                <w:p/>
              </w:txbxContent>
            </v:textbox>
          </v:roundrect>
        </w:pict>
      </w:r>
      <w:r>
        <w:rPr>
          <w:color w:val="auto"/>
        </w:rPr>
        <w:pict>
          <v:shape id="1029" o:spid="_x0000_s1034" o:spt="176" type="#_x0000_t176" style="position:absolute;left:0pt;margin-left:1.65pt;margin-top:10.7pt;height:74.2pt;width:182.5pt;z-index:251663360;mso-width-relative:page;mso-height-relative:page;" coordsize="21600,21600">
            <v:path/>
            <v:fill focussize="0,0"/>
            <v:stroke joinstyle="miter"/>
            <v:imagedata o:title=""/>
            <o:lock v:ext="edit"/>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授权委托人身份证复印件正面</w:t>
                  </w:r>
                </w:p>
              </w:txbxContent>
            </v:textbox>
          </v:shape>
        </w:pict>
      </w:r>
    </w:p>
    <w:p>
      <w:pPr>
        <w:spacing w:line="360" w:lineRule="auto"/>
        <w:ind w:firstLine="210" w:firstLineChars="100"/>
        <w:rPr>
          <w:rFonts w:ascii="宋体"/>
          <w:color w:val="auto"/>
        </w:rPr>
      </w:pPr>
    </w:p>
    <w:p>
      <w:pPr>
        <w:spacing w:line="360" w:lineRule="auto"/>
        <w:ind w:firstLine="210" w:firstLineChars="100"/>
        <w:rPr>
          <w:rFonts w:ascii="宋体"/>
          <w:color w:val="auto"/>
        </w:rPr>
      </w:pPr>
    </w:p>
    <w:p>
      <w:pPr>
        <w:spacing w:line="360" w:lineRule="auto"/>
        <w:ind w:firstLine="210" w:firstLineChars="100"/>
        <w:rPr>
          <w:rFonts w:ascii="宋体"/>
          <w:color w:val="auto"/>
        </w:rPr>
      </w:pPr>
    </w:p>
    <w:p>
      <w:pPr>
        <w:spacing w:line="360" w:lineRule="auto"/>
        <w:ind w:firstLine="210" w:firstLineChars="100"/>
        <w:rPr>
          <w:rFonts w:ascii="宋体"/>
          <w:color w:val="auto"/>
        </w:rPr>
      </w:pPr>
    </w:p>
    <w:p>
      <w:pPr>
        <w:spacing w:line="360" w:lineRule="auto"/>
        <w:ind w:firstLine="210" w:firstLineChars="100"/>
        <w:rPr>
          <w:rFonts w:ascii="宋体"/>
          <w:color w:val="auto"/>
        </w:rPr>
      </w:pPr>
      <w:r>
        <w:rPr>
          <w:color w:val="auto"/>
        </w:rPr>
        <w:pict>
          <v:roundrect id="1030" o:spid="_x0000_s1035" o:spt="2" style="position:absolute;left:0pt;margin-left:237.65pt;margin-top:7.6pt;height:73.65pt;width:199.65pt;z-index:251664384;mso-width-relative:page;mso-height-relative:page;" stroked="t" coordsize="21600,21600" arcsize="0.166666666666667">
            <v:path/>
            <v:fill focussize="0,0"/>
            <v:stroke weight="1.25pt" color="#808080"/>
            <v:imagedata o:title=""/>
            <o:lock v:ext="edit"/>
            <v:textbox>
              <w:txbxContent>
                <w:p>
                  <w:pPr>
                    <w:jc w:val="center"/>
                    <w:rPr>
                      <w:rFonts w:hAnsi="宋体"/>
                    </w:rPr>
                  </w:pPr>
                  <w:r>
                    <w:rPr>
                      <w:rFonts w:hAnsi="宋体"/>
                    </w:rPr>
                    <w:t xml:space="preserve">  </w:t>
                  </w:r>
                </w:p>
                <w:p>
                  <w:pPr>
                    <w:rPr>
                      <w:rFonts w:hAnsi="宋体"/>
                    </w:rPr>
                  </w:pPr>
                </w:p>
                <w:p>
                  <w:pPr>
                    <w:jc w:val="center"/>
                  </w:pPr>
                  <w:r>
                    <w:rPr>
                      <w:rFonts w:hint="eastAsia" w:hAnsi="宋体" w:cs="宋体"/>
                    </w:rPr>
                    <w:t>法人身份证复印件反面</w:t>
                  </w:r>
                </w:p>
                <w:p/>
              </w:txbxContent>
            </v:textbox>
          </v:roundrect>
        </w:pict>
      </w:r>
      <w:r>
        <w:rPr>
          <w:color w:val="auto"/>
        </w:rPr>
        <w:pict>
          <v:roundrect id="1031" o:spid="_x0000_s1036" o:spt="2" style="position:absolute;left:0pt;margin-left:-0.85pt;margin-top:2.35pt;height:80.7pt;width:201.2pt;z-index:251665408;mso-width-relative:page;mso-height-relative:page;" stroked="t" coordsize="21600,21600" arcsize="0.166666666666667">
            <v:path/>
            <v:fill focussize="0,0"/>
            <v:stroke weight="1.25pt" color="#808080"/>
            <v:imagedata o:title=""/>
            <o:lock v:ext="edit"/>
            <v:textbox>
              <w:txbxContent>
                <w:p>
                  <w:pPr>
                    <w:jc w:val="center"/>
                    <w:rPr>
                      <w:rFonts w:hAnsi="宋体"/>
                    </w:rPr>
                  </w:pPr>
                </w:p>
                <w:p>
                  <w:pPr>
                    <w:rPr>
                      <w:rFonts w:hAnsi="宋体"/>
                    </w:rPr>
                  </w:pPr>
                </w:p>
                <w:p>
                  <w:pPr>
                    <w:jc w:val="center"/>
                  </w:pPr>
                  <w:r>
                    <w:rPr>
                      <w:rFonts w:hint="eastAsia" w:hAnsi="宋体" w:cs="宋体"/>
                    </w:rPr>
                    <w:t>法人身份证复印件正面</w:t>
                  </w:r>
                </w:p>
                <w:p/>
              </w:txbxContent>
            </v:textbox>
          </v:roundrect>
        </w:pict>
      </w:r>
    </w:p>
    <w:p>
      <w:pPr>
        <w:spacing w:line="360" w:lineRule="auto"/>
        <w:ind w:firstLine="210" w:firstLineChars="100"/>
        <w:rPr>
          <w:rFonts w:ascii="宋体"/>
          <w:color w:val="auto"/>
        </w:rPr>
      </w:pPr>
    </w:p>
    <w:p>
      <w:pPr>
        <w:spacing w:line="360" w:lineRule="auto"/>
        <w:ind w:firstLine="210" w:firstLineChars="100"/>
        <w:rPr>
          <w:rFonts w:ascii="宋体"/>
          <w:color w:val="auto"/>
        </w:rPr>
      </w:pPr>
    </w:p>
    <w:p>
      <w:pPr>
        <w:spacing w:line="360" w:lineRule="auto"/>
        <w:ind w:firstLine="210" w:firstLineChars="100"/>
        <w:rPr>
          <w:rFonts w:ascii="宋体"/>
          <w:color w:val="auto"/>
        </w:rPr>
      </w:pPr>
    </w:p>
    <w:p>
      <w:pPr>
        <w:spacing w:line="360" w:lineRule="auto"/>
        <w:ind w:firstLine="210" w:firstLineChars="100"/>
        <w:rPr>
          <w:rFonts w:ascii="宋体"/>
          <w:color w:val="auto"/>
        </w:rPr>
      </w:pPr>
    </w:p>
    <w:p>
      <w:pPr>
        <w:pStyle w:val="12"/>
        <w:tabs>
          <w:tab w:val="left" w:pos="5580"/>
        </w:tabs>
        <w:spacing w:line="360" w:lineRule="exact"/>
        <w:rPr>
          <w:rFonts w:hAnsi="宋体"/>
          <w:color w:val="auto"/>
          <w:u w:val="single"/>
        </w:rPr>
      </w:pPr>
      <w:r>
        <w:rPr>
          <w:rFonts w:hint="eastAsia" w:hAnsi="宋体"/>
          <w:color w:val="auto"/>
        </w:rPr>
        <w:t>供应商（公章）</w:t>
      </w:r>
      <w:r>
        <w:rPr>
          <w:rFonts w:hAnsi="宋体"/>
          <w:color w:val="auto"/>
        </w:rPr>
        <w:t>;</w:t>
      </w:r>
      <w:r>
        <w:rPr>
          <w:rFonts w:hAnsi="宋体"/>
          <w:color w:val="auto"/>
          <w:u w:val="single"/>
        </w:rPr>
        <w:t xml:space="preserve">                           </w:t>
      </w:r>
    </w:p>
    <w:p>
      <w:pPr>
        <w:pStyle w:val="12"/>
        <w:tabs>
          <w:tab w:val="left" w:pos="5580"/>
        </w:tabs>
        <w:spacing w:line="360" w:lineRule="exact"/>
        <w:rPr>
          <w:rFonts w:hAnsi="宋体"/>
          <w:color w:val="auto"/>
          <w:u w:val="single"/>
        </w:rPr>
      </w:pPr>
      <w:r>
        <w:rPr>
          <w:rFonts w:hint="eastAsia" w:hAnsi="宋体"/>
          <w:color w:val="auto"/>
        </w:rPr>
        <w:t>法定代表人（签</w:t>
      </w:r>
      <w:r>
        <w:rPr>
          <w:rFonts w:hAnsi="宋体"/>
          <w:color w:val="auto"/>
        </w:rPr>
        <w:t>/</w:t>
      </w:r>
      <w:r>
        <w:rPr>
          <w:rFonts w:hint="eastAsia" w:hAnsi="宋体"/>
          <w:color w:val="auto"/>
        </w:rPr>
        <w:t>章）：</w:t>
      </w:r>
      <w:r>
        <w:rPr>
          <w:rFonts w:hAnsi="宋体"/>
          <w:color w:val="auto"/>
          <w:u w:val="single"/>
        </w:rPr>
        <w:t xml:space="preserve">                     </w:t>
      </w:r>
    </w:p>
    <w:p>
      <w:pPr>
        <w:pStyle w:val="12"/>
        <w:tabs>
          <w:tab w:val="left" w:pos="5580"/>
        </w:tabs>
        <w:spacing w:line="360" w:lineRule="exact"/>
        <w:rPr>
          <w:rFonts w:hAnsi="宋体"/>
          <w:color w:val="auto"/>
        </w:rPr>
      </w:pPr>
      <w:r>
        <w:rPr>
          <w:rFonts w:hint="eastAsia" w:hAnsi="宋体"/>
          <w:color w:val="auto"/>
        </w:rPr>
        <w:t>身份证号码：</w:t>
      </w:r>
      <w:r>
        <w:rPr>
          <w:rFonts w:hAnsi="宋体"/>
          <w:color w:val="auto"/>
        </w:rPr>
        <w:t xml:space="preserve">__________________________________ </w:t>
      </w:r>
    </w:p>
    <w:p>
      <w:pPr>
        <w:pStyle w:val="12"/>
        <w:tabs>
          <w:tab w:val="left" w:pos="5580"/>
        </w:tabs>
        <w:spacing w:line="360" w:lineRule="exact"/>
        <w:rPr>
          <w:rFonts w:hAnsi="宋体"/>
          <w:color w:val="auto"/>
        </w:rPr>
      </w:pPr>
      <w:r>
        <w:rPr>
          <w:rFonts w:hint="eastAsia" w:hAnsi="宋体"/>
          <w:color w:val="auto"/>
        </w:rPr>
        <w:t>委托代理人（签</w:t>
      </w:r>
      <w:r>
        <w:rPr>
          <w:rFonts w:hAnsi="宋体"/>
          <w:color w:val="auto"/>
        </w:rPr>
        <w:t>/</w:t>
      </w:r>
      <w:r>
        <w:rPr>
          <w:rFonts w:hint="eastAsia" w:hAnsi="宋体"/>
          <w:color w:val="auto"/>
        </w:rPr>
        <w:t>章）：</w:t>
      </w:r>
      <w:r>
        <w:rPr>
          <w:rFonts w:hAnsi="宋体"/>
          <w:color w:val="auto"/>
          <w:u w:val="single"/>
        </w:rPr>
        <w:t xml:space="preserve">                          </w:t>
      </w:r>
      <w:r>
        <w:rPr>
          <w:rFonts w:hAnsi="宋体"/>
          <w:color w:val="auto"/>
        </w:rPr>
        <w:t xml:space="preserve">         </w:t>
      </w:r>
    </w:p>
    <w:p>
      <w:pPr>
        <w:pStyle w:val="12"/>
        <w:tabs>
          <w:tab w:val="left" w:pos="5580"/>
        </w:tabs>
        <w:spacing w:line="360" w:lineRule="exact"/>
        <w:rPr>
          <w:rFonts w:hAnsi="宋体"/>
          <w:color w:val="auto"/>
        </w:rPr>
      </w:pPr>
      <w:r>
        <w:rPr>
          <w:rFonts w:hint="eastAsia" w:hAnsi="宋体"/>
          <w:color w:val="auto"/>
        </w:rPr>
        <w:t>身份证号码：</w:t>
      </w:r>
      <w:r>
        <w:rPr>
          <w:rFonts w:hAnsi="宋体"/>
          <w:color w:val="auto"/>
          <w:u w:val="single"/>
        </w:rPr>
        <w:t xml:space="preserve">                                  </w:t>
      </w:r>
      <w:r>
        <w:rPr>
          <w:rFonts w:hAnsi="宋体"/>
          <w:color w:val="auto"/>
        </w:rPr>
        <w:t xml:space="preserve"> </w:t>
      </w:r>
    </w:p>
    <w:p>
      <w:pPr>
        <w:pStyle w:val="12"/>
        <w:tabs>
          <w:tab w:val="left" w:pos="5580"/>
        </w:tabs>
        <w:spacing w:line="360" w:lineRule="exact"/>
        <w:rPr>
          <w:rFonts w:hAnsi="宋体"/>
          <w:color w:val="auto"/>
        </w:rPr>
      </w:pPr>
      <w:r>
        <w:rPr>
          <w:rFonts w:hint="eastAsia" w:hAnsi="宋体"/>
          <w:color w:val="auto"/>
        </w:rPr>
        <w:t>详细通讯地址：</w:t>
      </w:r>
      <w:r>
        <w:rPr>
          <w:rFonts w:hAnsi="宋体"/>
          <w:color w:val="auto"/>
          <w:u w:val="single"/>
        </w:rPr>
        <w:t xml:space="preserve">                            </w:t>
      </w:r>
      <w:r>
        <w:rPr>
          <w:rFonts w:hAnsi="宋体"/>
          <w:color w:val="auto"/>
        </w:rPr>
        <w:t xml:space="preserve">     </w:t>
      </w:r>
    </w:p>
    <w:p>
      <w:pPr>
        <w:pStyle w:val="12"/>
        <w:tabs>
          <w:tab w:val="left" w:pos="5580"/>
        </w:tabs>
        <w:spacing w:line="360" w:lineRule="exact"/>
        <w:rPr>
          <w:rFonts w:hAnsi="宋体"/>
          <w:color w:val="auto"/>
        </w:rPr>
      </w:pPr>
      <w:r>
        <w:rPr>
          <w:rFonts w:hint="eastAsia" w:hAnsi="宋体"/>
          <w:color w:val="auto"/>
        </w:rPr>
        <w:t>邮</w:t>
      </w:r>
      <w:r>
        <w:rPr>
          <w:rFonts w:hAnsi="宋体"/>
          <w:color w:val="auto"/>
        </w:rPr>
        <w:t xml:space="preserve"> </w:t>
      </w:r>
      <w:r>
        <w:rPr>
          <w:rFonts w:hint="eastAsia" w:hAnsi="宋体"/>
          <w:color w:val="auto"/>
        </w:rPr>
        <w:t>政</w:t>
      </w:r>
      <w:r>
        <w:rPr>
          <w:rFonts w:hAnsi="宋体"/>
          <w:color w:val="auto"/>
        </w:rPr>
        <w:t xml:space="preserve"> </w:t>
      </w:r>
      <w:r>
        <w:rPr>
          <w:rFonts w:hint="eastAsia" w:hAnsi="宋体"/>
          <w:color w:val="auto"/>
        </w:rPr>
        <w:t>编</w:t>
      </w:r>
      <w:r>
        <w:rPr>
          <w:rFonts w:hAnsi="宋体"/>
          <w:color w:val="auto"/>
        </w:rPr>
        <w:t xml:space="preserve"> </w:t>
      </w:r>
      <w:r>
        <w:rPr>
          <w:rFonts w:hint="eastAsia" w:hAnsi="宋体"/>
          <w:color w:val="auto"/>
        </w:rPr>
        <w:t>码</w:t>
      </w:r>
      <w:r>
        <w:rPr>
          <w:rFonts w:hAnsi="宋体"/>
          <w:color w:val="auto"/>
        </w:rPr>
        <w:t xml:space="preserve"> </w:t>
      </w:r>
      <w:r>
        <w:rPr>
          <w:rFonts w:hint="eastAsia" w:hAnsi="宋体"/>
          <w:color w:val="auto"/>
        </w:rPr>
        <w:t>：</w:t>
      </w:r>
      <w:r>
        <w:rPr>
          <w:rFonts w:hAnsi="宋体"/>
          <w:color w:val="auto"/>
          <w:u w:val="single"/>
        </w:rPr>
        <w:t xml:space="preserve">                            </w:t>
      </w:r>
      <w:r>
        <w:rPr>
          <w:rFonts w:hAnsi="宋体"/>
          <w:color w:val="auto"/>
        </w:rPr>
        <w:t xml:space="preserve">     </w:t>
      </w:r>
    </w:p>
    <w:p>
      <w:pPr>
        <w:pStyle w:val="12"/>
        <w:tabs>
          <w:tab w:val="left" w:pos="5580"/>
        </w:tabs>
        <w:spacing w:line="360" w:lineRule="exact"/>
        <w:rPr>
          <w:rFonts w:hAnsi="宋体"/>
          <w:color w:val="auto"/>
        </w:rPr>
      </w:pPr>
      <w:r>
        <w:rPr>
          <w:rFonts w:hint="eastAsia" w:hAnsi="宋体"/>
          <w:color w:val="auto"/>
        </w:rPr>
        <w:t>传　　　　真：</w:t>
      </w:r>
      <w:r>
        <w:rPr>
          <w:rFonts w:hAnsi="宋体"/>
          <w:color w:val="auto"/>
          <w:u w:val="single"/>
        </w:rPr>
        <w:t xml:space="preserve">                            </w:t>
      </w:r>
      <w:r>
        <w:rPr>
          <w:rFonts w:hAnsi="宋体"/>
          <w:color w:val="auto"/>
        </w:rPr>
        <w:t xml:space="preserve">      </w:t>
      </w:r>
    </w:p>
    <w:p>
      <w:pPr>
        <w:pStyle w:val="12"/>
        <w:tabs>
          <w:tab w:val="left" w:pos="5580"/>
        </w:tabs>
        <w:spacing w:line="360" w:lineRule="exact"/>
        <w:rPr>
          <w:rFonts w:hAnsi="宋体"/>
          <w:color w:val="auto"/>
        </w:rPr>
      </w:pPr>
      <w:r>
        <w:rPr>
          <w:rFonts w:hint="eastAsia" w:hAnsi="宋体"/>
          <w:color w:val="auto"/>
        </w:rPr>
        <w:t>电　　　　话：</w:t>
      </w:r>
      <w:r>
        <w:rPr>
          <w:rFonts w:hAnsi="宋体"/>
          <w:color w:val="auto"/>
          <w:u w:val="single"/>
        </w:rPr>
        <w:t xml:space="preserve">                            </w:t>
      </w:r>
      <w:r>
        <w:rPr>
          <w:rFonts w:hAnsi="宋体"/>
          <w:color w:val="auto"/>
        </w:rPr>
        <w:t xml:space="preserve">     </w:t>
      </w:r>
    </w:p>
    <w:p>
      <w:pPr>
        <w:pStyle w:val="12"/>
        <w:tabs>
          <w:tab w:val="left" w:pos="5580"/>
        </w:tabs>
        <w:spacing w:line="360" w:lineRule="exact"/>
        <w:jc w:val="right"/>
        <w:rPr>
          <w:rFonts w:hAnsi="宋体" w:cs="Times New Roman"/>
          <w:color w:val="auto"/>
        </w:rPr>
      </w:pPr>
    </w:p>
    <w:p>
      <w:pPr>
        <w:pStyle w:val="12"/>
        <w:tabs>
          <w:tab w:val="left" w:pos="5580"/>
        </w:tabs>
        <w:spacing w:line="360" w:lineRule="exact"/>
        <w:jc w:val="right"/>
        <w:rPr>
          <w:rFonts w:hAnsi="宋体" w:cs="Times New Roman"/>
          <w:color w:val="auto"/>
        </w:rPr>
      </w:pPr>
    </w:p>
    <w:p>
      <w:pPr>
        <w:pStyle w:val="12"/>
        <w:tabs>
          <w:tab w:val="left" w:pos="5580"/>
        </w:tabs>
        <w:spacing w:line="360" w:lineRule="exact"/>
        <w:jc w:val="right"/>
        <w:rPr>
          <w:rFonts w:hAnsi="宋体" w:cs="Times New Roman"/>
          <w:color w:val="auto"/>
        </w:rPr>
      </w:pPr>
    </w:p>
    <w:p>
      <w:pPr>
        <w:pStyle w:val="12"/>
        <w:tabs>
          <w:tab w:val="left" w:pos="5580"/>
        </w:tabs>
        <w:spacing w:line="360" w:lineRule="exact"/>
        <w:jc w:val="right"/>
        <w:rPr>
          <w:rFonts w:hAnsi="宋体" w:cs="Times New Roman"/>
          <w:color w:val="auto"/>
        </w:rPr>
      </w:pPr>
    </w:p>
    <w:p>
      <w:pPr>
        <w:pStyle w:val="12"/>
        <w:tabs>
          <w:tab w:val="left" w:pos="5580"/>
        </w:tabs>
        <w:spacing w:line="360" w:lineRule="exact"/>
        <w:jc w:val="right"/>
        <w:rPr>
          <w:rFonts w:hAnsi="宋体"/>
          <w:color w:val="auto"/>
        </w:rPr>
      </w:pP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r>
        <w:rPr>
          <w:rFonts w:hAnsi="宋体"/>
          <w:color w:val="auto"/>
        </w:rPr>
        <w:t xml:space="preserve"> </w:t>
      </w:r>
    </w:p>
    <w:p>
      <w:pPr>
        <w:pStyle w:val="12"/>
        <w:tabs>
          <w:tab w:val="left" w:pos="5580"/>
        </w:tabs>
        <w:spacing w:line="240" w:lineRule="atLeast"/>
        <w:rPr>
          <w:rFonts w:hAnsi="宋体" w:cs="Times New Roman"/>
          <w:b/>
          <w:bCs/>
          <w:color w:val="auto"/>
        </w:rPr>
      </w:pPr>
    </w:p>
    <w:p>
      <w:pPr>
        <w:pStyle w:val="12"/>
        <w:tabs>
          <w:tab w:val="left" w:pos="5580"/>
        </w:tabs>
        <w:spacing w:line="240" w:lineRule="atLeast"/>
        <w:rPr>
          <w:rFonts w:hAnsi="宋体" w:cs="Times New Roman"/>
          <w:b/>
          <w:bCs/>
          <w:color w:val="auto"/>
        </w:rPr>
      </w:pPr>
    </w:p>
    <w:p>
      <w:pPr>
        <w:pStyle w:val="12"/>
        <w:tabs>
          <w:tab w:val="left" w:pos="5580"/>
        </w:tabs>
        <w:spacing w:line="240" w:lineRule="atLeast"/>
        <w:ind w:left="1080" w:leftChars="257" w:hanging="540"/>
        <w:rPr>
          <w:rFonts w:hAnsi="宋体" w:cs="Times New Roman"/>
          <w:color w:val="auto"/>
        </w:rPr>
      </w:pPr>
    </w:p>
    <w:p>
      <w:pPr>
        <w:rPr>
          <w:rFonts w:ascii="宋体"/>
          <w:color w:val="auto"/>
        </w:rPr>
      </w:pPr>
      <w:bookmarkStart w:id="525" w:name="_Toc24428"/>
      <w:bookmarkStart w:id="526" w:name="_Toc32670"/>
      <w:bookmarkStart w:id="527" w:name="_Toc515647811"/>
    </w:p>
    <w:p>
      <w:pPr>
        <w:tabs>
          <w:tab w:val="left" w:pos="5580"/>
        </w:tabs>
        <w:spacing w:line="400" w:lineRule="atLeast"/>
        <w:ind w:firstLine="422" w:firstLineChars="200"/>
        <w:rPr>
          <w:rFonts w:ascii="宋体"/>
          <w:b/>
          <w:bCs/>
          <w:color w:val="auto"/>
          <w:kern w:val="0"/>
        </w:rPr>
      </w:pPr>
      <w:bookmarkStart w:id="528" w:name="_Toc9765"/>
    </w:p>
    <w:p>
      <w:pPr>
        <w:pStyle w:val="16"/>
        <w:rPr>
          <w:rFonts w:ascii="宋体"/>
          <w:b/>
          <w:bCs/>
          <w:color w:val="auto"/>
          <w:kern w:val="0"/>
        </w:rPr>
      </w:pPr>
    </w:p>
    <w:p>
      <w:pPr>
        <w:pStyle w:val="16"/>
        <w:rPr>
          <w:rFonts w:ascii="宋体"/>
          <w:b/>
          <w:bCs/>
          <w:color w:val="auto"/>
          <w:kern w:val="0"/>
        </w:rPr>
      </w:pPr>
    </w:p>
    <w:bookmarkEnd w:id="528"/>
    <w:p>
      <w:pPr>
        <w:tabs>
          <w:tab w:val="left" w:pos="5580"/>
        </w:tabs>
        <w:spacing w:line="400" w:lineRule="atLeast"/>
        <w:ind w:firstLine="482" w:firstLineChars="200"/>
        <w:outlineLvl w:val="1"/>
        <w:rPr>
          <w:rFonts w:ascii="宋体"/>
          <w:b/>
          <w:bCs/>
          <w:color w:val="auto"/>
          <w:kern w:val="0"/>
          <w:sz w:val="24"/>
          <w:szCs w:val="24"/>
        </w:rPr>
      </w:pPr>
      <w:bookmarkStart w:id="529" w:name="_Toc4866"/>
      <w:r>
        <w:rPr>
          <w:rFonts w:ascii="宋体" w:hAnsi="宋体" w:cs="宋体"/>
          <w:b/>
          <w:bCs/>
          <w:color w:val="auto"/>
          <w:kern w:val="0"/>
          <w:sz w:val="24"/>
          <w:szCs w:val="24"/>
        </w:rPr>
        <w:t xml:space="preserve">4  </w:t>
      </w:r>
      <w:r>
        <w:rPr>
          <w:rFonts w:hint="eastAsia" w:ascii="宋体" w:hAnsi="宋体" w:cs="宋体"/>
          <w:b/>
          <w:bCs/>
          <w:color w:val="auto"/>
          <w:kern w:val="0"/>
          <w:sz w:val="24"/>
          <w:szCs w:val="24"/>
        </w:rPr>
        <w:t>财务状况报告近二年任意一年经审计的财务报告</w:t>
      </w:r>
      <w:r>
        <w:rPr>
          <w:rFonts w:ascii="宋体" w:cs="宋体"/>
          <w:b/>
          <w:bCs/>
          <w:color w:val="auto"/>
          <w:kern w:val="0"/>
          <w:sz w:val="24"/>
          <w:szCs w:val="24"/>
        </w:rPr>
        <w:t>,</w:t>
      </w:r>
      <w:r>
        <w:rPr>
          <w:rFonts w:hint="eastAsia" w:ascii="宋体" w:hAnsi="宋体" w:cs="宋体"/>
          <w:b/>
          <w:bCs/>
          <w:color w:val="auto"/>
          <w:kern w:val="0"/>
          <w:sz w:val="24"/>
          <w:szCs w:val="24"/>
        </w:rPr>
        <w:t>或新公司出具近</w:t>
      </w:r>
      <w:r>
        <w:rPr>
          <w:rFonts w:ascii="宋体" w:hAnsi="宋体" w:cs="宋体"/>
          <w:b/>
          <w:bCs/>
          <w:color w:val="auto"/>
          <w:kern w:val="0"/>
          <w:sz w:val="24"/>
          <w:szCs w:val="24"/>
        </w:rPr>
        <w:t>6</w:t>
      </w:r>
      <w:r>
        <w:rPr>
          <w:rFonts w:hint="eastAsia" w:ascii="宋体" w:hAnsi="宋体" w:cs="宋体"/>
          <w:b/>
          <w:bCs/>
          <w:color w:val="auto"/>
          <w:kern w:val="0"/>
          <w:sz w:val="24"/>
          <w:szCs w:val="24"/>
        </w:rPr>
        <w:t>个月任意一个月的银行资信证明；</w:t>
      </w:r>
      <w:bookmarkEnd w:id="529"/>
    </w:p>
    <w:p>
      <w:pPr>
        <w:tabs>
          <w:tab w:val="left" w:pos="5580"/>
        </w:tabs>
        <w:spacing w:line="400" w:lineRule="atLeast"/>
        <w:ind w:firstLine="482" w:firstLineChars="200"/>
        <w:rPr>
          <w:rFonts w:ascii="宋体"/>
          <w:b/>
          <w:bCs/>
          <w:color w:val="auto"/>
          <w:kern w:val="0"/>
          <w:sz w:val="24"/>
          <w:szCs w:val="24"/>
        </w:rPr>
      </w:pPr>
    </w:p>
    <w:p>
      <w:pPr>
        <w:pStyle w:val="2"/>
        <w:rPr>
          <w:rFonts w:hAnsi="宋体" w:cs="Times New Roman"/>
          <w:b/>
          <w:bCs/>
          <w:color w:val="auto"/>
        </w:rPr>
      </w:pPr>
    </w:p>
    <w:p>
      <w:pPr>
        <w:pStyle w:val="2"/>
        <w:ind w:firstLine="0"/>
        <w:rPr>
          <w:rFonts w:hAnsi="宋体" w:cs="Times New Roman"/>
          <w:b/>
          <w:bCs/>
          <w:color w:val="auto"/>
        </w:rPr>
      </w:pPr>
    </w:p>
    <w:p>
      <w:pPr>
        <w:rPr>
          <w:rFonts w:ascii="宋体"/>
          <w:color w:val="auto"/>
        </w:rPr>
      </w:pPr>
    </w:p>
    <w:p>
      <w:pPr>
        <w:tabs>
          <w:tab w:val="left" w:pos="5580"/>
        </w:tabs>
        <w:spacing w:line="400" w:lineRule="atLeast"/>
        <w:ind w:firstLine="482" w:firstLineChars="200"/>
        <w:rPr>
          <w:rFonts w:ascii="宋体"/>
          <w:b/>
          <w:bCs/>
          <w:color w:val="auto"/>
          <w:kern w:val="0"/>
          <w:sz w:val="24"/>
          <w:szCs w:val="24"/>
        </w:rPr>
      </w:pPr>
    </w:p>
    <w:p>
      <w:pPr>
        <w:tabs>
          <w:tab w:val="left" w:pos="5580"/>
        </w:tabs>
        <w:spacing w:line="400" w:lineRule="atLeast"/>
        <w:ind w:firstLine="482" w:firstLineChars="200"/>
        <w:outlineLvl w:val="1"/>
        <w:rPr>
          <w:rFonts w:ascii="宋体"/>
          <w:b/>
          <w:bCs/>
          <w:color w:val="auto"/>
          <w:kern w:val="0"/>
          <w:sz w:val="24"/>
          <w:szCs w:val="24"/>
        </w:rPr>
      </w:pPr>
      <w:bookmarkStart w:id="530" w:name="_Toc7593"/>
      <w:r>
        <w:rPr>
          <w:rFonts w:ascii="宋体" w:hAnsi="宋体" w:cs="宋体"/>
          <w:b/>
          <w:bCs/>
          <w:color w:val="auto"/>
          <w:kern w:val="0"/>
          <w:sz w:val="24"/>
          <w:szCs w:val="24"/>
        </w:rPr>
        <w:t xml:space="preserve">5  </w:t>
      </w:r>
      <w:r>
        <w:rPr>
          <w:rFonts w:hint="eastAsia" w:ascii="宋体" w:hAnsi="宋体" w:cs="宋体"/>
          <w:b/>
          <w:bCs/>
          <w:color w:val="auto"/>
          <w:kern w:val="0"/>
          <w:sz w:val="24"/>
          <w:szCs w:val="24"/>
        </w:rPr>
        <w:t>依法缴纳近</w:t>
      </w:r>
      <w:r>
        <w:rPr>
          <w:rFonts w:ascii="宋体" w:hAnsi="宋体" w:cs="宋体"/>
          <w:b/>
          <w:bCs/>
          <w:color w:val="auto"/>
          <w:kern w:val="0"/>
          <w:sz w:val="24"/>
          <w:szCs w:val="24"/>
        </w:rPr>
        <w:t>6</w:t>
      </w:r>
      <w:r>
        <w:rPr>
          <w:rFonts w:hint="eastAsia" w:ascii="宋体" w:hAnsi="宋体" w:cs="宋体"/>
          <w:b/>
          <w:bCs/>
          <w:color w:val="auto"/>
          <w:kern w:val="0"/>
          <w:sz w:val="24"/>
          <w:szCs w:val="24"/>
        </w:rPr>
        <w:t>个月任意一个月社会保险的凭据；</w:t>
      </w:r>
      <w:bookmarkEnd w:id="530"/>
    </w:p>
    <w:p>
      <w:pPr>
        <w:rPr>
          <w:rFonts w:ascii="宋体"/>
          <w:color w:val="auto"/>
        </w:rPr>
      </w:pPr>
    </w:p>
    <w:p>
      <w:pPr>
        <w:rPr>
          <w:rFonts w:ascii="宋体"/>
          <w:color w:val="auto"/>
        </w:rPr>
      </w:pPr>
    </w:p>
    <w:p>
      <w:pPr>
        <w:rPr>
          <w:rFonts w:ascii="宋体"/>
          <w:color w:val="auto"/>
        </w:rPr>
      </w:pPr>
    </w:p>
    <w:p>
      <w:pPr>
        <w:rPr>
          <w:rFonts w:ascii="宋体"/>
          <w:color w:val="auto"/>
        </w:rPr>
      </w:pPr>
    </w:p>
    <w:p>
      <w:pPr>
        <w:rPr>
          <w:rFonts w:ascii="宋体"/>
          <w:color w:val="auto"/>
        </w:rPr>
      </w:pPr>
    </w:p>
    <w:p>
      <w:pPr>
        <w:pStyle w:val="2"/>
        <w:rPr>
          <w:rFonts w:hAnsi="宋体" w:cs="Times New Roman"/>
          <w:color w:val="auto"/>
        </w:rPr>
      </w:pPr>
    </w:p>
    <w:p>
      <w:pPr>
        <w:rPr>
          <w:rFonts w:ascii="宋体"/>
          <w:color w:val="auto"/>
        </w:rPr>
      </w:pPr>
    </w:p>
    <w:p>
      <w:pPr>
        <w:pStyle w:val="20"/>
        <w:spacing w:line="400" w:lineRule="exact"/>
        <w:ind w:firstLine="31680"/>
        <w:outlineLvl w:val="1"/>
        <w:rPr>
          <w:rFonts w:ascii="宋体"/>
          <w:b/>
          <w:bCs/>
          <w:color w:val="auto"/>
          <w:kern w:val="0"/>
        </w:rPr>
      </w:pPr>
      <w:bookmarkStart w:id="531" w:name="_Toc11102"/>
      <w:r>
        <w:rPr>
          <w:rFonts w:ascii="宋体" w:hAnsi="宋体" w:cs="宋体"/>
          <w:b/>
          <w:bCs/>
          <w:color w:val="auto"/>
          <w:kern w:val="0"/>
        </w:rPr>
        <w:t xml:space="preserve">6  </w:t>
      </w:r>
      <w:r>
        <w:rPr>
          <w:rFonts w:hint="eastAsia" w:ascii="宋体" w:hAnsi="宋体" w:cs="宋体"/>
          <w:b/>
          <w:bCs/>
          <w:color w:val="auto"/>
          <w:kern w:val="0"/>
        </w:rPr>
        <w:t>提供税务部门出具的近</w:t>
      </w:r>
      <w:r>
        <w:rPr>
          <w:rFonts w:ascii="宋体" w:hAnsi="宋体" w:cs="宋体"/>
          <w:b/>
          <w:bCs/>
          <w:color w:val="auto"/>
          <w:kern w:val="0"/>
        </w:rPr>
        <w:t>6</w:t>
      </w:r>
      <w:r>
        <w:rPr>
          <w:rFonts w:hint="eastAsia" w:ascii="宋体" w:hAnsi="宋体" w:cs="宋体"/>
          <w:b/>
          <w:bCs/>
          <w:color w:val="auto"/>
          <w:kern w:val="0"/>
        </w:rPr>
        <w:t>个月任意一个月的完税证明；</w:t>
      </w:r>
      <w:bookmarkEnd w:id="531"/>
    </w:p>
    <w:p>
      <w:pPr>
        <w:pStyle w:val="20"/>
        <w:spacing w:line="400" w:lineRule="exact"/>
        <w:ind w:firstLine="31680"/>
        <w:rPr>
          <w:rFonts w:ascii="宋体"/>
          <w:b/>
          <w:bCs/>
          <w:color w:val="auto"/>
          <w:kern w:val="0"/>
        </w:rPr>
      </w:pPr>
    </w:p>
    <w:p>
      <w:pPr>
        <w:pStyle w:val="20"/>
        <w:spacing w:line="400" w:lineRule="exact"/>
        <w:ind w:firstLine="31680"/>
        <w:rPr>
          <w:rFonts w:ascii="宋体"/>
          <w:b/>
          <w:bCs/>
          <w:color w:val="auto"/>
          <w:kern w:val="0"/>
        </w:rPr>
      </w:pPr>
    </w:p>
    <w:p>
      <w:pPr>
        <w:tabs>
          <w:tab w:val="left" w:pos="5580"/>
        </w:tabs>
        <w:spacing w:line="400" w:lineRule="atLeast"/>
        <w:ind w:firstLine="420" w:firstLineChars="200"/>
        <w:rPr>
          <w:rFonts w:ascii="宋体"/>
          <w:color w:val="auto"/>
        </w:rPr>
      </w:pPr>
    </w:p>
    <w:p>
      <w:pPr>
        <w:rPr>
          <w:rFonts w:ascii="宋体"/>
          <w:color w:val="auto"/>
        </w:rPr>
      </w:pPr>
    </w:p>
    <w:p>
      <w:pPr>
        <w:pStyle w:val="2"/>
        <w:rPr>
          <w:rFonts w:hAnsi="宋体" w:cs="Times New Roman"/>
          <w:color w:val="auto"/>
          <w:sz w:val="21"/>
          <w:szCs w:val="21"/>
        </w:rPr>
      </w:pPr>
    </w:p>
    <w:p>
      <w:pPr>
        <w:pStyle w:val="2"/>
        <w:ind w:firstLine="482" w:firstLineChars="200"/>
        <w:outlineLvl w:val="1"/>
        <w:rPr>
          <w:rFonts w:hAnsi="宋体" w:cs="Times New Roman"/>
          <w:b/>
          <w:bCs/>
          <w:color w:val="auto"/>
        </w:rPr>
      </w:pPr>
      <w:bookmarkStart w:id="532" w:name="_Toc15858"/>
      <w:r>
        <w:rPr>
          <w:rFonts w:hAnsi="宋体"/>
          <w:b/>
          <w:bCs/>
          <w:color w:val="auto"/>
        </w:rPr>
        <w:t xml:space="preserve">7  </w:t>
      </w:r>
      <w:r>
        <w:rPr>
          <w:rFonts w:hint="eastAsia" w:hAnsi="宋体"/>
          <w:b/>
          <w:bCs/>
          <w:color w:val="auto"/>
        </w:rPr>
        <w:t>根据《财政部关于在政府采购活动中查询及使用信用记录有关问题的通知》（财库﹝</w:t>
      </w:r>
      <w:r>
        <w:rPr>
          <w:rFonts w:hAnsi="宋体"/>
          <w:b/>
          <w:bCs/>
          <w:color w:val="auto"/>
        </w:rPr>
        <w:t>2016</w:t>
      </w:r>
      <w:r>
        <w:rPr>
          <w:rFonts w:hint="eastAsia" w:hAnsi="宋体"/>
          <w:b/>
          <w:bCs/>
          <w:color w:val="auto"/>
        </w:rPr>
        <w:t>﹞</w:t>
      </w:r>
      <w:r>
        <w:rPr>
          <w:rFonts w:hAnsi="宋体"/>
          <w:b/>
          <w:bCs/>
          <w:color w:val="auto"/>
        </w:rPr>
        <w:t>125</w:t>
      </w:r>
      <w:r>
        <w:rPr>
          <w:rFonts w:hint="eastAsia" w:hAnsi="宋体"/>
          <w:b/>
          <w:bCs/>
          <w:color w:val="auto"/>
        </w:rPr>
        <w:t>号）的要求，凡拟参加本次招标项目的供应商，如在“信用中国”网站（</w:t>
      </w:r>
      <w:r>
        <w:rPr>
          <w:rFonts w:hAnsi="宋体"/>
          <w:b/>
          <w:bCs/>
          <w:color w:val="auto"/>
        </w:rPr>
        <w:t xml:space="preserve"> www.creditchina.gov.cn</w:t>
      </w:r>
      <w:r>
        <w:rPr>
          <w:rFonts w:hint="eastAsia" w:hAnsi="宋体"/>
          <w:b/>
          <w:bCs/>
          <w:color w:val="auto"/>
        </w:rPr>
        <w:t>）</w:t>
      </w:r>
      <w:r>
        <w:rPr>
          <w:rFonts w:hAnsi="宋体"/>
          <w:b/>
          <w:bCs/>
          <w:color w:val="auto"/>
        </w:rPr>
        <w:t xml:space="preserve"> </w:t>
      </w:r>
      <w:r>
        <w:rPr>
          <w:rFonts w:hint="eastAsia" w:hAnsi="宋体"/>
          <w:b/>
          <w:bCs/>
          <w:color w:val="auto"/>
        </w:rPr>
        <w:t>被列入失信被执行人、重大税收违法案件当事人名单</w:t>
      </w:r>
      <w:r>
        <w:rPr>
          <w:rFonts w:hAnsi="宋体"/>
          <w:b/>
          <w:bCs/>
          <w:color w:val="auto"/>
        </w:rPr>
        <w:t>(</w:t>
      </w:r>
      <w:r>
        <w:rPr>
          <w:rFonts w:hint="eastAsia" w:hAnsi="宋体"/>
          <w:b/>
          <w:bCs/>
          <w:color w:val="auto"/>
        </w:rPr>
        <w:t>信用服务</w:t>
      </w:r>
      <w:r>
        <w:rPr>
          <w:rFonts w:hAnsi="宋体"/>
          <w:b/>
          <w:bCs/>
          <w:color w:val="auto"/>
        </w:rPr>
        <w:t>-</w:t>
      </w:r>
      <w:r>
        <w:rPr>
          <w:rFonts w:hint="eastAsia" w:hAnsi="宋体"/>
          <w:b/>
          <w:bCs/>
          <w:color w:val="auto"/>
        </w:rPr>
        <w:t>失信惩戒对象查询</w:t>
      </w:r>
      <w:r>
        <w:rPr>
          <w:rFonts w:hAnsi="宋体"/>
          <w:b/>
          <w:bCs/>
          <w:color w:val="auto"/>
        </w:rPr>
        <w:t>-</w:t>
      </w:r>
      <w:r>
        <w:rPr>
          <w:rFonts w:hint="eastAsia" w:hAnsi="宋体"/>
          <w:b/>
          <w:bCs/>
          <w:color w:val="auto"/>
        </w:rPr>
        <w:t>搜索栏输入单位全称</w:t>
      </w:r>
      <w:r>
        <w:rPr>
          <w:rFonts w:hAnsi="宋体"/>
          <w:b/>
          <w:bCs/>
          <w:color w:val="auto"/>
        </w:rPr>
        <w:t>-</w:t>
      </w:r>
      <w:r>
        <w:rPr>
          <w:rFonts w:hint="eastAsia" w:hAnsi="宋体"/>
          <w:b/>
          <w:bCs/>
          <w:color w:val="auto"/>
        </w:rPr>
        <w:t>截图</w:t>
      </w:r>
      <w:r>
        <w:rPr>
          <w:rFonts w:hAnsi="宋体"/>
          <w:b/>
          <w:bCs/>
          <w:color w:val="auto"/>
        </w:rPr>
        <w:t>)</w:t>
      </w:r>
      <w:r>
        <w:rPr>
          <w:rFonts w:hint="eastAsia" w:hAnsi="宋体"/>
          <w:b/>
          <w:bCs/>
          <w:color w:val="auto"/>
        </w:rPr>
        <w:t>、中国政府采购网（</w:t>
      </w:r>
      <w:r>
        <w:rPr>
          <w:rFonts w:hAnsi="宋体"/>
          <w:b/>
          <w:bCs/>
          <w:color w:val="auto"/>
        </w:rPr>
        <w:t>http://www.ccgp.gov.cn/search/cr/</w:t>
      </w:r>
      <w:r>
        <w:rPr>
          <w:rFonts w:hint="eastAsia" w:hAnsi="宋体"/>
          <w:b/>
          <w:bCs/>
          <w:color w:val="auto"/>
        </w:rPr>
        <w:t>）严重违法失信行为记录名单的（尚在处罚期内的），“国家企业信用信息公示系统（</w:t>
      </w:r>
      <w:r>
        <w:rPr>
          <w:rFonts w:hAnsi="宋体"/>
          <w:b/>
          <w:bCs/>
          <w:color w:val="auto"/>
        </w:rPr>
        <w:t>http://www.gsxt.gov.cn</w:t>
      </w:r>
      <w:r>
        <w:rPr>
          <w:rFonts w:hint="eastAsia" w:hAnsi="宋体"/>
          <w:b/>
          <w:bCs/>
          <w:color w:val="auto"/>
        </w:rPr>
        <w:t>）”列入经营异常名录信息、列入严重违法失信企业名单（黑名单）信息及企业信用信息公示报告；将拒绝其参加本次招标活动；</w:t>
      </w:r>
      <w:bookmarkEnd w:id="532"/>
    </w:p>
    <w:p>
      <w:pPr>
        <w:pStyle w:val="2"/>
        <w:ind w:firstLine="482" w:firstLineChars="200"/>
        <w:outlineLvl w:val="1"/>
        <w:rPr>
          <w:rFonts w:hAnsi="宋体" w:cs="Times New Roman"/>
          <w:b/>
          <w:bCs/>
          <w:color w:val="auto"/>
        </w:rPr>
      </w:pPr>
    </w:p>
    <w:p>
      <w:pPr>
        <w:rPr>
          <w:rFonts w:ascii="宋体"/>
          <w:b/>
          <w:bCs/>
          <w:color w:val="auto"/>
          <w:kern w:val="0"/>
          <w:sz w:val="24"/>
          <w:szCs w:val="24"/>
        </w:rPr>
      </w:pPr>
    </w:p>
    <w:p>
      <w:pPr>
        <w:pStyle w:val="2"/>
        <w:rPr>
          <w:rFonts w:cs="Times New Roman"/>
          <w:color w:val="auto"/>
        </w:rPr>
      </w:pPr>
    </w:p>
    <w:p>
      <w:pPr>
        <w:rPr>
          <w:rFonts w:ascii="宋体"/>
          <w:color w:val="auto"/>
        </w:rPr>
      </w:pPr>
    </w:p>
    <w:p>
      <w:pPr>
        <w:pStyle w:val="2"/>
        <w:ind w:firstLine="482" w:firstLineChars="200"/>
        <w:outlineLvl w:val="1"/>
        <w:rPr>
          <w:rFonts w:hAnsi="宋体" w:cs="Times New Roman"/>
          <w:color w:val="auto"/>
        </w:rPr>
      </w:pPr>
      <w:bookmarkStart w:id="533" w:name="_Toc17677"/>
      <w:r>
        <w:rPr>
          <w:rFonts w:hAnsi="宋体"/>
          <w:b/>
          <w:bCs/>
          <w:color w:val="auto"/>
        </w:rPr>
        <w:t xml:space="preserve">8  </w:t>
      </w:r>
      <w:r>
        <w:rPr>
          <w:rFonts w:hint="eastAsia" w:hAnsi="宋体"/>
          <w:b/>
          <w:bCs/>
          <w:color w:val="auto"/>
        </w:rPr>
        <w:t>参与政府采购活动前</w:t>
      </w:r>
      <w:r>
        <w:rPr>
          <w:rFonts w:hAnsi="宋体"/>
          <w:b/>
          <w:bCs/>
          <w:color w:val="auto"/>
        </w:rPr>
        <w:t>3</w:t>
      </w:r>
      <w:r>
        <w:rPr>
          <w:rFonts w:hint="eastAsia" w:hAnsi="宋体"/>
          <w:b/>
          <w:bCs/>
          <w:color w:val="auto"/>
        </w:rPr>
        <w:t>年内未被列入失信、重大税收违法案件、财政部门禁止参加政府采购活动的承诺书；</w:t>
      </w:r>
      <w:bookmarkEnd w:id="533"/>
    </w:p>
    <w:p>
      <w:pPr>
        <w:pStyle w:val="2"/>
        <w:ind w:firstLine="0"/>
        <w:rPr>
          <w:rFonts w:hAnsi="宋体" w:cs="Times New Roman"/>
          <w:color w:val="auto"/>
        </w:rPr>
      </w:pPr>
    </w:p>
    <w:p>
      <w:pPr>
        <w:rPr>
          <w:rFonts w:ascii="宋体"/>
          <w:color w:val="auto"/>
        </w:rPr>
      </w:pPr>
    </w:p>
    <w:p>
      <w:pPr>
        <w:pStyle w:val="2"/>
        <w:rPr>
          <w:rFonts w:hAnsi="宋体" w:cs="Times New Roman"/>
          <w:color w:val="auto"/>
        </w:rPr>
      </w:pPr>
    </w:p>
    <w:p>
      <w:pPr>
        <w:rPr>
          <w:rFonts w:ascii="宋体"/>
          <w:color w:val="auto"/>
        </w:rPr>
      </w:pPr>
    </w:p>
    <w:p>
      <w:pPr>
        <w:pStyle w:val="2"/>
        <w:rPr>
          <w:rFonts w:cs="Times New Roman"/>
          <w:color w:val="auto"/>
        </w:rPr>
      </w:pPr>
    </w:p>
    <w:p>
      <w:pPr>
        <w:pStyle w:val="2"/>
        <w:rPr>
          <w:rFonts w:hAnsi="宋体" w:cs="Times New Roman"/>
          <w:b/>
          <w:bCs/>
          <w:color w:val="auto"/>
          <w:sz w:val="21"/>
          <w:szCs w:val="21"/>
        </w:rPr>
      </w:pPr>
    </w:p>
    <w:p>
      <w:pPr>
        <w:pStyle w:val="2"/>
        <w:ind w:firstLine="0"/>
        <w:rPr>
          <w:rFonts w:hAnsi="宋体" w:cs="Times New Roman"/>
          <w:b/>
          <w:bCs/>
          <w:color w:val="auto"/>
          <w:sz w:val="21"/>
          <w:szCs w:val="21"/>
        </w:rPr>
      </w:pPr>
    </w:p>
    <w:p>
      <w:pPr>
        <w:pStyle w:val="2"/>
        <w:outlineLvl w:val="1"/>
        <w:rPr>
          <w:rFonts w:hAnsi="宋体" w:cs="Times New Roman"/>
          <w:b/>
          <w:bCs/>
          <w:color w:val="auto"/>
          <w:sz w:val="21"/>
          <w:szCs w:val="21"/>
        </w:rPr>
      </w:pPr>
      <w:bookmarkStart w:id="534" w:name="_Toc23917"/>
      <w:r>
        <w:rPr>
          <w:rFonts w:hAnsi="宋体"/>
          <w:b/>
          <w:bCs/>
          <w:color w:val="auto"/>
        </w:rPr>
        <w:t xml:space="preserve">9  </w:t>
      </w:r>
      <w:r>
        <w:rPr>
          <w:rFonts w:hint="eastAsia" w:hAnsi="宋体"/>
          <w:b/>
          <w:bCs/>
          <w:color w:val="auto"/>
        </w:rPr>
        <w:t>提供针对本次项目《反商业贿赂承诺书》</w:t>
      </w:r>
      <w:bookmarkEnd w:id="534"/>
    </w:p>
    <w:p>
      <w:pPr>
        <w:rPr>
          <w:rFonts w:ascii="宋体"/>
          <w:b/>
          <w:bCs/>
          <w:color w:val="auto"/>
        </w:rPr>
      </w:pPr>
    </w:p>
    <w:p>
      <w:pPr>
        <w:pStyle w:val="2"/>
        <w:ind w:firstLine="0"/>
        <w:rPr>
          <w:rFonts w:hAnsi="宋体" w:cs="Times New Roman"/>
          <w:b/>
          <w:bCs/>
          <w:color w:val="auto"/>
        </w:rPr>
      </w:pPr>
    </w:p>
    <w:p>
      <w:pPr>
        <w:rPr>
          <w:color w:val="auto"/>
        </w:rPr>
      </w:pPr>
    </w:p>
    <w:p>
      <w:pPr>
        <w:pStyle w:val="40"/>
        <w:numPr>
          <w:ilvl w:val="1"/>
          <w:numId w:val="0"/>
        </w:numPr>
        <w:ind w:left="1134"/>
        <w:rPr>
          <w:rFonts w:cs="Times New Roman"/>
          <w:color w:val="auto"/>
          <w:lang w:eastAsia="zh-CN"/>
        </w:rPr>
      </w:pPr>
    </w:p>
    <w:p>
      <w:pPr>
        <w:rPr>
          <w:color w:val="auto"/>
        </w:rPr>
      </w:pPr>
    </w:p>
    <w:p>
      <w:pPr>
        <w:rPr>
          <w:rFonts w:ascii="宋体"/>
          <w:b/>
          <w:bCs/>
          <w:color w:val="auto"/>
          <w:kern w:val="0"/>
          <w:sz w:val="24"/>
          <w:szCs w:val="24"/>
        </w:rPr>
      </w:pPr>
    </w:p>
    <w:p>
      <w:pPr>
        <w:pStyle w:val="2"/>
        <w:outlineLvl w:val="1"/>
        <w:rPr>
          <w:rFonts w:hAnsi="宋体" w:cs="Times New Roman"/>
          <w:b/>
          <w:bCs/>
          <w:color w:val="auto"/>
        </w:rPr>
      </w:pPr>
      <w:bookmarkStart w:id="535" w:name="_Toc3240"/>
      <w:r>
        <w:rPr>
          <w:rFonts w:hAnsi="宋体"/>
          <w:b/>
          <w:bCs/>
          <w:color w:val="auto"/>
        </w:rPr>
        <w:t xml:space="preserve">10 </w:t>
      </w:r>
      <w:r>
        <w:rPr>
          <w:rFonts w:hint="eastAsia" w:hAnsi="宋体"/>
          <w:b/>
          <w:bCs/>
          <w:color w:val="auto"/>
        </w:rPr>
        <w:t>投标保证金银行转账回执单复印件；</w:t>
      </w:r>
      <w:bookmarkEnd w:id="535"/>
    </w:p>
    <w:p>
      <w:pPr>
        <w:rPr>
          <w:rFonts w:ascii="宋体"/>
          <w:b/>
          <w:bCs/>
          <w:color w:val="auto"/>
          <w:kern w:val="0"/>
          <w:sz w:val="24"/>
          <w:szCs w:val="24"/>
        </w:rPr>
      </w:pPr>
    </w:p>
    <w:p>
      <w:pPr>
        <w:pStyle w:val="2"/>
        <w:ind w:firstLine="0"/>
        <w:rPr>
          <w:rFonts w:hAnsi="宋体" w:cs="Times New Roman"/>
          <w:color w:val="auto"/>
        </w:rPr>
      </w:pPr>
    </w:p>
    <w:p>
      <w:pPr>
        <w:ind w:firstLine="422" w:firstLineChars="200"/>
        <w:rPr>
          <w:rFonts w:ascii="宋体"/>
          <w:b/>
          <w:bCs/>
          <w:color w:val="auto"/>
        </w:rPr>
      </w:pPr>
      <w:r>
        <w:rPr>
          <w:rFonts w:hint="eastAsia" w:ascii="宋体" w:hAnsi="宋体" w:cs="宋体"/>
          <w:b/>
          <w:bCs/>
          <w:color w:val="auto"/>
        </w:rPr>
        <w:t>注：本项目以投标保证金银行转账回执单复印件盖公章为准。</w:t>
      </w:r>
    </w:p>
    <w:p>
      <w:pPr>
        <w:ind w:firstLine="420" w:firstLineChars="200"/>
        <w:rPr>
          <w:rFonts w:ascii="宋体"/>
          <w:color w:val="auto"/>
        </w:rPr>
      </w:pPr>
    </w:p>
    <w:p>
      <w:pPr>
        <w:pStyle w:val="2"/>
        <w:rPr>
          <w:rFonts w:hAnsi="宋体" w:cs="Times New Roman"/>
          <w:b/>
          <w:bCs/>
          <w:color w:val="auto"/>
          <w:sz w:val="21"/>
          <w:szCs w:val="21"/>
        </w:rPr>
      </w:pPr>
    </w:p>
    <w:p>
      <w:pPr>
        <w:tabs>
          <w:tab w:val="left" w:pos="5580"/>
        </w:tabs>
        <w:spacing w:line="400" w:lineRule="atLeast"/>
        <w:ind w:left="420" w:leftChars="200"/>
        <w:rPr>
          <w:rFonts w:ascii="宋体"/>
          <w:b/>
          <w:bCs/>
          <w:color w:val="auto"/>
          <w:kern w:val="0"/>
        </w:rPr>
      </w:pPr>
      <w:r>
        <w:rPr>
          <w:color w:val="auto"/>
        </w:rPr>
        <w:pict>
          <v:rect id="1032" o:spid="_x0000_s1037" o:spt="1" style="position:absolute;left:0pt;margin-left:-5.65pt;margin-top:12.8pt;height:137.5pt;width:411.1pt;z-index:251666432;mso-width-relative:page;mso-height-relative:page;" coordsize="21600,21600">
            <v:path/>
            <v:fill focussize="0,0"/>
            <v:stroke/>
            <v:imagedata o:title=""/>
            <o:lock v:ext="edit"/>
            <v:textbox>
              <w:txbxContent>
                <w:p/>
                <w:p>
                  <w:pPr>
                    <w:pStyle w:val="2"/>
                    <w:rPr>
                      <w:rFonts w:cs="Times New Roman"/>
                    </w:rPr>
                  </w:pPr>
                </w:p>
                <w:p>
                  <w:pPr>
                    <w:pStyle w:val="2"/>
                    <w:ind w:firstLine="2940" w:firstLineChars="1400"/>
                    <w:rPr>
                      <w:rFonts w:cs="Times New Roman"/>
                    </w:rPr>
                  </w:pPr>
                  <w:r>
                    <w:rPr>
                      <w:rFonts w:hint="eastAsia" w:hAnsi="宋体"/>
                      <w:sz w:val="21"/>
                      <w:szCs w:val="21"/>
                    </w:rPr>
                    <w:t>银行转账回执单复印件</w:t>
                  </w:r>
                </w:p>
                <w:p>
                  <w:pPr>
                    <w:pStyle w:val="2"/>
                    <w:rPr>
                      <w:rFonts w:cs="Times New Roman"/>
                    </w:rPr>
                  </w:pPr>
                </w:p>
                <w:p>
                  <w:pPr>
                    <w:pStyle w:val="2"/>
                    <w:rPr>
                      <w:rFonts w:cs="Times New Roman"/>
                    </w:rPr>
                  </w:pPr>
                </w:p>
                <w:p>
                  <w:pPr>
                    <w:pStyle w:val="2"/>
                    <w:rPr>
                      <w:rFonts w:cs="Times New Roman"/>
                    </w:rPr>
                  </w:pPr>
                </w:p>
                <w:p>
                  <w:pPr>
                    <w:pStyle w:val="2"/>
                    <w:rPr>
                      <w:rFonts w:cs="Times New Roman"/>
                    </w:rPr>
                  </w:pPr>
                </w:p>
              </w:txbxContent>
            </v:textbox>
          </v:rect>
        </w:pict>
      </w:r>
    </w:p>
    <w:p>
      <w:pPr>
        <w:tabs>
          <w:tab w:val="left" w:pos="5580"/>
        </w:tabs>
        <w:spacing w:line="400" w:lineRule="atLeast"/>
        <w:ind w:left="420" w:leftChars="200"/>
        <w:rPr>
          <w:rFonts w:ascii="宋体"/>
          <w:b/>
          <w:bCs/>
          <w:color w:val="auto"/>
          <w:kern w:val="0"/>
        </w:rPr>
      </w:pPr>
    </w:p>
    <w:p>
      <w:pPr>
        <w:pStyle w:val="2"/>
        <w:rPr>
          <w:rFonts w:hAnsi="宋体" w:cs="Times New Roman"/>
          <w:b/>
          <w:bCs/>
          <w:color w:val="auto"/>
          <w:sz w:val="21"/>
          <w:szCs w:val="21"/>
        </w:rPr>
      </w:pPr>
    </w:p>
    <w:p>
      <w:pPr>
        <w:pStyle w:val="2"/>
        <w:rPr>
          <w:rFonts w:hAnsi="宋体" w:cs="Times New Roman"/>
          <w:b/>
          <w:bCs/>
          <w:color w:val="auto"/>
          <w:sz w:val="21"/>
          <w:szCs w:val="21"/>
        </w:rPr>
      </w:pPr>
    </w:p>
    <w:p>
      <w:pPr>
        <w:pStyle w:val="2"/>
        <w:rPr>
          <w:rFonts w:hAnsi="宋体" w:cs="Times New Roman"/>
          <w:b/>
          <w:bCs/>
          <w:color w:val="auto"/>
          <w:sz w:val="21"/>
          <w:szCs w:val="21"/>
        </w:rPr>
      </w:pPr>
    </w:p>
    <w:p>
      <w:pPr>
        <w:pStyle w:val="2"/>
        <w:rPr>
          <w:rFonts w:hAnsi="宋体" w:cs="Times New Roman"/>
          <w:b/>
          <w:bCs/>
          <w:color w:val="auto"/>
          <w:sz w:val="21"/>
          <w:szCs w:val="21"/>
        </w:rPr>
      </w:pPr>
    </w:p>
    <w:p>
      <w:pPr>
        <w:pStyle w:val="2"/>
        <w:rPr>
          <w:rFonts w:hAnsi="宋体" w:cs="Times New Roman"/>
          <w:b/>
          <w:bCs/>
          <w:color w:val="auto"/>
          <w:sz w:val="21"/>
          <w:szCs w:val="21"/>
        </w:rPr>
      </w:pPr>
    </w:p>
    <w:p>
      <w:pPr>
        <w:pStyle w:val="2"/>
        <w:rPr>
          <w:rFonts w:hAnsi="宋体" w:cs="Times New Roman"/>
          <w:b/>
          <w:bCs/>
          <w:color w:val="auto"/>
          <w:sz w:val="21"/>
          <w:szCs w:val="21"/>
        </w:rPr>
      </w:pPr>
    </w:p>
    <w:p>
      <w:pPr>
        <w:pStyle w:val="2"/>
        <w:rPr>
          <w:rFonts w:hAnsi="宋体" w:cs="Times New Roman"/>
          <w:b/>
          <w:bCs/>
          <w:color w:val="auto"/>
          <w:sz w:val="21"/>
          <w:szCs w:val="21"/>
        </w:rPr>
      </w:pPr>
    </w:p>
    <w:p>
      <w:pPr>
        <w:pStyle w:val="2"/>
        <w:rPr>
          <w:rFonts w:hAnsi="宋体" w:cs="Times New Roman"/>
          <w:b/>
          <w:bCs/>
          <w:color w:val="auto"/>
          <w:sz w:val="21"/>
          <w:szCs w:val="21"/>
        </w:rPr>
      </w:pPr>
    </w:p>
    <w:p>
      <w:pPr>
        <w:rPr>
          <w:rFonts w:ascii="宋体"/>
          <w:b/>
          <w:bCs/>
          <w:color w:val="auto"/>
        </w:rPr>
      </w:pPr>
    </w:p>
    <w:p>
      <w:pPr>
        <w:rPr>
          <w:rFonts w:ascii="宋体"/>
          <w:b/>
          <w:bCs/>
          <w:color w:val="auto"/>
        </w:rPr>
      </w:pPr>
    </w:p>
    <w:p>
      <w:pPr>
        <w:pStyle w:val="40"/>
        <w:numPr>
          <w:ilvl w:val="1"/>
          <w:numId w:val="0"/>
        </w:numPr>
        <w:ind w:left="1134"/>
        <w:rPr>
          <w:rFonts w:cs="Times New Roman"/>
          <w:color w:val="auto"/>
        </w:rPr>
      </w:pPr>
    </w:p>
    <w:p>
      <w:pPr>
        <w:rPr>
          <w:rFonts w:ascii="宋体"/>
          <w:color w:val="auto"/>
        </w:rPr>
      </w:pPr>
    </w:p>
    <w:p>
      <w:pPr>
        <w:pStyle w:val="2"/>
        <w:ind w:firstLine="0"/>
        <w:rPr>
          <w:rFonts w:hAnsi="宋体" w:cs="Times New Roman"/>
          <w:b/>
          <w:bCs/>
          <w:color w:val="auto"/>
          <w:sz w:val="21"/>
          <w:szCs w:val="21"/>
        </w:rPr>
      </w:pPr>
    </w:p>
    <w:p>
      <w:pPr>
        <w:tabs>
          <w:tab w:val="left" w:pos="5580"/>
        </w:tabs>
        <w:spacing w:line="400" w:lineRule="atLeast"/>
        <w:ind w:left="420" w:leftChars="200" w:firstLine="241" w:firstLineChars="100"/>
        <w:outlineLvl w:val="1"/>
        <w:rPr>
          <w:rFonts w:ascii="宋体"/>
          <w:b/>
          <w:bCs/>
          <w:color w:val="auto"/>
          <w:kern w:val="0"/>
          <w:sz w:val="24"/>
          <w:szCs w:val="24"/>
        </w:rPr>
      </w:pPr>
      <w:bookmarkStart w:id="536" w:name="_Toc20886"/>
      <w:bookmarkStart w:id="537" w:name="_Toc28906"/>
      <w:bookmarkStart w:id="538" w:name="_Toc3829"/>
      <w:bookmarkStart w:id="539" w:name="_Toc26152"/>
      <w:r>
        <w:rPr>
          <w:rFonts w:ascii="宋体" w:hAnsi="宋体" w:cs="宋体"/>
          <w:b/>
          <w:bCs/>
          <w:color w:val="auto"/>
          <w:kern w:val="0"/>
          <w:sz w:val="24"/>
          <w:szCs w:val="24"/>
        </w:rPr>
        <w:t xml:space="preserve">11  </w:t>
      </w:r>
      <w:r>
        <w:rPr>
          <w:rFonts w:hint="eastAsia" w:ascii="宋体" w:hAnsi="宋体" w:cs="宋体"/>
          <w:b/>
          <w:bCs/>
          <w:color w:val="auto"/>
          <w:kern w:val="0"/>
          <w:sz w:val="24"/>
          <w:szCs w:val="24"/>
        </w:rPr>
        <w:t>银行开户许可证复印件或银行基本账户信息</w:t>
      </w:r>
      <w:r>
        <w:rPr>
          <w:rFonts w:ascii="宋体" w:hAnsi="宋体" w:cs="宋体"/>
          <w:b/>
          <w:bCs/>
          <w:color w:val="auto"/>
          <w:kern w:val="0"/>
          <w:sz w:val="24"/>
          <w:szCs w:val="24"/>
        </w:rPr>
        <w:t>(</w:t>
      </w:r>
      <w:r>
        <w:rPr>
          <w:rFonts w:hint="eastAsia" w:ascii="宋体" w:hAnsi="宋体" w:cs="宋体"/>
          <w:b/>
          <w:bCs/>
          <w:color w:val="auto"/>
          <w:kern w:val="0"/>
          <w:sz w:val="24"/>
          <w:szCs w:val="24"/>
        </w:rPr>
        <w:t>包含：银行账号及开户行名称）；</w:t>
      </w:r>
      <w:bookmarkEnd w:id="536"/>
    </w:p>
    <w:p>
      <w:pPr>
        <w:pStyle w:val="2"/>
        <w:rPr>
          <w:rFonts w:hAnsi="宋体" w:cs="Times New Roman"/>
          <w:b/>
          <w:bCs/>
          <w:color w:val="auto"/>
        </w:rPr>
      </w:pPr>
    </w:p>
    <w:p>
      <w:pPr>
        <w:rPr>
          <w:rFonts w:ascii="宋体"/>
          <w:b/>
          <w:bCs/>
          <w:color w:val="auto"/>
          <w:kern w:val="0"/>
          <w:sz w:val="24"/>
          <w:szCs w:val="24"/>
        </w:rPr>
      </w:pPr>
    </w:p>
    <w:p>
      <w:pPr>
        <w:rPr>
          <w:rFonts w:ascii="宋体"/>
          <w:b/>
          <w:bCs/>
          <w:color w:val="auto"/>
          <w:kern w:val="0"/>
          <w:sz w:val="24"/>
          <w:szCs w:val="24"/>
        </w:rPr>
      </w:pPr>
    </w:p>
    <w:p>
      <w:pPr>
        <w:rPr>
          <w:rFonts w:ascii="宋体"/>
          <w:b/>
          <w:bCs/>
          <w:color w:val="auto"/>
          <w:kern w:val="0"/>
          <w:sz w:val="24"/>
          <w:szCs w:val="24"/>
        </w:rPr>
      </w:pPr>
    </w:p>
    <w:p>
      <w:pPr>
        <w:rPr>
          <w:rFonts w:ascii="宋体"/>
          <w:color w:val="auto"/>
        </w:rPr>
      </w:pPr>
    </w:p>
    <w:p>
      <w:pPr>
        <w:pStyle w:val="2"/>
        <w:rPr>
          <w:rFonts w:hAnsi="宋体" w:cs="Times New Roman"/>
          <w:b/>
          <w:bCs/>
          <w:color w:val="auto"/>
        </w:rPr>
      </w:pPr>
    </w:p>
    <w:p>
      <w:pPr>
        <w:rPr>
          <w:rFonts w:ascii="宋体"/>
          <w:color w:val="auto"/>
        </w:rPr>
      </w:pPr>
    </w:p>
    <w:p>
      <w:pPr>
        <w:pStyle w:val="2"/>
        <w:rPr>
          <w:rFonts w:hAnsi="宋体" w:cs="Times New Roman"/>
          <w:color w:val="auto"/>
        </w:rPr>
      </w:pPr>
    </w:p>
    <w:p>
      <w:pPr>
        <w:tabs>
          <w:tab w:val="left" w:pos="5580"/>
        </w:tabs>
        <w:spacing w:line="400" w:lineRule="atLeast"/>
        <w:ind w:left="420" w:leftChars="200" w:firstLine="241" w:firstLineChars="100"/>
        <w:outlineLvl w:val="1"/>
        <w:rPr>
          <w:rFonts w:ascii="宋体"/>
          <w:b/>
          <w:bCs/>
          <w:color w:val="auto"/>
          <w:kern w:val="0"/>
          <w:sz w:val="24"/>
          <w:szCs w:val="24"/>
        </w:rPr>
      </w:pPr>
      <w:bookmarkStart w:id="540" w:name="_Toc6112"/>
      <w:r>
        <w:rPr>
          <w:rFonts w:ascii="宋体" w:hAnsi="宋体" w:cs="宋体"/>
          <w:b/>
          <w:bCs/>
          <w:color w:val="auto"/>
          <w:kern w:val="0"/>
          <w:sz w:val="24"/>
          <w:szCs w:val="24"/>
        </w:rPr>
        <w:t xml:space="preserve">12  </w:t>
      </w:r>
      <w:r>
        <w:rPr>
          <w:rFonts w:hint="eastAsia" w:ascii="宋体" w:hAnsi="宋体" w:cs="宋体"/>
          <w:b/>
          <w:bCs/>
          <w:color w:val="auto"/>
          <w:kern w:val="0"/>
          <w:sz w:val="24"/>
          <w:szCs w:val="24"/>
        </w:rPr>
        <w:t>供应商可提供有利于投标的其他资格证明材料。</w:t>
      </w:r>
      <w:bookmarkEnd w:id="537"/>
      <w:bookmarkEnd w:id="538"/>
      <w:bookmarkEnd w:id="539"/>
      <w:bookmarkEnd w:id="540"/>
    </w:p>
    <w:p>
      <w:pPr>
        <w:pStyle w:val="8"/>
        <w:rPr>
          <w:rFonts w:ascii="宋体" w:cs="Times New Roman"/>
          <w:b/>
          <w:bCs/>
          <w:color w:val="auto"/>
          <w:kern w:val="0"/>
        </w:rPr>
      </w:pPr>
    </w:p>
    <w:p>
      <w:pPr>
        <w:rPr>
          <w:rFonts w:ascii="宋体"/>
          <w:color w:val="auto"/>
        </w:rPr>
      </w:pPr>
    </w:p>
    <w:bookmarkEnd w:id="525"/>
    <w:bookmarkEnd w:id="526"/>
    <w:bookmarkEnd w:id="527"/>
    <w:p>
      <w:pPr>
        <w:pStyle w:val="2"/>
        <w:ind w:firstLine="0"/>
        <w:rPr>
          <w:rFonts w:hAnsi="宋体" w:cs="Times New Roman"/>
          <w:color w:val="auto"/>
        </w:rPr>
      </w:pPr>
      <w:bookmarkStart w:id="541" w:name="_Toc22967"/>
      <w:bookmarkStart w:id="542" w:name="_Toc515647816"/>
      <w:bookmarkStart w:id="543" w:name="_Toc30653"/>
      <w:bookmarkStart w:id="544" w:name="_Toc11180"/>
    </w:p>
    <w:p>
      <w:pPr>
        <w:pStyle w:val="4"/>
        <w:numPr>
          <w:ilvl w:val="0"/>
          <w:numId w:val="6"/>
        </w:numPr>
        <w:spacing w:before="0" w:line="240" w:lineRule="atLeast"/>
        <w:ind w:left="1080" w:leftChars="257" w:hanging="540"/>
        <w:rPr>
          <w:rFonts w:ascii="宋体" w:hAnsi="宋体" w:eastAsia="宋体" w:cs="Times New Roman"/>
          <w:color w:val="auto"/>
          <w:kern w:val="2"/>
          <w:sz w:val="32"/>
          <w:szCs w:val="32"/>
        </w:rPr>
      </w:pPr>
      <w:r>
        <w:rPr>
          <w:rFonts w:ascii="宋体" w:hAnsi="宋体" w:eastAsia="宋体" w:cs="宋体"/>
          <w:color w:val="auto"/>
          <w:kern w:val="2"/>
          <w:sz w:val="32"/>
          <w:szCs w:val="32"/>
        </w:rPr>
        <w:t xml:space="preserve"> </w:t>
      </w:r>
      <w:bookmarkStart w:id="545" w:name="_Toc7925"/>
      <w:r>
        <w:rPr>
          <w:rFonts w:hint="eastAsia" w:ascii="宋体" w:hAnsi="宋体" w:eastAsia="宋体" w:cs="宋体"/>
          <w:color w:val="auto"/>
          <w:kern w:val="2"/>
          <w:sz w:val="32"/>
          <w:szCs w:val="32"/>
        </w:rPr>
        <w:t>商务及技术文件</w:t>
      </w:r>
      <w:bookmarkEnd w:id="541"/>
      <w:bookmarkEnd w:id="542"/>
      <w:bookmarkEnd w:id="543"/>
      <w:bookmarkEnd w:id="544"/>
      <w:bookmarkEnd w:id="545"/>
    </w:p>
    <w:p>
      <w:pPr>
        <w:rPr>
          <w:rFonts w:ascii="宋体"/>
          <w:color w:val="auto"/>
        </w:rPr>
      </w:pPr>
    </w:p>
    <w:p>
      <w:pPr>
        <w:pStyle w:val="2"/>
        <w:rPr>
          <w:rFonts w:hAnsi="宋体" w:cs="Times New Roman"/>
          <w:color w:val="auto"/>
        </w:rPr>
      </w:pPr>
    </w:p>
    <w:p>
      <w:pPr>
        <w:pStyle w:val="12"/>
        <w:spacing w:line="500" w:lineRule="exact"/>
        <w:ind w:left="1079" w:leftChars="257" w:hanging="539"/>
        <w:rPr>
          <w:rFonts w:hAnsi="宋体" w:cs="Times New Roman"/>
          <w:color w:val="auto"/>
          <w:sz w:val="28"/>
          <w:szCs w:val="28"/>
        </w:rPr>
      </w:pPr>
      <w:r>
        <w:rPr>
          <w:rFonts w:hAnsi="宋体"/>
          <w:color w:val="auto"/>
          <w:sz w:val="28"/>
          <w:szCs w:val="28"/>
        </w:rPr>
        <w:t>1.</w:t>
      </w:r>
      <w:r>
        <w:rPr>
          <w:rFonts w:hint="eastAsia" w:hAnsi="宋体"/>
          <w:color w:val="auto"/>
          <w:sz w:val="28"/>
          <w:szCs w:val="28"/>
        </w:rPr>
        <w:t>投标书</w:t>
      </w:r>
    </w:p>
    <w:p>
      <w:pPr>
        <w:pStyle w:val="12"/>
        <w:spacing w:line="500" w:lineRule="exact"/>
        <w:ind w:left="1080" w:leftChars="257" w:hanging="540"/>
        <w:rPr>
          <w:rFonts w:hAnsi="宋体" w:cs="Times New Roman"/>
          <w:color w:val="auto"/>
          <w:sz w:val="28"/>
          <w:szCs w:val="28"/>
        </w:rPr>
      </w:pPr>
      <w:r>
        <w:rPr>
          <w:rFonts w:hAnsi="宋体"/>
          <w:color w:val="auto"/>
          <w:sz w:val="28"/>
          <w:szCs w:val="28"/>
        </w:rPr>
        <w:t>2.</w:t>
      </w:r>
      <w:r>
        <w:rPr>
          <w:rFonts w:hint="eastAsia" w:hAnsi="宋体"/>
          <w:color w:val="auto"/>
          <w:sz w:val="28"/>
          <w:szCs w:val="28"/>
        </w:rPr>
        <w:t>投标分项报价表</w:t>
      </w:r>
    </w:p>
    <w:p>
      <w:pPr>
        <w:pStyle w:val="12"/>
        <w:spacing w:line="500" w:lineRule="exact"/>
        <w:ind w:left="1080" w:leftChars="257" w:hanging="540"/>
        <w:rPr>
          <w:rFonts w:hAnsi="宋体" w:cs="Times New Roman"/>
          <w:color w:val="auto"/>
          <w:sz w:val="28"/>
          <w:szCs w:val="28"/>
        </w:rPr>
      </w:pPr>
      <w:r>
        <w:rPr>
          <w:rFonts w:hAnsi="宋体"/>
          <w:color w:val="auto"/>
          <w:sz w:val="28"/>
          <w:szCs w:val="28"/>
        </w:rPr>
        <w:t>3.</w:t>
      </w:r>
      <w:r>
        <w:rPr>
          <w:rFonts w:hint="eastAsia" w:hAnsi="宋体"/>
          <w:color w:val="auto"/>
          <w:sz w:val="28"/>
          <w:szCs w:val="28"/>
        </w:rPr>
        <w:t>货物说明一览表</w:t>
      </w:r>
    </w:p>
    <w:p>
      <w:pPr>
        <w:pStyle w:val="12"/>
        <w:spacing w:line="500" w:lineRule="exact"/>
        <w:ind w:left="1080" w:leftChars="257" w:hanging="540"/>
        <w:rPr>
          <w:rFonts w:hAnsi="宋体" w:cs="Times New Roman"/>
          <w:color w:val="auto"/>
          <w:sz w:val="28"/>
          <w:szCs w:val="28"/>
        </w:rPr>
      </w:pPr>
      <w:r>
        <w:rPr>
          <w:rFonts w:hAnsi="宋体"/>
          <w:color w:val="auto"/>
          <w:sz w:val="28"/>
          <w:szCs w:val="28"/>
        </w:rPr>
        <w:t>4.</w:t>
      </w:r>
      <w:r>
        <w:rPr>
          <w:rFonts w:hint="eastAsia" w:hAnsi="宋体"/>
          <w:color w:val="auto"/>
          <w:sz w:val="28"/>
          <w:szCs w:val="28"/>
        </w:rPr>
        <w:t>技术规格偏离表</w:t>
      </w:r>
    </w:p>
    <w:p>
      <w:pPr>
        <w:pStyle w:val="12"/>
        <w:spacing w:line="500" w:lineRule="exact"/>
        <w:ind w:left="1080" w:leftChars="257" w:hanging="540"/>
        <w:rPr>
          <w:rFonts w:hAnsi="宋体" w:cs="Times New Roman"/>
          <w:color w:val="auto"/>
          <w:sz w:val="28"/>
          <w:szCs w:val="28"/>
        </w:rPr>
      </w:pPr>
      <w:r>
        <w:rPr>
          <w:rFonts w:hAnsi="宋体"/>
          <w:color w:val="auto"/>
          <w:sz w:val="28"/>
          <w:szCs w:val="28"/>
        </w:rPr>
        <w:t>5.</w:t>
      </w:r>
      <w:r>
        <w:rPr>
          <w:rFonts w:hint="eastAsia" w:hAnsi="宋体"/>
          <w:color w:val="auto"/>
          <w:sz w:val="28"/>
          <w:szCs w:val="28"/>
        </w:rPr>
        <w:t>商务条款偏离表</w:t>
      </w:r>
    </w:p>
    <w:p>
      <w:pPr>
        <w:pStyle w:val="12"/>
        <w:spacing w:line="500" w:lineRule="exact"/>
        <w:ind w:left="311" w:leftChars="148" w:firstLine="228"/>
        <w:rPr>
          <w:rFonts w:hAnsi="宋体" w:cs="Times New Roman"/>
          <w:color w:val="auto"/>
          <w:sz w:val="28"/>
          <w:szCs w:val="28"/>
        </w:rPr>
      </w:pPr>
      <w:r>
        <w:rPr>
          <w:rFonts w:hAnsi="宋体"/>
          <w:color w:val="auto"/>
          <w:sz w:val="28"/>
          <w:szCs w:val="28"/>
        </w:rPr>
        <w:t>6-1</w:t>
      </w:r>
      <w:r>
        <w:rPr>
          <w:rFonts w:hint="eastAsia" w:hAnsi="宋体"/>
          <w:color w:val="auto"/>
          <w:sz w:val="28"/>
          <w:szCs w:val="28"/>
        </w:rPr>
        <w:t>中小企业声明函</w:t>
      </w:r>
    </w:p>
    <w:p>
      <w:pPr>
        <w:pStyle w:val="12"/>
        <w:spacing w:line="500" w:lineRule="exact"/>
        <w:ind w:left="311" w:leftChars="148" w:firstLine="228"/>
        <w:rPr>
          <w:rFonts w:hAnsi="宋体" w:cs="Times New Roman"/>
          <w:color w:val="auto"/>
          <w:sz w:val="28"/>
          <w:szCs w:val="28"/>
        </w:rPr>
      </w:pPr>
      <w:r>
        <w:rPr>
          <w:rFonts w:hAnsi="宋体"/>
          <w:color w:val="auto"/>
          <w:sz w:val="28"/>
          <w:szCs w:val="28"/>
        </w:rPr>
        <w:t>6-2</w:t>
      </w:r>
      <w:r>
        <w:rPr>
          <w:rFonts w:hint="eastAsia" w:hAnsi="宋体"/>
          <w:color w:val="auto"/>
          <w:sz w:val="28"/>
          <w:szCs w:val="28"/>
        </w:rPr>
        <w:t>残疾人福利性单位声明函</w:t>
      </w:r>
    </w:p>
    <w:p>
      <w:pPr>
        <w:pStyle w:val="12"/>
        <w:spacing w:line="500" w:lineRule="exact"/>
        <w:ind w:left="311" w:leftChars="148" w:firstLine="228"/>
        <w:rPr>
          <w:rFonts w:hAnsi="宋体" w:cs="Times New Roman"/>
          <w:color w:val="auto"/>
          <w:sz w:val="28"/>
          <w:szCs w:val="28"/>
        </w:rPr>
      </w:pPr>
      <w:r>
        <w:rPr>
          <w:rFonts w:hAnsi="宋体"/>
          <w:color w:val="auto"/>
          <w:sz w:val="28"/>
          <w:szCs w:val="28"/>
        </w:rPr>
        <w:t>7.</w:t>
      </w:r>
      <w:r>
        <w:rPr>
          <w:rFonts w:hint="eastAsia" w:hAnsi="宋体"/>
          <w:color w:val="auto"/>
          <w:sz w:val="28"/>
          <w:szCs w:val="28"/>
        </w:rPr>
        <w:t>供应商关联单位的说明（格式自拟）</w:t>
      </w:r>
    </w:p>
    <w:p>
      <w:pPr>
        <w:pStyle w:val="12"/>
        <w:spacing w:line="500" w:lineRule="exact"/>
        <w:ind w:left="1080" w:leftChars="257" w:hanging="540"/>
        <w:rPr>
          <w:rFonts w:hAnsi="宋体" w:cs="Times New Roman"/>
          <w:color w:val="auto"/>
          <w:sz w:val="28"/>
          <w:szCs w:val="28"/>
        </w:rPr>
      </w:pPr>
      <w:r>
        <w:rPr>
          <w:rFonts w:hAnsi="宋体"/>
          <w:color w:val="auto"/>
          <w:sz w:val="28"/>
          <w:szCs w:val="28"/>
        </w:rPr>
        <w:t>8.</w:t>
      </w:r>
      <w:r>
        <w:rPr>
          <w:rFonts w:hint="eastAsia" w:hAnsi="宋体"/>
          <w:color w:val="auto"/>
          <w:sz w:val="28"/>
          <w:szCs w:val="28"/>
        </w:rPr>
        <w:t>供应商可提供有利于投标的其他资格证明材料</w:t>
      </w:r>
      <w:bookmarkStart w:id="546" w:name="_Toc2041"/>
      <w:bookmarkStart w:id="547" w:name="_Toc515647817"/>
      <w:bookmarkStart w:id="548" w:name="_Toc14915"/>
    </w:p>
    <w:p>
      <w:pPr>
        <w:pStyle w:val="12"/>
        <w:spacing w:line="500" w:lineRule="exact"/>
        <w:ind w:left="1080" w:leftChars="257" w:hanging="540"/>
        <w:rPr>
          <w:rFonts w:hAnsi="宋体" w:cs="Times New Roman"/>
          <w:color w:val="auto"/>
          <w:sz w:val="28"/>
          <w:szCs w:val="28"/>
        </w:rPr>
      </w:pPr>
      <w:r>
        <w:rPr>
          <w:rFonts w:hAnsi="宋体"/>
          <w:color w:val="auto"/>
          <w:sz w:val="28"/>
          <w:szCs w:val="28"/>
        </w:rPr>
        <w:t>9.</w:t>
      </w:r>
      <w:r>
        <w:rPr>
          <w:rFonts w:hint="eastAsia" w:hAnsi="宋体"/>
          <w:color w:val="auto"/>
          <w:sz w:val="28"/>
          <w:szCs w:val="28"/>
        </w:rPr>
        <w:t>投标文件格式范本</w:t>
      </w:r>
    </w:p>
    <w:p>
      <w:pPr>
        <w:pStyle w:val="12"/>
        <w:tabs>
          <w:tab w:val="left" w:pos="5580"/>
        </w:tabs>
        <w:spacing w:line="240" w:lineRule="atLeast"/>
        <w:rPr>
          <w:rFonts w:hAnsi="宋体" w:cs="Times New Roman"/>
          <w:color w:val="auto"/>
          <w:sz w:val="24"/>
          <w:szCs w:val="24"/>
        </w:rPr>
      </w:pPr>
    </w:p>
    <w:p>
      <w:pPr>
        <w:spacing w:line="360" w:lineRule="auto"/>
        <w:rPr>
          <w:rFonts w:ascii="宋体"/>
          <w:b/>
          <w:bCs/>
          <w:color w:val="auto"/>
        </w:rPr>
      </w:pPr>
    </w:p>
    <w:p>
      <w:pPr>
        <w:pStyle w:val="2"/>
        <w:rPr>
          <w:rFonts w:hAnsi="宋体" w:cs="Times New Roman"/>
          <w:b/>
          <w:bCs/>
          <w:color w:val="auto"/>
        </w:rPr>
      </w:pPr>
    </w:p>
    <w:p>
      <w:pPr>
        <w:pStyle w:val="2"/>
        <w:rPr>
          <w:rFonts w:hAnsi="宋体" w:cs="Times New Roman"/>
          <w:b/>
          <w:bCs/>
          <w:color w:val="auto"/>
        </w:rPr>
      </w:pPr>
    </w:p>
    <w:p>
      <w:pPr>
        <w:pStyle w:val="2"/>
        <w:rPr>
          <w:rFonts w:hAnsi="宋体" w:cs="Times New Roman"/>
          <w:b/>
          <w:bCs/>
          <w:color w:val="auto"/>
        </w:rPr>
      </w:pPr>
    </w:p>
    <w:p>
      <w:pPr>
        <w:pStyle w:val="2"/>
        <w:rPr>
          <w:rFonts w:hAnsi="宋体" w:cs="Times New Roman"/>
          <w:b/>
          <w:bCs/>
          <w:color w:val="auto"/>
        </w:rPr>
      </w:pPr>
    </w:p>
    <w:p>
      <w:pPr>
        <w:pStyle w:val="2"/>
        <w:rPr>
          <w:rFonts w:hAnsi="宋体" w:cs="Times New Roman"/>
          <w:b/>
          <w:bCs/>
          <w:color w:val="auto"/>
        </w:rPr>
      </w:pPr>
    </w:p>
    <w:p>
      <w:pPr>
        <w:pStyle w:val="2"/>
        <w:rPr>
          <w:rFonts w:hAnsi="宋体" w:cs="Times New Roman"/>
          <w:b/>
          <w:bCs/>
          <w:color w:val="auto"/>
        </w:rPr>
      </w:pPr>
    </w:p>
    <w:p>
      <w:pPr>
        <w:spacing w:line="360" w:lineRule="auto"/>
        <w:rPr>
          <w:rFonts w:ascii="宋体"/>
          <w:color w:val="auto"/>
          <w:sz w:val="24"/>
          <w:szCs w:val="24"/>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pStyle w:val="12"/>
        <w:tabs>
          <w:tab w:val="left" w:pos="5580"/>
        </w:tabs>
        <w:spacing w:line="240" w:lineRule="atLeast"/>
        <w:rPr>
          <w:rFonts w:hAnsi="宋体" w:cs="Times New Roman"/>
          <w:color w:val="auto"/>
        </w:rPr>
      </w:pPr>
    </w:p>
    <w:p>
      <w:pPr>
        <w:rPr>
          <w:rFonts w:ascii="宋体"/>
          <w:color w:val="auto"/>
        </w:rPr>
      </w:pPr>
      <w:r>
        <w:rPr>
          <w:rFonts w:ascii="宋体"/>
          <w:color w:val="auto"/>
        </w:rPr>
        <w:br w:type="page"/>
      </w:r>
    </w:p>
    <w:p>
      <w:pPr>
        <w:pStyle w:val="12"/>
        <w:tabs>
          <w:tab w:val="left" w:pos="5580"/>
        </w:tabs>
        <w:spacing w:line="240" w:lineRule="atLeast"/>
        <w:ind w:firstLine="3373" w:firstLineChars="1600"/>
        <w:outlineLvl w:val="1"/>
        <w:rPr>
          <w:rFonts w:hAnsi="宋体" w:cs="Times New Roman"/>
          <w:color w:val="auto"/>
        </w:rPr>
      </w:pPr>
      <w:bookmarkStart w:id="549" w:name="_Toc695"/>
      <w:bookmarkStart w:id="550" w:name="_Toc27134"/>
      <w:bookmarkStart w:id="551" w:name="_Toc2305"/>
      <w:bookmarkStart w:id="552" w:name="_Toc12580"/>
      <w:bookmarkStart w:id="553" w:name="_Toc30408"/>
      <w:bookmarkStart w:id="554" w:name="_Toc30922"/>
      <w:bookmarkStart w:id="555" w:name="_Toc28750"/>
      <w:bookmarkStart w:id="556" w:name="_Toc28678"/>
      <w:bookmarkStart w:id="557" w:name="_Toc17344"/>
      <w:r>
        <w:rPr>
          <w:rFonts w:hAnsi="宋体"/>
          <w:b/>
          <w:bCs/>
          <w:color w:val="auto"/>
        </w:rPr>
        <w:t xml:space="preserve">1   </w:t>
      </w:r>
      <w:r>
        <w:rPr>
          <w:rFonts w:hint="eastAsia" w:hAnsi="宋体"/>
          <w:b/>
          <w:bCs/>
          <w:color w:val="auto"/>
        </w:rPr>
        <w:t>投标</w:t>
      </w:r>
      <w:bookmarkEnd w:id="515"/>
      <w:bookmarkEnd w:id="516"/>
      <w:r>
        <w:rPr>
          <w:rFonts w:hint="eastAsia" w:hAnsi="宋体"/>
          <w:b/>
          <w:bCs/>
          <w:color w:val="auto"/>
        </w:rPr>
        <w:t>书</w:t>
      </w:r>
      <w:bookmarkEnd w:id="517"/>
      <w:bookmarkEnd w:id="518"/>
      <w:bookmarkEnd w:id="546"/>
      <w:bookmarkEnd w:id="547"/>
      <w:bookmarkEnd w:id="548"/>
      <w:bookmarkEnd w:id="549"/>
      <w:bookmarkEnd w:id="550"/>
      <w:bookmarkEnd w:id="551"/>
      <w:bookmarkEnd w:id="552"/>
      <w:bookmarkEnd w:id="553"/>
      <w:bookmarkEnd w:id="554"/>
      <w:bookmarkEnd w:id="555"/>
      <w:bookmarkEnd w:id="556"/>
      <w:bookmarkEnd w:id="557"/>
    </w:p>
    <w:p>
      <w:pPr>
        <w:tabs>
          <w:tab w:val="left" w:pos="5580"/>
        </w:tabs>
        <w:spacing w:line="400" w:lineRule="atLeast"/>
        <w:ind w:left="1080" w:hanging="1080"/>
        <w:rPr>
          <w:rFonts w:ascii="宋体"/>
          <w:color w:val="auto"/>
        </w:rPr>
      </w:pPr>
      <w:r>
        <w:rPr>
          <w:rFonts w:hint="eastAsia" w:ascii="宋体" w:hAnsi="宋体" w:cs="宋体"/>
          <w:color w:val="auto"/>
        </w:rPr>
        <w:t>致：</w:t>
      </w:r>
      <w:r>
        <w:rPr>
          <w:rFonts w:ascii="宋体" w:hAnsi="宋体" w:cs="宋体"/>
          <w:color w:val="auto"/>
          <w:u w:val="single"/>
        </w:rPr>
        <w:t xml:space="preserve">        </w:t>
      </w:r>
    </w:p>
    <w:p>
      <w:pPr>
        <w:pStyle w:val="12"/>
        <w:tabs>
          <w:tab w:val="left" w:pos="5580"/>
        </w:tabs>
        <w:spacing w:line="400" w:lineRule="atLeast"/>
        <w:ind w:left="1080" w:leftChars="257" w:hanging="540"/>
        <w:rPr>
          <w:rFonts w:hAnsi="宋体" w:cs="Times New Roman"/>
          <w:color w:val="auto"/>
        </w:rPr>
      </w:pPr>
    </w:p>
    <w:p>
      <w:pPr>
        <w:pStyle w:val="12"/>
        <w:tabs>
          <w:tab w:val="left" w:pos="5580"/>
        </w:tabs>
        <w:spacing w:line="400" w:lineRule="atLeast"/>
        <w:ind w:left="2" w:leftChars="1" w:firstLine="420" w:firstLineChars="200"/>
        <w:rPr>
          <w:rFonts w:hAnsi="宋体" w:cs="Times New Roman"/>
          <w:color w:val="auto"/>
        </w:rPr>
      </w:pPr>
      <w:r>
        <w:rPr>
          <w:rFonts w:hint="eastAsia" w:hAnsi="宋体"/>
          <w:color w:val="auto"/>
        </w:rPr>
        <w:t>根据贵方</w:t>
      </w:r>
      <w:r>
        <w:rPr>
          <w:rFonts w:hAnsi="宋体"/>
          <w:color w:val="auto"/>
        </w:rPr>
        <w:t>(</w:t>
      </w:r>
      <w:r>
        <w:rPr>
          <w:rFonts w:hint="eastAsia" w:hAnsi="宋体"/>
          <w:i/>
          <w:iCs/>
          <w:color w:val="auto"/>
          <w:u w:val="single"/>
        </w:rPr>
        <w:t>项目名称</w:t>
      </w:r>
      <w:r>
        <w:rPr>
          <w:rFonts w:hAnsi="宋体"/>
          <w:color w:val="auto"/>
        </w:rPr>
        <w:t>)</w:t>
      </w:r>
      <w:r>
        <w:rPr>
          <w:rFonts w:hint="eastAsia" w:hAnsi="宋体"/>
          <w:color w:val="auto"/>
        </w:rPr>
        <w:t>项目的投标邀请</w:t>
      </w:r>
      <w:r>
        <w:rPr>
          <w:rFonts w:hAnsi="宋体"/>
          <w:color w:val="auto"/>
        </w:rPr>
        <w:t>(</w:t>
      </w:r>
      <w:r>
        <w:rPr>
          <w:rFonts w:hint="eastAsia" w:hAnsi="宋体"/>
          <w:i/>
          <w:iCs/>
          <w:color w:val="auto"/>
          <w:u w:val="single"/>
        </w:rPr>
        <w:t>项目编号</w:t>
      </w:r>
      <w:r>
        <w:rPr>
          <w:rFonts w:hAnsi="宋体"/>
          <w:color w:val="auto"/>
        </w:rPr>
        <w:t>),</w:t>
      </w:r>
      <w:r>
        <w:rPr>
          <w:rFonts w:hint="eastAsia" w:hAnsi="宋体"/>
          <w:color w:val="auto"/>
        </w:rPr>
        <w:t>签字代表</w:t>
      </w:r>
      <w:r>
        <w:rPr>
          <w:rFonts w:hAnsi="宋体"/>
          <w:color w:val="auto"/>
        </w:rPr>
        <w:t>(</w:t>
      </w:r>
      <w:r>
        <w:rPr>
          <w:rFonts w:hint="eastAsia" w:hAnsi="宋体"/>
          <w:i/>
          <w:iCs/>
          <w:color w:val="auto"/>
          <w:u w:val="single"/>
        </w:rPr>
        <w:t>姓名、职务</w:t>
      </w:r>
      <w:r>
        <w:rPr>
          <w:rFonts w:hAnsi="宋体"/>
          <w:color w:val="auto"/>
        </w:rPr>
        <w:t>)</w:t>
      </w:r>
      <w:r>
        <w:rPr>
          <w:rFonts w:hint="eastAsia" w:hAnsi="宋体"/>
          <w:color w:val="auto"/>
        </w:rPr>
        <w:t>经正式授权并代表供应商（</w:t>
      </w:r>
      <w:r>
        <w:rPr>
          <w:rFonts w:hint="eastAsia" w:hAnsi="宋体"/>
          <w:i/>
          <w:iCs/>
          <w:color w:val="auto"/>
          <w:u w:val="single"/>
        </w:rPr>
        <w:t>名称、地址</w:t>
      </w:r>
      <w:r>
        <w:rPr>
          <w:rFonts w:hint="eastAsia" w:hAnsi="宋体"/>
          <w:color w:val="auto"/>
        </w:rPr>
        <w:t>）提交下述文件正本</w:t>
      </w:r>
      <w:r>
        <w:rPr>
          <w:rFonts w:hAnsi="宋体"/>
          <w:color w:val="auto"/>
          <w:u w:val="single"/>
        </w:rPr>
        <w:t xml:space="preserve">   </w:t>
      </w:r>
      <w:r>
        <w:rPr>
          <w:rFonts w:hint="eastAsia" w:hAnsi="宋体"/>
          <w:color w:val="auto"/>
        </w:rPr>
        <w:t>份、副本</w:t>
      </w:r>
      <w:r>
        <w:rPr>
          <w:rFonts w:hAnsi="宋体"/>
          <w:color w:val="auto"/>
          <w:u w:val="single"/>
        </w:rPr>
        <w:t xml:space="preserve">     </w:t>
      </w:r>
      <w:r>
        <w:rPr>
          <w:rFonts w:hint="eastAsia" w:hAnsi="宋体"/>
          <w:color w:val="auto"/>
        </w:rPr>
        <w:t>份及电子文档</w:t>
      </w:r>
      <w:r>
        <w:rPr>
          <w:rFonts w:hAnsi="宋体"/>
          <w:color w:val="auto"/>
          <w:u w:val="single"/>
        </w:rPr>
        <w:t xml:space="preserve">     </w:t>
      </w:r>
      <w:r>
        <w:rPr>
          <w:rFonts w:hint="eastAsia" w:hAnsi="宋体"/>
          <w:color w:val="auto"/>
        </w:rPr>
        <w:t>份，并以</w:t>
      </w:r>
      <w:r>
        <w:rPr>
          <w:rFonts w:hAnsi="宋体"/>
          <w:color w:val="auto"/>
          <w:u w:val="single"/>
        </w:rPr>
        <w:t xml:space="preserve">         </w:t>
      </w:r>
      <w:r>
        <w:rPr>
          <w:rFonts w:hint="eastAsia" w:hAnsi="宋体"/>
          <w:color w:val="auto"/>
        </w:rPr>
        <w:t>形式出具的金额为人民币</w:t>
      </w:r>
      <w:r>
        <w:rPr>
          <w:rFonts w:hint="eastAsia" w:hAnsi="宋体"/>
          <w:color w:val="auto"/>
          <w:u w:val="single"/>
        </w:rPr>
        <w:t>　　　　</w:t>
      </w:r>
      <w:r>
        <w:rPr>
          <w:rFonts w:hint="eastAsia" w:hAnsi="宋体"/>
          <w:color w:val="auto"/>
        </w:rPr>
        <w:t>元的投标保证金。</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据此，签字代表宣布同意如下：</w:t>
      </w:r>
    </w:p>
    <w:p>
      <w:pPr>
        <w:pStyle w:val="12"/>
        <w:tabs>
          <w:tab w:val="left" w:pos="720"/>
          <w:tab w:val="left" w:pos="900"/>
        </w:tabs>
        <w:spacing w:line="400" w:lineRule="atLeast"/>
        <w:ind w:left="769" w:leftChars="257" w:hanging="229"/>
        <w:rPr>
          <w:rFonts w:hAnsi="宋体" w:cs="Times New Roman"/>
          <w:color w:val="auto"/>
          <w:u w:val="single"/>
        </w:rPr>
      </w:pPr>
      <w:r>
        <w:rPr>
          <w:rFonts w:hint="eastAsia" w:hAnsi="宋体"/>
          <w:color w:val="auto"/>
        </w:rPr>
        <w:t>（</w:t>
      </w:r>
      <w:r>
        <w:rPr>
          <w:rFonts w:hAnsi="宋体"/>
          <w:color w:val="auto"/>
        </w:rPr>
        <w:t>1</w:t>
      </w:r>
      <w:r>
        <w:rPr>
          <w:rFonts w:hint="eastAsia" w:hAnsi="宋体"/>
          <w:color w:val="auto"/>
        </w:rPr>
        <w:t>）附投标价格表中规定的应提供服务的投标总价详见开标一览表，</w:t>
      </w:r>
      <w:r>
        <w:rPr>
          <w:rFonts w:hint="eastAsia" w:hAnsi="宋体"/>
          <w:color w:val="auto"/>
          <w:u w:val="single"/>
        </w:rPr>
        <w:t>其中由小型和</w:t>
      </w:r>
      <w:r>
        <w:rPr>
          <w:rFonts w:hint="eastAsia" w:hAnsi="宋体"/>
          <w:color w:val="auto"/>
        </w:rPr>
        <w:t>微型企业制造产品的价格为</w:t>
      </w:r>
      <w:r>
        <w:rPr>
          <w:rFonts w:hint="eastAsia" w:hAnsi="宋体"/>
          <w:color w:val="auto"/>
          <w:u w:val="single"/>
        </w:rPr>
        <w:t>　　</w:t>
      </w:r>
      <w:r>
        <w:rPr>
          <w:rFonts w:hAnsi="宋体"/>
          <w:color w:val="auto"/>
          <w:u w:val="single"/>
        </w:rPr>
        <w:t xml:space="preserve">  </w:t>
      </w:r>
      <w:r>
        <w:rPr>
          <w:rFonts w:hint="eastAsia" w:hAnsi="宋体"/>
          <w:color w:val="auto"/>
          <w:u w:val="single"/>
        </w:rPr>
        <w:t>（用文字和数字表示），占投标总价</w:t>
      </w:r>
      <w:r>
        <w:rPr>
          <w:rFonts w:hAnsi="宋体"/>
          <w:color w:val="auto"/>
          <w:u w:val="single"/>
        </w:rPr>
        <w:t xml:space="preserve">   %</w:t>
      </w:r>
      <w:r>
        <w:rPr>
          <w:rFonts w:hint="eastAsia" w:hAnsi="宋体"/>
          <w:color w:val="auto"/>
        </w:rPr>
        <w:t>。</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2</w:t>
      </w:r>
      <w:r>
        <w:rPr>
          <w:rFonts w:hint="eastAsia" w:hAnsi="宋体"/>
          <w:color w:val="auto"/>
        </w:rPr>
        <w:t>）本投标有效期为自投标截止之日起</w:t>
      </w:r>
      <w:r>
        <w:rPr>
          <w:rFonts w:hAnsi="宋体"/>
          <w:color w:val="auto"/>
          <w:u w:val="single"/>
        </w:rPr>
        <w:t xml:space="preserve">  90 </w:t>
      </w:r>
      <w:r>
        <w:rPr>
          <w:rFonts w:hint="eastAsia" w:hAnsi="宋体"/>
          <w:color w:val="auto"/>
        </w:rPr>
        <w:t>个日历日。</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3</w:t>
      </w:r>
      <w:r>
        <w:rPr>
          <w:rFonts w:hint="eastAsia" w:hAnsi="宋体"/>
          <w:color w:val="auto"/>
        </w:rPr>
        <w:t>）联合体中的大中型企业和其他自然人、法人或者非法人组织，与联合体中的小型、微型企业之间</w:t>
      </w:r>
      <w:r>
        <w:rPr>
          <w:rFonts w:hAnsi="宋体"/>
          <w:color w:val="auto"/>
          <w:u w:val="single"/>
        </w:rPr>
        <w:t xml:space="preserve">     </w:t>
      </w:r>
      <w:r>
        <w:rPr>
          <w:rFonts w:hint="eastAsia" w:hAnsi="宋体"/>
          <w:color w:val="auto"/>
          <w:u w:val="single"/>
        </w:rPr>
        <w:t>（</w:t>
      </w:r>
      <w:r>
        <w:rPr>
          <w:rFonts w:hint="eastAsia" w:hAnsi="宋体"/>
          <w:color w:val="auto"/>
        </w:rPr>
        <w:t>存在、不存在）投资关系（如果是联合体的话）。</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4</w:t>
      </w:r>
      <w:r>
        <w:rPr>
          <w:rFonts w:hint="eastAsia" w:hAnsi="宋体"/>
          <w:color w:val="auto"/>
        </w:rPr>
        <w:t>）已详细审查全部招标文件，包括所有补充通知（如果有的话），完全理解并同意放弃对这方面有不明、误解和质疑的权力。</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5</w:t>
      </w:r>
      <w:r>
        <w:rPr>
          <w:rFonts w:hint="eastAsia" w:hAnsi="宋体"/>
          <w:color w:val="auto"/>
        </w:rPr>
        <w:t>）在规定的开标时间后，遵守招标文件中有关保证金的规定。</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6</w:t>
      </w:r>
      <w:r>
        <w:rPr>
          <w:rFonts w:hint="eastAsia" w:hAnsi="宋体"/>
          <w:color w:val="auto"/>
        </w:rPr>
        <w:t>）我方不是为本项目提供整体设计、规范编制或者项目管理、监理、检测等服务的供应商，我方不是采购代理机构的附属机构。</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7</w:t>
      </w:r>
      <w:r>
        <w:rPr>
          <w:rFonts w:hint="eastAsia" w:hAnsi="宋体"/>
          <w:color w:val="auto"/>
        </w:rPr>
        <w:t>）在领取中标通知书的同时按招标文件规定的形式，向贵方一次性支付中标服务费。</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8</w:t>
      </w:r>
      <w:r>
        <w:rPr>
          <w:rFonts w:hint="eastAsia" w:hAnsi="宋体"/>
          <w:color w:val="auto"/>
        </w:rPr>
        <w:t>）按照贵方可能要求，提供与其投标有关的一切数据或资料，完全理解贵方不一定接受最低价的投标或收到的任何投标。</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w:t>
      </w:r>
      <w:r>
        <w:rPr>
          <w:rFonts w:hAnsi="宋体"/>
          <w:color w:val="auto"/>
        </w:rPr>
        <w:t>9</w:t>
      </w:r>
      <w:r>
        <w:rPr>
          <w:rFonts w:hint="eastAsia" w:hAnsi="宋体"/>
          <w:color w:val="auto"/>
        </w:rPr>
        <w:t>）按照招标文件的规定履行合同责任和义务。</w:t>
      </w:r>
    </w:p>
    <w:p>
      <w:pPr>
        <w:pStyle w:val="12"/>
        <w:tabs>
          <w:tab w:val="left" w:pos="5580"/>
        </w:tabs>
        <w:spacing w:line="400" w:lineRule="atLeast"/>
        <w:ind w:left="332" w:leftChars="68" w:hanging="189" w:hangingChars="90"/>
        <w:rPr>
          <w:rFonts w:hAnsi="宋体" w:cs="Times New Roman"/>
          <w:color w:val="auto"/>
        </w:rPr>
      </w:pPr>
      <w:r>
        <w:rPr>
          <w:rFonts w:hAnsi="宋体"/>
          <w:color w:val="auto"/>
        </w:rPr>
        <w:t xml:space="preserve">  </w:t>
      </w:r>
      <w:r>
        <w:rPr>
          <w:rFonts w:hint="eastAsia" w:hAnsi="宋体"/>
          <w:color w:val="auto"/>
        </w:rPr>
        <w:t>与本投标有关的一切正式往来信函请寄：</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地址</w:t>
      </w:r>
      <w:r>
        <w:rPr>
          <w:rFonts w:hAnsi="宋体"/>
          <w:color w:val="auto"/>
          <w:u w:val="single"/>
        </w:rPr>
        <w:t xml:space="preserve">                         </w:t>
      </w:r>
      <w:r>
        <w:rPr>
          <w:rFonts w:hAnsi="宋体"/>
          <w:color w:val="auto"/>
        </w:rPr>
        <w:t xml:space="preserve">     </w:t>
      </w:r>
      <w:r>
        <w:rPr>
          <w:rFonts w:hint="eastAsia" w:hAnsi="宋体"/>
          <w:color w:val="auto"/>
        </w:rPr>
        <w:t>传真</w:t>
      </w:r>
      <w:r>
        <w:rPr>
          <w:rFonts w:hAnsi="宋体"/>
          <w:color w:val="auto"/>
          <w:u w:val="single"/>
        </w:rPr>
        <w:t xml:space="preserve">                             </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电话</w:t>
      </w:r>
      <w:r>
        <w:rPr>
          <w:rFonts w:hAnsi="宋体"/>
          <w:color w:val="auto"/>
          <w:u w:val="single"/>
        </w:rPr>
        <w:t xml:space="preserve">                         </w:t>
      </w:r>
      <w:r>
        <w:rPr>
          <w:rFonts w:hAnsi="宋体"/>
          <w:color w:val="auto"/>
        </w:rPr>
        <w:t xml:space="preserve">     </w:t>
      </w:r>
      <w:r>
        <w:rPr>
          <w:rFonts w:hint="eastAsia" w:hAnsi="宋体"/>
          <w:color w:val="auto"/>
        </w:rPr>
        <w:t>电子函件</w:t>
      </w:r>
      <w:r>
        <w:rPr>
          <w:rFonts w:hAnsi="宋体"/>
          <w:color w:val="auto"/>
          <w:u w:val="single"/>
        </w:rPr>
        <w:t xml:space="preserve">                         </w:t>
      </w:r>
    </w:p>
    <w:p>
      <w:pPr>
        <w:pStyle w:val="12"/>
        <w:tabs>
          <w:tab w:val="left" w:pos="5580"/>
        </w:tabs>
        <w:spacing w:line="400" w:lineRule="atLeast"/>
        <w:ind w:left="1080" w:leftChars="257" w:hanging="540"/>
        <w:rPr>
          <w:rFonts w:hAnsi="宋体"/>
          <w:color w:val="auto"/>
        </w:rPr>
      </w:pPr>
      <w:r>
        <w:rPr>
          <w:rFonts w:hint="eastAsia" w:hAnsi="宋体"/>
          <w:color w:val="auto"/>
        </w:rPr>
        <w:t>法定代表人或其委托代理人（签</w:t>
      </w:r>
      <w:r>
        <w:rPr>
          <w:rFonts w:hAnsi="宋体"/>
          <w:color w:val="auto"/>
        </w:rPr>
        <w:t>/</w:t>
      </w:r>
      <w:r>
        <w:rPr>
          <w:rFonts w:hint="eastAsia" w:hAnsi="宋体"/>
          <w:color w:val="auto"/>
        </w:rPr>
        <w:t>章）</w:t>
      </w:r>
      <w:r>
        <w:rPr>
          <w:rFonts w:hAnsi="宋体"/>
          <w:color w:val="auto"/>
        </w:rPr>
        <w:t>-----------------</w:t>
      </w:r>
    </w:p>
    <w:p>
      <w:pPr>
        <w:pStyle w:val="12"/>
        <w:tabs>
          <w:tab w:val="left" w:pos="5580"/>
        </w:tabs>
        <w:spacing w:line="400" w:lineRule="atLeast"/>
        <w:ind w:left="1080" w:leftChars="257" w:hanging="540"/>
        <w:rPr>
          <w:rFonts w:hAnsi="宋体"/>
          <w:color w:val="auto"/>
        </w:rPr>
      </w:pPr>
      <w:r>
        <w:rPr>
          <w:rFonts w:hint="eastAsia" w:hAnsi="宋体"/>
          <w:color w:val="auto"/>
        </w:rPr>
        <w:t>供应商名称（公章）</w:t>
      </w:r>
      <w:r>
        <w:rPr>
          <w:rFonts w:hAnsi="宋体"/>
          <w:color w:val="auto"/>
        </w:rPr>
        <w:t>-----------------</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供应商开户银行（全称）</w:t>
      </w:r>
      <w:r>
        <w:rPr>
          <w:rFonts w:hint="eastAsia" w:hAnsi="宋体"/>
          <w:color w:val="auto"/>
          <w:u w:val="single"/>
        </w:rPr>
        <w:t>　　　　　　</w:t>
      </w:r>
      <w:r>
        <w:rPr>
          <w:rFonts w:hAnsi="宋体"/>
          <w:color w:val="auto"/>
          <w:u w:val="single"/>
        </w:rPr>
        <w:t xml:space="preserve"> </w:t>
      </w:r>
    </w:p>
    <w:p>
      <w:pPr>
        <w:pStyle w:val="12"/>
        <w:tabs>
          <w:tab w:val="left" w:pos="5580"/>
        </w:tabs>
        <w:spacing w:line="400" w:lineRule="atLeast"/>
        <w:ind w:left="1080" w:leftChars="257" w:hanging="540"/>
        <w:rPr>
          <w:rFonts w:hAnsi="宋体" w:cs="Times New Roman"/>
          <w:color w:val="auto"/>
        </w:rPr>
      </w:pPr>
      <w:r>
        <w:rPr>
          <w:rFonts w:hint="eastAsia" w:hAnsi="宋体"/>
          <w:color w:val="auto"/>
        </w:rPr>
        <w:t>供应商银行帐号</w:t>
      </w:r>
      <w:r>
        <w:rPr>
          <w:rFonts w:hint="eastAsia" w:hAnsi="宋体"/>
          <w:color w:val="auto"/>
          <w:u w:val="single"/>
        </w:rPr>
        <w:t>　　　　　　　　</w:t>
      </w:r>
      <w:r>
        <w:rPr>
          <w:rFonts w:hAnsi="宋体"/>
          <w:color w:val="auto"/>
          <w:u w:val="single"/>
        </w:rPr>
        <w:t xml:space="preserve"> </w:t>
      </w:r>
      <w:r>
        <w:rPr>
          <w:rFonts w:hint="eastAsia" w:hAnsi="宋体"/>
          <w:color w:val="auto"/>
          <w:u w:val="single"/>
        </w:rPr>
        <w:t>　　</w:t>
      </w:r>
    </w:p>
    <w:p>
      <w:pPr>
        <w:pStyle w:val="12"/>
        <w:tabs>
          <w:tab w:val="left" w:pos="5580"/>
        </w:tabs>
        <w:spacing w:line="400" w:lineRule="atLeast"/>
        <w:ind w:left="1080" w:leftChars="257" w:hanging="540"/>
        <w:rPr>
          <w:rFonts w:hAnsi="宋体"/>
          <w:color w:val="auto"/>
        </w:rPr>
      </w:pPr>
      <w:r>
        <w:rPr>
          <w:rFonts w:hint="eastAsia" w:hAnsi="宋体"/>
          <w:color w:val="auto"/>
        </w:rPr>
        <w:t>日期</w:t>
      </w:r>
      <w:r>
        <w:rPr>
          <w:rFonts w:hAnsi="宋体"/>
          <w:color w:val="auto"/>
        </w:rPr>
        <w:t>-------------------------------</w:t>
      </w:r>
    </w:p>
    <w:p>
      <w:pPr>
        <w:pStyle w:val="4"/>
        <w:spacing w:before="0" w:line="240" w:lineRule="atLeast"/>
        <w:ind w:left="1080" w:leftChars="257" w:hanging="540"/>
        <w:rPr>
          <w:rFonts w:ascii="宋体" w:hAnsi="宋体" w:eastAsia="宋体" w:cs="Times New Roman"/>
          <w:color w:val="auto"/>
          <w:sz w:val="21"/>
          <w:szCs w:val="21"/>
        </w:rPr>
      </w:pPr>
      <w:r>
        <w:rPr>
          <w:rFonts w:ascii="宋体" w:hAnsi="宋体" w:eastAsia="宋体" w:cs="Times New Roman"/>
          <w:color w:val="auto"/>
          <w:sz w:val="21"/>
          <w:szCs w:val="21"/>
        </w:rPr>
        <w:br w:type="page"/>
      </w:r>
      <w:bookmarkStart w:id="558" w:name="_Toc1266"/>
      <w:bookmarkStart w:id="559" w:name="_Toc19819"/>
      <w:bookmarkStart w:id="560" w:name="_Toc23473"/>
      <w:bookmarkStart w:id="561" w:name="_Toc4976"/>
      <w:bookmarkStart w:id="562" w:name="_Toc30247"/>
      <w:bookmarkStart w:id="563" w:name="_Toc19539"/>
      <w:bookmarkStart w:id="564" w:name="_Toc12429"/>
      <w:bookmarkStart w:id="565" w:name="_Toc23851"/>
      <w:bookmarkStart w:id="566" w:name="_Toc11047"/>
      <w:bookmarkStart w:id="567" w:name="_Toc213"/>
      <w:bookmarkStart w:id="568" w:name="_Toc19746"/>
      <w:r>
        <w:rPr>
          <w:rFonts w:ascii="宋体" w:hAnsi="宋体" w:eastAsia="宋体" w:cs="宋体"/>
          <w:b/>
          <w:bCs/>
          <w:color w:val="auto"/>
          <w:sz w:val="21"/>
          <w:szCs w:val="21"/>
        </w:rPr>
        <w:t xml:space="preserve">2   </w:t>
      </w:r>
      <w:bookmarkEnd w:id="558"/>
      <w:bookmarkEnd w:id="559"/>
      <w:bookmarkEnd w:id="560"/>
      <w:bookmarkStart w:id="569" w:name="_Toc216582815"/>
      <w:bookmarkStart w:id="570" w:name="_Toc20897"/>
      <w:bookmarkStart w:id="571" w:name="_Toc1881"/>
      <w:bookmarkStart w:id="572" w:name="_Toc515647818"/>
      <w:bookmarkStart w:id="573" w:name="_Toc5101"/>
      <w:bookmarkStart w:id="574" w:name="_Toc515647820"/>
      <w:bookmarkStart w:id="575" w:name="_Toc22563"/>
      <w:bookmarkStart w:id="576" w:name="_Toc216582817"/>
      <w:bookmarkStart w:id="577" w:name="_Toc28959"/>
      <w:r>
        <w:rPr>
          <w:rFonts w:hint="eastAsia" w:ascii="宋体" w:hAnsi="宋体" w:eastAsia="宋体" w:cs="宋体"/>
          <w:b/>
          <w:bCs/>
          <w:color w:val="auto"/>
          <w:sz w:val="21"/>
          <w:szCs w:val="21"/>
        </w:rPr>
        <w:t>投标分项报价表</w:t>
      </w:r>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12"/>
        <w:spacing w:line="240" w:lineRule="atLeast"/>
        <w:jc w:val="left"/>
        <w:rPr>
          <w:rFonts w:hAnsi="宋体" w:cs="Times New Roman"/>
          <w:color w:val="auto"/>
        </w:rPr>
      </w:pPr>
      <w:r>
        <w:rPr>
          <w:rFonts w:hint="eastAsia" w:hAnsi="宋体"/>
          <w:color w:val="auto"/>
        </w:rPr>
        <w:t>项目名称</w:t>
      </w:r>
      <w:r>
        <w:rPr>
          <w:rFonts w:hAnsi="宋体"/>
          <w:color w:val="auto"/>
        </w:rPr>
        <w:t xml:space="preserve">:                      </w:t>
      </w:r>
      <w:r>
        <w:rPr>
          <w:rFonts w:hint="eastAsia" w:hAnsi="宋体"/>
          <w:color w:val="auto"/>
        </w:rPr>
        <w:t>项目编号</w:t>
      </w:r>
      <w:r>
        <w:rPr>
          <w:rFonts w:hAnsi="宋体"/>
          <w:color w:val="auto"/>
        </w:rPr>
        <w:t xml:space="preserve">:                         </w:t>
      </w:r>
      <w:r>
        <w:rPr>
          <w:rFonts w:hint="eastAsia" w:hAnsi="宋体"/>
          <w:color w:val="auto"/>
        </w:rPr>
        <w:t>包号</w:t>
      </w:r>
      <w:r>
        <w:rPr>
          <w:rFonts w:hAnsi="宋体"/>
          <w:color w:val="auto"/>
        </w:rPr>
        <w:t xml:space="preserve">: </w:t>
      </w:r>
      <w:r>
        <w:rPr>
          <w:rFonts w:hint="eastAsia" w:hAnsi="宋体"/>
          <w:color w:val="auto"/>
        </w:rPr>
        <w:t>　</w:t>
      </w:r>
      <w:r>
        <w:rPr>
          <w:rFonts w:hAnsi="宋体"/>
          <w:color w:val="auto"/>
        </w:rPr>
        <w:t xml:space="preserve"> </w:t>
      </w:r>
      <w:r>
        <w:rPr>
          <w:rFonts w:hint="eastAsia" w:hAnsi="宋体"/>
          <w:color w:val="auto"/>
        </w:rPr>
        <w:t>　</w:t>
      </w:r>
      <w:r>
        <w:rPr>
          <w:rFonts w:hAnsi="宋体"/>
          <w:color w:val="auto"/>
        </w:rPr>
        <w:t xml:space="preserve">             </w:t>
      </w:r>
      <w:r>
        <w:rPr>
          <w:rFonts w:hint="eastAsia" w:hAnsi="宋体"/>
          <w:color w:val="auto"/>
        </w:rPr>
        <w:t>报价单位：</w:t>
      </w:r>
      <w:r>
        <w:rPr>
          <w:rFonts w:hAnsi="宋体"/>
          <w:color w:val="auto"/>
        </w:rPr>
        <w:t xml:space="preserve">                    </w:t>
      </w:r>
      <w:r>
        <w:rPr>
          <w:rFonts w:hint="eastAsia" w:hAnsi="宋体"/>
          <w:color w:val="auto"/>
        </w:rPr>
        <w:t>人民币万元：</w:t>
      </w:r>
    </w:p>
    <w:p>
      <w:pPr>
        <w:pStyle w:val="12"/>
        <w:spacing w:line="240" w:lineRule="atLeast"/>
        <w:jc w:val="left"/>
        <w:rPr>
          <w:rFonts w:hAnsi="宋体" w:cs="Times New Roman"/>
          <w:color w:val="auto"/>
        </w:rPr>
      </w:pPr>
    </w:p>
    <w:tbl>
      <w:tblPr>
        <w:tblStyle w:val="21"/>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33"/>
        <w:gridCol w:w="823"/>
        <w:gridCol w:w="26"/>
        <w:gridCol w:w="1079"/>
        <w:gridCol w:w="1555"/>
        <w:gridCol w:w="885"/>
        <w:gridCol w:w="885"/>
        <w:gridCol w:w="614"/>
        <w:gridCol w:w="76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992" w:type="dxa"/>
            <w:vAlign w:val="center"/>
          </w:tcPr>
          <w:p>
            <w:pPr>
              <w:tabs>
                <w:tab w:val="left" w:pos="1337"/>
              </w:tabs>
              <w:jc w:val="center"/>
              <w:rPr>
                <w:rFonts w:ascii="宋体"/>
                <w:color w:val="auto"/>
                <w:sz w:val="24"/>
                <w:szCs w:val="24"/>
              </w:rPr>
            </w:pPr>
            <w:r>
              <w:rPr>
                <w:rFonts w:hint="eastAsia" w:ascii="宋体" w:hAnsi="宋体" w:cs="宋体"/>
                <w:color w:val="auto"/>
                <w:sz w:val="24"/>
                <w:szCs w:val="24"/>
              </w:rPr>
              <w:t>序号</w:t>
            </w:r>
          </w:p>
        </w:tc>
        <w:tc>
          <w:tcPr>
            <w:tcW w:w="1633" w:type="dxa"/>
            <w:vAlign w:val="center"/>
          </w:tcPr>
          <w:p>
            <w:pPr>
              <w:tabs>
                <w:tab w:val="left" w:pos="1337"/>
              </w:tabs>
              <w:jc w:val="center"/>
              <w:rPr>
                <w:rFonts w:ascii="宋体"/>
                <w:color w:val="auto"/>
                <w:sz w:val="24"/>
                <w:szCs w:val="24"/>
              </w:rPr>
            </w:pPr>
            <w:r>
              <w:rPr>
                <w:rFonts w:hint="eastAsia" w:ascii="宋体" w:hAnsi="宋体" w:cs="宋体"/>
                <w:color w:val="auto"/>
                <w:sz w:val="24"/>
                <w:szCs w:val="24"/>
              </w:rPr>
              <w:t>货物名称</w:t>
            </w:r>
          </w:p>
        </w:tc>
        <w:tc>
          <w:tcPr>
            <w:tcW w:w="823" w:type="dxa"/>
            <w:vAlign w:val="center"/>
          </w:tcPr>
          <w:p>
            <w:pPr>
              <w:tabs>
                <w:tab w:val="left" w:pos="1337"/>
              </w:tabs>
              <w:ind w:left="-42" w:right="-42"/>
              <w:jc w:val="center"/>
              <w:rPr>
                <w:rFonts w:ascii="宋体"/>
                <w:color w:val="auto"/>
                <w:sz w:val="24"/>
                <w:szCs w:val="24"/>
              </w:rPr>
            </w:pPr>
            <w:r>
              <w:rPr>
                <w:rFonts w:hint="eastAsia" w:ascii="宋体" w:hAnsi="宋体" w:cs="宋体"/>
                <w:color w:val="auto"/>
                <w:sz w:val="24"/>
                <w:szCs w:val="24"/>
              </w:rPr>
              <w:t>品牌</w:t>
            </w:r>
          </w:p>
        </w:tc>
        <w:tc>
          <w:tcPr>
            <w:tcW w:w="1105" w:type="dxa"/>
            <w:gridSpan w:val="2"/>
            <w:vAlign w:val="center"/>
          </w:tcPr>
          <w:p>
            <w:pPr>
              <w:tabs>
                <w:tab w:val="left" w:pos="1337"/>
              </w:tabs>
              <w:ind w:left="-42" w:right="-42"/>
              <w:jc w:val="center"/>
              <w:rPr>
                <w:rFonts w:ascii="宋体"/>
                <w:color w:val="auto"/>
                <w:sz w:val="24"/>
                <w:szCs w:val="24"/>
              </w:rPr>
            </w:pPr>
            <w:r>
              <w:rPr>
                <w:rFonts w:hint="eastAsia" w:ascii="宋体" w:hAnsi="宋体" w:cs="宋体"/>
                <w:color w:val="auto"/>
                <w:sz w:val="24"/>
                <w:szCs w:val="24"/>
              </w:rPr>
              <w:t>型号</w:t>
            </w:r>
          </w:p>
        </w:tc>
        <w:tc>
          <w:tcPr>
            <w:tcW w:w="1555" w:type="dxa"/>
            <w:vAlign w:val="center"/>
          </w:tcPr>
          <w:p>
            <w:pPr>
              <w:tabs>
                <w:tab w:val="left" w:pos="1337"/>
              </w:tabs>
              <w:ind w:left="-42" w:right="-42"/>
              <w:jc w:val="center"/>
              <w:rPr>
                <w:rFonts w:ascii="宋体"/>
                <w:color w:val="auto"/>
                <w:sz w:val="24"/>
                <w:szCs w:val="24"/>
              </w:rPr>
            </w:pPr>
            <w:r>
              <w:rPr>
                <w:rFonts w:hint="eastAsia" w:ascii="宋体" w:hAnsi="宋体" w:cs="宋体"/>
                <w:color w:val="auto"/>
                <w:sz w:val="24"/>
                <w:szCs w:val="24"/>
              </w:rPr>
              <w:t>原产地</w:t>
            </w:r>
          </w:p>
        </w:tc>
        <w:tc>
          <w:tcPr>
            <w:tcW w:w="885" w:type="dxa"/>
            <w:vAlign w:val="center"/>
          </w:tcPr>
          <w:p>
            <w:pPr>
              <w:tabs>
                <w:tab w:val="left" w:pos="1337"/>
              </w:tabs>
              <w:jc w:val="center"/>
              <w:rPr>
                <w:rFonts w:ascii="宋体"/>
                <w:color w:val="auto"/>
                <w:sz w:val="24"/>
                <w:szCs w:val="24"/>
              </w:rPr>
            </w:pPr>
            <w:r>
              <w:rPr>
                <w:rFonts w:hint="eastAsia" w:ascii="宋体" w:hAnsi="宋体" w:cs="宋体"/>
                <w:color w:val="auto"/>
                <w:sz w:val="24"/>
                <w:szCs w:val="24"/>
              </w:rPr>
              <w:t>制造商</w:t>
            </w:r>
          </w:p>
        </w:tc>
        <w:tc>
          <w:tcPr>
            <w:tcW w:w="885" w:type="dxa"/>
            <w:vAlign w:val="center"/>
          </w:tcPr>
          <w:p>
            <w:pPr>
              <w:tabs>
                <w:tab w:val="left" w:pos="1337"/>
              </w:tabs>
              <w:jc w:val="center"/>
              <w:rPr>
                <w:rFonts w:ascii="宋体"/>
                <w:color w:val="auto"/>
                <w:sz w:val="24"/>
                <w:szCs w:val="24"/>
              </w:rPr>
            </w:pPr>
            <w:r>
              <w:rPr>
                <w:rFonts w:hint="eastAsia" w:ascii="宋体" w:hAnsi="宋体" w:cs="宋体"/>
                <w:color w:val="auto"/>
                <w:sz w:val="24"/>
                <w:szCs w:val="24"/>
              </w:rPr>
              <w:t>数量</w:t>
            </w:r>
          </w:p>
        </w:tc>
        <w:tc>
          <w:tcPr>
            <w:tcW w:w="614" w:type="dxa"/>
            <w:vAlign w:val="center"/>
          </w:tcPr>
          <w:p>
            <w:pPr>
              <w:tabs>
                <w:tab w:val="left" w:pos="1337"/>
              </w:tabs>
              <w:jc w:val="center"/>
              <w:rPr>
                <w:rFonts w:ascii="宋体"/>
                <w:color w:val="auto"/>
                <w:sz w:val="24"/>
                <w:szCs w:val="24"/>
              </w:rPr>
            </w:pPr>
            <w:r>
              <w:rPr>
                <w:rFonts w:hint="eastAsia" w:ascii="宋体" w:hAnsi="宋体" w:cs="宋体"/>
                <w:color w:val="auto"/>
                <w:sz w:val="24"/>
                <w:szCs w:val="24"/>
              </w:rPr>
              <w:t>单</w:t>
            </w:r>
            <w:r>
              <w:rPr>
                <w:rFonts w:ascii="宋体" w:hAnsi="宋体" w:cs="宋体"/>
                <w:color w:val="auto"/>
                <w:sz w:val="24"/>
                <w:szCs w:val="24"/>
              </w:rPr>
              <w:t xml:space="preserve"> </w:t>
            </w:r>
            <w:r>
              <w:rPr>
                <w:rFonts w:hint="eastAsia" w:ascii="宋体" w:hAnsi="宋体" w:cs="宋体"/>
                <w:color w:val="auto"/>
                <w:sz w:val="24"/>
                <w:szCs w:val="24"/>
              </w:rPr>
              <w:t>价</w:t>
            </w:r>
          </w:p>
        </w:tc>
        <w:tc>
          <w:tcPr>
            <w:tcW w:w="763" w:type="dxa"/>
            <w:vAlign w:val="center"/>
          </w:tcPr>
          <w:p>
            <w:pPr>
              <w:tabs>
                <w:tab w:val="left" w:pos="1337"/>
              </w:tabs>
              <w:rPr>
                <w:rFonts w:ascii="宋体"/>
                <w:color w:val="auto"/>
                <w:sz w:val="24"/>
                <w:szCs w:val="24"/>
              </w:rPr>
            </w:pPr>
            <w:r>
              <w:rPr>
                <w:rFonts w:hint="eastAsia" w:ascii="宋体" w:hAnsi="宋体" w:cs="宋体"/>
                <w:color w:val="auto"/>
                <w:sz w:val="24"/>
                <w:szCs w:val="24"/>
              </w:rPr>
              <w:t>总</w:t>
            </w:r>
            <w:r>
              <w:rPr>
                <w:rFonts w:ascii="宋体" w:hAnsi="宋体" w:cs="宋体"/>
                <w:color w:val="auto"/>
                <w:sz w:val="24"/>
                <w:szCs w:val="24"/>
              </w:rPr>
              <w:t xml:space="preserve"> </w:t>
            </w:r>
            <w:r>
              <w:rPr>
                <w:rFonts w:hint="eastAsia" w:ascii="宋体" w:hAnsi="宋体" w:cs="宋体"/>
                <w:color w:val="auto"/>
                <w:sz w:val="24"/>
                <w:szCs w:val="24"/>
              </w:rPr>
              <w:t>价</w:t>
            </w:r>
          </w:p>
        </w:tc>
        <w:tc>
          <w:tcPr>
            <w:tcW w:w="859" w:type="dxa"/>
            <w:vAlign w:val="center"/>
          </w:tcPr>
          <w:p>
            <w:pPr>
              <w:tabs>
                <w:tab w:val="left" w:pos="1337"/>
              </w:tabs>
              <w:ind w:left="-42" w:right="-42"/>
              <w:jc w:val="center"/>
              <w:rPr>
                <w:rFonts w:ascii="宋体"/>
                <w:color w:val="auto"/>
                <w:sz w:val="24"/>
                <w:szCs w:val="24"/>
              </w:rPr>
            </w:pPr>
            <w:r>
              <w:rPr>
                <w:rFonts w:hint="eastAsia" w:ascii="宋体" w:hAnsi="宋体" w:cs="宋体"/>
                <w:color w:val="auto"/>
                <w:sz w:val="24"/>
                <w:szCs w:val="24"/>
              </w:rPr>
              <w:t>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1633" w:type="dxa"/>
            <w:vAlign w:val="center"/>
          </w:tcPr>
          <w:p>
            <w:pPr>
              <w:tabs>
                <w:tab w:val="left" w:pos="1337"/>
              </w:tabs>
              <w:jc w:val="center"/>
              <w:rPr>
                <w:rFonts w:ascii="宋体"/>
                <w:color w:val="auto"/>
                <w:sz w:val="24"/>
                <w:szCs w:val="24"/>
              </w:rPr>
            </w:pPr>
          </w:p>
        </w:tc>
        <w:tc>
          <w:tcPr>
            <w:tcW w:w="823" w:type="dxa"/>
            <w:vAlign w:val="center"/>
          </w:tcPr>
          <w:p>
            <w:pPr>
              <w:tabs>
                <w:tab w:val="left" w:pos="1337"/>
              </w:tabs>
              <w:jc w:val="center"/>
              <w:rPr>
                <w:rFonts w:ascii="宋体"/>
                <w:color w:val="auto"/>
                <w:sz w:val="24"/>
                <w:szCs w:val="24"/>
              </w:rPr>
            </w:pPr>
          </w:p>
        </w:tc>
        <w:tc>
          <w:tcPr>
            <w:tcW w:w="1105" w:type="dxa"/>
            <w:gridSpan w:val="2"/>
            <w:vAlign w:val="center"/>
          </w:tcPr>
          <w:p>
            <w:pPr>
              <w:tabs>
                <w:tab w:val="left" w:pos="1337"/>
              </w:tabs>
              <w:jc w:val="center"/>
              <w:rPr>
                <w:rFonts w:ascii="宋体"/>
                <w:color w:val="auto"/>
                <w:sz w:val="24"/>
                <w:szCs w:val="24"/>
              </w:rPr>
            </w:pPr>
          </w:p>
        </w:tc>
        <w:tc>
          <w:tcPr>
            <w:tcW w:w="155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614" w:type="dxa"/>
            <w:vAlign w:val="center"/>
          </w:tcPr>
          <w:p>
            <w:pPr>
              <w:tabs>
                <w:tab w:val="left" w:pos="1337"/>
              </w:tabs>
              <w:jc w:val="center"/>
              <w:rPr>
                <w:rFonts w:ascii="宋体"/>
                <w:color w:val="auto"/>
                <w:sz w:val="24"/>
                <w:szCs w:val="24"/>
              </w:rPr>
            </w:pP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1633" w:type="dxa"/>
            <w:vAlign w:val="center"/>
          </w:tcPr>
          <w:p>
            <w:pPr>
              <w:tabs>
                <w:tab w:val="left" w:pos="1337"/>
              </w:tabs>
              <w:jc w:val="center"/>
              <w:rPr>
                <w:rFonts w:ascii="宋体"/>
                <w:color w:val="auto"/>
                <w:sz w:val="24"/>
                <w:szCs w:val="24"/>
              </w:rPr>
            </w:pPr>
          </w:p>
        </w:tc>
        <w:tc>
          <w:tcPr>
            <w:tcW w:w="823" w:type="dxa"/>
            <w:vAlign w:val="center"/>
          </w:tcPr>
          <w:p>
            <w:pPr>
              <w:tabs>
                <w:tab w:val="left" w:pos="1337"/>
              </w:tabs>
              <w:jc w:val="center"/>
              <w:rPr>
                <w:rFonts w:ascii="宋体"/>
                <w:color w:val="auto"/>
                <w:sz w:val="24"/>
                <w:szCs w:val="24"/>
              </w:rPr>
            </w:pPr>
          </w:p>
        </w:tc>
        <w:tc>
          <w:tcPr>
            <w:tcW w:w="1105" w:type="dxa"/>
            <w:gridSpan w:val="2"/>
            <w:vAlign w:val="center"/>
          </w:tcPr>
          <w:p>
            <w:pPr>
              <w:tabs>
                <w:tab w:val="left" w:pos="1337"/>
              </w:tabs>
              <w:jc w:val="center"/>
              <w:rPr>
                <w:rFonts w:ascii="宋体"/>
                <w:color w:val="auto"/>
                <w:sz w:val="24"/>
                <w:szCs w:val="24"/>
              </w:rPr>
            </w:pPr>
          </w:p>
        </w:tc>
        <w:tc>
          <w:tcPr>
            <w:tcW w:w="155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614" w:type="dxa"/>
            <w:vAlign w:val="center"/>
          </w:tcPr>
          <w:p>
            <w:pPr>
              <w:tabs>
                <w:tab w:val="left" w:pos="1337"/>
              </w:tabs>
              <w:jc w:val="center"/>
              <w:rPr>
                <w:rFonts w:ascii="宋体"/>
                <w:color w:val="auto"/>
                <w:sz w:val="24"/>
                <w:szCs w:val="24"/>
              </w:rPr>
            </w:pP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1633" w:type="dxa"/>
            <w:vAlign w:val="center"/>
          </w:tcPr>
          <w:p>
            <w:pPr>
              <w:tabs>
                <w:tab w:val="left" w:pos="1337"/>
              </w:tabs>
              <w:jc w:val="center"/>
              <w:rPr>
                <w:rFonts w:ascii="宋体"/>
                <w:color w:val="auto"/>
                <w:sz w:val="24"/>
                <w:szCs w:val="24"/>
              </w:rPr>
            </w:pPr>
          </w:p>
        </w:tc>
        <w:tc>
          <w:tcPr>
            <w:tcW w:w="823" w:type="dxa"/>
            <w:vAlign w:val="center"/>
          </w:tcPr>
          <w:p>
            <w:pPr>
              <w:tabs>
                <w:tab w:val="left" w:pos="1337"/>
              </w:tabs>
              <w:jc w:val="center"/>
              <w:rPr>
                <w:rFonts w:ascii="宋体"/>
                <w:color w:val="auto"/>
                <w:sz w:val="24"/>
                <w:szCs w:val="24"/>
              </w:rPr>
            </w:pPr>
          </w:p>
        </w:tc>
        <w:tc>
          <w:tcPr>
            <w:tcW w:w="1105" w:type="dxa"/>
            <w:gridSpan w:val="2"/>
            <w:vAlign w:val="center"/>
          </w:tcPr>
          <w:p>
            <w:pPr>
              <w:tabs>
                <w:tab w:val="left" w:pos="1337"/>
              </w:tabs>
              <w:jc w:val="center"/>
              <w:rPr>
                <w:rFonts w:ascii="宋体"/>
                <w:color w:val="auto"/>
                <w:sz w:val="24"/>
                <w:szCs w:val="24"/>
              </w:rPr>
            </w:pPr>
          </w:p>
        </w:tc>
        <w:tc>
          <w:tcPr>
            <w:tcW w:w="155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614" w:type="dxa"/>
            <w:vAlign w:val="center"/>
          </w:tcPr>
          <w:p>
            <w:pPr>
              <w:tabs>
                <w:tab w:val="left" w:pos="1337"/>
              </w:tabs>
              <w:jc w:val="center"/>
              <w:rPr>
                <w:rFonts w:ascii="宋体"/>
                <w:color w:val="auto"/>
                <w:sz w:val="24"/>
                <w:szCs w:val="24"/>
              </w:rPr>
            </w:pP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1633" w:type="dxa"/>
            <w:vAlign w:val="center"/>
          </w:tcPr>
          <w:p>
            <w:pPr>
              <w:tabs>
                <w:tab w:val="left" w:pos="1337"/>
              </w:tabs>
              <w:jc w:val="center"/>
              <w:rPr>
                <w:rFonts w:ascii="宋体"/>
                <w:color w:val="auto"/>
                <w:sz w:val="24"/>
                <w:szCs w:val="24"/>
              </w:rPr>
            </w:pPr>
          </w:p>
        </w:tc>
        <w:tc>
          <w:tcPr>
            <w:tcW w:w="823" w:type="dxa"/>
            <w:vAlign w:val="center"/>
          </w:tcPr>
          <w:p>
            <w:pPr>
              <w:tabs>
                <w:tab w:val="left" w:pos="1337"/>
              </w:tabs>
              <w:jc w:val="center"/>
              <w:rPr>
                <w:rFonts w:ascii="宋体"/>
                <w:color w:val="auto"/>
                <w:sz w:val="24"/>
                <w:szCs w:val="24"/>
              </w:rPr>
            </w:pPr>
          </w:p>
        </w:tc>
        <w:tc>
          <w:tcPr>
            <w:tcW w:w="1105" w:type="dxa"/>
            <w:gridSpan w:val="2"/>
            <w:vAlign w:val="center"/>
          </w:tcPr>
          <w:p>
            <w:pPr>
              <w:tabs>
                <w:tab w:val="left" w:pos="1337"/>
              </w:tabs>
              <w:jc w:val="center"/>
              <w:rPr>
                <w:rFonts w:ascii="宋体"/>
                <w:color w:val="auto"/>
                <w:sz w:val="24"/>
                <w:szCs w:val="24"/>
              </w:rPr>
            </w:pPr>
          </w:p>
        </w:tc>
        <w:tc>
          <w:tcPr>
            <w:tcW w:w="155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885" w:type="dxa"/>
            <w:vAlign w:val="center"/>
          </w:tcPr>
          <w:p>
            <w:pPr>
              <w:tabs>
                <w:tab w:val="left" w:pos="1337"/>
              </w:tabs>
              <w:jc w:val="center"/>
              <w:rPr>
                <w:rFonts w:ascii="宋体"/>
                <w:color w:val="auto"/>
                <w:sz w:val="24"/>
                <w:szCs w:val="24"/>
              </w:rPr>
            </w:pPr>
          </w:p>
        </w:tc>
        <w:tc>
          <w:tcPr>
            <w:tcW w:w="614" w:type="dxa"/>
            <w:vAlign w:val="center"/>
          </w:tcPr>
          <w:p>
            <w:pPr>
              <w:tabs>
                <w:tab w:val="left" w:pos="1337"/>
              </w:tabs>
              <w:jc w:val="center"/>
              <w:rPr>
                <w:rFonts w:ascii="宋体"/>
                <w:color w:val="auto"/>
                <w:sz w:val="24"/>
                <w:szCs w:val="24"/>
              </w:rPr>
            </w:pP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7500" w:type="dxa"/>
            <w:gridSpan w:val="8"/>
            <w:vAlign w:val="center"/>
          </w:tcPr>
          <w:p>
            <w:pPr>
              <w:tabs>
                <w:tab w:val="left" w:pos="1337"/>
              </w:tabs>
              <w:jc w:val="center"/>
              <w:rPr>
                <w:rFonts w:ascii="宋体"/>
                <w:color w:val="auto"/>
                <w:sz w:val="24"/>
                <w:szCs w:val="24"/>
              </w:rPr>
            </w:pPr>
            <w:r>
              <w:rPr>
                <w:rFonts w:hint="eastAsia" w:ascii="宋体" w:hAnsi="宋体" w:cs="宋体"/>
                <w:color w:val="auto"/>
                <w:sz w:val="24"/>
                <w:szCs w:val="24"/>
              </w:rPr>
              <w:t>专用工具费</w:t>
            </w: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r>
              <w:rPr>
                <w:rFonts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7500" w:type="dxa"/>
            <w:gridSpan w:val="8"/>
            <w:vAlign w:val="center"/>
          </w:tcPr>
          <w:p>
            <w:pPr>
              <w:tabs>
                <w:tab w:val="left" w:pos="1337"/>
              </w:tabs>
              <w:jc w:val="center"/>
              <w:rPr>
                <w:rFonts w:ascii="宋体"/>
                <w:color w:val="auto"/>
                <w:sz w:val="24"/>
                <w:szCs w:val="24"/>
              </w:rPr>
            </w:pPr>
            <w:r>
              <w:rPr>
                <w:rFonts w:hint="eastAsia" w:ascii="宋体" w:hAnsi="宋体" w:cs="宋体"/>
                <w:color w:val="auto"/>
                <w:sz w:val="24"/>
                <w:szCs w:val="24"/>
              </w:rPr>
              <w:t>培训及技术服务费</w:t>
            </w: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r>
              <w:rPr>
                <w:rFonts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92" w:type="dxa"/>
            <w:vAlign w:val="center"/>
          </w:tcPr>
          <w:p>
            <w:pPr>
              <w:tabs>
                <w:tab w:val="left" w:pos="1337"/>
              </w:tabs>
              <w:jc w:val="center"/>
              <w:rPr>
                <w:rFonts w:ascii="宋体"/>
                <w:color w:val="auto"/>
                <w:sz w:val="24"/>
                <w:szCs w:val="24"/>
              </w:rPr>
            </w:pPr>
          </w:p>
        </w:tc>
        <w:tc>
          <w:tcPr>
            <w:tcW w:w="7500" w:type="dxa"/>
            <w:gridSpan w:val="8"/>
            <w:vAlign w:val="center"/>
          </w:tcPr>
          <w:p>
            <w:pPr>
              <w:tabs>
                <w:tab w:val="left" w:pos="1337"/>
              </w:tabs>
              <w:jc w:val="center"/>
              <w:rPr>
                <w:rFonts w:ascii="宋体"/>
                <w:color w:val="auto"/>
                <w:sz w:val="24"/>
                <w:szCs w:val="24"/>
              </w:rPr>
            </w:pPr>
            <w:r>
              <w:rPr>
                <w:rFonts w:hint="eastAsia" w:ascii="宋体" w:hAnsi="宋体" w:cs="宋体"/>
                <w:color w:val="auto"/>
                <w:sz w:val="24"/>
                <w:szCs w:val="24"/>
              </w:rPr>
              <w:t>运输、安装及保险等费用</w:t>
            </w:r>
          </w:p>
        </w:tc>
        <w:tc>
          <w:tcPr>
            <w:tcW w:w="763" w:type="dxa"/>
            <w:vAlign w:val="center"/>
          </w:tcPr>
          <w:p>
            <w:pPr>
              <w:tabs>
                <w:tab w:val="left" w:pos="1337"/>
              </w:tabs>
              <w:jc w:val="center"/>
              <w:rPr>
                <w:rFonts w:ascii="宋体"/>
                <w:color w:val="auto"/>
                <w:sz w:val="24"/>
                <w:szCs w:val="24"/>
              </w:rPr>
            </w:pPr>
          </w:p>
        </w:tc>
        <w:tc>
          <w:tcPr>
            <w:tcW w:w="859" w:type="dxa"/>
            <w:vAlign w:val="center"/>
          </w:tcPr>
          <w:p>
            <w:pPr>
              <w:tabs>
                <w:tab w:val="left" w:pos="1337"/>
              </w:tabs>
              <w:jc w:val="center"/>
              <w:rPr>
                <w:rFonts w:ascii="宋体"/>
                <w:color w:val="auto"/>
                <w:sz w:val="24"/>
                <w:szCs w:val="24"/>
              </w:rPr>
            </w:pPr>
            <w:r>
              <w:rPr>
                <w:rFonts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3474" w:type="dxa"/>
            <w:gridSpan w:val="4"/>
            <w:vMerge w:val="restart"/>
            <w:vAlign w:val="center"/>
          </w:tcPr>
          <w:p>
            <w:pPr>
              <w:tabs>
                <w:tab w:val="left" w:pos="1337"/>
              </w:tabs>
              <w:jc w:val="center"/>
              <w:rPr>
                <w:rFonts w:ascii="宋体"/>
                <w:color w:val="auto"/>
                <w:sz w:val="24"/>
                <w:szCs w:val="24"/>
              </w:rPr>
            </w:pPr>
            <w:r>
              <w:rPr>
                <w:rFonts w:hint="eastAsia" w:ascii="宋体" w:hAnsi="宋体" w:cs="宋体"/>
                <w:color w:val="auto"/>
                <w:sz w:val="24"/>
                <w:szCs w:val="24"/>
              </w:rPr>
              <w:t>合</w:t>
            </w:r>
            <w:r>
              <w:rPr>
                <w:rFonts w:ascii="宋体" w:hAnsi="宋体" w:cs="宋体"/>
                <w:color w:val="auto"/>
                <w:sz w:val="24"/>
                <w:szCs w:val="24"/>
              </w:rPr>
              <w:t xml:space="preserve">  </w:t>
            </w:r>
            <w:r>
              <w:rPr>
                <w:rFonts w:hint="eastAsia" w:ascii="宋体" w:hAnsi="宋体" w:cs="宋体"/>
                <w:color w:val="auto"/>
                <w:sz w:val="24"/>
                <w:szCs w:val="24"/>
              </w:rPr>
              <w:t>计</w:t>
            </w:r>
          </w:p>
        </w:tc>
        <w:tc>
          <w:tcPr>
            <w:tcW w:w="6640" w:type="dxa"/>
            <w:gridSpan w:val="7"/>
            <w:vAlign w:val="center"/>
          </w:tcPr>
          <w:p>
            <w:pPr>
              <w:tabs>
                <w:tab w:val="left" w:pos="1337"/>
              </w:tabs>
              <w:rPr>
                <w:rFonts w:ascii="宋体"/>
                <w:color w:val="auto"/>
                <w:sz w:val="24"/>
                <w:szCs w:val="24"/>
              </w:rPr>
            </w:pPr>
            <w:r>
              <w:rPr>
                <w:rFonts w:hint="eastAsia" w:ascii="宋体" w:hAnsi="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3474" w:type="dxa"/>
            <w:gridSpan w:val="4"/>
            <w:vMerge w:val="continue"/>
            <w:vAlign w:val="center"/>
          </w:tcPr>
          <w:p>
            <w:pPr>
              <w:tabs>
                <w:tab w:val="left" w:pos="1337"/>
              </w:tabs>
              <w:jc w:val="center"/>
              <w:rPr>
                <w:rFonts w:ascii="宋体"/>
                <w:color w:val="auto"/>
                <w:sz w:val="24"/>
                <w:szCs w:val="24"/>
              </w:rPr>
            </w:pPr>
          </w:p>
        </w:tc>
        <w:tc>
          <w:tcPr>
            <w:tcW w:w="6640" w:type="dxa"/>
            <w:gridSpan w:val="7"/>
            <w:vAlign w:val="center"/>
          </w:tcPr>
          <w:p>
            <w:pPr>
              <w:tabs>
                <w:tab w:val="left" w:pos="1337"/>
              </w:tabs>
              <w:rPr>
                <w:rFonts w:ascii="宋体"/>
                <w:color w:val="auto"/>
                <w:sz w:val="24"/>
                <w:szCs w:val="24"/>
              </w:rPr>
            </w:pPr>
            <w:r>
              <w:rPr>
                <w:rFonts w:hint="eastAsia" w:ascii="宋体" w:hAnsi="宋体" w:cs="宋体"/>
                <w:color w:val="auto"/>
                <w:sz w:val="24"/>
                <w:szCs w:val="24"/>
              </w:rPr>
              <w:t>大写：</w:t>
            </w:r>
          </w:p>
        </w:tc>
      </w:tr>
    </w:tbl>
    <w:p>
      <w:pPr>
        <w:pStyle w:val="12"/>
        <w:spacing w:line="240" w:lineRule="atLeast"/>
        <w:rPr>
          <w:rFonts w:hAnsi="宋体" w:cs="Times New Roman"/>
          <w:color w:val="auto"/>
        </w:rPr>
      </w:pPr>
    </w:p>
    <w:p>
      <w:pPr>
        <w:pStyle w:val="12"/>
        <w:spacing w:line="400" w:lineRule="atLeast"/>
        <w:ind w:left="1080" w:leftChars="257" w:hanging="540"/>
        <w:rPr>
          <w:rFonts w:hAnsi="宋体" w:cs="Times New Roman"/>
          <w:color w:val="auto"/>
        </w:rPr>
      </w:pPr>
      <w:r>
        <w:rPr>
          <w:rFonts w:hint="eastAsia" w:hAnsi="宋体"/>
          <w:color w:val="auto"/>
        </w:rPr>
        <w:t>法定代表人或其委托代理人（签</w:t>
      </w:r>
      <w:r>
        <w:rPr>
          <w:rFonts w:hAnsi="宋体"/>
          <w:color w:val="auto"/>
        </w:rPr>
        <w:t>/</w:t>
      </w:r>
      <w:r>
        <w:rPr>
          <w:rFonts w:hint="eastAsia" w:hAnsi="宋体"/>
          <w:color w:val="auto"/>
        </w:rPr>
        <w:t>章）</w:t>
      </w:r>
      <w:r>
        <w:rPr>
          <w:rFonts w:hAnsi="宋体"/>
          <w:color w:val="auto"/>
        </w:rPr>
        <w:t>:</w:t>
      </w:r>
      <w:r>
        <w:rPr>
          <w:rFonts w:hAnsi="宋体"/>
          <w:color w:val="auto"/>
          <w:u w:val="single"/>
        </w:rPr>
        <w:t xml:space="preserve"> </w:t>
      </w:r>
      <w:r>
        <w:rPr>
          <w:rFonts w:hAnsi="宋体"/>
          <w:color w:val="auto"/>
          <w:u w:val="single"/>
        </w:rPr>
        <w:tab/>
      </w:r>
      <w:r>
        <w:rPr>
          <w:rFonts w:hAnsi="宋体"/>
          <w:color w:val="auto"/>
          <w:u w:val="single"/>
        </w:rPr>
        <w:t xml:space="preserve">                 </w:t>
      </w:r>
    </w:p>
    <w:p>
      <w:pPr>
        <w:pStyle w:val="12"/>
        <w:tabs>
          <w:tab w:val="left" w:pos="5370"/>
        </w:tabs>
        <w:spacing w:line="400" w:lineRule="atLeast"/>
        <w:ind w:left="1080" w:leftChars="257" w:hanging="540"/>
        <w:rPr>
          <w:rFonts w:hAnsi="宋体" w:cs="Times New Roman"/>
          <w:color w:val="auto"/>
        </w:rPr>
      </w:pPr>
      <w:r>
        <w:rPr>
          <w:rFonts w:hint="eastAsia" w:hAnsi="宋体"/>
          <w:color w:val="auto"/>
        </w:rPr>
        <w:t>供应商</w:t>
      </w:r>
      <w:r>
        <w:rPr>
          <w:rFonts w:hAnsi="宋体"/>
          <w:color w:val="auto"/>
        </w:rPr>
        <w:t>(</w:t>
      </w:r>
      <w:r>
        <w:rPr>
          <w:rFonts w:hint="eastAsia" w:hAnsi="宋体"/>
          <w:color w:val="auto"/>
        </w:rPr>
        <w:t>公章</w:t>
      </w:r>
      <w:r>
        <w:rPr>
          <w:rFonts w:hAnsi="宋体"/>
          <w:color w:val="auto"/>
        </w:rPr>
        <w:t>):</w:t>
      </w:r>
      <w:r>
        <w:rPr>
          <w:rFonts w:hAnsi="宋体" w:cs="Times New Roman"/>
          <w:color w:val="auto"/>
          <w:u w:val="single"/>
        </w:rPr>
        <w:tab/>
      </w:r>
    </w:p>
    <w:p>
      <w:pPr>
        <w:pStyle w:val="12"/>
        <w:spacing w:line="400" w:lineRule="atLeast"/>
        <w:ind w:left="1080" w:leftChars="257" w:hanging="540"/>
        <w:rPr>
          <w:rFonts w:hAnsi="宋体" w:cs="Times New Roman"/>
          <w:color w:val="auto"/>
        </w:rPr>
      </w:pPr>
      <w:r>
        <w:rPr>
          <w:rFonts w:hint="eastAsia" w:hAnsi="宋体"/>
          <w:color w:val="auto"/>
        </w:rPr>
        <w:t>注</w:t>
      </w:r>
      <w:r>
        <w:rPr>
          <w:rFonts w:hAnsi="宋体"/>
          <w:color w:val="auto"/>
        </w:rPr>
        <w:t>:1.</w:t>
      </w:r>
      <w:r>
        <w:rPr>
          <w:rFonts w:hint="eastAsia" w:hAnsi="宋体"/>
          <w:color w:val="auto"/>
        </w:rPr>
        <w:t>如果供应商认为需要，每种服务内容填写一份该表。</w:t>
      </w:r>
    </w:p>
    <w:p>
      <w:pPr>
        <w:pStyle w:val="12"/>
        <w:spacing w:line="400" w:lineRule="atLeast"/>
        <w:ind w:left="1056" w:leftChars="428" w:hanging="157" w:hangingChars="75"/>
        <w:rPr>
          <w:rFonts w:hAnsi="宋体" w:cs="Times New Roman"/>
          <w:color w:val="auto"/>
        </w:rPr>
      </w:pPr>
      <w:r>
        <w:rPr>
          <w:rFonts w:hAnsi="宋体"/>
          <w:color w:val="auto"/>
        </w:rPr>
        <w:t>2.</w:t>
      </w:r>
      <w:r>
        <w:rPr>
          <w:rFonts w:hint="eastAsia" w:hAnsi="宋体"/>
          <w:color w:val="auto"/>
        </w:rPr>
        <w:t>如果按单价计算的结果与总价不一致</w:t>
      </w:r>
      <w:r>
        <w:rPr>
          <w:rFonts w:hAnsi="宋体"/>
          <w:color w:val="auto"/>
        </w:rPr>
        <w:t>,</w:t>
      </w:r>
      <w:r>
        <w:rPr>
          <w:rFonts w:hint="eastAsia" w:hAnsi="宋体"/>
          <w:color w:val="auto"/>
        </w:rPr>
        <w:t>以单价为准修正总价。</w:t>
      </w:r>
    </w:p>
    <w:p>
      <w:pPr>
        <w:pStyle w:val="12"/>
        <w:spacing w:line="400" w:lineRule="atLeast"/>
        <w:ind w:left="1080" w:leftChars="257" w:hanging="540"/>
        <w:rPr>
          <w:rFonts w:hAnsi="宋体" w:cs="Times New Roman"/>
          <w:color w:val="auto"/>
        </w:rPr>
      </w:pPr>
      <w:r>
        <w:rPr>
          <w:rFonts w:hAnsi="宋体"/>
          <w:color w:val="auto"/>
        </w:rPr>
        <w:t xml:space="preserve">   3.</w:t>
      </w:r>
      <w:r>
        <w:rPr>
          <w:rFonts w:hint="eastAsia" w:hAnsi="宋体"/>
          <w:color w:val="auto"/>
        </w:rPr>
        <w:t>如果不提供详细分项报价将视为没有实质性响应招标文件。</w:t>
      </w:r>
    </w:p>
    <w:p>
      <w:pPr>
        <w:pStyle w:val="12"/>
        <w:spacing w:line="400" w:lineRule="atLeast"/>
        <w:ind w:left="1080" w:leftChars="257" w:hanging="540"/>
        <w:rPr>
          <w:rFonts w:hAnsi="宋体" w:cs="Times New Roman"/>
          <w:color w:val="auto"/>
        </w:rPr>
      </w:pPr>
      <w:r>
        <w:rPr>
          <w:rFonts w:hAnsi="宋体"/>
          <w:color w:val="auto"/>
        </w:rPr>
        <w:t xml:space="preserve">   4.</w:t>
      </w:r>
      <w:r>
        <w:rPr>
          <w:rFonts w:hint="eastAsia" w:hAnsi="宋体"/>
          <w:color w:val="auto"/>
        </w:rPr>
        <w:t>上述各项的详细分项报价，应另页描述。</w:t>
      </w:r>
    </w:p>
    <w:p>
      <w:pPr>
        <w:pStyle w:val="12"/>
        <w:spacing w:line="400" w:lineRule="atLeast"/>
        <w:ind w:left="1080" w:leftChars="257" w:hanging="540"/>
        <w:rPr>
          <w:rFonts w:hAnsi="宋体" w:cs="Times New Roman"/>
          <w:color w:val="auto"/>
        </w:rPr>
      </w:pPr>
      <w:r>
        <w:rPr>
          <w:rFonts w:hAnsi="宋体"/>
          <w:color w:val="auto"/>
        </w:rPr>
        <w:t xml:space="preserve">   5.</w:t>
      </w:r>
      <w:r>
        <w:rPr>
          <w:rFonts w:hint="eastAsia" w:hAnsi="宋体"/>
          <w:color w:val="auto"/>
        </w:rPr>
        <w:t>如果开标一览表（报价表）内容与投标文件中明细表内容不一致的，以开标一览表（报价表）内容为准。</w:t>
      </w:r>
    </w:p>
    <w:p>
      <w:pPr>
        <w:pStyle w:val="12"/>
        <w:spacing w:line="240" w:lineRule="atLeast"/>
        <w:ind w:left="1258" w:leftChars="599" w:firstLine="1143" w:firstLineChars="542"/>
        <w:rPr>
          <w:rFonts w:hAnsi="宋体" w:cs="Times New Roman"/>
          <w:b/>
          <w:bCs/>
          <w:color w:val="auto"/>
          <w:kern w:val="0"/>
        </w:rPr>
      </w:pPr>
    </w:p>
    <w:p>
      <w:pPr>
        <w:pStyle w:val="12"/>
        <w:spacing w:line="240" w:lineRule="atLeast"/>
        <w:ind w:left="1258" w:leftChars="599" w:firstLine="1143" w:firstLineChars="542"/>
        <w:rPr>
          <w:rFonts w:hAnsi="宋体" w:cs="Times New Roman"/>
          <w:b/>
          <w:bCs/>
          <w:color w:val="auto"/>
          <w:kern w:val="0"/>
        </w:rPr>
      </w:pPr>
    </w:p>
    <w:p>
      <w:pPr>
        <w:pStyle w:val="12"/>
        <w:spacing w:line="240" w:lineRule="atLeast"/>
        <w:ind w:left="1258" w:leftChars="599" w:firstLine="1143" w:firstLineChars="542"/>
        <w:rPr>
          <w:rFonts w:hAnsi="宋体" w:cs="Times New Roman"/>
          <w:b/>
          <w:bCs/>
          <w:color w:val="auto"/>
          <w:kern w:val="0"/>
        </w:rPr>
      </w:pPr>
    </w:p>
    <w:p>
      <w:pPr>
        <w:pStyle w:val="12"/>
        <w:spacing w:line="240" w:lineRule="atLeast"/>
        <w:ind w:left="1258" w:leftChars="599" w:firstLine="1143" w:firstLineChars="542"/>
        <w:rPr>
          <w:rFonts w:hAnsi="宋体" w:cs="Times New Roman"/>
          <w:b/>
          <w:bCs/>
          <w:color w:val="auto"/>
          <w:kern w:val="0"/>
        </w:rPr>
      </w:pPr>
    </w:p>
    <w:p>
      <w:pPr>
        <w:pStyle w:val="12"/>
        <w:spacing w:line="240" w:lineRule="atLeast"/>
        <w:rPr>
          <w:rFonts w:hAnsi="宋体" w:cs="Times New Roman"/>
          <w:b/>
          <w:bCs/>
          <w:color w:val="auto"/>
          <w:kern w:val="0"/>
        </w:rPr>
      </w:pPr>
    </w:p>
    <w:p>
      <w:pPr>
        <w:spacing w:line="360" w:lineRule="auto"/>
        <w:jc w:val="center"/>
        <w:outlineLvl w:val="1"/>
        <w:rPr>
          <w:rFonts w:ascii="宋体"/>
          <w:b/>
          <w:bCs/>
          <w:color w:val="auto"/>
          <w:sz w:val="30"/>
          <w:szCs w:val="30"/>
        </w:rPr>
      </w:pPr>
      <w:bookmarkStart w:id="578" w:name="_Toc16798"/>
      <w:bookmarkStart w:id="579" w:name="_Toc6480"/>
      <w:bookmarkStart w:id="580" w:name="_Toc13950"/>
      <w:bookmarkStart w:id="581" w:name="_Toc10486"/>
      <w:bookmarkStart w:id="582" w:name="_Toc1502"/>
      <w:bookmarkStart w:id="583" w:name="_Toc27721"/>
      <w:bookmarkStart w:id="584" w:name="_Toc28199"/>
      <w:bookmarkStart w:id="585" w:name="_Toc30209"/>
      <w:r>
        <w:rPr>
          <w:rFonts w:hint="eastAsia" w:ascii="宋体" w:hAnsi="宋体" w:cs="宋体"/>
          <w:b/>
          <w:bCs/>
          <w:color w:val="auto"/>
          <w:sz w:val="24"/>
          <w:szCs w:val="24"/>
        </w:rPr>
        <w:t>备品备件设备分项报价表（二）</w:t>
      </w:r>
      <w:bookmarkEnd w:id="578"/>
      <w:bookmarkEnd w:id="579"/>
      <w:bookmarkEnd w:id="580"/>
      <w:bookmarkEnd w:id="581"/>
      <w:bookmarkEnd w:id="582"/>
      <w:bookmarkEnd w:id="583"/>
      <w:bookmarkEnd w:id="584"/>
      <w:bookmarkEnd w:id="585"/>
    </w:p>
    <w:tbl>
      <w:tblPr>
        <w:tblStyle w:val="21"/>
        <w:tblW w:w="852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94"/>
        <w:gridCol w:w="703"/>
        <w:gridCol w:w="805"/>
        <w:gridCol w:w="692"/>
        <w:gridCol w:w="908"/>
        <w:gridCol w:w="612"/>
        <w:gridCol w:w="715"/>
        <w:gridCol w:w="646"/>
        <w:gridCol w:w="658"/>
        <w:gridCol w:w="64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11" w:type="dxa"/>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hint="eastAsia" w:ascii="宋体" w:hAnsi="宋体" w:cs="宋体"/>
                <w:color w:val="auto"/>
                <w:sz w:val="24"/>
                <w:szCs w:val="24"/>
              </w:rPr>
              <w:t>编号</w:t>
            </w:r>
          </w:p>
        </w:tc>
        <w:tc>
          <w:tcPr>
            <w:tcW w:w="703" w:type="dxa"/>
            <w:vAlign w:val="center"/>
          </w:tcPr>
          <w:p>
            <w:pPr>
              <w:spacing w:line="360" w:lineRule="auto"/>
              <w:jc w:val="center"/>
              <w:rPr>
                <w:rFonts w:ascii="宋体"/>
                <w:color w:val="auto"/>
                <w:sz w:val="24"/>
                <w:szCs w:val="24"/>
              </w:rPr>
            </w:pPr>
            <w:r>
              <w:rPr>
                <w:rFonts w:hint="eastAsia" w:ascii="宋体" w:hAnsi="宋体" w:cs="宋体"/>
                <w:color w:val="auto"/>
                <w:sz w:val="24"/>
                <w:szCs w:val="24"/>
              </w:rPr>
              <w:t>货物名称</w:t>
            </w:r>
          </w:p>
        </w:tc>
        <w:tc>
          <w:tcPr>
            <w:tcW w:w="805"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品牌</w:t>
            </w:r>
          </w:p>
        </w:tc>
        <w:tc>
          <w:tcPr>
            <w:tcW w:w="692" w:type="dxa"/>
            <w:vAlign w:val="center"/>
          </w:tcPr>
          <w:p>
            <w:pPr>
              <w:spacing w:line="360" w:lineRule="auto"/>
              <w:jc w:val="center"/>
              <w:rPr>
                <w:rFonts w:ascii="宋体"/>
                <w:color w:val="auto"/>
                <w:sz w:val="24"/>
                <w:szCs w:val="24"/>
              </w:rPr>
            </w:pPr>
            <w:r>
              <w:rPr>
                <w:rFonts w:hint="eastAsia" w:ascii="宋体" w:hAnsi="宋体" w:cs="宋体"/>
                <w:color w:val="auto"/>
                <w:sz w:val="24"/>
                <w:szCs w:val="24"/>
              </w:rPr>
              <w:t>规格型号</w:t>
            </w:r>
          </w:p>
        </w:tc>
        <w:tc>
          <w:tcPr>
            <w:tcW w:w="908" w:type="dxa"/>
            <w:vAlign w:val="center"/>
          </w:tcPr>
          <w:p>
            <w:pPr>
              <w:spacing w:line="360" w:lineRule="auto"/>
              <w:jc w:val="center"/>
              <w:rPr>
                <w:rFonts w:ascii="宋体"/>
                <w:color w:val="auto"/>
                <w:sz w:val="24"/>
                <w:szCs w:val="24"/>
              </w:rPr>
            </w:pPr>
            <w:r>
              <w:rPr>
                <w:rFonts w:hint="eastAsia" w:ascii="宋体" w:hAnsi="宋体" w:cs="宋体"/>
                <w:color w:val="auto"/>
                <w:sz w:val="24"/>
                <w:szCs w:val="24"/>
              </w:rPr>
              <w:t>供货厂商名称</w:t>
            </w:r>
          </w:p>
        </w:tc>
        <w:tc>
          <w:tcPr>
            <w:tcW w:w="612" w:type="dxa"/>
            <w:vAlign w:val="center"/>
          </w:tcPr>
          <w:p>
            <w:pPr>
              <w:spacing w:line="360" w:lineRule="auto"/>
              <w:jc w:val="center"/>
              <w:rPr>
                <w:rFonts w:ascii="宋体"/>
                <w:color w:val="auto"/>
                <w:sz w:val="24"/>
                <w:szCs w:val="24"/>
              </w:rPr>
            </w:pPr>
            <w:r>
              <w:rPr>
                <w:rFonts w:hint="eastAsia" w:ascii="宋体" w:hAnsi="宋体" w:cs="宋体"/>
                <w:color w:val="auto"/>
                <w:sz w:val="24"/>
                <w:szCs w:val="24"/>
              </w:rPr>
              <w:t>产地</w:t>
            </w:r>
          </w:p>
        </w:tc>
        <w:tc>
          <w:tcPr>
            <w:tcW w:w="715"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数量</w:t>
            </w:r>
          </w:p>
        </w:tc>
        <w:tc>
          <w:tcPr>
            <w:tcW w:w="646"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单位</w:t>
            </w:r>
          </w:p>
        </w:tc>
        <w:tc>
          <w:tcPr>
            <w:tcW w:w="658"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单价</w:t>
            </w:r>
          </w:p>
        </w:tc>
        <w:tc>
          <w:tcPr>
            <w:tcW w:w="647"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合价</w:t>
            </w:r>
          </w:p>
        </w:tc>
        <w:tc>
          <w:tcPr>
            <w:tcW w:w="633"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restart"/>
            <w:vAlign w:val="center"/>
          </w:tcPr>
          <w:p>
            <w:pPr>
              <w:spacing w:line="360" w:lineRule="auto"/>
              <w:jc w:val="center"/>
              <w:rPr>
                <w:rFonts w:ascii="宋体"/>
                <w:color w:val="auto"/>
                <w:sz w:val="24"/>
                <w:szCs w:val="24"/>
              </w:rPr>
            </w:pPr>
            <w:r>
              <w:rPr>
                <w:rFonts w:hint="eastAsia" w:ascii="宋体" w:hAnsi="宋体" w:cs="宋体"/>
                <w:color w:val="auto"/>
                <w:sz w:val="24"/>
                <w:szCs w:val="24"/>
              </w:rPr>
              <w:t>质保期外设备报价</w:t>
            </w: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1</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2</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3</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4</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Align w:val="center"/>
          </w:tcPr>
          <w:p>
            <w:pPr>
              <w:spacing w:line="360" w:lineRule="auto"/>
              <w:jc w:val="center"/>
              <w:rPr>
                <w:rFonts w:ascii="宋体"/>
                <w:color w:val="auto"/>
                <w:sz w:val="24"/>
                <w:szCs w:val="24"/>
              </w:rPr>
            </w:pPr>
          </w:p>
        </w:tc>
        <w:tc>
          <w:tcPr>
            <w:tcW w:w="7813" w:type="dxa"/>
            <w:gridSpan w:val="11"/>
            <w:vAlign w:val="center"/>
          </w:tcPr>
          <w:p>
            <w:pPr>
              <w:spacing w:line="360" w:lineRule="auto"/>
              <w:rPr>
                <w:rFonts w:ascii="宋体"/>
                <w:color w:val="auto"/>
                <w:sz w:val="24"/>
                <w:szCs w:val="24"/>
              </w:rPr>
            </w:pPr>
            <w:r>
              <w:rPr>
                <w:rFonts w:hint="eastAsia" w:ascii="宋体" w:hAnsi="宋体" w:cs="宋体"/>
                <w:color w:val="auto"/>
                <w:sz w:val="24"/>
                <w:szCs w:val="24"/>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restart"/>
            <w:vAlign w:val="center"/>
          </w:tcPr>
          <w:p>
            <w:pPr>
              <w:spacing w:line="360" w:lineRule="auto"/>
              <w:jc w:val="center"/>
              <w:rPr>
                <w:rFonts w:ascii="宋体"/>
                <w:color w:val="auto"/>
                <w:sz w:val="24"/>
                <w:szCs w:val="24"/>
              </w:rPr>
            </w:pPr>
            <w:r>
              <w:rPr>
                <w:rFonts w:hint="eastAsia" w:ascii="宋体" w:hAnsi="宋体" w:cs="宋体"/>
                <w:color w:val="auto"/>
                <w:sz w:val="24"/>
                <w:szCs w:val="24"/>
              </w:rPr>
              <w:t>质保期内免费设备</w:t>
            </w: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6</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Merge w:val="restart"/>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7</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Merge w:val="continue"/>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8</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Merge w:val="continue"/>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1" w:type="dxa"/>
            <w:vMerge w:val="continue"/>
            <w:vAlign w:val="center"/>
          </w:tcPr>
          <w:p>
            <w:pPr>
              <w:spacing w:line="360" w:lineRule="auto"/>
              <w:jc w:val="center"/>
              <w:rPr>
                <w:rFonts w:ascii="宋体"/>
                <w:color w:val="auto"/>
                <w:sz w:val="24"/>
                <w:szCs w:val="24"/>
              </w:rPr>
            </w:pPr>
          </w:p>
        </w:tc>
        <w:tc>
          <w:tcPr>
            <w:tcW w:w="794" w:type="dxa"/>
            <w:vAlign w:val="center"/>
          </w:tcPr>
          <w:p>
            <w:pPr>
              <w:spacing w:line="360" w:lineRule="auto"/>
              <w:jc w:val="center"/>
              <w:rPr>
                <w:rFonts w:ascii="宋体"/>
                <w:color w:val="auto"/>
                <w:sz w:val="24"/>
                <w:szCs w:val="24"/>
              </w:rPr>
            </w:pPr>
            <w:r>
              <w:rPr>
                <w:rFonts w:ascii="宋体" w:hAnsi="宋体" w:cs="宋体"/>
                <w:color w:val="auto"/>
                <w:sz w:val="24"/>
                <w:szCs w:val="24"/>
              </w:rPr>
              <w:t>14</w:t>
            </w:r>
          </w:p>
        </w:tc>
        <w:tc>
          <w:tcPr>
            <w:tcW w:w="703" w:type="dxa"/>
            <w:vAlign w:val="center"/>
          </w:tcPr>
          <w:p>
            <w:pPr>
              <w:spacing w:line="360" w:lineRule="auto"/>
              <w:jc w:val="center"/>
              <w:rPr>
                <w:rFonts w:ascii="宋体"/>
                <w:color w:val="auto"/>
                <w:sz w:val="24"/>
                <w:szCs w:val="24"/>
              </w:rPr>
            </w:pPr>
          </w:p>
        </w:tc>
        <w:tc>
          <w:tcPr>
            <w:tcW w:w="805" w:type="dxa"/>
            <w:vAlign w:val="center"/>
          </w:tcPr>
          <w:p>
            <w:pPr>
              <w:spacing w:line="360" w:lineRule="auto"/>
              <w:jc w:val="center"/>
              <w:rPr>
                <w:rFonts w:ascii="宋体"/>
                <w:color w:val="auto"/>
                <w:sz w:val="24"/>
                <w:szCs w:val="24"/>
              </w:rPr>
            </w:pPr>
          </w:p>
        </w:tc>
        <w:tc>
          <w:tcPr>
            <w:tcW w:w="692" w:type="dxa"/>
            <w:vAlign w:val="center"/>
          </w:tcPr>
          <w:p>
            <w:pPr>
              <w:spacing w:line="360" w:lineRule="auto"/>
              <w:jc w:val="center"/>
              <w:rPr>
                <w:rFonts w:ascii="宋体"/>
                <w:color w:val="auto"/>
                <w:sz w:val="24"/>
                <w:szCs w:val="24"/>
              </w:rPr>
            </w:pPr>
          </w:p>
        </w:tc>
        <w:tc>
          <w:tcPr>
            <w:tcW w:w="908" w:type="dxa"/>
            <w:vAlign w:val="center"/>
          </w:tcPr>
          <w:p>
            <w:pPr>
              <w:spacing w:line="360" w:lineRule="auto"/>
              <w:jc w:val="center"/>
              <w:rPr>
                <w:rFonts w:ascii="宋体"/>
                <w:color w:val="auto"/>
                <w:sz w:val="24"/>
                <w:szCs w:val="24"/>
              </w:rPr>
            </w:pPr>
          </w:p>
        </w:tc>
        <w:tc>
          <w:tcPr>
            <w:tcW w:w="612" w:type="dxa"/>
            <w:vAlign w:val="center"/>
          </w:tcPr>
          <w:p>
            <w:pPr>
              <w:spacing w:line="360" w:lineRule="auto"/>
              <w:jc w:val="center"/>
              <w:rPr>
                <w:rFonts w:ascii="宋体"/>
                <w:color w:val="auto"/>
                <w:sz w:val="24"/>
                <w:szCs w:val="24"/>
              </w:rPr>
            </w:pPr>
          </w:p>
        </w:tc>
        <w:tc>
          <w:tcPr>
            <w:tcW w:w="715" w:type="dxa"/>
            <w:vAlign w:val="center"/>
          </w:tcPr>
          <w:p>
            <w:pPr>
              <w:spacing w:line="360" w:lineRule="auto"/>
              <w:jc w:val="center"/>
              <w:rPr>
                <w:rFonts w:ascii="宋体"/>
                <w:color w:val="auto"/>
                <w:sz w:val="24"/>
                <w:szCs w:val="24"/>
              </w:rPr>
            </w:pPr>
          </w:p>
        </w:tc>
        <w:tc>
          <w:tcPr>
            <w:tcW w:w="646" w:type="dxa"/>
            <w:vAlign w:val="center"/>
          </w:tcPr>
          <w:p>
            <w:pPr>
              <w:spacing w:line="360" w:lineRule="auto"/>
              <w:jc w:val="center"/>
              <w:rPr>
                <w:rFonts w:ascii="宋体"/>
                <w:color w:val="auto"/>
                <w:sz w:val="24"/>
                <w:szCs w:val="24"/>
              </w:rPr>
            </w:pPr>
          </w:p>
        </w:tc>
        <w:tc>
          <w:tcPr>
            <w:tcW w:w="658" w:type="dxa"/>
            <w:vAlign w:val="center"/>
          </w:tcPr>
          <w:p>
            <w:pPr>
              <w:spacing w:line="360" w:lineRule="auto"/>
              <w:jc w:val="center"/>
              <w:rPr>
                <w:rFonts w:ascii="宋体"/>
                <w:color w:val="auto"/>
                <w:sz w:val="24"/>
                <w:szCs w:val="24"/>
              </w:rPr>
            </w:pPr>
          </w:p>
        </w:tc>
        <w:tc>
          <w:tcPr>
            <w:tcW w:w="647" w:type="dxa"/>
            <w:vAlign w:val="center"/>
          </w:tcPr>
          <w:p>
            <w:pPr>
              <w:spacing w:line="360" w:lineRule="auto"/>
              <w:jc w:val="center"/>
              <w:rPr>
                <w:rFonts w:ascii="宋体"/>
                <w:color w:val="auto"/>
                <w:sz w:val="24"/>
                <w:szCs w:val="24"/>
              </w:rPr>
            </w:pPr>
          </w:p>
        </w:tc>
        <w:tc>
          <w:tcPr>
            <w:tcW w:w="6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91" w:type="dxa"/>
            <w:gridSpan w:val="11"/>
            <w:vAlign w:val="center"/>
          </w:tcPr>
          <w:p>
            <w:pPr>
              <w:spacing w:line="360" w:lineRule="auto"/>
              <w:rPr>
                <w:rFonts w:ascii="宋体"/>
                <w:color w:val="auto"/>
                <w:sz w:val="24"/>
                <w:szCs w:val="24"/>
              </w:rPr>
            </w:pPr>
            <w:r>
              <w:rPr>
                <w:rFonts w:hint="eastAsia" w:ascii="宋体" w:hAnsi="宋体" w:cs="宋体"/>
                <w:color w:val="auto"/>
                <w:sz w:val="24"/>
                <w:szCs w:val="24"/>
              </w:rPr>
              <w:t>总</w:t>
            </w:r>
            <w:r>
              <w:rPr>
                <w:rFonts w:ascii="宋体" w:hAnsi="宋体" w:cs="宋体"/>
                <w:color w:val="auto"/>
                <w:sz w:val="24"/>
                <w:szCs w:val="24"/>
              </w:rPr>
              <w:t xml:space="preserve">    </w:t>
            </w:r>
            <w:r>
              <w:rPr>
                <w:rFonts w:hint="eastAsia" w:ascii="宋体" w:hAnsi="宋体" w:cs="宋体"/>
                <w:color w:val="auto"/>
                <w:sz w:val="24"/>
                <w:szCs w:val="24"/>
              </w:rPr>
              <w:t>价（元）：</w:t>
            </w:r>
          </w:p>
          <w:p>
            <w:pPr>
              <w:spacing w:line="360" w:lineRule="auto"/>
              <w:rPr>
                <w:rFonts w:ascii="宋体"/>
                <w:color w:val="auto"/>
                <w:sz w:val="24"/>
                <w:szCs w:val="24"/>
              </w:rPr>
            </w:pPr>
            <w:r>
              <w:rPr>
                <w:rFonts w:hint="eastAsia" w:ascii="宋体" w:hAnsi="宋体" w:cs="宋体"/>
                <w:color w:val="auto"/>
                <w:sz w:val="24"/>
                <w:szCs w:val="24"/>
              </w:rPr>
              <w:t>（质保期外设备报价）</w:t>
            </w:r>
          </w:p>
        </w:tc>
        <w:tc>
          <w:tcPr>
            <w:tcW w:w="633" w:type="dxa"/>
            <w:vAlign w:val="center"/>
          </w:tcPr>
          <w:p>
            <w:pPr>
              <w:spacing w:line="360" w:lineRule="auto"/>
              <w:rPr>
                <w:rFonts w:ascii="宋体"/>
                <w:color w:val="auto"/>
                <w:sz w:val="24"/>
                <w:szCs w:val="24"/>
              </w:rPr>
            </w:pPr>
          </w:p>
        </w:tc>
      </w:tr>
    </w:tbl>
    <w:p>
      <w:pPr>
        <w:rPr>
          <w:rFonts w:ascii="宋体"/>
          <w:b/>
          <w:bCs/>
          <w:color w:val="auto"/>
          <w:sz w:val="30"/>
          <w:szCs w:val="30"/>
        </w:rPr>
      </w:pPr>
    </w:p>
    <w:p>
      <w:pPr>
        <w:spacing w:line="360" w:lineRule="exact"/>
        <w:rPr>
          <w:rFonts w:ascii="宋体"/>
          <w:color w:val="auto"/>
          <w:sz w:val="24"/>
          <w:szCs w:val="24"/>
        </w:rPr>
      </w:pPr>
      <w:r>
        <w:rPr>
          <w:rFonts w:hint="eastAsia" w:ascii="宋体" w:hAnsi="宋体" w:cs="宋体"/>
          <w:color w:val="auto"/>
          <w:sz w:val="24"/>
          <w:szCs w:val="24"/>
        </w:rPr>
        <w:t>供应商名称（公章）：</w:t>
      </w:r>
    </w:p>
    <w:p>
      <w:pPr>
        <w:spacing w:line="360" w:lineRule="exact"/>
        <w:rPr>
          <w:rFonts w:ascii="宋体"/>
          <w:color w:val="auto"/>
          <w:sz w:val="24"/>
          <w:szCs w:val="24"/>
        </w:rPr>
      </w:pPr>
      <w:r>
        <w:rPr>
          <w:rFonts w:hint="eastAsia" w:ascii="宋体" w:hAnsi="宋体" w:cs="宋体"/>
          <w:color w:val="auto"/>
          <w:sz w:val="24"/>
          <w:szCs w:val="24"/>
        </w:rPr>
        <w:t>供应商法人或授权代表（签</w:t>
      </w:r>
      <w:r>
        <w:rPr>
          <w:rFonts w:ascii="宋体" w:hAnsi="宋体" w:cs="宋体"/>
          <w:color w:val="auto"/>
          <w:sz w:val="24"/>
          <w:szCs w:val="24"/>
        </w:rPr>
        <w:t>/</w:t>
      </w:r>
      <w:r>
        <w:rPr>
          <w:rFonts w:hint="eastAsia" w:ascii="宋体" w:hAnsi="宋体" w:cs="宋体"/>
          <w:color w:val="auto"/>
          <w:sz w:val="24"/>
          <w:szCs w:val="24"/>
        </w:rPr>
        <w:t>章）：</w:t>
      </w:r>
      <w:r>
        <w:rPr>
          <w:rFonts w:ascii="宋体" w:hAnsi="宋体" w:cs="宋体"/>
          <w:color w:val="auto"/>
          <w:sz w:val="24"/>
          <w:szCs w:val="24"/>
        </w:rPr>
        <w:t xml:space="preserve">                    </w:t>
      </w:r>
    </w:p>
    <w:p>
      <w:pPr>
        <w:pStyle w:val="2"/>
        <w:spacing w:line="360" w:lineRule="exact"/>
        <w:ind w:firstLine="0"/>
        <w:rPr>
          <w:rFonts w:hAnsi="宋体"/>
          <w:color w:val="auto"/>
        </w:rPr>
      </w:pPr>
      <w:r>
        <w:rPr>
          <w:rFonts w:hint="eastAsia" w:hAnsi="宋体"/>
          <w:color w:val="auto"/>
        </w:rPr>
        <w:t>日</w:t>
      </w:r>
      <w:r>
        <w:rPr>
          <w:rFonts w:hAnsi="宋体"/>
          <w:color w:val="auto"/>
        </w:rPr>
        <w:t xml:space="preserve">       </w:t>
      </w:r>
      <w:r>
        <w:rPr>
          <w:rFonts w:hint="eastAsia" w:hAnsi="宋体"/>
          <w:color w:val="auto"/>
        </w:rPr>
        <w:t>期</w:t>
      </w:r>
      <w:r>
        <w:rPr>
          <w:rFonts w:hAnsi="宋体"/>
          <w:color w:val="auto"/>
        </w:rPr>
        <w:t xml:space="preserve"> </w:t>
      </w:r>
      <w:r>
        <w:rPr>
          <w:rFonts w:hint="eastAsia" w:hAnsi="宋体"/>
          <w:color w:val="auto"/>
        </w:rPr>
        <w:t>：</w:t>
      </w:r>
      <w:r>
        <w:rPr>
          <w:rFonts w:hAnsi="宋体"/>
          <w:color w:val="auto"/>
        </w:rPr>
        <w:t xml:space="preserve">   </w:t>
      </w:r>
    </w:p>
    <w:p>
      <w:pPr>
        <w:spacing w:line="360" w:lineRule="exact"/>
        <w:rPr>
          <w:rFonts w:ascii="宋体"/>
          <w:color w:val="auto"/>
        </w:rPr>
      </w:pPr>
      <w:r>
        <w:rPr>
          <w:rFonts w:hint="eastAsia" w:ascii="宋体" w:hAnsi="宋体" w:cs="宋体"/>
          <w:color w:val="auto"/>
          <w:sz w:val="24"/>
          <w:szCs w:val="24"/>
        </w:rPr>
        <w:t>注：</w:t>
      </w:r>
      <w:r>
        <w:rPr>
          <w:rFonts w:ascii="宋体" w:hAnsi="宋体" w:cs="宋体"/>
          <w:color w:val="auto"/>
        </w:rPr>
        <w:t>1</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表格长度方向可做扩展根据需求可补充相关资料，但不可减少。</w:t>
      </w:r>
    </w:p>
    <w:p>
      <w:pPr>
        <w:spacing w:line="360" w:lineRule="exact"/>
        <w:rPr>
          <w:rFonts w:ascii="宋体"/>
          <w:color w:val="auto"/>
        </w:rPr>
      </w:pPr>
      <w:r>
        <w:rPr>
          <w:rFonts w:ascii="宋体" w:hAnsi="宋体" w:cs="宋体"/>
          <w:color w:val="auto"/>
        </w:rPr>
        <w:t>2</w:t>
      </w:r>
      <w:r>
        <w:rPr>
          <w:rFonts w:hint="eastAsia" w:ascii="宋体" w:hAnsi="宋体" w:cs="宋体"/>
          <w:color w:val="auto"/>
        </w:rPr>
        <w:t>、备品备件设备分项报价仅供采购人在设备发生故障情况下采用此报价，填写此表时请谨慎。备品备件分为两部分（</w:t>
      </w:r>
      <w:r>
        <w:rPr>
          <w:rFonts w:ascii="宋体" w:hAnsi="宋体" w:cs="宋体"/>
          <w:color w:val="auto"/>
        </w:rPr>
        <w:t>1</w:t>
      </w:r>
      <w:r>
        <w:rPr>
          <w:rFonts w:hint="eastAsia" w:ascii="宋体" w:hAnsi="宋体" w:cs="宋体"/>
          <w:color w:val="auto"/>
        </w:rPr>
        <w:t>、质保期内免费的备品备件、</w:t>
      </w:r>
      <w:r>
        <w:rPr>
          <w:rFonts w:ascii="宋体" w:hAnsi="宋体" w:cs="宋体"/>
          <w:color w:val="auto"/>
        </w:rPr>
        <w:t>2</w:t>
      </w:r>
      <w:r>
        <w:rPr>
          <w:rFonts w:hint="eastAsia" w:ascii="宋体" w:hAnsi="宋体" w:cs="宋体"/>
          <w:color w:val="auto"/>
        </w:rPr>
        <w:t>、质保期外备品备件报价）</w:t>
      </w:r>
      <w:r>
        <w:rPr>
          <w:rFonts w:ascii="宋体"/>
          <w:color w:val="auto"/>
        </w:rPr>
        <w:t>    </w:t>
      </w:r>
      <w:r>
        <w:rPr>
          <w:rFonts w:ascii="宋体" w:hAnsi="宋体" w:cs="宋体"/>
          <w:color w:val="auto"/>
        </w:rPr>
        <w:t xml:space="preserve">             </w:t>
      </w:r>
    </w:p>
    <w:p>
      <w:pPr>
        <w:pStyle w:val="2"/>
        <w:spacing w:line="360" w:lineRule="exact"/>
        <w:ind w:firstLine="0"/>
        <w:rPr>
          <w:rFonts w:hAnsi="宋体" w:cs="Times New Roman"/>
          <w:color w:val="auto"/>
          <w:kern w:val="2"/>
          <w:sz w:val="21"/>
          <w:szCs w:val="21"/>
        </w:rPr>
      </w:pPr>
      <w:r>
        <w:rPr>
          <w:rFonts w:hAnsi="宋体"/>
          <w:color w:val="auto"/>
          <w:kern w:val="2"/>
          <w:sz w:val="21"/>
          <w:szCs w:val="21"/>
        </w:rPr>
        <w:t>3</w:t>
      </w:r>
      <w:r>
        <w:rPr>
          <w:rFonts w:hint="eastAsia" w:hAnsi="宋体"/>
          <w:color w:val="auto"/>
          <w:kern w:val="2"/>
          <w:sz w:val="21"/>
          <w:szCs w:val="21"/>
        </w:rPr>
        <w:t>、备品备件设备分项报价不合计于开标一览表总价，单独名列即可。</w:t>
      </w:r>
    </w:p>
    <w:p>
      <w:pPr>
        <w:pStyle w:val="2"/>
        <w:spacing w:line="360" w:lineRule="exact"/>
        <w:ind w:firstLine="0"/>
        <w:rPr>
          <w:rFonts w:hAnsi="宋体" w:cs="Times New Roman"/>
          <w:b/>
          <w:bCs/>
          <w:color w:val="auto"/>
          <w:sz w:val="21"/>
          <w:szCs w:val="21"/>
        </w:rPr>
      </w:pPr>
      <w:r>
        <w:rPr>
          <w:rFonts w:hAnsi="宋体"/>
          <w:color w:val="auto"/>
          <w:kern w:val="2"/>
          <w:sz w:val="21"/>
          <w:szCs w:val="21"/>
        </w:rPr>
        <w:t>4</w:t>
      </w:r>
      <w:r>
        <w:rPr>
          <w:rFonts w:hint="eastAsia" w:hAnsi="宋体"/>
          <w:color w:val="auto"/>
          <w:kern w:val="2"/>
          <w:sz w:val="21"/>
          <w:szCs w:val="21"/>
        </w:rPr>
        <w:t>、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pPr>
        <w:pStyle w:val="12"/>
        <w:spacing w:line="240" w:lineRule="atLeast"/>
        <w:ind w:left="1258" w:leftChars="599" w:firstLine="1143" w:firstLineChars="542"/>
        <w:rPr>
          <w:rFonts w:hAnsi="宋体" w:cs="Times New Roman"/>
          <w:b/>
          <w:bCs/>
          <w:color w:val="auto"/>
          <w:kern w:val="0"/>
        </w:rPr>
      </w:pPr>
    </w:p>
    <w:p>
      <w:pPr>
        <w:pStyle w:val="12"/>
        <w:spacing w:line="240" w:lineRule="atLeast"/>
        <w:ind w:left="1258" w:leftChars="599" w:firstLine="1143" w:firstLineChars="542"/>
        <w:rPr>
          <w:rFonts w:hAnsi="宋体" w:cs="Times New Roman"/>
          <w:b/>
          <w:bCs/>
          <w:color w:val="auto"/>
          <w:kern w:val="0"/>
        </w:rPr>
      </w:pPr>
    </w:p>
    <w:p>
      <w:pPr>
        <w:pStyle w:val="12"/>
        <w:spacing w:line="240" w:lineRule="atLeast"/>
        <w:ind w:left="1258" w:leftChars="599" w:firstLine="1143" w:firstLineChars="542"/>
        <w:rPr>
          <w:rFonts w:hAnsi="宋体" w:cs="Times New Roman"/>
          <w:b/>
          <w:bCs/>
          <w:color w:val="auto"/>
          <w:kern w:val="0"/>
        </w:rPr>
      </w:pPr>
    </w:p>
    <w:p>
      <w:pPr>
        <w:pStyle w:val="4"/>
        <w:spacing w:before="0" w:line="240" w:lineRule="atLeast"/>
        <w:ind w:firstLine="2741" w:firstLineChars="1300"/>
        <w:jc w:val="both"/>
        <w:rPr>
          <w:rFonts w:ascii="宋体" w:hAnsi="宋体" w:eastAsia="宋体" w:cs="Times New Roman"/>
          <w:b/>
          <w:bCs/>
          <w:color w:val="auto"/>
          <w:sz w:val="21"/>
          <w:szCs w:val="21"/>
        </w:rPr>
      </w:pPr>
      <w:bookmarkStart w:id="586" w:name="_Toc11211"/>
      <w:bookmarkStart w:id="587" w:name="_Toc11577"/>
      <w:bookmarkStart w:id="588" w:name="_Toc15861"/>
      <w:bookmarkStart w:id="589" w:name="_Toc19495"/>
      <w:bookmarkStart w:id="590" w:name="_Toc28817"/>
      <w:bookmarkStart w:id="591" w:name="_Toc28800"/>
      <w:bookmarkStart w:id="592" w:name="_Toc21726"/>
      <w:bookmarkStart w:id="593" w:name="_Toc31515"/>
      <w:r>
        <w:rPr>
          <w:rFonts w:ascii="宋体" w:hAnsi="宋体" w:eastAsia="宋体" w:cs="宋体"/>
          <w:b/>
          <w:bCs/>
          <w:color w:val="auto"/>
          <w:sz w:val="21"/>
          <w:szCs w:val="21"/>
        </w:rPr>
        <w:t xml:space="preserve">3   </w:t>
      </w:r>
      <w:r>
        <w:rPr>
          <w:rFonts w:hint="eastAsia" w:ascii="宋体" w:hAnsi="宋体" w:eastAsia="宋体" w:cs="宋体"/>
          <w:b/>
          <w:bCs/>
          <w:color w:val="auto"/>
          <w:sz w:val="21"/>
          <w:szCs w:val="21"/>
        </w:rPr>
        <w:t>货物说明一览表</w:t>
      </w:r>
      <w:bookmarkEnd w:id="586"/>
      <w:bookmarkEnd w:id="587"/>
      <w:bookmarkEnd w:id="588"/>
      <w:bookmarkEnd w:id="589"/>
      <w:bookmarkEnd w:id="590"/>
      <w:bookmarkEnd w:id="591"/>
      <w:bookmarkEnd w:id="592"/>
      <w:bookmarkEnd w:id="593"/>
    </w:p>
    <w:p>
      <w:pPr>
        <w:pStyle w:val="12"/>
        <w:spacing w:line="240" w:lineRule="atLeast"/>
        <w:jc w:val="left"/>
        <w:rPr>
          <w:rFonts w:hAnsi="宋体" w:cs="Times New Roman"/>
          <w:color w:val="auto"/>
        </w:rPr>
      </w:pPr>
    </w:p>
    <w:p>
      <w:pPr>
        <w:pStyle w:val="12"/>
        <w:spacing w:line="240" w:lineRule="atLeast"/>
        <w:jc w:val="left"/>
        <w:rPr>
          <w:rFonts w:hAnsi="宋体"/>
          <w:color w:val="auto"/>
        </w:rPr>
      </w:pPr>
      <w:r>
        <w:rPr>
          <w:rFonts w:hint="eastAsia" w:hAnsi="宋体"/>
          <w:color w:val="auto"/>
        </w:rPr>
        <w:t>项目名称</w:t>
      </w:r>
      <w:r>
        <w:rPr>
          <w:rFonts w:hAnsi="宋体"/>
          <w:color w:val="auto"/>
        </w:rPr>
        <w:t xml:space="preserve">:                    </w:t>
      </w:r>
    </w:p>
    <w:p>
      <w:pPr>
        <w:pStyle w:val="12"/>
        <w:spacing w:line="240" w:lineRule="atLeast"/>
        <w:jc w:val="left"/>
        <w:rPr>
          <w:rFonts w:hAnsi="宋体"/>
          <w:color w:val="auto"/>
        </w:rPr>
      </w:pPr>
    </w:p>
    <w:p>
      <w:pPr>
        <w:pStyle w:val="12"/>
        <w:spacing w:line="240" w:lineRule="atLeast"/>
        <w:jc w:val="left"/>
        <w:rPr>
          <w:rFonts w:hAnsi="宋体"/>
          <w:color w:val="auto"/>
        </w:rPr>
      </w:pPr>
      <w:r>
        <w:rPr>
          <w:rFonts w:hint="eastAsia" w:hAnsi="宋体"/>
          <w:color w:val="auto"/>
        </w:rPr>
        <w:t>项目编号</w:t>
      </w:r>
      <w:r>
        <w:rPr>
          <w:rFonts w:hAnsi="宋体"/>
          <w:color w:val="auto"/>
        </w:rPr>
        <w:t xml:space="preserve">:                                        </w:t>
      </w:r>
      <w:r>
        <w:rPr>
          <w:rFonts w:hint="eastAsia" w:hAnsi="宋体"/>
          <w:color w:val="auto"/>
        </w:rPr>
        <w:t>包号</w:t>
      </w:r>
      <w:r>
        <w:rPr>
          <w:rFonts w:hAnsi="宋体"/>
          <w:color w:val="auto"/>
        </w:rPr>
        <w:t xml:space="preserve">:                      </w:t>
      </w:r>
    </w:p>
    <w:p>
      <w:pPr>
        <w:pStyle w:val="12"/>
        <w:spacing w:line="240" w:lineRule="atLeast"/>
        <w:ind w:left="1080" w:leftChars="257" w:hanging="540"/>
        <w:rPr>
          <w:rFonts w:hAnsi="宋体" w:cs="Times New Roman"/>
          <w:color w:val="auto"/>
        </w:rPr>
      </w:pPr>
    </w:p>
    <w:tbl>
      <w:tblPr>
        <w:tblStyle w:val="21"/>
        <w:tblW w:w="981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50"/>
        <w:gridCol w:w="2144"/>
        <w:gridCol w:w="1482"/>
        <w:gridCol w:w="1957"/>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291" w:type="dxa"/>
            <w:vAlign w:val="center"/>
          </w:tcPr>
          <w:p>
            <w:pPr>
              <w:widowControl/>
              <w:jc w:val="center"/>
              <w:textAlignment w:val="center"/>
              <w:rPr>
                <w:rFonts w:ascii="宋体"/>
                <w:color w:val="auto"/>
              </w:rPr>
            </w:pPr>
            <w:r>
              <w:rPr>
                <w:rFonts w:hint="eastAsia" w:ascii="宋体" w:hAnsi="宋体" w:cs="宋体"/>
                <w:color w:val="auto"/>
                <w:kern w:val="0"/>
                <w:sz w:val="24"/>
                <w:szCs w:val="24"/>
              </w:rPr>
              <w:t>序号</w:t>
            </w:r>
          </w:p>
        </w:tc>
        <w:tc>
          <w:tcPr>
            <w:tcW w:w="1550" w:type="dxa"/>
            <w:vAlign w:val="center"/>
          </w:tcPr>
          <w:p>
            <w:pPr>
              <w:widowControl/>
              <w:jc w:val="center"/>
              <w:textAlignment w:val="center"/>
              <w:rPr>
                <w:rFonts w:ascii="宋体"/>
                <w:color w:val="auto"/>
              </w:rPr>
            </w:pPr>
            <w:r>
              <w:rPr>
                <w:rFonts w:hint="eastAsia" w:ascii="宋体" w:hAnsi="宋体" w:cs="宋体"/>
                <w:color w:val="auto"/>
                <w:kern w:val="0"/>
                <w:sz w:val="24"/>
                <w:szCs w:val="24"/>
              </w:rPr>
              <w:t>货物名称</w:t>
            </w:r>
          </w:p>
        </w:tc>
        <w:tc>
          <w:tcPr>
            <w:tcW w:w="2144" w:type="dxa"/>
            <w:vAlign w:val="center"/>
          </w:tcPr>
          <w:p>
            <w:pPr>
              <w:widowControl/>
              <w:textAlignment w:val="center"/>
              <w:rPr>
                <w:rFonts w:ascii="宋体"/>
                <w:color w:val="auto"/>
              </w:rPr>
            </w:pPr>
            <w:r>
              <w:rPr>
                <w:rFonts w:hint="eastAsia" w:ascii="宋体" w:hAnsi="宋体" w:cs="宋体"/>
                <w:color w:val="auto"/>
                <w:kern w:val="0"/>
                <w:sz w:val="24"/>
                <w:szCs w:val="24"/>
              </w:rPr>
              <w:t>规格型号（详细配置）</w:t>
            </w:r>
          </w:p>
        </w:tc>
        <w:tc>
          <w:tcPr>
            <w:tcW w:w="1482" w:type="dxa"/>
            <w:vAlign w:val="center"/>
          </w:tcPr>
          <w:p>
            <w:pPr>
              <w:widowControl/>
              <w:jc w:val="center"/>
              <w:textAlignment w:val="center"/>
              <w:rPr>
                <w:rFonts w:ascii="宋体"/>
                <w:color w:val="auto"/>
                <w:kern w:val="0"/>
                <w:sz w:val="24"/>
                <w:szCs w:val="24"/>
              </w:rPr>
            </w:pPr>
            <w:r>
              <w:rPr>
                <w:rFonts w:hint="eastAsia" w:ascii="宋体" w:hAnsi="宋体" w:cs="宋体"/>
                <w:color w:val="auto"/>
                <w:sz w:val="24"/>
                <w:szCs w:val="24"/>
              </w:rPr>
              <w:t>建设周期</w:t>
            </w:r>
          </w:p>
        </w:tc>
        <w:tc>
          <w:tcPr>
            <w:tcW w:w="1957" w:type="dxa"/>
            <w:vAlign w:val="center"/>
          </w:tcPr>
          <w:p>
            <w:pPr>
              <w:widowControl/>
              <w:jc w:val="center"/>
              <w:textAlignment w:val="center"/>
              <w:rPr>
                <w:rFonts w:ascii="宋体"/>
                <w:color w:val="auto"/>
              </w:rPr>
            </w:pPr>
            <w:r>
              <w:rPr>
                <w:rFonts w:hint="eastAsia" w:ascii="宋体" w:hAnsi="宋体" w:cs="宋体"/>
                <w:color w:val="auto"/>
                <w:kern w:val="0"/>
                <w:sz w:val="24"/>
                <w:szCs w:val="24"/>
              </w:rPr>
              <w:t>建设地点</w:t>
            </w:r>
          </w:p>
        </w:tc>
        <w:tc>
          <w:tcPr>
            <w:tcW w:w="1393" w:type="dxa"/>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91" w:type="dxa"/>
          </w:tcPr>
          <w:p>
            <w:pPr>
              <w:pStyle w:val="12"/>
              <w:spacing w:line="240" w:lineRule="atLeast"/>
              <w:ind w:left="1080" w:leftChars="257" w:hanging="540"/>
              <w:rPr>
                <w:rFonts w:hAnsi="宋体" w:cs="Times New Roman"/>
                <w:color w:val="auto"/>
              </w:rPr>
            </w:pPr>
          </w:p>
        </w:tc>
        <w:tc>
          <w:tcPr>
            <w:tcW w:w="1550" w:type="dxa"/>
          </w:tcPr>
          <w:p>
            <w:pPr>
              <w:pStyle w:val="12"/>
              <w:spacing w:line="240" w:lineRule="atLeast"/>
              <w:ind w:left="1080" w:leftChars="257" w:hanging="540"/>
              <w:rPr>
                <w:rFonts w:hAnsi="宋体" w:cs="Times New Roman"/>
                <w:color w:val="auto"/>
              </w:rPr>
            </w:pPr>
          </w:p>
        </w:tc>
        <w:tc>
          <w:tcPr>
            <w:tcW w:w="2144" w:type="dxa"/>
          </w:tcPr>
          <w:p>
            <w:pPr>
              <w:pStyle w:val="12"/>
              <w:spacing w:line="240" w:lineRule="atLeast"/>
              <w:ind w:left="1080" w:leftChars="257" w:hanging="540"/>
              <w:rPr>
                <w:rFonts w:hAnsi="宋体" w:cs="Times New Roman"/>
                <w:color w:val="auto"/>
              </w:rPr>
            </w:pPr>
          </w:p>
        </w:tc>
        <w:tc>
          <w:tcPr>
            <w:tcW w:w="1482" w:type="dxa"/>
          </w:tcPr>
          <w:p>
            <w:pPr>
              <w:pStyle w:val="12"/>
              <w:spacing w:line="240" w:lineRule="atLeast"/>
              <w:ind w:left="1080" w:leftChars="257" w:hanging="540"/>
              <w:rPr>
                <w:rFonts w:hAnsi="宋体" w:cs="Times New Roman"/>
                <w:color w:val="auto"/>
              </w:rPr>
            </w:pPr>
          </w:p>
        </w:tc>
        <w:tc>
          <w:tcPr>
            <w:tcW w:w="1957" w:type="dxa"/>
          </w:tcPr>
          <w:p>
            <w:pPr>
              <w:pStyle w:val="12"/>
              <w:spacing w:line="240" w:lineRule="atLeast"/>
              <w:ind w:left="1080" w:leftChars="257" w:hanging="540"/>
              <w:rPr>
                <w:rFonts w:hAnsi="宋体" w:cs="Times New Roman"/>
                <w:color w:val="auto"/>
              </w:rPr>
            </w:pPr>
          </w:p>
        </w:tc>
        <w:tc>
          <w:tcPr>
            <w:tcW w:w="1393" w:type="dxa"/>
          </w:tcPr>
          <w:p>
            <w:pPr>
              <w:pStyle w:val="12"/>
              <w:spacing w:line="240" w:lineRule="atLeast"/>
              <w:ind w:left="1080" w:leftChars="257" w:hanging="540"/>
              <w:rPr>
                <w:rFonts w:hAnsi="宋体" w:cs="Times New Roman"/>
                <w:color w:val="auto"/>
              </w:rPr>
            </w:pPr>
          </w:p>
        </w:tc>
      </w:tr>
    </w:tbl>
    <w:p>
      <w:pPr>
        <w:pStyle w:val="12"/>
        <w:spacing w:line="240" w:lineRule="atLeast"/>
        <w:ind w:left="1080" w:leftChars="257" w:hanging="540"/>
        <w:rPr>
          <w:rFonts w:hAnsi="宋体" w:cs="Times New Roman"/>
          <w:color w:val="auto"/>
        </w:rPr>
      </w:pPr>
    </w:p>
    <w:p>
      <w:pPr>
        <w:pStyle w:val="12"/>
        <w:spacing w:line="240" w:lineRule="atLeast"/>
        <w:ind w:left="1080" w:leftChars="257" w:hanging="540"/>
        <w:rPr>
          <w:rFonts w:hAnsi="宋体" w:cs="Times New Roman"/>
          <w:color w:val="auto"/>
        </w:rPr>
      </w:pPr>
      <w:r>
        <w:rPr>
          <w:rFonts w:hint="eastAsia" w:hAnsi="宋体"/>
          <w:color w:val="auto"/>
        </w:rPr>
        <w:t>法定代表人或其委托代理人（签</w:t>
      </w:r>
      <w:r>
        <w:rPr>
          <w:rFonts w:hAnsi="宋体"/>
          <w:color w:val="auto"/>
        </w:rPr>
        <w:t>/</w:t>
      </w:r>
      <w:r>
        <w:rPr>
          <w:rFonts w:hint="eastAsia" w:hAnsi="宋体"/>
          <w:color w:val="auto"/>
        </w:rPr>
        <w:t>章）</w:t>
      </w:r>
      <w:r>
        <w:rPr>
          <w:rFonts w:hAnsi="宋体"/>
          <w:color w:val="auto"/>
        </w:rPr>
        <w:t>:</w:t>
      </w:r>
      <w:r>
        <w:rPr>
          <w:rFonts w:hAnsi="宋体"/>
          <w:color w:val="auto"/>
          <w:u w:val="single"/>
        </w:rPr>
        <w:t xml:space="preserve"> </w:t>
      </w:r>
      <w:r>
        <w:rPr>
          <w:rFonts w:hAnsi="宋体"/>
          <w:color w:val="auto"/>
          <w:u w:val="single"/>
        </w:rPr>
        <w:tab/>
      </w:r>
      <w:r>
        <w:rPr>
          <w:rFonts w:hAnsi="宋体"/>
          <w:color w:val="auto"/>
          <w:u w:val="single"/>
        </w:rPr>
        <w:t xml:space="preserve">                 </w:t>
      </w:r>
    </w:p>
    <w:p>
      <w:pPr>
        <w:pStyle w:val="12"/>
        <w:tabs>
          <w:tab w:val="left" w:pos="5370"/>
        </w:tabs>
        <w:spacing w:line="240" w:lineRule="atLeast"/>
        <w:ind w:left="1080" w:leftChars="257" w:hanging="540"/>
        <w:rPr>
          <w:rFonts w:hAnsi="宋体" w:cs="Times New Roman"/>
          <w:color w:val="auto"/>
        </w:rPr>
      </w:pPr>
      <w:r>
        <w:rPr>
          <w:rFonts w:hint="eastAsia" w:hAnsi="宋体"/>
          <w:color w:val="auto"/>
        </w:rPr>
        <w:t>供应商</w:t>
      </w:r>
      <w:r>
        <w:rPr>
          <w:rFonts w:hAnsi="宋体"/>
          <w:color w:val="auto"/>
        </w:rPr>
        <w:t>(</w:t>
      </w:r>
      <w:r>
        <w:rPr>
          <w:rFonts w:hint="eastAsia" w:hAnsi="宋体"/>
          <w:color w:val="auto"/>
        </w:rPr>
        <w:t>公章</w:t>
      </w:r>
      <w:r>
        <w:rPr>
          <w:rFonts w:hAnsi="宋体"/>
          <w:color w:val="auto"/>
        </w:rPr>
        <w:t>):</w:t>
      </w:r>
      <w:r>
        <w:rPr>
          <w:rFonts w:hAnsi="宋体" w:cs="Times New Roman"/>
          <w:color w:val="auto"/>
          <w:u w:val="single"/>
        </w:rPr>
        <w:tab/>
      </w:r>
    </w:p>
    <w:p>
      <w:pPr>
        <w:pStyle w:val="12"/>
        <w:spacing w:line="240" w:lineRule="atLeast"/>
        <w:ind w:left="1080" w:leftChars="257" w:hanging="540"/>
        <w:rPr>
          <w:rFonts w:hAnsi="宋体" w:cs="Times New Roman"/>
          <w:b/>
          <w:bCs/>
          <w:color w:val="auto"/>
          <w:sz w:val="22"/>
          <w:szCs w:val="22"/>
        </w:rPr>
      </w:pPr>
      <w:r>
        <w:rPr>
          <w:rFonts w:hint="eastAsia" w:hAnsi="宋体"/>
          <w:color w:val="auto"/>
        </w:rPr>
        <w:t>注</w:t>
      </w:r>
      <w:r>
        <w:rPr>
          <w:rFonts w:hAnsi="宋体"/>
          <w:color w:val="auto"/>
        </w:rPr>
        <w:t xml:space="preserve">: </w:t>
      </w:r>
      <w:r>
        <w:rPr>
          <w:rFonts w:hint="eastAsia" w:hAnsi="宋体"/>
          <w:color w:val="auto"/>
        </w:rPr>
        <w:t>各项服务详细技术性能应另页描述。</w:t>
      </w: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rPr>
          <w:rFonts w:hAnsi="宋体" w:cs="Times New Roman"/>
          <w:b/>
          <w:bCs/>
          <w:color w:val="auto"/>
          <w:sz w:val="22"/>
          <w:szCs w:val="22"/>
        </w:rPr>
      </w:pPr>
    </w:p>
    <w:p>
      <w:pPr>
        <w:pStyle w:val="12"/>
        <w:spacing w:line="240" w:lineRule="atLeast"/>
        <w:ind w:left="1080" w:leftChars="257" w:hanging="540"/>
        <w:jc w:val="center"/>
        <w:outlineLvl w:val="1"/>
        <w:rPr>
          <w:rFonts w:hAnsi="宋体" w:cs="Times New Roman"/>
          <w:b/>
          <w:bCs/>
          <w:color w:val="auto"/>
          <w:sz w:val="22"/>
          <w:szCs w:val="22"/>
        </w:rPr>
      </w:pPr>
      <w:bookmarkStart w:id="594" w:name="_Toc26490"/>
      <w:bookmarkStart w:id="595" w:name="_Toc23542"/>
      <w:bookmarkStart w:id="596" w:name="_Toc13229"/>
      <w:bookmarkStart w:id="597" w:name="_Toc13093"/>
      <w:bookmarkStart w:id="598" w:name="_Toc32666"/>
      <w:bookmarkStart w:id="599" w:name="_Toc19822"/>
      <w:bookmarkStart w:id="600" w:name="_Toc28414"/>
      <w:bookmarkStart w:id="601" w:name="_Toc3537"/>
      <w:r>
        <w:rPr>
          <w:rFonts w:hAnsi="宋体"/>
          <w:b/>
          <w:bCs/>
          <w:color w:val="auto"/>
          <w:sz w:val="22"/>
          <w:szCs w:val="22"/>
        </w:rPr>
        <w:t xml:space="preserve">4   </w:t>
      </w:r>
      <w:r>
        <w:rPr>
          <w:rFonts w:hint="eastAsia" w:hAnsi="宋体"/>
          <w:b/>
          <w:bCs/>
          <w:color w:val="auto"/>
          <w:sz w:val="22"/>
          <w:szCs w:val="22"/>
        </w:rPr>
        <w:t>技术规格偏离表</w:t>
      </w:r>
      <w:bookmarkEnd w:id="594"/>
      <w:bookmarkEnd w:id="595"/>
      <w:bookmarkEnd w:id="596"/>
      <w:bookmarkEnd w:id="597"/>
      <w:bookmarkEnd w:id="598"/>
      <w:bookmarkEnd w:id="599"/>
      <w:bookmarkEnd w:id="600"/>
      <w:bookmarkEnd w:id="601"/>
    </w:p>
    <w:p>
      <w:pPr>
        <w:pStyle w:val="12"/>
        <w:spacing w:line="240" w:lineRule="atLeast"/>
        <w:ind w:left="1080" w:leftChars="257" w:hanging="540"/>
        <w:rPr>
          <w:rFonts w:hAnsi="宋体" w:cs="Times New Roman"/>
          <w:color w:val="auto"/>
        </w:rPr>
      </w:pPr>
    </w:p>
    <w:p>
      <w:pPr>
        <w:pStyle w:val="12"/>
        <w:spacing w:line="240" w:lineRule="atLeast"/>
        <w:rPr>
          <w:rFonts w:hAnsi="宋体"/>
          <w:color w:val="auto"/>
        </w:rPr>
      </w:pPr>
      <w:r>
        <w:rPr>
          <w:rFonts w:hint="eastAsia" w:hAnsi="宋体"/>
          <w:color w:val="auto"/>
        </w:rPr>
        <w:t>项目名称</w:t>
      </w:r>
      <w:r>
        <w:rPr>
          <w:rFonts w:hAnsi="宋体"/>
          <w:color w:val="auto"/>
        </w:rPr>
        <w:t xml:space="preserve">:                       </w:t>
      </w:r>
      <w:r>
        <w:rPr>
          <w:rFonts w:hint="eastAsia" w:hAnsi="宋体"/>
          <w:color w:val="auto"/>
        </w:rPr>
        <w:t>项目编号</w:t>
      </w:r>
      <w:r>
        <w:rPr>
          <w:rFonts w:hAnsi="宋体"/>
          <w:color w:val="auto"/>
        </w:rPr>
        <w:t xml:space="preserve">:                 </w:t>
      </w:r>
      <w:r>
        <w:rPr>
          <w:rFonts w:hint="eastAsia" w:hAnsi="宋体"/>
          <w:color w:val="auto"/>
        </w:rPr>
        <w:t>包号</w:t>
      </w:r>
      <w:r>
        <w:rPr>
          <w:rFonts w:hAnsi="宋体"/>
          <w:color w:val="auto"/>
        </w:rPr>
        <w:t>:</w:t>
      </w:r>
    </w:p>
    <w:p>
      <w:pPr>
        <w:pStyle w:val="12"/>
        <w:spacing w:line="240" w:lineRule="atLeast"/>
        <w:ind w:left="1080" w:leftChars="257" w:hanging="540"/>
        <w:rPr>
          <w:rFonts w:hAnsi="宋体" w:cs="Times New Roman"/>
          <w:color w:val="auto"/>
        </w:rPr>
      </w:pPr>
    </w:p>
    <w:tbl>
      <w:tblPr>
        <w:tblStyle w:val="2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2"/>
              <w:spacing w:line="240" w:lineRule="atLeast"/>
              <w:jc w:val="center"/>
              <w:rPr>
                <w:rFonts w:hAnsi="宋体" w:cs="Times New Roman"/>
                <w:color w:val="auto"/>
              </w:rPr>
            </w:pPr>
            <w:r>
              <w:rPr>
                <w:rFonts w:hint="eastAsia" w:hAnsi="宋体"/>
                <w:color w:val="auto"/>
              </w:rPr>
              <w:t>序号</w:t>
            </w:r>
          </w:p>
        </w:tc>
        <w:tc>
          <w:tcPr>
            <w:tcW w:w="1330" w:type="dxa"/>
            <w:vAlign w:val="center"/>
          </w:tcPr>
          <w:p>
            <w:pPr>
              <w:pStyle w:val="12"/>
              <w:spacing w:line="240" w:lineRule="atLeast"/>
              <w:jc w:val="center"/>
              <w:rPr>
                <w:rFonts w:hAnsi="宋体" w:cs="Times New Roman"/>
                <w:color w:val="auto"/>
              </w:rPr>
            </w:pPr>
            <w:r>
              <w:rPr>
                <w:rFonts w:hint="eastAsia" w:hAnsi="宋体"/>
                <w:color w:val="auto"/>
              </w:rPr>
              <w:t>货物名称</w:t>
            </w:r>
          </w:p>
        </w:tc>
        <w:tc>
          <w:tcPr>
            <w:tcW w:w="2472" w:type="dxa"/>
            <w:vAlign w:val="center"/>
          </w:tcPr>
          <w:p>
            <w:pPr>
              <w:pStyle w:val="12"/>
              <w:spacing w:line="240" w:lineRule="atLeast"/>
              <w:ind w:left="269" w:leftChars="128"/>
              <w:jc w:val="center"/>
              <w:rPr>
                <w:rFonts w:hAnsi="宋体" w:cs="Times New Roman"/>
                <w:color w:val="auto"/>
              </w:rPr>
            </w:pPr>
            <w:r>
              <w:rPr>
                <w:rFonts w:hint="eastAsia" w:hAnsi="宋体"/>
                <w:color w:val="auto"/>
              </w:rPr>
              <w:t>招标文件条款号</w:t>
            </w:r>
          </w:p>
        </w:tc>
        <w:tc>
          <w:tcPr>
            <w:tcW w:w="1331" w:type="dxa"/>
            <w:vAlign w:val="center"/>
          </w:tcPr>
          <w:p>
            <w:pPr>
              <w:pStyle w:val="12"/>
              <w:spacing w:line="240" w:lineRule="atLeast"/>
              <w:jc w:val="center"/>
              <w:rPr>
                <w:rFonts w:hAnsi="宋体" w:cs="Times New Roman"/>
                <w:color w:val="auto"/>
              </w:rPr>
            </w:pPr>
            <w:r>
              <w:rPr>
                <w:rFonts w:hint="eastAsia" w:hAnsi="宋体"/>
                <w:color w:val="auto"/>
              </w:rPr>
              <w:t>招标规格</w:t>
            </w:r>
          </w:p>
        </w:tc>
        <w:tc>
          <w:tcPr>
            <w:tcW w:w="1331" w:type="dxa"/>
            <w:vAlign w:val="center"/>
          </w:tcPr>
          <w:p>
            <w:pPr>
              <w:pStyle w:val="12"/>
              <w:spacing w:line="240" w:lineRule="atLeast"/>
              <w:jc w:val="center"/>
              <w:rPr>
                <w:rFonts w:hAnsi="宋体" w:cs="Times New Roman"/>
                <w:color w:val="auto"/>
              </w:rPr>
            </w:pPr>
            <w:r>
              <w:rPr>
                <w:rFonts w:hint="eastAsia" w:hAnsi="宋体"/>
                <w:color w:val="auto"/>
              </w:rPr>
              <w:t>投标规格</w:t>
            </w:r>
          </w:p>
        </w:tc>
        <w:tc>
          <w:tcPr>
            <w:tcW w:w="950" w:type="dxa"/>
            <w:vAlign w:val="center"/>
          </w:tcPr>
          <w:p>
            <w:pPr>
              <w:pStyle w:val="12"/>
              <w:spacing w:line="240" w:lineRule="atLeast"/>
              <w:jc w:val="center"/>
              <w:rPr>
                <w:rFonts w:hAnsi="宋体" w:cs="Times New Roman"/>
                <w:color w:val="auto"/>
              </w:rPr>
            </w:pPr>
            <w:r>
              <w:rPr>
                <w:rFonts w:hint="eastAsia" w:hAnsi="宋体"/>
                <w:color w:val="auto"/>
              </w:rPr>
              <w:t>偏离</w:t>
            </w:r>
          </w:p>
        </w:tc>
        <w:tc>
          <w:tcPr>
            <w:tcW w:w="951" w:type="dxa"/>
            <w:vAlign w:val="center"/>
          </w:tcPr>
          <w:p>
            <w:pPr>
              <w:pStyle w:val="12"/>
              <w:spacing w:line="240" w:lineRule="atLeast"/>
              <w:jc w:val="center"/>
              <w:rPr>
                <w:rFonts w:hAnsi="宋体" w:cs="Times New Roman"/>
                <w:color w:val="auto"/>
              </w:rPr>
            </w:pPr>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2"/>
              <w:spacing w:line="240" w:lineRule="atLeast"/>
              <w:ind w:left="1080" w:leftChars="257" w:hanging="540"/>
              <w:rPr>
                <w:rFonts w:hAnsi="宋体" w:cs="Times New Roman"/>
                <w:color w:val="auto"/>
              </w:rPr>
            </w:pPr>
          </w:p>
        </w:tc>
        <w:tc>
          <w:tcPr>
            <w:tcW w:w="1330" w:type="dxa"/>
          </w:tcPr>
          <w:p>
            <w:pPr>
              <w:pStyle w:val="12"/>
              <w:spacing w:line="240" w:lineRule="atLeast"/>
              <w:ind w:left="1080" w:leftChars="257" w:hanging="540"/>
              <w:rPr>
                <w:rFonts w:hAnsi="宋体" w:cs="Times New Roman"/>
                <w:color w:val="auto"/>
              </w:rPr>
            </w:pPr>
          </w:p>
        </w:tc>
        <w:tc>
          <w:tcPr>
            <w:tcW w:w="2472"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1331" w:type="dxa"/>
          </w:tcPr>
          <w:p>
            <w:pPr>
              <w:pStyle w:val="12"/>
              <w:spacing w:line="240" w:lineRule="atLeast"/>
              <w:ind w:left="1080" w:leftChars="257" w:hanging="540"/>
              <w:rPr>
                <w:rFonts w:hAnsi="宋体" w:cs="Times New Roman"/>
                <w:color w:val="auto"/>
              </w:rPr>
            </w:pPr>
          </w:p>
        </w:tc>
        <w:tc>
          <w:tcPr>
            <w:tcW w:w="950" w:type="dxa"/>
          </w:tcPr>
          <w:p>
            <w:pPr>
              <w:pStyle w:val="12"/>
              <w:spacing w:line="240" w:lineRule="atLeast"/>
              <w:ind w:left="1080" w:leftChars="257" w:hanging="540"/>
              <w:rPr>
                <w:rFonts w:hAnsi="宋体" w:cs="Times New Roman"/>
                <w:color w:val="auto"/>
              </w:rPr>
            </w:pPr>
          </w:p>
        </w:tc>
        <w:tc>
          <w:tcPr>
            <w:tcW w:w="951" w:type="dxa"/>
          </w:tcPr>
          <w:p>
            <w:pPr>
              <w:pStyle w:val="12"/>
              <w:spacing w:line="240" w:lineRule="atLeast"/>
              <w:ind w:left="1080" w:leftChars="257" w:hanging="540"/>
              <w:rPr>
                <w:rFonts w:hAnsi="宋体" w:cs="Times New Roman"/>
                <w:color w:val="auto"/>
              </w:rPr>
            </w:pPr>
          </w:p>
        </w:tc>
      </w:tr>
    </w:tbl>
    <w:p>
      <w:pPr>
        <w:pStyle w:val="12"/>
        <w:spacing w:line="240" w:lineRule="atLeast"/>
        <w:rPr>
          <w:rFonts w:hAnsi="宋体" w:cs="Times New Roman"/>
          <w:color w:val="auto"/>
        </w:rPr>
      </w:pPr>
    </w:p>
    <w:p>
      <w:pPr>
        <w:pStyle w:val="12"/>
        <w:spacing w:line="240" w:lineRule="atLeast"/>
        <w:ind w:left="1080" w:leftChars="257" w:hanging="540"/>
        <w:rPr>
          <w:rFonts w:hAnsi="宋体" w:cs="Times New Roman"/>
          <w:color w:val="auto"/>
        </w:rPr>
      </w:pPr>
      <w:r>
        <w:rPr>
          <w:rFonts w:hint="eastAsia" w:hAnsi="宋体"/>
          <w:color w:val="auto"/>
        </w:rPr>
        <w:t>法定代表人或其委托代理人（签</w:t>
      </w:r>
      <w:r>
        <w:rPr>
          <w:rFonts w:hAnsi="宋体"/>
          <w:color w:val="auto"/>
        </w:rPr>
        <w:t>/</w:t>
      </w:r>
      <w:r>
        <w:rPr>
          <w:rFonts w:hint="eastAsia" w:hAnsi="宋体"/>
          <w:color w:val="auto"/>
        </w:rPr>
        <w:t>章）</w:t>
      </w:r>
      <w:r>
        <w:rPr>
          <w:rFonts w:hAnsi="宋体"/>
          <w:color w:val="auto"/>
        </w:rPr>
        <w:t>:</w:t>
      </w:r>
      <w:r>
        <w:rPr>
          <w:rFonts w:hAnsi="宋体"/>
          <w:color w:val="auto"/>
          <w:u w:val="single"/>
        </w:rPr>
        <w:t xml:space="preserve"> </w:t>
      </w:r>
      <w:r>
        <w:rPr>
          <w:rFonts w:hAnsi="宋体"/>
          <w:color w:val="auto"/>
          <w:u w:val="single"/>
        </w:rPr>
        <w:tab/>
      </w:r>
      <w:r>
        <w:rPr>
          <w:rFonts w:hAnsi="宋体"/>
          <w:color w:val="auto"/>
          <w:u w:val="single"/>
        </w:rPr>
        <w:t xml:space="preserve">                 </w:t>
      </w:r>
    </w:p>
    <w:p>
      <w:pPr>
        <w:pStyle w:val="12"/>
        <w:tabs>
          <w:tab w:val="left" w:pos="5370"/>
        </w:tabs>
        <w:spacing w:line="240" w:lineRule="atLeast"/>
        <w:ind w:left="1080" w:leftChars="257" w:hanging="540"/>
        <w:rPr>
          <w:rFonts w:hAnsi="宋体" w:cs="Times New Roman"/>
          <w:b/>
          <w:bCs/>
          <w:color w:val="auto"/>
          <w:sz w:val="22"/>
          <w:szCs w:val="22"/>
        </w:rPr>
      </w:pPr>
      <w:r>
        <w:rPr>
          <w:rFonts w:hint="eastAsia" w:hAnsi="宋体"/>
          <w:color w:val="auto"/>
        </w:rPr>
        <w:t>供应商</w:t>
      </w:r>
      <w:r>
        <w:rPr>
          <w:rFonts w:hAnsi="宋体"/>
          <w:color w:val="auto"/>
        </w:rPr>
        <w:t>(</w:t>
      </w:r>
      <w:r>
        <w:rPr>
          <w:rFonts w:hint="eastAsia" w:hAnsi="宋体"/>
          <w:color w:val="auto"/>
        </w:rPr>
        <w:t>公章</w:t>
      </w:r>
      <w:r>
        <w:rPr>
          <w:rFonts w:hAnsi="宋体"/>
          <w:color w:val="auto"/>
        </w:rPr>
        <w:t>):</w:t>
      </w:r>
      <w:r>
        <w:rPr>
          <w:rFonts w:hAnsi="宋体" w:cs="Times New Roman"/>
          <w:color w:val="auto"/>
          <w:u w:val="single"/>
        </w:rPr>
        <w:tab/>
      </w:r>
    </w:p>
    <w:bookmarkEnd w:id="574"/>
    <w:bookmarkEnd w:id="575"/>
    <w:bookmarkEnd w:id="576"/>
    <w:bookmarkEnd w:id="577"/>
    <w:p>
      <w:pPr>
        <w:spacing w:line="240" w:lineRule="atLeast"/>
        <w:ind w:firstLine="2310" w:firstLineChars="1100"/>
        <w:rPr>
          <w:rFonts w:ascii="宋体"/>
          <w:color w:val="auto"/>
        </w:rPr>
      </w:pPr>
      <w:bookmarkStart w:id="602" w:name="_Toc31439"/>
      <w:bookmarkStart w:id="603" w:name="_Toc1980"/>
      <w:bookmarkStart w:id="604" w:name="_Toc515647821"/>
      <w:bookmarkStart w:id="605" w:name="_Toc216582818"/>
      <w:bookmarkStart w:id="606" w:name="_Toc23"/>
    </w:p>
    <w:p>
      <w:pPr>
        <w:spacing w:line="240" w:lineRule="atLeast"/>
        <w:ind w:firstLine="2310" w:firstLineChars="1100"/>
        <w:rPr>
          <w:rFonts w:ascii="宋体"/>
          <w:color w:val="auto"/>
        </w:rPr>
      </w:pPr>
    </w:p>
    <w:p>
      <w:pPr>
        <w:rPr>
          <w:rFonts w:ascii="宋体"/>
          <w:color w:val="auto"/>
        </w:rPr>
      </w:pPr>
    </w:p>
    <w:p>
      <w:pPr>
        <w:pStyle w:val="41"/>
        <w:rPr>
          <w:rFonts w:hAnsi="宋体" w:cs="Times New Roman"/>
          <w:color w:val="auto"/>
          <w:sz w:val="21"/>
          <w:szCs w:val="21"/>
        </w:rPr>
      </w:pPr>
    </w:p>
    <w:p>
      <w:pPr>
        <w:pStyle w:val="41"/>
        <w:rPr>
          <w:rFonts w:hAnsi="宋体" w:cs="Times New Roman"/>
          <w:color w:val="auto"/>
          <w:sz w:val="21"/>
          <w:szCs w:val="21"/>
        </w:rPr>
      </w:pPr>
    </w:p>
    <w:p>
      <w:pPr>
        <w:pStyle w:val="41"/>
        <w:rPr>
          <w:rFonts w:hAnsi="宋体" w:cs="Times New Roman"/>
          <w:color w:val="auto"/>
          <w:sz w:val="21"/>
          <w:szCs w:val="21"/>
        </w:rPr>
      </w:pPr>
    </w:p>
    <w:p>
      <w:pPr>
        <w:pStyle w:val="41"/>
        <w:rPr>
          <w:rFonts w:hAnsi="宋体" w:cs="Times New Roman"/>
          <w:color w:val="auto"/>
          <w:sz w:val="21"/>
          <w:szCs w:val="21"/>
        </w:rPr>
      </w:pPr>
    </w:p>
    <w:p>
      <w:pPr>
        <w:pStyle w:val="41"/>
        <w:rPr>
          <w:rFonts w:hAnsi="宋体" w:cs="Times New Roman"/>
          <w:color w:val="auto"/>
          <w:sz w:val="21"/>
          <w:szCs w:val="21"/>
        </w:rPr>
      </w:pPr>
    </w:p>
    <w:p>
      <w:pPr>
        <w:pStyle w:val="41"/>
        <w:rPr>
          <w:rFonts w:hAnsi="宋体" w:cs="Times New Roman"/>
          <w:color w:val="auto"/>
          <w:sz w:val="21"/>
          <w:szCs w:val="21"/>
        </w:rPr>
      </w:pPr>
    </w:p>
    <w:p>
      <w:pPr>
        <w:spacing w:line="240" w:lineRule="atLeast"/>
        <w:ind w:firstLine="2310" w:firstLineChars="1100"/>
        <w:rPr>
          <w:rFonts w:ascii="宋体"/>
          <w:color w:val="auto"/>
        </w:rPr>
      </w:pPr>
    </w:p>
    <w:p>
      <w:pPr>
        <w:rPr>
          <w:rFonts w:ascii="宋体"/>
          <w:color w:val="auto"/>
        </w:rPr>
      </w:pPr>
      <w:r>
        <w:rPr>
          <w:rFonts w:ascii="宋体"/>
          <w:color w:val="auto"/>
        </w:rPr>
        <w:br w:type="page"/>
      </w:r>
    </w:p>
    <w:bookmarkEnd w:id="602"/>
    <w:bookmarkEnd w:id="603"/>
    <w:bookmarkEnd w:id="604"/>
    <w:bookmarkEnd w:id="605"/>
    <w:bookmarkEnd w:id="606"/>
    <w:p>
      <w:pPr>
        <w:pStyle w:val="4"/>
        <w:spacing w:before="0" w:line="240" w:lineRule="atLeast"/>
        <w:rPr>
          <w:rFonts w:ascii="宋体" w:hAnsi="宋体" w:eastAsia="宋体" w:cs="Times New Roman"/>
          <w:b/>
          <w:bCs/>
          <w:color w:val="auto"/>
          <w:kern w:val="2"/>
          <w:sz w:val="22"/>
          <w:szCs w:val="22"/>
        </w:rPr>
      </w:pPr>
      <w:bookmarkStart w:id="607" w:name="_Toc29782"/>
      <w:bookmarkStart w:id="608" w:name="_Toc1896"/>
      <w:bookmarkStart w:id="609" w:name="_Toc7965"/>
      <w:bookmarkStart w:id="610" w:name="_Toc14878"/>
      <w:bookmarkStart w:id="611" w:name="_Toc1763"/>
      <w:bookmarkStart w:id="612" w:name="_Toc22640"/>
      <w:bookmarkStart w:id="613" w:name="_Toc28566"/>
      <w:bookmarkStart w:id="614" w:name="_Toc24526"/>
      <w:r>
        <w:rPr>
          <w:rFonts w:ascii="宋体" w:hAnsi="宋体" w:eastAsia="宋体" w:cs="宋体"/>
          <w:b/>
          <w:bCs/>
          <w:color w:val="auto"/>
          <w:kern w:val="2"/>
          <w:sz w:val="22"/>
          <w:szCs w:val="22"/>
        </w:rPr>
        <w:t xml:space="preserve">5   </w:t>
      </w:r>
      <w:r>
        <w:rPr>
          <w:rFonts w:hint="eastAsia" w:ascii="宋体" w:hAnsi="宋体" w:eastAsia="宋体" w:cs="宋体"/>
          <w:b/>
          <w:bCs/>
          <w:color w:val="auto"/>
          <w:kern w:val="2"/>
          <w:sz w:val="22"/>
          <w:szCs w:val="22"/>
        </w:rPr>
        <w:t>商务条款偏离表</w:t>
      </w:r>
      <w:bookmarkEnd w:id="607"/>
      <w:bookmarkEnd w:id="608"/>
      <w:bookmarkEnd w:id="609"/>
      <w:bookmarkEnd w:id="610"/>
      <w:bookmarkEnd w:id="611"/>
      <w:bookmarkEnd w:id="612"/>
      <w:bookmarkEnd w:id="613"/>
      <w:bookmarkEnd w:id="614"/>
    </w:p>
    <w:p>
      <w:pPr>
        <w:pStyle w:val="12"/>
        <w:spacing w:line="240" w:lineRule="atLeast"/>
        <w:ind w:left="1080" w:leftChars="257" w:hanging="540"/>
        <w:rPr>
          <w:rFonts w:hAnsi="宋体" w:cs="Times New Roman"/>
          <w:color w:val="auto"/>
        </w:rPr>
      </w:pPr>
    </w:p>
    <w:p>
      <w:pPr>
        <w:pStyle w:val="12"/>
        <w:spacing w:line="240" w:lineRule="atLeast"/>
        <w:ind w:left="1080" w:leftChars="257" w:hanging="540"/>
        <w:rPr>
          <w:rFonts w:hAnsi="宋体" w:cs="Times New Roman"/>
          <w:color w:val="auto"/>
        </w:rPr>
      </w:pPr>
    </w:p>
    <w:p>
      <w:pPr>
        <w:pStyle w:val="12"/>
        <w:spacing w:line="240" w:lineRule="atLeast"/>
        <w:ind w:left="1080" w:leftChars="257" w:hanging="540"/>
        <w:rPr>
          <w:rFonts w:hAnsi="宋体"/>
          <w:color w:val="auto"/>
        </w:rPr>
      </w:pPr>
      <w:r>
        <w:rPr>
          <w:rFonts w:hint="eastAsia" w:hAnsi="宋体"/>
          <w:color w:val="auto"/>
        </w:rPr>
        <w:t>项目名称</w:t>
      </w:r>
      <w:r>
        <w:rPr>
          <w:rFonts w:hAnsi="宋体"/>
          <w:color w:val="auto"/>
        </w:rPr>
        <w:t xml:space="preserve">:                      </w:t>
      </w:r>
      <w:r>
        <w:rPr>
          <w:rFonts w:hint="eastAsia" w:hAnsi="宋体"/>
          <w:color w:val="auto"/>
        </w:rPr>
        <w:t>项目编号</w:t>
      </w:r>
      <w:r>
        <w:rPr>
          <w:rFonts w:hAnsi="宋体"/>
          <w:color w:val="auto"/>
        </w:rPr>
        <w:t xml:space="preserve">:             </w:t>
      </w:r>
      <w:r>
        <w:rPr>
          <w:rFonts w:hint="eastAsia" w:hAnsi="宋体"/>
          <w:color w:val="auto"/>
        </w:rPr>
        <w:t>包号</w:t>
      </w:r>
      <w:r>
        <w:rPr>
          <w:rFonts w:hAnsi="宋体"/>
          <w:color w:val="auto"/>
        </w:rPr>
        <w:t>:</w:t>
      </w:r>
    </w:p>
    <w:p>
      <w:pPr>
        <w:pStyle w:val="12"/>
        <w:spacing w:line="240" w:lineRule="atLeast"/>
        <w:ind w:left="1080" w:leftChars="257" w:hanging="540"/>
        <w:rPr>
          <w:rFonts w:hAnsi="宋体"/>
          <w:color w:val="auto"/>
        </w:rPr>
      </w:pPr>
    </w:p>
    <w:tbl>
      <w:tblPr>
        <w:tblStyle w:val="2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jc w:val="center"/>
              <w:rPr>
                <w:rFonts w:hAnsi="宋体" w:cs="Times New Roman"/>
                <w:color w:val="auto"/>
              </w:rPr>
            </w:pPr>
            <w:r>
              <w:rPr>
                <w:rFonts w:hint="eastAsia" w:hAnsi="宋体"/>
                <w:color w:val="auto"/>
              </w:rPr>
              <w:t>序号</w:t>
            </w:r>
          </w:p>
        </w:tc>
        <w:tc>
          <w:tcPr>
            <w:tcW w:w="2040" w:type="dxa"/>
          </w:tcPr>
          <w:p>
            <w:pPr>
              <w:pStyle w:val="12"/>
              <w:spacing w:line="240" w:lineRule="atLeast"/>
              <w:jc w:val="center"/>
              <w:rPr>
                <w:rFonts w:hAnsi="宋体" w:cs="Times New Roman"/>
                <w:color w:val="auto"/>
              </w:rPr>
            </w:pPr>
            <w:r>
              <w:rPr>
                <w:rFonts w:hint="eastAsia" w:hAnsi="宋体"/>
                <w:color w:val="auto"/>
              </w:rPr>
              <w:t>招标文件条款号</w:t>
            </w:r>
          </w:p>
        </w:tc>
        <w:tc>
          <w:tcPr>
            <w:tcW w:w="2520" w:type="dxa"/>
          </w:tcPr>
          <w:p>
            <w:pPr>
              <w:pStyle w:val="12"/>
              <w:spacing w:line="240" w:lineRule="atLeast"/>
              <w:jc w:val="center"/>
              <w:rPr>
                <w:rFonts w:hAnsi="宋体" w:cs="Times New Roman"/>
                <w:color w:val="auto"/>
              </w:rPr>
            </w:pPr>
            <w:r>
              <w:rPr>
                <w:rFonts w:hint="eastAsia" w:hAnsi="宋体"/>
                <w:color w:val="auto"/>
              </w:rPr>
              <w:t>招标文件的商务条款</w:t>
            </w:r>
          </w:p>
        </w:tc>
        <w:tc>
          <w:tcPr>
            <w:tcW w:w="2520" w:type="dxa"/>
          </w:tcPr>
          <w:p>
            <w:pPr>
              <w:pStyle w:val="12"/>
              <w:spacing w:line="240" w:lineRule="atLeast"/>
              <w:jc w:val="center"/>
              <w:rPr>
                <w:rFonts w:hAnsi="宋体" w:cs="Times New Roman"/>
                <w:color w:val="auto"/>
              </w:rPr>
            </w:pPr>
            <w:r>
              <w:rPr>
                <w:rFonts w:hint="eastAsia" w:hAnsi="宋体"/>
                <w:color w:val="auto"/>
              </w:rPr>
              <w:t>投标文件的商务条款</w:t>
            </w:r>
          </w:p>
        </w:tc>
        <w:tc>
          <w:tcPr>
            <w:tcW w:w="1014" w:type="dxa"/>
          </w:tcPr>
          <w:p>
            <w:pPr>
              <w:pStyle w:val="12"/>
              <w:spacing w:line="240" w:lineRule="atLeast"/>
              <w:jc w:val="center"/>
              <w:rPr>
                <w:rFonts w:hAnsi="宋体" w:cs="Times New Roman"/>
                <w:color w:val="auto"/>
              </w:rPr>
            </w:pPr>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jc w:val="center"/>
              <w:rPr>
                <w:rFonts w:hAnsi="宋体" w:cs="Times New Roman"/>
                <w:color w:val="auto"/>
              </w:rPr>
            </w:pPr>
          </w:p>
        </w:tc>
        <w:tc>
          <w:tcPr>
            <w:tcW w:w="2520" w:type="dxa"/>
          </w:tcPr>
          <w:p>
            <w:pPr>
              <w:pStyle w:val="12"/>
              <w:spacing w:line="240" w:lineRule="atLeast"/>
              <w:ind w:left="1080" w:leftChars="257" w:hanging="540"/>
              <w:jc w:val="center"/>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2"/>
              <w:spacing w:line="240" w:lineRule="atLeast"/>
              <w:ind w:left="1080" w:leftChars="257" w:hanging="540"/>
              <w:rPr>
                <w:rFonts w:hAnsi="宋体" w:cs="Times New Roman"/>
                <w:color w:val="auto"/>
              </w:rPr>
            </w:pPr>
          </w:p>
        </w:tc>
        <w:tc>
          <w:tcPr>
            <w:tcW w:w="204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2520" w:type="dxa"/>
          </w:tcPr>
          <w:p>
            <w:pPr>
              <w:pStyle w:val="12"/>
              <w:spacing w:line="240" w:lineRule="atLeast"/>
              <w:ind w:left="1080" w:leftChars="257" w:hanging="540"/>
              <w:rPr>
                <w:rFonts w:hAnsi="宋体" w:cs="Times New Roman"/>
                <w:color w:val="auto"/>
              </w:rPr>
            </w:pPr>
          </w:p>
        </w:tc>
        <w:tc>
          <w:tcPr>
            <w:tcW w:w="1014" w:type="dxa"/>
          </w:tcPr>
          <w:p>
            <w:pPr>
              <w:pStyle w:val="12"/>
              <w:spacing w:line="240" w:lineRule="atLeast"/>
              <w:ind w:left="1080" w:leftChars="257" w:hanging="540"/>
              <w:rPr>
                <w:rFonts w:hAnsi="宋体" w:cs="Times New Roman"/>
                <w:color w:val="auto"/>
              </w:rPr>
            </w:pPr>
          </w:p>
        </w:tc>
      </w:tr>
    </w:tbl>
    <w:p>
      <w:pPr>
        <w:pStyle w:val="12"/>
        <w:spacing w:line="240" w:lineRule="atLeast"/>
        <w:ind w:left="1080" w:leftChars="257" w:hanging="540"/>
        <w:rPr>
          <w:rFonts w:hAnsi="宋体" w:cs="Times New Roman"/>
          <w:color w:val="auto"/>
        </w:rPr>
      </w:pPr>
    </w:p>
    <w:p>
      <w:pPr>
        <w:pStyle w:val="12"/>
        <w:spacing w:line="240" w:lineRule="atLeast"/>
        <w:ind w:left="1080" w:leftChars="257" w:hanging="540"/>
        <w:rPr>
          <w:rFonts w:hAnsi="宋体" w:cs="Times New Roman"/>
          <w:color w:val="auto"/>
        </w:rPr>
      </w:pPr>
    </w:p>
    <w:p>
      <w:pPr>
        <w:pStyle w:val="12"/>
        <w:spacing w:line="240" w:lineRule="atLeast"/>
        <w:ind w:left="1080" w:leftChars="257" w:hanging="540"/>
        <w:rPr>
          <w:rFonts w:hAnsi="宋体" w:cs="Times New Roman"/>
          <w:color w:val="auto"/>
        </w:rPr>
      </w:pPr>
      <w:r>
        <w:rPr>
          <w:rFonts w:hint="eastAsia" w:hAnsi="宋体"/>
          <w:color w:val="auto"/>
        </w:rPr>
        <w:t>法定代表人或其委托代理人（签</w:t>
      </w:r>
      <w:r>
        <w:rPr>
          <w:rFonts w:hAnsi="宋体"/>
          <w:color w:val="auto"/>
        </w:rPr>
        <w:t>/</w:t>
      </w:r>
      <w:r>
        <w:rPr>
          <w:rFonts w:hint="eastAsia" w:hAnsi="宋体"/>
          <w:color w:val="auto"/>
        </w:rPr>
        <w:t>章）</w:t>
      </w:r>
      <w:r>
        <w:rPr>
          <w:rFonts w:hAnsi="宋体"/>
          <w:color w:val="auto"/>
        </w:rPr>
        <w:t>:</w:t>
      </w:r>
      <w:r>
        <w:rPr>
          <w:rFonts w:hAnsi="宋体"/>
          <w:color w:val="auto"/>
          <w:u w:val="single"/>
        </w:rPr>
        <w:t xml:space="preserve"> </w:t>
      </w:r>
      <w:r>
        <w:rPr>
          <w:rFonts w:hAnsi="宋体"/>
          <w:color w:val="auto"/>
          <w:u w:val="single"/>
        </w:rPr>
        <w:tab/>
      </w:r>
      <w:r>
        <w:rPr>
          <w:rFonts w:hAnsi="宋体"/>
          <w:color w:val="auto"/>
          <w:u w:val="single"/>
        </w:rPr>
        <w:t xml:space="preserve">                 </w:t>
      </w:r>
    </w:p>
    <w:p>
      <w:pPr>
        <w:pStyle w:val="12"/>
        <w:tabs>
          <w:tab w:val="left" w:pos="5370"/>
        </w:tabs>
        <w:spacing w:line="240" w:lineRule="atLeast"/>
        <w:ind w:left="1080" w:leftChars="257" w:hanging="540"/>
        <w:rPr>
          <w:rFonts w:hAnsi="宋体" w:cs="Times New Roman"/>
          <w:color w:val="auto"/>
          <w:u w:val="single"/>
        </w:rPr>
      </w:pPr>
      <w:r>
        <w:rPr>
          <w:rFonts w:hint="eastAsia" w:hAnsi="宋体"/>
          <w:color w:val="auto"/>
        </w:rPr>
        <w:t>供应商</w:t>
      </w:r>
      <w:r>
        <w:rPr>
          <w:rFonts w:hAnsi="宋体"/>
          <w:color w:val="auto"/>
        </w:rPr>
        <w:t>(</w:t>
      </w:r>
      <w:r>
        <w:rPr>
          <w:rFonts w:hint="eastAsia" w:hAnsi="宋体"/>
          <w:color w:val="auto"/>
        </w:rPr>
        <w:t>公章</w:t>
      </w:r>
      <w:r>
        <w:rPr>
          <w:rFonts w:hAnsi="宋体"/>
          <w:color w:val="auto"/>
        </w:rPr>
        <w:t>):</w:t>
      </w:r>
      <w:r>
        <w:rPr>
          <w:rFonts w:hAnsi="宋体" w:cs="Times New Roman"/>
          <w:color w:val="auto"/>
          <w:u w:val="single"/>
        </w:rPr>
        <w:tab/>
      </w:r>
    </w:p>
    <w:p>
      <w:pPr>
        <w:pStyle w:val="12"/>
        <w:spacing w:line="240" w:lineRule="atLeast"/>
        <w:ind w:left="1080" w:leftChars="257" w:hanging="540"/>
        <w:rPr>
          <w:rFonts w:hAnsi="宋体" w:cs="Times New Roman"/>
          <w:color w:val="auto"/>
        </w:rPr>
      </w:pPr>
      <w:r>
        <w:rPr>
          <w:rFonts w:hAnsi="宋体" w:cs="Times New Roman"/>
          <w:color w:val="auto"/>
          <w:u w:val="single"/>
        </w:rPr>
        <w:br w:type="page"/>
      </w:r>
    </w:p>
    <w:p>
      <w:pPr>
        <w:spacing w:line="240" w:lineRule="atLeast"/>
        <w:ind w:left="1080" w:leftChars="257" w:hanging="540"/>
        <w:jc w:val="center"/>
        <w:rPr>
          <w:rFonts w:ascii="宋体"/>
          <w:b/>
          <w:bCs/>
          <w:color w:val="auto"/>
          <w:kern w:val="0"/>
        </w:rPr>
      </w:pPr>
      <w:bookmarkStart w:id="615" w:name="_Hlt520350957"/>
      <w:bookmarkEnd w:id="615"/>
      <w:bookmarkStart w:id="616" w:name="_Hlt520343000"/>
      <w:bookmarkEnd w:id="616"/>
      <w:bookmarkStart w:id="617" w:name="_Hlt520343392"/>
      <w:bookmarkEnd w:id="617"/>
      <w:bookmarkStart w:id="618" w:name="_Hlt520273973"/>
      <w:bookmarkEnd w:id="618"/>
      <w:bookmarkStart w:id="619" w:name="_Hlt520350918"/>
      <w:bookmarkEnd w:id="619"/>
      <w:bookmarkStart w:id="620" w:name="_Hlt520271212"/>
      <w:bookmarkEnd w:id="620"/>
      <w:bookmarkStart w:id="621" w:name="_Hlt520273711"/>
      <w:bookmarkEnd w:id="621"/>
      <w:bookmarkStart w:id="622" w:name="_Hlt520274407"/>
      <w:bookmarkEnd w:id="622"/>
      <w:bookmarkStart w:id="623" w:name="_Hlt520274393"/>
      <w:bookmarkEnd w:id="623"/>
      <w:bookmarkStart w:id="624" w:name="_Hlt520274911"/>
      <w:bookmarkEnd w:id="624"/>
      <w:bookmarkStart w:id="625" w:name="_Hlt520274065"/>
      <w:bookmarkEnd w:id="625"/>
    </w:p>
    <w:p>
      <w:pPr>
        <w:pStyle w:val="4"/>
        <w:spacing w:before="0" w:line="240" w:lineRule="atLeast"/>
        <w:jc w:val="left"/>
        <w:rPr>
          <w:rFonts w:ascii="宋体" w:hAnsi="宋体" w:eastAsia="宋体" w:cs="Times New Roman"/>
          <w:b/>
          <w:bCs/>
          <w:color w:val="auto"/>
          <w:sz w:val="21"/>
          <w:szCs w:val="21"/>
        </w:rPr>
      </w:pPr>
      <w:bookmarkStart w:id="626" w:name="_Toc13462"/>
      <w:bookmarkStart w:id="627" w:name="_Toc16929"/>
      <w:bookmarkStart w:id="628" w:name="_Toc515647823"/>
      <w:bookmarkStart w:id="629" w:name="_Toc21312"/>
      <w:bookmarkStart w:id="630" w:name="_Toc21482"/>
      <w:bookmarkStart w:id="631" w:name="_Toc4073"/>
      <w:bookmarkStart w:id="632" w:name="_Toc6881"/>
      <w:bookmarkStart w:id="633" w:name="_Toc10079"/>
      <w:bookmarkStart w:id="634" w:name="_Toc3844"/>
      <w:bookmarkStart w:id="635" w:name="_Toc8638"/>
      <w:bookmarkStart w:id="636" w:name="_Toc10725"/>
      <w:bookmarkStart w:id="637" w:name="_Toc15213"/>
      <w:bookmarkStart w:id="638" w:name="_Toc17820"/>
      <w:bookmarkStart w:id="639" w:name="_Toc18923"/>
      <w:bookmarkStart w:id="640" w:name="_Toc13724"/>
      <w:r>
        <w:rPr>
          <w:rFonts w:ascii="宋体" w:hAnsi="宋体" w:eastAsia="宋体" w:cs="宋体"/>
          <w:color w:val="auto"/>
          <w:kern w:val="2"/>
          <w:sz w:val="21"/>
          <w:szCs w:val="21"/>
        </w:rPr>
        <w:t xml:space="preserve">6-1  </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Fonts w:hint="eastAsia" w:ascii="宋体" w:hAnsi="宋体" w:eastAsia="宋体" w:cs="宋体"/>
          <w:b/>
          <w:bCs/>
          <w:color w:val="auto"/>
          <w:sz w:val="21"/>
          <w:szCs w:val="21"/>
        </w:rPr>
        <w:t>中小企业声明函</w:t>
      </w:r>
      <w:bookmarkEnd w:id="640"/>
    </w:p>
    <w:p>
      <w:pPr>
        <w:spacing w:line="240" w:lineRule="atLeast"/>
        <w:ind w:left="1080" w:leftChars="257" w:hanging="540"/>
        <w:jc w:val="center"/>
        <w:rPr>
          <w:rFonts w:ascii="宋体"/>
          <w:b/>
          <w:bCs/>
          <w:color w:val="auto"/>
          <w:kern w:val="0"/>
        </w:rPr>
      </w:pPr>
    </w:p>
    <w:p>
      <w:pPr>
        <w:widowControl/>
        <w:spacing w:before="100" w:beforeAutospacing="1" w:after="100" w:afterAutospacing="1" w:line="330" w:lineRule="atLeast"/>
        <w:ind w:firstLine="420" w:firstLineChars="200"/>
        <w:jc w:val="left"/>
        <w:rPr>
          <w:rFonts w:ascii="宋体"/>
          <w:color w:val="auto"/>
          <w:kern w:val="0"/>
        </w:rPr>
      </w:pPr>
      <w:r>
        <w:rPr>
          <w:rFonts w:hint="eastAsia" w:ascii="宋体" w:hAnsi="宋体" w:cs="宋体"/>
          <w:color w:val="auto"/>
          <w:kern w:val="0"/>
        </w:rPr>
        <w:t>本公司（联合体）郑重声明，根据《政府采购促进中小企业发展管理办法》（财库﹝</w:t>
      </w:r>
      <w:r>
        <w:rPr>
          <w:rFonts w:ascii="宋体" w:hAnsi="宋体" w:cs="宋体"/>
          <w:color w:val="auto"/>
          <w:kern w:val="0"/>
        </w:rPr>
        <w:t>2020</w:t>
      </w:r>
      <w:r>
        <w:rPr>
          <w:rFonts w:hint="eastAsia" w:ascii="宋体" w:hAnsi="宋体" w:cs="宋体"/>
          <w:color w:val="auto"/>
          <w:kern w:val="0"/>
        </w:rPr>
        <w:t>﹞</w:t>
      </w:r>
      <w:r>
        <w:rPr>
          <w:rFonts w:ascii="宋体" w:hAnsi="宋体" w:cs="宋体"/>
          <w:color w:val="auto"/>
          <w:kern w:val="0"/>
        </w:rPr>
        <w:t xml:space="preserve">46 </w:t>
      </w:r>
      <w:r>
        <w:rPr>
          <w:rFonts w:hint="eastAsia" w:ascii="宋体" w:hAnsi="宋体" w:cs="宋体"/>
          <w:color w:val="auto"/>
          <w:kern w:val="0"/>
        </w:rPr>
        <w:t>号）的规定，本公司（联合体）参加</w:t>
      </w:r>
      <w:r>
        <w:rPr>
          <w:rFonts w:ascii="宋体" w:hAnsi="宋体" w:cs="宋体"/>
          <w:color w:val="auto"/>
          <w:kern w:val="0"/>
          <w:u w:val="single"/>
        </w:rPr>
        <w:t xml:space="preserve"> </w:t>
      </w:r>
      <w:r>
        <w:rPr>
          <w:rFonts w:hint="eastAsia" w:ascii="宋体" w:hAnsi="宋体" w:cs="宋体"/>
          <w:color w:val="auto"/>
          <w:kern w:val="0"/>
          <w:u w:val="single"/>
        </w:rPr>
        <w:t>（采购人名称）</w:t>
      </w:r>
      <w:r>
        <w:rPr>
          <w:rFonts w:ascii="宋体" w:hAnsi="宋体" w:cs="宋体"/>
          <w:color w:val="auto"/>
          <w:kern w:val="0"/>
          <w:u w:val="single"/>
        </w:rPr>
        <w:t xml:space="preserve">  </w:t>
      </w:r>
      <w:r>
        <w:rPr>
          <w:rFonts w:hint="eastAsia" w:ascii="宋体" w:hAnsi="宋体" w:cs="宋体"/>
          <w:color w:val="auto"/>
          <w:kern w:val="0"/>
        </w:rPr>
        <w:t>的</w:t>
      </w:r>
      <w:r>
        <w:rPr>
          <w:rFonts w:ascii="宋体" w:hAnsi="宋体" w:cs="宋体"/>
          <w:color w:val="auto"/>
          <w:kern w:val="0"/>
          <w:u w:val="single"/>
        </w:rPr>
        <w:t xml:space="preserve">  </w:t>
      </w:r>
      <w:r>
        <w:rPr>
          <w:rFonts w:hint="eastAsia" w:ascii="宋体" w:hAnsi="宋体" w:cs="宋体"/>
          <w:color w:val="auto"/>
          <w:kern w:val="0"/>
          <w:u w:val="single"/>
        </w:rPr>
        <w:t>（项目名称）</w:t>
      </w:r>
      <w:r>
        <w:rPr>
          <w:rFonts w:ascii="宋体" w:hAnsi="宋体" w:cs="宋体"/>
          <w:color w:val="auto"/>
          <w:kern w:val="0"/>
          <w:u w:val="single"/>
        </w:rPr>
        <w:t xml:space="preserve">  </w:t>
      </w:r>
      <w:r>
        <w:rPr>
          <w:rFonts w:hint="eastAsia" w:ascii="宋体" w:hAnsi="宋体" w:cs="宋体"/>
          <w:color w:val="auto"/>
          <w:kern w:val="0"/>
        </w:rPr>
        <w:t>采购活动，提供的货物全部由符合政策要求的中小企业制造。相关企业（含联合体中的中小企业、签订分包意向协议的中小企业）的具体情况如下：</w:t>
      </w:r>
    </w:p>
    <w:p>
      <w:pPr>
        <w:pStyle w:val="16"/>
        <w:numPr>
          <w:ilvl w:val="0"/>
          <w:numId w:val="7"/>
        </w:numPr>
        <w:ind w:left="31680" w:hanging="840" w:hangingChars="400"/>
        <w:rPr>
          <w:rFonts w:ascii="宋体"/>
          <w:color w:val="auto"/>
          <w:kern w:val="0"/>
          <w:sz w:val="21"/>
          <w:szCs w:val="21"/>
        </w:rPr>
      </w:pPr>
      <w:r>
        <w:rPr>
          <w:rFonts w:hint="eastAsia" w:ascii="宋体" w:hAnsi="宋体" w:cs="宋体"/>
          <w:color w:val="auto"/>
          <w:kern w:val="0"/>
          <w:sz w:val="21"/>
          <w:szCs w:val="21"/>
          <w:u w:val="single"/>
        </w:rPr>
        <w:t>（项目名称）</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w:t>
      </w:r>
      <w:r>
        <w:rPr>
          <w:rFonts w:hint="eastAsia" w:ascii="宋体" w:hAnsi="宋体" w:cs="宋体"/>
          <w:color w:val="auto"/>
          <w:kern w:val="0"/>
          <w:sz w:val="21"/>
          <w:szCs w:val="21"/>
        </w:rPr>
        <w:t>属于</w:t>
      </w:r>
      <w:r>
        <w:rPr>
          <w:rFonts w:hint="eastAsia" w:ascii="宋体" w:hAnsi="宋体" w:cs="宋体"/>
          <w:color w:val="auto"/>
          <w:kern w:val="0"/>
          <w:sz w:val="21"/>
          <w:szCs w:val="21"/>
          <w:u w:val="single"/>
        </w:rPr>
        <w:t>（采购文件中明确的所属行业）</w:t>
      </w:r>
      <w:r>
        <w:rPr>
          <w:rFonts w:ascii="宋体" w:hAnsi="宋体" w:cs="宋体"/>
          <w:color w:val="auto"/>
          <w:kern w:val="0"/>
          <w:sz w:val="21"/>
          <w:szCs w:val="21"/>
          <w:u w:val="single"/>
        </w:rPr>
        <w:t xml:space="preserve">   </w:t>
      </w:r>
      <w:r>
        <w:rPr>
          <w:rFonts w:hint="eastAsia" w:ascii="宋体" w:hAnsi="宋体" w:cs="宋体"/>
          <w:color w:val="auto"/>
          <w:kern w:val="0"/>
          <w:sz w:val="21"/>
          <w:szCs w:val="21"/>
        </w:rPr>
        <w:t>，制造商为</w:t>
      </w:r>
      <w:r>
        <w:rPr>
          <w:rFonts w:hint="eastAsia" w:ascii="宋体" w:hAnsi="宋体" w:cs="宋体"/>
          <w:color w:val="auto"/>
          <w:kern w:val="0"/>
          <w:sz w:val="21"/>
          <w:szCs w:val="21"/>
          <w:u w:val="single"/>
        </w:rPr>
        <w:t>（企业名称），</w:t>
      </w:r>
      <w:r>
        <w:rPr>
          <w:rFonts w:hint="eastAsia" w:ascii="宋体" w:hAnsi="宋体" w:cs="宋体"/>
          <w:color w:val="auto"/>
          <w:kern w:val="0"/>
          <w:sz w:val="21"/>
          <w:szCs w:val="21"/>
        </w:rPr>
        <w:t>从业人员人，营业收入为</w:t>
      </w:r>
      <w:r>
        <w:rPr>
          <w:rFonts w:ascii="宋体" w:hAnsi="宋体" w:cs="宋体"/>
          <w:color w:val="auto"/>
          <w:kern w:val="0"/>
          <w:sz w:val="21"/>
          <w:szCs w:val="21"/>
          <w:u w:val="single"/>
        </w:rPr>
        <w:t xml:space="preserve">         </w:t>
      </w:r>
      <w:r>
        <w:rPr>
          <w:rFonts w:ascii="宋体" w:hAnsi="宋体" w:cs="宋体"/>
          <w:color w:val="auto"/>
          <w:kern w:val="0"/>
          <w:sz w:val="21"/>
          <w:szCs w:val="21"/>
          <w:u w:val="single"/>
        </w:rPr>
        <w:tab/>
      </w:r>
      <w:r>
        <w:rPr>
          <w:rFonts w:hint="eastAsia" w:ascii="宋体" w:hAnsi="宋体" w:cs="宋体"/>
          <w:color w:val="auto"/>
          <w:kern w:val="0"/>
          <w:sz w:val="21"/>
          <w:szCs w:val="21"/>
        </w:rPr>
        <w:t>万元，资产总额为</w:t>
      </w:r>
      <w:r>
        <w:rPr>
          <w:rFonts w:ascii="宋体" w:hAnsi="宋体" w:cs="宋体"/>
          <w:color w:val="auto"/>
          <w:kern w:val="0"/>
          <w:sz w:val="21"/>
          <w:szCs w:val="21"/>
          <w:u w:val="single"/>
        </w:rPr>
        <w:t xml:space="preserve">      </w:t>
      </w:r>
      <w:r>
        <w:rPr>
          <w:rFonts w:ascii="宋体" w:hAnsi="宋体" w:cs="宋体"/>
          <w:color w:val="auto"/>
          <w:kern w:val="0"/>
          <w:sz w:val="21"/>
          <w:szCs w:val="21"/>
          <w:u w:val="single"/>
        </w:rPr>
        <w:tab/>
      </w:r>
      <w:r>
        <w:rPr>
          <w:rFonts w:hint="eastAsia" w:ascii="宋体" w:hAnsi="宋体" w:cs="宋体"/>
          <w:color w:val="auto"/>
          <w:kern w:val="0"/>
          <w:sz w:val="21"/>
          <w:szCs w:val="21"/>
        </w:rPr>
        <w:t>万元，属于</w:t>
      </w:r>
      <w:r>
        <w:rPr>
          <w:rFonts w:hint="eastAsia" w:ascii="宋体" w:hAnsi="宋体" w:cs="宋体"/>
          <w:color w:val="auto"/>
          <w:kern w:val="0"/>
          <w:sz w:val="21"/>
          <w:szCs w:val="21"/>
          <w:u w:val="single"/>
        </w:rPr>
        <w:t>（中型企业、小型企业、微型企业）</w:t>
      </w:r>
      <w:r>
        <w:rPr>
          <w:rFonts w:ascii="宋体" w:hAnsi="宋体" w:cs="宋体"/>
          <w:color w:val="auto"/>
          <w:kern w:val="0"/>
          <w:sz w:val="21"/>
          <w:szCs w:val="21"/>
          <w:u w:val="single"/>
        </w:rPr>
        <w:t xml:space="preserve">  </w:t>
      </w:r>
      <w:r>
        <w:rPr>
          <w:rFonts w:hint="eastAsia" w:ascii="宋体" w:hAnsi="宋体" w:cs="宋体"/>
          <w:color w:val="auto"/>
          <w:kern w:val="0"/>
          <w:sz w:val="21"/>
          <w:szCs w:val="21"/>
        </w:rPr>
        <w:t>；</w:t>
      </w:r>
    </w:p>
    <w:p>
      <w:pPr>
        <w:pStyle w:val="16"/>
        <w:numPr>
          <w:ilvl w:val="0"/>
          <w:numId w:val="7"/>
        </w:numPr>
        <w:ind w:left="31680" w:hanging="840" w:hangingChars="400"/>
        <w:rPr>
          <w:rFonts w:ascii="宋体"/>
          <w:color w:val="auto"/>
          <w:kern w:val="0"/>
          <w:sz w:val="21"/>
          <w:szCs w:val="21"/>
        </w:rPr>
      </w:pPr>
      <w:r>
        <w:rPr>
          <w:rFonts w:ascii="宋体" w:hAnsi="宋体" w:cs="宋体"/>
          <w:color w:val="auto"/>
          <w:kern w:val="0"/>
          <w:sz w:val="21"/>
          <w:szCs w:val="21"/>
        </w:rPr>
        <w:t xml:space="preserve"> </w:t>
      </w:r>
      <w:r>
        <w:rPr>
          <w:rFonts w:hint="eastAsia" w:ascii="宋体" w:hAnsi="宋体" w:cs="宋体"/>
          <w:color w:val="auto"/>
          <w:kern w:val="0"/>
          <w:sz w:val="21"/>
          <w:szCs w:val="21"/>
          <w:u w:val="single"/>
        </w:rPr>
        <w:t>（</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标</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的</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名</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称</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w:t>
      </w:r>
      <w:r>
        <w:rPr>
          <w:rFonts w:ascii="宋体" w:hAnsi="宋体" w:cs="宋体"/>
          <w:color w:val="auto"/>
          <w:kern w:val="0"/>
          <w:sz w:val="21"/>
          <w:szCs w:val="21"/>
          <w:u w:val="single"/>
        </w:rPr>
        <w:t xml:space="preserve">  </w:t>
      </w:r>
      <w:r>
        <w:rPr>
          <w:rFonts w:hint="eastAsia" w:ascii="宋体" w:hAnsi="宋体" w:cs="宋体"/>
          <w:color w:val="auto"/>
          <w:kern w:val="0"/>
          <w:sz w:val="21"/>
          <w:szCs w:val="21"/>
        </w:rPr>
        <w:t>，</w:t>
      </w:r>
      <w:r>
        <w:rPr>
          <w:rFonts w:ascii="宋体" w:hAnsi="宋体" w:cs="宋体"/>
          <w:color w:val="auto"/>
          <w:kern w:val="0"/>
          <w:sz w:val="21"/>
          <w:szCs w:val="21"/>
        </w:rPr>
        <w:t xml:space="preserve"> </w:t>
      </w:r>
      <w:r>
        <w:rPr>
          <w:rFonts w:hint="eastAsia" w:ascii="宋体" w:hAnsi="宋体" w:cs="宋体"/>
          <w:color w:val="auto"/>
          <w:kern w:val="0"/>
          <w:sz w:val="21"/>
          <w:szCs w:val="21"/>
        </w:rPr>
        <w:t>属</w:t>
      </w:r>
      <w:r>
        <w:rPr>
          <w:rFonts w:ascii="宋体" w:hAnsi="宋体" w:cs="宋体"/>
          <w:color w:val="auto"/>
          <w:kern w:val="0"/>
          <w:sz w:val="21"/>
          <w:szCs w:val="21"/>
        </w:rPr>
        <w:t xml:space="preserve"> </w:t>
      </w:r>
      <w:r>
        <w:rPr>
          <w:rFonts w:hint="eastAsia" w:ascii="宋体" w:hAnsi="宋体" w:cs="宋体"/>
          <w:color w:val="auto"/>
          <w:kern w:val="0"/>
          <w:sz w:val="21"/>
          <w:szCs w:val="21"/>
        </w:rPr>
        <w:t>于</w:t>
      </w:r>
      <w:r>
        <w:rPr>
          <w:rFonts w:ascii="宋体" w:hAnsi="宋体" w:cs="宋体"/>
          <w:color w:val="auto"/>
          <w:kern w:val="0"/>
          <w:sz w:val="21"/>
          <w:szCs w:val="21"/>
        </w:rPr>
        <w:t xml:space="preserve"> </w:t>
      </w:r>
      <w:r>
        <w:rPr>
          <w:rFonts w:hint="eastAsia" w:ascii="宋体" w:hAnsi="宋体" w:cs="宋体"/>
          <w:color w:val="auto"/>
          <w:kern w:val="0"/>
          <w:sz w:val="21"/>
          <w:szCs w:val="21"/>
          <w:u w:val="single"/>
        </w:rPr>
        <w:t>（</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采</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购</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文</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件</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中</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明</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确</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的</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所</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属</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行</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业</w:t>
      </w:r>
      <w:r>
        <w:rPr>
          <w:rFonts w:ascii="宋体" w:hAnsi="宋体" w:cs="宋体"/>
          <w:color w:val="auto"/>
          <w:kern w:val="0"/>
          <w:sz w:val="21"/>
          <w:szCs w:val="21"/>
          <w:u w:val="single"/>
        </w:rPr>
        <w:t xml:space="preserve"> </w:t>
      </w:r>
      <w:r>
        <w:rPr>
          <w:rFonts w:hint="eastAsia" w:ascii="宋体" w:hAnsi="宋体" w:cs="宋体"/>
          <w:color w:val="auto"/>
          <w:kern w:val="0"/>
          <w:sz w:val="21"/>
          <w:szCs w:val="21"/>
          <w:u w:val="single"/>
        </w:rPr>
        <w:t>）</w:t>
      </w:r>
      <w:r>
        <w:rPr>
          <w:rFonts w:ascii="宋体" w:hAnsi="宋体" w:cs="宋体"/>
          <w:color w:val="auto"/>
          <w:kern w:val="0"/>
          <w:sz w:val="21"/>
          <w:szCs w:val="21"/>
          <w:u w:val="single"/>
        </w:rPr>
        <w:t xml:space="preserve">   </w:t>
      </w:r>
      <w:r>
        <w:rPr>
          <w:rFonts w:hint="eastAsia" w:ascii="宋体" w:hAnsi="宋体" w:cs="宋体"/>
          <w:color w:val="auto"/>
          <w:kern w:val="0"/>
          <w:sz w:val="21"/>
          <w:szCs w:val="21"/>
        </w:rPr>
        <w:t>行业；制造商为（企业名称），从业人员</w:t>
      </w:r>
      <w:r>
        <w:rPr>
          <w:rFonts w:ascii="宋体" w:hAnsi="宋体" w:cs="宋体"/>
          <w:color w:val="auto"/>
          <w:kern w:val="0"/>
          <w:sz w:val="21"/>
          <w:szCs w:val="21"/>
        </w:rPr>
        <w:t xml:space="preserve"> </w:t>
      </w:r>
      <w:r>
        <w:rPr>
          <w:rFonts w:ascii="宋体" w:hAnsi="宋体" w:cs="宋体"/>
          <w:color w:val="auto"/>
          <w:kern w:val="0"/>
          <w:sz w:val="21"/>
          <w:szCs w:val="21"/>
        </w:rPr>
        <w:tab/>
      </w:r>
      <w:r>
        <w:rPr>
          <w:rFonts w:hint="eastAsia" w:ascii="宋体" w:hAnsi="宋体" w:cs="宋体"/>
          <w:color w:val="auto"/>
          <w:kern w:val="0"/>
          <w:sz w:val="21"/>
          <w:szCs w:val="21"/>
        </w:rPr>
        <w:t>人，营业收入为</w:t>
      </w:r>
      <w:r>
        <w:rPr>
          <w:rFonts w:ascii="宋体" w:hAnsi="宋体" w:cs="宋体"/>
          <w:color w:val="auto"/>
          <w:kern w:val="0"/>
          <w:sz w:val="21"/>
          <w:szCs w:val="21"/>
        </w:rPr>
        <w:t xml:space="preserve"> </w:t>
      </w:r>
      <w:r>
        <w:rPr>
          <w:rFonts w:ascii="宋体" w:hAnsi="宋体" w:cs="宋体"/>
          <w:color w:val="auto"/>
          <w:kern w:val="0"/>
          <w:sz w:val="21"/>
          <w:szCs w:val="21"/>
        </w:rPr>
        <w:tab/>
      </w:r>
      <w:r>
        <w:rPr>
          <w:rFonts w:hint="eastAsia" w:ascii="宋体" w:hAnsi="宋体" w:cs="宋体"/>
          <w:color w:val="auto"/>
          <w:kern w:val="0"/>
          <w:sz w:val="21"/>
          <w:szCs w:val="21"/>
        </w:rPr>
        <w:t>万元，资产总额为</w:t>
      </w:r>
      <w:r>
        <w:rPr>
          <w:rFonts w:ascii="宋体" w:hAnsi="宋体" w:cs="宋体"/>
          <w:color w:val="auto"/>
          <w:kern w:val="0"/>
          <w:sz w:val="21"/>
          <w:szCs w:val="21"/>
        </w:rPr>
        <w:t xml:space="preserve"> </w:t>
      </w:r>
      <w:r>
        <w:rPr>
          <w:rFonts w:ascii="宋体" w:hAnsi="宋体" w:cs="宋体"/>
          <w:color w:val="auto"/>
          <w:kern w:val="0"/>
          <w:sz w:val="21"/>
          <w:szCs w:val="21"/>
        </w:rPr>
        <w:tab/>
      </w:r>
      <w:r>
        <w:rPr>
          <w:rFonts w:hint="eastAsia" w:ascii="宋体" w:hAnsi="宋体" w:cs="宋体"/>
          <w:color w:val="auto"/>
          <w:kern w:val="0"/>
          <w:sz w:val="21"/>
          <w:szCs w:val="21"/>
        </w:rPr>
        <w:t>万元，属于（中型企业、小型企业、微型企业）；</w:t>
      </w:r>
    </w:p>
    <w:p>
      <w:pPr>
        <w:pStyle w:val="9"/>
        <w:ind w:left="860"/>
        <w:rPr>
          <w:rFonts w:cs="Times New Roman"/>
          <w:color w:val="auto"/>
        </w:rPr>
      </w:pPr>
      <w:r>
        <w:rPr>
          <w:rFonts w:hint="eastAsia"/>
          <w:color w:val="auto"/>
        </w:rPr>
        <w:t>……</w:t>
      </w:r>
    </w:p>
    <w:p>
      <w:pPr>
        <w:pStyle w:val="9"/>
        <w:spacing w:before="105" w:line="304" w:lineRule="auto"/>
        <w:ind w:right="417" w:firstLine="645"/>
        <w:rPr>
          <w:rFonts w:cs="Times New Roman"/>
          <w:color w:val="auto"/>
          <w:kern w:val="0"/>
          <w:sz w:val="21"/>
          <w:szCs w:val="21"/>
        </w:rPr>
      </w:pPr>
      <w:r>
        <w:rPr>
          <w:rFonts w:hint="eastAsia"/>
          <w:color w:val="auto"/>
          <w:kern w:val="0"/>
          <w:sz w:val="21"/>
          <w:szCs w:val="21"/>
        </w:rPr>
        <w:t>以上企业，不属于大企业的分支机构，不存在控股股东为大企业的情形，也不存在与大企业的负责人为同一人的情形。</w:t>
      </w:r>
    </w:p>
    <w:p>
      <w:pPr>
        <w:pStyle w:val="9"/>
        <w:spacing w:line="302" w:lineRule="auto"/>
        <w:ind w:right="372" w:firstLine="645"/>
        <w:rPr>
          <w:rFonts w:cs="Times New Roman"/>
          <w:color w:val="auto"/>
          <w:kern w:val="0"/>
          <w:sz w:val="21"/>
          <w:szCs w:val="21"/>
        </w:rPr>
      </w:pPr>
      <w:r>
        <w:rPr>
          <w:rFonts w:hint="eastAsia"/>
          <w:color w:val="auto"/>
          <w:kern w:val="0"/>
          <w:sz w:val="21"/>
          <w:szCs w:val="21"/>
        </w:rPr>
        <w:t>本企业对上述声明内容的真实性负责。如有虚假，将依法承担相应责任。</w:t>
      </w:r>
    </w:p>
    <w:p>
      <w:pPr>
        <w:pStyle w:val="16"/>
        <w:ind w:left="-840" w:leftChars="-400"/>
        <w:rPr>
          <w:rFonts w:ascii="宋体"/>
          <w:color w:val="auto"/>
          <w:kern w:val="0"/>
          <w:sz w:val="21"/>
          <w:szCs w:val="21"/>
        </w:rPr>
      </w:pPr>
    </w:p>
    <w:p>
      <w:pPr>
        <w:widowControl/>
        <w:spacing w:before="100" w:beforeAutospacing="1" w:after="100" w:afterAutospacing="1" w:line="330" w:lineRule="atLeast"/>
        <w:jc w:val="left"/>
        <w:rPr>
          <w:rFonts w:ascii="宋体"/>
          <w:color w:val="auto"/>
          <w:kern w:val="0"/>
        </w:rPr>
      </w:pPr>
    </w:p>
    <w:p>
      <w:pPr>
        <w:widowControl/>
        <w:spacing w:before="100" w:beforeAutospacing="1" w:after="100" w:afterAutospacing="1" w:line="330" w:lineRule="atLeast"/>
        <w:ind w:firstLine="2730" w:firstLineChars="1300"/>
        <w:jc w:val="left"/>
        <w:rPr>
          <w:rFonts w:ascii="宋体"/>
          <w:color w:val="auto"/>
          <w:kern w:val="0"/>
        </w:rPr>
      </w:pPr>
      <w:r>
        <w:rPr>
          <w:rFonts w:hint="eastAsia" w:ascii="宋体" w:hAnsi="宋体" w:cs="宋体"/>
          <w:color w:val="auto"/>
          <w:kern w:val="0"/>
        </w:rPr>
        <w:t>供应商名称（公章）：</w:t>
      </w:r>
      <w:r>
        <w:rPr>
          <w:rFonts w:ascii="宋体" w:hAnsi="宋体" w:cs="宋体"/>
          <w:color w:val="auto"/>
          <w:kern w:val="0"/>
        </w:rPr>
        <w:t xml:space="preserve">___________ </w:t>
      </w:r>
    </w:p>
    <w:p>
      <w:pPr>
        <w:widowControl/>
        <w:spacing w:before="100" w:beforeAutospacing="1" w:after="100" w:afterAutospacing="1" w:line="330" w:lineRule="atLeast"/>
        <w:ind w:firstLine="2730" w:firstLineChars="1300"/>
        <w:jc w:val="left"/>
        <w:rPr>
          <w:rFonts w:ascii="宋体"/>
          <w:color w:val="auto"/>
          <w:kern w:val="0"/>
        </w:rPr>
      </w:pPr>
      <w:r>
        <w:rPr>
          <w:rFonts w:hint="eastAsia" w:ascii="宋体" w:hAnsi="宋体" w:cs="宋体"/>
          <w:color w:val="auto"/>
          <w:kern w:val="0"/>
        </w:rPr>
        <w:t>日　期：</w:t>
      </w:r>
      <w:r>
        <w:rPr>
          <w:rFonts w:ascii="宋体" w:hAnsi="宋体" w:cs="宋体"/>
          <w:color w:val="auto"/>
          <w:kern w:val="0"/>
        </w:rPr>
        <w:t xml:space="preserve">____________          </w:t>
      </w:r>
    </w:p>
    <w:p>
      <w:pPr>
        <w:widowControl/>
        <w:spacing w:before="100" w:beforeAutospacing="1" w:after="100" w:afterAutospacing="1" w:line="330" w:lineRule="atLeast"/>
        <w:ind w:firstLine="2730" w:firstLineChars="1300"/>
        <w:jc w:val="left"/>
        <w:rPr>
          <w:rFonts w:ascii="宋体"/>
          <w:color w:val="auto"/>
          <w:kern w:val="0"/>
        </w:rPr>
      </w:pPr>
      <w:r>
        <w:rPr>
          <w:rFonts w:ascii="宋体" w:hAnsi="宋体" w:cs="宋体"/>
          <w:color w:val="auto"/>
          <w:kern w:val="0"/>
        </w:rPr>
        <w:t xml:space="preserve">           </w:t>
      </w:r>
    </w:p>
    <w:p>
      <w:pPr>
        <w:pStyle w:val="16"/>
        <w:rPr>
          <w:rFonts w:ascii="宋体"/>
          <w:b/>
          <w:bCs/>
          <w:color w:val="auto"/>
          <w:kern w:val="0"/>
          <w:sz w:val="21"/>
          <w:szCs w:val="21"/>
        </w:rPr>
      </w:pPr>
      <w:r>
        <w:rPr>
          <w:rFonts w:hint="eastAsia" w:ascii="宋体" w:hAnsi="宋体" w:cs="宋体"/>
          <w:b/>
          <w:bCs/>
          <w:color w:val="auto"/>
          <w:kern w:val="0"/>
          <w:sz w:val="21"/>
          <w:szCs w:val="21"/>
        </w:rPr>
        <w:t>注：须附从业人员、营业收入、资产总额填报上一年度数据，无上一年度数据的新成立企业可不填报。</w:t>
      </w:r>
    </w:p>
    <w:p>
      <w:pPr>
        <w:rPr>
          <w:rFonts w:ascii="宋体"/>
          <w:color w:val="auto"/>
        </w:rPr>
      </w:pPr>
    </w:p>
    <w:p>
      <w:pPr>
        <w:widowControl/>
        <w:spacing w:before="100" w:beforeAutospacing="1" w:after="100" w:afterAutospacing="1" w:line="330" w:lineRule="atLeast"/>
        <w:ind w:firstLine="2730" w:firstLineChars="1300"/>
        <w:jc w:val="right"/>
        <w:rPr>
          <w:rFonts w:ascii="宋体"/>
          <w:color w:val="auto"/>
        </w:rPr>
      </w:pPr>
      <w:r>
        <w:rPr>
          <w:rFonts w:ascii="宋体" w:hAnsi="宋体" w:cs="宋体"/>
          <w:color w:val="auto"/>
        </w:rPr>
        <w:t xml:space="preserve">                 </w:t>
      </w:r>
    </w:p>
    <w:p>
      <w:pPr>
        <w:widowControl/>
        <w:spacing w:before="100" w:beforeAutospacing="1" w:after="100" w:afterAutospacing="1" w:line="330" w:lineRule="atLeast"/>
        <w:ind w:firstLine="420"/>
        <w:jc w:val="left"/>
        <w:rPr>
          <w:rFonts w:ascii="宋体"/>
          <w:color w:val="auto"/>
        </w:rPr>
      </w:pPr>
    </w:p>
    <w:p>
      <w:pPr>
        <w:spacing w:line="240" w:lineRule="atLeast"/>
        <w:ind w:left="1080" w:leftChars="257" w:hanging="540"/>
        <w:jc w:val="center"/>
        <w:rPr>
          <w:rFonts w:ascii="宋体"/>
          <w:color w:val="auto"/>
        </w:rPr>
      </w:pPr>
      <w:r>
        <w:rPr>
          <w:rFonts w:hint="eastAsia" w:ascii="宋体" w:hAnsi="宋体" w:cs="宋体"/>
          <w:color w:val="auto"/>
        </w:rPr>
        <w:t>　</w:t>
      </w:r>
    </w:p>
    <w:p>
      <w:pPr>
        <w:pStyle w:val="4"/>
        <w:spacing w:before="0" w:line="240" w:lineRule="atLeast"/>
        <w:jc w:val="both"/>
        <w:rPr>
          <w:rFonts w:ascii="宋体" w:hAnsi="宋体" w:eastAsia="宋体" w:cs="Times New Roman"/>
          <w:color w:val="auto"/>
          <w:kern w:val="2"/>
          <w:sz w:val="21"/>
          <w:szCs w:val="21"/>
        </w:rPr>
      </w:pPr>
      <w:r>
        <w:rPr>
          <w:rFonts w:ascii="宋体" w:hAnsi="宋体" w:eastAsia="宋体" w:cs="Times New Roman"/>
          <w:color w:val="auto"/>
          <w:kern w:val="2"/>
          <w:sz w:val="21"/>
          <w:szCs w:val="21"/>
        </w:rPr>
        <w:br w:type="page"/>
      </w:r>
      <w:bookmarkStart w:id="641" w:name="_Toc26643"/>
      <w:bookmarkStart w:id="642" w:name="_Toc12060"/>
      <w:bookmarkStart w:id="643" w:name="_Toc7018"/>
      <w:bookmarkStart w:id="644" w:name="_Toc18860"/>
      <w:bookmarkStart w:id="645" w:name="_Toc4543"/>
      <w:bookmarkStart w:id="646" w:name="_Toc2709"/>
      <w:bookmarkStart w:id="647" w:name="_Toc515647824"/>
      <w:bookmarkStart w:id="648" w:name="_Toc5609"/>
      <w:bookmarkStart w:id="649" w:name="_Toc29115"/>
      <w:bookmarkStart w:id="650" w:name="_Toc10977"/>
      <w:bookmarkStart w:id="651" w:name="_Toc752"/>
      <w:bookmarkStart w:id="652" w:name="_Toc12692"/>
      <w:bookmarkStart w:id="653" w:name="_Toc11803"/>
      <w:bookmarkStart w:id="654" w:name="_Toc28055"/>
      <w:bookmarkStart w:id="655" w:name="_Toc8024"/>
      <w:r>
        <w:rPr>
          <w:rFonts w:ascii="宋体" w:hAnsi="宋体" w:eastAsia="宋体" w:cs="宋体"/>
          <w:b/>
          <w:bCs/>
          <w:color w:val="auto"/>
          <w:kern w:val="2"/>
          <w:sz w:val="21"/>
          <w:szCs w:val="21"/>
        </w:rPr>
        <w:t xml:space="preserve">6-2   </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Start w:id="656" w:name="_Toc515647825"/>
      <w:bookmarkStart w:id="657" w:name="_Toc4244"/>
      <w:bookmarkStart w:id="658" w:name="_Toc32586"/>
      <w:bookmarkStart w:id="659" w:name="_Toc24860"/>
      <w:bookmarkStart w:id="660" w:name="_Toc14454"/>
      <w:bookmarkStart w:id="661" w:name="_Toc3420"/>
      <w:bookmarkStart w:id="662" w:name="_Toc13947"/>
      <w:bookmarkStart w:id="663" w:name="_Toc23068"/>
      <w:bookmarkStart w:id="664" w:name="_Toc19284"/>
      <w:bookmarkStart w:id="665" w:name="_Toc30849"/>
      <w:bookmarkStart w:id="666" w:name="_Toc2621"/>
      <w:bookmarkStart w:id="667" w:name="_Toc26931"/>
      <w:bookmarkStart w:id="668" w:name="_Toc15294"/>
      <w:bookmarkStart w:id="669" w:name="_Toc732"/>
      <w:bookmarkStart w:id="670" w:name="OLE_LINK13"/>
      <w:bookmarkStart w:id="671" w:name="OLE_LINK14"/>
      <w:r>
        <w:rPr>
          <w:rFonts w:hint="eastAsia" w:ascii="宋体" w:hAnsi="宋体" w:eastAsia="宋体" w:cs="宋体"/>
          <w:b/>
          <w:bCs/>
          <w:color w:val="auto"/>
          <w:kern w:val="2"/>
          <w:sz w:val="21"/>
          <w:szCs w:val="21"/>
        </w:rPr>
        <w:t>残疾人福利性单位声明函</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bookmarkEnd w:id="670"/>
    <w:bookmarkEnd w:id="671"/>
    <w:p>
      <w:pPr>
        <w:spacing w:line="240" w:lineRule="atLeast"/>
        <w:ind w:left="1080" w:leftChars="257" w:hanging="540"/>
        <w:jc w:val="center"/>
        <w:rPr>
          <w:rFonts w:ascii="宋体"/>
          <w:color w:val="auto"/>
        </w:rPr>
      </w:pPr>
    </w:p>
    <w:p>
      <w:pPr>
        <w:spacing w:line="240" w:lineRule="atLeast"/>
        <w:ind w:firstLine="567"/>
        <w:rPr>
          <w:rFonts w:ascii="宋体"/>
          <w:color w:val="auto"/>
        </w:rPr>
      </w:pPr>
      <w:r>
        <w:rPr>
          <w:rFonts w:hint="eastAsia" w:ascii="宋体" w:hAnsi="宋体" w:cs="宋体"/>
          <w:color w:val="auto"/>
        </w:rPr>
        <w:t>本单位郑重声明，根据《财政部</w:t>
      </w:r>
      <w:r>
        <w:rPr>
          <w:rFonts w:ascii="宋体" w:hAnsi="宋体" w:cs="宋体"/>
          <w:color w:val="auto"/>
        </w:rPr>
        <w:t xml:space="preserve"> </w:t>
      </w:r>
      <w:r>
        <w:rPr>
          <w:rFonts w:hint="eastAsia" w:ascii="宋体" w:hAnsi="宋体" w:cs="宋体"/>
          <w:color w:val="auto"/>
        </w:rPr>
        <w:t>民政部</w:t>
      </w:r>
      <w:r>
        <w:rPr>
          <w:rFonts w:ascii="宋体" w:hAnsi="宋体" w:cs="宋体"/>
          <w:color w:val="auto"/>
        </w:rPr>
        <w:t xml:space="preserve"> </w:t>
      </w:r>
      <w:r>
        <w:rPr>
          <w:rFonts w:hint="eastAsia" w:ascii="宋体" w:hAnsi="宋体" w:cs="宋体"/>
          <w:color w:val="auto"/>
        </w:rPr>
        <w:t>中国残疾人联合会关于促进残疾人就业政府采购政策的通知》（财库〔</w:t>
      </w:r>
      <w:r>
        <w:rPr>
          <w:rFonts w:ascii="宋体" w:hAnsi="宋体" w:cs="宋体"/>
          <w:color w:val="auto"/>
        </w:rPr>
        <w:t>2017</w:t>
      </w:r>
      <w:r>
        <w:rPr>
          <w:rFonts w:hint="eastAsia" w:ascii="宋体" w:hAnsi="宋体" w:cs="宋体"/>
          <w:color w:val="auto"/>
        </w:rPr>
        <w:t>〕</w:t>
      </w:r>
      <w:r>
        <w:rPr>
          <w:rFonts w:ascii="宋体" w:hAnsi="宋体" w:cs="宋体"/>
          <w:color w:val="auto"/>
        </w:rPr>
        <w:t>141</w:t>
      </w:r>
      <w:r>
        <w:rPr>
          <w:rFonts w:hint="eastAsia" w:ascii="宋体" w:hAnsi="宋体" w:cs="宋体"/>
          <w:color w:val="auto"/>
        </w:rPr>
        <w:t>号）的规定，本单位为符合条件的残疾人福利性单位，且本单位参加</w:t>
      </w:r>
      <w:r>
        <w:rPr>
          <w:rFonts w:ascii="宋体" w:hAnsi="宋体" w:cs="宋体"/>
          <w:color w:val="auto"/>
        </w:rPr>
        <w:t>______</w:t>
      </w:r>
      <w:r>
        <w:rPr>
          <w:rFonts w:hint="eastAsia" w:ascii="宋体" w:hAnsi="宋体" w:cs="宋体"/>
          <w:color w:val="auto"/>
        </w:rPr>
        <w:t>单位的</w:t>
      </w:r>
      <w:r>
        <w:rPr>
          <w:rFonts w:ascii="宋体" w:hAnsi="宋体" w:cs="宋体"/>
          <w:color w:val="auto"/>
        </w:rPr>
        <w:t>______</w:t>
      </w:r>
      <w:r>
        <w:rPr>
          <w:rFonts w:hint="eastAsia" w:ascii="宋体" w:hAnsi="宋体" w:cs="宋体"/>
          <w:color w:val="auto"/>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宋体"/>
          <w:color w:val="auto"/>
        </w:rPr>
      </w:pPr>
      <w:r>
        <w:rPr>
          <w:rFonts w:hint="eastAsia" w:ascii="宋体" w:hAnsi="宋体" w:cs="宋体"/>
          <w:color w:val="auto"/>
        </w:rPr>
        <w:t>本单位对上述声明的真实性负责。如有虚假，将依法承担相应责任。</w:t>
      </w:r>
    </w:p>
    <w:p>
      <w:pPr>
        <w:spacing w:line="240" w:lineRule="atLeast"/>
        <w:ind w:left="1080" w:leftChars="257" w:hanging="540"/>
        <w:jc w:val="center"/>
        <w:rPr>
          <w:rFonts w:ascii="宋体"/>
          <w:color w:val="auto"/>
        </w:rPr>
      </w:pPr>
    </w:p>
    <w:p>
      <w:pPr>
        <w:spacing w:line="240" w:lineRule="atLeast"/>
        <w:ind w:left="1080" w:leftChars="257" w:hanging="540"/>
        <w:jc w:val="center"/>
        <w:rPr>
          <w:rFonts w:ascii="宋体"/>
          <w:color w:val="auto"/>
        </w:rPr>
      </w:pPr>
    </w:p>
    <w:p>
      <w:pPr>
        <w:spacing w:line="240" w:lineRule="atLeast"/>
        <w:ind w:left="1080" w:leftChars="257" w:hanging="540"/>
        <w:jc w:val="center"/>
        <w:rPr>
          <w:rFonts w:ascii="宋体"/>
          <w:color w:val="auto"/>
        </w:rPr>
      </w:pPr>
      <w:r>
        <w:rPr>
          <w:rFonts w:ascii="宋体" w:hAnsi="宋体" w:cs="宋体"/>
          <w:color w:val="auto"/>
        </w:rPr>
        <w:t xml:space="preserve">              </w:t>
      </w:r>
      <w:r>
        <w:rPr>
          <w:rFonts w:hint="eastAsia" w:ascii="宋体" w:hAnsi="宋体" w:cs="宋体"/>
          <w:color w:val="auto"/>
        </w:rPr>
        <w:t>残疾人福利性单位名称（公章）：</w:t>
      </w:r>
      <w:r>
        <w:rPr>
          <w:rFonts w:ascii="宋体" w:hAnsi="宋体" w:cs="宋体"/>
          <w:color w:val="auto"/>
        </w:rPr>
        <w:t>______________</w:t>
      </w:r>
    </w:p>
    <w:p>
      <w:pPr>
        <w:spacing w:line="240" w:lineRule="atLeast"/>
        <w:ind w:left="1080" w:leftChars="257" w:hanging="540"/>
        <w:jc w:val="center"/>
        <w:rPr>
          <w:rFonts w:asci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r>
        <w:rPr>
          <w:rFonts w:ascii="宋体" w:hAnsi="宋体" w:cs="宋体"/>
          <w:color w:val="auto"/>
        </w:rPr>
        <w:t>_____________________________________________</w:t>
      </w:r>
    </w:p>
    <w:p>
      <w:pPr>
        <w:spacing w:line="240" w:lineRule="atLeast"/>
        <w:ind w:left="1080" w:leftChars="257" w:hanging="540"/>
        <w:jc w:val="center"/>
        <w:rPr>
          <w:rFonts w:ascii="宋体"/>
          <w:color w:val="auto"/>
        </w:rPr>
      </w:pPr>
    </w:p>
    <w:p>
      <w:pPr>
        <w:spacing w:line="240" w:lineRule="atLeast"/>
        <w:ind w:left="1080" w:leftChars="257" w:hanging="540"/>
        <w:jc w:val="center"/>
        <w:rPr>
          <w:rFonts w:ascii="宋体"/>
          <w:color w:val="auto"/>
        </w:rPr>
      </w:pPr>
    </w:p>
    <w:p>
      <w:pPr>
        <w:pStyle w:val="2"/>
        <w:rPr>
          <w:rFonts w:hAnsi="宋体" w:cs="Times New Roman"/>
          <w:color w:val="auto"/>
          <w:kern w:val="2"/>
          <w:sz w:val="21"/>
          <w:szCs w:val="21"/>
        </w:rPr>
      </w:pPr>
    </w:p>
    <w:p>
      <w:pPr>
        <w:spacing w:line="240" w:lineRule="atLeast"/>
        <w:ind w:left="1080" w:leftChars="257" w:hanging="540"/>
        <w:jc w:val="center"/>
        <w:rPr>
          <w:rFonts w:ascii="宋体"/>
          <w:color w:val="auto"/>
        </w:rPr>
      </w:pPr>
    </w:p>
    <w:p>
      <w:pPr>
        <w:pStyle w:val="4"/>
        <w:spacing w:before="0" w:line="240" w:lineRule="atLeast"/>
        <w:ind w:left="1080" w:leftChars="257" w:hanging="540"/>
        <w:jc w:val="left"/>
        <w:rPr>
          <w:rFonts w:ascii="宋体" w:hAnsi="宋体" w:eastAsia="宋体" w:cs="Times New Roman"/>
          <w:b/>
          <w:bCs/>
          <w:color w:val="auto"/>
          <w:kern w:val="2"/>
          <w:sz w:val="21"/>
          <w:szCs w:val="21"/>
        </w:rPr>
      </w:pPr>
      <w:bookmarkStart w:id="672" w:name="_Toc30946"/>
      <w:bookmarkStart w:id="673" w:name="_Toc22378"/>
      <w:bookmarkStart w:id="674" w:name="_Toc6009"/>
      <w:bookmarkStart w:id="675" w:name="_Toc5527"/>
      <w:bookmarkStart w:id="676" w:name="_Toc30795"/>
      <w:bookmarkStart w:id="677" w:name="_Toc515647827"/>
      <w:bookmarkStart w:id="678" w:name="_Toc22561"/>
      <w:bookmarkStart w:id="679" w:name="_Toc28099"/>
      <w:bookmarkStart w:id="680" w:name="_Toc2304"/>
      <w:bookmarkStart w:id="681" w:name="_Toc10972"/>
      <w:bookmarkStart w:id="682" w:name="_Toc11868"/>
      <w:bookmarkStart w:id="683" w:name="_Toc5568"/>
      <w:bookmarkStart w:id="684" w:name="_Toc19223"/>
      <w:bookmarkStart w:id="685" w:name="_Toc6004"/>
      <w:bookmarkStart w:id="686" w:name="_Toc26133"/>
      <w:r>
        <w:rPr>
          <w:rFonts w:ascii="宋体" w:hAnsi="宋体" w:eastAsia="宋体" w:cs="宋体"/>
          <w:b/>
          <w:bCs/>
          <w:color w:val="auto"/>
          <w:kern w:val="2"/>
          <w:sz w:val="21"/>
          <w:szCs w:val="21"/>
        </w:rPr>
        <w:t xml:space="preserve">7  </w:t>
      </w:r>
      <w:r>
        <w:rPr>
          <w:rFonts w:hint="eastAsia" w:ascii="宋体" w:hAnsi="宋体" w:eastAsia="宋体" w:cs="宋体"/>
          <w:b/>
          <w:bCs/>
          <w:color w:val="auto"/>
          <w:kern w:val="2"/>
          <w:sz w:val="21"/>
          <w:szCs w:val="21"/>
        </w:rPr>
        <w:t>供应商关联单位的说明</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2"/>
        <w:jc w:val="center"/>
        <w:rPr>
          <w:rFonts w:hAnsi="宋体" w:cs="Times New Roman"/>
          <w:color w:val="auto"/>
          <w:kern w:val="2"/>
          <w:sz w:val="21"/>
          <w:szCs w:val="21"/>
        </w:rPr>
      </w:pPr>
    </w:p>
    <w:p>
      <w:pPr>
        <w:pStyle w:val="2"/>
        <w:ind w:firstLine="420" w:firstLineChars="200"/>
        <w:rPr>
          <w:rFonts w:hAnsi="宋体" w:cs="Times New Roman"/>
          <w:color w:val="auto"/>
          <w:kern w:val="2"/>
          <w:sz w:val="21"/>
          <w:szCs w:val="21"/>
        </w:rPr>
      </w:pPr>
      <w:r>
        <w:rPr>
          <w:rFonts w:hint="eastAsia" w:hAnsi="宋体"/>
          <w:color w:val="auto"/>
          <w:kern w:val="2"/>
          <w:sz w:val="21"/>
          <w:szCs w:val="21"/>
        </w:rPr>
        <w:t>说明：供应商应当如实披露与本单位存在下列关联关系的单位名称：</w:t>
      </w:r>
    </w:p>
    <w:p>
      <w:pPr>
        <w:pStyle w:val="2"/>
        <w:ind w:firstLine="420" w:firstLineChars="200"/>
        <w:rPr>
          <w:rFonts w:hint="eastAsia" w:hAnsi="宋体" w:eastAsia="宋体"/>
          <w:color w:val="auto"/>
          <w:kern w:val="2"/>
          <w:sz w:val="21"/>
          <w:szCs w:val="21"/>
          <w:lang w:eastAsia="zh-CN"/>
        </w:rPr>
      </w:pPr>
      <w:r>
        <w:rPr>
          <w:rFonts w:hint="eastAsia" w:hAnsi="宋体"/>
          <w:color w:val="auto"/>
          <w:kern w:val="2"/>
          <w:sz w:val="21"/>
          <w:szCs w:val="21"/>
        </w:rPr>
        <w:t>（</w:t>
      </w:r>
      <w:r>
        <w:rPr>
          <w:rFonts w:hAnsi="宋体"/>
          <w:color w:val="auto"/>
          <w:kern w:val="2"/>
          <w:sz w:val="21"/>
          <w:szCs w:val="21"/>
        </w:rPr>
        <w:t>1</w:t>
      </w:r>
      <w:r>
        <w:rPr>
          <w:rFonts w:hint="eastAsia" w:hAnsi="宋体"/>
          <w:color w:val="auto"/>
          <w:kern w:val="2"/>
          <w:sz w:val="21"/>
          <w:szCs w:val="21"/>
        </w:rPr>
        <w:t>）与供应商单位负责人为同一人的其他单位；</w:t>
      </w:r>
    </w:p>
    <w:p>
      <w:pPr>
        <w:pStyle w:val="2"/>
        <w:ind w:firstLine="420" w:firstLineChars="200"/>
        <w:rPr>
          <w:rFonts w:hAnsi="宋体" w:cs="Times New Roman"/>
          <w:color w:val="auto"/>
          <w:kern w:val="2"/>
          <w:sz w:val="21"/>
          <w:szCs w:val="21"/>
        </w:rPr>
      </w:pPr>
      <w:r>
        <w:rPr>
          <w:rFonts w:hAnsi="宋体"/>
          <w:color w:val="auto"/>
          <w:kern w:val="2"/>
          <w:sz w:val="21"/>
          <w:szCs w:val="21"/>
        </w:rPr>
        <w:t xml:space="preserve">    </w:t>
      </w:r>
      <w:r>
        <w:rPr>
          <w:rFonts w:hint="eastAsia" w:hAnsi="宋体"/>
          <w:color w:val="auto"/>
          <w:kern w:val="2"/>
          <w:sz w:val="21"/>
          <w:szCs w:val="21"/>
        </w:rPr>
        <w:t>（</w:t>
      </w:r>
      <w:r>
        <w:rPr>
          <w:rFonts w:hAnsi="宋体"/>
          <w:color w:val="auto"/>
          <w:kern w:val="2"/>
          <w:sz w:val="21"/>
          <w:szCs w:val="21"/>
        </w:rPr>
        <w:t>2</w:t>
      </w:r>
      <w:r>
        <w:rPr>
          <w:rFonts w:hint="eastAsia" w:hAnsi="宋体"/>
          <w:color w:val="auto"/>
          <w:kern w:val="2"/>
          <w:sz w:val="21"/>
          <w:szCs w:val="21"/>
        </w:rPr>
        <w:t>）与供应商存在直接控股、管理关系的其他单位。</w:t>
      </w:r>
    </w:p>
    <w:p>
      <w:pPr>
        <w:pStyle w:val="2"/>
        <w:rPr>
          <w:rFonts w:hAnsi="宋体" w:cs="Times New Roman"/>
          <w:color w:val="auto"/>
          <w:kern w:val="2"/>
          <w:sz w:val="21"/>
          <w:szCs w:val="21"/>
        </w:rPr>
      </w:pPr>
    </w:p>
    <w:p>
      <w:pPr>
        <w:pStyle w:val="2"/>
        <w:rPr>
          <w:rFonts w:hAnsi="宋体" w:cs="Times New Roman"/>
          <w:color w:val="auto"/>
          <w:kern w:val="2"/>
          <w:sz w:val="21"/>
          <w:szCs w:val="21"/>
        </w:rPr>
      </w:pPr>
    </w:p>
    <w:p>
      <w:pPr>
        <w:pStyle w:val="2"/>
        <w:rPr>
          <w:rFonts w:hAnsi="宋体" w:cs="Times New Roman"/>
          <w:color w:val="auto"/>
          <w:kern w:val="2"/>
          <w:sz w:val="21"/>
          <w:szCs w:val="21"/>
        </w:rPr>
      </w:pPr>
    </w:p>
    <w:p>
      <w:pPr>
        <w:spacing w:line="240" w:lineRule="atLeast"/>
        <w:ind w:left="1080" w:leftChars="257" w:hanging="540"/>
        <w:jc w:val="center"/>
        <w:rPr>
          <w:rFonts w:ascii="宋体"/>
          <w:color w:val="auto"/>
        </w:rPr>
      </w:pPr>
    </w:p>
    <w:p>
      <w:pPr>
        <w:pStyle w:val="4"/>
        <w:spacing w:before="0" w:line="240" w:lineRule="atLeast"/>
        <w:ind w:left="1080" w:leftChars="257" w:hanging="540"/>
        <w:jc w:val="left"/>
        <w:rPr>
          <w:rFonts w:ascii="宋体" w:hAnsi="宋体" w:eastAsia="宋体" w:cs="Times New Roman"/>
          <w:b/>
          <w:bCs/>
          <w:color w:val="auto"/>
          <w:kern w:val="2"/>
          <w:sz w:val="21"/>
          <w:szCs w:val="21"/>
        </w:rPr>
      </w:pPr>
      <w:bookmarkStart w:id="687" w:name="_Toc7414"/>
      <w:bookmarkStart w:id="688" w:name="_Toc515647828"/>
      <w:bookmarkStart w:id="689" w:name="_Toc29367"/>
      <w:bookmarkStart w:id="690" w:name="_Toc10352"/>
      <w:bookmarkStart w:id="691" w:name="_Toc17333"/>
      <w:bookmarkStart w:id="692" w:name="_Toc23897"/>
      <w:bookmarkStart w:id="693" w:name="_Toc20015"/>
      <w:bookmarkStart w:id="694" w:name="_Toc6932"/>
      <w:bookmarkStart w:id="695" w:name="_Toc31226"/>
      <w:bookmarkStart w:id="696" w:name="_Toc7966"/>
      <w:bookmarkStart w:id="697" w:name="_Toc17843"/>
      <w:bookmarkStart w:id="698" w:name="_Toc12486"/>
      <w:bookmarkStart w:id="699" w:name="_Toc15535"/>
      <w:bookmarkStart w:id="700" w:name="_Toc27971"/>
      <w:bookmarkStart w:id="701" w:name="_Toc25126"/>
      <w:r>
        <w:rPr>
          <w:rFonts w:ascii="宋体" w:hAnsi="宋体" w:eastAsia="宋体" w:cs="宋体"/>
          <w:b/>
          <w:bCs/>
          <w:color w:val="auto"/>
          <w:kern w:val="2"/>
          <w:sz w:val="21"/>
          <w:szCs w:val="21"/>
        </w:rPr>
        <w:t xml:space="preserve">8 </w:t>
      </w:r>
      <w:bookmarkEnd w:id="687"/>
      <w:bookmarkEnd w:id="688"/>
      <w:bookmarkEnd w:id="689"/>
      <w:bookmarkEnd w:id="690"/>
      <w:bookmarkEnd w:id="691"/>
      <w:bookmarkStart w:id="702" w:name="_Toc27058"/>
      <w:r>
        <w:rPr>
          <w:rFonts w:ascii="宋体" w:hAnsi="宋体" w:eastAsia="宋体" w:cs="宋体"/>
          <w:b/>
          <w:bCs/>
          <w:color w:val="auto"/>
          <w:kern w:val="2"/>
          <w:sz w:val="21"/>
          <w:szCs w:val="21"/>
        </w:rPr>
        <w:t xml:space="preserve">  </w:t>
      </w:r>
      <w:r>
        <w:rPr>
          <w:rFonts w:hint="eastAsia" w:ascii="宋体" w:hAnsi="宋体" w:eastAsia="宋体" w:cs="宋体"/>
          <w:b/>
          <w:bCs/>
          <w:color w:val="auto"/>
          <w:kern w:val="2"/>
          <w:sz w:val="21"/>
          <w:szCs w:val="21"/>
        </w:rPr>
        <w:t>供应商可提供有利于投标的其他资格证明材料</w:t>
      </w:r>
      <w:bookmarkEnd w:id="692"/>
      <w:bookmarkEnd w:id="693"/>
      <w:bookmarkEnd w:id="694"/>
      <w:bookmarkEnd w:id="695"/>
      <w:bookmarkEnd w:id="696"/>
      <w:bookmarkEnd w:id="697"/>
      <w:bookmarkEnd w:id="698"/>
      <w:bookmarkEnd w:id="699"/>
      <w:bookmarkEnd w:id="700"/>
      <w:bookmarkEnd w:id="701"/>
      <w:bookmarkEnd w:id="702"/>
    </w:p>
    <w:p>
      <w:pPr>
        <w:spacing w:line="240" w:lineRule="atLeast"/>
        <w:jc w:val="left"/>
        <w:rPr>
          <w:rFonts w:ascii="宋体"/>
          <w:color w:val="auto"/>
          <w:sz w:val="24"/>
          <w:szCs w:val="24"/>
        </w:rPr>
      </w:pPr>
    </w:p>
    <w:p>
      <w:pPr>
        <w:pStyle w:val="2"/>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pStyle w:val="41"/>
        <w:rPr>
          <w:rFonts w:hAnsi="宋体" w:cs="Times New Roman"/>
          <w:color w:val="auto"/>
        </w:rPr>
      </w:pPr>
    </w:p>
    <w:p>
      <w:pPr>
        <w:rPr>
          <w:rFonts w:ascii="宋体"/>
          <w:color w:val="auto"/>
        </w:rPr>
      </w:pPr>
      <w:r>
        <w:rPr>
          <w:rFonts w:ascii="宋体"/>
          <w:color w:val="auto"/>
        </w:rPr>
        <w:br w:type="page"/>
      </w:r>
    </w:p>
    <w:p>
      <w:pPr>
        <w:spacing w:line="240" w:lineRule="atLeast"/>
        <w:ind w:left="1080" w:leftChars="257" w:hanging="540"/>
        <w:outlineLvl w:val="1"/>
        <w:rPr>
          <w:rFonts w:ascii="宋体"/>
          <w:b/>
          <w:bCs/>
          <w:color w:val="auto"/>
          <w:kern w:val="0"/>
          <w:sz w:val="24"/>
          <w:szCs w:val="24"/>
        </w:rPr>
      </w:pPr>
      <w:bookmarkStart w:id="703" w:name="_Toc31381"/>
      <w:bookmarkStart w:id="704" w:name="_Toc19009"/>
      <w:bookmarkStart w:id="705" w:name="_Toc19887"/>
      <w:bookmarkStart w:id="706" w:name="_Toc17701"/>
      <w:bookmarkStart w:id="707" w:name="_Toc2969"/>
      <w:bookmarkStart w:id="708" w:name="_Toc16684"/>
      <w:bookmarkStart w:id="709" w:name="_Toc25807"/>
      <w:bookmarkStart w:id="710" w:name="_Toc23424"/>
      <w:r>
        <w:rPr>
          <w:rFonts w:ascii="宋体" w:hAnsi="宋体" w:cs="宋体"/>
          <w:b/>
          <w:bCs/>
          <w:color w:val="auto"/>
          <w:kern w:val="0"/>
          <w:sz w:val="24"/>
          <w:szCs w:val="24"/>
        </w:rPr>
        <w:t xml:space="preserve">9  </w:t>
      </w:r>
      <w:r>
        <w:rPr>
          <w:rFonts w:hint="eastAsia" w:ascii="宋体" w:hAnsi="宋体" w:cs="宋体"/>
          <w:b/>
          <w:bCs/>
          <w:color w:val="auto"/>
          <w:kern w:val="0"/>
          <w:sz w:val="24"/>
          <w:szCs w:val="24"/>
        </w:rPr>
        <w:t>投标文件格式范本</w:t>
      </w:r>
      <w:bookmarkEnd w:id="703"/>
      <w:bookmarkEnd w:id="704"/>
      <w:bookmarkEnd w:id="705"/>
      <w:bookmarkEnd w:id="706"/>
      <w:bookmarkEnd w:id="707"/>
      <w:bookmarkEnd w:id="708"/>
      <w:bookmarkEnd w:id="709"/>
      <w:bookmarkEnd w:id="710"/>
    </w:p>
    <w:tbl>
      <w:tblPr>
        <w:tblStyle w:val="21"/>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PrEx>
        <w:trPr>
          <w:trHeight w:val="12335" w:hRule="atLeast"/>
        </w:trPr>
        <w:tc>
          <w:tcPr>
            <w:tcW w:w="9520" w:type="dxa"/>
            <w:shd w:val="clear" w:color="auto" w:fill="FCFEEA"/>
          </w:tcPr>
          <w:p>
            <w:pPr>
              <w:pStyle w:val="9"/>
              <w:jc w:val="center"/>
              <w:rPr>
                <w:rFonts w:cs="Times New Roman"/>
                <w:b/>
                <w:bCs/>
                <w:color w:val="auto"/>
                <w:sz w:val="28"/>
                <w:szCs w:val="28"/>
              </w:rPr>
            </w:pPr>
            <w:r>
              <w:rPr>
                <w:b/>
                <w:bCs/>
                <w:color w:val="auto"/>
                <w:sz w:val="28"/>
                <w:szCs w:val="28"/>
              </w:rPr>
              <w:t xml:space="preserve">                                                </w:t>
            </w:r>
            <w:r>
              <w:rPr>
                <w:rFonts w:hint="eastAsia"/>
                <w:b/>
                <w:bCs/>
                <w:color w:val="auto"/>
                <w:sz w:val="28"/>
                <w:szCs w:val="28"/>
              </w:rPr>
              <w:t>（正本</w:t>
            </w:r>
            <w:r>
              <w:rPr>
                <w:b/>
                <w:bCs/>
                <w:color w:val="auto"/>
                <w:sz w:val="28"/>
                <w:szCs w:val="28"/>
              </w:rPr>
              <w:t>/</w:t>
            </w:r>
            <w:r>
              <w:rPr>
                <w:rFonts w:hint="eastAsia"/>
                <w:b/>
                <w:bCs/>
                <w:color w:val="auto"/>
                <w:sz w:val="28"/>
                <w:szCs w:val="28"/>
              </w:rPr>
              <w:t>副本）</w:t>
            </w:r>
          </w:p>
          <w:p>
            <w:pPr>
              <w:pStyle w:val="9"/>
              <w:ind w:firstLine="4216" w:firstLineChars="1500"/>
              <w:rPr>
                <w:rFonts w:cs="Times New Roman"/>
                <w:b/>
                <w:bCs/>
                <w:color w:val="auto"/>
                <w:sz w:val="28"/>
                <w:szCs w:val="28"/>
              </w:rPr>
            </w:pPr>
          </w:p>
          <w:p>
            <w:pPr>
              <w:pStyle w:val="9"/>
              <w:ind w:firstLine="4216" w:firstLineChars="1500"/>
              <w:rPr>
                <w:rFonts w:cs="Times New Roman"/>
                <w:b/>
                <w:bCs/>
                <w:color w:val="auto"/>
                <w:sz w:val="28"/>
                <w:szCs w:val="28"/>
              </w:rPr>
            </w:pPr>
          </w:p>
          <w:p>
            <w:pPr>
              <w:pStyle w:val="9"/>
              <w:rPr>
                <w:rFonts w:cs="Times New Roman"/>
                <w:b/>
                <w:bCs/>
                <w:color w:val="auto"/>
                <w:sz w:val="28"/>
                <w:szCs w:val="28"/>
              </w:rPr>
            </w:pPr>
          </w:p>
          <w:p>
            <w:pPr>
              <w:pStyle w:val="9"/>
              <w:ind w:firstLine="2530" w:firstLineChars="900"/>
              <w:rPr>
                <w:rFonts w:cs="Times New Roman"/>
                <w:b/>
                <w:bCs/>
                <w:color w:val="auto"/>
                <w:sz w:val="28"/>
                <w:szCs w:val="28"/>
              </w:rPr>
            </w:pPr>
            <w:r>
              <w:rPr>
                <w:b/>
                <w:bCs/>
                <w:color w:val="auto"/>
                <w:sz w:val="28"/>
                <w:szCs w:val="28"/>
              </w:rPr>
              <w:t xml:space="preserve">***** *** *** *** ***   </w:t>
            </w:r>
            <w:r>
              <w:rPr>
                <w:rFonts w:hint="eastAsia"/>
                <w:b/>
                <w:bCs/>
                <w:color w:val="auto"/>
                <w:sz w:val="28"/>
                <w:szCs w:val="28"/>
              </w:rPr>
              <w:t>项目</w:t>
            </w:r>
          </w:p>
          <w:p>
            <w:pPr>
              <w:pStyle w:val="9"/>
              <w:jc w:val="center"/>
              <w:rPr>
                <w:rFonts w:cs="Times New Roman"/>
                <w:b/>
                <w:bCs/>
                <w:color w:val="auto"/>
                <w:sz w:val="21"/>
                <w:szCs w:val="21"/>
              </w:rPr>
            </w:pPr>
          </w:p>
          <w:p>
            <w:pPr>
              <w:pStyle w:val="9"/>
              <w:ind w:firstLine="3162" w:firstLineChars="1500"/>
              <w:rPr>
                <w:rFonts w:cs="Times New Roman"/>
                <w:b/>
                <w:bCs/>
                <w:color w:val="auto"/>
                <w:sz w:val="21"/>
                <w:szCs w:val="21"/>
              </w:rPr>
            </w:pPr>
            <w:r>
              <w:rPr>
                <w:rFonts w:hint="eastAsia"/>
                <w:b/>
                <w:bCs/>
                <w:color w:val="auto"/>
                <w:sz w:val="21"/>
                <w:szCs w:val="21"/>
              </w:rPr>
              <w:t>编号＊＊＊＊＊＊</w:t>
            </w:r>
            <w:r>
              <w:rPr>
                <w:b/>
                <w:bCs/>
                <w:color w:val="auto"/>
                <w:sz w:val="21"/>
                <w:szCs w:val="21"/>
              </w:rPr>
              <w:t xml:space="preserve">   </w:t>
            </w:r>
            <w:r>
              <w:rPr>
                <w:rFonts w:hint="eastAsia"/>
                <w:b/>
                <w:bCs/>
                <w:color w:val="auto"/>
                <w:sz w:val="21"/>
                <w:szCs w:val="21"/>
              </w:rPr>
              <w:t>包号＊＊＊＊＊</w:t>
            </w:r>
          </w:p>
          <w:p>
            <w:pPr>
              <w:pStyle w:val="9"/>
              <w:jc w:val="center"/>
              <w:rPr>
                <w:rFonts w:cs="Times New Roman"/>
                <w:b/>
                <w:bCs/>
                <w:color w:val="auto"/>
                <w:sz w:val="48"/>
                <w:szCs w:val="48"/>
              </w:rPr>
            </w:pPr>
          </w:p>
          <w:p>
            <w:pPr>
              <w:pStyle w:val="9"/>
              <w:jc w:val="center"/>
              <w:rPr>
                <w:rFonts w:cs="Times New Roman"/>
                <w:b/>
                <w:bCs/>
                <w:color w:val="auto"/>
                <w:sz w:val="48"/>
                <w:szCs w:val="48"/>
              </w:rPr>
            </w:pPr>
            <w:r>
              <w:rPr>
                <w:rFonts w:hint="eastAsia"/>
                <w:b/>
                <w:bCs/>
                <w:color w:val="auto"/>
                <w:sz w:val="48"/>
                <w:szCs w:val="48"/>
              </w:rPr>
              <w:t>投</w:t>
            </w:r>
            <w:r>
              <w:rPr>
                <w:b/>
                <w:bCs/>
                <w:color w:val="auto"/>
                <w:sz w:val="48"/>
                <w:szCs w:val="48"/>
              </w:rPr>
              <w:t xml:space="preserve"> </w:t>
            </w:r>
            <w:r>
              <w:rPr>
                <w:rFonts w:hint="eastAsia"/>
                <w:b/>
                <w:bCs/>
                <w:color w:val="auto"/>
                <w:sz w:val="48"/>
                <w:szCs w:val="48"/>
              </w:rPr>
              <w:t>标</w:t>
            </w:r>
            <w:r>
              <w:rPr>
                <w:b/>
                <w:bCs/>
                <w:color w:val="auto"/>
                <w:sz w:val="48"/>
                <w:szCs w:val="48"/>
              </w:rPr>
              <w:t xml:space="preserve"> </w:t>
            </w:r>
            <w:r>
              <w:rPr>
                <w:rFonts w:hint="eastAsia"/>
                <w:b/>
                <w:bCs/>
                <w:color w:val="auto"/>
                <w:sz w:val="48"/>
                <w:szCs w:val="48"/>
              </w:rPr>
              <w:t>文</w:t>
            </w:r>
            <w:r>
              <w:rPr>
                <w:b/>
                <w:bCs/>
                <w:color w:val="auto"/>
                <w:sz w:val="48"/>
                <w:szCs w:val="48"/>
              </w:rPr>
              <w:t xml:space="preserve"> </w:t>
            </w:r>
            <w:r>
              <w:rPr>
                <w:rFonts w:hint="eastAsia"/>
                <w:b/>
                <w:bCs/>
                <w:color w:val="auto"/>
                <w:sz w:val="48"/>
                <w:szCs w:val="48"/>
              </w:rPr>
              <w:t>件</w:t>
            </w:r>
          </w:p>
          <w:p>
            <w:pPr>
              <w:jc w:val="center"/>
              <w:rPr>
                <w:rFonts w:ascii="宋体"/>
                <w:b/>
                <w:bCs/>
                <w:color w:val="auto"/>
                <w:sz w:val="32"/>
                <w:szCs w:val="32"/>
              </w:rPr>
            </w:pPr>
          </w:p>
          <w:p>
            <w:pPr>
              <w:pStyle w:val="2"/>
              <w:rPr>
                <w:rFonts w:hAnsi="宋体" w:cs="Times New Roman"/>
                <w:b/>
                <w:bCs/>
                <w:color w:val="auto"/>
                <w:sz w:val="32"/>
                <w:szCs w:val="32"/>
              </w:rPr>
            </w:pPr>
          </w:p>
          <w:p>
            <w:pPr>
              <w:pStyle w:val="2"/>
              <w:rPr>
                <w:rFonts w:hAnsi="宋体" w:cs="Times New Roman"/>
                <w:b/>
                <w:bCs/>
                <w:color w:val="auto"/>
                <w:sz w:val="32"/>
                <w:szCs w:val="32"/>
              </w:rPr>
            </w:pPr>
          </w:p>
          <w:p>
            <w:pPr>
              <w:spacing w:line="360" w:lineRule="auto"/>
              <w:ind w:left="176" w:leftChars="84" w:firstLine="840" w:firstLineChars="400"/>
              <w:rPr>
                <w:rFonts w:ascii="宋体"/>
                <w:color w:val="auto"/>
              </w:rPr>
            </w:pPr>
            <w:r>
              <w:rPr>
                <w:rFonts w:hint="eastAsia" w:ascii="宋体" w:hAnsi="宋体" w:cs="宋体"/>
                <w:color w:val="auto"/>
              </w:rPr>
              <w:t>投</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单位：</w:t>
            </w:r>
            <w:r>
              <w:rPr>
                <w:rFonts w:ascii="宋体" w:hAnsi="宋体" w:cs="宋体"/>
                <w:color w:val="auto"/>
                <w:u w:val="single"/>
              </w:rPr>
              <w:t xml:space="preserve">                                       </w:t>
            </w:r>
            <w:r>
              <w:rPr>
                <w:rFonts w:hint="eastAsia" w:ascii="宋体" w:hAnsi="宋体" w:cs="宋体"/>
                <w:color w:val="auto"/>
              </w:rPr>
              <w:t>（公章）</w:t>
            </w:r>
          </w:p>
          <w:p>
            <w:pPr>
              <w:spacing w:line="360" w:lineRule="auto"/>
              <w:ind w:left="176" w:leftChars="84" w:firstLine="840" w:firstLineChars="400"/>
              <w:rPr>
                <w:rFonts w:ascii="宋体"/>
                <w:color w:val="auto"/>
                <w:u w:val="single"/>
              </w:rPr>
            </w:pPr>
            <w:r>
              <w:rPr>
                <w:rFonts w:hint="eastAsia" w:ascii="宋体" w:hAnsi="宋体" w:cs="宋体"/>
                <w:color w:val="auto"/>
              </w:rPr>
              <w:t>项目名称：</w:t>
            </w:r>
            <w:r>
              <w:rPr>
                <w:rFonts w:ascii="宋体" w:hAnsi="宋体" w:cs="宋体"/>
                <w:color w:val="auto"/>
                <w:u w:val="single"/>
              </w:rPr>
              <w:t xml:space="preserve">                                          </w:t>
            </w:r>
          </w:p>
          <w:p>
            <w:pPr>
              <w:spacing w:line="360" w:lineRule="auto"/>
              <w:ind w:left="176" w:leftChars="84" w:firstLine="840" w:firstLineChars="400"/>
              <w:rPr>
                <w:rFonts w:ascii="宋体"/>
                <w:color w:val="auto"/>
                <w:u w:val="single"/>
              </w:rPr>
            </w:pPr>
            <w:r>
              <w:rPr>
                <w:rFonts w:hint="eastAsia" w:ascii="宋体" w:hAnsi="宋体" w:cs="宋体"/>
                <w:color w:val="auto"/>
              </w:rPr>
              <w:t>项目编号：</w:t>
            </w:r>
            <w:r>
              <w:rPr>
                <w:rFonts w:ascii="宋体" w:hAnsi="宋体" w:cs="宋体"/>
                <w:color w:val="auto"/>
                <w:u w:val="single"/>
              </w:rPr>
              <w:t xml:space="preserve">                                        </w:t>
            </w:r>
          </w:p>
          <w:p>
            <w:pPr>
              <w:spacing w:line="360" w:lineRule="auto"/>
              <w:ind w:left="176" w:leftChars="84" w:firstLine="840" w:firstLineChars="400"/>
              <w:rPr>
                <w:rFonts w:ascii="宋体"/>
                <w:color w:val="auto"/>
                <w:u w:val="single"/>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p>
          <w:p>
            <w:pPr>
              <w:spacing w:line="360" w:lineRule="auto"/>
              <w:ind w:left="176" w:leftChars="84" w:firstLine="840" w:firstLineChars="400"/>
              <w:rPr>
                <w:rFonts w:ascii="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p>
          <w:p>
            <w:pPr>
              <w:spacing w:line="360" w:lineRule="auto"/>
              <w:ind w:left="176" w:leftChars="84" w:firstLine="840" w:firstLineChars="400"/>
              <w:rPr>
                <w:rFonts w:ascii="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rPr>
              <w:t xml:space="preserve">  </w:t>
            </w:r>
            <w:r>
              <w:rPr>
                <w:rFonts w:hint="eastAsia" w:ascii="宋体" w:hAnsi="宋体" w:cs="宋体"/>
                <w:color w:val="auto"/>
              </w:rPr>
              <w:t>：</w:t>
            </w:r>
            <w:r>
              <w:rPr>
                <w:rFonts w:ascii="宋体" w:hAnsi="宋体" w:cs="宋体"/>
                <w:color w:val="auto"/>
              </w:rPr>
              <w:t xml:space="preserve">  </w:t>
            </w:r>
            <w:r>
              <w:rPr>
                <w:rFonts w:ascii="宋体" w:hAnsi="宋体" w:cs="宋体"/>
                <w:color w:val="auto"/>
                <w:u w:val="single"/>
              </w:rPr>
              <w:t xml:space="preserve">                                    </w:t>
            </w:r>
          </w:p>
          <w:p>
            <w:pPr>
              <w:spacing w:line="360" w:lineRule="auto"/>
              <w:ind w:left="176" w:leftChars="84" w:firstLine="960" w:firstLineChars="400"/>
              <w:rPr>
                <w:rFonts w:ascii="宋体"/>
                <w:color w:val="auto"/>
                <w:sz w:val="24"/>
                <w:szCs w:val="24"/>
              </w:rPr>
            </w:pPr>
          </w:p>
          <w:p>
            <w:pPr>
              <w:jc w:val="center"/>
              <w:rPr>
                <w:rFonts w:ascii="宋体"/>
                <w:b/>
                <w:bCs/>
                <w:color w:val="auto"/>
              </w:rPr>
            </w:pPr>
          </w:p>
          <w:p>
            <w:pPr>
              <w:jc w:val="center"/>
              <w:rPr>
                <w:rFonts w:ascii="宋体"/>
                <w:b/>
                <w:bCs/>
                <w:color w:val="auto"/>
              </w:rPr>
            </w:pPr>
          </w:p>
          <w:p>
            <w:pPr>
              <w:jc w:val="center"/>
              <w:rPr>
                <w:rFonts w:ascii="宋体"/>
                <w:b/>
                <w:bCs/>
                <w:color w:val="auto"/>
              </w:rPr>
            </w:pPr>
            <w:r>
              <w:rPr>
                <w:rFonts w:hint="eastAsia" w:ascii="宋体" w:hAnsi="宋体" w:cs="宋体"/>
                <w:b/>
                <w:bCs/>
                <w:color w:val="auto"/>
              </w:rPr>
              <w:t>注：</w:t>
            </w:r>
            <w:r>
              <w:rPr>
                <w:rFonts w:ascii="宋体" w:hAnsi="宋体" w:cs="宋体"/>
                <w:b/>
                <w:bCs/>
                <w:color w:val="auto"/>
              </w:rPr>
              <w:t xml:space="preserve">   </w:t>
            </w:r>
            <w:r>
              <w:rPr>
                <w:rFonts w:hint="eastAsia" w:ascii="宋体" w:hAnsi="宋体" w:cs="宋体"/>
                <w:b/>
                <w:bCs/>
                <w:color w:val="auto"/>
              </w:rPr>
              <w:t>在</w:t>
            </w:r>
            <w:r>
              <w:rPr>
                <w:rFonts w:ascii="宋体" w:hAnsi="宋体" w:cs="宋体"/>
                <w:b/>
                <w:bCs/>
                <w:color w:val="auto"/>
              </w:rPr>
              <w:t>2021</w:t>
            </w:r>
            <w:r>
              <w:rPr>
                <w:rFonts w:hint="eastAsia" w:ascii="宋体" w:hAnsi="宋体" w:cs="宋体"/>
                <w:b/>
                <w:bCs/>
                <w:color w:val="auto"/>
              </w:rPr>
              <w:t>年</w:t>
            </w:r>
            <w:r>
              <w:rPr>
                <w:rFonts w:ascii="宋体" w:hAnsi="宋体" w:cs="宋体"/>
                <w:b/>
                <w:bCs/>
                <w:color w:val="auto"/>
              </w:rPr>
              <w:t xml:space="preserve">   </w:t>
            </w:r>
            <w:r>
              <w:rPr>
                <w:rFonts w:hint="eastAsia" w:ascii="宋体" w:hAnsi="宋体" w:cs="宋体"/>
                <w:b/>
                <w:bCs/>
                <w:color w:val="auto"/>
              </w:rPr>
              <w:t>月</w:t>
            </w:r>
            <w:r>
              <w:rPr>
                <w:rFonts w:ascii="宋体" w:hAnsi="宋体" w:cs="宋体"/>
                <w:b/>
                <w:bCs/>
                <w:color w:val="auto"/>
              </w:rPr>
              <w:t xml:space="preserve">  </w:t>
            </w:r>
            <w:r>
              <w:rPr>
                <w:rFonts w:hint="eastAsia" w:ascii="宋体" w:hAnsi="宋体" w:cs="宋体"/>
                <w:b/>
                <w:bCs/>
                <w:color w:val="auto"/>
              </w:rPr>
              <w:t>日</w:t>
            </w:r>
            <w:r>
              <w:rPr>
                <w:rFonts w:ascii="宋体" w:hAnsi="宋体" w:cs="宋体"/>
                <w:b/>
                <w:bCs/>
                <w:color w:val="auto"/>
              </w:rPr>
              <w:t xml:space="preserve"> *</w:t>
            </w:r>
            <w:r>
              <w:rPr>
                <w:rFonts w:hint="eastAsia" w:ascii="宋体" w:hAnsi="宋体" w:cs="宋体"/>
                <w:b/>
                <w:bCs/>
                <w:color w:val="auto"/>
              </w:rPr>
              <w:t>午</w:t>
            </w:r>
            <w:r>
              <w:rPr>
                <w:rFonts w:ascii="宋体" w:hAnsi="宋体" w:cs="宋体"/>
                <w:b/>
                <w:bCs/>
                <w:color w:val="auto"/>
              </w:rPr>
              <w:t xml:space="preserve">   </w:t>
            </w:r>
            <w:r>
              <w:rPr>
                <w:rFonts w:hint="eastAsia" w:ascii="宋体" w:hAnsi="宋体" w:cs="宋体"/>
                <w:b/>
                <w:bCs/>
                <w:color w:val="auto"/>
              </w:rPr>
              <w:t>之前不得启封</w:t>
            </w:r>
          </w:p>
          <w:p>
            <w:pPr>
              <w:jc w:val="center"/>
              <w:rPr>
                <w:rFonts w:ascii="宋体"/>
                <w:b/>
                <w:bCs/>
                <w:color w:val="auto"/>
              </w:rPr>
            </w:pPr>
          </w:p>
        </w:tc>
      </w:tr>
    </w:tbl>
    <w:p>
      <w:pPr>
        <w:spacing w:line="240" w:lineRule="atLeast"/>
        <w:rPr>
          <w:rFonts w:ascii="宋体"/>
          <w:b/>
          <w:bCs/>
          <w:color w:val="auto"/>
          <w:sz w:val="30"/>
          <w:szCs w:val="30"/>
        </w:rPr>
      </w:pPr>
      <w:r>
        <w:rPr>
          <w:rFonts w:ascii="宋体"/>
          <w:color w:val="auto"/>
          <w:sz w:val="24"/>
          <w:szCs w:val="24"/>
        </w:rPr>
        <w:br w:type="page"/>
      </w:r>
    </w:p>
    <w:p>
      <w:pPr>
        <w:spacing w:line="240" w:lineRule="atLeast"/>
        <w:jc w:val="center"/>
        <w:rPr>
          <w:rFonts w:ascii="宋体"/>
          <w:b/>
          <w:bCs/>
          <w:color w:val="auto"/>
          <w:sz w:val="32"/>
          <w:szCs w:val="32"/>
        </w:rPr>
      </w:pPr>
    </w:p>
    <w:p>
      <w:pPr>
        <w:spacing w:line="240" w:lineRule="atLeast"/>
        <w:jc w:val="center"/>
        <w:rPr>
          <w:rFonts w:ascii="宋体"/>
          <w:b/>
          <w:bCs/>
          <w:color w:val="auto"/>
          <w:sz w:val="32"/>
          <w:szCs w:val="32"/>
        </w:rPr>
      </w:pPr>
    </w:p>
    <w:p>
      <w:pPr>
        <w:spacing w:line="240" w:lineRule="atLeast"/>
        <w:jc w:val="center"/>
        <w:rPr>
          <w:rFonts w:ascii="宋体"/>
          <w:b/>
          <w:bCs/>
          <w:color w:val="auto"/>
          <w:sz w:val="44"/>
          <w:szCs w:val="44"/>
        </w:rPr>
      </w:pPr>
    </w:p>
    <w:p>
      <w:pPr>
        <w:spacing w:line="240" w:lineRule="atLeast"/>
        <w:jc w:val="center"/>
        <w:rPr>
          <w:rFonts w:ascii="宋体"/>
          <w:b/>
          <w:bCs/>
          <w:color w:val="auto"/>
          <w:sz w:val="44"/>
          <w:szCs w:val="44"/>
        </w:rPr>
      </w:pPr>
    </w:p>
    <w:p>
      <w:pPr>
        <w:pStyle w:val="2"/>
        <w:rPr>
          <w:rFonts w:hAnsi="宋体" w:cs="Times New Roman"/>
          <w:color w:val="auto"/>
        </w:rPr>
      </w:pPr>
    </w:p>
    <w:p>
      <w:pPr>
        <w:spacing w:line="240" w:lineRule="atLeast"/>
        <w:rPr>
          <w:rFonts w:ascii="宋体"/>
          <w:b/>
          <w:bCs/>
          <w:color w:val="auto"/>
          <w:sz w:val="44"/>
          <w:szCs w:val="44"/>
        </w:rPr>
      </w:pPr>
    </w:p>
    <w:p>
      <w:pPr>
        <w:spacing w:line="240" w:lineRule="atLeast"/>
        <w:jc w:val="center"/>
        <w:rPr>
          <w:rFonts w:ascii="宋体"/>
          <w:b/>
          <w:bCs/>
          <w:color w:val="auto"/>
          <w:sz w:val="44"/>
          <w:szCs w:val="44"/>
        </w:rPr>
      </w:pPr>
    </w:p>
    <w:p>
      <w:pPr>
        <w:spacing w:line="240" w:lineRule="atLeast"/>
        <w:jc w:val="center"/>
        <w:rPr>
          <w:rFonts w:ascii="宋体"/>
          <w:b/>
          <w:bCs/>
          <w:color w:val="auto"/>
          <w:sz w:val="44"/>
          <w:szCs w:val="44"/>
        </w:rPr>
      </w:pPr>
      <w:r>
        <w:rPr>
          <w:rFonts w:hint="eastAsia" w:ascii="宋体" w:hAnsi="宋体" w:cs="宋体"/>
          <w:b/>
          <w:bCs/>
          <w:color w:val="auto"/>
          <w:sz w:val="44"/>
          <w:szCs w:val="44"/>
        </w:rPr>
        <w:t>招</w:t>
      </w:r>
      <w:r>
        <w:rPr>
          <w:rFonts w:ascii="宋体" w:hAnsi="宋体" w:cs="宋体"/>
          <w:b/>
          <w:bCs/>
          <w:color w:val="auto"/>
          <w:sz w:val="44"/>
          <w:szCs w:val="44"/>
        </w:rPr>
        <w:t xml:space="preserve"> </w:t>
      </w:r>
      <w:r>
        <w:rPr>
          <w:rFonts w:hint="eastAsia" w:ascii="宋体" w:hAnsi="宋体" w:cs="宋体"/>
          <w:b/>
          <w:bCs/>
          <w:color w:val="auto"/>
          <w:sz w:val="44"/>
          <w:szCs w:val="44"/>
        </w:rPr>
        <w:t>标</w:t>
      </w:r>
      <w:r>
        <w:rPr>
          <w:rFonts w:ascii="宋体" w:hAnsi="宋体" w:cs="宋体"/>
          <w:b/>
          <w:bCs/>
          <w:color w:val="auto"/>
          <w:sz w:val="44"/>
          <w:szCs w:val="44"/>
        </w:rPr>
        <w:t xml:space="preserve"> </w:t>
      </w:r>
      <w:r>
        <w:rPr>
          <w:rFonts w:hint="eastAsia" w:ascii="宋体" w:hAnsi="宋体" w:cs="宋体"/>
          <w:b/>
          <w:bCs/>
          <w:color w:val="auto"/>
          <w:sz w:val="44"/>
          <w:szCs w:val="44"/>
        </w:rPr>
        <w:t>文</w:t>
      </w:r>
      <w:r>
        <w:rPr>
          <w:rFonts w:ascii="宋体" w:hAnsi="宋体" w:cs="宋体"/>
          <w:b/>
          <w:bCs/>
          <w:color w:val="auto"/>
          <w:sz w:val="44"/>
          <w:szCs w:val="44"/>
        </w:rPr>
        <w:t xml:space="preserve"> </w:t>
      </w:r>
      <w:r>
        <w:rPr>
          <w:rFonts w:hint="eastAsia" w:ascii="宋体" w:hAnsi="宋体" w:cs="宋体"/>
          <w:b/>
          <w:bCs/>
          <w:color w:val="auto"/>
          <w:sz w:val="44"/>
          <w:szCs w:val="44"/>
        </w:rPr>
        <w:t>件</w:t>
      </w:r>
    </w:p>
    <w:p>
      <w:pPr>
        <w:spacing w:line="240" w:lineRule="atLeast"/>
        <w:jc w:val="center"/>
        <w:rPr>
          <w:rFonts w:ascii="宋体"/>
          <w:b/>
          <w:bCs/>
          <w:color w:val="auto"/>
          <w:sz w:val="40"/>
          <w:szCs w:val="40"/>
        </w:rPr>
      </w:pPr>
    </w:p>
    <w:p>
      <w:pPr>
        <w:spacing w:line="240" w:lineRule="atLeast"/>
        <w:jc w:val="center"/>
        <w:rPr>
          <w:rFonts w:ascii="宋体"/>
          <w:b/>
          <w:bCs/>
          <w:color w:val="auto"/>
          <w:sz w:val="32"/>
          <w:szCs w:val="32"/>
        </w:rPr>
      </w:pPr>
      <w:r>
        <w:rPr>
          <w:rFonts w:hint="eastAsia" w:ascii="宋体" w:hAnsi="宋体" w:cs="宋体"/>
          <w:b/>
          <w:bCs/>
          <w:color w:val="auto"/>
          <w:sz w:val="40"/>
          <w:szCs w:val="40"/>
        </w:rPr>
        <w:t>项目编号：</w:t>
      </w:r>
      <w:r>
        <w:rPr>
          <w:rFonts w:ascii="宋体" w:hAnsi="宋体" w:cs="宋体"/>
          <w:b/>
          <w:bCs/>
          <w:color w:val="auto"/>
          <w:sz w:val="40"/>
          <w:szCs w:val="40"/>
        </w:rPr>
        <w:t>ZJ(GK)-21094</w:t>
      </w:r>
    </w:p>
    <w:p>
      <w:pPr>
        <w:spacing w:line="240" w:lineRule="atLeast"/>
        <w:jc w:val="center"/>
        <w:rPr>
          <w:rFonts w:ascii="宋体"/>
          <w:b/>
          <w:bCs/>
          <w:color w:val="auto"/>
          <w:sz w:val="32"/>
          <w:szCs w:val="32"/>
        </w:rPr>
      </w:pPr>
    </w:p>
    <w:p>
      <w:pPr>
        <w:spacing w:line="240" w:lineRule="atLeast"/>
        <w:jc w:val="center"/>
        <w:rPr>
          <w:rFonts w:ascii="宋体"/>
          <w:b/>
          <w:bCs/>
          <w:color w:val="auto"/>
          <w:sz w:val="32"/>
          <w:szCs w:val="32"/>
        </w:rPr>
      </w:pPr>
    </w:p>
    <w:p>
      <w:pPr>
        <w:spacing w:line="240" w:lineRule="atLeast"/>
        <w:jc w:val="center"/>
        <w:rPr>
          <w:rFonts w:ascii="宋体"/>
          <w:b/>
          <w:bCs/>
          <w:color w:val="auto"/>
          <w:sz w:val="44"/>
          <w:szCs w:val="44"/>
        </w:rPr>
      </w:pPr>
      <w:r>
        <w:rPr>
          <w:rFonts w:hint="eastAsia" w:ascii="宋体" w:hAnsi="宋体" w:cs="宋体"/>
          <w:b/>
          <w:bCs/>
          <w:color w:val="auto"/>
          <w:sz w:val="44"/>
          <w:szCs w:val="44"/>
        </w:rPr>
        <w:t>第</w:t>
      </w:r>
      <w:r>
        <w:rPr>
          <w:rFonts w:ascii="宋体" w:hAnsi="宋体" w:cs="宋体"/>
          <w:b/>
          <w:bCs/>
          <w:color w:val="auto"/>
          <w:sz w:val="44"/>
          <w:szCs w:val="44"/>
        </w:rPr>
        <w:t xml:space="preserve"> </w:t>
      </w:r>
      <w:r>
        <w:rPr>
          <w:rFonts w:hint="eastAsia" w:ascii="宋体" w:hAnsi="宋体" w:cs="宋体"/>
          <w:b/>
          <w:bCs/>
          <w:color w:val="auto"/>
          <w:sz w:val="44"/>
          <w:szCs w:val="44"/>
        </w:rPr>
        <w:t>二</w:t>
      </w:r>
      <w:r>
        <w:rPr>
          <w:rFonts w:ascii="宋体" w:hAnsi="宋体" w:cs="宋体"/>
          <w:b/>
          <w:bCs/>
          <w:color w:val="auto"/>
          <w:sz w:val="44"/>
          <w:szCs w:val="44"/>
        </w:rPr>
        <w:t xml:space="preserve"> </w:t>
      </w:r>
      <w:r>
        <w:rPr>
          <w:rFonts w:hint="eastAsia" w:ascii="宋体" w:hAnsi="宋体" w:cs="宋体"/>
          <w:b/>
          <w:bCs/>
          <w:color w:val="auto"/>
          <w:sz w:val="44"/>
          <w:szCs w:val="44"/>
        </w:rPr>
        <w:t>册</w:t>
      </w:r>
    </w:p>
    <w:p>
      <w:pPr>
        <w:spacing w:line="240" w:lineRule="atLeast"/>
        <w:jc w:val="center"/>
        <w:rPr>
          <w:rFonts w:ascii="宋体"/>
          <w:b/>
          <w:bCs/>
          <w:color w:val="auto"/>
          <w:sz w:val="32"/>
          <w:szCs w:val="32"/>
        </w:rPr>
      </w:pPr>
    </w:p>
    <w:p>
      <w:pPr>
        <w:spacing w:line="240" w:lineRule="atLeast"/>
        <w:jc w:val="center"/>
        <w:rPr>
          <w:rFonts w:ascii="宋体"/>
          <w:b/>
          <w:bCs/>
          <w:color w:val="auto"/>
          <w:sz w:val="32"/>
          <w:szCs w:val="32"/>
        </w:rPr>
      </w:pPr>
      <w:r>
        <w:rPr>
          <w:rFonts w:ascii="宋体" w:hAnsi="宋体" w:cs="宋体"/>
          <w:b/>
          <w:bCs/>
          <w:color w:val="auto"/>
          <w:sz w:val="32"/>
          <w:szCs w:val="32"/>
        </w:rPr>
        <w:t xml:space="preserve">  </w:t>
      </w:r>
    </w:p>
    <w:p>
      <w:pPr>
        <w:spacing w:line="240" w:lineRule="atLeast"/>
        <w:ind w:left="1080" w:leftChars="257" w:hanging="540"/>
        <w:rPr>
          <w:rFonts w:ascii="宋体"/>
          <w:b/>
          <w:bCs/>
          <w:color w:val="auto"/>
          <w:sz w:val="28"/>
          <w:szCs w:val="28"/>
        </w:rPr>
      </w:pPr>
    </w:p>
    <w:p>
      <w:pPr>
        <w:spacing w:line="240" w:lineRule="atLeast"/>
        <w:ind w:left="1080" w:leftChars="257" w:hanging="540"/>
        <w:rPr>
          <w:rFonts w:ascii="宋体"/>
          <w:b/>
          <w:bCs/>
          <w:color w:val="auto"/>
          <w:sz w:val="28"/>
          <w:szCs w:val="28"/>
        </w:rPr>
      </w:pPr>
    </w:p>
    <w:p>
      <w:pPr>
        <w:spacing w:line="240" w:lineRule="atLeast"/>
        <w:ind w:left="1080" w:leftChars="257" w:hanging="540"/>
        <w:rPr>
          <w:rFonts w:ascii="宋体"/>
          <w:b/>
          <w:bCs/>
          <w:color w:val="auto"/>
          <w:sz w:val="28"/>
          <w:szCs w:val="28"/>
        </w:rPr>
      </w:pPr>
    </w:p>
    <w:p>
      <w:pPr>
        <w:spacing w:line="240" w:lineRule="atLeast"/>
        <w:ind w:left="1080" w:leftChars="257" w:hanging="540"/>
        <w:jc w:val="center"/>
        <w:rPr>
          <w:rFonts w:ascii="宋体"/>
          <w:b/>
          <w:bCs/>
          <w:color w:val="auto"/>
          <w:sz w:val="52"/>
          <w:szCs w:val="52"/>
        </w:rPr>
      </w:pPr>
    </w:p>
    <w:p>
      <w:pPr>
        <w:spacing w:line="240" w:lineRule="atLeast"/>
        <w:ind w:left="1080" w:leftChars="257" w:hanging="540"/>
        <w:jc w:val="center"/>
        <w:rPr>
          <w:rFonts w:ascii="宋体"/>
          <w:b/>
          <w:bCs/>
          <w:color w:val="auto"/>
          <w:sz w:val="52"/>
          <w:szCs w:val="52"/>
        </w:rPr>
      </w:pPr>
    </w:p>
    <w:p>
      <w:pPr>
        <w:spacing w:line="240" w:lineRule="atLeast"/>
        <w:ind w:left="1080" w:leftChars="257" w:hanging="540"/>
        <w:jc w:val="center"/>
        <w:rPr>
          <w:rFonts w:ascii="宋体"/>
          <w:b/>
          <w:bCs/>
          <w:color w:val="auto"/>
          <w:sz w:val="52"/>
          <w:szCs w:val="52"/>
        </w:rPr>
      </w:pPr>
    </w:p>
    <w:p>
      <w:pPr>
        <w:pStyle w:val="3"/>
        <w:jc w:val="both"/>
        <w:rPr>
          <w:rFonts w:hAnsi="宋体" w:cs="Times New Roman"/>
          <w:color w:val="auto"/>
        </w:rPr>
        <w:sectPr>
          <w:footerReference r:id="rId7" w:type="default"/>
          <w:pgSz w:w="11906" w:h="16838"/>
          <w:pgMar w:top="1440" w:right="1797" w:bottom="1440" w:left="1797" w:header="851" w:footer="992" w:gutter="0"/>
          <w:cols w:space="720" w:num="1"/>
          <w:docGrid w:linePitch="312" w:charSpace="0"/>
        </w:sectPr>
      </w:pPr>
    </w:p>
    <w:p>
      <w:pPr>
        <w:pStyle w:val="3"/>
        <w:numPr>
          <w:ilvl w:val="0"/>
          <w:numId w:val="8"/>
        </w:numPr>
        <w:tabs>
          <w:tab w:val="left" w:pos="0"/>
        </w:tabs>
        <w:spacing w:before="0" w:after="0" w:line="500" w:lineRule="exact"/>
        <w:rPr>
          <w:rFonts w:hAnsi="宋体" w:cs="Times New Roman"/>
          <w:color w:val="auto"/>
        </w:rPr>
      </w:pPr>
      <w:bookmarkStart w:id="711" w:name="_Toc28765"/>
      <w:bookmarkStart w:id="712" w:name="_Toc29715"/>
      <w:bookmarkStart w:id="713" w:name="_Toc507399902"/>
      <w:bookmarkStart w:id="714" w:name="_Toc218935350"/>
      <w:bookmarkStart w:id="715" w:name="_Toc216582822"/>
      <w:bookmarkStart w:id="716" w:name="_Toc515647829"/>
      <w:bookmarkStart w:id="717" w:name="_Toc16370"/>
      <w:bookmarkStart w:id="718" w:name="_Toc219175634"/>
      <w:r>
        <w:rPr>
          <w:rFonts w:hAnsi="宋体"/>
          <w:color w:val="auto"/>
        </w:rPr>
        <w:t xml:space="preserve"> </w:t>
      </w:r>
      <w:bookmarkStart w:id="719" w:name="_Toc16209"/>
      <w:r>
        <w:rPr>
          <w:rFonts w:hint="eastAsia" w:hAnsi="宋体"/>
          <w:color w:val="auto"/>
        </w:rPr>
        <w:t>投标邀请</w:t>
      </w:r>
      <w:bookmarkEnd w:id="711"/>
      <w:bookmarkEnd w:id="712"/>
      <w:bookmarkEnd w:id="713"/>
      <w:bookmarkEnd w:id="714"/>
      <w:bookmarkEnd w:id="715"/>
      <w:bookmarkEnd w:id="716"/>
      <w:bookmarkEnd w:id="717"/>
      <w:bookmarkEnd w:id="718"/>
      <w:bookmarkEnd w:id="719"/>
      <w:bookmarkStart w:id="720" w:name="_Toc10488"/>
      <w:bookmarkStart w:id="721" w:name="_Toc5272"/>
      <w:bookmarkStart w:id="722" w:name="_Toc507399903"/>
      <w:bookmarkStart w:id="723" w:name="_Toc216582823"/>
      <w:bookmarkStart w:id="724" w:name="_Toc515647830"/>
      <w:bookmarkStart w:id="725" w:name="_Toc31583"/>
      <w:bookmarkStart w:id="726" w:name="_Toc512937850"/>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600" w:lineRule="exact"/>
        <w:jc w:val="center"/>
        <w:textAlignment w:val="auto"/>
        <w:rPr>
          <w:rFonts w:hint="eastAsia" w:hAnsi="宋体" w:cs="宋体"/>
          <w:color w:val="auto"/>
          <w:sz w:val="36"/>
          <w:szCs w:val="36"/>
          <w:lang w:val="en-US" w:eastAsia="zh-CN"/>
        </w:rPr>
      </w:pPr>
      <w:bookmarkStart w:id="727" w:name="_Toc15146"/>
      <w:bookmarkStart w:id="728" w:name="_Toc28359001"/>
      <w:bookmarkStart w:id="729" w:name="_Toc35393789"/>
      <w:bookmarkStart w:id="730" w:name="_Toc8409"/>
      <w:r>
        <w:rPr>
          <w:rFonts w:hint="eastAsia" w:hAnsi="宋体" w:cs="宋体"/>
          <w:color w:val="auto"/>
          <w:sz w:val="36"/>
          <w:szCs w:val="36"/>
          <w:lang w:val="en-US" w:eastAsia="zh-CN"/>
        </w:rPr>
        <w:t>喀什地区妇幼保健院信息化建设项目</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600" w:lineRule="exact"/>
        <w:jc w:val="center"/>
        <w:textAlignment w:val="auto"/>
        <w:rPr>
          <w:rFonts w:hint="eastAsia" w:ascii="宋体" w:hAnsi="宋体" w:eastAsia="宋体" w:cs="宋体"/>
          <w:color w:val="auto"/>
          <w:sz w:val="44"/>
          <w:szCs w:val="44"/>
        </w:rPr>
      </w:pPr>
      <w:r>
        <w:rPr>
          <w:rFonts w:hint="eastAsia" w:ascii="宋体" w:hAnsi="宋体" w:eastAsia="宋体" w:cs="宋体"/>
          <w:color w:val="auto"/>
          <w:sz w:val="36"/>
          <w:szCs w:val="36"/>
          <w:lang w:eastAsia="zh-CN"/>
        </w:rPr>
        <w:t>公开</w:t>
      </w:r>
      <w:r>
        <w:rPr>
          <w:rFonts w:hint="eastAsia" w:ascii="宋体" w:hAnsi="宋体" w:eastAsia="宋体" w:cs="宋体"/>
          <w:color w:val="auto"/>
          <w:sz w:val="36"/>
          <w:szCs w:val="36"/>
        </w:rPr>
        <w:t>招标公告</w:t>
      </w:r>
      <w:bookmarkEnd w:id="727"/>
      <w:bookmarkEnd w:id="728"/>
      <w:bookmarkEnd w:id="729"/>
      <w:bookmarkEnd w:id="730"/>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rPr>
      </w:pPr>
      <w:bookmarkStart w:id="731" w:name="_Toc28359002"/>
      <w:bookmarkStart w:id="732" w:name="_Toc15398"/>
      <w:bookmarkStart w:id="733" w:name="_Toc35393790"/>
      <w:bookmarkStart w:id="734" w:name="_Toc35393621"/>
      <w:bookmarkStart w:id="735" w:name="_Toc28359079"/>
      <w:bookmarkStart w:id="736" w:name="_Hlk24379207"/>
      <w:r>
        <w:rPr>
          <w:rFonts w:hint="eastAsia" w:ascii="宋体" w:hAnsi="宋体" w:cs="宋体"/>
          <w:color w:val="auto"/>
          <w:sz w:val="24"/>
          <w:szCs w:val="24"/>
          <w:lang w:eastAsia="zh-CN"/>
        </w:rPr>
        <w:t>喀什地区妇幼保健院信息化建设项目</w:t>
      </w:r>
      <w:r>
        <w:rPr>
          <w:rFonts w:hint="eastAsia" w:ascii="宋体" w:hAnsi="宋体" w:eastAsia="宋体" w:cs="宋体"/>
          <w:color w:val="auto"/>
          <w:sz w:val="24"/>
          <w:szCs w:val="24"/>
        </w:rPr>
        <w:t>的潜在供应商应在</w:t>
      </w:r>
      <w:r>
        <w:rPr>
          <w:rFonts w:hint="eastAsia" w:ascii="宋体" w:hAnsi="宋体" w:cs="宋体"/>
          <w:bCs/>
          <w:color w:val="auto"/>
          <w:sz w:val="24"/>
          <w:szCs w:val="24"/>
          <w:u w:val="none"/>
          <w:lang w:val="en-US" w:eastAsia="zh-CN"/>
        </w:rPr>
        <w:t>政采云平台获取</w:t>
      </w:r>
      <w:r>
        <w:rPr>
          <w:rFonts w:hint="eastAsia" w:ascii="宋体" w:hAnsi="宋体" w:eastAsia="宋体" w:cs="宋体"/>
          <w:color w:val="auto"/>
          <w:sz w:val="24"/>
          <w:szCs w:val="24"/>
        </w:rPr>
        <w:t>招标文件</w:t>
      </w:r>
      <w:r>
        <w:rPr>
          <w:rFonts w:hint="eastAsia" w:ascii="宋体" w:hAnsi="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bCs/>
          <w:color w:val="auto"/>
          <w:sz w:val="24"/>
          <w:szCs w:val="24"/>
          <w:u w:val="none"/>
          <w:lang w:eastAsia="zh-CN"/>
        </w:rPr>
        <w:t>2021年</w:t>
      </w:r>
      <w:r>
        <w:rPr>
          <w:rFonts w:hint="eastAsia" w:ascii="宋体" w:hAnsi="宋体" w:cs="宋体"/>
          <w:bCs/>
          <w:color w:val="auto"/>
          <w:sz w:val="24"/>
          <w:szCs w:val="24"/>
          <w:u w:val="none"/>
          <w:lang w:val="en-US" w:eastAsia="zh-CN"/>
        </w:rPr>
        <w:t>10</w:t>
      </w:r>
      <w:r>
        <w:rPr>
          <w:rFonts w:hint="eastAsia" w:ascii="宋体" w:hAnsi="宋体" w:eastAsia="宋体" w:cs="宋体"/>
          <w:bCs/>
          <w:color w:val="auto"/>
          <w:sz w:val="24"/>
          <w:szCs w:val="24"/>
          <w:u w:val="none"/>
          <w:lang w:eastAsia="zh-CN"/>
        </w:rPr>
        <w:t>月</w:t>
      </w:r>
      <w:r>
        <w:rPr>
          <w:rFonts w:hint="eastAsia" w:ascii="宋体" w:hAnsi="宋体" w:cs="宋体"/>
          <w:bCs/>
          <w:color w:val="auto"/>
          <w:sz w:val="24"/>
          <w:szCs w:val="24"/>
          <w:u w:val="none"/>
          <w:lang w:val="en-US" w:eastAsia="zh-CN"/>
        </w:rPr>
        <w:t>18</w:t>
      </w:r>
      <w:r>
        <w:rPr>
          <w:rFonts w:hint="eastAsia" w:ascii="宋体" w:hAnsi="宋体" w:eastAsia="宋体" w:cs="宋体"/>
          <w:bCs/>
          <w:color w:val="auto"/>
          <w:sz w:val="24"/>
          <w:szCs w:val="24"/>
          <w:u w:val="none"/>
          <w:lang w:eastAsia="zh-CN"/>
        </w:rPr>
        <w:t>日</w:t>
      </w:r>
      <w:r>
        <w:rPr>
          <w:rFonts w:hint="eastAsia" w:ascii="宋体" w:hAnsi="宋体" w:cs="宋体"/>
          <w:bCs/>
          <w:color w:val="auto"/>
          <w:sz w:val="24"/>
          <w:szCs w:val="24"/>
          <w:u w:val="none"/>
          <w:lang w:val="en-US" w:eastAsia="zh-CN"/>
        </w:rPr>
        <w:t>上</w:t>
      </w:r>
      <w:r>
        <w:rPr>
          <w:rFonts w:hint="eastAsia" w:ascii="宋体" w:hAnsi="宋体" w:eastAsia="宋体" w:cs="宋体"/>
          <w:bCs/>
          <w:color w:val="auto"/>
          <w:sz w:val="24"/>
          <w:szCs w:val="24"/>
          <w:u w:val="none"/>
          <w:lang w:eastAsia="zh-CN"/>
        </w:rPr>
        <w:t>午</w:t>
      </w:r>
      <w:r>
        <w:rPr>
          <w:rFonts w:hint="eastAsia" w:ascii="宋体" w:hAnsi="宋体" w:cs="宋体"/>
          <w:bCs/>
          <w:color w:val="auto"/>
          <w:sz w:val="24"/>
          <w:szCs w:val="24"/>
          <w:u w:val="none"/>
          <w:lang w:val="en-US" w:eastAsia="zh-CN"/>
        </w:rPr>
        <w:t>10</w:t>
      </w:r>
      <w:r>
        <w:rPr>
          <w:rFonts w:hint="eastAsia" w:ascii="宋体" w:hAnsi="宋体" w:eastAsia="宋体" w:cs="宋体"/>
          <w:bCs/>
          <w:color w:val="auto"/>
          <w:sz w:val="24"/>
          <w:szCs w:val="24"/>
          <w:u w:val="none"/>
          <w:lang w:eastAsia="zh-CN"/>
        </w:rPr>
        <w:t>点</w:t>
      </w:r>
      <w:r>
        <w:rPr>
          <w:rFonts w:hint="eastAsia" w:ascii="宋体" w:hAnsi="宋体" w:cs="宋体"/>
          <w:bCs/>
          <w:color w:val="auto"/>
          <w:sz w:val="24"/>
          <w:szCs w:val="24"/>
          <w:u w:val="none"/>
          <w:lang w:val="en-US" w:eastAsia="zh-CN"/>
        </w:rPr>
        <w:t>3</w:t>
      </w:r>
      <w:r>
        <w:rPr>
          <w:rFonts w:hint="eastAsia" w:ascii="宋体" w:hAnsi="宋体" w:eastAsia="宋体" w:cs="宋体"/>
          <w:bCs/>
          <w:color w:val="auto"/>
          <w:sz w:val="24"/>
          <w:szCs w:val="24"/>
          <w:u w:val="none"/>
          <w:lang w:eastAsia="zh-CN"/>
        </w:rPr>
        <w:t>0分（北京时间）</w:t>
      </w:r>
      <w:r>
        <w:rPr>
          <w:rFonts w:hint="eastAsia" w:ascii="宋体" w:hAnsi="宋体" w:eastAsia="宋体" w:cs="宋体"/>
          <w:color w:val="auto"/>
          <w:sz w:val="24"/>
          <w:szCs w:val="24"/>
        </w:rPr>
        <w:t>前提交投标文件。</w:t>
      </w:r>
    </w:p>
    <w:p>
      <w:pPr>
        <w:pStyle w:val="4"/>
        <w:pageBreakBefore w:val="0"/>
        <w:widowControl w:val="0"/>
        <w:kinsoku/>
        <w:wordWrap/>
        <w:overflowPunct/>
        <w:topLinePunct w:val="0"/>
        <w:autoSpaceDE/>
        <w:autoSpaceDN/>
        <w:bidi w:val="0"/>
        <w:adjustRightInd/>
        <w:snapToGrid/>
        <w:spacing w:before="0" w:after="0" w:line="400" w:lineRule="exact"/>
        <w:ind w:left="0" w:leftChars="0"/>
        <w:jc w:val="left"/>
        <w:textAlignment w:val="auto"/>
        <w:rPr>
          <w:rFonts w:hint="eastAsia" w:ascii="宋体" w:hAnsi="宋体" w:eastAsia="宋体" w:cs="宋体"/>
          <w:b/>
          <w:bCs w:val="0"/>
          <w:color w:val="auto"/>
          <w:sz w:val="24"/>
          <w:szCs w:val="24"/>
        </w:rPr>
      </w:pPr>
      <w:bookmarkStart w:id="737" w:name="_Toc22343"/>
      <w:r>
        <w:rPr>
          <w:rFonts w:hint="eastAsia" w:ascii="宋体" w:hAnsi="宋体" w:eastAsia="宋体" w:cs="宋体"/>
          <w:b/>
          <w:bCs w:val="0"/>
          <w:color w:val="auto"/>
          <w:sz w:val="24"/>
          <w:szCs w:val="24"/>
        </w:rPr>
        <w:t>一、项目基本情况</w:t>
      </w:r>
      <w:bookmarkEnd w:id="731"/>
      <w:bookmarkEnd w:id="732"/>
      <w:bookmarkEnd w:id="733"/>
      <w:bookmarkEnd w:id="734"/>
      <w:bookmarkEnd w:id="735"/>
      <w:bookmarkEnd w:id="737"/>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项目编号：</w:t>
      </w:r>
      <w:bookmarkStart w:id="1844" w:name="_GoBack"/>
      <w:r>
        <w:rPr>
          <w:rFonts w:hint="eastAsia" w:ascii="宋体" w:hAnsi="宋体" w:cs="宋体"/>
          <w:color w:val="auto"/>
          <w:sz w:val="24"/>
          <w:szCs w:val="24"/>
          <w:lang w:eastAsia="zh-CN"/>
        </w:rPr>
        <w:t>ZJ(GK)-210</w:t>
      </w:r>
      <w:r>
        <w:rPr>
          <w:rFonts w:hint="eastAsia" w:ascii="宋体" w:hAnsi="宋体" w:cs="宋体"/>
          <w:color w:val="auto"/>
          <w:sz w:val="24"/>
          <w:szCs w:val="24"/>
          <w:lang w:val="en-US" w:eastAsia="zh-CN"/>
        </w:rPr>
        <w:t>94</w:t>
      </w:r>
      <w:bookmarkEnd w:id="1844"/>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项目名称</w:t>
      </w:r>
      <w:bookmarkEnd w:id="736"/>
      <w:r>
        <w:rPr>
          <w:rFonts w:hint="eastAsia" w:ascii="宋体" w:hAnsi="宋体" w:cs="宋体"/>
          <w:color w:val="auto"/>
          <w:sz w:val="24"/>
          <w:szCs w:val="24"/>
          <w:lang w:eastAsia="zh-CN"/>
        </w:rPr>
        <w:t>：喀什地区妇幼保健院信息化建设项目</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预算金额：</w:t>
      </w:r>
      <w:r>
        <w:rPr>
          <w:rFonts w:hint="eastAsia" w:ascii="宋体" w:hAnsi="宋体" w:cs="宋体"/>
          <w:color w:val="auto"/>
          <w:sz w:val="24"/>
          <w:szCs w:val="24"/>
          <w:lang w:val="en-US" w:eastAsia="zh-CN"/>
        </w:rPr>
        <w:t>700</w:t>
      </w:r>
      <w:r>
        <w:rPr>
          <w:rFonts w:hint="eastAsia" w:ascii="宋体" w:hAnsi="宋体" w:eastAsia="宋体" w:cs="宋体"/>
          <w:color w:val="auto"/>
          <w:sz w:val="24"/>
          <w:szCs w:val="24"/>
          <w:lang w:val="en-US" w:eastAsia="zh-CN"/>
        </w:rPr>
        <w:t>0000.00元；</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采购需求：</w:t>
      </w:r>
      <w:r>
        <w:rPr>
          <w:rFonts w:hint="eastAsia" w:ascii="宋体" w:hAnsi="宋体" w:eastAsia="宋体" w:cs="宋体"/>
          <w:color w:val="auto"/>
          <w:sz w:val="24"/>
          <w:szCs w:val="24"/>
          <w:lang w:val="en-US" w:eastAsia="zh-CN"/>
        </w:rPr>
        <w:t>信息化建设</w:t>
      </w:r>
      <w:r>
        <w:rPr>
          <w:rFonts w:hint="eastAsia" w:ascii="宋体" w:hAnsi="宋体" w:cs="宋体"/>
          <w:color w:val="auto"/>
          <w:kern w:val="2"/>
          <w:sz w:val="24"/>
          <w:szCs w:val="24"/>
          <w:lang w:val="en-US" w:eastAsia="zh-CN" w:bidi="ar-SA"/>
        </w:rPr>
        <w:t>。（详细数量规格参数见招标文件）</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color w:val="auto"/>
          <w:sz w:val="24"/>
          <w:szCs w:val="24"/>
          <w:lang w:val="en-US" w:eastAsia="zh-CN"/>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本项目不接受联合体投标。</w:t>
      </w:r>
    </w:p>
    <w:p>
      <w:pPr>
        <w:pStyle w:val="4"/>
        <w:pageBreakBefore w:val="0"/>
        <w:widowControl w:val="0"/>
        <w:kinsoku/>
        <w:wordWrap/>
        <w:overflowPunct/>
        <w:topLinePunct w:val="0"/>
        <w:autoSpaceDE/>
        <w:autoSpaceDN/>
        <w:bidi w:val="0"/>
        <w:adjustRightInd/>
        <w:snapToGrid/>
        <w:spacing w:before="0" w:after="0" w:line="400" w:lineRule="exact"/>
        <w:ind w:left="0" w:leftChars="0"/>
        <w:jc w:val="left"/>
        <w:textAlignment w:val="auto"/>
        <w:rPr>
          <w:rFonts w:hint="eastAsia" w:ascii="宋体" w:hAnsi="宋体" w:eastAsia="宋体" w:cs="宋体"/>
          <w:b/>
          <w:bCs w:val="0"/>
          <w:color w:val="auto"/>
          <w:sz w:val="24"/>
          <w:szCs w:val="24"/>
        </w:rPr>
      </w:pPr>
      <w:bookmarkStart w:id="738" w:name="_Toc35393791"/>
      <w:bookmarkStart w:id="739" w:name="_Toc28359003"/>
      <w:bookmarkStart w:id="740" w:name="_Toc13330"/>
      <w:bookmarkStart w:id="741" w:name="_Toc28359080"/>
      <w:bookmarkStart w:id="742" w:name="_Toc35393622"/>
      <w:bookmarkStart w:id="743" w:name="_Toc25823"/>
      <w:r>
        <w:rPr>
          <w:rFonts w:hint="eastAsia" w:ascii="宋体" w:hAnsi="宋体" w:eastAsia="宋体" w:cs="宋体"/>
          <w:b/>
          <w:bCs w:val="0"/>
          <w:color w:val="auto"/>
          <w:sz w:val="24"/>
          <w:szCs w:val="24"/>
        </w:rPr>
        <w:t>二、申请人的资格要求：</w:t>
      </w:r>
      <w:bookmarkEnd w:id="738"/>
      <w:bookmarkEnd w:id="739"/>
      <w:bookmarkEnd w:id="740"/>
      <w:bookmarkEnd w:id="741"/>
      <w:bookmarkEnd w:id="742"/>
      <w:bookmarkEnd w:id="743"/>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lang w:val="en-US" w:eastAsia="zh-CN" w:bidi="ar-SA"/>
        </w:rPr>
      </w:pPr>
      <w:bookmarkStart w:id="744" w:name="_Toc35393792"/>
      <w:bookmarkStart w:id="745" w:name="_Toc707"/>
      <w:bookmarkStart w:id="746" w:name="_Toc28359004"/>
      <w:bookmarkStart w:id="747" w:name="_Toc28359081"/>
      <w:bookmarkStart w:id="748" w:name="_Toc35393623"/>
      <w:r>
        <w:rPr>
          <w:rFonts w:hint="eastAsia" w:ascii="宋体" w:hAnsi="宋体" w:eastAsia="宋体" w:cs="宋体"/>
          <w:color w:val="auto"/>
          <w:kern w:val="2"/>
          <w:sz w:val="24"/>
          <w:szCs w:val="24"/>
          <w:lang w:val="en-US" w:eastAsia="zh-CN" w:bidi="ar-SA"/>
        </w:rPr>
        <w:t>1.满足《中</w:t>
      </w:r>
      <w:r>
        <w:rPr>
          <w:rFonts w:hint="eastAsia" w:ascii="宋体" w:hAnsi="宋体" w:eastAsia="宋体" w:cs="宋体"/>
          <w:b w:val="0"/>
          <w:bCs w:val="0"/>
          <w:color w:val="auto"/>
          <w:kern w:val="2"/>
          <w:sz w:val="24"/>
          <w:szCs w:val="24"/>
          <w:lang w:val="en-US" w:eastAsia="zh-CN" w:bidi="ar-SA"/>
        </w:rPr>
        <w:t>华人民</w:t>
      </w:r>
      <w:r>
        <w:rPr>
          <w:rFonts w:hint="eastAsia" w:ascii="宋体" w:hAnsi="宋体" w:eastAsia="宋体" w:cs="宋体"/>
          <w:color w:val="auto"/>
          <w:kern w:val="2"/>
          <w:sz w:val="24"/>
          <w:szCs w:val="24"/>
          <w:lang w:val="en-US" w:eastAsia="zh-CN" w:bidi="ar-SA"/>
        </w:rPr>
        <w:t>共和国政府采购法》第二十二条规定；</w:t>
      </w:r>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en-US" w:eastAsia="zh-CN" w:bidi="ar-SA"/>
        </w:rPr>
        <w:t>具有</w:t>
      </w:r>
      <w:r>
        <w:rPr>
          <w:rFonts w:hint="eastAsia" w:ascii="宋体" w:hAnsi="宋体" w:eastAsia="宋体" w:cs="宋体"/>
          <w:b w:val="0"/>
          <w:bCs w:val="0"/>
          <w:color w:val="auto"/>
          <w:kern w:val="2"/>
          <w:sz w:val="24"/>
          <w:szCs w:val="24"/>
          <w:lang w:val="en-US" w:eastAsia="zh-CN" w:bidi="ar-SA"/>
        </w:rPr>
        <w:t>有效的</w:t>
      </w:r>
      <w:r>
        <w:rPr>
          <w:rFonts w:hint="eastAsia" w:ascii="宋体" w:hAnsi="宋体" w:cs="宋体"/>
          <w:b w:val="0"/>
          <w:bCs w:val="0"/>
          <w:color w:val="auto"/>
          <w:kern w:val="2"/>
          <w:sz w:val="24"/>
          <w:szCs w:val="24"/>
          <w:lang w:val="en-US" w:eastAsia="zh-CN" w:bidi="ar-SA"/>
        </w:rPr>
        <w:t>独立</w:t>
      </w:r>
      <w:r>
        <w:rPr>
          <w:rFonts w:hint="eastAsia" w:ascii="宋体" w:hAnsi="宋体" w:eastAsia="宋体" w:cs="宋体"/>
          <w:b w:val="0"/>
          <w:bCs w:val="0"/>
          <w:color w:val="auto"/>
          <w:kern w:val="2"/>
          <w:sz w:val="24"/>
          <w:szCs w:val="24"/>
          <w:lang w:val="en-US" w:eastAsia="zh-CN" w:bidi="ar-SA"/>
        </w:rPr>
        <w:t>法人营业执照；</w:t>
      </w:r>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法人代表资格证明书及授权书、被授权人身份证；(法人投标</w:t>
      </w:r>
      <w:r>
        <w:rPr>
          <w:rFonts w:hint="eastAsia" w:ascii="宋体" w:hAnsi="宋体" w:cs="宋体"/>
          <w:b w:val="0"/>
          <w:bCs w:val="0"/>
          <w:color w:val="auto"/>
          <w:kern w:val="2"/>
          <w:sz w:val="24"/>
          <w:szCs w:val="24"/>
          <w:lang w:val="en-US" w:eastAsia="zh-CN" w:bidi="ar-SA"/>
        </w:rPr>
        <w:t>须</w:t>
      </w:r>
      <w:r>
        <w:rPr>
          <w:rFonts w:hint="eastAsia" w:ascii="宋体" w:hAnsi="宋体" w:eastAsia="宋体" w:cs="宋体"/>
          <w:b w:val="0"/>
          <w:bCs w:val="0"/>
          <w:color w:val="auto"/>
          <w:kern w:val="2"/>
          <w:sz w:val="24"/>
          <w:szCs w:val="24"/>
          <w:lang w:val="en-US" w:eastAsia="zh-CN" w:bidi="ar-SA"/>
        </w:rPr>
        <w:t>提供法人身份证及法人代表资格证明书)</w:t>
      </w:r>
      <w:r>
        <w:rPr>
          <w:rFonts w:hint="eastAsia" w:ascii="宋体" w:hAnsi="宋体" w:cs="宋体"/>
          <w:b w:val="0"/>
          <w:bCs w:val="0"/>
          <w:color w:val="auto"/>
          <w:kern w:val="2"/>
          <w:sz w:val="24"/>
          <w:szCs w:val="24"/>
          <w:lang w:val="en-US" w:eastAsia="zh-CN" w:bidi="ar-SA"/>
        </w:rPr>
        <w:t>；</w:t>
      </w:r>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en-US" w:eastAsia="zh-CN" w:bidi="ar-SA"/>
        </w:rPr>
        <w:t>.财务状况报告近二年任意一年经审计的财务报告</w:t>
      </w:r>
      <w:r>
        <w:rPr>
          <w:rFonts w:hint="eastAsia" w:ascii="宋体" w:hAnsi="宋体" w:cs="宋体"/>
          <w:b w:val="0"/>
          <w:bCs w:val="0"/>
          <w:color w:val="auto"/>
          <w:kern w:val="2"/>
          <w:sz w:val="24"/>
          <w:szCs w:val="24"/>
          <w:lang w:val="en-US" w:eastAsia="zh-CN" w:bidi="ar-SA"/>
        </w:rPr>
        <w:t>,或新公司</w:t>
      </w:r>
      <w:r>
        <w:rPr>
          <w:rFonts w:hint="eastAsia" w:ascii="宋体" w:hAnsi="宋体" w:eastAsia="宋体" w:cs="宋体"/>
          <w:b w:val="0"/>
          <w:bCs w:val="0"/>
          <w:color w:val="auto"/>
          <w:kern w:val="2"/>
          <w:sz w:val="24"/>
          <w:szCs w:val="24"/>
          <w:lang w:val="en-US" w:eastAsia="zh-CN" w:bidi="ar-SA"/>
        </w:rPr>
        <w:t>出具近6个月任意一个月的银行资信证明；</w:t>
      </w:r>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.依法缴纳近6个月任意一个月社会保险的凭据；</w:t>
      </w:r>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en-US" w:eastAsia="zh-CN" w:bidi="ar-SA"/>
        </w:rPr>
        <w:t>.提供税务部门出具的近6个月任意一个月的完税证明；</w:t>
      </w:r>
    </w:p>
    <w:p>
      <w:pPr>
        <w:pStyle w:val="2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7</w:t>
      </w: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参与政府采购活动前3年内未被列入失信、重大税收违法案件、财政部门禁止参加政府采购活动的承诺书；</w:t>
      </w:r>
    </w:p>
    <w:p>
      <w:pPr>
        <w:pStyle w:val="20"/>
        <w:pageBreakBefore w:val="0"/>
        <w:widowControl w:val="0"/>
        <w:kinsoku/>
        <w:wordWrap/>
        <w:overflowPunct/>
        <w:topLinePunct w:val="0"/>
        <w:bidi w:val="0"/>
        <w:snapToGrid/>
        <w:spacing w:line="400" w:lineRule="exact"/>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w:t>
      </w:r>
      <w:r>
        <w:rPr>
          <w:rFonts w:hint="eastAsia" w:ascii="宋体" w:hAnsi="宋体" w:eastAsia="宋体" w:cs="宋体"/>
          <w:b w:val="0"/>
          <w:bCs w:val="0"/>
          <w:color w:val="auto"/>
          <w:kern w:val="2"/>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以招标代理或招标人查询为准）</w:t>
      </w:r>
    </w:p>
    <w:p>
      <w:pPr>
        <w:pStyle w:val="2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提供针对本次项目《反商业贿赂承诺书》。</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宋体" w:hAnsi="宋体" w:eastAsia="宋体" w:cs="宋体"/>
          <w:b/>
          <w:bCs w:val="0"/>
          <w:color w:val="auto"/>
          <w:sz w:val="24"/>
          <w:szCs w:val="24"/>
        </w:rPr>
      </w:pPr>
      <w:bookmarkStart w:id="749" w:name="_Toc26749"/>
      <w:r>
        <w:rPr>
          <w:rFonts w:hint="eastAsia" w:ascii="宋体" w:hAnsi="宋体" w:eastAsia="宋体" w:cs="宋体"/>
          <w:b/>
          <w:bCs w:val="0"/>
          <w:color w:val="auto"/>
          <w:sz w:val="24"/>
          <w:szCs w:val="24"/>
        </w:rPr>
        <w:t>三、获取招标文件</w:t>
      </w:r>
      <w:bookmarkEnd w:id="744"/>
      <w:bookmarkEnd w:id="745"/>
      <w:bookmarkEnd w:id="746"/>
      <w:bookmarkEnd w:id="747"/>
      <w:bookmarkEnd w:id="748"/>
      <w:bookmarkEnd w:id="749"/>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获取招标文件地点：政采云平台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（https://login.zcygov.cn/user-login/#/login）</w:t>
      </w:r>
    </w:p>
    <w:p>
      <w:pPr>
        <w:pageBreakBefore w:val="0"/>
        <w:widowControl w:val="0"/>
        <w:kinsoku/>
        <w:wordWrap/>
        <w:overflowPunct/>
        <w:topLinePunct w:val="0"/>
        <w:bidi w:val="0"/>
        <w:snapToGrid/>
        <w:spacing w:line="400" w:lineRule="exact"/>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获取招标文件方式：政采云平台</w:t>
      </w:r>
    </w:p>
    <w:p>
      <w:pPr>
        <w:pageBreakBefore w:val="0"/>
        <w:widowControl w:val="0"/>
        <w:kinsoku/>
        <w:wordWrap/>
        <w:overflowPunct/>
        <w:topLinePunct w:val="0"/>
        <w:bidi w:val="0"/>
        <w:snapToGrid/>
        <w:spacing w:line="400" w:lineRule="exact"/>
        <w:ind w:firstLine="54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获取时间：2021年</w:t>
      </w: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月</w:t>
      </w:r>
      <w:r>
        <w:rPr>
          <w:rFonts w:hint="eastAsia" w:ascii="宋体" w:hAnsi="宋体" w:cs="宋体"/>
          <w:b w:val="0"/>
          <w:bCs w:val="0"/>
          <w:color w:val="auto"/>
          <w:kern w:val="2"/>
          <w:sz w:val="24"/>
          <w:szCs w:val="24"/>
          <w:lang w:val="en-US" w:eastAsia="zh-CN" w:bidi="ar-SA"/>
        </w:rPr>
        <w:t>28</w:t>
      </w:r>
      <w:r>
        <w:rPr>
          <w:rFonts w:hint="eastAsia" w:ascii="宋体" w:hAnsi="宋体" w:eastAsia="宋体" w:cs="宋体"/>
          <w:b w:val="0"/>
          <w:bCs w:val="0"/>
          <w:color w:val="auto"/>
          <w:kern w:val="2"/>
          <w:sz w:val="24"/>
          <w:szCs w:val="24"/>
          <w:lang w:val="en-US" w:eastAsia="zh-CN" w:bidi="ar-SA"/>
        </w:rPr>
        <w:t>日起至2021年</w:t>
      </w:r>
      <w:r>
        <w:rPr>
          <w:rFonts w:hint="eastAsia" w:ascii="宋体" w:hAnsi="宋体" w:cs="宋体"/>
          <w:b w:val="0"/>
          <w:bCs w:val="0"/>
          <w:color w:val="auto"/>
          <w:kern w:val="2"/>
          <w:sz w:val="24"/>
          <w:szCs w:val="24"/>
          <w:lang w:val="en-US" w:eastAsia="zh-CN" w:bidi="ar-SA"/>
        </w:rPr>
        <w:t>10</w:t>
      </w:r>
      <w:r>
        <w:rPr>
          <w:rFonts w:hint="eastAsia" w:ascii="宋体" w:hAnsi="宋体" w:eastAsia="宋体" w:cs="宋体"/>
          <w:b w:val="0"/>
          <w:bCs w:val="0"/>
          <w:color w:val="auto"/>
          <w:kern w:val="2"/>
          <w:sz w:val="24"/>
          <w:szCs w:val="24"/>
          <w:lang w:val="en-US" w:eastAsia="zh-CN" w:bidi="ar-SA"/>
        </w:rPr>
        <w:t>月</w:t>
      </w:r>
      <w:r>
        <w:rPr>
          <w:rFonts w:hint="eastAsia" w:ascii="宋体" w:hAnsi="宋体" w:cs="宋体"/>
          <w:b w:val="0"/>
          <w:bCs w:val="0"/>
          <w:color w:val="auto"/>
          <w:kern w:val="2"/>
          <w:sz w:val="24"/>
          <w:szCs w:val="24"/>
          <w:lang w:val="en-US" w:eastAsia="zh-CN" w:bidi="ar-SA"/>
        </w:rPr>
        <w:t>9</w:t>
      </w:r>
      <w:r>
        <w:rPr>
          <w:rFonts w:hint="eastAsia" w:ascii="宋体" w:hAnsi="宋体" w:eastAsia="宋体" w:cs="宋体"/>
          <w:b w:val="0"/>
          <w:bCs w:val="0"/>
          <w:color w:val="auto"/>
          <w:kern w:val="2"/>
          <w:sz w:val="24"/>
          <w:szCs w:val="24"/>
          <w:lang w:val="en-US" w:eastAsia="zh-CN" w:bidi="ar-SA"/>
        </w:rPr>
        <w:t>日，每天上午10:00-14:00时，下午16:00-19:30时（北京时间，法定节假日除外）</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宋体" w:hAnsi="宋体" w:eastAsia="宋体" w:cs="宋体"/>
          <w:b/>
          <w:bCs w:val="0"/>
          <w:color w:val="auto"/>
          <w:sz w:val="24"/>
          <w:szCs w:val="24"/>
        </w:rPr>
      </w:pPr>
      <w:bookmarkStart w:id="750" w:name="_Toc28359005"/>
      <w:bookmarkStart w:id="751" w:name="_Toc28359082"/>
      <w:bookmarkStart w:id="752" w:name="_Toc8680"/>
      <w:bookmarkStart w:id="753" w:name="_Toc35393793"/>
      <w:bookmarkStart w:id="754" w:name="_Toc35393624"/>
      <w:r>
        <w:rPr>
          <w:rFonts w:hint="eastAsia" w:ascii="宋体" w:hAnsi="宋体" w:eastAsia="宋体" w:cs="宋体"/>
          <w:b/>
          <w:bCs w:val="0"/>
          <w:color w:val="auto"/>
          <w:sz w:val="24"/>
          <w:szCs w:val="24"/>
        </w:rPr>
        <w:t>四、提交投标文件</w:t>
      </w:r>
      <w:bookmarkEnd w:id="750"/>
      <w:bookmarkEnd w:id="751"/>
      <w:r>
        <w:rPr>
          <w:rFonts w:hint="eastAsia" w:ascii="宋体" w:hAnsi="宋体" w:eastAsia="宋体" w:cs="宋体"/>
          <w:b/>
          <w:bCs w:val="0"/>
          <w:color w:val="auto"/>
          <w:sz w:val="24"/>
          <w:szCs w:val="24"/>
        </w:rPr>
        <w:t>截止时间、开标时间和地点</w:t>
      </w:r>
      <w:bookmarkEnd w:id="752"/>
      <w:bookmarkEnd w:id="753"/>
      <w:bookmarkEnd w:id="754"/>
    </w:p>
    <w:p>
      <w:pPr>
        <w:pageBreakBefore w:val="0"/>
        <w:widowControl w:val="0"/>
        <w:kinsoku/>
        <w:wordWrap/>
        <w:overflowPunct/>
        <w:topLinePunct w:val="0"/>
        <w:bidi w:val="0"/>
        <w:snapToGrid/>
        <w:spacing w:line="400" w:lineRule="exact"/>
        <w:ind w:left="0" w:leftChars="0" w:firstLine="480" w:firstLineChars="200"/>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lang w:eastAsia="zh-CN"/>
        </w:rPr>
        <w:t>时间：2021年</w:t>
      </w:r>
      <w:r>
        <w:rPr>
          <w:rFonts w:hint="eastAsia" w:ascii="宋体" w:hAnsi="宋体" w:cs="宋体"/>
          <w:bCs/>
          <w:color w:val="auto"/>
          <w:sz w:val="24"/>
          <w:szCs w:val="24"/>
          <w:u w:val="none"/>
          <w:lang w:val="en-US" w:eastAsia="zh-CN"/>
        </w:rPr>
        <w:t>10</w:t>
      </w:r>
      <w:r>
        <w:rPr>
          <w:rFonts w:hint="eastAsia" w:ascii="宋体" w:hAnsi="宋体" w:eastAsia="宋体" w:cs="宋体"/>
          <w:bCs/>
          <w:color w:val="auto"/>
          <w:sz w:val="24"/>
          <w:szCs w:val="24"/>
          <w:u w:val="none"/>
          <w:lang w:eastAsia="zh-CN"/>
        </w:rPr>
        <w:t>月</w:t>
      </w:r>
      <w:r>
        <w:rPr>
          <w:rFonts w:hint="eastAsia" w:ascii="宋体" w:hAnsi="宋体" w:cs="宋体"/>
          <w:bCs/>
          <w:color w:val="auto"/>
          <w:sz w:val="24"/>
          <w:szCs w:val="24"/>
          <w:u w:val="none"/>
          <w:lang w:val="en-US" w:eastAsia="zh-CN"/>
        </w:rPr>
        <w:t>18</w:t>
      </w:r>
      <w:r>
        <w:rPr>
          <w:rFonts w:hint="eastAsia" w:ascii="宋体" w:hAnsi="宋体" w:eastAsia="宋体" w:cs="宋体"/>
          <w:bCs/>
          <w:color w:val="auto"/>
          <w:sz w:val="24"/>
          <w:szCs w:val="24"/>
          <w:u w:val="none"/>
          <w:lang w:eastAsia="zh-CN"/>
        </w:rPr>
        <w:t>日</w:t>
      </w:r>
      <w:r>
        <w:rPr>
          <w:rFonts w:hint="eastAsia" w:ascii="宋体" w:hAnsi="宋体" w:cs="宋体"/>
          <w:bCs/>
          <w:color w:val="auto"/>
          <w:sz w:val="24"/>
          <w:szCs w:val="24"/>
          <w:u w:val="none"/>
          <w:lang w:val="en-US" w:eastAsia="zh-CN"/>
        </w:rPr>
        <w:t>上</w:t>
      </w:r>
      <w:r>
        <w:rPr>
          <w:rFonts w:hint="eastAsia" w:ascii="宋体" w:hAnsi="宋体" w:eastAsia="宋体" w:cs="宋体"/>
          <w:bCs/>
          <w:color w:val="auto"/>
          <w:sz w:val="24"/>
          <w:szCs w:val="24"/>
          <w:u w:val="none"/>
          <w:lang w:eastAsia="zh-CN"/>
        </w:rPr>
        <w:t>午</w:t>
      </w:r>
      <w:r>
        <w:rPr>
          <w:rFonts w:hint="eastAsia" w:ascii="宋体" w:hAnsi="宋体" w:cs="宋体"/>
          <w:bCs/>
          <w:color w:val="auto"/>
          <w:sz w:val="24"/>
          <w:szCs w:val="24"/>
          <w:u w:val="none"/>
          <w:lang w:val="en-US" w:eastAsia="zh-CN"/>
        </w:rPr>
        <w:t>10</w:t>
      </w:r>
      <w:r>
        <w:rPr>
          <w:rFonts w:hint="eastAsia" w:ascii="宋体" w:hAnsi="宋体" w:eastAsia="宋体" w:cs="宋体"/>
          <w:bCs/>
          <w:color w:val="auto"/>
          <w:sz w:val="24"/>
          <w:szCs w:val="24"/>
          <w:u w:val="none"/>
          <w:lang w:eastAsia="zh-CN"/>
        </w:rPr>
        <w:t>点</w:t>
      </w:r>
      <w:r>
        <w:rPr>
          <w:rFonts w:hint="eastAsia" w:ascii="宋体" w:hAnsi="宋体" w:cs="宋体"/>
          <w:bCs/>
          <w:color w:val="auto"/>
          <w:sz w:val="24"/>
          <w:szCs w:val="24"/>
          <w:u w:val="none"/>
          <w:lang w:val="en-US" w:eastAsia="zh-CN"/>
        </w:rPr>
        <w:t>3</w:t>
      </w:r>
      <w:r>
        <w:rPr>
          <w:rFonts w:hint="eastAsia" w:ascii="宋体" w:hAnsi="宋体" w:eastAsia="宋体" w:cs="宋体"/>
          <w:bCs/>
          <w:color w:val="auto"/>
          <w:sz w:val="24"/>
          <w:szCs w:val="24"/>
          <w:u w:val="none"/>
          <w:lang w:eastAsia="zh-CN"/>
        </w:rPr>
        <w:t>0分（北京时间）</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55" w:name="_Toc3207"/>
      <w:r>
        <w:rPr>
          <w:rFonts w:hint="eastAsia" w:ascii="宋体" w:hAnsi="宋体" w:eastAsia="宋体" w:cs="宋体"/>
          <w:b w:val="0"/>
          <w:bCs/>
          <w:color w:val="auto"/>
          <w:kern w:val="2"/>
          <w:sz w:val="24"/>
          <w:szCs w:val="24"/>
          <w:u w:val="none"/>
          <w:lang w:val="en-US" w:eastAsia="zh-CN" w:bidi="ar-SA"/>
        </w:rPr>
        <w:t>地点：</w:t>
      </w:r>
      <w:bookmarkEnd w:id="755"/>
      <w:bookmarkStart w:id="756" w:name="_Toc28359084"/>
      <w:bookmarkStart w:id="757" w:name="_Toc10792"/>
      <w:bookmarkStart w:id="758" w:name="_Toc35393794"/>
      <w:bookmarkStart w:id="759" w:name="_Toc28359007"/>
      <w:bookmarkStart w:id="760" w:name="_Toc35393625"/>
      <w:r>
        <w:rPr>
          <w:rFonts w:hint="eastAsia" w:ascii="宋体" w:hAnsi="宋体" w:eastAsia="宋体" w:cs="宋体"/>
          <w:b w:val="0"/>
          <w:bCs/>
          <w:color w:val="auto"/>
          <w:kern w:val="2"/>
          <w:sz w:val="24"/>
          <w:szCs w:val="24"/>
          <w:u w:val="none"/>
          <w:lang w:val="en-US" w:eastAsia="zh-CN" w:bidi="ar-SA"/>
        </w:rPr>
        <w:t xml:space="preserve">喀什市吐曼路1号财富大厦6楼612室 </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宋体" w:hAnsi="宋体" w:eastAsia="宋体" w:cs="宋体"/>
          <w:b/>
          <w:bCs w:val="0"/>
          <w:color w:val="auto"/>
          <w:sz w:val="24"/>
          <w:szCs w:val="24"/>
        </w:rPr>
      </w:pPr>
      <w:bookmarkStart w:id="761" w:name="_Toc7415"/>
      <w:r>
        <w:rPr>
          <w:rFonts w:hint="eastAsia" w:ascii="宋体" w:hAnsi="宋体" w:eastAsia="宋体" w:cs="宋体"/>
          <w:b/>
          <w:bCs w:val="0"/>
          <w:color w:val="auto"/>
          <w:sz w:val="24"/>
          <w:szCs w:val="24"/>
        </w:rPr>
        <w:t>五、公告期限</w:t>
      </w:r>
      <w:bookmarkEnd w:id="756"/>
      <w:bookmarkEnd w:id="757"/>
      <w:bookmarkEnd w:id="758"/>
      <w:bookmarkEnd w:id="759"/>
      <w:bookmarkEnd w:id="760"/>
      <w:bookmarkEnd w:id="761"/>
    </w:p>
    <w:p>
      <w:pPr>
        <w:pageBreakBefore w:val="0"/>
        <w:widowControl w:val="0"/>
        <w:kinsoku/>
        <w:wordWrap/>
        <w:overflowPunct/>
        <w:topLinePunct w:val="0"/>
        <w:bidi w:val="0"/>
        <w:snapToGrid/>
        <w:spacing w:line="400" w:lineRule="exact"/>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宋体" w:hAnsi="宋体" w:eastAsia="宋体" w:cs="宋体"/>
          <w:b/>
          <w:bCs w:val="0"/>
          <w:color w:val="auto"/>
          <w:sz w:val="24"/>
          <w:szCs w:val="24"/>
        </w:rPr>
      </w:pPr>
      <w:bookmarkStart w:id="762" w:name="_Toc28359085"/>
      <w:bookmarkStart w:id="763" w:name="_Toc35393627"/>
      <w:bookmarkStart w:id="764" w:name="_Toc28359008"/>
      <w:bookmarkStart w:id="765" w:name="_Toc1323"/>
      <w:bookmarkStart w:id="766" w:name="_Toc35393796"/>
      <w:bookmarkStart w:id="767" w:name="_Toc31725"/>
      <w:r>
        <w:rPr>
          <w:rFonts w:hint="eastAsia" w:ascii="宋体" w:hAnsi="宋体" w:eastAsia="宋体" w:cs="宋体"/>
          <w:b/>
          <w:bCs w:val="0"/>
          <w:color w:val="auto"/>
          <w:sz w:val="24"/>
          <w:szCs w:val="24"/>
          <w:lang w:eastAsia="zh-CN"/>
        </w:rPr>
        <w:t>六、</w:t>
      </w:r>
      <w:r>
        <w:rPr>
          <w:rFonts w:hint="eastAsia" w:ascii="宋体" w:hAnsi="宋体" w:eastAsia="宋体" w:cs="宋体"/>
          <w:b/>
          <w:bCs w:val="0"/>
          <w:color w:val="auto"/>
          <w:sz w:val="24"/>
          <w:szCs w:val="24"/>
        </w:rPr>
        <w:t>对本次招标提出询问，请按以下方式联系。</w:t>
      </w:r>
      <w:bookmarkEnd w:id="762"/>
      <w:bookmarkEnd w:id="763"/>
      <w:bookmarkEnd w:id="764"/>
      <w:bookmarkEnd w:id="765"/>
      <w:bookmarkEnd w:id="766"/>
      <w:bookmarkEnd w:id="767"/>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68" w:name="_Toc35393637"/>
      <w:bookmarkStart w:id="769" w:name="_Toc28359019"/>
      <w:bookmarkStart w:id="770" w:name="_Toc28359096"/>
      <w:bookmarkStart w:id="771" w:name="_Toc27308"/>
      <w:bookmarkStart w:id="772" w:name="_Toc35393806"/>
      <w:r>
        <w:rPr>
          <w:rFonts w:hint="eastAsia" w:ascii="宋体" w:hAnsi="宋体" w:eastAsia="宋体" w:cs="宋体"/>
          <w:b w:val="0"/>
          <w:bCs/>
          <w:color w:val="auto"/>
          <w:kern w:val="2"/>
          <w:sz w:val="24"/>
          <w:szCs w:val="24"/>
          <w:u w:val="none"/>
          <w:lang w:val="en-US" w:eastAsia="zh-CN" w:bidi="ar-SA"/>
        </w:rPr>
        <w:t>1.采购人信息</w:t>
      </w:r>
      <w:bookmarkEnd w:id="768"/>
      <w:bookmarkEnd w:id="769"/>
      <w:bookmarkEnd w:id="770"/>
      <w:bookmarkEnd w:id="771"/>
      <w:bookmarkEnd w:id="772"/>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default" w:ascii="宋体" w:hAnsi="宋体" w:eastAsia="宋体" w:cs="宋体"/>
          <w:b w:val="0"/>
          <w:bCs/>
          <w:color w:val="auto"/>
          <w:kern w:val="2"/>
          <w:sz w:val="24"/>
          <w:szCs w:val="24"/>
          <w:u w:val="single"/>
          <w:lang w:val="en-US" w:eastAsia="zh-CN" w:bidi="ar-SA"/>
        </w:rPr>
      </w:pPr>
      <w:bookmarkStart w:id="773" w:name="_Toc1592"/>
      <w:r>
        <w:rPr>
          <w:rFonts w:hint="eastAsia" w:ascii="宋体" w:hAnsi="宋体" w:eastAsia="宋体" w:cs="宋体"/>
          <w:b w:val="0"/>
          <w:bCs/>
          <w:color w:val="auto"/>
          <w:kern w:val="2"/>
          <w:sz w:val="24"/>
          <w:szCs w:val="24"/>
          <w:u w:val="none"/>
          <w:lang w:val="en-US" w:eastAsia="zh-CN" w:bidi="ar-SA"/>
        </w:rPr>
        <w:t>名    称：</w:t>
      </w:r>
      <w:bookmarkEnd w:id="773"/>
      <w:r>
        <w:rPr>
          <w:rFonts w:hint="eastAsia" w:ascii="宋体" w:hAnsi="宋体" w:eastAsia="宋体" w:cs="宋体"/>
          <w:b w:val="0"/>
          <w:bCs/>
          <w:color w:val="auto"/>
          <w:kern w:val="2"/>
          <w:sz w:val="24"/>
          <w:szCs w:val="24"/>
          <w:u w:val="single"/>
          <w:lang w:val="en-US" w:eastAsia="zh-CN" w:bidi="ar-SA"/>
        </w:rPr>
        <w:t>喀什地区妇幼保健院</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single"/>
          <w:lang w:val="en-US" w:eastAsia="zh-CN" w:bidi="ar-SA"/>
        </w:rPr>
      </w:pPr>
      <w:bookmarkStart w:id="774" w:name="_Toc7214"/>
      <w:r>
        <w:rPr>
          <w:rFonts w:hint="eastAsia" w:ascii="宋体" w:hAnsi="宋体" w:eastAsia="宋体" w:cs="宋体"/>
          <w:b w:val="0"/>
          <w:bCs/>
          <w:color w:val="auto"/>
          <w:kern w:val="2"/>
          <w:sz w:val="24"/>
          <w:szCs w:val="24"/>
          <w:u w:val="none"/>
          <w:lang w:val="en-US" w:eastAsia="zh-CN" w:bidi="ar-SA"/>
        </w:rPr>
        <w:t>地    址：</w:t>
      </w:r>
      <w:bookmarkEnd w:id="774"/>
      <w:r>
        <w:rPr>
          <w:rFonts w:hint="eastAsia" w:ascii="宋体" w:hAnsi="宋体" w:eastAsia="宋体" w:cs="宋体"/>
          <w:b w:val="0"/>
          <w:bCs/>
          <w:color w:val="auto"/>
          <w:kern w:val="2"/>
          <w:sz w:val="24"/>
          <w:szCs w:val="24"/>
          <w:u w:val="single"/>
          <w:lang w:val="en-US" w:eastAsia="zh-CN" w:bidi="ar-SA"/>
        </w:rPr>
        <w:t>喀什地区妇幼保健院</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75" w:name="_Toc172"/>
      <w:r>
        <w:rPr>
          <w:rFonts w:hint="eastAsia" w:ascii="宋体" w:hAnsi="宋体" w:eastAsia="宋体" w:cs="宋体"/>
          <w:b w:val="0"/>
          <w:bCs/>
          <w:color w:val="auto"/>
          <w:kern w:val="2"/>
          <w:sz w:val="24"/>
          <w:szCs w:val="24"/>
          <w:u w:val="none"/>
          <w:lang w:val="en-US" w:eastAsia="zh-CN" w:bidi="ar-SA"/>
        </w:rPr>
        <w:t>联 系 人：</w:t>
      </w:r>
      <w:r>
        <w:rPr>
          <w:rFonts w:hint="eastAsia" w:ascii="宋体" w:hAnsi="宋体" w:eastAsia="宋体" w:cs="宋体"/>
          <w:b w:val="0"/>
          <w:bCs/>
          <w:color w:val="auto"/>
          <w:kern w:val="2"/>
          <w:sz w:val="24"/>
          <w:szCs w:val="24"/>
          <w:u w:val="single"/>
          <w:lang w:val="en-US" w:eastAsia="zh-CN" w:bidi="ar-SA"/>
        </w:rPr>
        <w:t xml:space="preserve">阿布都拉江   </w:t>
      </w:r>
      <w:r>
        <w:rPr>
          <w:rFonts w:hint="eastAsia" w:ascii="宋体" w:hAnsi="宋体" w:eastAsia="宋体" w:cs="宋体"/>
          <w:b w:val="0"/>
          <w:bCs/>
          <w:color w:val="auto"/>
          <w:kern w:val="2"/>
          <w:sz w:val="24"/>
          <w:szCs w:val="24"/>
          <w:u w:val="none"/>
          <w:lang w:val="en-US" w:eastAsia="zh-CN" w:bidi="ar-SA"/>
        </w:rPr>
        <w:t> </w:t>
      </w:r>
      <w:bookmarkEnd w:id="775"/>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default" w:ascii="宋体" w:hAnsi="宋体" w:eastAsia="宋体" w:cs="宋体"/>
          <w:b w:val="0"/>
          <w:bCs/>
          <w:color w:val="auto"/>
          <w:kern w:val="2"/>
          <w:sz w:val="24"/>
          <w:szCs w:val="24"/>
          <w:u w:val="single"/>
          <w:lang w:val="en-US" w:eastAsia="zh-CN" w:bidi="ar-SA"/>
        </w:rPr>
      </w:pPr>
      <w:bookmarkStart w:id="776" w:name="_Toc32640"/>
      <w:r>
        <w:rPr>
          <w:rFonts w:hint="eastAsia" w:ascii="宋体" w:hAnsi="宋体" w:eastAsia="宋体" w:cs="宋体"/>
          <w:b w:val="0"/>
          <w:bCs/>
          <w:color w:val="auto"/>
          <w:kern w:val="2"/>
          <w:sz w:val="24"/>
          <w:szCs w:val="24"/>
          <w:u w:val="none"/>
          <w:lang w:val="en-US" w:eastAsia="zh-CN" w:bidi="ar-SA"/>
        </w:rPr>
        <w:t>联系电话：</w:t>
      </w:r>
      <w:bookmarkEnd w:id="776"/>
      <w:bookmarkStart w:id="777" w:name="_Toc35393638"/>
      <w:bookmarkStart w:id="778" w:name="_Toc28359097"/>
      <w:bookmarkStart w:id="779" w:name="_Toc35393807"/>
      <w:bookmarkStart w:id="780" w:name="_Toc28359020"/>
      <w:r>
        <w:rPr>
          <w:rFonts w:hint="eastAsia" w:ascii="宋体" w:hAnsi="宋体" w:eastAsia="宋体" w:cs="宋体"/>
          <w:b w:val="0"/>
          <w:bCs/>
          <w:color w:val="auto"/>
          <w:kern w:val="2"/>
          <w:sz w:val="24"/>
          <w:szCs w:val="24"/>
          <w:u w:val="single"/>
          <w:lang w:val="en-US" w:eastAsia="zh-CN" w:bidi="ar-SA"/>
        </w:rPr>
        <w:t xml:space="preserve">13657550708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81" w:name="_Toc24525"/>
      <w:r>
        <w:rPr>
          <w:rFonts w:hint="eastAsia" w:ascii="宋体" w:hAnsi="宋体" w:eastAsia="宋体" w:cs="宋体"/>
          <w:b w:val="0"/>
          <w:bCs/>
          <w:color w:val="auto"/>
          <w:kern w:val="2"/>
          <w:sz w:val="24"/>
          <w:szCs w:val="24"/>
          <w:u w:val="none"/>
          <w:lang w:val="en-US" w:eastAsia="zh-CN" w:bidi="ar-SA"/>
        </w:rPr>
        <w:t>2.采购代理机构信息</w:t>
      </w:r>
      <w:bookmarkEnd w:id="777"/>
      <w:bookmarkEnd w:id="778"/>
      <w:bookmarkEnd w:id="779"/>
      <w:bookmarkEnd w:id="780"/>
      <w:bookmarkEnd w:id="781"/>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82" w:name="_Toc17272"/>
      <w:r>
        <w:rPr>
          <w:rFonts w:hint="eastAsia" w:ascii="宋体" w:hAnsi="宋体" w:eastAsia="宋体" w:cs="宋体"/>
          <w:b w:val="0"/>
          <w:bCs/>
          <w:color w:val="auto"/>
          <w:kern w:val="2"/>
          <w:sz w:val="24"/>
          <w:szCs w:val="24"/>
          <w:u w:val="none"/>
          <w:lang w:val="en-US" w:eastAsia="zh-CN" w:bidi="ar-SA"/>
        </w:rPr>
        <w:t>名    称：</w:t>
      </w:r>
      <w:r>
        <w:rPr>
          <w:rFonts w:hint="eastAsia" w:ascii="宋体" w:hAnsi="宋体" w:eastAsia="宋体" w:cs="宋体"/>
          <w:b w:val="0"/>
          <w:bCs/>
          <w:color w:val="auto"/>
          <w:kern w:val="2"/>
          <w:sz w:val="24"/>
          <w:szCs w:val="24"/>
          <w:u w:val="single"/>
          <w:lang w:val="en-US" w:eastAsia="zh-CN" w:bidi="ar-SA"/>
        </w:rPr>
        <w:t>中经国际招标集团有限公司</w:t>
      </w:r>
      <w:bookmarkEnd w:id="782"/>
      <w:r>
        <w:rPr>
          <w:rFonts w:hint="eastAsia" w:ascii="宋体" w:hAnsi="宋体" w:eastAsia="宋体" w:cs="宋体"/>
          <w:b w:val="0"/>
          <w:bCs/>
          <w:color w:val="auto"/>
          <w:kern w:val="2"/>
          <w:sz w:val="24"/>
          <w:szCs w:val="24"/>
          <w:u w:val="single"/>
          <w:lang w:val="en-US" w:eastAsia="zh-CN" w:bidi="ar-SA"/>
        </w:rPr>
        <w:t xml:space="preserve">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single"/>
          <w:lang w:val="en-US" w:eastAsia="zh-CN" w:bidi="ar-SA"/>
        </w:rPr>
      </w:pPr>
      <w:bookmarkStart w:id="783" w:name="_Toc31217"/>
      <w:r>
        <w:rPr>
          <w:rFonts w:hint="eastAsia" w:ascii="宋体" w:hAnsi="宋体" w:eastAsia="宋体" w:cs="宋体"/>
          <w:b w:val="0"/>
          <w:bCs/>
          <w:color w:val="auto"/>
          <w:kern w:val="2"/>
          <w:sz w:val="24"/>
          <w:szCs w:val="24"/>
          <w:u w:val="none"/>
          <w:lang w:val="en-US" w:eastAsia="zh-CN" w:bidi="ar-SA"/>
        </w:rPr>
        <w:t>地　　址：</w:t>
      </w:r>
      <w:bookmarkEnd w:id="783"/>
      <w:r>
        <w:rPr>
          <w:rFonts w:hint="eastAsia" w:ascii="宋体" w:hAnsi="宋体" w:eastAsia="宋体" w:cs="宋体"/>
          <w:b w:val="0"/>
          <w:bCs/>
          <w:color w:val="auto"/>
          <w:kern w:val="2"/>
          <w:sz w:val="24"/>
          <w:szCs w:val="24"/>
          <w:u w:val="single"/>
          <w:lang w:val="en-US" w:eastAsia="zh-CN" w:bidi="ar-SA"/>
        </w:rPr>
        <w:t>喀什市吐曼路1号财富大厦6楼612室</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84" w:name="_Toc9353"/>
      <w:r>
        <w:rPr>
          <w:rFonts w:hint="eastAsia" w:ascii="宋体" w:hAnsi="宋体" w:eastAsia="宋体" w:cs="宋体"/>
          <w:b w:val="0"/>
          <w:bCs/>
          <w:color w:val="auto"/>
          <w:kern w:val="2"/>
          <w:sz w:val="24"/>
          <w:szCs w:val="24"/>
          <w:u w:val="none"/>
          <w:lang w:val="en-US" w:eastAsia="zh-CN" w:bidi="ar-SA"/>
        </w:rPr>
        <w:t xml:space="preserve">联 系 人： </w:t>
      </w:r>
      <w:r>
        <w:rPr>
          <w:rFonts w:hint="eastAsia" w:ascii="宋体" w:hAnsi="宋体" w:eastAsia="宋体" w:cs="宋体"/>
          <w:b w:val="0"/>
          <w:bCs/>
          <w:color w:val="auto"/>
          <w:kern w:val="2"/>
          <w:sz w:val="24"/>
          <w:szCs w:val="24"/>
          <w:u w:val="single"/>
          <w:lang w:val="en-US" w:eastAsia="zh-CN" w:bidi="ar-SA"/>
        </w:rPr>
        <w:t>王丽娟</w:t>
      </w:r>
      <w:bookmarkEnd w:id="784"/>
      <w:r>
        <w:rPr>
          <w:rFonts w:hint="eastAsia" w:ascii="宋体" w:hAnsi="宋体" w:eastAsia="宋体" w:cs="宋体"/>
          <w:b w:val="0"/>
          <w:bCs/>
          <w:color w:val="auto"/>
          <w:kern w:val="2"/>
          <w:sz w:val="24"/>
          <w:szCs w:val="24"/>
          <w:u w:val="none"/>
          <w:lang w:val="en-US" w:eastAsia="zh-CN" w:bidi="ar-SA"/>
        </w:rPr>
        <w:t xml:space="preserve">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宋体" w:hAnsi="宋体" w:eastAsia="宋体" w:cs="宋体"/>
          <w:b w:val="0"/>
          <w:bCs/>
          <w:color w:val="auto"/>
          <w:kern w:val="2"/>
          <w:sz w:val="24"/>
          <w:szCs w:val="24"/>
          <w:u w:val="none"/>
          <w:lang w:val="en-US" w:eastAsia="zh-CN" w:bidi="ar-SA"/>
        </w:rPr>
      </w:pPr>
      <w:bookmarkStart w:id="785" w:name="_Toc9066"/>
      <w:r>
        <w:rPr>
          <w:rFonts w:hint="eastAsia" w:ascii="宋体" w:hAnsi="宋体" w:eastAsia="宋体" w:cs="宋体"/>
          <w:b w:val="0"/>
          <w:bCs/>
          <w:color w:val="auto"/>
          <w:kern w:val="2"/>
          <w:sz w:val="24"/>
          <w:szCs w:val="24"/>
          <w:u w:val="none"/>
          <w:lang w:val="en-US" w:eastAsia="zh-CN" w:bidi="ar-SA"/>
        </w:rPr>
        <w:t>联系电话：</w:t>
      </w:r>
      <w:r>
        <w:rPr>
          <w:rFonts w:hint="eastAsia" w:ascii="宋体" w:hAnsi="宋体" w:eastAsia="宋体" w:cs="宋体"/>
          <w:b w:val="0"/>
          <w:bCs/>
          <w:color w:val="auto"/>
          <w:kern w:val="2"/>
          <w:sz w:val="24"/>
          <w:szCs w:val="24"/>
          <w:u w:val="single"/>
          <w:lang w:val="en-US" w:eastAsia="zh-CN" w:bidi="ar-SA"/>
        </w:rPr>
        <w:t>15099650569</w:t>
      </w:r>
      <w:bookmarkEnd w:id="785"/>
      <w:r>
        <w:rPr>
          <w:rFonts w:hint="eastAsia" w:ascii="宋体" w:hAnsi="宋体" w:eastAsia="宋体" w:cs="宋体"/>
          <w:b w:val="0"/>
          <w:bCs/>
          <w:color w:val="auto"/>
          <w:kern w:val="2"/>
          <w:sz w:val="24"/>
          <w:szCs w:val="24"/>
          <w:u w:val="none"/>
          <w:lang w:val="en-US" w:eastAsia="zh-CN" w:bidi="ar-SA"/>
        </w:rPr>
        <w:t xml:space="preserve"> </w:t>
      </w:r>
    </w:p>
    <w:p>
      <w:pPr>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同级政府采购监督管理部门</w:t>
      </w:r>
    </w:p>
    <w:p>
      <w:pPr>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eastAsia="宋体" w:cs="宋体"/>
          <w:color w:val="auto"/>
          <w:sz w:val="24"/>
          <w:szCs w:val="24"/>
          <w:u w:val="single"/>
        </w:rPr>
        <w:t>喀什地区政府采购管理办公室</w:t>
      </w:r>
    </w:p>
    <w:p>
      <w:pPr>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系</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人：</w:t>
      </w:r>
      <w:r>
        <w:rPr>
          <w:rFonts w:hint="eastAsia" w:ascii="宋体" w:hAnsi="宋体" w:cs="宋体"/>
          <w:color w:val="auto"/>
          <w:sz w:val="24"/>
          <w:szCs w:val="24"/>
          <w:u w:val="single"/>
          <w:lang w:val="en-US" w:eastAsia="zh-CN"/>
        </w:rPr>
        <w:t>胡迪敏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p>
    <w:p>
      <w:pPr>
        <w:pageBreakBefore w:val="0"/>
        <w:widowControl w:val="0"/>
        <w:kinsoku/>
        <w:wordWrap/>
        <w:overflowPunct/>
        <w:topLinePunct w:val="0"/>
        <w:bidi w:val="0"/>
        <w:snapToGrid/>
        <w:spacing w:line="400" w:lineRule="exact"/>
        <w:ind w:firstLine="480" w:firstLineChars="200"/>
        <w:textAlignment w:val="auto"/>
        <w:rPr>
          <w:rFonts w:hint="eastAsia"/>
          <w:color w:val="auto"/>
          <w:sz w:val="24"/>
          <w:szCs w:val="24"/>
          <w:lang w:val="en-US" w:eastAsia="zh-CN"/>
        </w:rPr>
      </w:pPr>
      <w:r>
        <w:rPr>
          <w:rFonts w:hint="eastAsia" w:ascii="宋体" w:hAnsi="宋体" w:eastAsia="宋体" w:cs="宋体"/>
          <w:color w:val="auto"/>
          <w:sz w:val="24"/>
          <w:szCs w:val="24"/>
        </w:rPr>
        <w:t>监督投诉电话：</w:t>
      </w:r>
      <w:r>
        <w:rPr>
          <w:rFonts w:hint="eastAsia" w:ascii="宋体" w:hAnsi="宋体" w:eastAsia="宋体" w:cs="宋体"/>
          <w:color w:val="auto"/>
          <w:sz w:val="24"/>
          <w:szCs w:val="24"/>
          <w:u w:val="single"/>
        </w:rPr>
        <w:t>0998-259700</w:t>
      </w:r>
      <w:r>
        <w:rPr>
          <w:rFonts w:hint="eastAsia" w:ascii="宋体" w:hAnsi="宋体" w:cs="宋体"/>
          <w:color w:val="auto"/>
          <w:sz w:val="24"/>
          <w:szCs w:val="24"/>
          <w:u w:val="single"/>
          <w:lang w:val="en-US" w:eastAsia="zh-CN"/>
        </w:rPr>
        <w:t>0</w:t>
      </w:r>
    </w:p>
    <w:p>
      <w:pPr>
        <w:pStyle w:val="2"/>
        <w:pageBreakBefore w:val="0"/>
        <w:widowControl w:val="0"/>
        <w:kinsoku/>
        <w:wordWrap/>
        <w:overflowPunct/>
        <w:topLinePunct w:val="0"/>
        <w:bidi w:val="0"/>
        <w:snapToGrid/>
        <w:spacing w:line="400" w:lineRule="exact"/>
        <w:ind w:firstLine="5280" w:firstLineChars="2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color w:val="auto"/>
          <w:kern w:val="2"/>
          <w:sz w:val="24"/>
          <w:szCs w:val="24"/>
          <w:u w:val="none"/>
          <w:lang w:val="en-US" w:eastAsia="zh-CN" w:bidi="ar-SA"/>
        </w:rPr>
        <w:t xml:space="preserve">中经国际招标集团有限公司   </w:t>
      </w:r>
      <w:r>
        <w:rPr>
          <w:rFonts w:hint="eastAsia" w:ascii="宋体" w:hAnsi="宋体" w:eastAsia="宋体" w:cs="宋体"/>
          <w:color w:val="auto"/>
          <w:kern w:val="2"/>
          <w:sz w:val="24"/>
          <w:szCs w:val="24"/>
          <w:lang w:val="en-US" w:eastAsia="zh-CN" w:bidi="ar-SA"/>
        </w:rPr>
        <w:t xml:space="preserve"> </w:t>
      </w:r>
    </w:p>
    <w:p>
      <w:pPr>
        <w:pageBreakBefore w:val="0"/>
        <w:widowControl w:val="0"/>
        <w:kinsoku/>
        <w:wordWrap/>
        <w:overflowPunct/>
        <w:topLinePunct w:val="0"/>
        <w:bidi w:val="0"/>
        <w:snapToGrid/>
        <w:spacing w:line="400" w:lineRule="exact"/>
        <w:textAlignment w:val="auto"/>
        <w:rPr>
          <w:color w:val="auto"/>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val="0"/>
          <w:bCs/>
          <w:color w:val="auto"/>
          <w:kern w:val="2"/>
          <w:sz w:val="24"/>
          <w:szCs w:val="24"/>
          <w:u w:val="none"/>
          <w:lang w:val="en-US" w:eastAsia="zh-CN" w:bidi="ar-SA"/>
        </w:rPr>
        <w:t xml:space="preserve">    </w:t>
      </w:r>
      <w:r>
        <w:rPr>
          <w:rFonts w:hint="eastAsia" w:ascii="宋体" w:hAnsi="宋体" w:cs="宋体"/>
          <w:b w:val="0"/>
          <w:bCs/>
          <w:color w:val="auto"/>
          <w:kern w:val="2"/>
          <w:sz w:val="24"/>
          <w:szCs w:val="24"/>
          <w:u w:val="none"/>
          <w:lang w:val="en-US" w:eastAsia="zh-CN" w:bidi="ar-SA"/>
        </w:rPr>
        <w:t xml:space="preserve">          </w:t>
      </w:r>
      <w:r>
        <w:rPr>
          <w:rFonts w:hint="eastAsia" w:ascii="宋体" w:hAnsi="宋体" w:eastAsia="宋体" w:cs="宋体"/>
          <w:b w:val="0"/>
          <w:bCs/>
          <w:color w:val="auto"/>
          <w:kern w:val="2"/>
          <w:sz w:val="24"/>
          <w:szCs w:val="24"/>
          <w:u w:val="none"/>
          <w:lang w:val="en-US" w:eastAsia="zh-CN" w:bidi="ar-SA"/>
        </w:rPr>
        <w:t xml:space="preserve"> 20</w:t>
      </w:r>
      <w:r>
        <w:rPr>
          <w:rFonts w:hint="eastAsia" w:ascii="宋体" w:hAnsi="宋体" w:cs="宋体"/>
          <w:b w:val="0"/>
          <w:bCs/>
          <w:color w:val="auto"/>
          <w:kern w:val="2"/>
          <w:sz w:val="24"/>
          <w:szCs w:val="24"/>
          <w:u w:val="none"/>
          <w:lang w:val="en-US" w:eastAsia="zh-CN" w:bidi="ar-SA"/>
        </w:rPr>
        <w:t>21</w:t>
      </w:r>
      <w:r>
        <w:rPr>
          <w:rFonts w:hint="eastAsia" w:ascii="宋体" w:hAnsi="宋体" w:eastAsia="宋体" w:cs="宋体"/>
          <w:b w:val="0"/>
          <w:bCs/>
          <w:color w:val="auto"/>
          <w:kern w:val="2"/>
          <w:sz w:val="24"/>
          <w:szCs w:val="24"/>
          <w:u w:val="none"/>
          <w:lang w:val="en-US" w:eastAsia="zh-CN" w:bidi="ar-SA"/>
        </w:rPr>
        <w:t>年</w:t>
      </w:r>
      <w:r>
        <w:rPr>
          <w:rFonts w:hint="eastAsia" w:ascii="宋体" w:hAnsi="宋体" w:cs="宋体"/>
          <w:b w:val="0"/>
          <w:bCs/>
          <w:color w:val="auto"/>
          <w:kern w:val="2"/>
          <w:sz w:val="24"/>
          <w:szCs w:val="24"/>
          <w:u w:val="none"/>
          <w:lang w:val="en-US" w:eastAsia="zh-CN" w:bidi="ar-SA"/>
        </w:rPr>
        <w:t>9</w:t>
      </w:r>
      <w:r>
        <w:rPr>
          <w:rFonts w:hint="eastAsia" w:ascii="宋体" w:hAnsi="宋体" w:eastAsia="宋体" w:cs="宋体"/>
          <w:b w:val="0"/>
          <w:bCs/>
          <w:color w:val="auto"/>
          <w:kern w:val="2"/>
          <w:sz w:val="24"/>
          <w:szCs w:val="24"/>
          <w:u w:val="none"/>
          <w:lang w:val="en-US" w:eastAsia="zh-CN" w:bidi="ar-SA"/>
        </w:rPr>
        <w:t>月</w:t>
      </w:r>
      <w:r>
        <w:rPr>
          <w:rFonts w:hint="eastAsia" w:ascii="宋体" w:hAnsi="宋体" w:cs="宋体"/>
          <w:b w:val="0"/>
          <w:bCs/>
          <w:color w:val="auto"/>
          <w:kern w:val="2"/>
          <w:sz w:val="24"/>
          <w:szCs w:val="24"/>
          <w:u w:val="none"/>
          <w:lang w:val="en-US" w:eastAsia="zh-CN" w:bidi="ar-SA"/>
        </w:rPr>
        <w:t>27</w:t>
      </w:r>
      <w:r>
        <w:rPr>
          <w:rFonts w:hint="eastAsia" w:ascii="宋体" w:hAnsi="宋体" w:eastAsia="宋体" w:cs="宋体"/>
          <w:b w:val="0"/>
          <w:bCs/>
          <w:color w:val="auto"/>
          <w:kern w:val="2"/>
          <w:sz w:val="24"/>
          <w:szCs w:val="24"/>
          <w:u w:val="none"/>
          <w:lang w:val="en-US" w:eastAsia="zh-CN" w:bidi="ar-SA"/>
        </w:rPr>
        <w:t xml:space="preserve">日 </w:t>
      </w:r>
      <w:r>
        <w:rPr>
          <w:rFonts w:hint="eastAsia" w:ascii="宋体" w:hAnsi="宋体" w:eastAsia="宋体" w:cs="宋体"/>
          <w:color w:val="auto"/>
          <w:kern w:val="0"/>
          <w:sz w:val="24"/>
          <w:szCs w:val="24"/>
          <w:lang w:val="en-US" w:eastAsia="zh-CN"/>
        </w:rPr>
        <w:t xml:space="preserve">            </w:t>
      </w:r>
      <w:r>
        <w:rPr>
          <w:rFonts w:ascii="宋体" w:hAnsi="宋体" w:cs="宋体"/>
          <w:color w:val="auto"/>
          <w:kern w:val="0"/>
          <w:sz w:val="24"/>
          <w:szCs w:val="24"/>
        </w:rPr>
        <w:t xml:space="preserve">     </w:t>
      </w:r>
    </w:p>
    <w:p>
      <w:pPr>
        <w:spacing w:line="400" w:lineRule="exact"/>
        <w:rPr>
          <w:rFonts w:ascii="宋体"/>
          <w:color w:val="auto"/>
          <w:kern w:val="0"/>
          <w:sz w:val="24"/>
          <w:szCs w:val="24"/>
        </w:rPr>
      </w:pPr>
    </w:p>
    <w:p>
      <w:pPr>
        <w:spacing w:line="400" w:lineRule="exact"/>
        <w:rPr>
          <w:rFonts w:ascii="宋体"/>
          <w:color w:val="auto"/>
          <w:kern w:val="0"/>
          <w:sz w:val="24"/>
          <w:szCs w:val="24"/>
        </w:rPr>
      </w:pPr>
    </w:p>
    <w:p>
      <w:pPr>
        <w:spacing w:line="400" w:lineRule="exact"/>
        <w:rPr>
          <w:rFonts w:ascii="宋体"/>
          <w:color w:val="auto"/>
          <w:kern w:val="0"/>
          <w:sz w:val="24"/>
          <w:szCs w:val="24"/>
        </w:rPr>
      </w:pPr>
    </w:p>
    <w:p>
      <w:pPr>
        <w:spacing w:line="400" w:lineRule="exact"/>
        <w:rPr>
          <w:rFonts w:ascii="宋体"/>
          <w:color w:val="auto"/>
          <w:kern w:val="0"/>
          <w:sz w:val="24"/>
          <w:szCs w:val="24"/>
        </w:rPr>
      </w:pPr>
    </w:p>
    <w:p>
      <w:pPr>
        <w:spacing w:line="400" w:lineRule="exact"/>
        <w:rPr>
          <w:rFonts w:ascii="宋体"/>
          <w:color w:val="auto"/>
        </w:rPr>
      </w:pPr>
      <w:r>
        <w:rPr>
          <w:rFonts w:ascii="宋体" w:hAnsi="宋体" w:cs="宋体"/>
          <w:color w:val="auto"/>
          <w:kern w:val="0"/>
          <w:sz w:val="24"/>
          <w:szCs w:val="24"/>
        </w:rPr>
        <w:t xml:space="preserve">       </w:t>
      </w:r>
    </w:p>
    <w:p>
      <w:pPr>
        <w:pStyle w:val="3"/>
        <w:numPr>
          <w:ilvl w:val="0"/>
          <w:numId w:val="8"/>
        </w:numPr>
        <w:tabs>
          <w:tab w:val="left" w:pos="0"/>
        </w:tabs>
        <w:spacing w:before="0" w:after="0" w:line="240" w:lineRule="atLeast"/>
        <w:rPr>
          <w:rFonts w:hAnsi="宋体" w:cs="Times New Roman"/>
          <w:color w:val="auto"/>
        </w:rPr>
      </w:pPr>
      <w:r>
        <w:rPr>
          <w:rFonts w:hAnsi="宋体"/>
          <w:color w:val="auto"/>
        </w:rPr>
        <w:t xml:space="preserve"> </w:t>
      </w:r>
      <w:bookmarkStart w:id="786" w:name="_Toc13105"/>
      <w:r>
        <w:rPr>
          <w:rFonts w:hint="eastAsia" w:hAnsi="宋体"/>
          <w:color w:val="auto"/>
        </w:rPr>
        <w:t>供应商须知资料表</w:t>
      </w:r>
      <w:bookmarkEnd w:id="720"/>
      <w:bookmarkEnd w:id="721"/>
      <w:bookmarkEnd w:id="722"/>
      <w:bookmarkEnd w:id="723"/>
      <w:bookmarkEnd w:id="724"/>
      <w:bookmarkEnd w:id="725"/>
      <w:bookmarkEnd w:id="786"/>
    </w:p>
    <w:bookmarkEnd w:id="726"/>
    <w:p>
      <w:pPr>
        <w:spacing w:line="240" w:lineRule="atLeast"/>
        <w:ind w:firstLine="360" w:firstLineChars="150"/>
        <w:rPr>
          <w:rFonts w:ascii="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本表是本招标项目的具体资料，是对供应商须知的具体补充和修改，如有矛盾，应以本资料表为准。</w:t>
      </w:r>
    </w:p>
    <w:tbl>
      <w:tblPr>
        <w:tblStyle w:val="21"/>
        <w:tblW w:w="936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7"/>
        <w:gridCol w:w="8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67" w:type="dxa"/>
            <w:tcBorders>
              <w:top w:val="single" w:color="auto" w:sz="12" w:space="0"/>
            </w:tcBorders>
            <w:vAlign w:val="center"/>
          </w:tcPr>
          <w:p>
            <w:pPr>
              <w:spacing w:line="360" w:lineRule="auto"/>
              <w:rPr>
                <w:rFonts w:ascii="宋体"/>
                <w:color w:val="auto"/>
                <w:sz w:val="24"/>
                <w:szCs w:val="24"/>
              </w:rPr>
            </w:pPr>
            <w:r>
              <w:rPr>
                <w:rFonts w:hint="eastAsia" w:ascii="宋体" w:hAnsi="宋体" w:cs="宋体"/>
                <w:color w:val="auto"/>
                <w:sz w:val="24"/>
                <w:szCs w:val="24"/>
              </w:rPr>
              <w:t>条款号</w:t>
            </w:r>
          </w:p>
        </w:tc>
        <w:tc>
          <w:tcPr>
            <w:tcW w:w="8500" w:type="dxa"/>
            <w:tcBorders>
              <w:top w:val="single" w:color="auto" w:sz="12" w:space="0"/>
            </w:tcBorders>
            <w:vAlign w:val="center"/>
          </w:tcPr>
          <w:p>
            <w:pPr>
              <w:spacing w:line="360" w:lineRule="auto"/>
              <w:ind w:left="1080" w:leftChars="257" w:hanging="540"/>
              <w:rPr>
                <w:rFonts w:ascii="宋体"/>
                <w:b/>
                <w:bCs/>
                <w:color w:val="auto"/>
                <w:sz w:val="24"/>
                <w:szCs w:val="24"/>
              </w:rPr>
            </w:pPr>
            <w:r>
              <w:rPr>
                <w:rFonts w:hint="eastAsia" w:ascii="宋体" w:hAnsi="宋体" w:cs="宋体"/>
                <w:b/>
                <w:bCs/>
                <w:color w:val="auto"/>
                <w:sz w:val="24"/>
                <w:szCs w:val="24"/>
              </w:rPr>
              <w:t>内</w:t>
            </w:r>
            <w:r>
              <w:rPr>
                <w:rFonts w:ascii="宋体" w:hAnsi="宋体" w:cs="宋体"/>
                <w:b/>
                <w:bCs/>
                <w:color w:val="auto"/>
                <w:sz w:val="24"/>
                <w:szCs w:val="24"/>
              </w:rPr>
              <w:t xml:space="preserve">      </w:t>
            </w:r>
            <w:r>
              <w:rPr>
                <w:rFonts w:hint="eastAsia" w:ascii="宋体" w:hAnsi="宋体" w:cs="宋体"/>
                <w:b/>
                <w:bCs/>
                <w:color w:val="auto"/>
                <w:sz w:val="24"/>
                <w:szCs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867" w:type="dxa"/>
            <w:vAlign w:val="center"/>
          </w:tcPr>
          <w:p>
            <w:pPr>
              <w:spacing w:line="460" w:lineRule="exact"/>
              <w:rPr>
                <w:rFonts w:ascii="宋体"/>
                <w:color w:val="auto"/>
                <w:sz w:val="24"/>
                <w:szCs w:val="24"/>
              </w:rPr>
            </w:pPr>
            <w:r>
              <w:rPr>
                <w:rFonts w:ascii="宋体" w:hAnsi="宋体" w:cs="宋体"/>
                <w:color w:val="auto"/>
                <w:sz w:val="24"/>
                <w:szCs w:val="24"/>
              </w:rPr>
              <w:t>1.1</w:t>
            </w:r>
          </w:p>
        </w:tc>
        <w:tc>
          <w:tcPr>
            <w:tcW w:w="8500" w:type="dxa"/>
            <w:vAlign w:val="center"/>
          </w:tcPr>
          <w:p>
            <w:pPr>
              <w:spacing w:line="460" w:lineRule="exact"/>
              <w:rPr>
                <w:rFonts w:ascii="宋体"/>
                <w:color w:val="auto"/>
                <w:sz w:val="24"/>
                <w:szCs w:val="24"/>
              </w:rPr>
            </w:pPr>
            <w:r>
              <w:rPr>
                <w:rFonts w:hint="eastAsia" w:ascii="宋体" w:hAnsi="宋体" w:cs="宋体"/>
                <w:color w:val="auto"/>
                <w:sz w:val="24"/>
                <w:szCs w:val="24"/>
              </w:rPr>
              <w:t>采购人：</w:t>
            </w:r>
            <w:r>
              <w:rPr>
                <w:rFonts w:hint="eastAsia" w:ascii="宋体" w:hAnsi="宋体" w:cs="宋体"/>
                <w:color w:val="auto"/>
                <w:sz w:val="24"/>
                <w:szCs w:val="24"/>
                <w:u w:val="single"/>
              </w:rPr>
              <w:t>喀什地区妇幼保健院</w:t>
            </w:r>
            <w:r>
              <w:rPr>
                <w:rFonts w:hint="eastAsia" w:ascii="宋体" w:hAnsi="宋体" w:cs="宋体"/>
                <w:color w:val="auto"/>
                <w:sz w:val="24"/>
                <w:szCs w:val="24"/>
              </w:rPr>
              <w:t>　</w:t>
            </w:r>
          </w:p>
          <w:p>
            <w:pPr>
              <w:spacing w:line="460" w:lineRule="exact"/>
              <w:rPr>
                <w:rFonts w:ascii="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u w:val="single"/>
              </w:rPr>
              <w:t>阿布都拉江</w:t>
            </w:r>
            <w:r>
              <w:rPr>
                <w:rFonts w:ascii="宋体" w:hAnsi="宋体" w:cs="宋体"/>
                <w:color w:val="auto"/>
                <w:sz w:val="24"/>
                <w:szCs w:val="24"/>
              </w:rPr>
              <w:t xml:space="preserve">        </w:t>
            </w:r>
            <w:r>
              <w:rPr>
                <w:rFonts w:hint="eastAsia" w:ascii="宋体" w:hAnsi="宋体" w:cs="宋体"/>
                <w:color w:val="auto"/>
                <w:sz w:val="24"/>
                <w:szCs w:val="24"/>
              </w:rPr>
              <w:t>联系电话：</w:t>
            </w:r>
            <w:r>
              <w:rPr>
                <w:rFonts w:ascii="宋体" w:hAnsi="宋体" w:cs="宋体"/>
                <w:color w:val="auto"/>
                <w:sz w:val="24"/>
                <w:szCs w:val="24"/>
                <w:u w:val="single"/>
              </w:rPr>
              <w:t xml:space="preserve">13657550708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6" w:hRule="atLeast"/>
        </w:trPr>
        <w:tc>
          <w:tcPr>
            <w:tcW w:w="867" w:type="dxa"/>
            <w:vAlign w:val="center"/>
          </w:tcPr>
          <w:p>
            <w:pPr>
              <w:spacing w:line="460" w:lineRule="exact"/>
              <w:rPr>
                <w:rFonts w:ascii="宋体"/>
                <w:color w:val="auto"/>
                <w:sz w:val="24"/>
                <w:szCs w:val="24"/>
              </w:rPr>
            </w:pPr>
            <w:r>
              <w:rPr>
                <w:rFonts w:ascii="宋体" w:hAnsi="宋体" w:cs="宋体"/>
                <w:color w:val="auto"/>
                <w:sz w:val="24"/>
                <w:szCs w:val="24"/>
              </w:rPr>
              <w:t>1.2</w:t>
            </w:r>
          </w:p>
        </w:tc>
        <w:tc>
          <w:tcPr>
            <w:tcW w:w="8500" w:type="dxa"/>
            <w:vAlign w:val="center"/>
          </w:tcPr>
          <w:p>
            <w:pPr>
              <w:spacing w:line="460" w:lineRule="exact"/>
              <w:rPr>
                <w:rFonts w:ascii="宋体"/>
                <w:color w:val="auto"/>
                <w:sz w:val="24"/>
                <w:szCs w:val="24"/>
              </w:rPr>
            </w:pPr>
            <w:r>
              <w:rPr>
                <w:rFonts w:hint="eastAsia" w:ascii="宋体" w:hAnsi="宋体" w:cs="宋体"/>
                <w:color w:val="auto"/>
                <w:sz w:val="24"/>
                <w:szCs w:val="24"/>
              </w:rPr>
              <w:t>采购代理机构：</w:t>
            </w:r>
            <w:r>
              <w:rPr>
                <w:rFonts w:hint="eastAsia" w:ascii="宋体" w:hAnsi="宋体" w:cs="宋体"/>
                <w:color w:val="auto"/>
                <w:sz w:val="24"/>
                <w:szCs w:val="24"/>
                <w:u w:val="single"/>
              </w:rPr>
              <w:t>中经国际招标集团有限公司</w:t>
            </w:r>
            <w:r>
              <w:rPr>
                <w:rFonts w:ascii="宋体" w:hAnsi="宋体" w:cs="宋体"/>
                <w:color w:val="auto"/>
                <w:sz w:val="24"/>
                <w:szCs w:val="24"/>
              </w:rPr>
              <w:t xml:space="preserve">  </w:t>
            </w:r>
          </w:p>
          <w:p>
            <w:pPr>
              <w:spacing w:line="460" w:lineRule="exact"/>
              <w:rPr>
                <w:rFonts w:ascii="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喀什市吐曼路</w:t>
            </w:r>
            <w:r>
              <w:rPr>
                <w:rFonts w:ascii="宋体" w:hAnsi="宋体" w:cs="宋体"/>
                <w:color w:val="auto"/>
                <w:sz w:val="24"/>
                <w:szCs w:val="24"/>
                <w:u w:val="single"/>
              </w:rPr>
              <w:t>1</w:t>
            </w:r>
            <w:r>
              <w:rPr>
                <w:rFonts w:hint="eastAsia" w:ascii="宋体" w:hAnsi="宋体" w:cs="宋体"/>
                <w:color w:val="auto"/>
                <w:sz w:val="24"/>
                <w:szCs w:val="24"/>
                <w:u w:val="single"/>
              </w:rPr>
              <w:t>号财富大厦</w:t>
            </w:r>
            <w:r>
              <w:rPr>
                <w:rFonts w:ascii="宋体" w:hAnsi="宋体" w:cs="宋体"/>
                <w:color w:val="auto"/>
                <w:sz w:val="24"/>
                <w:szCs w:val="24"/>
                <w:u w:val="single"/>
              </w:rPr>
              <w:t>6</w:t>
            </w:r>
            <w:r>
              <w:rPr>
                <w:rFonts w:hint="eastAsia" w:ascii="宋体" w:hAnsi="宋体" w:cs="宋体"/>
                <w:color w:val="auto"/>
                <w:sz w:val="24"/>
                <w:szCs w:val="24"/>
                <w:u w:val="single"/>
              </w:rPr>
              <w:t>楼</w:t>
            </w:r>
            <w:r>
              <w:rPr>
                <w:rFonts w:ascii="宋体" w:hAnsi="宋体" w:cs="宋体"/>
                <w:color w:val="auto"/>
                <w:sz w:val="24"/>
                <w:szCs w:val="24"/>
                <w:u w:val="single"/>
              </w:rPr>
              <w:t>612</w:t>
            </w:r>
            <w:r>
              <w:rPr>
                <w:rFonts w:hint="eastAsia" w:ascii="宋体" w:hAnsi="宋体" w:cs="宋体"/>
                <w:color w:val="auto"/>
                <w:sz w:val="24"/>
                <w:szCs w:val="24"/>
                <w:u w:val="single"/>
              </w:rPr>
              <w:t>室</w:t>
            </w:r>
          </w:p>
          <w:p>
            <w:pPr>
              <w:spacing w:line="460" w:lineRule="exact"/>
              <w:rPr>
                <w:rFonts w:ascii="宋体"/>
                <w:color w:val="auto"/>
                <w:sz w:val="24"/>
                <w:szCs w:val="24"/>
              </w:rPr>
            </w:pPr>
            <w:r>
              <w:rPr>
                <w:rFonts w:hint="eastAsia" w:ascii="宋体" w:hAnsi="宋体" w:cs="宋体"/>
                <w:color w:val="auto"/>
                <w:sz w:val="24"/>
                <w:szCs w:val="24"/>
              </w:rPr>
              <w:t>业务联系人：</w:t>
            </w:r>
            <w:r>
              <w:rPr>
                <w:rFonts w:hint="eastAsia" w:ascii="宋体" w:hAnsi="宋体" w:cs="宋体"/>
                <w:color w:val="auto"/>
                <w:sz w:val="24"/>
                <w:szCs w:val="24"/>
                <w:u w:val="single"/>
              </w:rPr>
              <w:t>王丽娟　</w:t>
            </w:r>
            <w:r>
              <w:rPr>
                <w:rFonts w:ascii="宋体" w:hAnsi="宋体" w:cs="宋体"/>
                <w:color w:val="auto"/>
                <w:sz w:val="24"/>
                <w:szCs w:val="24"/>
              </w:rPr>
              <w:t xml:space="preserve">   </w:t>
            </w:r>
            <w:r>
              <w:rPr>
                <w:rFonts w:hint="eastAsia" w:ascii="宋体" w:hAnsi="宋体" w:cs="宋体"/>
                <w:color w:val="auto"/>
                <w:sz w:val="24"/>
                <w:szCs w:val="24"/>
              </w:rPr>
              <w:t>联系电话：</w:t>
            </w:r>
            <w:r>
              <w:rPr>
                <w:rFonts w:ascii="宋体" w:hAnsi="宋体" w:cs="宋体"/>
                <w:color w:val="auto"/>
                <w:sz w:val="24"/>
                <w:szCs w:val="24"/>
                <w:u w:val="single"/>
              </w:rPr>
              <w:t>15099650569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5" w:hRule="atLeast"/>
        </w:trPr>
        <w:tc>
          <w:tcPr>
            <w:tcW w:w="867" w:type="dxa"/>
            <w:vAlign w:val="center"/>
          </w:tcPr>
          <w:p>
            <w:pPr>
              <w:spacing w:line="400" w:lineRule="exact"/>
              <w:rPr>
                <w:rFonts w:ascii="宋体"/>
                <w:color w:val="auto"/>
                <w:sz w:val="24"/>
                <w:szCs w:val="24"/>
              </w:rPr>
            </w:pPr>
            <w:r>
              <w:rPr>
                <w:rFonts w:ascii="宋体" w:hAnsi="宋体" w:cs="宋体"/>
                <w:color w:val="auto"/>
                <w:sz w:val="24"/>
                <w:szCs w:val="24"/>
              </w:rPr>
              <w:t>1.3.4</w:t>
            </w:r>
          </w:p>
        </w:tc>
        <w:tc>
          <w:tcPr>
            <w:tcW w:w="8500" w:type="dxa"/>
            <w:vAlign w:val="center"/>
          </w:tcPr>
          <w:p>
            <w:pPr>
              <w:spacing w:line="400" w:lineRule="exact"/>
              <w:rPr>
                <w:rFonts w:ascii="宋体"/>
                <w:b/>
                <w:bCs/>
                <w:color w:val="auto"/>
                <w:sz w:val="24"/>
                <w:szCs w:val="24"/>
              </w:rPr>
            </w:pPr>
            <w:r>
              <w:rPr>
                <w:rFonts w:hint="eastAsia" w:ascii="宋体" w:hAnsi="宋体" w:cs="宋体"/>
                <w:color w:val="auto"/>
                <w:sz w:val="24"/>
                <w:szCs w:val="24"/>
              </w:rPr>
              <w:t>合格供应商的其他资格要求</w:t>
            </w:r>
            <w:r>
              <w:rPr>
                <w:rFonts w:hint="eastAsia" w:ascii="宋体" w:hAnsi="宋体" w:cs="宋体"/>
                <w:b/>
                <w:bCs/>
                <w:color w:val="auto"/>
                <w:sz w:val="24"/>
                <w:szCs w:val="24"/>
              </w:rPr>
              <w:t>（开标现场须携带）：</w:t>
            </w:r>
          </w:p>
          <w:p>
            <w:pPr>
              <w:pStyle w:val="2"/>
              <w:spacing w:line="400" w:lineRule="exact"/>
              <w:ind w:firstLine="0"/>
              <w:rPr>
                <w:rFonts w:hAnsi="宋体" w:cs="Times New Roman"/>
                <w:b/>
                <w:bCs/>
                <w:color w:val="auto"/>
              </w:rPr>
            </w:pPr>
            <w:r>
              <w:rPr>
                <w:rFonts w:hAnsi="宋体"/>
                <w:b/>
                <w:bCs/>
                <w:color w:val="auto"/>
              </w:rPr>
              <w:t>1.</w:t>
            </w:r>
            <w:r>
              <w:rPr>
                <w:rFonts w:hint="eastAsia" w:hAnsi="宋体"/>
                <w:b/>
                <w:bCs/>
                <w:color w:val="auto"/>
              </w:rPr>
              <w:t>具有有效的独立法人营业执照；</w:t>
            </w:r>
          </w:p>
          <w:p>
            <w:pPr>
              <w:pStyle w:val="2"/>
              <w:spacing w:line="400" w:lineRule="exact"/>
              <w:ind w:firstLine="0"/>
              <w:rPr>
                <w:rFonts w:hAnsi="宋体" w:cs="Times New Roman"/>
                <w:b/>
                <w:bCs/>
                <w:color w:val="auto"/>
              </w:rPr>
            </w:pPr>
            <w:r>
              <w:rPr>
                <w:rFonts w:hAnsi="宋体"/>
                <w:b/>
                <w:bCs/>
                <w:color w:val="auto"/>
              </w:rPr>
              <w:t>2.</w:t>
            </w:r>
            <w:r>
              <w:rPr>
                <w:rFonts w:hint="eastAsia" w:hAnsi="宋体"/>
                <w:b/>
                <w:bCs/>
                <w:color w:val="auto"/>
              </w:rPr>
              <w:t>法人代表资格证明书及授权书、被授权人身份证；</w:t>
            </w:r>
            <w:r>
              <w:rPr>
                <w:rFonts w:hAnsi="宋体"/>
                <w:b/>
                <w:bCs/>
                <w:color w:val="auto"/>
              </w:rPr>
              <w:t>(</w:t>
            </w:r>
            <w:r>
              <w:rPr>
                <w:rFonts w:hint="eastAsia" w:hAnsi="宋体"/>
                <w:b/>
                <w:bCs/>
                <w:color w:val="auto"/>
              </w:rPr>
              <w:t>法人投标须提供法人身份证及法人代表资格证明书</w:t>
            </w:r>
            <w:r>
              <w:rPr>
                <w:rFonts w:hAnsi="宋体"/>
                <w:b/>
                <w:bCs/>
                <w:color w:val="auto"/>
              </w:rPr>
              <w:t>)</w:t>
            </w:r>
            <w:r>
              <w:rPr>
                <w:rFonts w:hint="eastAsia" w:hAnsi="宋体"/>
                <w:b/>
                <w:bCs/>
                <w:color w:val="auto"/>
              </w:rPr>
              <w:t>；</w:t>
            </w:r>
          </w:p>
          <w:p>
            <w:pPr>
              <w:pStyle w:val="2"/>
              <w:spacing w:line="400" w:lineRule="exact"/>
              <w:ind w:firstLine="0"/>
              <w:rPr>
                <w:rFonts w:hAnsi="宋体" w:cs="Times New Roman"/>
                <w:b/>
                <w:bCs/>
                <w:color w:val="auto"/>
              </w:rPr>
            </w:pPr>
            <w:r>
              <w:rPr>
                <w:rFonts w:hAnsi="宋体"/>
                <w:b/>
                <w:bCs/>
                <w:color w:val="auto"/>
              </w:rPr>
              <w:t>3.</w:t>
            </w:r>
            <w:r>
              <w:rPr>
                <w:rFonts w:hint="eastAsia" w:hAnsi="宋体"/>
                <w:b/>
                <w:bCs/>
                <w:color w:val="auto"/>
              </w:rPr>
              <w:t>财务状况报告近二年任意一年经审计的财务报告</w:t>
            </w:r>
            <w:r>
              <w:rPr>
                <w:rFonts w:hAnsi="宋体"/>
                <w:b/>
                <w:bCs/>
                <w:color w:val="auto"/>
              </w:rPr>
              <w:t>,</w:t>
            </w:r>
            <w:r>
              <w:rPr>
                <w:rFonts w:hint="eastAsia" w:hAnsi="宋体"/>
                <w:b/>
                <w:bCs/>
                <w:color w:val="auto"/>
              </w:rPr>
              <w:t>或新公司出具近</w:t>
            </w:r>
            <w:r>
              <w:rPr>
                <w:rFonts w:hAnsi="宋体"/>
                <w:b/>
                <w:bCs/>
                <w:color w:val="auto"/>
              </w:rPr>
              <w:t>6</w:t>
            </w:r>
            <w:r>
              <w:rPr>
                <w:rFonts w:hint="eastAsia" w:hAnsi="宋体"/>
                <w:b/>
                <w:bCs/>
                <w:color w:val="auto"/>
              </w:rPr>
              <w:t>个月任意一个月的银行资信证明；</w:t>
            </w:r>
          </w:p>
          <w:p>
            <w:pPr>
              <w:pStyle w:val="2"/>
              <w:spacing w:line="400" w:lineRule="exact"/>
              <w:ind w:firstLine="0"/>
              <w:rPr>
                <w:rFonts w:hAnsi="宋体" w:cs="Times New Roman"/>
                <w:b/>
                <w:bCs/>
                <w:color w:val="auto"/>
              </w:rPr>
            </w:pPr>
            <w:r>
              <w:rPr>
                <w:rFonts w:hAnsi="宋体"/>
                <w:b/>
                <w:bCs/>
                <w:color w:val="auto"/>
              </w:rPr>
              <w:t>4.</w:t>
            </w:r>
            <w:r>
              <w:rPr>
                <w:rFonts w:hint="eastAsia" w:hAnsi="宋体"/>
                <w:b/>
                <w:bCs/>
                <w:color w:val="auto"/>
              </w:rPr>
              <w:t>依法缴纳近</w:t>
            </w:r>
            <w:r>
              <w:rPr>
                <w:rFonts w:hAnsi="宋体"/>
                <w:b/>
                <w:bCs/>
                <w:color w:val="auto"/>
              </w:rPr>
              <w:t>6</w:t>
            </w:r>
            <w:r>
              <w:rPr>
                <w:rFonts w:hint="eastAsia" w:hAnsi="宋体"/>
                <w:b/>
                <w:bCs/>
                <w:color w:val="auto"/>
              </w:rPr>
              <w:t>个月任意一个月社会保险的凭据；</w:t>
            </w:r>
          </w:p>
          <w:p>
            <w:pPr>
              <w:pStyle w:val="2"/>
              <w:spacing w:line="400" w:lineRule="exact"/>
              <w:ind w:firstLine="0"/>
              <w:rPr>
                <w:rFonts w:hAnsi="宋体" w:cs="Times New Roman"/>
                <w:b/>
                <w:bCs/>
                <w:color w:val="auto"/>
              </w:rPr>
            </w:pPr>
            <w:r>
              <w:rPr>
                <w:rFonts w:hAnsi="宋体"/>
                <w:b/>
                <w:bCs/>
                <w:color w:val="auto"/>
              </w:rPr>
              <w:t>5.</w:t>
            </w:r>
            <w:r>
              <w:rPr>
                <w:rFonts w:hint="eastAsia" w:hAnsi="宋体"/>
                <w:b/>
                <w:bCs/>
                <w:color w:val="auto"/>
              </w:rPr>
              <w:t>提供税务部门出具的近</w:t>
            </w:r>
            <w:r>
              <w:rPr>
                <w:rFonts w:hAnsi="宋体"/>
                <w:b/>
                <w:bCs/>
                <w:color w:val="auto"/>
              </w:rPr>
              <w:t>6</w:t>
            </w:r>
            <w:r>
              <w:rPr>
                <w:rFonts w:hint="eastAsia" w:hAnsi="宋体"/>
                <w:b/>
                <w:bCs/>
                <w:color w:val="auto"/>
              </w:rPr>
              <w:t>个月任意一个月的完税证明；</w:t>
            </w:r>
          </w:p>
          <w:p>
            <w:pPr>
              <w:pStyle w:val="2"/>
              <w:spacing w:line="400" w:lineRule="exact"/>
              <w:ind w:firstLine="0"/>
              <w:rPr>
                <w:rFonts w:hAnsi="宋体" w:cs="Times New Roman"/>
                <w:b/>
                <w:bCs/>
                <w:color w:val="auto"/>
              </w:rPr>
            </w:pPr>
            <w:r>
              <w:rPr>
                <w:rFonts w:hAnsi="宋体"/>
                <w:b/>
                <w:bCs/>
                <w:color w:val="auto"/>
              </w:rPr>
              <w:t>6.</w:t>
            </w:r>
            <w:r>
              <w:rPr>
                <w:rFonts w:hint="eastAsia" w:hAnsi="宋体"/>
                <w:b/>
                <w:bCs/>
                <w:color w:val="auto"/>
              </w:rPr>
              <w:t>参与政府采购活动前</w:t>
            </w:r>
            <w:r>
              <w:rPr>
                <w:rFonts w:hAnsi="宋体"/>
                <w:b/>
                <w:bCs/>
                <w:color w:val="auto"/>
              </w:rPr>
              <w:t>3</w:t>
            </w:r>
            <w:r>
              <w:rPr>
                <w:rFonts w:hint="eastAsia" w:hAnsi="宋体"/>
                <w:b/>
                <w:bCs/>
                <w:color w:val="auto"/>
              </w:rPr>
              <w:t>年内未被列入失信、重大税收违法案件、财政部门禁止参加政府采购活动的承诺书；</w:t>
            </w:r>
          </w:p>
          <w:p>
            <w:pPr>
              <w:pStyle w:val="2"/>
              <w:spacing w:line="400" w:lineRule="exact"/>
              <w:ind w:firstLine="0"/>
              <w:rPr>
                <w:rFonts w:hAnsi="宋体" w:cs="Times New Roman"/>
                <w:b/>
                <w:bCs/>
                <w:color w:val="auto"/>
              </w:rPr>
            </w:pPr>
            <w:r>
              <w:rPr>
                <w:rFonts w:hAnsi="宋体"/>
                <w:b/>
                <w:bCs/>
                <w:color w:val="auto"/>
              </w:rPr>
              <w:t>7.</w:t>
            </w:r>
            <w:r>
              <w:rPr>
                <w:rFonts w:hint="eastAsia" w:hAnsi="宋体"/>
                <w:b/>
                <w:bCs/>
                <w:color w:val="auto"/>
              </w:rPr>
              <w:t>根据《财政部关于在政府采购活动中查询及使用信用记录有关问题的通知》（财库﹝</w:t>
            </w:r>
            <w:r>
              <w:rPr>
                <w:rFonts w:hAnsi="宋体"/>
                <w:b/>
                <w:bCs/>
                <w:color w:val="auto"/>
              </w:rPr>
              <w:t>2016</w:t>
            </w:r>
            <w:r>
              <w:rPr>
                <w:rFonts w:hint="eastAsia" w:hAnsi="宋体"/>
                <w:b/>
                <w:bCs/>
                <w:color w:val="auto"/>
              </w:rPr>
              <w:t>﹞</w:t>
            </w:r>
            <w:r>
              <w:rPr>
                <w:rFonts w:hAnsi="宋体"/>
                <w:b/>
                <w:bCs/>
                <w:color w:val="auto"/>
              </w:rPr>
              <w:t>125</w:t>
            </w:r>
            <w:r>
              <w:rPr>
                <w:rFonts w:hint="eastAsia" w:hAnsi="宋体"/>
                <w:b/>
                <w:bCs/>
                <w:color w:val="auto"/>
              </w:rPr>
              <w:t>号）的要求，凡拟参加本次招标项目的供应商，如在“信用中国”网站（</w:t>
            </w:r>
            <w:r>
              <w:rPr>
                <w:rFonts w:hAnsi="宋体"/>
                <w:b/>
                <w:bCs/>
                <w:color w:val="auto"/>
              </w:rPr>
              <w:t xml:space="preserve"> www.creditchina.gov.cn</w:t>
            </w:r>
            <w:r>
              <w:rPr>
                <w:rFonts w:hint="eastAsia" w:hAnsi="宋体"/>
                <w:b/>
                <w:bCs/>
                <w:color w:val="auto"/>
              </w:rPr>
              <w:t>）</w:t>
            </w:r>
            <w:r>
              <w:rPr>
                <w:rFonts w:hAnsi="宋体"/>
                <w:b/>
                <w:bCs/>
                <w:color w:val="auto"/>
              </w:rPr>
              <w:t xml:space="preserve"> </w:t>
            </w:r>
            <w:r>
              <w:rPr>
                <w:rFonts w:hint="eastAsia" w:hAnsi="宋体"/>
                <w:b/>
                <w:bCs/>
                <w:color w:val="auto"/>
              </w:rPr>
              <w:t>被列入失信被执行人、重大税收违法案件当事人名单</w:t>
            </w:r>
            <w:r>
              <w:rPr>
                <w:rFonts w:hAnsi="宋体"/>
                <w:b/>
                <w:bCs/>
                <w:color w:val="auto"/>
              </w:rPr>
              <w:t>(</w:t>
            </w:r>
            <w:r>
              <w:rPr>
                <w:rFonts w:hint="eastAsia" w:hAnsi="宋体"/>
                <w:b/>
                <w:bCs/>
                <w:color w:val="auto"/>
              </w:rPr>
              <w:t>信用服务</w:t>
            </w:r>
            <w:r>
              <w:rPr>
                <w:rFonts w:hAnsi="宋体"/>
                <w:b/>
                <w:bCs/>
                <w:color w:val="auto"/>
              </w:rPr>
              <w:t>-</w:t>
            </w:r>
            <w:r>
              <w:rPr>
                <w:rFonts w:hint="eastAsia" w:hAnsi="宋体"/>
                <w:b/>
                <w:bCs/>
                <w:color w:val="auto"/>
              </w:rPr>
              <w:t>失信惩戒对象查询</w:t>
            </w:r>
            <w:r>
              <w:rPr>
                <w:rFonts w:hAnsi="宋体"/>
                <w:b/>
                <w:bCs/>
                <w:color w:val="auto"/>
              </w:rPr>
              <w:t>-</w:t>
            </w:r>
            <w:r>
              <w:rPr>
                <w:rFonts w:hint="eastAsia" w:hAnsi="宋体"/>
                <w:b/>
                <w:bCs/>
                <w:color w:val="auto"/>
              </w:rPr>
              <w:t>搜索栏输入单位全称</w:t>
            </w:r>
            <w:r>
              <w:rPr>
                <w:rFonts w:hAnsi="宋体"/>
                <w:b/>
                <w:bCs/>
                <w:color w:val="auto"/>
              </w:rPr>
              <w:t>-</w:t>
            </w:r>
            <w:r>
              <w:rPr>
                <w:rFonts w:hint="eastAsia" w:hAnsi="宋体"/>
                <w:b/>
                <w:bCs/>
                <w:color w:val="auto"/>
              </w:rPr>
              <w:t>截图</w:t>
            </w:r>
            <w:r>
              <w:rPr>
                <w:rFonts w:hAnsi="宋体"/>
                <w:b/>
                <w:bCs/>
                <w:color w:val="auto"/>
              </w:rPr>
              <w:t>)</w:t>
            </w:r>
            <w:r>
              <w:rPr>
                <w:rFonts w:hint="eastAsia" w:hAnsi="宋体"/>
                <w:b/>
                <w:bCs/>
                <w:color w:val="auto"/>
              </w:rPr>
              <w:t>、中国政府采购网（</w:t>
            </w:r>
            <w:r>
              <w:rPr>
                <w:rFonts w:hAnsi="宋体"/>
                <w:b/>
                <w:bCs/>
                <w:color w:val="auto"/>
              </w:rPr>
              <w:t>http://www.ccgp.gov.cn/search/cr/</w:t>
            </w:r>
            <w:r>
              <w:rPr>
                <w:rFonts w:hint="eastAsia" w:hAnsi="宋体"/>
                <w:b/>
                <w:bCs/>
                <w:color w:val="auto"/>
              </w:rPr>
              <w:t>）严重违法失信行为记录名单的（尚在处罚期内的），“国家企业信用信息公示系统（</w:t>
            </w:r>
            <w:r>
              <w:rPr>
                <w:rFonts w:hAnsi="宋体"/>
                <w:b/>
                <w:bCs/>
                <w:color w:val="auto"/>
              </w:rPr>
              <w:t>http://www.gsxt.gov.cn</w:t>
            </w:r>
            <w:r>
              <w:rPr>
                <w:rFonts w:hint="eastAsia" w:hAnsi="宋体"/>
                <w:b/>
                <w:bCs/>
                <w:color w:val="auto"/>
              </w:rPr>
              <w:t>）”列入经营异常名录信息、列入严重违法失信企业名单（黑名单）信息及企业信用信息公示报告；将拒绝其参加本次招标活动；（以招标代理或招标人查询为准）</w:t>
            </w:r>
          </w:p>
          <w:p>
            <w:pPr>
              <w:pStyle w:val="2"/>
              <w:spacing w:line="400" w:lineRule="exact"/>
              <w:ind w:firstLine="0"/>
              <w:rPr>
                <w:rFonts w:hAnsi="宋体" w:cs="Times New Roman"/>
                <w:b/>
                <w:bCs/>
                <w:color w:val="auto"/>
              </w:rPr>
            </w:pPr>
            <w:r>
              <w:rPr>
                <w:rFonts w:hAnsi="宋体"/>
                <w:b/>
                <w:bCs/>
                <w:color w:val="auto"/>
              </w:rPr>
              <w:t>8.</w:t>
            </w:r>
            <w:r>
              <w:rPr>
                <w:rFonts w:hint="eastAsia" w:hAnsi="宋体"/>
                <w:b/>
                <w:bCs/>
                <w:color w:val="auto"/>
              </w:rPr>
              <w:t>提供针对本次项目《反商业贿赂承诺书》；</w:t>
            </w:r>
          </w:p>
          <w:p>
            <w:pPr>
              <w:pStyle w:val="2"/>
              <w:spacing w:line="400" w:lineRule="exact"/>
              <w:ind w:firstLine="0"/>
              <w:rPr>
                <w:rFonts w:hAnsi="宋体" w:cs="Times New Roman"/>
                <w:color w:val="auto"/>
              </w:rPr>
            </w:pPr>
            <w:r>
              <w:rPr>
                <w:rFonts w:hAnsi="宋体"/>
                <w:b/>
                <w:bCs/>
                <w:color w:val="auto"/>
              </w:rPr>
              <w:t>9.</w:t>
            </w:r>
            <w:r>
              <w:rPr>
                <w:rFonts w:hint="eastAsia" w:hAnsi="宋体"/>
                <w:b/>
                <w:bCs/>
                <w:color w:val="auto"/>
              </w:rPr>
              <w:t>提供投标保证金的银行转账回执单。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spacing w:line="440" w:lineRule="exact"/>
              <w:rPr>
                <w:rFonts w:ascii="宋体"/>
                <w:color w:val="auto"/>
                <w:sz w:val="24"/>
                <w:szCs w:val="24"/>
              </w:rPr>
            </w:pPr>
            <w:r>
              <w:rPr>
                <w:rFonts w:ascii="宋体" w:hAnsi="宋体" w:cs="宋体"/>
                <w:color w:val="auto"/>
                <w:sz w:val="24"/>
                <w:szCs w:val="24"/>
              </w:rPr>
              <w:t xml:space="preserve">1.3.5   </w:t>
            </w:r>
          </w:p>
        </w:tc>
        <w:tc>
          <w:tcPr>
            <w:tcW w:w="8500" w:type="dxa"/>
            <w:vAlign w:val="center"/>
          </w:tcPr>
          <w:p>
            <w:pPr>
              <w:spacing w:line="440" w:lineRule="exact"/>
              <w:rPr>
                <w:rFonts w:ascii="宋体"/>
                <w:color w:val="auto"/>
                <w:sz w:val="24"/>
                <w:szCs w:val="24"/>
              </w:rPr>
            </w:pPr>
            <w:r>
              <w:rPr>
                <w:rFonts w:hint="eastAsia" w:ascii="宋体" w:hAnsi="宋体" w:cs="宋体"/>
                <w:b/>
                <w:bCs/>
                <w:color w:val="auto"/>
                <w:sz w:val="24"/>
                <w:szCs w:val="24"/>
              </w:rPr>
              <w:t>是否允许采购进口产品：</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否</w:t>
            </w:r>
            <w:r>
              <w:rPr>
                <w:rFonts w:ascii="宋体" w:hAnsi="宋体" w:cs="宋体"/>
                <w:b/>
                <w:bCs/>
                <w:color w:val="auto"/>
                <w:sz w:val="24"/>
                <w:szCs w:val="24"/>
                <w:u w:val="single"/>
              </w:rPr>
              <w:t xml:space="preserve"> </w:t>
            </w:r>
            <w:r>
              <w:rPr>
                <w:rFonts w:hint="eastAsia" w:ascii="宋体" w:hAnsi="宋体" w:cs="宋体"/>
                <w:b/>
                <w:b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67" w:type="dxa"/>
            <w:vAlign w:val="center"/>
          </w:tcPr>
          <w:p>
            <w:pPr>
              <w:spacing w:line="440" w:lineRule="exact"/>
              <w:rPr>
                <w:rFonts w:ascii="宋体"/>
                <w:color w:val="auto"/>
                <w:sz w:val="24"/>
                <w:szCs w:val="24"/>
              </w:rPr>
            </w:pPr>
            <w:r>
              <w:rPr>
                <w:rFonts w:ascii="宋体" w:hAnsi="宋体" w:cs="宋体"/>
                <w:color w:val="auto"/>
                <w:sz w:val="24"/>
                <w:szCs w:val="24"/>
              </w:rPr>
              <w:t>1.3.6</w:t>
            </w:r>
          </w:p>
        </w:tc>
        <w:tc>
          <w:tcPr>
            <w:tcW w:w="8500" w:type="dxa"/>
            <w:vAlign w:val="center"/>
          </w:tcPr>
          <w:p>
            <w:pPr>
              <w:spacing w:line="440" w:lineRule="exact"/>
              <w:rPr>
                <w:rFonts w:ascii="宋体"/>
                <w:color w:val="auto"/>
                <w:sz w:val="24"/>
                <w:szCs w:val="24"/>
              </w:rPr>
            </w:pPr>
            <w:r>
              <w:rPr>
                <w:rFonts w:hint="eastAsia" w:ascii="宋体" w:hAnsi="宋体" w:cs="宋体"/>
                <w:color w:val="auto"/>
                <w:sz w:val="24"/>
                <w:szCs w:val="24"/>
              </w:rPr>
              <w:t>是否为专门面向中小企业采购：</w:t>
            </w:r>
            <w:r>
              <w:rPr>
                <w:rFonts w:ascii="宋体" w:hAnsi="宋体" w:cs="宋体"/>
                <w:color w:val="auto"/>
                <w:sz w:val="24"/>
                <w:szCs w:val="24"/>
                <w:u w:val="single"/>
              </w:rPr>
              <w:t xml:space="preserve">  </w:t>
            </w:r>
            <w:r>
              <w:rPr>
                <w:rFonts w:hint="eastAsia" w:ascii="宋体" w:hAnsi="宋体" w:cs="宋体"/>
                <w:color w:val="auto"/>
                <w:sz w:val="24"/>
                <w:szCs w:val="24"/>
                <w:u w:val="single"/>
              </w:rPr>
              <w:t>否</w:t>
            </w:r>
            <w:r>
              <w:rPr>
                <w:rFonts w:ascii="宋体" w:hAnsi="宋体" w:cs="宋体"/>
                <w:color w:val="auto"/>
                <w:sz w:val="24"/>
                <w:szCs w:val="24"/>
                <w:u w:val="single"/>
              </w:rPr>
              <w:t xml:space="preserve">  </w:t>
            </w:r>
            <w:r>
              <w:rPr>
                <w:rFonts w:hint="eastAsia" w:ascii="宋体" w:hAnsi="宋体" w:cs="宋体"/>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spacing w:line="440" w:lineRule="exact"/>
              <w:rPr>
                <w:rFonts w:ascii="宋体"/>
                <w:color w:val="auto"/>
                <w:sz w:val="24"/>
                <w:szCs w:val="24"/>
              </w:rPr>
            </w:pPr>
            <w:r>
              <w:rPr>
                <w:rFonts w:ascii="宋体" w:hAnsi="宋体" w:cs="宋体"/>
                <w:color w:val="auto"/>
                <w:sz w:val="24"/>
                <w:szCs w:val="24"/>
              </w:rPr>
              <w:t>1.4</w:t>
            </w:r>
          </w:p>
        </w:tc>
        <w:tc>
          <w:tcPr>
            <w:tcW w:w="8500" w:type="dxa"/>
            <w:vAlign w:val="center"/>
          </w:tcPr>
          <w:p>
            <w:pPr>
              <w:spacing w:line="440" w:lineRule="exact"/>
              <w:rPr>
                <w:rFonts w:ascii="宋体"/>
                <w:color w:val="auto"/>
                <w:sz w:val="24"/>
                <w:szCs w:val="24"/>
              </w:rPr>
            </w:pPr>
            <w:r>
              <w:rPr>
                <w:rFonts w:hint="eastAsia" w:ascii="宋体" w:hAnsi="宋体" w:cs="宋体"/>
                <w:color w:val="auto"/>
                <w:sz w:val="24"/>
                <w:szCs w:val="24"/>
              </w:rPr>
              <w:t>是否允许联合体投标：</w:t>
            </w:r>
            <w:r>
              <w:rPr>
                <w:rFonts w:ascii="宋体" w:hAnsi="宋体" w:cs="宋体"/>
                <w:color w:val="auto"/>
                <w:sz w:val="24"/>
                <w:szCs w:val="24"/>
                <w:u w:val="single"/>
              </w:rPr>
              <w:t xml:space="preserve">  </w:t>
            </w:r>
            <w:r>
              <w:rPr>
                <w:rFonts w:hint="eastAsia" w:ascii="宋体" w:hAnsi="宋体" w:cs="宋体"/>
                <w:color w:val="auto"/>
                <w:sz w:val="24"/>
                <w:szCs w:val="24"/>
                <w:u w:val="single"/>
              </w:rPr>
              <w:t>否</w:t>
            </w:r>
            <w:r>
              <w:rPr>
                <w:rFonts w:ascii="宋体" w:hAnsi="宋体" w:cs="宋体"/>
                <w:color w:val="auto"/>
                <w:sz w:val="24"/>
                <w:szCs w:val="24"/>
                <w:u w:val="single"/>
              </w:rPr>
              <w:t xml:space="preserve">  </w:t>
            </w:r>
            <w:r>
              <w:rPr>
                <w:rFonts w:hint="eastAsia" w:ascii="宋体" w:hAnsi="宋体" w:cs="宋体"/>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pPr>
              <w:spacing w:line="440" w:lineRule="exact"/>
              <w:rPr>
                <w:rFonts w:ascii="宋体"/>
                <w:color w:val="auto"/>
                <w:sz w:val="24"/>
                <w:szCs w:val="24"/>
              </w:rPr>
            </w:pPr>
            <w:r>
              <w:rPr>
                <w:rFonts w:ascii="宋体" w:hAnsi="宋体" w:cs="宋体"/>
                <w:color w:val="auto"/>
                <w:sz w:val="24"/>
                <w:szCs w:val="24"/>
              </w:rPr>
              <w:t>1.4.8</w:t>
            </w:r>
          </w:p>
        </w:tc>
        <w:tc>
          <w:tcPr>
            <w:tcW w:w="8500" w:type="dxa"/>
            <w:vAlign w:val="center"/>
          </w:tcPr>
          <w:p>
            <w:pPr>
              <w:spacing w:line="440" w:lineRule="exact"/>
              <w:rPr>
                <w:rFonts w:ascii="宋体"/>
                <w:color w:val="auto"/>
                <w:sz w:val="24"/>
                <w:szCs w:val="24"/>
              </w:rPr>
            </w:pPr>
            <w:r>
              <w:rPr>
                <w:rFonts w:hint="eastAsia" w:ascii="宋体" w:hAnsi="宋体" w:cs="宋体"/>
                <w:color w:val="auto"/>
                <w:sz w:val="24"/>
                <w:szCs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2.2</w:t>
            </w:r>
          </w:p>
        </w:tc>
        <w:tc>
          <w:tcPr>
            <w:tcW w:w="8500" w:type="dxa"/>
            <w:vAlign w:val="center"/>
          </w:tcPr>
          <w:p>
            <w:pPr>
              <w:spacing w:line="360" w:lineRule="auto"/>
              <w:rPr>
                <w:rFonts w:ascii="宋体"/>
                <w:color w:val="auto"/>
              </w:rPr>
            </w:pPr>
            <w:r>
              <w:rPr>
                <w:rFonts w:hint="eastAsia" w:ascii="宋体" w:hAnsi="宋体" w:cs="宋体"/>
                <w:b/>
                <w:bCs/>
                <w:color w:val="auto"/>
                <w:sz w:val="24"/>
                <w:szCs w:val="24"/>
              </w:rPr>
              <w:t>项目预算金额：</w:t>
            </w:r>
            <w:r>
              <w:rPr>
                <w:rFonts w:ascii="宋体" w:hAnsi="宋体" w:cs="宋体"/>
                <w:b/>
                <w:bCs/>
                <w:color w:val="auto"/>
                <w:sz w:val="24"/>
                <w:szCs w:val="24"/>
              </w:rPr>
              <w:t>7000000.00</w:t>
            </w:r>
            <w:r>
              <w:rPr>
                <w:rFonts w:hint="eastAsia" w:ascii="宋体" w:hAnsi="宋体" w:cs="宋体"/>
                <w:b/>
                <w:bCs/>
                <w:color w:val="auto"/>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867" w:type="dxa"/>
            <w:vAlign w:val="center"/>
          </w:tcPr>
          <w:p>
            <w:pPr>
              <w:spacing w:line="440" w:lineRule="exact"/>
              <w:rPr>
                <w:rFonts w:ascii="宋体"/>
                <w:color w:val="auto"/>
                <w:sz w:val="24"/>
                <w:szCs w:val="24"/>
              </w:rPr>
            </w:pPr>
            <w:r>
              <w:rPr>
                <w:rFonts w:ascii="宋体" w:hAnsi="宋体" w:cs="宋体"/>
                <w:color w:val="auto"/>
                <w:sz w:val="24"/>
                <w:szCs w:val="24"/>
              </w:rPr>
              <w:t>12.1</w:t>
            </w:r>
          </w:p>
        </w:tc>
        <w:tc>
          <w:tcPr>
            <w:tcW w:w="8500" w:type="dxa"/>
            <w:vAlign w:val="center"/>
          </w:tcPr>
          <w:p>
            <w:pPr>
              <w:spacing w:line="400" w:lineRule="exact"/>
              <w:jc w:val="left"/>
              <w:rPr>
                <w:rFonts w:ascii="宋体"/>
                <w:color w:val="auto"/>
                <w:sz w:val="24"/>
                <w:szCs w:val="24"/>
              </w:rPr>
            </w:pPr>
            <w:r>
              <w:rPr>
                <w:rFonts w:hint="eastAsia" w:ascii="宋体" w:hAnsi="宋体" w:cs="宋体"/>
                <w:color w:val="auto"/>
                <w:sz w:val="24"/>
                <w:szCs w:val="24"/>
              </w:rPr>
              <w:t>投标保证金形式：□保函</w:t>
            </w:r>
            <w:r>
              <w:rPr>
                <w:rFonts w:ascii="宋体" w:hAnsi="宋体" w:cs="宋体"/>
                <w:color w:val="auto"/>
                <w:sz w:val="24"/>
                <w:szCs w:val="24"/>
              </w:rPr>
              <w:t xml:space="preserve">  </w:t>
            </w:r>
            <w:r>
              <w:rPr>
                <w:rFonts w:hint="eastAsia" w:ascii="宋体" w:hAnsi="宋体" w:cs="宋体"/>
                <w:color w:val="auto"/>
                <w:sz w:val="24"/>
                <w:szCs w:val="24"/>
              </w:rPr>
              <w:t>□电汇</w:t>
            </w:r>
            <w:r>
              <w:rPr>
                <w:rFonts w:ascii="宋体" w:hAnsi="宋体" w:cs="宋体"/>
                <w:color w:val="auto"/>
                <w:sz w:val="24"/>
                <w:szCs w:val="24"/>
              </w:rPr>
              <w:t xml:space="preserve">  </w:t>
            </w:r>
            <w:r>
              <w:rPr>
                <w:rFonts w:hint="eastAsia" w:ascii="宋体" w:hAnsi="宋体" w:cs="宋体"/>
                <w:color w:val="auto"/>
                <w:sz w:val="24"/>
                <w:szCs w:val="24"/>
              </w:rPr>
              <w:t>□支票</w:t>
            </w:r>
            <w:r>
              <w:rPr>
                <w:rFonts w:ascii="宋体" w:hAnsi="宋体" w:cs="宋体"/>
                <w:color w:val="auto"/>
                <w:sz w:val="24"/>
                <w:szCs w:val="24"/>
              </w:rPr>
              <w:t xml:space="preserve">   </w:t>
            </w:r>
            <w:r>
              <w:rPr>
                <w:rFonts w:hint="eastAsia" w:ascii="宋体" w:hAnsi="Wingdings 2"/>
                <w:color w:val="auto"/>
                <w:sz w:val="24"/>
                <w:szCs w:val="24"/>
              </w:rPr>
              <w:sym w:font="Wingdings 2" w:char="F052"/>
            </w:r>
            <w:r>
              <w:rPr>
                <w:rFonts w:hint="eastAsia" w:ascii="宋体" w:hAnsi="宋体" w:cs="宋体"/>
                <w:color w:val="auto"/>
                <w:sz w:val="24"/>
                <w:szCs w:val="24"/>
              </w:rPr>
              <w:t>对公转账</w:t>
            </w:r>
            <w:r>
              <w:rPr>
                <w:rFonts w:ascii="宋体" w:hAnsi="宋体" w:cs="宋体"/>
                <w:color w:val="auto"/>
                <w:sz w:val="24"/>
                <w:szCs w:val="24"/>
              </w:rPr>
              <w:t xml:space="preserve">   </w:t>
            </w:r>
          </w:p>
          <w:p>
            <w:pPr>
              <w:spacing w:line="400" w:lineRule="exact"/>
              <w:jc w:val="left"/>
              <w:rPr>
                <w:rFonts w:ascii="宋体"/>
                <w:color w:val="auto"/>
                <w:sz w:val="24"/>
                <w:szCs w:val="24"/>
              </w:rPr>
            </w:pPr>
            <w:r>
              <w:rPr>
                <w:rFonts w:hint="eastAsia" w:ascii="宋体" w:hAnsi="宋体" w:cs="宋体"/>
                <w:color w:val="auto"/>
                <w:sz w:val="24"/>
                <w:szCs w:val="24"/>
              </w:rPr>
              <w:t>投标保证金金额：小写：</w:t>
            </w:r>
            <w:r>
              <w:rPr>
                <w:rFonts w:hint="eastAsia" w:ascii="宋体" w:cs="宋体"/>
                <w:color w:val="auto"/>
                <w:sz w:val="24"/>
                <w:szCs w:val="24"/>
              </w:rPr>
              <w:t>￥</w:t>
            </w:r>
            <w:r>
              <w:rPr>
                <w:rFonts w:ascii="宋体" w:hAnsi="宋体" w:cs="宋体"/>
                <w:color w:val="auto"/>
                <w:sz w:val="24"/>
                <w:szCs w:val="24"/>
              </w:rPr>
              <w:t>140000</w:t>
            </w:r>
            <w:r>
              <w:rPr>
                <w:rFonts w:hint="eastAsia" w:ascii="宋体" w:hAnsi="宋体" w:cs="宋体"/>
                <w:color w:val="auto"/>
                <w:sz w:val="24"/>
                <w:szCs w:val="24"/>
              </w:rPr>
              <w:t>元（人民币壹拾肆万元整）；（按照控制金额</w:t>
            </w:r>
            <w:r>
              <w:rPr>
                <w:rFonts w:ascii="宋体" w:hAnsi="宋体" w:cs="宋体"/>
                <w:color w:val="auto"/>
                <w:sz w:val="24"/>
                <w:szCs w:val="24"/>
              </w:rPr>
              <w:t>2%</w:t>
            </w:r>
            <w:r>
              <w:rPr>
                <w:rFonts w:hint="eastAsia" w:ascii="宋体" w:hAnsi="宋体" w:cs="宋体"/>
                <w:color w:val="auto"/>
                <w:sz w:val="24"/>
                <w:szCs w:val="24"/>
              </w:rPr>
              <w:t>以内的整数计算）</w:t>
            </w:r>
          </w:p>
          <w:p>
            <w:pPr>
              <w:spacing w:line="400" w:lineRule="exact"/>
              <w:jc w:val="left"/>
              <w:rPr>
                <w:rFonts w:ascii="宋体"/>
                <w:color w:val="auto"/>
                <w:sz w:val="24"/>
                <w:szCs w:val="24"/>
              </w:rPr>
            </w:pPr>
            <w:r>
              <w:rPr>
                <w:rFonts w:hint="eastAsia" w:ascii="宋体" w:hAnsi="宋体" w:cs="宋体"/>
                <w:color w:val="auto"/>
                <w:sz w:val="24"/>
                <w:szCs w:val="24"/>
              </w:rPr>
              <w:t>保证金收款人：</w:t>
            </w:r>
          </w:p>
          <w:p>
            <w:pPr>
              <w:spacing w:line="400" w:lineRule="exact"/>
              <w:jc w:val="left"/>
              <w:rPr>
                <w:rFonts w:ascii="宋体"/>
                <w:color w:val="auto"/>
                <w:sz w:val="24"/>
                <w:szCs w:val="24"/>
              </w:rPr>
            </w:pPr>
            <w:r>
              <w:rPr>
                <w:rFonts w:hint="eastAsia" w:ascii="宋体" w:hAnsi="宋体" w:cs="宋体"/>
                <w:color w:val="auto"/>
                <w:sz w:val="24"/>
                <w:szCs w:val="24"/>
              </w:rPr>
              <w:t>单位名称：中经国际招标集团有限公司喀什分公司</w:t>
            </w:r>
          </w:p>
          <w:p>
            <w:pPr>
              <w:spacing w:line="400" w:lineRule="exact"/>
              <w:jc w:val="left"/>
              <w:rPr>
                <w:rFonts w:ascii="宋体"/>
                <w:color w:val="auto"/>
                <w:sz w:val="24"/>
                <w:szCs w:val="24"/>
              </w:rPr>
            </w:pPr>
            <w:r>
              <w:rPr>
                <w:rFonts w:hint="eastAsia" w:ascii="宋体" w:hAnsi="宋体" w:cs="宋体"/>
                <w:color w:val="auto"/>
                <w:sz w:val="24"/>
                <w:szCs w:val="24"/>
              </w:rPr>
              <w:t>开</w:t>
            </w:r>
            <w:r>
              <w:rPr>
                <w:rFonts w:ascii="宋体" w:hAnsi="宋体" w:cs="宋体"/>
                <w:color w:val="auto"/>
                <w:sz w:val="24"/>
                <w:szCs w:val="24"/>
              </w:rPr>
              <w:t xml:space="preserve"> </w:t>
            </w:r>
            <w:r>
              <w:rPr>
                <w:rFonts w:hint="eastAsia" w:ascii="宋体" w:hAnsi="宋体" w:cs="宋体"/>
                <w:color w:val="auto"/>
                <w:sz w:val="24"/>
                <w:szCs w:val="24"/>
              </w:rPr>
              <w:t>户</w:t>
            </w:r>
            <w:r>
              <w:rPr>
                <w:rFonts w:ascii="宋体" w:hAnsi="宋体" w:cs="宋体"/>
                <w:color w:val="auto"/>
                <w:sz w:val="24"/>
                <w:szCs w:val="24"/>
              </w:rPr>
              <w:t xml:space="preserve"> </w:t>
            </w:r>
            <w:r>
              <w:rPr>
                <w:rFonts w:hint="eastAsia" w:ascii="宋体" w:hAnsi="宋体" w:cs="宋体"/>
                <w:color w:val="auto"/>
                <w:sz w:val="24"/>
                <w:szCs w:val="24"/>
              </w:rPr>
              <w:t>行：乌鲁木齐银行喀什分行营业部</w:t>
            </w:r>
          </w:p>
          <w:p>
            <w:pPr>
              <w:spacing w:line="400" w:lineRule="exact"/>
              <w:jc w:val="left"/>
              <w:rPr>
                <w:rFonts w:ascii="宋体"/>
                <w:color w:val="auto"/>
                <w:sz w:val="24"/>
                <w:szCs w:val="24"/>
              </w:rPr>
            </w:pPr>
            <w:r>
              <w:rPr>
                <w:rFonts w:hint="eastAsia" w:ascii="宋体" w:hAnsi="宋体" w:cs="宋体"/>
                <w:color w:val="auto"/>
                <w:sz w:val="24"/>
                <w:szCs w:val="24"/>
              </w:rPr>
              <w:t>账</w:t>
            </w:r>
            <w:r>
              <w:rPr>
                <w:rFonts w:ascii="宋体" w:hAnsi="宋体" w:cs="宋体"/>
                <w:color w:val="auto"/>
                <w:sz w:val="24"/>
                <w:szCs w:val="24"/>
              </w:rPr>
              <w:t xml:space="preserve">    </w:t>
            </w:r>
            <w:r>
              <w:rPr>
                <w:rFonts w:hint="eastAsia" w:ascii="宋体" w:hAnsi="宋体" w:cs="宋体"/>
                <w:color w:val="auto"/>
                <w:sz w:val="24"/>
                <w:szCs w:val="24"/>
              </w:rPr>
              <w:t>号：</w:t>
            </w:r>
            <w:r>
              <w:rPr>
                <w:rFonts w:ascii="宋体" w:hAnsi="宋体" w:cs="宋体"/>
                <w:color w:val="auto"/>
                <w:sz w:val="24"/>
                <w:szCs w:val="24"/>
              </w:rPr>
              <w:t>0000020070110051349823</w:t>
            </w:r>
            <w:r>
              <w:rPr>
                <w:rFonts w:hint="eastAsia" w:ascii="宋体" w:hAnsi="宋体" w:cs="宋体"/>
                <w:b/>
                <w:bCs/>
                <w:color w:val="auto"/>
                <w:sz w:val="24"/>
                <w:szCs w:val="24"/>
              </w:rPr>
              <w:t>（电汇时请在汇款备注栏注明项目名称及编号、包号（如有），并注明是投标保证金）</w:t>
            </w:r>
            <w:r>
              <w:rPr>
                <w:rFonts w:ascii="宋体" w:hAnsi="宋体" w:cs="宋体"/>
                <w:b/>
                <w:bCs/>
                <w:color w:val="auto"/>
                <w:sz w:val="24"/>
                <w:szCs w:val="24"/>
              </w:rPr>
              <w:t xml:space="preserve"> </w:t>
            </w:r>
            <w:r>
              <w:rPr>
                <w:rFonts w:ascii="宋体" w:hAnsi="宋体" w:cs="宋体"/>
                <w:color w:val="auto"/>
                <w:sz w:val="24"/>
                <w:szCs w:val="24"/>
              </w:rPr>
              <w:t xml:space="preserve">    </w:t>
            </w:r>
          </w:p>
          <w:p>
            <w:pPr>
              <w:spacing w:line="400" w:lineRule="exact"/>
              <w:jc w:val="left"/>
              <w:rPr>
                <w:rFonts w:ascii="宋体"/>
                <w:color w:val="auto"/>
                <w:sz w:val="24"/>
                <w:szCs w:val="24"/>
              </w:rPr>
            </w:pPr>
            <w:r>
              <w:rPr>
                <w:rFonts w:hint="eastAsia" w:ascii="宋体" w:hAnsi="宋体" w:cs="宋体"/>
                <w:color w:val="auto"/>
                <w:sz w:val="24"/>
                <w:szCs w:val="24"/>
              </w:rPr>
              <w:t>行</w:t>
            </w:r>
            <w:r>
              <w:rPr>
                <w:rFonts w:ascii="宋体" w:hAnsi="宋体" w:cs="宋体"/>
                <w:color w:val="auto"/>
                <w:sz w:val="24"/>
                <w:szCs w:val="24"/>
              </w:rPr>
              <w:t xml:space="preserve">     </w:t>
            </w:r>
            <w:r>
              <w:rPr>
                <w:rFonts w:hint="eastAsia" w:ascii="宋体" w:hAnsi="宋体" w:cs="宋体"/>
                <w:color w:val="auto"/>
                <w:sz w:val="24"/>
                <w:szCs w:val="24"/>
              </w:rPr>
              <w:t>号：</w:t>
            </w:r>
            <w:r>
              <w:rPr>
                <w:rFonts w:ascii="宋体" w:hAnsi="宋体" w:cs="宋体"/>
                <w:color w:val="auto"/>
                <w:sz w:val="24"/>
                <w:szCs w:val="24"/>
              </w:rPr>
              <w:t>313894000405</w:t>
            </w:r>
          </w:p>
          <w:p>
            <w:pPr>
              <w:spacing w:line="400" w:lineRule="exact"/>
              <w:jc w:val="left"/>
              <w:rPr>
                <w:rFonts w:ascii="宋体"/>
                <w:color w:val="auto"/>
                <w:sz w:val="24"/>
                <w:szCs w:val="24"/>
              </w:rPr>
            </w:pPr>
            <w:r>
              <w:rPr>
                <w:rFonts w:hint="eastAsia" w:ascii="宋体" w:hAnsi="宋体" w:cs="宋体"/>
                <w:color w:val="auto"/>
                <w:sz w:val="24"/>
                <w:szCs w:val="24"/>
              </w:rPr>
              <w:t>财务室联系方式：</w:t>
            </w:r>
            <w:r>
              <w:rPr>
                <w:rFonts w:ascii="宋体" w:hAnsi="宋体" w:cs="宋体"/>
                <w:color w:val="auto"/>
                <w:sz w:val="24"/>
                <w:szCs w:val="24"/>
              </w:rPr>
              <w:t>15099650569</w:t>
            </w:r>
          </w:p>
          <w:p>
            <w:pPr>
              <w:spacing w:line="400" w:lineRule="exact"/>
              <w:jc w:val="left"/>
              <w:rPr>
                <w:rFonts w:ascii="宋体"/>
                <w:color w:val="auto"/>
                <w:sz w:val="24"/>
                <w:szCs w:val="24"/>
              </w:rPr>
            </w:pPr>
            <w:r>
              <w:rPr>
                <w:rFonts w:hint="eastAsia" w:ascii="宋体" w:hAnsi="宋体" w:cs="宋体"/>
                <w:color w:val="auto"/>
                <w:sz w:val="24"/>
                <w:szCs w:val="24"/>
              </w:rPr>
              <w:t>投标保证金退还：（</w:t>
            </w:r>
            <w:r>
              <w:rPr>
                <w:rFonts w:ascii="宋体" w:hAnsi="宋体" w:cs="宋体"/>
                <w:color w:val="auto"/>
                <w:sz w:val="24"/>
                <w:szCs w:val="24"/>
              </w:rPr>
              <w:t>1</w:t>
            </w:r>
            <w:r>
              <w:rPr>
                <w:rFonts w:hint="eastAsia" w:ascii="宋体" w:hAnsi="宋体" w:cs="宋体"/>
                <w:color w:val="auto"/>
                <w:sz w:val="24"/>
                <w:szCs w:val="24"/>
              </w:rPr>
              <w:t>）评标结束后，未中标单位投标保证金将在五个工作日内原账户退换，投标单位不需办理任何手续。</w:t>
            </w:r>
            <w:r>
              <w:rPr>
                <w:rFonts w:hint="eastAsia" w:ascii="宋体" w:hAnsi="宋体" w:cs="宋体"/>
                <w:b/>
                <w:bCs/>
                <w:color w:val="auto"/>
                <w:sz w:val="24"/>
                <w:szCs w:val="24"/>
              </w:rPr>
              <w:t>（</w:t>
            </w:r>
            <w:r>
              <w:rPr>
                <w:rFonts w:ascii="宋体" w:hAnsi="宋体" w:cs="宋体"/>
                <w:b/>
                <w:bCs/>
                <w:color w:val="auto"/>
                <w:sz w:val="24"/>
                <w:szCs w:val="24"/>
              </w:rPr>
              <w:t>2</w:t>
            </w:r>
            <w:r>
              <w:rPr>
                <w:rFonts w:hint="eastAsia" w:ascii="宋体" w:hAnsi="宋体" w:cs="宋体"/>
                <w:b/>
                <w:bCs/>
                <w:color w:val="auto"/>
                <w:sz w:val="24"/>
                <w:szCs w:val="24"/>
              </w:rPr>
              <w:t>）中标单位投标保证金在与采购单位签订合同后，把合同扫描件和投标保证金银行转账回执单发到接收招标文件邮箱</w:t>
            </w:r>
            <w:r>
              <w:rPr>
                <w:rFonts w:ascii="宋体" w:hAnsi="宋体" w:cs="宋体"/>
                <w:b/>
                <w:bCs/>
                <w:color w:val="auto"/>
                <w:sz w:val="24"/>
                <w:szCs w:val="24"/>
              </w:rPr>
              <w:t>2783389030@qq.com</w:t>
            </w:r>
            <w:r>
              <w:rPr>
                <w:rFonts w:hint="eastAsia" w:ascii="宋体" w:hAnsi="宋体" w:cs="宋体"/>
                <w:b/>
                <w:bCs/>
                <w:color w:val="auto"/>
                <w:sz w:val="24"/>
                <w:szCs w:val="24"/>
              </w:rPr>
              <w:t>后，当日或次日即原账户退回。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13.1</w:t>
            </w:r>
          </w:p>
        </w:tc>
        <w:tc>
          <w:tcPr>
            <w:tcW w:w="8500" w:type="dxa"/>
            <w:vAlign w:val="center"/>
          </w:tcPr>
          <w:p>
            <w:pPr>
              <w:spacing w:line="400" w:lineRule="exact"/>
              <w:rPr>
                <w:rFonts w:ascii="宋体"/>
                <w:color w:val="auto"/>
                <w:sz w:val="24"/>
                <w:szCs w:val="24"/>
                <w:u w:val="single"/>
              </w:rPr>
            </w:pPr>
            <w:r>
              <w:rPr>
                <w:rFonts w:hint="eastAsia" w:ascii="宋体" w:hAnsi="宋体" w:cs="宋体"/>
                <w:color w:val="auto"/>
                <w:sz w:val="24"/>
                <w:szCs w:val="24"/>
              </w:rPr>
              <w:t>投标有效期：</w:t>
            </w:r>
            <w:r>
              <w:rPr>
                <w:rFonts w:hint="eastAsia" w:ascii="宋体" w:hAnsi="宋体" w:cs="宋体"/>
                <w:color w:val="auto"/>
                <w:sz w:val="24"/>
                <w:szCs w:val="24"/>
                <w:u w:val="single"/>
              </w:rPr>
              <w:t>　</w:t>
            </w:r>
            <w:r>
              <w:rPr>
                <w:rFonts w:ascii="宋体" w:hAnsi="宋体" w:cs="宋体"/>
                <w:color w:val="auto"/>
                <w:sz w:val="24"/>
                <w:szCs w:val="24"/>
                <w:u w:val="single"/>
              </w:rPr>
              <w:t>90</w:t>
            </w:r>
            <w:r>
              <w:rPr>
                <w:rFonts w:hint="eastAsia" w:ascii="宋体" w:hAnsi="宋体" w:cs="宋体"/>
                <w:color w:val="auto"/>
                <w:sz w:val="24"/>
                <w:szCs w:val="24"/>
                <w:u w:val="single"/>
              </w:rPr>
              <w:t>　</w:t>
            </w:r>
            <w:r>
              <w:rPr>
                <w:rFonts w:hint="eastAsia" w:ascii="宋体" w:hAnsi="宋体" w:cs="宋体"/>
                <w:color w:val="auto"/>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14.1</w:t>
            </w:r>
          </w:p>
        </w:tc>
        <w:tc>
          <w:tcPr>
            <w:tcW w:w="8500" w:type="dxa"/>
            <w:vAlign w:val="center"/>
          </w:tcPr>
          <w:p>
            <w:pPr>
              <w:spacing w:line="360" w:lineRule="exact"/>
              <w:jc w:val="left"/>
              <w:rPr>
                <w:rFonts w:ascii="宋体"/>
                <w:color w:val="auto"/>
                <w:sz w:val="24"/>
                <w:szCs w:val="24"/>
              </w:rPr>
            </w:pPr>
            <w:r>
              <w:rPr>
                <w:rFonts w:hint="eastAsia" w:ascii="宋体" w:hAnsi="宋体" w:cs="宋体"/>
                <w:color w:val="auto"/>
                <w:sz w:val="24"/>
                <w:szCs w:val="24"/>
              </w:rPr>
              <w:t>投标文件包括“开标一览表及资格证明文件”和“商务及技术文件”两部分，两部分合订成一册密封递交。</w:t>
            </w:r>
          </w:p>
          <w:p>
            <w:pPr>
              <w:spacing w:line="360" w:lineRule="exact"/>
              <w:jc w:val="left"/>
              <w:rPr>
                <w:rFonts w:ascii="宋体"/>
                <w:color w:val="auto"/>
                <w:sz w:val="24"/>
                <w:szCs w:val="24"/>
              </w:rPr>
            </w:pPr>
            <w:r>
              <w:rPr>
                <w:rFonts w:hint="eastAsia" w:ascii="宋体" w:hAnsi="宋体" w:cs="宋体"/>
                <w:color w:val="auto"/>
                <w:sz w:val="24"/>
                <w:szCs w:val="24"/>
              </w:rPr>
              <w:t>投标文件：正本：壹份、副本：肆份；（正、副本密封在同一个密封袋中提交，密封袋封面右上角标明“正本”或“副本”字样）</w:t>
            </w:r>
          </w:p>
          <w:p>
            <w:pPr>
              <w:spacing w:line="360" w:lineRule="exact"/>
              <w:jc w:val="left"/>
              <w:rPr>
                <w:rFonts w:ascii="宋体"/>
                <w:color w:val="auto"/>
                <w:sz w:val="24"/>
                <w:szCs w:val="24"/>
              </w:rPr>
            </w:pPr>
            <w:r>
              <w:rPr>
                <w:rFonts w:hint="eastAsia" w:ascii="宋体" w:hAnsi="宋体" w:cs="宋体"/>
                <w:color w:val="auto"/>
                <w:sz w:val="24"/>
                <w:szCs w:val="24"/>
              </w:rPr>
              <w:t>供应商必须制作“开标一览表”并单独密封提交，并在密封袋上标明“开标一览表”的字样。不按要求标注或不单独提交开标一览表，其投标将被拒绝。</w:t>
            </w:r>
          </w:p>
          <w:p>
            <w:pPr>
              <w:spacing w:line="360" w:lineRule="exact"/>
              <w:jc w:val="left"/>
              <w:rPr>
                <w:rFonts w:ascii="宋体"/>
                <w:color w:val="auto"/>
                <w:sz w:val="24"/>
                <w:szCs w:val="24"/>
              </w:rPr>
            </w:pPr>
            <w:r>
              <w:rPr>
                <w:rFonts w:hint="eastAsia" w:ascii="宋体" w:hAnsi="宋体" w:cs="宋体"/>
                <w:color w:val="auto"/>
                <w:sz w:val="24"/>
                <w:szCs w:val="24"/>
              </w:rPr>
              <w:t>除上述文件外，还须密封递交投标文件电子文档</w:t>
            </w:r>
            <w:r>
              <w:rPr>
                <w:rFonts w:ascii="宋体" w:hAnsi="宋体" w:cs="宋体"/>
                <w:color w:val="auto"/>
                <w:sz w:val="24"/>
                <w:szCs w:val="24"/>
              </w:rPr>
              <w:t>1</w:t>
            </w:r>
            <w:r>
              <w:rPr>
                <w:rFonts w:hint="eastAsia" w:ascii="宋体" w:hAnsi="宋体" w:cs="宋体"/>
                <w:color w:val="auto"/>
                <w:sz w:val="24"/>
                <w:szCs w:val="24"/>
              </w:rPr>
              <w:t>份。供应商必须制作“电子版</w:t>
            </w:r>
            <w:r>
              <w:rPr>
                <w:rFonts w:ascii="宋体" w:hAnsi="宋体" w:cs="宋体"/>
                <w:color w:val="auto"/>
                <w:sz w:val="24"/>
                <w:szCs w:val="24"/>
              </w:rPr>
              <w:t>U</w:t>
            </w:r>
            <w:r>
              <w:rPr>
                <w:rFonts w:hint="eastAsia" w:ascii="宋体" w:hAnsi="宋体" w:cs="宋体"/>
                <w:color w:val="auto"/>
                <w:sz w:val="24"/>
                <w:szCs w:val="24"/>
              </w:rPr>
              <w:t>盘”并单独密封提交。电子版</w:t>
            </w:r>
            <w:r>
              <w:rPr>
                <w:rFonts w:ascii="宋体" w:hAnsi="宋体" w:cs="宋体"/>
                <w:color w:val="auto"/>
                <w:sz w:val="24"/>
                <w:szCs w:val="24"/>
              </w:rPr>
              <w:t>U</w:t>
            </w:r>
            <w:r>
              <w:rPr>
                <w:rFonts w:hint="eastAsia" w:ascii="宋体" w:hAnsi="宋体" w:cs="宋体"/>
                <w:color w:val="auto"/>
                <w:sz w:val="24"/>
                <w:szCs w:val="24"/>
              </w:rPr>
              <w:t>盘必须是正本扫描件，并制作成与正本完全一致</w:t>
            </w:r>
            <w:r>
              <w:rPr>
                <w:rFonts w:ascii="宋体" w:hAnsi="宋体" w:cs="宋体"/>
                <w:color w:val="auto"/>
                <w:sz w:val="24"/>
                <w:szCs w:val="24"/>
              </w:rPr>
              <w:t>PDF</w:t>
            </w:r>
            <w:r>
              <w:rPr>
                <w:rFonts w:hint="eastAsia" w:ascii="宋体" w:hAnsi="宋体" w:cs="宋体"/>
                <w:color w:val="auto"/>
                <w:sz w:val="24"/>
                <w:szCs w:val="24"/>
              </w:rPr>
              <w:t>格式文本及</w:t>
            </w:r>
            <w:r>
              <w:rPr>
                <w:rFonts w:ascii="宋体" w:hAnsi="宋体" w:cs="宋体"/>
                <w:color w:val="auto"/>
                <w:sz w:val="24"/>
                <w:szCs w:val="24"/>
              </w:rPr>
              <w:t>Word</w:t>
            </w:r>
            <w:r>
              <w:rPr>
                <w:rFonts w:hint="eastAsia" w:ascii="宋体" w:hAnsi="宋体" w:cs="宋体"/>
                <w:color w:val="auto"/>
                <w:sz w:val="24"/>
                <w:szCs w:val="24"/>
              </w:rPr>
              <w:t>文档两个格式。并在密封袋上标明“电子版</w:t>
            </w:r>
            <w:r>
              <w:rPr>
                <w:rFonts w:ascii="宋体" w:hAnsi="宋体" w:cs="宋体"/>
                <w:color w:val="auto"/>
                <w:sz w:val="24"/>
                <w:szCs w:val="24"/>
              </w:rPr>
              <w:t>U</w:t>
            </w:r>
            <w:r>
              <w:rPr>
                <w:rFonts w:hint="eastAsia" w:ascii="宋体" w:hAnsi="宋体" w:cs="宋体"/>
                <w:color w:val="auto"/>
                <w:sz w:val="24"/>
                <w:szCs w:val="24"/>
              </w:rPr>
              <w:t>盘”字样。不按要求提交电子版</w:t>
            </w:r>
            <w:r>
              <w:rPr>
                <w:rFonts w:ascii="宋体" w:hAnsi="宋体" w:cs="宋体"/>
                <w:color w:val="auto"/>
                <w:sz w:val="24"/>
                <w:szCs w:val="24"/>
              </w:rPr>
              <w:t>U</w:t>
            </w:r>
            <w:r>
              <w:rPr>
                <w:rFonts w:hint="eastAsia" w:ascii="宋体" w:hAnsi="宋体" w:cs="宋体"/>
                <w:color w:val="auto"/>
                <w:sz w:val="24"/>
                <w:szCs w:val="24"/>
              </w:rPr>
              <w:t>盘，其投标无效。</w:t>
            </w:r>
          </w:p>
          <w:p>
            <w:pPr>
              <w:spacing w:line="360" w:lineRule="exact"/>
              <w:ind w:firstLine="480" w:firstLineChars="200"/>
              <w:rPr>
                <w:rFonts w:ascii="宋体"/>
                <w:color w:val="auto"/>
                <w:sz w:val="24"/>
                <w:szCs w:val="24"/>
              </w:rPr>
            </w:pPr>
            <w:r>
              <w:rPr>
                <w:rFonts w:hint="eastAsia" w:ascii="宋体" w:hAnsi="宋体" w:cs="宋体"/>
                <w:color w:val="auto"/>
                <w:sz w:val="24"/>
                <w:szCs w:val="24"/>
              </w:rPr>
              <w:t>投标文件使用</w:t>
            </w:r>
            <w:r>
              <w:rPr>
                <w:rFonts w:ascii="宋体" w:hAnsi="宋体" w:cs="宋体"/>
                <w:color w:val="auto"/>
                <w:sz w:val="24"/>
                <w:szCs w:val="24"/>
              </w:rPr>
              <w:t>A4</w:t>
            </w:r>
            <w:r>
              <w:rPr>
                <w:rFonts w:hint="eastAsia" w:ascii="宋体" w:hAnsi="宋体" w:cs="宋体"/>
                <w:color w:val="auto"/>
                <w:sz w:val="24"/>
                <w:szCs w:val="24"/>
              </w:rPr>
              <w:t>，胶装，每册装订应牢固、不易拆散和换页，不得采用活页装订。</w:t>
            </w:r>
          </w:p>
          <w:p>
            <w:pPr>
              <w:pStyle w:val="5"/>
              <w:spacing w:before="0" w:after="0" w:line="360" w:lineRule="exact"/>
              <w:rPr>
                <w:rFonts w:hAnsi="宋体" w:cs="Times New Roman"/>
                <w:color w:val="auto"/>
                <w:u w:val="none"/>
              </w:rPr>
            </w:pPr>
            <w:r>
              <w:rPr>
                <w:rFonts w:hint="eastAsia" w:hAnsi="宋体"/>
                <w:color w:val="auto"/>
                <w:u w:val="none"/>
              </w:rPr>
              <w:t>投标文件的签署及规定：</w:t>
            </w:r>
          </w:p>
          <w:p>
            <w:pPr>
              <w:spacing w:line="350" w:lineRule="exact"/>
              <w:ind w:firstLine="480" w:firstLineChars="200"/>
              <w:rPr>
                <w:rFonts w:ascii="宋体"/>
                <w:color w:val="auto"/>
                <w:sz w:val="24"/>
                <w:szCs w:val="24"/>
              </w:rPr>
            </w:pPr>
            <w:r>
              <w:rPr>
                <w:rFonts w:hint="eastAsia" w:ascii="宋体" w:hAnsi="宋体" w:cs="宋体"/>
                <w:color w:val="auto"/>
                <w:sz w:val="24"/>
                <w:szCs w:val="24"/>
              </w:rPr>
              <w:t>供应商应按供应商须知资料表中的规定，准备和递交投标文件正本、副本、开标一览表和电子</w:t>
            </w:r>
            <w:r>
              <w:rPr>
                <w:rFonts w:ascii="宋体" w:hAnsi="宋体" w:cs="宋体"/>
                <w:color w:val="auto"/>
                <w:sz w:val="24"/>
                <w:szCs w:val="24"/>
              </w:rPr>
              <w:t>U</w:t>
            </w:r>
            <w:r>
              <w:rPr>
                <w:rFonts w:hint="eastAsia" w:ascii="宋体" w:hAnsi="宋体" w:cs="宋体"/>
                <w:color w:val="auto"/>
                <w:sz w:val="24"/>
                <w:szCs w:val="24"/>
              </w:rPr>
              <w:t>盘，</w:t>
            </w:r>
            <w:r>
              <w:rPr>
                <w:rFonts w:hint="eastAsia" w:ascii="宋体" w:hAnsi="宋体" w:cs="宋体"/>
                <w:b/>
                <w:bCs/>
                <w:color w:val="auto"/>
                <w:sz w:val="24"/>
                <w:szCs w:val="24"/>
              </w:rPr>
              <w:t>每份投标文件封皮须清楚地标明“正本”或“副本”</w:t>
            </w:r>
            <w:r>
              <w:rPr>
                <w:rFonts w:hint="eastAsia" w:ascii="宋体" w:hAnsi="宋体" w:cs="宋体"/>
                <w:color w:val="auto"/>
                <w:sz w:val="24"/>
                <w:szCs w:val="24"/>
              </w:rPr>
              <w:t>。若正本和副本不符，以正本为准。</w:t>
            </w:r>
          </w:p>
          <w:p>
            <w:pPr>
              <w:spacing w:line="350" w:lineRule="exact"/>
              <w:ind w:firstLine="480" w:firstLineChars="200"/>
              <w:rPr>
                <w:rFonts w:ascii="宋体"/>
                <w:color w:val="auto"/>
                <w:sz w:val="24"/>
                <w:szCs w:val="24"/>
              </w:rPr>
            </w:pPr>
            <w:r>
              <w:rPr>
                <w:rFonts w:hint="eastAsia" w:ascii="宋体" w:hAnsi="宋体" w:cs="宋体"/>
                <w:color w:val="auto"/>
                <w:sz w:val="24"/>
                <w:szCs w:val="24"/>
              </w:rPr>
              <w:t>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spacing w:line="350" w:lineRule="exact"/>
              <w:rPr>
                <w:rFonts w:ascii="宋体"/>
                <w:b/>
                <w:bCs/>
                <w:color w:val="auto"/>
                <w:sz w:val="24"/>
                <w:szCs w:val="24"/>
              </w:rPr>
            </w:pPr>
            <w:r>
              <w:rPr>
                <w:rFonts w:hint="eastAsia" w:ascii="宋体" w:hAnsi="宋体" w:cs="宋体"/>
                <w:b/>
                <w:bCs/>
                <w:color w:val="auto"/>
                <w:sz w:val="24"/>
                <w:szCs w:val="24"/>
              </w:rPr>
              <w:t>所有包装封皮和信封上均应：</w:t>
            </w:r>
          </w:p>
          <w:p>
            <w:pPr>
              <w:spacing w:line="350" w:lineRule="exact"/>
              <w:ind w:firstLine="480" w:firstLineChars="200"/>
              <w:rPr>
                <w:rFonts w:ascii="宋体"/>
                <w:color w:val="auto"/>
                <w:sz w:val="24"/>
                <w:szCs w:val="24"/>
              </w:rPr>
            </w:pPr>
            <w:r>
              <w:rPr>
                <w:rFonts w:hint="eastAsia" w:ascii="宋体" w:hAnsi="宋体" w:cs="宋体"/>
                <w:color w:val="auto"/>
                <w:sz w:val="24"/>
                <w:szCs w:val="24"/>
              </w:rPr>
              <w:t>注明招标公告或投标邀请书中指明的项目名称、项目编号、供应商名称和“在（开标时间）之前不得启封”的字样。</w:t>
            </w:r>
          </w:p>
          <w:p>
            <w:pPr>
              <w:pStyle w:val="2"/>
              <w:rPr>
                <w:rFonts w:hAnsi="宋体" w:cs="Times New Roman"/>
                <w:color w:val="auto"/>
              </w:rPr>
            </w:pPr>
            <w:r>
              <w:rPr>
                <w:rFonts w:hint="eastAsia" w:hAnsi="宋体"/>
                <w:color w:val="auto"/>
              </w:rPr>
              <w:t>在封口处加盖供应商单位章。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16.1</w:t>
            </w:r>
          </w:p>
        </w:tc>
        <w:tc>
          <w:tcPr>
            <w:tcW w:w="8500" w:type="dxa"/>
            <w:vAlign w:val="center"/>
          </w:tcPr>
          <w:p>
            <w:pPr>
              <w:spacing w:line="360" w:lineRule="exact"/>
              <w:rPr>
                <w:rFonts w:ascii="宋体"/>
                <w:color w:val="auto"/>
                <w:sz w:val="24"/>
                <w:szCs w:val="24"/>
              </w:rPr>
            </w:pPr>
            <w:r>
              <w:rPr>
                <w:rFonts w:hint="eastAsia" w:ascii="宋体" w:hAnsi="宋体" w:cs="宋体"/>
                <w:color w:val="auto"/>
                <w:sz w:val="24"/>
                <w:szCs w:val="24"/>
              </w:rPr>
              <w:t>投标截止时间：</w:t>
            </w:r>
            <w:r>
              <w:rPr>
                <w:rFonts w:hint="eastAsia" w:ascii="宋体" w:hAnsi="宋体" w:cs="宋体"/>
                <w:color w:val="auto"/>
                <w:sz w:val="24"/>
                <w:szCs w:val="24"/>
                <w:u w:val="single"/>
              </w:rPr>
              <w:t>2021年10月18日上午10点30分（北京时间）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18.1</w:t>
            </w:r>
          </w:p>
        </w:tc>
        <w:tc>
          <w:tcPr>
            <w:tcW w:w="8500" w:type="dxa"/>
            <w:vAlign w:val="center"/>
          </w:tcPr>
          <w:p>
            <w:pPr>
              <w:spacing w:line="360" w:lineRule="exact"/>
              <w:rPr>
                <w:rFonts w:ascii="宋体"/>
                <w:color w:val="auto"/>
                <w:sz w:val="24"/>
                <w:szCs w:val="24"/>
                <w:u w:val="single"/>
              </w:rPr>
            </w:pPr>
            <w:r>
              <w:rPr>
                <w:rFonts w:hint="eastAsia" w:ascii="宋体" w:hAnsi="宋体" w:cs="宋体"/>
                <w:color w:val="auto"/>
                <w:sz w:val="24"/>
                <w:szCs w:val="24"/>
              </w:rPr>
              <w:t>开标时间：</w:t>
            </w:r>
            <w:r>
              <w:rPr>
                <w:rFonts w:hint="eastAsia" w:ascii="宋体" w:hAnsi="宋体" w:cs="宋体"/>
                <w:color w:val="auto"/>
                <w:sz w:val="24"/>
                <w:szCs w:val="24"/>
                <w:u w:val="single"/>
              </w:rPr>
              <w:t>2021年10月18日上午10点30分（北京时间）</w:t>
            </w:r>
          </w:p>
          <w:p>
            <w:pPr>
              <w:spacing w:line="360" w:lineRule="exact"/>
              <w:rPr>
                <w:rFonts w:ascii="宋体"/>
                <w:color w:val="auto"/>
                <w:sz w:val="24"/>
                <w:szCs w:val="24"/>
              </w:rPr>
            </w:pPr>
            <w:r>
              <w:rPr>
                <w:rFonts w:hint="eastAsia" w:ascii="宋体" w:hAnsi="宋体" w:cs="宋体"/>
                <w:color w:val="auto"/>
                <w:sz w:val="24"/>
                <w:szCs w:val="24"/>
              </w:rPr>
              <w:t>开标地点：</w:t>
            </w:r>
            <w:r>
              <w:rPr>
                <w:rFonts w:hint="eastAsia" w:ascii="宋体" w:hAnsi="宋体" w:cs="宋体"/>
                <w:color w:val="auto"/>
                <w:sz w:val="24"/>
                <w:szCs w:val="24"/>
                <w:u w:val="single"/>
              </w:rPr>
              <w:t>喀什市吐曼路</w:t>
            </w:r>
            <w:r>
              <w:rPr>
                <w:rFonts w:ascii="宋体" w:hAnsi="宋体" w:cs="宋体"/>
                <w:color w:val="auto"/>
                <w:sz w:val="24"/>
                <w:szCs w:val="24"/>
                <w:u w:val="single"/>
              </w:rPr>
              <w:t>1</w:t>
            </w:r>
            <w:r>
              <w:rPr>
                <w:rFonts w:hint="eastAsia" w:ascii="宋体" w:hAnsi="宋体" w:cs="宋体"/>
                <w:color w:val="auto"/>
                <w:sz w:val="24"/>
                <w:szCs w:val="24"/>
                <w:u w:val="single"/>
              </w:rPr>
              <w:t>号财富大厦</w:t>
            </w:r>
            <w:r>
              <w:rPr>
                <w:rFonts w:ascii="宋体" w:hAnsi="宋体" w:cs="宋体"/>
                <w:color w:val="auto"/>
                <w:sz w:val="24"/>
                <w:szCs w:val="24"/>
                <w:u w:val="single"/>
              </w:rPr>
              <w:t>6</w:t>
            </w:r>
            <w:r>
              <w:rPr>
                <w:rFonts w:hint="eastAsia" w:ascii="宋体" w:hAnsi="宋体" w:cs="宋体"/>
                <w:color w:val="auto"/>
                <w:sz w:val="24"/>
                <w:szCs w:val="24"/>
                <w:u w:val="single"/>
              </w:rPr>
              <w:t>楼</w:t>
            </w:r>
            <w:r>
              <w:rPr>
                <w:rFonts w:ascii="宋体" w:hAnsi="宋体" w:cs="宋体"/>
                <w:color w:val="auto"/>
                <w:sz w:val="24"/>
                <w:szCs w:val="24"/>
                <w:u w:val="single"/>
              </w:rPr>
              <w:t>612</w:t>
            </w:r>
            <w:r>
              <w:rPr>
                <w:rFonts w:hint="eastAsia" w:ascii="宋体" w:hAnsi="宋体" w:cs="宋体"/>
                <w:color w:val="auto"/>
                <w:sz w:val="24"/>
                <w:szCs w:val="24"/>
                <w:u w:val="single"/>
              </w:rPr>
              <w:t>室</w:t>
            </w:r>
            <w:r>
              <w:rPr>
                <w:rFonts w:ascii="宋体" w:hAnsi="宋体" w:cs="宋体"/>
                <w:color w:val="auto"/>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23.2</w:t>
            </w:r>
          </w:p>
        </w:tc>
        <w:tc>
          <w:tcPr>
            <w:tcW w:w="8500" w:type="dxa"/>
            <w:vAlign w:val="center"/>
          </w:tcPr>
          <w:p>
            <w:pPr>
              <w:spacing w:line="360" w:lineRule="auto"/>
              <w:rPr>
                <w:rFonts w:ascii="宋体"/>
                <w:i/>
                <w:iCs/>
                <w:color w:val="auto"/>
                <w:sz w:val="24"/>
                <w:szCs w:val="24"/>
              </w:rPr>
            </w:pPr>
            <w:r>
              <w:rPr>
                <w:rFonts w:hint="eastAsia" w:ascii="宋体" w:hAnsi="宋体" w:cs="宋体"/>
                <w:color w:val="auto"/>
                <w:sz w:val="24"/>
                <w:szCs w:val="24"/>
              </w:rPr>
              <w:t>评标方法：适用</w:t>
            </w:r>
            <w:r>
              <w:rPr>
                <w:rFonts w:hint="eastAsia" w:ascii="宋体" w:hAnsi="宋体" w:cs="宋体"/>
                <w:color w:val="auto"/>
                <w:sz w:val="24"/>
                <w:szCs w:val="24"/>
                <w:u w:val="single"/>
              </w:rPr>
              <w:t>　综合评分法　</w:t>
            </w:r>
            <w:r>
              <w:rPr>
                <w:rFonts w:hint="eastAsia" w:ascii="宋体" w:hAnsi="宋体" w:cs="宋体"/>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27</w:t>
            </w:r>
          </w:p>
        </w:tc>
        <w:tc>
          <w:tcPr>
            <w:tcW w:w="8500" w:type="dxa"/>
            <w:vAlign w:val="center"/>
          </w:tcPr>
          <w:p>
            <w:pPr>
              <w:spacing w:line="360" w:lineRule="auto"/>
              <w:rPr>
                <w:rFonts w:ascii="宋体"/>
                <w:color w:val="auto"/>
                <w:sz w:val="24"/>
                <w:szCs w:val="24"/>
              </w:rPr>
            </w:pPr>
            <w:r>
              <w:rPr>
                <w:rFonts w:hint="eastAsia" w:ascii="宋体" w:hAnsi="宋体" w:cs="宋体"/>
                <w:color w:val="auto"/>
                <w:sz w:val="24"/>
                <w:szCs w:val="24"/>
              </w:rPr>
              <w:t>推荐中标候选供应商的数量：</w:t>
            </w:r>
            <w:r>
              <w:rPr>
                <w:rFonts w:hint="eastAsia" w:ascii="宋体" w:hAnsi="宋体" w:cs="宋体"/>
                <w:color w:val="auto"/>
                <w:sz w:val="24"/>
                <w:szCs w:val="24"/>
                <w:u w:val="single"/>
              </w:rPr>
              <w:t>　</w:t>
            </w:r>
            <w:r>
              <w:rPr>
                <w:rFonts w:ascii="宋体" w:hAnsi="宋体" w:cs="宋体"/>
                <w:color w:val="auto"/>
                <w:sz w:val="24"/>
                <w:szCs w:val="24"/>
                <w:u w:val="single"/>
              </w:rPr>
              <w:t xml:space="preserve">  3 </w:t>
            </w:r>
            <w:r>
              <w:rPr>
                <w:rFonts w:hint="eastAsia" w:ascii="宋体" w:hAnsi="宋体" w:cs="宋体"/>
                <w:color w:val="auto"/>
                <w:sz w:val="24"/>
                <w:szCs w:val="24"/>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27</w:t>
            </w:r>
          </w:p>
        </w:tc>
        <w:tc>
          <w:tcPr>
            <w:tcW w:w="8500" w:type="dxa"/>
            <w:vAlign w:val="center"/>
          </w:tcPr>
          <w:p>
            <w:pPr>
              <w:spacing w:line="360" w:lineRule="auto"/>
              <w:rPr>
                <w:rFonts w:ascii="宋体"/>
                <w:color w:val="auto"/>
                <w:sz w:val="24"/>
                <w:szCs w:val="24"/>
              </w:rPr>
            </w:pPr>
            <w:r>
              <w:rPr>
                <w:rFonts w:hint="eastAsia" w:ascii="宋体" w:hAnsi="宋体" w:cs="宋体"/>
                <w:color w:val="auto"/>
                <w:sz w:val="24"/>
                <w:szCs w:val="24"/>
              </w:rPr>
              <w:t>招标人是否委托评标委员会直接确定中标人：</w:t>
            </w:r>
            <w:r>
              <w:rPr>
                <w:rFonts w:ascii="宋体" w:hAnsi="宋体" w:cs="宋体"/>
                <w:color w:val="auto"/>
                <w:sz w:val="24"/>
                <w:szCs w:val="24"/>
                <w:u w:val="single"/>
              </w:rPr>
              <w:t xml:space="preserve"> </w:t>
            </w:r>
            <w:r>
              <w:rPr>
                <w:rFonts w:hint="eastAsia" w:ascii="宋体" w:hAnsi="宋体" w:cs="宋体"/>
                <w:color w:val="auto"/>
                <w:sz w:val="24"/>
                <w:szCs w:val="24"/>
                <w:u w:val="single"/>
              </w:rPr>
              <w:t>是</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31.1</w:t>
            </w:r>
          </w:p>
        </w:tc>
        <w:tc>
          <w:tcPr>
            <w:tcW w:w="8500" w:type="dxa"/>
            <w:vAlign w:val="center"/>
          </w:tcPr>
          <w:p>
            <w:pPr>
              <w:spacing w:line="360" w:lineRule="auto"/>
              <w:rPr>
                <w:rFonts w:ascii="宋体"/>
                <w:i/>
                <w:iCs/>
                <w:color w:val="auto"/>
                <w:sz w:val="24"/>
                <w:szCs w:val="24"/>
              </w:rPr>
            </w:pPr>
            <w:r>
              <w:rPr>
                <w:rFonts w:hint="eastAsia" w:ascii="宋体" w:hAnsi="宋体" w:cs="宋体"/>
                <w:color w:val="auto"/>
                <w:sz w:val="24"/>
                <w:szCs w:val="24"/>
              </w:rPr>
              <w:t>履约保证金金额：合同总价的</w:t>
            </w:r>
            <w:r>
              <w:rPr>
                <w:rFonts w:hint="eastAsia" w:ascii="宋体" w:hAnsi="宋体" w:cs="宋体"/>
                <w:color w:val="auto"/>
                <w:sz w:val="24"/>
                <w:szCs w:val="24"/>
                <w:u w:val="single"/>
              </w:rPr>
              <w:t>　</w:t>
            </w:r>
            <w:r>
              <w:rPr>
                <w:rFonts w:ascii="宋体" w:hAnsi="宋体" w:cs="宋体"/>
                <w:color w:val="auto"/>
                <w:sz w:val="24"/>
                <w:szCs w:val="24"/>
                <w:u w:val="single"/>
              </w:rPr>
              <w:t>3%</w:t>
            </w:r>
            <w:r>
              <w:rPr>
                <w:rFonts w:hint="eastAsia" w:ascii="宋体" w:hAnsi="宋体" w:cs="宋体"/>
                <w:color w:val="auto"/>
                <w:sz w:val="24"/>
                <w:szCs w:val="24"/>
                <w:u w:val="single"/>
              </w:rPr>
              <w:t>　</w:t>
            </w:r>
            <w:r>
              <w:rPr>
                <w:rFonts w:hint="eastAsia" w:ascii="宋体" w:hAnsi="宋体" w:cs="宋体"/>
                <w:i/>
                <w:iCs/>
                <w:color w:val="auto"/>
                <w:sz w:val="24"/>
                <w:szCs w:val="24"/>
              </w:rPr>
              <w:t>（不得超过政府采购合同金额的</w:t>
            </w:r>
            <w:r>
              <w:rPr>
                <w:rFonts w:ascii="宋体" w:hAnsi="宋体" w:cs="宋体"/>
                <w:i/>
                <w:iCs/>
                <w:color w:val="auto"/>
                <w:sz w:val="24"/>
                <w:szCs w:val="24"/>
              </w:rPr>
              <w:t>10%</w:t>
            </w:r>
            <w:r>
              <w:rPr>
                <w:rFonts w:hint="eastAsia" w:ascii="宋体" w:hAnsi="宋体" w:cs="宋体"/>
                <w:i/>
                <w:iCs/>
                <w:color w:val="auto"/>
                <w:sz w:val="24"/>
                <w:szCs w:val="24"/>
              </w:rPr>
              <w:t>）</w:t>
            </w:r>
          </w:p>
          <w:p>
            <w:pPr>
              <w:spacing w:line="360" w:lineRule="auto"/>
              <w:rPr>
                <w:rFonts w:ascii="宋体"/>
                <w:color w:val="auto"/>
                <w:sz w:val="24"/>
                <w:szCs w:val="24"/>
                <w:u w:val="single"/>
              </w:rPr>
            </w:pPr>
            <w:r>
              <w:rPr>
                <w:rFonts w:hint="eastAsia" w:ascii="宋体" w:hAnsi="宋体" w:cs="宋体"/>
                <w:color w:val="auto"/>
                <w:sz w:val="24"/>
                <w:szCs w:val="24"/>
              </w:rPr>
              <w:t>履约保证金形式：</w:t>
            </w:r>
            <w:r>
              <w:rPr>
                <w:rFonts w:ascii="宋体" w:hAnsi="宋体" w:cs="宋体"/>
                <w:color w:val="auto"/>
                <w:sz w:val="24"/>
                <w:szCs w:val="24"/>
                <w:u w:val="single"/>
              </w:rPr>
              <w:t xml:space="preserve"> </w:t>
            </w:r>
            <w:r>
              <w:rPr>
                <w:rFonts w:hint="eastAsia" w:ascii="宋体" w:hAnsi="宋体" w:cs="宋体"/>
                <w:color w:val="auto"/>
                <w:sz w:val="24"/>
                <w:szCs w:val="24"/>
                <w:u w:val="single"/>
              </w:rPr>
              <w:t>合同约定</w:t>
            </w:r>
            <w:r>
              <w:rPr>
                <w:rFonts w:ascii="宋体" w:hAnsi="宋体" w:cs="宋体"/>
                <w:color w:val="auto"/>
                <w:sz w:val="24"/>
                <w:szCs w:val="24"/>
                <w:u w:val="single"/>
              </w:rPr>
              <w:t xml:space="preserve"> </w:t>
            </w:r>
          </w:p>
          <w:p>
            <w:pPr>
              <w:spacing w:line="360" w:lineRule="auto"/>
              <w:rPr>
                <w:rFonts w:ascii="宋体"/>
                <w:color w:val="auto"/>
                <w:sz w:val="24"/>
                <w:szCs w:val="24"/>
                <w:u w:val="single"/>
              </w:rPr>
            </w:pPr>
            <w:r>
              <w:rPr>
                <w:rFonts w:hint="eastAsia" w:ascii="宋体" w:hAnsi="宋体" w:cs="宋体"/>
                <w:color w:val="auto"/>
                <w:sz w:val="24"/>
                <w:szCs w:val="24"/>
              </w:rPr>
              <w:t>提交履约保证金的时间：签订合同前</w:t>
            </w:r>
            <w:r>
              <w:rPr>
                <w:rFonts w:ascii="宋体" w:hAnsi="宋体" w:cs="宋体"/>
                <w:color w:val="auto"/>
                <w:sz w:val="24"/>
                <w:szCs w:val="24"/>
              </w:rPr>
              <w:t xml:space="preserve"> </w:t>
            </w:r>
            <w:r>
              <w:rPr>
                <w:rFonts w:ascii="宋体" w:hAnsi="宋体" w:cs="宋体"/>
                <w:color w:val="auto"/>
                <w:sz w:val="24"/>
                <w:szCs w:val="24"/>
                <w:u w:val="single"/>
              </w:rPr>
              <w:t xml:space="preserve">  5  </w:t>
            </w:r>
            <w:r>
              <w:rPr>
                <w:rFonts w:hint="eastAsia" w:ascii="宋体" w:hAnsi="宋体" w:cs="宋体"/>
                <w:color w:val="auto"/>
                <w:sz w:val="24"/>
                <w:szCs w:val="24"/>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8"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32</w:t>
            </w:r>
          </w:p>
        </w:tc>
        <w:tc>
          <w:tcPr>
            <w:tcW w:w="8500" w:type="dxa"/>
            <w:vAlign w:val="center"/>
          </w:tcPr>
          <w:p>
            <w:pPr>
              <w:ind w:left="31680" w:hanging="900" w:hangingChars="375"/>
              <w:rPr>
                <w:rFonts w:ascii="宋体"/>
                <w:color w:val="auto"/>
                <w:sz w:val="24"/>
                <w:szCs w:val="24"/>
              </w:rPr>
            </w:pPr>
            <w:r>
              <w:rPr>
                <w:rFonts w:hint="eastAsia" w:ascii="宋体" w:hAnsi="宋体" w:cs="宋体"/>
                <w:color w:val="auto"/>
                <w:sz w:val="24"/>
                <w:szCs w:val="24"/>
              </w:rPr>
              <w:t>中标服务费：根据发改委价格</w:t>
            </w:r>
            <w:r>
              <w:rPr>
                <w:rFonts w:ascii="宋体" w:hAnsi="宋体" w:cs="宋体"/>
                <w:color w:val="auto"/>
                <w:sz w:val="24"/>
                <w:szCs w:val="24"/>
              </w:rPr>
              <w:t>[2015]299</w:t>
            </w:r>
            <w:r>
              <w:rPr>
                <w:rFonts w:hint="eastAsia" w:ascii="宋体" w:hAnsi="宋体" w:cs="宋体"/>
                <w:color w:val="auto"/>
                <w:sz w:val="24"/>
                <w:szCs w:val="24"/>
              </w:rPr>
              <w:t>文件：确定代理服务费按照中标价的</w:t>
            </w:r>
            <w:r>
              <w:rPr>
                <w:rFonts w:ascii="宋体" w:hAnsi="宋体" w:cs="宋体"/>
                <w:color w:val="auto"/>
                <w:sz w:val="24"/>
                <w:szCs w:val="24"/>
              </w:rPr>
              <w:t>1.5%</w:t>
            </w:r>
            <w:r>
              <w:rPr>
                <w:rFonts w:hint="eastAsia" w:ascii="宋体" w:hAnsi="宋体" w:cs="宋体"/>
                <w:color w:val="auto"/>
                <w:sz w:val="24"/>
                <w:szCs w:val="24"/>
              </w:rPr>
              <w:t>收取。（由中标供应商支付）</w:t>
            </w:r>
          </w:p>
          <w:p>
            <w:pPr>
              <w:jc w:val="left"/>
              <w:rPr>
                <w:rFonts w:ascii="宋体"/>
                <w:color w:val="auto"/>
                <w:sz w:val="24"/>
                <w:szCs w:val="24"/>
              </w:rPr>
            </w:pPr>
            <w:r>
              <w:rPr>
                <w:rFonts w:hint="eastAsia" w:ascii="宋体" w:hAnsi="宋体" w:cs="宋体"/>
                <w:color w:val="auto"/>
                <w:sz w:val="24"/>
                <w:szCs w:val="24"/>
              </w:rPr>
              <w:t>支付形式：</w:t>
            </w:r>
            <w:r>
              <w:rPr>
                <w:rFonts w:ascii="宋体" w:hAnsi="宋体" w:cs="宋体"/>
                <w:color w:val="auto"/>
                <w:sz w:val="24"/>
                <w:szCs w:val="24"/>
                <w:u w:val="single"/>
              </w:rPr>
              <w:t xml:space="preserve">  </w:t>
            </w:r>
            <w:r>
              <w:rPr>
                <w:rFonts w:hint="eastAsia" w:ascii="宋体" w:hAnsi="宋体" w:cs="宋体"/>
                <w:color w:val="auto"/>
                <w:sz w:val="24"/>
                <w:szCs w:val="24"/>
                <w:u w:val="single"/>
              </w:rPr>
              <w:t>对公转账</w:t>
            </w:r>
            <w:r>
              <w:rPr>
                <w:rFonts w:ascii="宋体" w:hAnsi="宋体" w:cs="宋体"/>
                <w:color w:val="auto"/>
                <w:sz w:val="24"/>
                <w:szCs w:val="24"/>
                <w:u w:val="single"/>
              </w:rPr>
              <w:t xml:space="preserve">  </w:t>
            </w:r>
          </w:p>
          <w:p>
            <w:pPr>
              <w:spacing w:line="360" w:lineRule="auto"/>
              <w:rPr>
                <w:rFonts w:ascii="宋体"/>
                <w:color w:val="auto"/>
                <w:sz w:val="24"/>
                <w:szCs w:val="24"/>
              </w:rPr>
            </w:pPr>
            <w:r>
              <w:rPr>
                <w:rFonts w:hint="eastAsia" w:ascii="宋体" w:hAnsi="宋体" w:cs="宋体"/>
                <w:color w:val="auto"/>
                <w:sz w:val="24"/>
                <w:szCs w:val="24"/>
              </w:rPr>
              <w:t>支付时间：</w:t>
            </w:r>
            <w:r>
              <w:rPr>
                <w:rFonts w:ascii="宋体" w:hAnsi="宋体" w:cs="宋体"/>
                <w:color w:val="auto"/>
                <w:sz w:val="24"/>
                <w:szCs w:val="24"/>
                <w:u w:val="single"/>
              </w:rPr>
              <w:t xml:space="preserve">  </w:t>
            </w:r>
            <w:r>
              <w:rPr>
                <w:rFonts w:hint="eastAsia" w:ascii="宋体" w:hAnsi="宋体" w:cs="宋体"/>
                <w:color w:val="auto"/>
                <w:sz w:val="24"/>
                <w:szCs w:val="24"/>
                <w:u w:val="single"/>
              </w:rPr>
              <w:t>领取成交通知书时</w:t>
            </w:r>
            <w:r>
              <w:rPr>
                <w:rFonts w:ascii="宋体" w:hAnsi="宋体" w:cs="宋体"/>
                <w:color w:val="auto"/>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ascii="宋体"/>
                <w:color w:val="auto"/>
                <w:sz w:val="24"/>
                <w:szCs w:val="24"/>
              </w:rPr>
            </w:pPr>
            <w:r>
              <w:rPr>
                <w:rFonts w:ascii="宋体" w:hAnsi="宋体" w:cs="宋体"/>
                <w:color w:val="auto"/>
                <w:sz w:val="24"/>
                <w:szCs w:val="24"/>
              </w:rPr>
              <w:t>33.1</w:t>
            </w:r>
          </w:p>
        </w:tc>
        <w:tc>
          <w:tcPr>
            <w:tcW w:w="8500" w:type="dxa"/>
            <w:vAlign w:val="center"/>
          </w:tcPr>
          <w:p>
            <w:pPr>
              <w:spacing w:line="360" w:lineRule="auto"/>
              <w:rPr>
                <w:rFonts w:ascii="宋体"/>
                <w:color w:val="auto"/>
                <w:sz w:val="24"/>
                <w:szCs w:val="24"/>
              </w:rPr>
            </w:pPr>
            <w:r>
              <w:rPr>
                <w:rFonts w:hint="eastAsia" w:ascii="宋体" w:hAnsi="宋体" w:cs="宋体"/>
                <w:color w:val="auto"/>
                <w:sz w:val="24"/>
                <w:szCs w:val="24"/>
              </w:rPr>
              <w:t>本项目是否属于信用担保试点范围：</w:t>
            </w:r>
            <w:r>
              <w:rPr>
                <w:rFonts w:ascii="宋体" w:hAnsi="宋体" w:cs="宋体"/>
                <w:color w:val="auto"/>
                <w:sz w:val="24"/>
                <w:szCs w:val="24"/>
                <w:u w:val="single"/>
              </w:rPr>
              <w:t xml:space="preserve">  </w:t>
            </w:r>
            <w:r>
              <w:rPr>
                <w:rFonts w:hint="eastAsia" w:ascii="宋体" w:hAnsi="宋体" w:cs="宋体"/>
                <w:color w:val="auto"/>
                <w:sz w:val="24"/>
                <w:szCs w:val="24"/>
                <w:u w:val="single"/>
              </w:rPr>
              <w:t>否</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i/>
                <w:iCs/>
                <w:color w:val="auto"/>
                <w:sz w:val="24"/>
                <w:szCs w:val="24"/>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9367"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ind w:left="1080" w:leftChars="257" w:hanging="540"/>
              <w:rPr>
                <w:rFonts w:ascii="宋体"/>
                <w:color w:val="auto"/>
                <w:sz w:val="24"/>
                <w:szCs w:val="24"/>
              </w:rPr>
            </w:pPr>
            <w:r>
              <w:rPr>
                <w:rFonts w:hint="eastAsia" w:ascii="宋体" w:hAnsi="宋体" w:cs="宋体"/>
                <w:color w:val="auto"/>
                <w:sz w:val="24"/>
                <w:szCs w:val="24"/>
              </w:rPr>
              <w:t>适用于本供应商须知的额外增加的变动：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867" w:type="dxa"/>
            <w:tcBorders>
              <w:bottom w:val="single" w:color="auto" w:sz="12" w:space="0"/>
            </w:tcBorders>
          </w:tcPr>
          <w:p>
            <w:pPr>
              <w:spacing w:line="360" w:lineRule="auto"/>
              <w:ind w:left="1080" w:leftChars="257" w:hanging="540"/>
              <w:rPr>
                <w:rFonts w:ascii="宋体"/>
                <w:b/>
                <w:bCs/>
                <w:color w:val="auto"/>
                <w:sz w:val="24"/>
                <w:szCs w:val="24"/>
              </w:rPr>
            </w:pPr>
            <w:r>
              <w:rPr>
                <w:rFonts w:ascii="宋体" w:hAnsi="宋体" w:cs="宋体"/>
                <w:b/>
                <w:bCs/>
                <w:color w:val="auto"/>
                <w:sz w:val="24"/>
                <w:szCs w:val="24"/>
              </w:rPr>
              <w:t>1</w:t>
            </w:r>
          </w:p>
        </w:tc>
        <w:tc>
          <w:tcPr>
            <w:tcW w:w="8500" w:type="dxa"/>
            <w:tcBorders>
              <w:bottom w:val="single" w:color="auto" w:sz="12" w:space="0"/>
            </w:tcBorders>
            <w:vAlign w:val="center"/>
          </w:tcPr>
          <w:p>
            <w:pPr>
              <w:spacing w:line="360" w:lineRule="auto"/>
              <w:rPr>
                <w:rFonts w:ascii="宋体"/>
                <w:b/>
                <w:bCs/>
                <w:color w:val="auto"/>
                <w:sz w:val="24"/>
                <w:szCs w:val="24"/>
              </w:rPr>
            </w:pPr>
            <w:r>
              <w:rPr>
                <w:rFonts w:hint="eastAsia" w:ascii="宋体" w:hAnsi="宋体" w:cs="宋体"/>
                <w:b/>
                <w:bCs/>
                <w:color w:val="auto"/>
                <w:sz w:val="24"/>
                <w:szCs w:val="24"/>
              </w:rPr>
              <w:t>进口产品制造商授权等是否作为资格要求：</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否</w:t>
            </w:r>
            <w:r>
              <w:rPr>
                <w:rFonts w:ascii="宋体" w:hAnsi="宋体" w:cs="宋体"/>
                <w:b/>
                <w:bCs/>
                <w:color w:val="auto"/>
                <w:sz w:val="24"/>
                <w:szCs w:val="24"/>
                <w:u w:val="single"/>
              </w:rPr>
              <w:t xml:space="preserve">   </w:t>
            </w:r>
            <w:r>
              <w:rPr>
                <w:rFonts w:hint="eastAsia" w:ascii="宋体" w:hAnsi="宋体" w:cs="宋体"/>
                <w:b/>
                <w:bCs/>
                <w:i/>
                <w:iCs/>
                <w:color w:val="auto"/>
                <w:sz w:val="24"/>
                <w:szCs w:val="24"/>
              </w:rPr>
              <w:t>（是、否）</w:t>
            </w:r>
          </w:p>
        </w:tc>
      </w:tr>
    </w:tbl>
    <w:p>
      <w:pPr>
        <w:pStyle w:val="2"/>
        <w:spacing w:line="240" w:lineRule="exact"/>
        <w:ind w:firstLine="0"/>
        <w:rPr>
          <w:rFonts w:hAnsi="宋体" w:cs="Times New Roman"/>
          <w:color w:val="auto"/>
        </w:rPr>
        <w:sectPr>
          <w:pgSz w:w="11905" w:h="16838"/>
          <w:pgMar w:top="1440" w:right="1797" w:bottom="1440" w:left="1797" w:header="851" w:footer="992" w:gutter="0"/>
          <w:cols w:space="0" w:num="1"/>
          <w:docGrid w:linePitch="312" w:charSpace="0"/>
        </w:sectPr>
      </w:pPr>
    </w:p>
    <w:p>
      <w:pPr>
        <w:pStyle w:val="2"/>
        <w:ind w:firstLine="0"/>
        <w:jc w:val="center"/>
        <w:outlineLvl w:val="0"/>
        <w:rPr>
          <w:rFonts w:hAnsi="宋体" w:cs="Times New Roman"/>
          <w:b/>
          <w:bCs/>
          <w:color w:val="auto"/>
          <w:kern w:val="44"/>
          <w:sz w:val="28"/>
          <w:szCs w:val="28"/>
        </w:rPr>
      </w:pPr>
      <w:bookmarkStart w:id="787" w:name="_Toc14558"/>
      <w:bookmarkStart w:id="788" w:name="_Toc515647832"/>
      <w:bookmarkStart w:id="789" w:name="_Toc7971"/>
      <w:bookmarkStart w:id="790" w:name="_Toc32647"/>
      <w:bookmarkStart w:id="791" w:name="_Toc216582826"/>
      <w:bookmarkStart w:id="792" w:name="_Toc219175639"/>
      <w:bookmarkStart w:id="793" w:name="_Toc218935355"/>
      <w:bookmarkStart w:id="794" w:name="_Toc507399907"/>
      <w:r>
        <w:rPr>
          <w:rFonts w:hint="eastAsia" w:hAnsi="宋体"/>
          <w:b/>
          <w:bCs/>
          <w:color w:val="auto"/>
          <w:kern w:val="44"/>
          <w:sz w:val="28"/>
          <w:szCs w:val="28"/>
        </w:rPr>
        <w:t>第</w:t>
      </w:r>
      <w:r>
        <w:rPr>
          <w:rFonts w:hAnsi="宋体"/>
          <w:b/>
          <w:bCs/>
          <w:color w:val="auto"/>
          <w:kern w:val="44"/>
          <w:sz w:val="28"/>
          <w:szCs w:val="28"/>
        </w:rPr>
        <w:t>5</w:t>
      </w:r>
      <w:r>
        <w:rPr>
          <w:rFonts w:hint="eastAsia" w:hAnsi="宋体"/>
          <w:b/>
          <w:bCs/>
          <w:color w:val="auto"/>
          <w:kern w:val="44"/>
          <w:sz w:val="28"/>
          <w:szCs w:val="28"/>
        </w:rPr>
        <w:t>章</w:t>
      </w:r>
      <w:r>
        <w:rPr>
          <w:rFonts w:hAnsi="宋体"/>
          <w:b/>
          <w:bCs/>
          <w:color w:val="auto"/>
          <w:kern w:val="44"/>
          <w:sz w:val="28"/>
          <w:szCs w:val="28"/>
        </w:rPr>
        <w:t xml:space="preserve"> </w:t>
      </w:r>
      <w:r>
        <w:rPr>
          <w:rFonts w:hint="eastAsia" w:hAnsi="宋体"/>
          <w:b/>
          <w:bCs/>
          <w:color w:val="auto"/>
          <w:kern w:val="44"/>
          <w:sz w:val="28"/>
          <w:szCs w:val="28"/>
        </w:rPr>
        <w:t>货物需求一览表及技术规格</w:t>
      </w:r>
      <w:bookmarkEnd w:id="787"/>
    </w:p>
    <w:p>
      <w:pPr>
        <w:spacing w:line="560" w:lineRule="exact"/>
        <w:outlineLvl w:val="1"/>
        <w:rPr>
          <w:rFonts w:ascii="宋体"/>
          <w:color w:val="auto"/>
        </w:rPr>
      </w:pPr>
      <w:bookmarkStart w:id="795" w:name="_Toc13846"/>
      <w:bookmarkStart w:id="796" w:name="_Toc25737"/>
      <w:bookmarkStart w:id="797" w:name="_Toc6173"/>
      <w:bookmarkStart w:id="798" w:name="_Toc28539"/>
      <w:bookmarkStart w:id="799" w:name="_Toc11454"/>
      <w:bookmarkStart w:id="800" w:name="_Toc11338"/>
      <w:bookmarkStart w:id="801" w:name="_Toc10204"/>
      <w:bookmarkStart w:id="802" w:name="_Toc23395"/>
      <w:bookmarkStart w:id="803" w:name="_Toc29445"/>
      <w:bookmarkStart w:id="804" w:name="_Toc16036"/>
      <w:bookmarkStart w:id="805" w:name="_Toc13655"/>
      <w:r>
        <w:rPr>
          <w:rFonts w:hint="eastAsia" w:ascii="宋体" w:hAnsi="宋体" w:cs="宋体"/>
          <w:b/>
          <w:bCs/>
          <w:color w:val="auto"/>
          <w:sz w:val="32"/>
          <w:szCs w:val="32"/>
        </w:rPr>
        <w:t>一、货物需求：</w:t>
      </w:r>
      <w:bookmarkEnd w:id="795"/>
      <w:bookmarkEnd w:id="796"/>
      <w:bookmarkEnd w:id="797"/>
      <w:bookmarkEnd w:id="798"/>
      <w:bookmarkEnd w:id="799"/>
      <w:bookmarkEnd w:id="800"/>
      <w:bookmarkEnd w:id="801"/>
      <w:bookmarkEnd w:id="802"/>
      <w:bookmarkEnd w:id="803"/>
      <w:bookmarkEnd w:id="804"/>
    </w:p>
    <w:p>
      <w:pPr>
        <w:spacing w:before="156" w:after="156" w:line="360" w:lineRule="auto"/>
        <w:jc w:val="center"/>
        <w:rPr>
          <w:rFonts w:ascii="宋体"/>
          <w:b/>
          <w:bCs/>
          <w:color w:val="auto"/>
          <w:sz w:val="44"/>
          <w:szCs w:val="44"/>
        </w:rPr>
      </w:pPr>
      <w:r>
        <w:rPr>
          <w:rFonts w:hint="eastAsia" w:ascii="宋体" w:hAnsi="宋体" w:cs="宋体"/>
          <w:b/>
          <w:bCs/>
          <w:color w:val="auto"/>
          <w:sz w:val="44"/>
          <w:szCs w:val="44"/>
        </w:rPr>
        <w:t>喀什地区妇幼保健院</w:t>
      </w:r>
    </w:p>
    <w:p>
      <w:pPr>
        <w:spacing w:before="156" w:after="156" w:line="360" w:lineRule="auto"/>
        <w:jc w:val="center"/>
        <w:rPr>
          <w:rFonts w:ascii="宋体"/>
          <w:b/>
          <w:bCs/>
          <w:color w:val="auto"/>
          <w:sz w:val="44"/>
          <w:szCs w:val="44"/>
        </w:rPr>
      </w:pPr>
      <w:r>
        <w:rPr>
          <w:rFonts w:hint="eastAsia" w:ascii="宋体" w:hAnsi="宋体" w:cs="宋体"/>
          <w:b/>
          <w:bCs/>
          <w:color w:val="auto"/>
          <w:sz w:val="44"/>
          <w:szCs w:val="44"/>
        </w:rPr>
        <w:t>信息化建设方案</w:t>
      </w:r>
    </w:p>
    <w:p>
      <w:pPr>
        <w:spacing w:before="156" w:after="156" w:line="360" w:lineRule="auto"/>
        <w:jc w:val="center"/>
        <w:rPr>
          <w:rFonts w:ascii="宋体"/>
          <w:b/>
          <w:bCs/>
          <w:color w:val="auto"/>
          <w:sz w:val="36"/>
          <w:szCs w:val="36"/>
        </w:rPr>
      </w:pPr>
      <w:r>
        <w:rPr>
          <w:rFonts w:hint="eastAsia" w:ascii="宋体" w:hAnsi="宋体" w:cs="宋体"/>
          <w:b/>
          <w:bCs/>
          <w:color w:val="auto"/>
          <w:sz w:val="36"/>
          <w:szCs w:val="36"/>
        </w:rPr>
        <w:t>（招标参数）</w:t>
      </w:r>
    </w:p>
    <w:p>
      <w:pPr>
        <w:spacing w:before="156" w:after="156" w:line="360" w:lineRule="auto"/>
        <w:jc w:val="center"/>
        <w:rPr>
          <w:rFonts w:ascii="宋体"/>
          <w:b/>
          <w:bCs/>
          <w:color w:val="auto"/>
          <w:sz w:val="32"/>
          <w:szCs w:val="32"/>
        </w:rPr>
      </w:pPr>
    </w:p>
    <w:p>
      <w:pPr>
        <w:spacing w:before="156" w:after="156" w:line="360" w:lineRule="auto"/>
        <w:jc w:val="center"/>
        <w:rPr>
          <w:rFonts w:ascii="宋体"/>
          <w:b/>
          <w:bCs/>
          <w:color w:val="auto"/>
          <w:sz w:val="32"/>
          <w:szCs w:val="32"/>
        </w:rPr>
      </w:pPr>
    </w:p>
    <w:p>
      <w:pPr>
        <w:spacing w:before="156" w:after="156" w:line="360" w:lineRule="auto"/>
        <w:jc w:val="center"/>
        <w:rPr>
          <w:rFonts w:ascii="宋体"/>
          <w:b/>
          <w:bCs/>
          <w:color w:val="auto"/>
          <w:sz w:val="32"/>
          <w:szCs w:val="32"/>
        </w:rPr>
      </w:pPr>
    </w:p>
    <w:p>
      <w:pPr>
        <w:spacing w:before="156" w:after="156" w:line="360" w:lineRule="auto"/>
        <w:jc w:val="center"/>
        <w:rPr>
          <w:rFonts w:ascii="宋体"/>
          <w:b/>
          <w:bCs/>
          <w:color w:val="auto"/>
          <w:sz w:val="32"/>
          <w:szCs w:val="32"/>
        </w:rPr>
      </w:pPr>
    </w:p>
    <w:p>
      <w:pPr>
        <w:spacing w:before="156" w:after="156" w:line="360" w:lineRule="auto"/>
        <w:jc w:val="center"/>
        <w:rPr>
          <w:rFonts w:ascii="宋体"/>
          <w:b/>
          <w:bCs/>
          <w:color w:val="auto"/>
          <w:sz w:val="32"/>
          <w:szCs w:val="32"/>
        </w:rPr>
      </w:pPr>
    </w:p>
    <w:p>
      <w:pPr>
        <w:spacing w:before="156" w:after="156" w:line="360" w:lineRule="auto"/>
        <w:jc w:val="center"/>
        <w:rPr>
          <w:rFonts w:ascii="宋体"/>
          <w:b/>
          <w:bCs/>
          <w:color w:val="auto"/>
          <w:sz w:val="32"/>
          <w:szCs w:val="32"/>
        </w:rPr>
      </w:pPr>
      <w:r>
        <w:rPr>
          <w:rFonts w:hint="eastAsia" w:ascii="宋体" w:hAnsi="宋体" w:cs="宋体"/>
          <w:b/>
          <w:bCs/>
          <w:color w:val="auto"/>
          <w:sz w:val="32"/>
          <w:szCs w:val="32"/>
        </w:rPr>
        <w:t>二零二一年九月</w:t>
      </w:r>
    </w:p>
    <w:p>
      <w:pPr>
        <w:spacing w:before="156" w:after="156" w:line="360" w:lineRule="auto"/>
        <w:jc w:val="center"/>
        <w:rPr>
          <w:rFonts w:ascii="宋体"/>
          <w:b/>
          <w:bCs/>
          <w:color w:val="auto"/>
          <w:sz w:val="32"/>
          <w:szCs w:val="32"/>
        </w:rPr>
      </w:pPr>
      <w:r>
        <w:rPr>
          <w:rFonts w:ascii="宋体"/>
          <w:b/>
          <w:bCs/>
          <w:color w:val="auto"/>
          <w:sz w:val="52"/>
          <w:szCs w:val="52"/>
        </w:rPr>
        <w:br w:type="page"/>
      </w:r>
      <w:r>
        <w:rPr>
          <w:rFonts w:hint="eastAsia" w:ascii="宋体" w:hAnsi="宋体" w:cs="宋体"/>
          <w:b/>
          <w:bCs/>
          <w:color w:val="auto"/>
          <w:sz w:val="32"/>
          <w:szCs w:val="32"/>
        </w:rPr>
        <w:t>目</w:t>
      </w:r>
      <w:r>
        <w:rPr>
          <w:rFonts w:ascii="宋体" w:hAnsi="宋体" w:cs="宋体"/>
          <w:b/>
          <w:bCs/>
          <w:color w:val="auto"/>
          <w:sz w:val="32"/>
          <w:szCs w:val="32"/>
        </w:rPr>
        <w:t xml:space="preserve">  </w:t>
      </w:r>
      <w:r>
        <w:rPr>
          <w:rFonts w:hint="eastAsia" w:ascii="宋体" w:hAnsi="宋体" w:cs="宋体"/>
          <w:b/>
          <w:bCs/>
          <w:color w:val="auto"/>
          <w:sz w:val="32"/>
          <w:szCs w:val="32"/>
        </w:rPr>
        <w:t>录</w:t>
      </w:r>
    </w:p>
    <w:p>
      <w:pPr>
        <w:pStyle w:val="15"/>
        <w:tabs>
          <w:tab w:val="right" w:leader="dot" w:pos="8296"/>
        </w:tabs>
        <w:spacing w:line="360" w:lineRule="auto"/>
        <w:rPr>
          <w:color w:val="auto"/>
        </w:rPr>
      </w:pPr>
      <w:r>
        <w:rPr>
          <w:rFonts w:ascii="宋体" w:hAnsi="宋体" w:cs="宋体"/>
          <w:color w:val="auto"/>
          <w:sz w:val="24"/>
          <w:szCs w:val="24"/>
        </w:rPr>
        <w:fldChar w:fldCharType="begin"/>
      </w:r>
      <w:r>
        <w:rPr>
          <w:rFonts w:ascii="宋体" w:hAnsi="宋体" w:cs="宋体"/>
          <w:color w:val="auto"/>
          <w:sz w:val="24"/>
          <w:szCs w:val="24"/>
        </w:rPr>
        <w:instrText xml:space="preserve"> TOC \o "1-3" \h \z \u </w:instrText>
      </w:r>
      <w:r>
        <w:rPr>
          <w:rFonts w:ascii="宋体" w:hAnsi="宋体" w:cs="宋体"/>
          <w:color w:val="auto"/>
          <w:sz w:val="24"/>
          <w:szCs w:val="24"/>
        </w:rPr>
        <w:fldChar w:fldCharType="separate"/>
      </w:r>
      <w:r>
        <w:rPr>
          <w:color w:val="auto"/>
        </w:rPr>
        <w:fldChar w:fldCharType="begin"/>
      </w:r>
      <w:r>
        <w:rPr>
          <w:color w:val="auto"/>
        </w:rPr>
        <w:instrText xml:space="preserve"> HYPERLINK \l "_Toc82882762" </w:instrText>
      </w:r>
      <w:r>
        <w:rPr>
          <w:color w:val="auto"/>
        </w:rPr>
        <w:fldChar w:fldCharType="separate"/>
      </w:r>
      <w:r>
        <w:rPr>
          <w:rStyle w:val="26"/>
          <w:rFonts w:ascii="宋体" w:hAnsi="宋体" w:cs="宋体"/>
          <w:b/>
          <w:bCs/>
          <w:color w:val="auto"/>
        </w:rPr>
        <w:t>1</w:t>
      </w:r>
      <w:r>
        <w:rPr>
          <w:rStyle w:val="26"/>
          <w:rFonts w:hint="eastAsia" w:ascii="宋体" w:hAnsi="宋体" w:cs="宋体"/>
          <w:b/>
          <w:bCs/>
          <w:color w:val="auto"/>
        </w:rPr>
        <w:t>、招标内容及技术要求</w:t>
      </w:r>
      <w:r>
        <w:rPr>
          <w:color w:val="auto"/>
        </w:rPr>
        <w:tab/>
      </w:r>
      <w:r>
        <w:rPr>
          <w:color w:val="auto"/>
        </w:rPr>
        <w:fldChar w:fldCharType="begin"/>
      </w:r>
      <w:r>
        <w:rPr>
          <w:color w:val="auto"/>
        </w:rPr>
        <w:instrText xml:space="preserve"> PAGEREF _Toc82882762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"_Toc82882763" </w:instrText>
      </w:r>
      <w:r>
        <w:rPr>
          <w:color w:val="auto"/>
        </w:rPr>
        <w:fldChar w:fldCharType="separate"/>
      </w:r>
      <w:r>
        <w:rPr>
          <w:rStyle w:val="26"/>
          <w:rFonts w:ascii="宋体" w:hAnsi="宋体" w:cs="宋体"/>
          <w:b/>
          <w:bCs/>
          <w:color w:val="auto"/>
        </w:rPr>
        <w:t>1.1</w:t>
      </w:r>
      <w:r>
        <w:rPr>
          <w:rStyle w:val="26"/>
          <w:rFonts w:hint="eastAsia" w:ascii="宋体" w:hAnsi="宋体" w:cs="宋体"/>
          <w:b/>
          <w:bCs/>
          <w:color w:val="auto"/>
        </w:rPr>
        <w:t>、项目背景</w:t>
      </w:r>
      <w:r>
        <w:rPr>
          <w:color w:val="auto"/>
        </w:rPr>
        <w:tab/>
      </w:r>
      <w:r>
        <w:rPr>
          <w:color w:val="auto"/>
        </w:rPr>
        <w:fldChar w:fldCharType="begin"/>
      </w:r>
      <w:r>
        <w:rPr>
          <w:color w:val="auto"/>
        </w:rPr>
        <w:instrText xml:space="preserve"> PAGEREF _Toc82882763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"_Toc82882764" </w:instrText>
      </w:r>
      <w:r>
        <w:rPr>
          <w:color w:val="auto"/>
        </w:rPr>
        <w:fldChar w:fldCharType="separate"/>
      </w:r>
      <w:r>
        <w:rPr>
          <w:rStyle w:val="26"/>
          <w:rFonts w:ascii="宋体" w:hAnsi="宋体" w:cs="宋体"/>
          <w:b/>
          <w:bCs/>
          <w:color w:val="auto"/>
        </w:rPr>
        <w:t>1.2</w:t>
      </w:r>
      <w:r>
        <w:rPr>
          <w:rStyle w:val="26"/>
          <w:rFonts w:hint="eastAsia" w:ascii="宋体" w:hAnsi="宋体" w:cs="宋体"/>
          <w:b/>
          <w:bCs/>
          <w:color w:val="auto"/>
        </w:rPr>
        <w:t>、设计原则</w:t>
      </w:r>
      <w:r>
        <w:rPr>
          <w:color w:val="auto"/>
        </w:rPr>
        <w:tab/>
      </w:r>
      <w:r>
        <w:rPr>
          <w:color w:val="auto"/>
        </w:rPr>
        <w:fldChar w:fldCharType="begin"/>
      </w:r>
      <w:r>
        <w:rPr>
          <w:color w:val="auto"/>
        </w:rPr>
        <w:instrText xml:space="preserve"> PAGEREF _Toc82882764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"_Toc82882765" </w:instrText>
      </w:r>
      <w:r>
        <w:rPr>
          <w:color w:val="auto"/>
        </w:rPr>
        <w:fldChar w:fldCharType="separate"/>
      </w:r>
      <w:r>
        <w:rPr>
          <w:rStyle w:val="26"/>
          <w:rFonts w:ascii="宋体" w:hAnsi="宋体" w:cs="宋体"/>
          <w:b/>
          <w:bCs/>
          <w:color w:val="auto"/>
        </w:rPr>
        <w:t>1.3</w:t>
      </w:r>
      <w:r>
        <w:rPr>
          <w:rStyle w:val="26"/>
          <w:rFonts w:hint="eastAsia" w:ascii="宋体" w:hAnsi="宋体" w:cs="宋体"/>
          <w:b/>
          <w:bCs/>
          <w:color w:val="auto"/>
        </w:rPr>
        <w:t>、建设目标</w:t>
      </w:r>
      <w:r>
        <w:rPr>
          <w:color w:val="auto"/>
        </w:rPr>
        <w:tab/>
      </w:r>
      <w:r>
        <w:rPr>
          <w:color w:val="auto"/>
        </w:rPr>
        <w:fldChar w:fldCharType="begin"/>
      </w:r>
      <w:r>
        <w:rPr>
          <w:color w:val="auto"/>
        </w:rPr>
        <w:instrText xml:space="preserve"> PAGEREF _Toc82882765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"_Toc82882766" </w:instrText>
      </w:r>
      <w:r>
        <w:rPr>
          <w:color w:val="auto"/>
        </w:rPr>
        <w:fldChar w:fldCharType="separate"/>
      </w:r>
      <w:r>
        <w:rPr>
          <w:rStyle w:val="26"/>
          <w:rFonts w:ascii="宋体" w:hAnsi="宋体" w:cs="宋体"/>
          <w:b/>
          <w:bCs/>
          <w:color w:val="auto"/>
        </w:rPr>
        <w:t>1.4</w:t>
      </w:r>
      <w:r>
        <w:rPr>
          <w:rStyle w:val="26"/>
          <w:rFonts w:hint="eastAsia" w:ascii="宋体" w:hAnsi="宋体" w:cs="宋体"/>
          <w:b/>
          <w:bCs/>
          <w:color w:val="auto"/>
        </w:rPr>
        <w:t>、建设依据</w:t>
      </w:r>
      <w:r>
        <w:rPr>
          <w:color w:val="auto"/>
        </w:rPr>
        <w:tab/>
      </w:r>
      <w:r>
        <w:rPr>
          <w:color w:val="auto"/>
        </w:rPr>
        <w:fldChar w:fldCharType="begin"/>
      </w:r>
      <w:r>
        <w:rPr>
          <w:color w:val="auto"/>
        </w:rPr>
        <w:instrText xml:space="preserve"> PAGEREF _Toc82882766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296"/>
        </w:tabs>
        <w:spacing w:line="360" w:lineRule="auto"/>
        <w:rPr>
          <w:color w:val="auto"/>
        </w:rPr>
      </w:pPr>
      <w:r>
        <w:rPr>
          <w:color w:val="auto"/>
        </w:rPr>
        <w:fldChar w:fldCharType="begin"/>
      </w:r>
      <w:r>
        <w:rPr>
          <w:color w:val="auto"/>
        </w:rPr>
        <w:instrText xml:space="preserve"> HYPERLINK \l "_Toc82882767" </w:instrText>
      </w:r>
      <w:r>
        <w:rPr>
          <w:color w:val="auto"/>
        </w:rPr>
        <w:fldChar w:fldCharType="separate"/>
      </w:r>
      <w:r>
        <w:rPr>
          <w:rStyle w:val="26"/>
          <w:rFonts w:ascii="宋体" w:hAnsi="宋体" w:cs="宋体"/>
          <w:b/>
          <w:bCs/>
          <w:color w:val="auto"/>
        </w:rPr>
        <w:t>2</w:t>
      </w:r>
      <w:r>
        <w:rPr>
          <w:rStyle w:val="26"/>
          <w:rFonts w:hint="eastAsia" w:ascii="宋体" w:hAnsi="宋体" w:cs="宋体"/>
          <w:b/>
          <w:bCs/>
          <w:color w:val="auto"/>
        </w:rPr>
        <w:t>、总体设计要求</w:t>
      </w:r>
      <w:r>
        <w:rPr>
          <w:color w:val="auto"/>
        </w:rPr>
        <w:tab/>
      </w:r>
      <w:r>
        <w:rPr>
          <w:color w:val="auto"/>
        </w:rPr>
        <w:fldChar w:fldCharType="begin"/>
      </w:r>
      <w:r>
        <w:rPr>
          <w:color w:val="auto"/>
        </w:rPr>
        <w:instrText xml:space="preserve"> PAGEREF _Toc82882767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"_Toc82882768" </w:instrText>
      </w:r>
      <w:r>
        <w:rPr>
          <w:color w:val="auto"/>
        </w:rPr>
        <w:fldChar w:fldCharType="separate"/>
      </w:r>
      <w:r>
        <w:rPr>
          <w:rStyle w:val="26"/>
          <w:rFonts w:ascii="宋体" w:hAnsi="宋体" w:cs="宋体"/>
          <w:b/>
          <w:bCs/>
          <w:color w:val="auto"/>
        </w:rPr>
        <w:t>2.1</w:t>
      </w:r>
      <w:r>
        <w:rPr>
          <w:rStyle w:val="26"/>
          <w:rFonts w:hint="eastAsia" w:ascii="宋体" w:hAnsi="宋体" w:cs="宋体"/>
          <w:b/>
          <w:bCs/>
          <w:color w:val="auto"/>
        </w:rPr>
        <w:t>、应用架构设计要求</w:t>
      </w:r>
      <w:r>
        <w:rPr>
          <w:color w:val="auto"/>
        </w:rPr>
        <w:tab/>
      </w:r>
      <w:r>
        <w:rPr>
          <w:color w:val="auto"/>
        </w:rPr>
        <w:fldChar w:fldCharType="begin"/>
      </w:r>
      <w:r>
        <w:rPr>
          <w:color w:val="auto"/>
        </w:rPr>
        <w:instrText xml:space="preserve"> PAGEREF _Toc82882768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"_Toc82882769" </w:instrText>
      </w:r>
      <w:r>
        <w:rPr>
          <w:color w:val="auto"/>
        </w:rPr>
        <w:fldChar w:fldCharType="separate"/>
      </w:r>
      <w:r>
        <w:rPr>
          <w:rStyle w:val="26"/>
          <w:rFonts w:ascii="宋体" w:hAnsi="宋体" w:cs="宋体"/>
          <w:b/>
          <w:bCs/>
          <w:color w:val="auto"/>
        </w:rPr>
        <w:t>2.2</w:t>
      </w:r>
      <w:r>
        <w:rPr>
          <w:rStyle w:val="26"/>
          <w:rFonts w:hint="eastAsia" w:ascii="宋体" w:hAnsi="宋体" w:cs="宋体"/>
          <w:b/>
          <w:bCs/>
          <w:color w:val="auto"/>
        </w:rPr>
        <w:t>、应用系统所需特性</w:t>
      </w:r>
      <w:r>
        <w:rPr>
          <w:color w:val="auto"/>
        </w:rPr>
        <w:tab/>
      </w:r>
      <w:r>
        <w:rPr>
          <w:color w:val="auto"/>
        </w:rPr>
        <w:fldChar w:fldCharType="begin"/>
      </w:r>
      <w:r>
        <w:rPr>
          <w:color w:val="auto"/>
        </w:rPr>
        <w:instrText xml:space="preserve"> PAGEREF _Toc82882769 \h </w:instrText>
      </w:r>
      <w:r>
        <w:rPr>
          <w:color w:val="auto"/>
        </w:rPr>
        <w:fldChar w:fldCharType="separate"/>
      </w:r>
      <w:r>
        <w:rPr>
          <w:color w:val="auto"/>
        </w:rPr>
        <w:t>2</w:t>
      </w:r>
      <w:r>
        <w:rPr>
          <w:color w:val="auto"/>
        </w:rPr>
        <w:fldChar w:fldCharType="end"/>
      </w:r>
      <w:r>
        <w:rPr>
          <w:color w:val="auto"/>
        </w:rPr>
        <w:fldChar w:fldCharType="end"/>
      </w:r>
    </w:p>
    <w:p>
      <w:pPr>
        <w:pStyle w:val="15"/>
        <w:tabs>
          <w:tab w:val="left" w:pos="840"/>
          <w:tab w:val="right" w:leader="dot" w:pos="8296"/>
        </w:tabs>
        <w:spacing w:line="360" w:lineRule="auto"/>
        <w:rPr>
          <w:color w:val="auto"/>
        </w:rPr>
      </w:pPr>
      <w:r>
        <w:rPr>
          <w:color w:val="auto"/>
        </w:rPr>
        <w:fldChar w:fldCharType="begin"/>
      </w:r>
      <w:r>
        <w:rPr>
          <w:color w:val="auto"/>
        </w:rPr>
        <w:instrText xml:space="preserve"> HYPERLINK \l "_Toc82882770" </w:instrText>
      </w:r>
      <w:r>
        <w:rPr>
          <w:color w:val="auto"/>
        </w:rPr>
        <w:fldChar w:fldCharType="separate"/>
      </w:r>
      <w:r>
        <w:rPr>
          <w:rStyle w:val="26"/>
          <w:rFonts w:ascii="宋体" w:hAnsi="宋体" w:cs="宋体"/>
          <w:b/>
          <w:bCs/>
          <w:color w:val="auto"/>
        </w:rPr>
        <w:t>3</w:t>
      </w:r>
      <w:r>
        <w:rPr>
          <w:rStyle w:val="26"/>
          <w:rFonts w:hint="eastAsia" w:ascii="宋体" w:hAnsi="宋体" w:cs="宋体"/>
          <w:b/>
          <w:bCs/>
          <w:color w:val="auto"/>
        </w:rPr>
        <w:t>、建设内</w:t>
      </w:r>
      <w:bookmarkStart w:id="806" w:name="_Hlt82882817"/>
      <w:r>
        <w:rPr>
          <w:rStyle w:val="26"/>
          <w:rFonts w:hint="eastAsia" w:ascii="宋体" w:hAnsi="宋体" w:cs="宋体"/>
          <w:b/>
          <w:bCs/>
          <w:color w:val="auto"/>
        </w:rPr>
        <w:t>容</w:t>
      </w:r>
      <w:bookmarkEnd w:id="806"/>
      <w:r>
        <w:rPr>
          <w:rStyle w:val="26"/>
          <w:rFonts w:hint="eastAsia" w:ascii="宋体" w:hAnsi="宋体" w:cs="宋体"/>
          <w:b/>
          <w:bCs/>
          <w:color w:val="auto"/>
        </w:rPr>
        <w:t>清单</w:t>
      </w:r>
      <w:r>
        <w:rPr>
          <w:color w:val="auto"/>
        </w:rPr>
        <w:tab/>
      </w:r>
      <w:r>
        <w:rPr>
          <w:color w:val="auto"/>
        </w:rPr>
        <w:fldChar w:fldCharType="begin"/>
      </w:r>
      <w:r>
        <w:rPr>
          <w:color w:val="auto"/>
        </w:rPr>
        <w:instrText xml:space="preserve"> PAGEREF _Toc82882770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"_Toc82882771" </w:instrText>
      </w:r>
      <w:r>
        <w:rPr>
          <w:color w:val="auto"/>
        </w:rPr>
        <w:fldChar w:fldCharType="separate"/>
      </w:r>
      <w:r>
        <w:rPr>
          <w:rStyle w:val="26"/>
          <w:rFonts w:ascii="宋体" w:hAnsi="宋体" w:cs="宋体"/>
          <w:b/>
          <w:bCs/>
          <w:color w:val="auto"/>
        </w:rPr>
        <w:t>3.1</w:t>
      </w:r>
      <w:r>
        <w:rPr>
          <w:rStyle w:val="26"/>
          <w:rFonts w:hint="eastAsia" w:ascii="宋体" w:hAnsi="宋体" w:cs="宋体"/>
          <w:b/>
          <w:bCs/>
          <w:color w:val="auto"/>
        </w:rPr>
        <w:t>、综合布线清单</w:t>
      </w:r>
      <w:r>
        <w:rPr>
          <w:color w:val="auto"/>
        </w:rPr>
        <w:tab/>
      </w:r>
      <w:r>
        <w:rPr>
          <w:color w:val="auto"/>
        </w:rPr>
        <w:fldChar w:fldCharType="begin"/>
      </w:r>
      <w:r>
        <w:rPr>
          <w:color w:val="auto"/>
        </w:rPr>
        <w:instrText xml:space="preserve"> PAGEREF _Toc82882771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"_Toc82882772" </w:instrText>
      </w:r>
      <w:r>
        <w:rPr>
          <w:color w:val="auto"/>
        </w:rPr>
        <w:fldChar w:fldCharType="separate"/>
      </w:r>
      <w:r>
        <w:rPr>
          <w:rStyle w:val="26"/>
          <w:rFonts w:ascii="宋体" w:hAnsi="宋体" w:cs="宋体"/>
          <w:b/>
          <w:bCs/>
          <w:color w:val="auto"/>
        </w:rPr>
        <w:t>3.2</w:t>
      </w:r>
      <w:r>
        <w:rPr>
          <w:rStyle w:val="26"/>
          <w:rFonts w:hint="eastAsia" w:ascii="宋体" w:hAnsi="宋体" w:cs="宋体"/>
          <w:b/>
          <w:bCs/>
          <w:color w:val="auto"/>
        </w:rPr>
        <w:t>、中心机房建设</w:t>
      </w:r>
      <w:r>
        <w:rPr>
          <w:color w:val="auto"/>
        </w:rPr>
        <w:tab/>
      </w:r>
      <w:r>
        <w:rPr>
          <w:color w:val="auto"/>
        </w:rPr>
        <w:fldChar w:fldCharType="begin"/>
      </w:r>
      <w:r>
        <w:rPr>
          <w:color w:val="auto"/>
        </w:rPr>
        <w:instrText xml:space="preserve"> PAGEREF _Toc82882772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"_Toc82882773" </w:instrText>
      </w:r>
      <w:r>
        <w:rPr>
          <w:color w:val="auto"/>
        </w:rPr>
        <w:fldChar w:fldCharType="separate"/>
      </w:r>
      <w:r>
        <w:rPr>
          <w:rStyle w:val="26"/>
          <w:rFonts w:ascii="宋体" w:hAnsi="宋体" w:cs="宋体"/>
          <w:b/>
          <w:bCs/>
          <w:color w:val="auto"/>
        </w:rPr>
        <w:t>3.2.1</w:t>
      </w:r>
      <w:r>
        <w:rPr>
          <w:rStyle w:val="26"/>
          <w:rFonts w:hint="eastAsia" w:ascii="宋体" w:hAnsi="宋体" w:cs="宋体"/>
          <w:b/>
          <w:bCs/>
          <w:color w:val="auto"/>
        </w:rPr>
        <w:t>、机房装修及消防接地</w:t>
      </w:r>
      <w:r>
        <w:rPr>
          <w:color w:val="auto"/>
        </w:rPr>
        <w:tab/>
      </w:r>
      <w:r>
        <w:rPr>
          <w:color w:val="auto"/>
        </w:rPr>
        <w:fldChar w:fldCharType="begin"/>
      </w:r>
      <w:r>
        <w:rPr>
          <w:color w:val="auto"/>
        </w:rPr>
        <w:instrText xml:space="preserve"> PAGEREF _Toc82882773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"_Toc82882774" </w:instrText>
      </w:r>
      <w:r>
        <w:rPr>
          <w:color w:val="auto"/>
        </w:rPr>
        <w:fldChar w:fldCharType="separate"/>
      </w:r>
      <w:r>
        <w:rPr>
          <w:rStyle w:val="26"/>
          <w:rFonts w:ascii="宋体" w:hAnsi="宋体" w:cs="宋体"/>
          <w:b/>
          <w:bCs/>
          <w:color w:val="auto"/>
        </w:rPr>
        <w:t>3.2.2</w:t>
      </w:r>
      <w:r>
        <w:rPr>
          <w:rStyle w:val="26"/>
          <w:rFonts w:hint="eastAsia" w:ascii="宋体" w:hAnsi="宋体" w:cs="宋体"/>
          <w:b/>
          <w:bCs/>
          <w:color w:val="auto"/>
        </w:rPr>
        <w:t>、模块化机房</w:t>
      </w:r>
      <w:r>
        <w:rPr>
          <w:color w:val="auto"/>
        </w:rPr>
        <w:tab/>
      </w:r>
      <w:r>
        <w:rPr>
          <w:color w:val="auto"/>
        </w:rPr>
        <w:fldChar w:fldCharType="begin"/>
      </w:r>
      <w:r>
        <w:rPr>
          <w:color w:val="auto"/>
        </w:rPr>
        <w:instrText xml:space="preserve"> PAGEREF _Toc82882774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"_Toc82882775" </w:instrText>
      </w:r>
      <w:r>
        <w:rPr>
          <w:color w:val="auto"/>
        </w:rPr>
        <w:fldChar w:fldCharType="separate"/>
      </w:r>
      <w:r>
        <w:rPr>
          <w:rStyle w:val="26"/>
          <w:rFonts w:ascii="宋体" w:hAnsi="宋体" w:cs="宋体"/>
          <w:b/>
          <w:bCs/>
          <w:color w:val="auto"/>
        </w:rPr>
        <w:t>3.2.3</w:t>
      </w:r>
      <w:r>
        <w:rPr>
          <w:rStyle w:val="26"/>
          <w:rFonts w:hint="eastAsia" w:ascii="宋体" w:hAnsi="宋体" w:cs="宋体"/>
          <w:b/>
          <w:bCs/>
          <w:color w:val="auto"/>
        </w:rPr>
        <w:t>、核心交接系统</w:t>
      </w:r>
      <w:r>
        <w:rPr>
          <w:color w:val="auto"/>
        </w:rPr>
        <w:tab/>
      </w:r>
      <w:r>
        <w:rPr>
          <w:color w:val="auto"/>
        </w:rPr>
        <w:fldChar w:fldCharType="begin"/>
      </w:r>
      <w:r>
        <w:rPr>
          <w:color w:val="auto"/>
        </w:rPr>
        <w:instrText xml:space="preserve"> PAGEREF _Toc82882775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"_Toc82882776" </w:instrText>
      </w:r>
      <w:r>
        <w:rPr>
          <w:color w:val="auto"/>
        </w:rPr>
        <w:fldChar w:fldCharType="separate"/>
      </w:r>
      <w:r>
        <w:rPr>
          <w:rStyle w:val="26"/>
          <w:rFonts w:ascii="宋体" w:hAnsi="宋体" w:cs="宋体"/>
          <w:b/>
          <w:bCs/>
          <w:color w:val="auto"/>
        </w:rPr>
        <w:t>3.2.4</w:t>
      </w:r>
      <w:r>
        <w:rPr>
          <w:rStyle w:val="26"/>
          <w:rFonts w:hint="eastAsia" w:ascii="宋体" w:hAnsi="宋体" w:cs="宋体"/>
          <w:b/>
          <w:bCs/>
          <w:color w:val="auto"/>
        </w:rPr>
        <w:t>、超融合服务器</w:t>
      </w:r>
      <w:r>
        <w:rPr>
          <w:color w:val="auto"/>
        </w:rPr>
        <w:tab/>
      </w:r>
      <w:r>
        <w:rPr>
          <w:color w:val="auto"/>
        </w:rPr>
        <w:fldChar w:fldCharType="begin"/>
      </w:r>
      <w:r>
        <w:rPr>
          <w:color w:val="auto"/>
        </w:rPr>
        <w:instrText xml:space="preserve"> PAGEREF _Toc82882776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"_Toc82882777" </w:instrText>
      </w:r>
      <w:r>
        <w:rPr>
          <w:color w:val="auto"/>
        </w:rPr>
        <w:fldChar w:fldCharType="separate"/>
      </w:r>
      <w:r>
        <w:rPr>
          <w:rStyle w:val="26"/>
          <w:rFonts w:ascii="宋体" w:hAnsi="宋体" w:cs="宋体"/>
          <w:b/>
          <w:bCs/>
          <w:color w:val="auto"/>
        </w:rPr>
        <w:t>3.2.5</w:t>
      </w:r>
      <w:r>
        <w:rPr>
          <w:rStyle w:val="26"/>
          <w:rFonts w:hint="eastAsia" w:ascii="宋体" w:hAnsi="宋体" w:cs="宋体"/>
          <w:b/>
          <w:bCs/>
          <w:color w:val="auto"/>
        </w:rPr>
        <w:t>、容灾备份中心</w:t>
      </w:r>
      <w:r>
        <w:rPr>
          <w:color w:val="auto"/>
        </w:rPr>
        <w:tab/>
      </w:r>
      <w:r>
        <w:rPr>
          <w:color w:val="auto"/>
        </w:rPr>
        <w:fldChar w:fldCharType="begin"/>
      </w:r>
      <w:r>
        <w:rPr>
          <w:color w:val="auto"/>
        </w:rPr>
        <w:instrText xml:space="preserve"> PAGEREF _Toc82882777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"_Toc82882778" </w:instrText>
      </w:r>
      <w:r>
        <w:rPr>
          <w:color w:val="auto"/>
        </w:rPr>
        <w:fldChar w:fldCharType="separate"/>
      </w:r>
      <w:r>
        <w:rPr>
          <w:rStyle w:val="26"/>
          <w:rFonts w:ascii="宋体" w:hAnsi="宋体" w:cs="宋体"/>
          <w:b/>
          <w:bCs/>
          <w:color w:val="auto"/>
        </w:rPr>
        <w:t>3.2.6</w:t>
      </w:r>
      <w:r>
        <w:rPr>
          <w:rStyle w:val="26"/>
          <w:rFonts w:hint="eastAsia" w:ascii="宋体" w:hAnsi="宋体" w:cs="宋体"/>
          <w:b/>
          <w:bCs/>
          <w:color w:val="auto"/>
        </w:rPr>
        <w:t>、网络安全和等保测</w:t>
      </w:r>
      <w:bookmarkStart w:id="807" w:name="_Hlt83198699"/>
      <w:r>
        <w:rPr>
          <w:rStyle w:val="26"/>
          <w:rFonts w:hint="eastAsia" w:ascii="宋体" w:hAnsi="宋体" w:cs="宋体"/>
          <w:b/>
          <w:bCs/>
          <w:color w:val="auto"/>
        </w:rPr>
        <w:t>评</w:t>
      </w:r>
      <w:bookmarkEnd w:id="807"/>
      <w:r>
        <w:rPr>
          <w:color w:val="auto"/>
        </w:rPr>
        <w:tab/>
      </w:r>
      <w:r>
        <w:rPr>
          <w:color w:val="auto"/>
        </w:rPr>
        <w:fldChar w:fldCharType="begin"/>
      </w:r>
      <w:r>
        <w:rPr>
          <w:color w:val="auto"/>
        </w:rPr>
        <w:instrText xml:space="preserve"> PAGEREF _Toc82882778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"_Toc82882779" </w:instrText>
      </w:r>
      <w:r>
        <w:rPr>
          <w:color w:val="auto"/>
        </w:rPr>
        <w:fldChar w:fldCharType="separate"/>
      </w:r>
      <w:r>
        <w:rPr>
          <w:rStyle w:val="26"/>
          <w:rFonts w:ascii="宋体" w:hAnsi="宋体" w:cs="宋体"/>
          <w:b/>
          <w:bCs/>
          <w:color w:val="auto"/>
        </w:rPr>
        <w:t>3.3</w:t>
      </w:r>
      <w:r>
        <w:rPr>
          <w:rStyle w:val="26"/>
          <w:rFonts w:hint="eastAsia" w:ascii="宋体" w:hAnsi="宋体" w:cs="宋体"/>
          <w:b/>
          <w:bCs/>
          <w:color w:val="auto"/>
        </w:rPr>
        <w:t>、床头呼叫系统硬件设备清单</w:t>
      </w:r>
      <w:r>
        <w:rPr>
          <w:color w:val="auto"/>
        </w:rPr>
        <w:tab/>
      </w:r>
      <w:r>
        <w:rPr>
          <w:color w:val="auto"/>
        </w:rPr>
        <w:fldChar w:fldCharType="begin"/>
      </w:r>
      <w:r>
        <w:rPr>
          <w:color w:val="auto"/>
        </w:rPr>
        <w:instrText xml:space="preserve"> PAGEREF _Toc82882779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"_Toc82882780" </w:instrText>
      </w:r>
      <w:r>
        <w:rPr>
          <w:color w:val="auto"/>
        </w:rPr>
        <w:fldChar w:fldCharType="separate"/>
      </w:r>
      <w:r>
        <w:rPr>
          <w:rStyle w:val="26"/>
          <w:rFonts w:ascii="宋体" w:hAnsi="宋体" w:cs="宋体"/>
          <w:b/>
          <w:bCs/>
          <w:color w:val="auto"/>
        </w:rPr>
        <w:t>3.4</w:t>
      </w:r>
      <w:r>
        <w:rPr>
          <w:rStyle w:val="26"/>
          <w:rFonts w:hint="eastAsia" w:ascii="宋体" w:hAnsi="宋体" w:cs="宋体"/>
          <w:b/>
          <w:bCs/>
          <w:color w:val="auto"/>
        </w:rPr>
        <w:t>、</w:t>
      </w:r>
      <w:r>
        <w:rPr>
          <w:rStyle w:val="26"/>
          <w:rFonts w:ascii="宋体" w:hAnsi="宋体" w:cs="宋体"/>
          <w:b/>
          <w:bCs/>
          <w:color w:val="auto"/>
        </w:rPr>
        <w:t>7</w:t>
      </w:r>
      <w:r>
        <w:rPr>
          <w:rStyle w:val="26"/>
          <w:rFonts w:hint="eastAsia" w:ascii="宋体" w:hAnsi="宋体" w:cs="宋体"/>
          <w:b/>
          <w:bCs/>
          <w:color w:val="auto"/>
        </w:rPr>
        <w:t>楼办公区无线</w:t>
      </w:r>
      <w:r>
        <w:rPr>
          <w:rStyle w:val="26"/>
          <w:rFonts w:ascii="宋体" w:hAnsi="宋体" w:cs="宋体"/>
          <w:b/>
          <w:bCs/>
          <w:color w:val="auto"/>
        </w:rPr>
        <w:t>IP</w:t>
      </w:r>
      <w:r>
        <w:rPr>
          <w:rStyle w:val="26"/>
          <w:rFonts w:hint="eastAsia" w:ascii="宋体" w:hAnsi="宋体" w:cs="宋体"/>
          <w:b/>
          <w:bCs/>
          <w:color w:val="auto"/>
        </w:rPr>
        <w:t>、大屏会议音箱系统</w:t>
      </w:r>
      <w:r>
        <w:rPr>
          <w:color w:val="auto"/>
        </w:rPr>
        <w:tab/>
      </w:r>
      <w:r>
        <w:rPr>
          <w:color w:val="auto"/>
        </w:rPr>
        <w:fldChar w:fldCharType="begin"/>
      </w:r>
      <w:r>
        <w:rPr>
          <w:color w:val="auto"/>
        </w:rPr>
        <w:instrText xml:space="preserve"> PAGEREF _Toc82882780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"_Toc82882781" </w:instrText>
      </w:r>
      <w:r>
        <w:rPr>
          <w:color w:val="auto"/>
        </w:rPr>
        <w:fldChar w:fldCharType="separate"/>
      </w:r>
      <w:r>
        <w:rPr>
          <w:rStyle w:val="26"/>
          <w:rFonts w:ascii="宋体" w:hAnsi="宋体" w:cs="宋体"/>
          <w:b/>
          <w:bCs/>
          <w:color w:val="auto"/>
        </w:rPr>
        <w:t>3.5</w:t>
      </w:r>
      <w:r>
        <w:rPr>
          <w:rStyle w:val="26"/>
          <w:rFonts w:hint="eastAsia" w:ascii="宋体" w:hAnsi="宋体" w:cs="宋体"/>
          <w:b/>
          <w:bCs/>
          <w:color w:val="auto"/>
        </w:rPr>
        <w:t>、门禁系统（发热门诊楼、检验科、手术室、机房等）</w:t>
      </w:r>
      <w:r>
        <w:rPr>
          <w:color w:val="auto"/>
        </w:rPr>
        <w:tab/>
      </w:r>
      <w:r>
        <w:rPr>
          <w:color w:val="auto"/>
        </w:rPr>
        <w:fldChar w:fldCharType="begin"/>
      </w:r>
      <w:r>
        <w:rPr>
          <w:color w:val="auto"/>
        </w:rPr>
        <w:instrText xml:space="preserve"> PAGEREF _Toc82882781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"_Toc82882782" </w:instrText>
      </w:r>
      <w:r>
        <w:rPr>
          <w:color w:val="auto"/>
        </w:rPr>
        <w:fldChar w:fldCharType="separate"/>
      </w:r>
      <w:r>
        <w:rPr>
          <w:rStyle w:val="26"/>
          <w:rFonts w:ascii="宋体" w:hAnsi="宋体" w:cs="宋体"/>
          <w:b/>
          <w:bCs/>
          <w:color w:val="auto"/>
        </w:rPr>
        <w:t>3.6</w:t>
      </w:r>
      <w:r>
        <w:rPr>
          <w:rStyle w:val="26"/>
          <w:rFonts w:hint="eastAsia" w:ascii="宋体" w:hAnsi="宋体" w:cs="宋体"/>
          <w:b/>
          <w:bCs/>
          <w:color w:val="auto"/>
        </w:rPr>
        <w:t>、视频网络清单</w:t>
      </w:r>
      <w:r>
        <w:rPr>
          <w:color w:val="auto"/>
        </w:rPr>
        <w:tab/>
      </w:r>
      <w:r>
        <w:rPr>
          <w:color w:val="auto"/>
        </w:rPr>
        <w:fldChar w:fldCharType="begin"/>
      </w:r>
      <w:r>
        <w:rPr>
          <w:color w:val="auto"/>
        </w:rPr>
        <w:instrText xml:space="preserve"> PAGEREF _Toc82882782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"_Toc82882783" </w:instrText>
      </w:r>
      <w:r>
        <w:rPr>
          <w:color w:val="auto"/>
        </w:rPr>
        <w:fldChar w:fldCharType="separate"/>
      </w:r>
      <w:r>
        <w:rPr>
          <w:rStyle w:val="26"/>
          <w:rFonts w:ascii="宋体" w:hAnsi="宋体" w:cs="宋体"/>
          <w:b/>
          <w:bCs/>
          <w:color w:val="auto"/>
        </w:rPr>
        <w:t>3.6.1</w:t>
      </w:r>
      <w:r>
        <w:rPr>
          <w:rStyle w:val="26"/>
          <w:rFonts w:hint="eastAsia" w:ascii="宋体" w:hAnsi="宋体" w:cs="宋体"/>
          <w:b/>
          <w:bCs/>
          <w:color w:val="auto"/>
        </w:rPr>
        <w:t>、视频网络室装修</w:t>
      </w:r>
      <w:r>
        <w:rPr>
          <w:color w:val="auto"/>
        </w:rPr>
        <w:tab/>
      </w:r>
      <w:r>
        <w:rPr>
          <w:color w:val="auto"/>
        </w:rPr>
        <w:fldChar w:fldCharType="begin"/>
      </w:r>
      <w:r>
        <w:rPr>
          <w:color w:val="auto"/>
        </w:rPr>
        <w:instrText xml:space="preserve"> PAGEREF _Toc82882783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"_Toc82882784" </w:instrText>
      </w:r>
      <w:r>
        <w:rPr>
          <w:color w:val="auto"/>
        </w:rPr>
        <w:fldChar w:fldCharType="separate"/>
      </w:r>
      <w:r>
        <w:rPr>
          <w:rStyle w:val="26"/>
          <w:rFonts w:ascii="宋体" w:hAnsi="宋体" w:cs="宋体"/>
          <w:b/>
          <w:bCs/>
          <w:color w:val="auto"/>
        </w:rPr>
        <w:t>3.6.2</w:t>
      </w:r>
      <w:r>
        <w:rPr>
          <w:rStyle w:val="26"/>
          <w:rFonts w:hint="eastAsia" w:ascii="宋体" w:hAnsi="宋体" w:cs="宋体"/>
          <w:b/>
          <w:bCs/>
          <w:color w:val="auto"/>
        </w:rPr>
        <w:t>、视频网络系统</w:t>
      </w:r>
      <w:r>
        <w:rPr>
          <w:color w:val="auto"/>
        </w:rPr>
        <w:tab/>
      </w:r>
      <w:r>
        <w:rPr>
          <w:color w:val="auto"/>
        </w:rPr>
        <w:fldChar w:fldCharType="begin"/>
      </w:r>
      <w:r>
        <w:rPr>
          <w:color w:val="auto"/>
        </w:rPr>
        <w:instrText xml:space="preserve"> PAGEREF _Toc82882784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"_Toc82882785" </w:instrText>
      </w:r>
      <w:r>
        <w:rPr>
          <w:color w:val="auto"/>
        </w:rPr>
        <w:fldChar w:fldCharType="separate"/>
      </w:r>
      <w:r>
        <w:rPr>
          <w:rStyle w:val="26"/>
          <w:rFonts w:ascii="宋体" w:hAnsi="宋体" w:cs="宋体"/>
          <w:b/>
          <w:bCs/>
          <w:color w:val="auto"/>
        </w:rPr>
        <w:t>3.7</w:t>
      </w:r>
      <w:r>
        <w:rPr>
          <w:rStyle w:val="26"/>
          <w:rFonts w:hint="eastAsia" w:ascii="宋体" w:hAnsi="宋体" w:cs="宋体"/>
          <w:b/>
          <w:bCs/>
          <w:color w:val="auto"/>
        </w:rPr>
        <w:t>、科室配套硬件清单</w:t>
      </w:r>
      <w:r>
        <w:rPr>
          <w:color w:val="auto"/>
        </w:rPr>
        <w:tab/>
      </w:r>
      <w:r>
        <w:rPr>
          <w:color w:val="auto"/>
        </w:rPr>
        <w:fldChar w:fldCharType="begin"/>
      </w:r>
      <w:r>
        <w:rPr>
          <w:color w:val="auto"/>
        </w:rPr>
        <w:instrText xml:space="preserve"> PAGEREF _Toc82882785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"_Toc82882786" </w:instrText>
      </w:r>
      <w:r>
        <w:rPr>
          <w:color w:val="auto"/>
        </w:rPr>
        <w:fldChar w:fldCharType="separate"/>
      </w:r>
      <w:r>
        <w:rPr>
          <w:rStyle w:val="26"/>
          <w:rFonts w:ascii="宋体" w:hAnsi="宋体" w:cs="宋体"/>
          <w:b/>
          <w:bCs/>
          <w:color w:val="auto"/>
        </w:rPr>
        <w:t>3.8</w:t>
      </w:r>
      <w:r>
        <w:rPr>
          <w:rStyle w:val="26"/>
          <w:rFonts w:hint="eastAsia" w:ascii="宋体" w:hAnsi="宋体" w:cs="宋体"/>
          <w:b/>
          <w:bCs/>
          <w:color w:val="auto"/>
        </w:rPr>
        <w:t>、软件模块建设清单</w:t>
      </w:r>
      <w:r>
        <w:rPr>
          <w:color w:val="auto"/>
        </w:rPr>
        <w:tab/>
      </w:r>
      <w:r>
        <w:rPr>
          <w:color w:val="auto"/>
        </w:rPr>
        <w:fldChar w:fldCharType="begin"/>
      </w:r>
      <w:r>
        <w:rPr>
          <w:color w:val="auto"/>
        </w:rPr>
        <w:instrText xml:space="preserve"> PAGEREF _Toc82882786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296"/>
        </w:tabs>
        <w:spacing w:line="360" w:lineRule="auto"/>
        <w:rPr>
          <w:color w:val="auto"/>
        </w:rPr>
      </w:pPr>
      <w:r>
        <w:rPr>
          <w:color w:val="auto"/>
        </w:rPr>
        <w:fldChar w:fldCharType="begin"/>
      </w:r>
      <w:r>
        <w:rPr>
          <w:color w:val="auto"/>
        </w:rPr>
        <w:instrText xml:space="preserve"> HYPERLINK \l "_Toc82882787" </w:instrText>
      </w:r>
      <w:r>
        <w:rPr>
          <w:color w:val="auto"/>
        </w:rPr>
        <w:fldChar w:fldCharType="separate"/>
      </w:r>
      <w:r>
        <w:rPr>
          <w:rStyle w:val="26"/>
          <w:rFonts w:ascii="宋体" w:hAnsi="宋体" w:cs="宋体"/>
          <w:b/>
          <w:bCs/>
          <w:color w:val="auto"/>
        </w:rPr>
        <w:t>4</w:t>
      </w:r>
      <w:r>
        <w:rPr>
          <w:rStyle w:val="26"/>
          <w:rFonts w:hint="eastAsia" w:ascii="宋体" w:hAnsi="宋体" w:cs="宋体"/>
          <w:b/>
          <w:bCs/>
          <w:color w:val="auto"/>
        </w:rPr>
        <w:t>、项目技术需求</w:t>
      </w:r>
      <w:r>
        <w:rPr>
          <w:color w:val="auto"/>
        </w:rPr>
        <w:tab/>
      </w:r>
      <w:r>
        <w:rPr>
          <w:color w:val="auto"/>
        </w:rPr>
        <w:fldChar w:fldCharType="begin"/>
      </w:r>
      <w:r>
        <w:rPr>
          <w:color w:val="auto"/>
        </w:rPr>
        <w:instrText xml:space="preserve"> PAGEREF _Toc82882787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"_Toc82882788" </w:instrText>
      </w:r>
      <w:r>
        <w:rPr>
          <w:color w:val="auto"/>
        </w:rPr>
        <w:fldChar w:fldCharType="separate"/>
      </w:r>
      <w:r>
        <w:rPr>
          <w:rStyle w:val="26"/>
          <w:rFonts w:ascii="宋体" w:hAnsi="宋体" w:cs="宋体"/>
          <w:b/>
          <w:bCs/>
          <w:color w:val="auto"/>
        </w:rPr>
        <w:t>4.1</w:t>
      </w:r>
      <w:r>
        <w:rPr>
          <w:rStyle w:val="26"/>
          <w:rFonts w:hint="eastAsia" w:ascii="宋体" w:hAnsi="宋体" w:cs="宋体"/>
          <w:b/>
          <w:bCs/>
          <w:color w:val="auto"/>
        </w:rPr>
        <w:t>、综合布线清单</w:t>
      </w:r>
      <w:r>
        <w:rPr>
          <w:color w:val="auto"/>
        </w:rPr>
        <w:tab/>
      </w:r>
      <w:r>
        <w:rPr>
          <w:color w:val="auto"/>
        </w:rPr>
        <w:fldChar w:fldCharType="begin"/>
      </w:r>
      <w:r>
        <w:rPr>
          <w:color w:val="auto"/>
        </w:rPr>
        <w:instrText xml:space="preserve"> PAGEREF _Toc82882788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"_Toc82882789" </w:instrText>
      </w:r>
      <w:r>
        <w:rPr>
          <w:color w:val="auto"/>
        </w:rPr>
        <w:fldChar w:fldCharType="separate"/>
      </w:r>
      <w:r>
        <w:rPr>
          <w:rStyle w:val="26"/>
          <w:rFonts w:ascii="宋体" w:hAnsi="宋体" w:cs="宋体"/>
          <w:b/>
          <w:bCs/>
          <w:color w:val="auto"/>
        </w:rPr>
        <w:t>4.2</w:t>
      </w:r>
      <w:r>
        <w:rPr>
          <w:rStyle w:val="26"/>
          <w:rFonts w:hint="eastAsia" w:ascii="宋体" w:hAnsi="宋体" w:cs="宋体"/>
          <w:b/>
          <w:bCs/>
          <w:color w:val="auto"/>
        </w:rPr>
        <w:t>、中心机房建设</w:t>
      </w:r>
      <w:r>
        <w:rPr>
          <w:color w:val="auto"/>
        </w:rPr>
        <w:tab/>
      </w:r>
      <w:r>
        <w:rPr>
          <w:color w:val="auto"/>
        </w:rPr>
        <w:fldChar w:fldCharType="begin"/>
      </w:r>
      <w:r>
        <w:rPr>
          <w:color w:val="auto"/>
        </w:rPr>
        <w:instrText xml:space="preserve"> PAGEREF _Toc82882789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"_Toc82882790" </w:instrText>
      </w:r>
      <w:r>
        <w:rPr>
          <w:color w:val="auto"/>
        </w:rPr>
        <w:fldChar w:fldCharType="separate"/>
      </w:r>
      <w:r>
        <w:rPr>
          <w:rStyle w:val="26"/>
          <w:rFonts w:ascii="宋体" w:hAnsi="宋体" w:cs="宋体"/>
          <w:b/>
          <w:bCs/>
          <w:color w:val="auto"/>
        </w:rPr>
        <w:t>4.2.1</w:t>
      </w:r>
      <w:r>
        <w:rPr>
          <w:rStyle w:val="26"/>
          <w:rFonts w:hint="eastAsia" w:ascii="宋体" w:hAnsi="宋体" w:cs="宋体"/>
          <w:b/>
          <w:bCs/>
          <w:color w:val="auto"/>
        </w:rPr>
        <w:t>、机房装修及消防接地</w:t>
      </w:r>
      <w:r>
        <w:rPr>
          <w:color w:val="auto"/>
        </w:rPr>
        <w:tab/>
      </w:r>
      <w:r>
        <w:rPr>
          <w:color w:val="auto"/>
        </w:rPr>
        <w:fldChar w:fldCharType="begin"/>
      </w:r>
      <w:r>
        <w:rPr>
          <w:color w:val="auto"/>
        </w:rPr>
        <w:instrText xml:space="preserve"> PAGEREF _Toc82882790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"_Toc82882791" </w:instrText>
      </w:r>
      <w:r>
        <w:rPr>
          <w:color w:val="auto"/>
        </w:rPr>
        <w:fldChar w:fldCharType="separate"/>
      </w:r>
      <w:r>
        <w:rPr>
          <w:rStyle w:val="26"/>
          <w:b/>
          <w:bCs/>
          <w:color w:val="auto"/>
        </w:rPr>
        <w:t>4.2.2</w:t>
      </w:r>
      <w:r>
        <w:rPr>
          <w:rStyle w:val="26"/>
          <w:rFonts w:hint="eastAsia" w:hAnsi="宋体" w:cs="宋体"/>
          <w:b/>
          <w:bCs/>
          <w:color w:val="auto"/>
        </w:rPr>
        <w:t>、模块化机房</w:t>
      </w:r>
      <w:r>
        <w:rPr>
          <w:color w:val="auto"/>
        </w:rPr>
        <w:tab/>
      </w:r>
      <w:r>
        <w:rPr>
          <w:color w:val="auto"/>
        </w:rPr>
        <w:fldChar w:fldCharType="begin"/>
      </w:r>
      <w:r>
        <w:rPr>
          <w:color w:val="auto"/>
        </w:rPr>
        <w:instrText xml:space="preserve"> PAGEREF _Toc82882791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"_Toc82882792" </w:instrText>
      </w:r>
      <w:r>
        <w:rPr>
          <w:color w:val="auto"/>
        </w:rPr>
        <w:fldChar w:fldCharType="separate"/>
      </w:r>
      <w:r>
        <w:rPr>
          <w:rStyle w:val="26"/>
          <w:rFonts w:ascii="宋体" w:hAnsi="宋体" w:cs="宋体"/>
          <w:b/>
          <w:bCs/>
          <w:color w:val="auto"/>
        </w:rPr>
        <w:t>4.2.3</w:t>
      </w:r>
      <w:r>
        <w:rPr>
          <w:rStyle w:val="26"/>
          <w:rFonts w:hint="eastAsia" w:ascii="宋体" w:hAnsi="宋体" w:cs="宋体"/>
          <w:b/>
          <w:bCs/>
          <w:color w:val="auto"/>
        </w:rPr>
        <w:t>、核心交接系统</w:t>
      </w:r>
      <w:r>
        <w:rPr>
          <w:color w:val="auto"/>
        </w:rPr>
        <w:tab/>
      </w:r>
      <w:r>
        <w:rPr>
          <w:color w:val="auto"/>
        </w:rPr>
        <w:fldChar w:fldCharType="begin"/>
      </w:r>
      <w:r>
        <w:rPr>
          <w:color w:val="auto"/>
        </w:rPr>
        <w:instrText xml:space="preserve"> PAGEREF _Toc82882792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"_Toc82882793" </w:instrText>
      </w:r>
      <w:r>
        <w:rPr>
          <w:color w:val="auto"/>
        </w:rPr>
        <w:fldChar w:fldCharType="separate"/>
      </w:r>
      <w:r>
        <w:rPr>
          <w:rStyle w:val="26"/>
          <w:rFonts w:ascii="宋体" w:hAnsi="宋体" w:cs="宋体"/>
          <w:b/>
          <w:bCs/>
          <w:color w:val="auto"/>
        </w:rPr>
        <w:t>4.2.4</w:t>
      </w:r>
      <w:r>
        <w:rPr>
          <w:rStyle w:val="26"/>
          <w:rFonts w:hint="eastAsia" w:ascii="宋体" w:hAnsi="宋体" w:cs="宋体"/>
          <w:b/>
          <w:bCs/>
          <w:color w:val="auto"/>
        </w:rPr>
        <w:t>、超融合服务器</w:t>
      </w:r>
      <w:r>
        <w:rPr>
          <w:color w:val="auto"/>
        </w:rPr>
        <w:tab/>
      </w:r>
      <w:r>
        <w:rPr>
          <w:color w:val="auto"/>
        </w:rPr>
        <w:fldChar w:fldCharType="begin"/>
      </w:r>
      <w:r>
        <w:rPr>
          <w:color w:val="auto"/>
        </w:rPr>
        <w:instrText xml:space="preserve"> PAGEREF _Toc82882793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"_Toc82882794" </w:instrText>
      </w:r>
      <w:r>
        <w:rPr>
          <w:color w:val="auto"/>
        </w:rPr>
        <w:fldChar w:fldCharType="separate"/>
      </w:r>
      <w:r>
        <w:rPr>
          <w:rStyle w:val="26"/>
          <w:rFonts w:ascii="宋体" w:hAnsi="宋体" w:cs="宋体"/>
          <w:b/>
          <w:bCs/>
          <w:color w:val="auto"/>
        </w:rPr>
        <w:t>4.2.5</w:t>
      </w:r>
      <w:r>
        <w:rPr>
          <w:rStyle w:val="26"/>
          <w:rFonts w:hint="eastAsia" w:ascii="宋体" w:hAnsi="宋体" w:cs="宋体"/>
          <w:b/>
          <w:bCs/>
          <w:color w:val="auto"/>
        </w:rPr>
        <w:t>、容灾备份中心</w:t>
      </w:r>
      <w:r>
        <w:rPr>
          <w:color w:val="auto"/>
        </w:rPr>
        <w:tab/>
      </w:r>
      <w:r>
        <w:rPr>
          <w:color w:val="auto"/>
        </w:rPr>
        <w:fldChar w:fldCharType="begin"/>
      </w:r>
      <w:r>
        <w:rPr>
          <w:color w:val="auto"/>
        </w:rPr>
        <w:instrText xml:space="preserve"> PAGEREF _Toc82882794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296"/>
        </w:tabs>
        <w:spacing w:line="360" w:lineRule="auto"/>
        <w:ind w:left="31680"/>
        <w:rPr>
          <w:color w:val="auto"/>
        </w:rPr>
      </w:pPr>
      <w:r>
        <w:rPr>
          <w:color w:val="auto"/>
        </w:rPr>
        <w:fldChar w:fldCharType="begin"/>
      </w:r>
      <w:r>
        <w:rPr>
          <w:color w:val="auto"/>
        </w:rPr>
        <w:instrText xml:space="preserve"> HYPERLINK \l "_Toc82882795" </w:instrText>
      </w:r>
      <w:r>
        <w:rPr>
          <w:color w:val="auto"/>
        </w:rPr>
        <w:fldChar w:fldCharType="separate"/>
      </w:r>
      <w:r>
        <w:rPr>
          <w:rStyle w:val="26"/>
          <w:rFonts w:ascii="宋体" w:hAnsi="宋体" w:cs="宋体"/>
          <w:b/>
          <w:bCs/>
          <w:color w:val="auto"/>
        </w:rPr>
        <w:t>4.2.6</w:t>
      </w:r>
      <w:r>
        <w:rPr>
          <w:rStyle w:val="26"/>
          <w:rFonts w:hint="eastAsia" w:ascii="宋体" w:hAnsi="宋体" w:cs="宋体"/>
          <w:b/>
          <w:bCs/>
          <w:color w:val="auto"/>
        </w:rPr>
        <w:t>、网络安全和等保测评</w:t>
      </w:r>
      <w:r>
        <w:rPr>
          <w:color w:val="auto"/>
        </w:rPr>
        <w:tab/>
      </w:r>
      <w:r>
        <w:rPr>
          <w:color w:val="auto"/>
        </w:rPr>
        <w:fldChar w:fldCharType="begin"/>
      </w:r>
      <w:r>
        <w:rPr>
          <w:color w:val="auto"/>
        </w:rPr>
        <w:instrText xml:space="preserve"> PAGEREF _Toc82882795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"_Toc82882796" </w:instrText>
      </w:r>
      <w:r>
        <w:rPr>
          <w:color w:val="auto"/>
        </w:rPr>
        <w:fldChar w:fldCharType="separate"/>
      </w:r>
      <w:r>
        <w:rPr>
          <w:rStyle w:val="26"/>
          <w:rFonts w:ascii="宋体" w:hAnsi="宋体" w:cs="宋体"/>
          <w:b/>
          <w:bCs/>
          <w:color w:val="auto"/>
        </w:rPr>
        <w:t>4.3</w:t>
      </w:r>
      <w:r>
        <w:rPr>
          <w:rStyle w:val="26"/>
          <w:rFonts w:hint="eastAsia" w:ascii="宋体" w:hAnsi="宋体" w:cs="宋体"/>
          <w:b/>
          <w:bCs/>
          <w:color w:val="auto"/>
        </w:rPr>
        <w:t>、床头呼叫系统硬件设备清单</w:t>
      </w:r>
      <w:r>
        <w:rPr>
          <w:color w:val="auto"/>
        </w:rPr>
        <w:tab/>
      </w:r>
      <w:r>
        <w:rPr>
          <w:color w:val="auto"/>
        </w:rPr>
        <w:fldChar w:fldCharType="begin"/>
      </w:r>
      <w:r>
        <w:rPr>
          <w:color w:val="auto"/>
        </w:rPr>
        <w:instrText xml:space="preserve"> PAGEREF _Toc82882796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"_Toc82882797" </w:instrText>
      </w:r>
      <w:r>
        <w:rPr>
          <w:color w:val="auto"/>
        </w:rPr>
        <w:fldChar w:fldCharType="separate"/>
      </w:r>
      <w:r>
        <w:rPr>
          <w:rStyle w:val="26"/>
          <w:rFonts w:ascii="宋体" w:hAnsi="宋体" w:cs="宋体"/>
          <w:b/>
          <w:bCs/>
          <w:color w:val="auto"/>
        </w:rPr>
        <w:t>4.4</w:t>
      </w:r>
      <w:r>
        <w:rPr>
          <w:rStyle w:val="26"/>
          <w:rFonts w:hint="eastAsia" w:ascii="宋体" w:hAnsi="宋体" w:cs="宋体"/>
          <w:b/>
          <w:bCs/>
          <w:color w:val="auto"/>
        </w:rPr>
        <w:t>、</w:t>
      </w:r>
      <w:r>
        <w:rPr>
          <w:rStyle w:val="26"/>
          <w:rFonts w:ascii="宋体" w:hAnsi="宋体" w:cs="宋体"/>
          <w:b/>
          <w:bCs/>
          <w:color w:val="auto"/>
        </w:rPr>
        <w:t>7</w:t>
      </w:r>
      <w:r>
        <w:rPr>
          <w:rStyle w:val="26"/>
          <w:rFonts w:hint="eastAsia" w:ascii="宋体" w:hAnsi="宋体" w:cs="宋体"/>
          <w:b/>
          <w:bCs/>
          <w:color w:val="auto"/>
        </w:rPr>
        <w:t>楼办公区无线</w:t>
      </w:r>
      <w:r>
        <w:rPr>
          <w:rStyle w:val="26"/>
          <w:rFonts w:ascii="宋体" w:hAnsi="宋体" w:cs="宋体"/>
          <w:b/>
          <w:bCs/>
          <w:color w:val="auto"/>
        </w:rPr>
        <w:t>IP</w:t>
      </w:r>
      <w:r>
        <w:rPr>
          <w:rStyle w:val="26"/>
          <w:rFonts w:hint="eastAsia" w:ascii="宋体" w:hAnsi="宋体" w:cs="宋体"/>
          <w:b/>
          <w:bCs/>
          <w:color w:val="auto"/>
        </w:rPr>
        <w:t>、大屏会议音箱系统</w:t>
      </w:r>
      <w:r>
        <w:rPr>
          <w:color w:val="auto"/>
        </w:rPr>
        <w:tab/>
      </w:r>
      <w:r>
        <w:rPr>
          <w:color w:val="auto"/>
        </w:rPr>
        <w:fldChar w:fldCharType="begin"/>
      </w:r>
      <w:r>
        <w:rPr>
          <w:color w:val="auto"/>
        </w:rPr>
        <w:instrText xml:space="preserve"> PAGEREF _Toc82882797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"_Toc82882798" </w:instrText>
      </w:r>
      <w:r>
        <w:rPr>
          <w:color w:val="auto"/>
        </w:rPr>
        <w:fldChar w:fldCharType="separate"/>
      </w:r>
      <w:r>
        <w:rPr>
          <w:rStyle w:val="26"/>
          <w:rFonts w:ascii="宋体" w:hAnsi="宋体" w:cs="宋体"/>
          <w:b/>
          <w:bCs/>
          <w:color w:val="auto"/>
        </w:rPr>
        <w:t>4.5</w:t>
      </w:r>
      <w:r>
        <w:rPr>
          <w:rStyle w:val="26"/>
          <w:rFonts w:hint="eastAsia" w:ascii="宋体" w:hAnsi="宋体" w:cs="宋体"/>
          <w:b/>
          <w:bCs/>
          <w:color w:val="auto"/>
        </w:rPr>
        <w:t>、门禁系统（发热门诊楼、检验科、手术室、机房等）</w:t>
      </w:r>
      <w:r>
        <w:rPr>
          <w:color w:val="auto"/>
        </w:rPr>
        <w:tab/>
      </w:r>
      <w:r>
        <w:rPr>
          <w:color w:val="auto"/>
        </w:rPr>
        <w:fldChar w:fldCharType="begin"/>
      </w:r>
      <w:r>
        <w:rPr>
          <w:color w:val="auto"/>
        </w:rPr>
        <w:instrText xml:space="preserve"> PAGEREF _Toc82882798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"_Toc82882799" </w:instrText>
      </w:r>
      <w:r>
        <w:rPr>
          <w:color w:val="auto"/>
        </w:rPr>
        <w:fldChar w:fldCharType="separate"/>
      </w:r>
      <w:r>
        <w:rPr>
          <w:rStyle w:val="26"/>
          <w:rFonts w:ascii="宋体" w:hAnsi="宋体" w:cs="宋体"/>
          <w:b/>
          <w:bCs/>
          <w:color w:val="auto"/>
        </w:rPr>
        <w:t>4.6</w:t>
      </w:r>
      <w:r>
        <w:rPr>
          <w:rStyle w:val="26"/>
          <w:rFonts w:hint="eastAsia" w:ascii="宋体" w:hAnsi="宋体" w:cs="宋体"/>
          <w:b/>
          <w:bCs/>
          <w:color w:val="auto"/>
        </w:rPr>
        <w:t>、视频网络清单</w:t>
      </w:r>
      <w:r>
        <w:rPr>
          <w:color w:val="auto"/>
        </w:rPr>
        <w:tab/>
      </w:r>
      <w:r>
        <w:rPr>
          <w:color w:val="auto"/>
        </w:rPr>
        <w:fldChar w:fldCharType="begin"/>
      </w:r>
      <w:r>
        <w:rPr>
          <w:color w:val="auto"/>
        </w:rPr>
        <w:instrText xml:space="preserve"> PAGEREF _Toc82882799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"_Toc82882800" </w:instrText>
      </w:r>
      <w:r>
        <w:rPr>
          <w:color w:val="auto"/>
        </w:rPr>
        <w:fldChar w:fldCharType="separate"/>
      </w:r>
      <w:r>
        <w:rPr>
          <w:rStyle w:val="26"/>
          <w:rFonts w:ascii="宋体" w:hAnsi="宋体" w:cs="宋体"/>
          <w:b/>
          <w:bCs/>
          <w:color w:val="auto"/>
        </w:rPr>
        <w:t>4.7</w:t>
      </w:r>
      <w:r>
        <w:rPr>
          <w:rStyle w:val="26"/>
          <w:rFonts w:hint="eastAsia" w:ascii="宋体" w:hAnsi="宋体" w:cs="宋体"/>
          <w:b/>
          <w:bCs/>
          <w:color w:val="auto"/>
        </w:rPr>
        <w:t>、科室配套硬件清单</w:t>
      </w:r>
      <w:r>
        <w:rPr>
          <w:color w:val="auto"/>
        </w:rPr>
        <w:tab/>
      </w:r>
      <w:r>
        <w:rPr>
          <w:color w:val="auto"/>
        </w:rPr>
        <w:fldChar w:fldCharType="begin"/>
      </w:r>
      <w:r>
        <w:rPr>
          <w:color w:val="auto"/>
        </w:rPr>
        <w:instrText xml:space="preserve"> PAGEREF _Toc82882800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"_Toc82882801" </w:instrText>
      </w:r>
      <w:r>
        <w:rPr>
          <w:color w:val="auto"/>
        </w:rPr>
        <w:fldChar w:fldCharType="separate"/>
      </w:r>
      <w:r>
        <w:rPr>
          <w:rStyle w:val="26"/>
          <w:rFonts w:ascii="宋体" w:hAnsi="宋体" w:cs="宋体"/>
          <w:b/>
          <w:bCs/>
          <w:color w:val="auto"/>
        </w:rPr>
        <w:t>4.8</w:t>
      </w:r>
      <w:r>
        <w:rPr>
          <w:rStyle w:val="26"/>
          <w:rFonts w:hint="eastAsia" w:ascii="宋体" w:hAnsi="宋体" w:cs="宋体"/>
          <w:b/>
          <w:bCs/>
          <w:color w:val="auto"/>
        </w:rPr>
        <w:t>、临床业务管理</w:t>
      </w:r>
      <w:r>
        <w:rPr>
          <w:color w:val="auto"/>
        </w:rPr>
        <w:tab/>
      </w:r>
      <w:r>
        <w:rPr>
          <w:color w:val="auto"/>
        </w:rPr>
        <w:fldChar w:fldCharType="begin"/>
      </w:r>
      <w:r>
        <w:rPr>
          <w:color w:val="auto"/>
        </w:rPr>
        <w:instrText xml:space="preserve"> PAGEREF _Toc82882801 \h </w:instrText>
      </w:r>
      <w:r>
        <w:rPr>
          <w:color w:val="auto"/>
        </w:rPr>
        <w:fldChar w:fldCharType="separate"/>
      </w:r>
      <w:r>
        <w:rPr>
          <w:color w:val="auto"/>
        </w:rPr>
        <w:t>2</w:t>
      </w:r>
      <w:r>
        <w:rPr>
          <w:color w:val="auto"/>
        </w:rPr>
        <w:fldChar w:fldCharType="end"/>
      </w:r>
      <w:r>
        <w:rPr>
          <w:color w:val="auto"/>
        </w:rPr>
        <w:fldChar w:fldCharType="end"/>
      </w:r>
    </w:p>
    <w:p>
      <w:pPr>
        <w:pStyle w:val="17"/>
        <w:tabs>
          <w:tab w:val="left" w:pos="1260"/>
          <w:tab w:val="right" w:leader="dot" w:pos="8296"/>
        </w:tabs>
        <w:spacing w:line="360" w:lineRule="auto"/>
        <w:ind w:left="31680"/>
        <w:rPr>
          <w:color w:val="auto"/>
        </w:rPr>
      </w:pPr>
      <w:r>
        <w:rPr>
          <w:color w:val="auto"/>
        </w:rPr>
        <w:fldChar w:fldCharType="begin"/>
      </w:r>
      <w:r>
        <w:rPr>
          <w:color w:val="auto"/>
        </w:rPr>
        <w:instrText xml:space="preserve"> HYPERLINK \l "_Toc82882802" </w:instrText>
      </w:r>
      <w:r>
        <w:rPr>
          <w:color w:val="auto"/>
        </w:rPr>
        <w:fldChar w:fldCharType="separate"/>
      </w:r>
      <w:r>
        <w:rPr>
          <w:rStyle w:val="26"/>
          <w:rFonts w:ascii="宋体" w:hAnsi="宋体" w:cs="宋体"/>
          <w:b/>
          <w:bCs/>
          <w:color w:val="auto"/>
        </w:rPr>
        <w:t>4.9</w:t>
      </w:r>
      <w:r>
        <w:rPr>
          <w:rStyle w:val="26"/>
          <w:rFonts w:hint="eastAsia" w:ascii="宋体" w:hAnsi="宋体" w:cs="宋体"/>
          <w:b/>
          <w:bCs/>
          <w:color w:val="auto"/>
        </w:rPr>
        <w:t>、药学信息系统</w:t>
      </w:r>
      <w:r>
        <w:rPr>
          <w:color w:val="auto"/>
        </w:rPr>
        <w:tab/>
      </w:r>
      <w:r>
        <w:rPr>
          <w:color w:val="auto"/>
        </w:rPr>
        <w:fldChar w:fldCharType="begin"/>
      </w:r>
      <w:r>
        <w:rPr>
          <w:color w:val="auto"/>
        </w:rPr>
        <w:instrText xml:space="preserve"> PAGEREF _Toc82882802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"_Toc82882803" </w:instrText>
      </w:r>
      <w:r>
        <w:rPr>
          <w:color w:val="auto"/>
        </w:rPr>
        <w:fldChar w:fldCharType="separate"/>
      </w:r>
      <w:r>
        <w:rPr>
          <w:rStyle w:val="26"/>
          <w:rFonts w:ascii="宋体" w:hAnsi="宋体" w:cs="宋体"/>
          <w:b/>
          <w:bCs/>
          <w:color w:val="auto"/>
        </w:rPr>
        <w:t>4.10</w:t>
      </w:r>
      <w:r>
        <w:rPr>
          <w:rStyle w:val="26"/>
          <w:rFonts w:hint="eastAsia" w:ascii="宋体" w:hAnsi="宋体" w:cs="宋体"/>
          <w:b/>
          <w:bCs/>
          <w:color w:val="auto"/>
        </w:rPr>
        <w:t>、电子病历</w:t>
      </w:r>
      <w:r>
        <w:rPr>
          <w:color w:val="auto"/>
        </w:rPr>
        <w:tab/>
      </w:r>
      <w:r>
        <w:rPr>
          <w:color w:val="auto"/>
        </w:rPr>
        <w:fldChar w:fldCharType="begin"/>
      </w:r>
      <w:r>
        <w:rPr>
          <w:color w:val="auto"/>
        </w:rPr>
        <w:instrText xml:space="preserve"> PAGEREF _Toc82882803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"_Toc82882804" </w:instrText>
      </w:r>
      <w:r>
        <w:rPr>
          <w:color w:val="auto"/>
        </w:rPr>
        <w:fldChar w:fldCharType="separate"/>
      </w:r>
      <w:r>
        <w:rPr>
          <w:rStyle w:val="26"/>
          <w:rFonts w:ascii="宋体" w:hAnsi="宋体" w:cs="宋体"/>
          <w:b/>
          <w:bCs/>
          <w:color w:val="auto"/>
        </w:rPr>
        <w:t>4.11</w:t>
      </w:r>
      <w:r>
        <w:rPr>
          <w:rStyle w:val="26"/>
          <w:rFonts w:hint="eastAsia" w:ascii="宋体" w:hAnsi="宋体" w:cs="宋体"/>
          <w:b/>
          <w:bCs/>
          <w:color w:val="auto"/>
        </w:rPr>
        <w:t>、影像管理</w:t>
      </w:r>
      <w:r>
        <w:rPr>
          <w:color w:val="auto"/>
        </w:rPr>
        <w:tab/>
      </w:r>
      <w:r>
        <w:rPr>
          <w:color w:val="auto"/>
        </w:rPr>
        <w:fldChar w:fldCharType="begin"/>
      </w:r>
      <w:r>
        <w:rPr>
          <w:color w:val="auto"/>
        </w:rPr>
        <w:instrText xml:space="preserve"> PAGEREF _Toc82882804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"_Toc82882805" </w:instrText>
      </w:r>
      <w:r>
        <w:rPr>
          <w:color w:val="auto"/>
        </w:rPr>
        <w:fldChar w:fldCharType="separate"/>
      </w:r>
      <w:r>
        <w:rPr>
          <w:rStyle w:val="26"/>
          <w:rFonts w:ascii="宋体" w:hAnsi="宋体" w:cs="宋体"/>
          <w:b/>
          <w:bCs/>
          <w:color w:val="auto"/>
        </w:rPr>
        <w:t>4.12</w:t>
      </w:r>
      <w:r>
        <w:rPr>
          <w:rStyle w:val="26"/>
          <w:rFonts w:hint="eastAsia" w:ascii="宋体" w:hAnsi="宋体" w:cs="宋体"/>
          <w:b/>
          <w:bCs/>
          <w:color w:val="auto"/>
        </w:rPr>
        <w:t>、检验管理</w:t>
      </w:r>
      <w:r>
        <w:rPr>
          <w:color w:val="auto"/>
        </w:rPr>
        <w:tab/>
      </w:r>
      <w:r>
        <w:rPr>
          <w:color w:val="auto"/>
        </w:rPr>
        <w:fldChar w:fldCharType="begin"/>
      </w:r>
      <w:r>
        <w:rPr>
          <w:color w:val="auto"/>
        </w:rPr>
        <w:instrText xml:space="preserve"> PAGEREF _Toc82882805 \h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8296"/>
        </w:tabs>
        <w:spacing w:line="360" w:lineRule="auto"/>
        <w:ind w:left="31680"/>
        <w:rPr>
          <w:color w:val="auto"/>
        </w:rPr>
      </w:pPr>
      <w:r>
        <w:rPr>
          <w:color w:val="auto"/>
        </w:rPr>
        <w:fldChar w:fldCharType="begin"/>
      </w:r>
      <w:r>
        <w:rPr>
          <w:color w:val="auto"/>
        </w:rPr>
        <w:instrText xml:space="preserve"> HYPERLINK \l "_Toc82882806" </w:instrText>
      </w:r>
      <w:r>
        <w:rPr>
          <w:color w:val="auto"/>
        </w:rPr>
        <w:fldChar w:fldCharType="separate"/>
      </w:r>
      <w:r>
        <w:rPr>
          <w:rStyle w:val="26"/>
          <w:rFonts w:ascii="宋体" w:hAnsi="宋体" w:cs="宋体"/>
          <w:b/>
          <w:bCs/>
          <w:color w:val="auto"/>
        </w:rPr>
        <w:t>4.13</w:t>
      </w:r>
      <w:r>
        <w:rPr>
          <w:rStyle w:val="26"/>
          <w:rFonts w:hint="eastAsia" w:ascii="宋体" w:hAnsi="宋体" w:cs="宋体"/>
          <w:b/>
          <w:bCs/>
          <w:color w:val="auto"/>
        </w:rPr>
        <w:t>、后勤管理</w:t>
      </w:r>
      <w:r>
        <w:rPr>
          <w:color w:val="auto"/>
        </w:rPr>
        <w:tab/>
      </w:r>
      <w:r>
        <w:rPr>
          <w:color w:val="auto"/>
        </w:rPr>
        <w:fldChar w:fldCharType="begin"/>
      </w:r>
      <w:r>
        <w:rPr>
          <w:color w:val="auto"/>
        </w:rPr>
        <w:instrText xml:space="preserve"> PAGEREF _Toc82882806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296"/>
        </w:tabs>
        <w:spacing w:line="360" w:lineRule="auto"/>
        <w:rPr>
          <w:color w:val="auto"/>
        </w:rPr>
      </w:pPr>
      <w:r>
        <w:rPr>
          <w:color w:val="auto"/>
        </w:rPr>
        <w:fldChar w:fldCharType="begin"/>
      </w:r>
      <w:r>
        <w:rPr>
          <w:color w:val="auto"/>
        </w:rPr>
        <w:instrText xml:space="preserve"> HYPERLINK \l "_Toc82882807" </w:instrText>
      </w:r>
      <w:r>
        <w:rPr>
          <w:color w:val="auto"/>
        </w:rPr>
        <w:fldChar w:fldCharType="separate"/>
      </w:r>
      <w:r>
        <w:rPr>
          <w:rStyle w:val="26"/>
          <w:rFonts w:ascii="宋体" w:hAnsi="宋体" w:cs="宋体"/>
          <w:b/>
          <w:bCs/>
          <w:color w:val="auto"/>
        </w:rPr>
        <w:t>4.14</w:t>
      </w:r>
      <w:r>
        <w:rPr>
          <w:rStyle w:val="26"/>
          <w:rFonts w:hint="eastAsia" w:ascii="宋体" w:hAnsi="宋体" w:cs="宋体"/>
          <w:b/>
          <w:bCs/>
          <w:color w:val="auto"/>
        </w:rPr>
        <w:t>健康体检管理系统</w:t>
      </w:r>
      <w:r>
        <w:rPr>
          <w:color w:val="auto"/>
        </w:rPr>
        <w:tab/>
      </w:r>
      <w:r>
        <w:rPr>
          <w:color w:val="auto"/>
        </w:rPr>
        <w:fldChar w:fldCharType="begin"/>
      </w:r>
      <w:r>
        <w:rPr>
          <w:color w:val="auto"/>
        </w:rPr>
        <w:instrText xml:space="preserve"> PAGEREF _Toc82882807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296"/>
        </w:tabs>
        <w:spacing w:line="360" w:lineRule="auto"/>
        <w:rPr>
          <w:color w:val="auto"/>
        </w:rPr>
      </w:pPr>
      <w:r>
        <w:rPr>
          <w:color w:val="auto"/>
        </w:rPr>
        <w:fldChar w:fldCharType="begin"/>
      </w:r>
      <w:r>
        <w:rPr>
          <w:color w:val="auto"/>
        </w:rPr>
        <w:instrText xml:space="preserve"> HYPERLINK \l "_Toc82882808" </w:instrText>
      </w:r>
      <w:r>
        <w:rPr>
          <w:color w:val="auto"/>
        </w:rPr>
        <w:fldChar w:fldCharType="separate"/>
      </w:r>
      <w:r>
        <w:rPr>
          <w:rStyle w:val="26"/>
          <w:rFonts w:ascii="宋体" w:hAnsi="宋体" w:cs="宋体"/>
          <w:b/>
          <w:bCs/>
          <w:color w:val="auto"/>
        </w:rPr>
        <w:t>4.15</w:t>
      </w:r>
      <w:r>
        <w:rPr>
          <w:rStyle w:val="26"/>
          <w:rFonts w:hint="eastAsia" w:ascii="宋体" w:hAnsi="宋体" w:cs="宋体"/>
          <w:b/>
          <w:bCs/>
          <w:color w:val="auto"/>
        </w:rPr>
        <w:t>智能预问诊系统</w:t>
      </w:r>
      <w:r>
        <w:rPr>
          <w:color w:val="auto"/>
        </w:rPr>
        <w:tab/>
      </w:r>
      <w:r>
        <w:rPr>
          <w:color w:val="auto"/>
        </w:rPr>
        <w:fldChar w:fldCharType="begin"/>
      </w:r>
      <w:r>
        <w:rPr>
          <w:color w:val="auto"/>
        </w:rPr>
        <w:instrText xml:space="preserve"> PAGEREF _Toc82882808 \h </w:instrText>
      </w:r>
      <w:r>
        <w:rPr>
          <w:color w:val="auto"/>
        </w:rPr>
        <w:fldChar w:fldCharType="separate"/>
      </w:r>
      <w:r>
        <w:rPr>
          <w:color w:val="auto"/>
        </w:rPr>
        <w:t>2</w:t>
      </w:r>
      <w:r>
        <w:rPr>
          <w:color w:val="auto"/>
        </w:rPr>
        <w:fldChar w:fldCharType="end"/>
      </w:r>
      <w:r>
        <w:rPr>
          <w:color w:val="auto"/>
        </w:rPr>
        <w:fldChar w:fldCharType="end"/>
      </w:r>
    </w:p>
    <w:p>
      <w:pPr>
        <w:pStyle w:val="15"/>
        <w:tabs>
          <w:tab w:val="right" w:leader="dot" w:pos="8296"/>
        </w:tabs>
        <w:rPr>
          <w:color w:val="auto"/>
        </w:rPr>
      </w:pPr>
    </w:p>
    <w:p>
      <w:pPr>
        <w:keepNext/>
        <w:keepLines/>
        <w:spacing w:before="156" w:after="156" w:line="360" w:lineRule="auto"/>
        <w:outlineLvl w:val="0"/>
        <w:rPr>
          <w:rFonts w:ascii="宋体"/>
          <w:b/>
          <w:bCs/>
          <w:color w:val="auto"/>
          <w:sz w:val="44"/>
          <w:szCs w:val="44"/>
        </w:rPr>
      </w:pPr>
      <w:bookmarkStart w:id="808" w:name="_Toc6656"/>
      <w:bookmarkStart w:id="809" w:name="_Toc7959"/>
      <w:r>
        <w:rPr>
          <w:rFonts w:ascii="宋体" w:hAnsi="宋体" w:cs="宋体"/>
          <w:color w:val="auto"/>
          <w:sz w:val="24"/>
          <w:szCs w:val="24"/>
        </w:rPr>
        <w:fldChar w:fldCharType="end"/>
      </w:r>
      <w:r>
        <w:rPr>
          <w:rFonts w:ascii="宋体"/>
          <w:b/>
          <w:bCs/>
          <w:color w:val="auto"/>
          <w:sz w:val="44"/>
          <w:szCs w:val="44"/>
        </w:rPr>
        <w:br w:type="page"/>
      </w:r>
      <w:bookmarkStart w:id="810" w:name="_Toc82882762"/>
      <w:r>
        <w:rPr>
          <w:rFonts w:ascii="宋体" w:hAnsi="宋体" w:cs="宋体"/>
          <w:b/>
          <w:bCs/>
          <w:color w:val="auto"/>
          <w:sz w:val="44"/>
          <w:szCs w:val="44"/>
        </w:rPr>
        <w:t>1</w:t>
      </w:r>
      <w:r>
        <w:rPr>
          <w:rFonts w:hint="eastAsia" w:ascii="宋体" w:hAnsi="宋体" w:cs="宋体"/>
          <w:b/>
          <w:bCs/>
          <w:color w:val="auto"/>
          <w:sz w:val="44"/>
          <w:szCs w:val="44"/>
        </w:rPr>
        <w:t>、招标内容及技术要求</w:t>
      </w:r>
      <w:bookmarkEnd w:id="808"/>
      <w:bookmarkEnd w:id="809"/>
      <w:bookmarkEnd w:id="810"/>
    </w:p>
    <w:p>
      <w:pPr>
        <w:keepNext/>
        <w:keepLines/>
        <w:spacing w:before="156" w:after="156" w:line="360" w:lineRule="auto"/>
        <w:ind w:firstLine="480" w:firstLineChars="200"/>
        <w:rPr>
          <w:rFonts w:ascii="宋体"/>
          <w:b/>
          <w:bCs/>
          <w:color w:val="auto"/>
          <w:sz w:val="44"/>
          <w:szCs w:val="44"/>
        </w:rPr>
      </w:pPr>
      <w:r>
        <w:rPr>
          <w:rFonts w:hint="eastAsia" w:ascii="宋体" w:hAnsi="宋体" w:cs="宋体"/>
          <w:color w:val="auto"/>
          <w:sz w:val="24"/>
          <w:szCs w:val="24"/>
        </w:rPr>
        <w:t>招标内容：硬件平台主要有视频网络系统平台，新院区和老院区综合布线系统，业务骨干专网搭建，核心机房系统，主要包括机房装修、消防接地系统、模块化机房、核心交换系统、超融合服务器、异地容灾备份系统，网络安全及等保测评、门禁系统、无线</w:t>
      </w:r>
      <w:r>
        <w:rPr>
          <w:rFonts w:ascii="宋体" w:hAnsi="宋体" w:cs="宋体"/>
          <w:color w:val="auto"/>
          <w:sz w:val="24"/>
          <w:szCs w:val="24"/>
        </w:rPr>
        <w:t>IP</w:t>
      </w:r>
      <w:r>
        <w:rPr>
          <w:rFonts w:hint="eastAsia" w:ascii="宋体" w:hAnsi="宋体" w:cs="宋体"/>
          <w:color w:val="auto"/>
          <w:sz w:val="24"/>
          <w:szCs w:val="24"/>
        </w:rPr>
        <w:t>系统、显示大屏系统、会议音响系统、床头呼叫系统、门诊辅助设备和医院信息软件平台（具体内容见招标参数）。</w:t>
      </w:r>
    </w:p>
    <w:p>
      <w:pPr>
        <w:keepNext/>
        <w:keepLines/>
        <w:spacing w:before="156" w:after="156" w:line="415" w:lineRule="auto"/>
        <w:ind w:left="223" w:leftChars="106"/>
        <w:outlineLvl w:val="1"/>
        <w:rPr>
          <w:rFonts w:ascii="宋体"/>
          <w:b/>
          <w:bCs/>
          <w:color w:val="auto"/>
          <w:sz w:val="36"/>
          <w:szCs w:val="36"/>
        </w:rPr>
      </w:pPr>
      <w:bookmarkStart w:id="811" w:name="_Toc82882763"/>
      <w:bookmarkStart w:id="812" w:name="_Toc3774"/>
      <w:bookmarkStart w:id="813" w:name="_Toc2219"/>
      <w:r>
        <w:rPr>
          <w:rFonts w:ascii="宋体" w:hAnsi="宋体" w:cs="宋体"/>
          <w:b/>
          <w:bCs/>
          <w:color w:val="auto"/>
          <w:sz w:val="36"/>
          <w:szCs w:val="36"/>
        </w:rPr>
        <w:t>1.1</w:t>
      </w:r>
      <w:r>
        <w:rPr>
          <w:rFonts w:hint="eastAsia" w:ascii="宋体" w:hAnsi="宋体" w:cs="宋体"/>
          <w:b/>
          <w:bCs/>
          <w:color w:val="auto"/>
          <w:sz w:val="36"/>
          <w:szCs w:val="36"/>
        </w:rPr>
        <w:t>、项目背景</w:t>
      </w:r>
      <w:bookmarkEnd w:id="811"/>
      <w:bookmarkEnd w:id="812"/>
      <w:bookmarkEnd w:id="813"/>
    </w:p>
    <w:p>
      <w:pPr>
        <w:pStyle w:val="9"/>
        <w:spacing w:line="360" w:lineRule="auto"/>
        <w:ind w:left="120" w:right="238" w:firstLine="482"/>
        <w:rPr>
          <w:rFonts w:cs="Times New Roman"/>
          <w:color w:val="auto"/>
        </w:rPr>
      </w:pPr>
      <w:r>
        <w:rPr>
          <w:rFonts w:hint="eastAsia"/>
          <w:color w:val="auto"/>
        </w:rPr>
        <w:t>本项目为喀什地区妇幼保健医院弱电工程及信息化项目，建设单位喀什地区妇幼保健医院，投资及来源为深圳援疆资金。喀什地区妇幼保健院的前身是</w:t>
      </w:r>
      <w:r>
        <w:rPr>
          <w:color w:val="auto"/>
        </w:rPr>
        <w:t xml:space="preserve"> 1981</w:t>
      </w:r>
      <w:r>
        <w:rPr>
          <w:rFonts w:hint="eastAsia"/>
          <w:color w:val="auto"/>
        </w:rPr>
        <w:t>年在地区防疫站内设的妇幼保健科，于</w:t>
      </w:r>
      <w:r>
        <w:rPr>
          <w:color w:val="auto"/>
        </w:rPr>
        <w:t>1988</w:t>
      </w:r>
      <w:r>
        <w:rPr>
          <w:rFonts w:hint="eastAsia"/>
          <w:color w:val="auto"/>
        </w:rPr>
        <w:t>年从地区防疫站分出，独立成立地区妇幼保健所，是公共卫生和基本医疗保健服务为主的公益性事业单位，具有防病、治病保障妇女儿童健康，提供公共卫生和基本医疗服务的专科医疗保健机构，承担全地区</w:t>
      </w:r>
      <w:r>
        <w:rPr>
          <w:color w:val="auto"/>
        </w:rPr>
        <w:t>12</w:t>
      </w:r>
      <w:r>
        <w:rPr>
          <w:rFonts w:hint="eastAsia"/>
          <w:color w:val="auto"/>
        </w:rPr>
        <w:t>个县市妇幼保健业务工作的指导、人员培训和健康教育工作，以及全区医疗卫生信息资料的收集整理统计分析和上报等重任，是国家二甲级医院，地区级医疗保险定点单位，本次建设为深圳援疆新建医院，建设有综合楼、发热门诊楼、设备楼、供氧洗涤中心，其中综合楼共九层，其中地上八层，地下一层，建筑总面积为</w:t>
      </w:r>
      <w:r>
        <w:rPr>
          <w:color w:val="auto"/>
        </w:rPr>
        <w:t xml:space="preserve"> 12000</w:t>
      </w:r>
      <w:r>
        <w:rPr>
          <w:rFonts w:hint="eastAsia"/>
          <w:color w:val="auto"/>
        </w:rPr>
        <w:t>平方米。</w:t>
      </w:r>
    </w:p>
    <w:p>
      <w:pPr>
        <w:pStyle w:val="9"/>
        <w:spacing w:line="360" w:lineRule="auto"/>
        <w:ind w:left="120" w:right="238" w:firstLine="482"/>
        <w:rPr>
          <w:rFonts w:cs="Times New Roman"/>
          <w:color w:val="auto"/>
        </w:rPr>
      </w:pPr>
      <w:r>
        <w:rPr>
          <w:rFonts w:hint="eastAsia"/>
          <w:color w:val="auto"/>
        </w:rPr>
        <w:t>新建医院科室有妇科门诊、儿科门诊、内科门诊、妇产科病房、儿科和新生儿科病房、检验科、药剂科、保健科、放射科、财务科、行政办等科室，以及孕检室，门诊输液观察室，计划生育服务室，供应室和总务后勤等部门。主要设备为彩色</w:t>
      </w:r>
      <w:r>
        <w:rPr>
          <w:color w:val="auto"/>
        </w:rPr>
        <w:t xml:space="preserve"> B </w:t>
      </w:r>
      <w:r>
        <w:rPr>
          <w:rFonts w:hint="eastAsia"/>
          <w:color w:val="auto"/>
        </w:rPr>
        <w:t>型超声诊断仪两台，三导心电图机，红外线乳腺检查仪、全自动生化分析仪，血球分析仪，尿十一项检查仪，酶标仪，洗板机和离心机，</w:t>
      </w:r>
      <w:r>
        <w:rPr>
          <w:color w:val="auto"/>
        </w:rPr>
        <w:t xml:space="preserve"> </w:t>
      </w:r>
      <w:r>
        <w:rPr>
          <w:rFonts w:hint="eastAsia"/>
          <w:color w:val="auto"/>
        </w:rPr>
        <w:t>恒温培养箱，</w:t>
      </w:r>
      <w:r>
        <w:rPr>
          <w:color w:val="auto"/>
        </w:rPr>
        <w:t xml:space="preserve">200 </w:t>
      </w:r>
      <w:r>
        <w:rPr>
          <w:rFonts w:hint="eastAsia"/>
          <w:color w:val="auto"/>
        </w:rPr>
        <w:t>毫安</w:t>
      </w:r>
      <w:r>
        <w:rPr>
          <w:color w:val="auto"/>
        </w:rPr>
        <w:t xml:space="preserve"> X </w:t>
      </w:r>
      <w:r>
        <w:rPr>
          <w:rFonts w:hint="eastAsia"/>
          <w:color w:val="auto"/>
        </w:rPr>
        <w:t>光机，全自动胎心监护仪，新生儿抢救台，婴儿保温箱，</w:t>
      </w:r>
      <w:r>
        <w:rPr>
          <w:color w:val="auto"/>
        </w:rPr>
        <w:t xml:space="preserve"> </w:t>
      </w:r>
      <w:r>
        <w:rPr>
          <w:rFonts w:hint="eastAsia"/>
          <w:color w:val="auto"/>
        </w:rPr>
        <w:t>多功能产床和多功能手术床，臭氧治疗仪，输卵管通水仪，利普刀，宫腔镜，妊高症检测仪等设备，能诊断和治疗妇科、产科、儿科的各种常见病，多发病和急危重症等，能开展妇科和产科的各种手术。在妇女保健，儿童保健，青春期保健，</w:t>
      </w:r>
      <w:r>
        <w:rPr>
          <w:color w:val="auto"/>
        </w:rPr>
        <w:t xml:space="preserve"> </w:t>
      </w:r>
      <w:r>
        <w:rPr>
          <w:rFonts w:hint="eastAsia"/>
          <w:color w:val="auto"/>
        </w:rPr>
        <w:t>更年期保健以及不孕不育，闭经，功血（功能性子宫出血），各种性传播疾病等方面有着独特的治疗方法及丰富的临床经验，计划生育技术方面有无痛人流术，</w:t>
      </w:r>
      <w:r>
        <w:rPr>
          <w:color w:val="auto"/>
        </w:rPr>
        <w:t xml:space="preserve"> </w:t>
      </w:r>
      <w:r>
        <w:rPr>
          <w:rFonts w:hint="eastAsia"/>
          <w:color w:val="auto"/>
        </w:rPr>
        <w:t>药流术、上取环、结扎术等服务，医院开设床位</w:t>
      </w:r>
      <w:r>
        <w:rPr>
          <w:color w:val="auto"/>
        </w:rPr>
        <w:t>200</w:t>
      </w:r>
      <w:r>
        <w:rPr>
          <w:rFonts w:hint="eastAsia"/>
          <w:color w:val="auto"/>
        </w:rPr>
        <w:t>张。常用的各种检查和治疗设备齐全，技术力量雄厚，管理完善，收费合理。</w:t>
      </w:r>
    </w:p>
    <w:p>
      <w:pPr>
        <w:spacing w:before="50" w:after="50" w:line="360" w:lineRule="auto"/>
        <w:ind w:firstLine="482"/>
        <w:rPr>
          <w:rFonts w:ascii="宋体"/>
          <w:color w:val="auto"/>
          <w:sz w:val="24"/>
          <w:szCs w:val="24"/>
        </w:rPr>
      </w:pPr>
      <w:r>
        <w:rPr>
          <w:rFonts w:hint="eastAsia" w:ascii="宋体" w:hAnsi="宋体" w:cs="宋体"/>
          <w:color w:val="auto"/>
          <w:sz w:val="24"/>
          <w:szCs w:val="24"/>
        </w:rPr>
        <w:t>信息化管理系统（</w:t>
      </w:r>
      <w:r>
        <w:rPr>
          <w:rFonts w:ascii="宋体" w:hAnsi="宋体" w:cs="宋体"/>
          <w:color w:val="auto"/>
          <w:sz w:val="24"/>
          <w:szCs w:val="24"/>
        </w:rPr>
        <w:t>HIS</w:t>
      </w:r>
      <w:r>
        <w:rPr>
          <w:rFonts w:hint="eastAsia" w:ascii="宋体" w:hAnsi="宋体" w:cs="宋体"/>
          <w:color w:val="auto"/>
          <w:sz w:val="24"/>
          <w:szCs w:val="24"/>
        </w:rPr>
        <w:t>）自</w:t>
      </w:r>
      <w:r>
        <w:rPr>
          <w:rFonts w:ascii="宋体" w:hAnsi="宋体" w:cs="宋体"/>
          <w:color w:val="auto"/>
          <w:sz w:val="24"/>
          <w:szCs w:val="24"/>
        </w:rPr>
        <w:t>2007</w:t>
      </w:r>
      <w:r>
        <w:rPr>
          <w:rFonts w:hint="eastAsia" w:ascii="宋体" w:hAnsi="宋体" w:cs="宋体"/>
          <w:color w:val="auto"/>
          <w:sz w:val="24"/>
          <w:szCs w:val="24"/>
        </w:rPr>
        <w:t>年建设以来已使用十多年，随着国家医疗政策的不断变化以及医院自身业务发展的需要，我院</w:t>
      </w:r>
      <w:r>
        <w:rPr>
          <w:rFonts w:ascii="宋体" w:hAnsi="宋体" w:cs="宋体"/>
          <w:color w:val="auto"/>
          <w:sz w:val="24"/>
          <w:szCs w:val="24"/>
        </w:rPr>
        <w:t>HIS</w:t>
      </w:r>
      <w:r>
        <w:rPr>
          <w:rFonts w:hint="eastAsia" w:ascii="宋体" w:hAnsi="宋体" w:cs="宋体"/>
          <w:color w:val="auto"/>
          <w:sz w:val="24"/>
          <w:szCs w:val="24"/>
        </w:rPr>
        <w:t>系统因为上的时间比较早，底层数据结构已经无法满足现在医院管理的要求，给患者就诊造成很多不便；各信息系统孤立运行形“孤岛”，相互之间无法实时共享医疗数据；且根据《关于进一步推进以电子病历为核心的医疗机构信息化建设工作的通知》文件要求，二级医院</w:t>
      </w:r>
      <w:r>
        <w:rPr>
          <w:rFonts w:ascii="宋体" w:hAnsi="宋体" w:cs="宋体"/>
          <w:color w:val="auto"/>
          <w:sz w:val="24"/>
          <w:szCs w:val="24"/>
        </w:rPr>
        <w:t>2020</w:t>
      </w:r>
      <w:r>
        <w:rPr>
          <w:rFonts w:hint="eastAsia" w:ascii="宋体" w:hAnsi="宋体" w:cs="宋体"/>
          <w:color w:val="auto"/>
          <w:sz w:val="24"/>
          <w:szCs w:val="24"/>
        </w:rPr>
        <w:t>年必须达到电子病历评审三级标准，即实现医院内不同部门间数据交换；我院经过自测，现信息化无法达标，医院核心业务的开展基本处于纯手工录入，不仅效率低下且出错率极高，故急需进行改造。</w:t>
      </w:r>
    </w:p>
    <w:p>
      <w:pPr>
        <w:spacing w:before="50" w:after="50" w:line="360" w:lineRule="auto"/>
        <w:ind w:firstLine="482"/>
        <w:rPr>
          <w:rFonts w:ascii="宋体"/>
          <w:color w:val="auto"/>
          <w:sz w:val="24"/>
          <w:szCs w:val="24"/>
        </w:rPr>
      </w:pPr>
      <w:r>
        <w:rPr>
          <w:rFonts w:hint="eastAsia" w:ascii="宋体" w:hAnsi="宋体" w:cs="宋体"/>
          <w:color w:val="auto"/>
          <w:sz w:val="24"/>
          <w:szCs w:val="24"/>
        </w:rPr>
        <w:t>针对本次信息化整体规划要求，全面遵照《全国医院信息化建设标准与规范（试行）</w:t>
      </w:r>
      <w:r>
        <w:rPr>
          <w:rFonts w:ascii="宋体" w:hAnsi="宋体" w:cs="宋体"/>
          <w:color w:val="auto"/>
          <w:sz w:val="24"/>
          <w:szCs w:val="24"/>
        </w:rPr>
        <w:t>2018</w:t>
      </w:r>
      <w:r>
        <w:rPr>
          <w:rFonts w:hint="eastAsia" w:ascii="宋体" w:hAnsi="宋体" w:cs="宋体"/>
          <w:color w:val="auto"/>
          <w:sz w:val="24"/>
          <w:szCs w:val="24"/>
        </w:rPr>
        <w:t>年》，响应国家卫生健康委医政医管局发布《关于开展</w:t>
      </w:r>
      <w:r>
        <w:rPr>
          <w:rFonts w:ascii="宋体" w:hAnsi="宋体" w:cs="宋体"/>
          <w:color w:val="auto"/>
          <w:sz w:val="24"/>
          <w:szCs w:val="24"/>
        </w:rPr>
        <w:t>2019</w:t>
      </w:r>
      <w:r>
        <w:rPr>
          <w:rFonts w:hint="eastAsia" w:ascii="宋体" w:hAnsi="宋体" w:cs="宋体"/>
          <w:color w:val="auto"/>
          <w:sz w:val="24"/>
          <w:szCs w:val="24"/>
        </w:rPr>
        <w:t>年电子病历系统应用水平分级评价工作的函》的要求，不仅要满足医院业务需求还要考虑到未来面临检查、医院等级评审及项目建设亮点需要，避免医院在未来</w:t>
      </w:r>
      <w:r>
        <w:rPr>
          <w:rFonts w:ascii="宋体" w:hAnsi="宋体" w:cs="宋体"/>
          <w:color w:val="auto"/>
          <w:sz w:val="24"/>
          <w:szCs w:val="24"/>
        </w:rPr>
        <w:t>3</w:t>
      </w:r>
      <w:r>
        <w:rPr>
          <w:rFonts w:hint="eastAsia" w:ascii="宋体" w:hAnsi="宋体" w:cs="宋体"/>
          <w:color w:val="auto"/>
          <w:sz w:val="24"/>
          <w:szCs w:val="24"/>
        </w:rPr>
        <w:t>年内做重复性投资。本次对医院整体医院管理系统的改造，主要实现以病人为中心，以电子病历为核心，对全院各个信息系统按照电子病历等级评审指标体系和业务实际应用需求重新进行梳理。对于提高医院效率，改善医疗服务，提升医疗质量，优化工作流程，合理利用资源和降低医疗成本等方面都起着重要作用。</w:t>
      </w:r>
    </w:p>
    <w:p>
      <w:pPr>
        <w:spacing w:before="50" w:after="50" w:line="360" w:lineRule="auto"/>
        <w:ind w:firstLine="482"/>
        <w:rPr>
          <w:rFonts w:ascii="宋体"/>
          <w:color w:val="auto"/>
          <w:sz w:val="24"/>
          <w:szCs w:val="24"/>
        </w:rPr>
      </w:pPr>
      <w:r>
        <w:rPr>
          <w:rFonts w:hint="eastAsia" w:ascii="宋体" w:hAnsi="宋体" w:cs="宋体"/>
          <w:color w:val="auto"/>
          <w:sz w:val="24"/>
          <w:szCs w:val="24"/>
        </w:rPr>
        <w:t>新建医院在地委、行署和上级主管部门的正确领导和大力支持指导下，在深圳专家和资金的大力支持下，“坚持以保健为中心，保障生殖健康为目的，保健和临床相结合，面向基层，面向群众和预防为主”的妇幼卫生工作方针，认真贯彻落实和完成“妇女发展纲要”和“儿童发展纲要”提出的各项工作任务，深入开展母婴保健的各项工作，为我区降低孕产妇死亡率和</w:t>
      </w:r>
      <w:r>
        <w:rPr>
          <w:rFonts w:ascii="宋体" w:hAnsi="宋体" w:cs="宋体"/>
          <w:color w:val="auto"/>
          <w:sz w:val="24"/>
          <w:szCs w:val="24"/>
        </w:rPr>
        <w:t>5</w:t>
      </w:r>
      <w:r>
        <w:rPr>
          <w:rFonts w:hint="eastAsia" w:ascii="宋体" w:hAnsi="宋体" w:cs="宋体"/>
          <w:color w:val="auto"/>
          <w:sz w:val="24"/>
          <w:szCs w:val="24"/>
        </w:rPr>
        <w:t>岁以下儿童死亡率，提高住院分娩率和两癌筛查率，减少出生缺陷等方面作出了积极贡献。</w:t>
      </w:r>
    </w:p>
    <w:p>
      <w:pPr>
        <w:keepNext/>
        <w:keepLines/>
        <w:numPr>
          <w:ilvl w:val="1"/>
          <w:numId w:val="9"/>
        </w:numPr>
        <w:spacing w:before="156" w:after="156" w:line="416" w:lineRule="auto"/>
        <w:outlineLvl w:val="1"/>
        <w:rPr>
          <w:rFonts w:ascii="宋体"/>
          <w:b/>
          <w:bCs/>
          <w:color w:val="auto"/>
          <w:sz w:val="36"/>
          <w:szCs w:val="36"/>
        </w:rPr>
      </w:pPr>
      <w:bookmarkStart w:id="814" w:name="_Toc82882764"/>
      <w:bookmarkStart w:id="815" w:name="_Toc9749"/>
      <w:bookmarkStart w:id="816" w:name="_Toc3896"/>
      <w:r>
        <w:rPr>
          <w:rFonts w:hint="eastAsia" w:ascii="宋体" w:hAnsi="宋体" w:cs="宋体"/>
          <w:b/>
          <w:bCs/>
          <w:color w:val="auto"/>
          <w:sz w:val="36"/>
          <w:szCs w:val="36"/>
        </w:rPr>
        <w:t>设计原则</w:t>
      </w:r>
      <w:bookmarkEnd w:id="814"/>
      <w:bookmarkEnd w:id="815"/>
      <w:bookmarkEnd w:id="816"/>
    </w:p>
    <w:p>
      <w:pPr>
        <w:spacing w:before="156" w:after="156" w:line="360" w:lineRule="auto"/>
        <w:ind w:firstLine="480"/>
        <w:rPr>
          <w:rFonts w:ascii="宋体"/>
          <w:color w:val="auto"/>
          <w:sz w:val="24"/>
          <w:szCs w:val="24"/>
        </w:rPr>
      </w:pPr>
      <w:r>
        <w:rPr>
          <w:rFonts w:hint="eastAsia" w:ascii="宋体" w:hAnsi="宋体" w:cs="宋体"/>
          <w:color w:val="auto"/>
          <w:sz w:val="24"/>
          <w:szCs w:val="24"/>
        </w:rPr>
        <w:t>投标产品应具有较好的先进性、可操作性、可维护性、安全性、整合性与扩展性、高性能等特点</w:t>
      </w:r>
    </w:p>
    <w:p>
      <w:pPr>
        <w:numPr>
          <w:ilvl w:val="2"/>
          <w:numId w:val="10"/>
        </w:numPr>
        <w:spacing w:before="156" w:after="156" w:line="360" w:lineRule="auto"/>
        <w:rPr>
          <w:rFonts w:ascii="宋体"/>
          <w:color w:val="auto"/>
          <w:sz w:val="24"/>
          <w:szCs w:val="24"/>
        </w:rPr>
      </w:pPr>
      <w:r>
        <w:rPr>
          <w:rFonts w:hint="eastAsia" w:ascii="宋体" w:hAnsi="宋体" w:cs="宋体"/>
          <w:color w:val="auto"/>
          <w:sz w:val="24"/>
          <w:szCs w:val="24"/>
        </w:rPr>
        <w:t>先进性</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系统应采用灵活的、稳定的信息技术架构，整个系统平台架构采用门户平台方式，可以集成</w:t>
      </w:r>
      <w:r>
        <w:rPr>
          <w:rFonts w:ascii="宋体" w:hAnsi="宋体" w:cs="宋体"/>
          <w:color w:val="auto"/>
          <w:sz w:val="24"/>
          <w:szCs w:val="24"/>
        </w:rPr>
        <w:t>B/S</w:t>
      </w:r>
      <w:r>
        <w:rPr>
          <w:rFonts w:hint="eastAsia" w:ascii="宋体" w:hAnsi="宋体" w:cs="宋体"/>
          <w:color w:val="auto"/>
          <w:sz w:val="24"/>
          <w:szCs w:val="24"/>
        </w:rPr>
        <w:t>与</w:t>
      </w:r>
      <w:r>
        <w:rPr>
          <w:rFonts w:ascii="宋体" w:hAnsi="宋体" w:cs="宋体"/>
          <w:color w:val="auto"/>
          <w:sz w:val="24"/>
          <w:szCs w:val="24"/>
        </w:rPr>
        <w:t>C/S</w:t>
      </w:r>
      <w:r>
        <w:rPr>
          <w:rFonts w:hint="eastAsia" w:ascii="宋体" w:hAnsi="宋体" w:cs="宋体"/>
          <w:color w:val="auto"/>
          <w:sz w:val="24"/>
          <w:szCs w:val="24"/>
        </w:rPr>
        <w:t>多种架构体系的不同产品，可以灵活配置用户使用功能及界面，能满足医院日益变化的个性化需求。通过门户可以对其他各种业务系统进行统一安全认证管理，实现整个业务系统的单点登录。</w:t>
      </w:r>
    </w:p>
    <w:p>
      <w:pPr>
        <w:numPr>
          <w:ilvl w:val="2"/>
          <w:numId w:val="10"/>
        </w:numPr>
        <w:spacing w:before="156" w:after="156" w:line="360" w:lineRule="auto"/>
        <w:rPr>
          <w:rFonts w:ascii="宋体"/>
          <w:color w:val="auto"/>
          <w:sz w:val="24"/>
          <w:szCs w:val="24"/>
        </w:rPr>
      </w:pPr>
      <w:r>
        <w:rPr>
          <w:rFonts w:hint="eastAsia" w:ascii="宋体" w:hAnsi="宋体" w:cs="宋体"/>
          <w:color w:val="auto"/>
          <w:sz w:val="24"/>
          <w:szCs w:val="24"/>
        </w:rPr>
        <w:t>可操作性</w:t>
      </w:r>
    </w:p>
    <w:p>
      <w:pPr>
        <w:spacing w:before="156" w:after="156" w:line="360" w:lineRule="auto"/>
        <w:ind w:firstLine="480"/>
        <w:rPr>
          <w:rFonts w:ascii="宋体"/>
          <w:color w:val="auto"/>
          <w:sz w:val="24"/>
          <w:szCs w:val="24"/>
        </w:rPr>
      </w:pPr>
      <w:r>
        <w:rPr>
          <w:rFonts w:hint="eastAsia" w:ascii="宋体" w:hAnsi="宋体" w:cs="宋体"/>
          <w:color w:val="auto"/>
          <w:sz w:val="24"/>
          <w:szCs w:val="24"/>
        </w:rPr>
        <w:t>整个信息系统应采用统一的界面风格，建立图形导航图，用户可以根据自己操作习惯配置自己常用功能的快捷方式。在操作界面上提供多种人性化的提示符号。主要功能的按钮图片放大处理，让操作员操作更加清晰。对于主要的各项操作功能，应在系统上建立帮助系统。建立系统间的消息系统。</w:t>
      </w:r>
    </w:p>
    <w:p>
      <w:pPr>
        <w:numPr>
          <w:ilvl w:val="2"/>
          <w:numId w:val="10"/>
        </w:numPr>
        <w:spacing w:before="156" w:after="156" w:line="360" w:lineRule="auto"/>
        <w:rPr>
          <w:rFonts w:ascii="宋体"/>
          <w:color w:val="auto"/>
          <w:sz w:val="24"/>
          <w:szCs w:val="24"/>
        </w:rPr>
      </w:pPr>
      <w:r>
        <w:rPr>
          <w:rFonts w:hint="eastAsia" w:ascii="宋体" w:hAnsi="宋体" w:cs="宋体"/>
          <w:color w:val="auto"/>
          <w:sz w:val="24"/>
          <w:szCs w:val="24"/>
        </w:rPr>
        <w:t>可维护性</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系统应能实现统一维护，统一权限管理，统一数据库链接池管理。具有自动更新升级管理和错误日志管理功能。</w:t>
      </w:r>
    </w:p>
    <w:p>
      <w:pPr>
        <w:numPr>
          <w:ilvl w:val="2"/>
          <w:numId w:val="10"/>
        </w:numPr>
        <w:spacing w:before="156" w:after="156" w:line="360" w:lineRule="auto"/>
        <w:rPr>
          <w:rFonts w:ascii="宋体"/>
          <w:color w:val="auto"/>
          <w:sz w:val="24"/>
          <w:szCs w:val="24"/>
        </w:rPr>
      </w:pPr>
      <w:r>
        <w:rPr>
          <w:rFonts w:hint="eastAsia" w:ascii="宋体" w:hAnsi="宋体" w:cs="宋体"/>
          <w:color w:val="auto"/>
          <w:sz w:val="24"/>
          <w:szCs w:val="24"/>
        </w:rPr>
        <w:t>安全性</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系统应满足实现系统</w:t>
      </w:r>
      <w:r>
        <w:rPr>
          <w:rFonts w:ascii="宋体" w:hAnsi="宋体" w:cs="宋体"/>
          <w:color w:val="auto"/>
          <w:sz w:val="24"/>
          <w:szCs w:val="24"/>
        </w:rPr>
        <w:t>7</w:t>
      </w:r>
      <w:r>
        <w:rPr>
          <w:rFonts w:hint="eastAsia" w:ascii="宋体" w:hAnsi="宋体" w:cs="宋体"/>
          <w:color w:val="auto"/>
          <w:sz w:val="24"/>
          <w:szCs w:val="24"/>
        </w:rPr>
        <w:t>×</w:t>
      </w:r>
      <w:r>
        <w:rPr>
          <w:rFonts w:ascii="宋体" w:hAnsi="宋体" w:cs="宋体"/>
          <w:color w:val="auto"/>
          <w:sz w:val="24"/>
          <w:szCs w:val="24"/>
        </w:rPr>
        <w:t>24h</w:t>
      </w:r>
      <w:r>
        <w:rPr>
          <w:rFonts w:hint="eastAsia" w:ascii="宋体" w:hAnsi="宋体" w:cs="宋体"/>
          <w:color w:val="auto"/>
          <w:sz w:val="24"/>
          <w:szCs w:val="24"/>
        </w:rPr>
        <w:t>连续安全运行，性能可靠，易于维护。系统具有高可靠性和多种应急解决方案。设置有多种内部网络设置层级授权机制，设定系统内部终端和访问者的权限，设定操作者多层级电子签名机制，防止数据删改和电子确认的漏洞。系统在安全性上提供的设置和措施应包括：</w:t>
      </w:r>
    </w:p>
    <w:p>
      <w:pPr>
        <w:spacing w:before="156" w:after="156" w:line="360" w:lineRule="auto"/>
        <w:ind w:firstLine="480"/>
        <w:rPr>
          <w:rFonts w:ascii="宋体"/>
          <w:color w:val="auto"/>
          <w:sz w:val="24"/>
          <w:szCs w:val="24"/>
        </w:rPr>
      </w:pPr>
      <w:r>
        <w:rPr>
          <w:rFonts w:hint="eastAsia" w:ascii="宋体" w:hAnsi="宋体" w:cs="宋体"/>
          <w:color w:val="auto"/>
          <w:sz w:val="24"/>
          <w:szCs w:val="24"/>
        </w:rPr>
        <w:t>严格的权限与登录管理</w:t>
      </w:r>
    </w:p>
    <w:p>
      <w:pPr>
        <w:spacing w:before="156" w:after="156" w:line="360" w:lineRule="auto"/>
        <w:ind w:firstLine="480"/>
        <w:rPr>
          <w:rFonts w:ascii="宋体"/>
          <w:color w:val="auto"/>
          <w:sz w:val="24"/>
          <w:szCs w:val="24"/>
        </w:rPr>
      </w:pPr>
      <w:r>
        <w:rPr>
          <w:rFonts w:hint="eastAsia" w:ascii="宋体" w:hAnsi="宋体" w:cs="宋体"/>
          <w:color w:val="auto"/>
          <w:sz w:val="24"/>
          <w:szCs w:val="24"/>
        </w:rPr>
        <w:t>采用分级授权模式，对于不同的数据和功能模块，不同用户和组别具有不同的增加、修改、删除、打印权限。</w:t>
      </w:r>
    </w:p>
    <w:p>
      <w:pPr>
        <w:spacing w:before="156" w:after="156" w:line="360" w:lineRule="auto"/>
        <w:ind w:firstLine="480"/>
        <w:rPr>
          <w:rFonts w:ascii="宋体"/>
          <w:color w:val="auto"/>
          <w:sz w:val="24"/>
          <w:szCs w:val="24"/>
        </w:rPr>
      </w:pPr>
      <w:r>
        <w:rPr>
          <w:rFonts w:hint="eastAsia" w:ascii="宋体" w:hAnsi="宋体" w:cs="宋体"/>
          <w:color w:val="auto"/>
          <w:sz w:val="24"/>
          <w:szCs w:val="24"/>
        </w:rPr>
        <w:t>应急解决方案</w:t>
      </w:r>
    </w:p>
    <w:p>
      <w:pPr>
        <w:spacing w:before="156" w:after="156" w:line="360" w:lineRule="auto"/>
        <w:ind w:firstLine="480"/>
        <w:rPr>
          <w:rFonts w:ascii="宋体"/>
          <w:color w:val="auto"/>
          <w:sz w:val="24"/>
          <w:szCs w:val="24"/>
        </w:rPr>
      </w:pPr>
      <w:r>
        <w:rPr>
          <w:rFonts w:hint="eastAsia" w:ascii="宋体" w:hAnsi="宋体" w:cs="宋体"/>
          <w:color w:val="auto"/>
          <w:sz w:val="24"/>
          <w:szCs w:val="24"/>
        </w:rPr>
        <w:t>日志视频网络管理</w:t>
      </w:r>
    </w:p>
    <w:p>
      <w:pPr>
        <w:spacing w:before="156" w:after="156" w:line="360" w:lineRule="auto"/>
        <w:ind w:firstLine="480"/>
        <w:rPr>
          <w:rFonts w:ascii="宋体"/>
          <w:color w:val="auto"/>
          <w:sz w:val="24"/>
          <w:szCs w:val="24"/>
        </w:rPr>
      </w:pPr>
      <w:r>
        <w:rPr>
          <w:rFonts w:hint="eastAsia" w:ascii="宋体" w:hAnsi="宋体" w:cs="宋体"/>
          <w:color w:val="auto"/>
          <w:sz w:val="24"/>
          <w:szCs w:val="24"/>
        </w:rPr>
        <w:t>关键数据加密管理</w:t>
      </w:r>
    </w:p>
    <w:p>
      <w:pPr>
        <w:spacing w:before="156" w:after="156" w:line="360" w:lineRule="auto"/>
        <w:ind w:firstLine="480"/>
        <w:rPr>
          <w:rFonts w:ascii="宋体"/>
          <w:color w:val="auto"/>
          <w:sz w:val="24"/>
          <w:szCs w:val="24"/>
        </w:rPr>
      </w:pPr>
      <w:r>
        <w:rPr>
          <w:rFonts w:hint="eastAsia" w:ascii="宋体" w:hAnsi="宋体" w:cs="宋体"/>
          <w:color w:val="auto"/>
          <w:sz w:val="24"/>
          <w:szCs w:val="24"/>
        </w:rPr>
        <w:t>屏幕锁定保护管理</w:t>
      </w:r>
    </w:p>
    <w:p>
      <w:pPr>
        <w:spacing w:before="156" w:after="156" w:line="360" w:lineRule="auto"/>
        <w:ind w:firstLine="480"/>
        <w:rPr>
          <w:rFonts w:ascii="宋体"/>
          <w:color w:val="auto"/>
          <w:sz w:val="24"/>
          <w:szCs w:val="24"/>
        </w:rPr>
      </w:pPr>
      <w:r>
        <w:rPr>
          <w:rFonts w:hint="eastAsia" w:ascii="宋体" w:hAnsi="宋体" w:cs="宋体"/>
          <w:color w:val="auto"/>
          <w:sz w:val="24"/>
          <w:szCs w:val="24"/>
        </w:rPr>
        <w:t>关键记录修改记录管理</w:t>
      </w:r>
    </w:p>
    <w:p>
      <w:pPr>
        <w:numPr>
          <w:ilvl w:val="2"/>
          <w:numId w:val="10"/>
        </w:numPr>
        <w:spacing w:before="156" w:after="156" w:line="360" w:lineRule="auto"/>
        <w:rPr>
          <w:rFonts w:ascii="宋体"/>
          <w:color w:val="auto"/>
          <w:sz w:val="24"/>
          <w:szCs w:val="24"/>
        </w:rPr>
      </w:pPr>
      <w:r>
        <w:rPr>
          <w:rFonts w:hint="eastAsia" w:ascii="宋体" w:hAnsi="宋体" w:cs="宋体"/>
          <w:color w:val="auto"/>
          <w:sz w:val="24"/>
          <w:szCs w:val="24"/>
        </w:rPr>
        <w:t>整合性与扩展性</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系统应采用灵活地基于门户的可扩展性架构，系统可以融合各类不同体系架构产品。系统所有功能菜单可按用户角色的需求进行随时调整和组建。</w:t>
      </w:r>
    </w:p>
    <w:p>
      <w:pPr>
        <w:spacing w:before="156" w:after="156" w:line="360" w:lineRule="auto"/>
        <w:ind w:firstLine="480"/>
        <w:rPr>
          <w:rFonts w:ascii="宋体"/>
          <w:color w:val="auto"/>
          <w:sz w:val="24"/>
          <w:szCs w:val="24"/>
        </w:rPr>
      </w:pPr>
      <w:r>
        <w:rPr>
          <w:rFonts w:hint="eastAsia" w:ascii="宋体" w:hAnsi="宋体" w:cs="宋体"/>
          <w:color w:val="auto"/>
          <w:sz w:val="24"/>
          <w:szCs w:val="24"/>
        </w:rPr>
        <w:t>同时医院信息系统按照国际、国内有关标准开发设计。</w:t>
      </w:r>
    </w:p>
    <w:p>
      <w:pPr>
        <w:spacing w:before="156" w:after="156" w:line="360" w:lineRule="auto"/>
        <w:ind w:firstLine="480"/>
        <w:rPr>
          <w:rFonts w:ascii="宋体"/>
          <w:color w:val="auto"/>
          <w:sz w:val="24"/>
          <w:szCs w:val="24"/>
        </w:rPr>
      </w:pPr>
      <w:r>
        <w:rPr>
          <w:rFonts w:hint="eastAsia" w:ascii="宋体" w:hAnsi="宋体" w:cs="宋体"/>
          <w:color w:val="auto"/>
          <w:sz w:val="24"/>
          <w:szCs w:val="24"/>
        </w:rPr>
        <w:t>采用开放式的系统软件平台、模块化的应用软件结构，系统应能灵活地扩充其业务功能，并可与其他业务系统进行无缝互连。</w:t>
      </w:r>
    </w:p>
    <w:p>
      <w:pPr>
        <w:numPr>
          <w:ilvl w:val="2"/>
          <w:numId w:val="10"/>
        </w:numPr>
        <w:spacing w:before="156" w:after="156" w:line="360" w:lineRule="auto"/>
        <w:rPr>
          <w:rFonts w:ascii="宋体"/>
          <w:color w:val="auto"/>
          <w:sz w:val="24"/>
          <w:szCs w:val="24"/>
        </w:rPr>
      </w:pPr>
      <w:r>
        <w:rPr>
          <w:rFonts w:hint="eastAsia" w:ascii="宋体" w:hAnsi="宋体" w:cs="宋体"/>
          <w:color w:val="auto"/>
          <w:sz w:val="24"/>
          <w:szCs w:val="24"/>
        </w:rPr>
        <w:t>高性能</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应充分考虑医院程序大业务量环境中运行的效率，防止死锁和并发操作。系统应支持自动任务管理系统，可以把比较大的，时实性不强的业务放到晚上执行，整个过程无需人工干涉，以合理分配医院服务器的资源，提高医院服务器的利用率。</w:t>
      </w:r>
    </w:p>
    <w:p>
      <w:pPr>
        <w:keepNext/>
        <w:keepLines/>
        <w:numPr>
          <w:ilvl w:val="1"/>
          <w:numId w:val="9"/>
        </w:numPr>
        <w:spacing w:before="156" w:after="156" w:line="416" w:lineRule="auto"/>
        <w:outlineLvl w:val="1"/>
        <w:rPr>
          <w:rFonts w:ascii="宋体"/>
          <w:b/>
          <w:bCs/>
          <w:color w:val="auto"/>
          <w:sz w:val="36"/>
          <w:szCs w:val="36"/>
        </w:rPr>
      </w:pPr>
      <w:bookmarkStart w:id="817" w:name="_Toc82882765"/>
      <w:bookmarkStart w:id="818" w:name="_Toc18411"/>
      <w:bookmarkStart w:id="819" w:name="_Toc10113"/>
      <w:r>
        <w:rPr>
          <w:rFonts w:hint="eastAsia" w:ascii="宋体" w:hAnsi="宋体" w:cs="宋体"/>
          <w:b/>
          <w:bCs/>
          <w:color w:val="auto"/>
          <w:sz w:val="36"/>
          <w:szCs w:val="36"/>
        </w:rPr>
        <w:t>建设目标</w:t>
      </w:r>
      <w:bookmarkEnd w:id="817"/>
      <w:bookmarkEnd w:id="818"/>
      <w:bookmarkEnd w:id="819"/>
    </w:p>
    <w:p>
      <w:pPr>
        <w:spacing w:before="156" w:after="156" w:line="360" w:lineRule="auto"/>
        <w:ind w:firstLine="480"/>
        <w:jc w:val="left"/>
        <w:rPr>
          <w:rFonts w:ascii="宋体"/>
          <w:color w:val="auto"/>
          <w:sz w:val="24"/>
          <w:szCs w:val="24"/>
        </w:rPr>
      </w:pPr>
      <w:r>
        <w:rPr>
          <w:rFonts w:hint="eastAsia" w:ascii="宋体" w:hAnsi="宋体" w:cs="宋体"/>
          <w:color w:val="auto"/>
          <w:sz w:val="24"/>
          <w:szCs w:val="24"/>
        </w:rPr>
        <w:t>本次信息化建设完成后系统除积极响应国家医疗政策的号召满足医院电子病历等级评审的要求以及医院业务整体的发展外，还可以通过医院本次改造，有效提高医院医护人员的整体业务水平且通过对电脑信息化系统的使用可加深对业务流程的深入了解，制造出浓厚的学习氛围，也为今后能够为病人提供更好的服务，逐步达到全院信息的互联互通、信息共享，方便群众就医，规范医疗行为，提高工作效率。</w:t>
      </w:r>
    </w:p>
    <w:p>
      <w:pPr>
        <w:spacing w:before="156" w:after="156" w:line="360" w:lineRule="auto"/>
        <w:ind w:firstLine="480"/>
        <w:rPr>
          <w:rFonts w:ascii="宋体"/>
          <w:color w:val="auto"/>
          <w:sz w:val="24"/>
          <w:szCs w:val="24"/>
        </w:rPr>
      </w:pPr>
      <w:r>
        <w:rPr>
          <w:rFonts w:hint="eastAsia" w:ascii="宋体" w:hAnsi="宋体" w:cs="宋体"/>
          <w:color w:val="auto"/>
          <w:sz w:val="24"/>
          <w:szCs w:val="24"/>
        </w:rPr>
        <w:t>具体建设目标如下：</w:t>
      </w:r>
    </w:p>
    <w:p>
      <w:pPr>
        <w:spacing w:before="156" w:after="156" w:line="360" w:lineRule="auto"/>
        <w:rPr>
          <w:rFonts w:ascii="宋体"/>
          <w:color w:val="auto"/>
          <w:sz w:val="24"/>
          <w:szCs w:val="24"/>
        </w:rPr>
      </w:pPr>
      <w:r>
        <w:rPr>
          <w:rFonts w:ascii="宋体" w:hAnsi="宋体" w:cs="宋体"/>
          <w:color w:val="auto"/>
          <w:sz w:val="24"/>
          <w:szCs w:val="24"/>
        </w:rPr>
        <w:t>1.3.1</w:t>
      </w:r>
      <w:r>
        <w:rPr>
          <w:rFonts w:hint="eastAsia" w:ascii="宋体" w:hAnsi="宋体" w:cs="宋体"/>
          <w:color w:val="auto"/>
          <w:sz w:val="24"/>
          <w:szCs w:val="24"/>
        </w:rPr>
        <w:t>、电子病历系统功能应用水平达到三级水平，往四级靠拢</w:t>
      </w:r>
    </w:p>
    <w:p>
      <w:pPr>
        <w:spacing w:before="156" w:after="156" w:line="360" w:lineRule="auto"/>
        <w:ind w:firstLine="480"/>
        <w:rPr>
          <w:rFonts w:ascii="宋体"/>
          <w:color w:val="auto"/>
          <w:sz w:val="24"/>
          <w:szCs w:val="24"/>
        </w:rPr>
      </w:pPr>
      <w:r>
        <w:rPr>
          <w:rFonts w:hint="eastAsia" w:ascii="宋体" w:hAnsi="宋体" w:cs="宋体"/>
          <w:color w:val="auto"/>
          <w:sz w:val="24"/>
          <w:szCs w:val="24"/>
        </w:rPr>
        <w:t>通过完整的数字化医院系统集中建设，在</w:t>
      </w:r>
      <w:r>
        <w:rPr>
          <w:rFonts w:ascii="宋体" w:hAnsi="宋体" w:cs="宋体"/>
          <w:color w:val="auto"/>
          <w:sz w:val="24"/>
          <w:szCs w:val="24"/>
        </w:rPr>
        <w:t>1</w:t>
      </w:r>
      <w:r>
        <w:rPr>
          <w:rFonts w:hint="eastAsia" w:ascii="宋体" w:hAnsi="宋体" w:cs="宋体"/>
          <w:color w:val="auto"/>
          <w:sz w:val="24"/>
          <w:szCs w:val="24"/>
        </w:rPr>
        <w:t>年内使医院电子病历系统功能应用水平达到三级，三年内达到四级。实现医院全面数字化、数据管理集中化和诊疗服务智能化，使信息系统有效支撑医院各项管理工作。</w:t>
      </w:r>
    </w:p>
    <w:p>
      <w:pPr>
        <w:spacing w:before="156" w:after="156" w:line="360" w:lineRule="auto"/>
        <w:rPr>
          <w:rFonts w:ascii="宋体"/>
          <w:color w:val="auto"/>
          <w:sz w:val="24"/>
          <w:szCs w:val="24"/>
        </w:rPr>
      </w:pPr>
      <w:r>
        <w:rPr>
          <w:rFonts w:ascii="宋体" w:hAnsi="宋体" w:cs="宋体"/>
          <w:color w:val="auto"/>
          <w:sz w:val="24"/>
          <w:szCs w:val="24"/>
        </w:rPr>
        <w:t>1.3.2</w:t>
      </w:r>
      <w:r>
        <w:rPr>
          <w:rFonts w:hint="eastAsia" w:ascii="宋体" w:hAnsi="宋体" w:cs="宋体"/>
          <w:color w:val="auto"/>
          <w:sz w:val="24"/>
          <w:szCs w:val="24"/>
        </w:rPr>
        <w:t>、加快业务信息处理、改造服务流程、便利患者</w:t>
      </w:r>
    </w:p>
    <w:p>
      <w:pPr>
        <w:spacing w:before="156" w:after="156" w:line="360" w:lineRule="auto"/>
        <w:ind w:firstLine="480"/>
        <w:rPr>
          <w:rFonts w:ascii="宋体"/>
          <w:color w:val="auto"/>
          <w:sz w:val="24"/>
          <w:szCs w:val="24"/>
        </w:rPr>
      </w:pPr>
      <w:r>
        <w:rPr>
          <w:rFonts w:hint="eastAsia" w:ascii="宋体" w:hAnsi="宋体" w:cs="宋体"/>
          <w:color w:val="auto"/>
          <w:sz w:val="24"/>
          <w:szCs w:val="24"/>
        </w:rPr>
        <w:t>医院信息化建设的第一大目标就是按照以“患者为中心”的原则，利用信息化技术加快医疗业务信息处理、改造诊疗服务流程，方便病人就诊，减轻区域居民的“看病贵、看病难、看病烦”问题，同时依靠切实的便民措施、发挥诊疗的地理优势吸引域内居民患者选择到就近的医院就诊。</w:t>
      </w:r>
    </w:p>
    <w:p>
      <w:pPr>
        <w:spacing w:before="156" w:after="156" w:line="360" w:lineRule="auto"/>
        <w:rPr>
          <w:rFonts w:ascii="宋体"/>
          <w:color w:val="auto"/>
          <w:sz w:val="24"/>
          <w:szCs w:val="24"/>
        </w:rPr>
      </w:pPr>
      <w:r>
        <w:rPr>
          <w:rFonts w:ascii="宋体" w:hAnsi="宋体" w:cs="宋体"/>
          <w:color w:val="auto"/>
          <w:sz w:val="24"/>
          <w:szCs w:val="24"/>
        </w:rPr>
        <w:t>1.3.3</w:t>
      </w:r>
      <w:r>
        <w:rPr>
          <w:rFonts w:hint="eastAsia" w:ascii="宋体" w:hAnsi="宋体" w:cs="宋体"/>
          <w:color w:val="auto"/>
          <w:sz w:val="24"/>
          <w:szCs w:val="24"/>
        </w:rPr>
        <w:t>、提高诊疗水平和服务质量、减轻负担</w:t>
      </w:r>
    </w:p>
    <w:p>
      <w:pPr>
        <w:spacing w:before="156" w:after="156" w:line="360" w:lineRule="auto"/>
        <w:ind w:firstLine="480"/>
        <w:rPr>
          <w:rFonts w:ascii="宋体"/>
          <w:color w:val="auto"/>
          <w:sz w:val="24"/>
          <w:szCs w:val="24"/>
        </w:rPr>
      </w:pPr>
      <w:r>
        <w:rPr>
          <w:rFonts w:hint="eastAsia" w:ascii="宋体" w:hAnsi="宋体" w:cs="宋体"/>
          <w:color w:val="auto"/>
          <w:sz w:val="24"/>
          <w:szCs w:val="24"/>
        </w:rPr>
        <w:t>医院信息化建设的第二大目标是利用信息化技术减轻医护工作人员在开展诊疗业务活动时，优化在进行必要的文书记录、资料搬运等伴随工作时的工作负担，能够节约出更多时间和精力用于同患者的沟通和诊疗本身，以提高医疗技术、服务质量和满意度。</w:t>
      </w:r>
    </w:p>
    <w:p>
      <w:pPr>
        <w:spacing w:before="156" w:after="156" w:line="360" w:lineRule="auto"/>
        <w:rPr>
          <w:rFonts w:ascii="宋体"/>
          <w:color w:val="auto"/>
          <w:sz w:val="24"/>
          <w:szCs w:val="24"/>
        </w:rPr>
      </w:pPr>
      <w:r>
        <w:rPr>
          <w:rFonts w:ascii="宋体" w:hAnsi="宋体" w:cs="宋体"/>
          <w:color w:val="auto"/>
          <w:sz w:val="24"/>
          <w:szCs w:val="24"/>
        </w:rPr>
        <w:t>1.3.4</w:t>
      </w:r>
      <w:r>
        <w:rPr>
          <w:rFonts w:hint="eastAsia" w:ascii="宋体" w:hAnsi="宋体" w:cs="宋体"/>
          <w:color w:val="auto"/>
          <w:sz w:val="24"/>
          <w:szCs w:val="24"/>
        </w:rPr>
        <w:t>、加强业务和运营管理、提升效益</w:t>
      </w:r>
    </w:p>
    <w:p>
      <w:pPr>
        <w:spacing w:before="156" w:after="156" w:line="360" w:lineRule="auto"/>
        <w:ind w:firstLine="480"/>
        <w:rPr>
          <w:rFonts w:ascii="宋体"/>
          <w:color w:val="auto"/>
          <w:sz w:val="24"/>
          <w:szCs w:val="24"/>
        </w:rPr>
      </w:pPr>
      <w:r>
        <w:rPr>
          <w:rFonts w:hint="eastAsia" w:ascii="宋体" w:hAnsi="宋体" w:cs="宋体"/>
          <w:color w:val="auto"/>
          <w:sz w:val="24"/>
          <w:szCs w:val="24"/>
        </w:rPr>
        <w:t>医院信息化建设的第三大目标是利用信息化技术通过监测医嘱、处方与合理用药等关键诊疗信息、提高诊疗质量和服务、规范医疗行为，强化医疗质量视频网络，及时预警医疗失误，并通过监测业务和运营指标达到控制成本、提高管理水平、提升效益，最终提高医院核心竞争能力的目的。</w:t>
      </w:r>
    </w:p>
    <w:p>
      <w:pPr>
        <w:keepNext/>
        <w:keepLines/>
        <w:numPr>
          <w:ilvl w:val="1"/>
          <w:numId w:val="9"/>
        </w:numPr>
        <w:spacing w:before="156" w:after="156" w:line="416" w:lineRule="auto"/>
        <w:outlineLvl w:val="1"/>
        <w:rPr>
          <w:rFonts w:ascii="宋体"/>
          <w:b/>
          <w:bCs/>
          <w:color w:val="auto"/>
          <w:sz w:val="36"/>
          <w:szCs w:val="36"/>
        </w:rPr>
      </w:pPr>
      <w:bookmarkStart w:id="820" w:name="_Toc82882766"/>
      <w:bookmarkStart w:id="821" w:name="_Toc13853"/>
      <w:bookmarkStart w:id="822" w:name="_Toc5232"/>
      <w:r>
        <w:rPr>
          <w:rFonts w:hint="eastAsia" w:ascii="宋体" w:hAnsi="宋体" w:cs="宋体"/>
          <w:b/>
          <w:bCs/>
          <w:color w:val="auto"/>
          <w:sz w:val="36"/>
          <w:szCs w:val="36"/>
        </w:rPr>
        <w:t>建设依据</w:t>
      </w:r>
      <w:bookmarkEnd w:id="820"/>
      <w:bookmarkEnd w:id="821"/>
      <w:bookmarkEnd w:id="822"/>
    </w:p>
    <w:p>
      <w:pPr>
        <w:spacing w:before="156" w:after="156" w:line="360" w:lineRule="auto"/>
        <w:ind w:left="420"/>
        <w:jc w:val="left"/>
        <w:rPr>
          <w:rFonts w:ascii="宋体"/>
          <w:color w:val="auto"/>
          <w:sz w:val="24"/>
          <w:szCs w:val="24"/>
        </w:rPr>
      </w:pPr>
      <w:r>
        <w:rPr>
          <w:rFonts w:hint="eastAsia" w:ascii="宋体" w:hAnsi="宋体" w:cs="宋体"/>
          <w:color w:val="auto"/>
          <w:sz w:val="24"/>
          <w:szCs w:val="24"/>
        </w:rPr>
        <w:t>本次项目主要建设依据如下：</w:t>
      </w:r>
    </w:p>
    <w:p>
      <w:pPr>
        <w:numPr>
          <w:ilvl w:val="0"/>
          <w:numId w:val="11"/>
        </w:numPr>
        <w:spacing w:before="156" w:after="156" w:line="360" w:lineRule="auto"/>
        <w:ind w:left="840" w:hanging="420"/>
        <w:jc w:val="left"/>
        <w:rPr>
          <w:rFonts w:ascii="宋体"/>
          <w:color w:val="auto"/>
          <w:sz w:val="24"/>
          <w:szCs w:val="24"/>
        </w:rPr>
      </w:pPr>
      <w:r>
        <w:rPr>
          <w:rFonts w:hint="eastAsia" w:ascii="宋体" w:hAnsi="宋体" w:cs="宋体"/>
          <w:color w:val="auto"/>
          <w:sz w:val="24"/>
          <w:szCs w:val="24"/>
        </w:rPr>
        <w:t>中共中央</w:t>
      </w:r>
      <w:r>
        <w:rPr>
          <w:rFonts w:ascii="宋体" w:hAnsi="宋体" w:cs="宋体"/>
          <w:color w:val="auto"/>
          <w:sz w:val="24"/>
          <w:szCs w:val="24"/>
        </w:rPr>
        <w:t xml:space="preserve"> </w:t>
      </w:r>
      <w:r>
        <w:rPr>
          <w:rFonts w:hint="eastAsia" w:ascii="宋体" w:hAnsi="宋体" w:cs="宋体"/>
          <w:color w:val="auto"/>
          <w:sz w:val="24"/>
          <w:szCs w:val="24"/>
        </w:rPr>
        <w:t>国务院</w:t>
      </w:r>
      <w:r>
        <w:rPr>
          <w:rFonts w:ascii="宋体" w:hAnsi="宋体" w:cs="宋体"/>
          <w:color w:val="auto"/>
          <w:sz w:val="24"/>
          <w:szCs w:val="24"/>
        </w:rPr>
        <w:t xml:space="preserve"> </w:t>
      </w:r>
      <w:r>
        <w:rPr>
          <w:rFonts w:hint="eastAsia" w:ascii="宋体" w:hAnsi="宋体" w:cs="宋体"/>
          <w:color w:val="auto"/>
          <w:sz w:val="24"/>
          <w:szCs w:val="24"/>
        </w:rPr>
        <w:t>《“健康中国</w:t>
      </w:r>
      <w:r>
        <w:rPr>
          <w:rFonts w:ascii="宋体" w:hAnsi="宋体" w:cs="宋体"/>
          <w:color w:val="auto"/>
          <w:sz w:val="24"/>
          <w:szCs w:val="24"/>
        </w:rPr>
        <w:t>2030</w:t>
      </w:r>
      <w:r>
        <w:rPr>
          <w:rFonts w:hint="eastAsia" w:ascii="宋体" w:hAnsi="宋体" w:cs="宋体"/>
          <w:color w:val="auto"/>
          <w:sz w:val="24"/>
          <w:szCs w:val="24"/>
        </w:rPr>
        <w:t>”规划纲要》；</w:t>
      </w:r>
    </w:p>
    <w:p>
      <w:pPr>
        <w:numPr>
          <w:ilvl w:val="0"/>
          <w:numId w:val="11"/>
        </w:numPr>
        <w:spacing w:before="156" w:after="156" w:line="360" w:lineRule="auto"/>
        <w:ind w:left="840" w:hanging="420"/>
        <w:jc w:val="left"/>
        <w:rPr>
          <w:rFonts w:ascii="宋体"/>
          <w:color w:val="auto"/>
          <w:sz w:val="24"/>
          <w:szCs w:val="24"/>
        </w:rPr>
      </w:pPr>
      <w:r>
        <w:rPr>
          <w:rFonts w:hint="eastAsia" w:ascii="宋体" w:hAnsi="宋体" w:cs="宋体"/>
          <w:color w:val="auto"/>
          <w:sz w:val="24"/>
          <w:szCs w:val="24"/>
        </w:rPr>
        <w:t>国务院办公厅《关于推进医疗联合体建设和发展的指导意见》；</w:t>
      </w:r>
    </w:p>
    <w:p>
      <w:pPr>
        <w:numPr>
          <w:ilvl w:val="0"/>
          <w:numId w:val="11"/>
        </w:numPr>
        <w:spacing w:before="156" w:after="156" w:line="360" w:lineRule="auto"/>
        <w:ind w:left="840" w:hanging="420"/>
        <w:jc w:val="left"/>
        <w:rPr>
          <w:rFonts w:ascii="宋体"/>
          <w:color w:val="auto"/>
          <w:sz w:val="24"/>
          <w:szCs w:val="24"/>
        </w:rPr>
      </w:pPr>
      <w:r>
        <w:rPr>
          <w:rFonts w:hint="eastAsia" w:ascii="宋体" w:hAnsi="宋体" w:cs="宋体"/>
          <w:color w:val="auto"/>
          <w:sz w:val="24"/>
          <w:szCs w:val="24"/>
        </w:rPr>
        <w:t>国务院办公厅《关于促进和规范健康医疗大数据应用发展的指导意见》；</w:t>
      </w:r>
    </w:p>
    <w:p>
      <w:pPr>
        <w:numPr>
          <w:ilvl w:val="0"/>
          <w:numId w:val="11"/>
        </w:numPr>
        <w:spacing w:before="156" w:after="156" w:line="360" w:lineRule="auto"/>
        <w:ind w:left="840" w:hanging="420"/>
        <w:jc w:val="left"/>
        <w:rPr>
          <w:rFonts w:ascii="宋体"/>
          <w:color w:val="auto"/>
          <w:sz w:val="24"/>
          <w:szCs w:val="24"/>
        </w:rPr>
      </w:pPr>
      <w:r>
        <w:rPr>
          <w:rFonts w:hint="eastAsia" w:ascii="宋体" w:hAnsi="宋体" w:cs="宋体"/>
          <w:color w:val="auto"/>
          <w:sz w:val="24"/>
          <w:szCs w:val="24"/>
        </w:rPr>
        <w:t>十九大报告关于健康中国的战略要求；</w:t>
      </w:r>
    </w:p>
    <w:p>
      <w:pPr>
        <w:numPr>
          <w:ilvl w:val="0"/>
          <w:numId w:val="11"/>
        </w:numPr>
        <w:spacing w:before="156" w:after="156" w:line="360" w:lineRule="auto"/>
        <w:ind w:left="840" w:hanging="420"/>
        <w:jc w:val="left"/>
        <w:rPr>
          <w:rFonts w:ascii="宋体"/>
          <w:color w:val="auto"/>
          <w:sz w:val="24"/>
          <w:szCs w:val="24"/>
        </w:rPr>
      </w:pPr>
      <w:r>
        <w:rPr>
          <w:rFonts w:hint="eastAsia" w:ascii="宋体" w:hAnsi="宋体" w:cs="宋体"/>
          <w:color w:val="auto"/>
          <w:sz w:val="24"/>
          <w:szCs w:val="24"/>
        </w:rPr>
        <w:t>国家卫健委新试点的</w:t>
      </w:r>
      <w:r>
        <w:rPr>
          <w:rFonts w:ascii="宋体" w:hAnsi="宋体" w:cs="宋体"/>
          <w:color w:val="auto"/>
          <w:sz w:val="24"/>
          <w:szCs w:val="24"/>
        </w:rPr>
        <w:t>C-DRG</w:t>
      </w:r>
      <w:r>
        <w:rPr>
          <w:rFonts w:hint="eastAsia" w:ascii="宋体" w:hAnsi="宋体" w:cs="宋体"/>
          <w:color w:val="auto"/>
          <w:sz w:val="24"/>
          <w:szCs w:val="24"/>
        </w:rPr>
        <w:t>；</w:t>
      </w:r>
    </w:p>
    <w:p>
      <w:pPr>
        <w:numPr>
          <w:ilvl w:val="0"/>
          <w:numId w:val="11"/>
        </w:numPr>
        <w:spacing w:before="156" w:after="156" w:line="360" w:lineRule="auto"/>
        <w:ind w:left="840" w:hanging="420"/>
        <w:jc w:val="left"/>
        <w:rPr>
          <w:rFonts w:ascii="宋体"/>
          <w:color w:val="auto"/>
          <w:sz w:val="24"/>
          <w:szCs w:val="24"/>
        </w:rPr>
      </w:pPr>
      <w:r>
        <w:rPr>
          <w:rFonts w:hint="eastAsia" w:ascii="宋体" w:hAnsi="宋体" w:cs="宋体"/>
          <w:color w:val="auto"/>
          <w:sz w:val="24"/>
          <w:szCs w:val="24"/>
          <w:shd w:val="clear" w:color="auto" w:fill="FFFFFF"/>
        </w:rPr>
        <w:t>国家</w:t>
      </w:r>
      <w:r>
        <w:rPr>
          <w:rFonts w:hint="eastAsia" w:ascii="宋体" w:hAnsi="宋体" w:cs="宋体"/>
          <w:color w:val="auto"/>
          <w:sz w:val="24"/>
          <w:szCs w:val="24"/>
        </w:rPr>
        <w:t>卫健委</w:t>
      </w:r>
      <w:r>
        <w:rPr>
          <w:rFonts w:hint="eastAsia" w:ascii="宋体" w:hAnsi="宋体" w:cs="宋体"/>
          <w:color w:val="auto"/>
          <w:sz w:val="24"/>
          <w:szCs w:val="24"/>
          <w:shd w:val="clear" w:color="auto" w:fill="FFFFFF"/>
        </w:rPr>
        <w:t>等四部门</w:t>
      </w:r>
      <w:r>
        <w:rPr>
          <w:rFonts w:hint="eastAsia" w:ascii="宋体" w:hAnsi="宋体" w:cs="宋体"/>
          <w:color w:val="auto"/>
          <w:sz w:val="24"/>
          <w:szCs w:val="24"/>
        </w:rPr>
        <w:t>《关于加强公立医疗卫生机构绩效评价的指导意见》；</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《医院信息系统基本功能规范》；</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《电子病历基本架构与数据标准》；</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《基于电子病历的医院信息平台建设技术解决方案》；</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《电子病历系统功能应用水平分级评价方法及标准》；</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《基于电子病历的医院信息平台技术规范》（</w:t>
      </w:r>
      <w:r>
        <w:rPr>
          <w:rFonts w:ascii="宋体" w:hAnsi="宋体" w:cs="宋体"/>
          <w:color w:val="auto"/>
          <w:sz w:val="24"/>
          <w:szCs w:val="24"/>
        </w:rPr>
        <w:t>WS/T447-2014</w:t>
      </w:r>
      <w:r>
        <w:rPr>
          <w:rFonts w:hint="eastAsia" w:ascii="宋体" w:hAnsi="宋体" w:cs="宋体"/>
          <w:color w:val="auto"/>
          <w:sz w:val="24"/>
          <w:szCs w:val="24"/>
        </w:rPr>
        <w:t>）；</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《医院信息互联互通标准化成熟度测评方案》；</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《医院管理评价指南》；</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《医院信息化建设应用技术指引（</w:t>
      </w:r>
      <w:r>
        <w:rPr>
          <w:rFonts w:ascii="宋体" w:hAnsi="宋体" w:cs="宋体"/>
          <w:color w:val="auto"/>
          <w:sz w:val="24"/>
          <w:szCs w:val="24"/>
        </w:rPr>
        <w:t>2017</w:t>
      </w:r>
      <w:r>
        <w:rPr>
          <w:rFonts w:hint="eastAsia" w:ascii="宋体" w:hAnsi="宋体" w:cs="宋体"/>
          <w:color w:val="auto"/>
          <w:sz w:val="24"/>
          <w:szCs w:val="24"/>
        </w:rPr>
        <w:t>年版）》；</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《卫生部信息办关于推荐选择数字化试点示范医院的通知》；</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《基于健康档案的区域卫生信息平台建设指南》；</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《基于电子病历的医院信息系统建设技术解决方案》；</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《中华人民共和国计算机信息系统安全保护条例》；</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《信息安全等级保护管理办法》（公通字</w:t>
      </w:r>
      <w:r>
        <w:rPr>
          <w:rFonts w:ascii="宋体" w:hAnsi="宋体" w:cs="宋体"/>
          <w:color w:val="auto"/>
          <w:sz w:val="24"/>
          <w:szCs w:val="24"/>
        </w:rPr>
        <w:t>[2007]43</w:t>
      </w:r>
      <w:r>
        <w:rPr>
          <w:rFonts w:hint="eastAsia" w:ascii="宋体" w:hAnsi="宋体" w:cs="宋体"/>
          <w:color w:val="auto"/>
          <w:sz w:val="24"/>
          <w:szCs w:val="24"/>
        </w:rPr>
        <w:t>号）；</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《关于信息安全等级保护工作的实施意见》公通字</w:t>
      </w:r>
      <w:r>
        <w:rPr>
          <w:rFonts w:ascii="宋体" w:hAnsi="宋体" w:cs="宋体"/>
          <w:color w:val="auto"/>
          <w:sz w:val="24"/>
          <w:szCs w:val="24"/>
        </w:rPr>
        <w:t>[2004]66</w:t>
      </w:r>
      <w:r>
        <w:rPr>
          <w:rFonts w:hint="eastAsia" w:ascii="宋体" w:hAnsi="宋体" w:cs="宋体"/>
          <w:color w:val="auto"/>
          <w:sz w:val="24"/>
          <w:szCs w:val="24"/>
        </w:rPr>
        <w:t>号；</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《中华人民共和国电子签名法》；</w:t>
      </w:r>
    </w:p>
    <w:p>
      <w:pPr>
        <w:numPr>
          <w:ilvl w:val="0"/>
          <w:numId w:val="11"/>
        </w:numPr>
        <w:spacing w:before="156" w:after="156" w:line="360" w:lineRule="auto"/>
        <w:ind w:left="840" w:hanging="420"/>
        <w:rPr>
          <w:rFonts w:ascii="宋体"/>
          <w:color w:val="auto"/>
          <w:sz w:val="24"/>
          <w:szCs w:val="24"/>
        </w:rPr>
      </w:pPr>
      <w:r>
        <w:rPr>
          <w:rFonts w:ascii="宋体" w:hAnsi="宋体" w:cs="宋体"/>
          <w:color w:val="auto"/>
          <w:sz w:val="24"/>
          <w:szCs w:val="24"/>
        </w:rPr>
        <w:t>ISO20000</w:t>
      </w:r>
      <w:r>
        <w:rPr>
          <w:rFonts w:hint="eastAsia" w:ascii="宋体" w:hAnsi="宋体" w:cs="宋体"/>
          <w:color w:val="auto"/>
          <w:sz w:val="24"/>
          <w:szCs w:val="24"/>
        </w:rPr>
        <w:t>（</w:t>
      </w:r>
      <w:r>
        <w:rPr>
          <w:rFonts w:ascii="宋体" w:hAnsi="宋体" w:cs="宋体"/>
          <w:color w:val="auto"/>
          <w:sz w:val="24"/>
          <w:szCs w:val="24"/>
        </w:rPr>
        <w:t>ITIL</w:t>
      </w:r>
      <w:r>
        <w:rPr>
          <w:rFonts w:hint="eastAsia" w:ascii="宋体" w:hAnsi="宋体" w:cs="宋体"/>
          <w:color w:val="auto"/>
          <w:sz w:val="24"/>
          <w:szCs w:val="24"/>
        </w:rPr>
        <w:t>）信息系统服务管理；</w:t>
      </w:r>
    </w:p>
    <w:p>
      <w:pPr>
        <w:numPr>
          <w:ilvl w:val="0"/>
          <w:numId w:val="11"/>
        </w:numPr>
        <w:spacing w:before="156" w:after="156" w:line="360" w:lineRule="auto"/>
        <w:ind w:left="840" w:hanging="420"/>
        <w:rPr>
          <w:rFonts w:ascii="宋体"/>
          <w:color w:val="auto"/>
          <w:sz w:val="24"/>
          <w:szCs w:val="24"/>
        </w:rPr>
      </w:pPr>
      <w:r>
        <w:rPr>
          <w:rFonts w:hint="eastAsia" w:ascii="宋体" w:hAnsi="宋体" w:cs="宋体"/>
          <w:color w:val="auto"/>
          <w:sz w:val="24"/>
          <w:szCs w:val="24"/>
        </w:rPr>
        <w:t>……</w:t>
      </w:r>
    </w:p>
    <w:p>
      <w:pPr>
        <w:keepNext/>
        <w:keepLines/>
        <w:spacing w:before="156" w:after="156" w:line="416" w:lineRule="auto"/>
        <w:ind w:left="576"/>
        <w:outlineLvl w:val="0"/>
        <w:rPr>
          <w:rFonts w:ascii="宋体"/>
          <w:b/>
          <w:bCs/>
          <w:color w:val="auto"/>
          <w:sz w:val="36"/>
          <w:szCs w:val="36"/>
        </w:rPr>
      </w:pPr>
      <w:bookmarkStart w:id="823" w:name="_Toc3736"/>
      <w:bookmarkStart w:id="824" w:name="_Toc82882767"/>
      <w:bookmarkStart w:id="825" w:name="_Toc16253"/>
      <w:r>
        <w:rPr>
          <w:rFonts w:ascii="宋体" w:hAnsi="宋体" w:cs="宋体"/>
          <w:b/>
          <w:bCs/>
          <w:color w:val="auto"/>
          <w:sz w:val="36"/>
          <w:szCs w:val="36"/>
        </w:rPr>
        <w:t>2</w:t>
      </w:r>
      <w:r>
        <w:rPr>
          <w:rFonts w:hint="eastAsia" w:ascii="宋体" w:hAnsi="宋体" w:cs="宋体"/>
          <w:b/>
          <w:bCs/>
          <w:color w:val="auto"/>
          <w:sz w:val="36"/>
          <w:szCs w:val="36"/>
        </w:rPr>
        <w:t>、总体设计要求</w:t>
      </w:r>
      <w:bookmarkEnd w:id="823"/>
      <w:bookmarkEnd w:id="824"/>
      <w:bookmarkEnd w:id="825"/>
    </w:p>
    <w:p>
      <w:pPr>
        <w:keepNext/>
        <w:keepLines/>
        <w:spacing w:before="156" w:after="156" w:line="416" w:lineRule="auto"/>
        <w:ind w:left="720"/>
        <w:outlineLvl w:val="1"/>
        <w:rPr>
          <w:rFonts w:ascii="宋体"/>
          <w:b/>
          <w:bCs/>
          <w:color w:val="auto"/>
          <w:sz w:val="32"/>
          <w:szCs w:val="32"/>
        </w:rPr>
      </w:pPr>
      <w:bookmarkStart w:id="826" w:name="_Toc22653"/>
      <w:bookmarkStart w:id="827" w:name="_Toc82882768"/>
      <w:bookmarkStart w:id="828" w:name="_Toc6179"/>
      <w:r>
        <w:rPr>
          <w:rFonts w:ascii="宋体" w:hAnsi="宋体" w:cs="宋体"/>
          <w:b/>
          <w:bCs/>
          <w:color w:val="auto"/>
          <w:sz w:val="32"/>
          <w:szCs w:val="32"/>
        </w:rPr>
        <w:t>2.1</w:t>
      </w:r>
      <w:r>
        <w:rPr>
          <w:rFonts w:hint="eastAsia" w:ascii="宋体" w:hAnsi="宋体" w:cs="宋体"/>
          <w:b/>
          <w:bCs/>
          <w:color w:val="auto"/>
          <w:sz w:val="32"/>
          <w:szCs w:val="32"/>
        </w:rPr>
        <w:t>、应用架构设计要求</w:t>
      </w:r>
      <w:bookmarkEnd w:id="826"/>
      <w:bookmarkEnd w:id="827"/>
      <w:bookmarkEnd w:id="828"/>
    </w:p>
    <w:p>
      <w:pPr>
        <w:spacing w:before="156" w:after="156" w:line="360" w:lineRule="auto"/>
        <w:ind w:firstLine="480"/>
        <w:rPr>
          <w:rFonts w:ascii="宋体"/>
          <w:color w:val="auto"/>
          <w:sz w:val="24"/>
          <w:szCs w:val="24"/>
        </w:rPr>
      </w:pPr>
      <w:r>
        <w:rPr>
          <w:rFonts w:hint="eastAsia" w:ascii="宋体" w:hAnsi="宋体" w:cs="宋体"/>
          <w:color w:val="auto"/>
          <w:sz w:val="24"/>
          <w:szCs w:val="24"/>
        </w:rPr>
        <w:t>应用架构的设计关系到对多种系统质量属性的满足，应用系统的架构满足以下要求：</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多层的应用架构；</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基于组件的设计，用户可以根据需要按角色组合和配置组件</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具有用户可以管理工作流管理功能</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具有用户可以配置的规则引擎</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具有抽象的底层数据模型</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具有事件</w:t>
      </w:r>
      <w:r>
        <w:rPr>
          <w:rFonts w:ascii="宋体" w:hAnsi="宋体" w:cs="宋体"/>
          <w:color w:val="auto"/>
          <w:sz w:val="24"/>
          <w:szCs w:val="24"/>
        </w:rPr>
        <w:t>/</w:t>
      </w:r>
      <w:r>
        <w:rPr>
          <w:rFonts w:hint="eastAsia" w:ascii="宋体" w:hAnsi="宋体" w:cs="宋体"/>
          <w:color w:val="auto"/>
          <w:sz w:val="24"/>
          <w:szCs w:val="24"/>
        </w:rPr>
        <w:t>消息响应机制</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系统设计以</w:t>
      </w:r>
      <w:r>
        <w:rPr>
          <w:rFonts w:ascii="宋体" w:hAnsi="宋体" w:cs="宋体"/>
          <w:color w:val="auto"/>
          <w:sz w:val="24"/>
          <w:szCs w:val="24"/>
        </w:rPr>
        <w:t>EMR</w:t>
      </w:r>
      <w:r>
        <w:rPr>
          <w:rFonts w:hint="eastAsia" w:ascii="宋体" w:hAnsi="宋体" w:cs="宋体"/>
          <w:color w:val="auto"/>
          <w:sz w:val="24"/>
          <w:szCs w:val="24"/>
        </w:rPr>
        <w:t>为核心。</w:t>
      </w:r>
    </w:p>
    <w:p>
      <w:pPr>
        <w:numPr>
          <w:ilvl w:val="0"/>
          <w:numId w:val="12"/>
        </w:numPr>
        <w:spacing w:before="50" w:after="50" w:line="360" w:lineRule="auto"/>
        <w:ind w:left="1264" w:hanging="420"/>
        <w:rPr>
          <w:rFonts w:ascii="宋体"/>
          <w:color w:val="auto"/>
          <w:sz w:val="24"/>
          <w:szCs w:val="24"/>
        </w:rPr>
      </w:pPr>
      <w:r>
        <w:rPr>
          <w:rFonts w:hint="eastAsia" w:ascii="宋体" w:hAnsi="宋体" w:cs="宋体"/>
          <w:color w:val="auto"/>
          <w:sz w:val="24"/>
          <w:szCs w:val="24"/>
        </w:rPr>
        <w:t>具有良好的安全机制完成用户的认证、授权和数据保密。</w:t>
      </w:r>
    </w:p>
    <w:p>
      <w:pPr>
        <w:keepNext/>
        <w:keepLines/>
        <w:spacing w:before="156" w:after="156" w:line="416" w:lineRule="auto"/>
        <w:ind w:left="720"/>
        <w:outlineLvl w:val="1"/>
        <w:rPr>
          <w:rFonts w:ascii="宋体"/>
          <w:b/>
          <w:bCs/>
          <w:color w:val="auto"/>
          <w:sz w:val="32"/>
          <w:szCs w:val="32"/>
        </w:rPr>
      </w:pPr>
      <w:bookmarkStart w:id="829" w:name="_Toc82882769"/>
      <w:bookmarkStart w:id="830" w:name="_Toc3581"/>
      <w:bookmarkStart w:id="831" w:name="_Toc12278"/>
      <w:r>
        <w:rPr>
          <w:rFonts w:ascii="宋体" w:hAnsi="宋体" w:cs="宋体"/>
          <w:b/>
          <w:bCs/>
          <w:color w:val="auto"/>
          <w:sz w:val="32"/>
          <w:szCs w:val="32"/>
        </w:rPr>
        <w:t>2.2</w:t>
      </w:r>
      <w:r>
        <w:rPr>
          <w:rFonts w:hint="eastAsia" w:ascii="宋体" w:hAnsi="宋体" w:cs="宋体"/>
          <w:b/>
          <w:bCs/>
          <w:color w:val="auto"/>
          <w:sz w:val="32"/>
          <w:szCs w:val="32"/>
        </w:rPr>
        <w:t>、应用系统所需特性</w:t>
      </w:r>
      <w:bookmarkEnd w:id="829"/>
      <w:bookmarkEnd w:id="830"/>
      <w:bookmarkEnd w:id="831"/>
    </w:p>
    <w:p>
      <w:pPr>
        <w:spacing w:before="156" w:after="156" w:line="360" w:lineRule="auto"/>
        <w:ind w:firstLine="480"/>
        <w:rPr>
          <w:rFonts w:ascii="宋体"/>
          <w:color w:val="auto"/>
          <w:sz w:val="24"/>
          <w:szCs w:val="24"/>
        </w:rPr>
      </w:pPr>
      <w:r>
        <w:rPr>
          <w:rFonts w:hint="eastAsia" w:ascii="宋体" w:hAnsi="宋体" w:cs="宋体"/>
          <w:color w:val="auto"/>
          <w:sz w:val="24"/>
          <w:szCs w:val="24"/>
        </w:rPr>
        <w:t>为了满足可适应性、易操作性、以及适应医院未来的发展，应用系统需满足以下特性：</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支持用户自己可配置的规则管理，提供工具和功能，根据因业务规则和管理需求的变化而配置产品，使之能良好适应需求的变化，持续支撑医院业务发展</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支持用户可配置的工作流程管理，提供工具和功能，根据因环境或内部流程的变化而配置产品，使之能良好适应需求的变化，持续支撑医院业务发展</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用户可以按自己的习惯配置界面；提供简洁的操作；丰富的提示；一致的操作模式</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提供应用开发框架</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用户可以灵活地使用现有功能组件建立自己的应用</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可将用户开发的组件通过应用程序工具加入到应用</w:t>
      </w:r>
    </w:p>
    <w:p>
      <w:pPr>
        <w:numPr>
          <w:ilvl w:val="0"/>
          <w:numId w:val="13"/>
        </w:numPr>
        <w:tabs>
          <w:tab w:val="left" w:pos="1264"/>
        </w:tabs>
        <w:spacing w:before="50" w:after="50" w:line="360" w:lineRule="auto"/>
        <w:ind w:left="1264" w:hanging="420"/>
        <w:rPr>
          <w:rFonts w:ascii="宋体"/>
          <w:color w:val="auto"/>
          <w:sz w:val="24"/>
          <w:szCs w:val="24"/>
        </w:rPr>
      </w:pPr>
      <w:r>
        <w:rPr>
          <w:rFonts w:hint="eastAsia" w:ascii="宋体" w:hAnsi="宋体" w:cs="宋体"/>
          <w:color w:val="auto"/>
          <w:sz w:val="24"/>
          <w:szCs w:val="24"/>
        </w:rPr>
        <w:t>客户端能根据服务器的要求而自动升级</w:t>
      </w:r>
    </w:p>
    <w:p>
      <w:pPr>
        <w:numPr>
          <w:ilvl w:val="0"/>
          <w:numId w:val="13"/>
        </w:numPr>
        <w:tabs>
          <w:tab w:val="left" w:pos="1264"/>
        </w:tabs>
        <w:spacing w:before="50" w:after="50" w:line="360" w:lineRule="auto"/>
        <w:ind w:left="1264" w:hanging="420"/>
        <w:rPr>
          <w:rFonts w:ascii="宋体"/>
          <w:color w:val="auto"/>
          <w:sz w:val="24"/>
          <w:szCs w:val="24"/>
        </w:rPr>
      </w:pPr>
      <w:r>
        <w:rPr>
          <w:rFonts w:ascii="宋体" w:hAnsi="宋体" w:cs="宋体"/>
          <w:color w:val="auto"/>
          <w:sz w:val="24"/>
          <w:szCs w:val="24"/>
        </w:rPr>
        <w:t xml:space="preserve"> </w:t>
      </w:r>
    </w:p>
    <w:p>
      <w:pPr>
        <w:jc w:val="left"/>
        <w:rPr>
          <w:rFonts w:ascii="宋体"/>
          <w:b/>
          <w:bCs/>
          <w:color w:val="auto"/>
          <w:sz w:val="36"/>
          <w:szCs w:val="36"/>
        </w:rPr>
      </w:pPr>
    </w:p>
    <w:p>
      <w:pPr>
        <w:keepNext/>
        <w:keepLines/>
        <w:numPr>
          <w:ilvl w:val="0"/>
          <w:numId w:val="14"/>
        </w:numPr>
        <w:spacing w:before="156" w:after="156" w:line="416" w:lineRule="auto"/>
        <w:outlineLvl w:val="0"/>
        <w:rPr>
          <w:rFonts w:ascii="宋体"/>
          <w:b/>
          <w:bCs/>
          <w:color w:val="auto"/>
          <w:sz w:val="36"/>
          <w:szCs w:val="36"/>
        </w:rPr>
      </w:pPr>
      <w:bookmarkStart w:id="832" w:name="_Toc21164"/>
      <w:bookmarkStart w:id="833" w:name="_Toc6248"/>
      <w:bookmarkStart w:id="834" w:name="_Toc82882770"/>
      <w:r>
        <w:rPr>
          <w:rFonts w:hint="eastAsia" w:ascii="宋体" w:hAnsi="宋体" w:cs="宋体"/>
          <w:b/>
          <w:bCs/>
          <w:color w:val="auto"/>
          <w:sz w:val="36"/>
          <w:szCs w:val="36"/>
        </w:rPr>
        <w:t>建设内容清单</w:t>
      </w:r>
      <w:bookmarkEnd w:id="832"/>
      <w:bookmarkEnd w:id="833"/>
      <w:bookmarkEnd w:id="834"/>
    </w:p>
    <w:p>
      <w:pPr>
        <w:keepNext/>
        <w:keepLines/>
        <w:spacing w:before="156" w:after="156" w:line="416" w:lineRule="auto"/>
        <w:ind w:left="720"/>
        <w:outlineLvl w:val="1"/>
        <w:rPr>
          <w:rFonts w:ascii="宋体"/>
          <w:b/>
          <w:bCs/>
          <w:color w:val="auto"/>
          <w:sz w:val="32"/>
          <w:szCs w:val="32"/>
        </w:rPr>
      </w:pPr>
      <w:bookmarkStart w:id="835" w:name="_Toc32349"/>
      <w:bookmarkStart w:id="836" w:name="_Toc82882771"/>
      <w:bookmarkStart w:id="837" w:name="_Toc14553"/>
      <w:r>
        <w:rPr>
          <w:rFonts w:ascii="宋体" w:hAnsi="宋体" w:cs="宋体"/>
          <w:b/>
          <w:bCs/>
          <w:color w:val="auto"/>
          <w:sz w:val="32"/>
          <w:szCs w:val="32"/>
        </w:rPr>
        <w:t>3.1</w:t>
      </w:r>
      <w:r>
        <w:rPr>
          <w:rFonts w:hint="eastAsia" w:ascii="宋体" w:hAnsi="宋体" w:cs="宋体"/>
          <w:b/>
          <w:bCs/>
          <w:color w:val="auto"/>
          <w:sz w:val="32"/>
          <w:szCs w:val="32"/>
        </w:rPr>
        <w:t>、综合布线清单</w:t>
      </w:r>
      <w:bookmarkEnd w:id="835"/>
      <w:bookmarkEnd w:id="836"/>
      <w:bookmarkEnd w:id="837"/>
    </w:p>
    <w:tbl>
      <w:tblPr>
        <w:tblStyle w:val="21"/>
        <w:tblW w:w="0" w:type="auto"/>
        <w:tblInd w:w="2" w:type="dxa"/>
        <w:tblLayout w:type="autofit"/>
        <w:tblCellMar>
          <w:top w:w="0" w:type="dxa"/>
          <w:left w:w="10" w:type="dxa"/>
          <w:bottom w:w="0" w:type="dxa"/>
          <w:right w:w="10" w:type="dxa"/>
        </w:tblCellMar>
      </w:tblPr>
      <w:tblGrid>
        <w:gridCol w:w="1089"/>
        <w:gridCol w:w="4436"/>
        <w:gridCol w:w="1350"/>
        <w:gridCol w:w="1647"/>
      </w:tblGrid>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序号</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数量</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六类非屏蔽信息模块</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语音模块</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双口信息面板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4</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单口信息面板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5</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六类非屏蔽网线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160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箱</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6</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24 </w:t>
            </w:r>
            <w:r>
              <w:rPr>
                <w:rFonts w:hint="eastAsia" w:ascii="宋体" w:hAnsi="宋体" w:cs="宋体"/>
                <w:color w:val="auto"/>
                <w:kern w:val="0"/>
                <w:sz w:val="24"/>
                <w:szCs w:val="24"/>
              </w:rPr>
              <w:t>口六类非屏蔽配线架</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7</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24</w:t>
            </w:r>
            <w:r>
              <w:rPr>
                <w:rFonts w:hint="eastAsia" w:ascii="宋体" w:hAnsi="宋体" w:cs="宋体"/>
                <w:color w:val="auto"/>
                <w:kern w:val="0"/>
                <w:sz w:val="24"/>
                <w:szCs w:val="24"/>
              </w:rPr>
              <w:t>口理线器</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8</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六类非屏跳线</w:t>
            </w:r>
            <w:r>
              <w:rPr>
                <w:rFonts w:ascii="宋体" w:hAnsi="宋体" w:cs="宋体"/>
                <w:color w:val="auto"/>
                <w:kern w:val="0"/>
                <w:sz w:val="24"/>
                <w:szCs w:val="24"/>
              </w:rPr>
              <w:t xml:space="preserve"> 3 </w:t>
            </w:r>
            <w:r>
              <w:rPr>
                <w:rFonts w:hint="eastAsia" w:ascii="宋体" w:hAnsi="宋体" w:cs="宋体"/>
                <w:color w:val="auto"/>
                <w:kern w:val="0"/>
                <w:sz w:val="24"/>
                <w:szCs w:val="24"/>
              </w:rPr>
              <w:t>米</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750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根</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9</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24 </w:t>
            </w:r>
            <w:r>
              <w:rPr>
                <w:rFonts w:hint="eastAsia" w:ascii="宋体" w:hAnsi="宋体" w:cs="宋体"/>
                <w:color w:val="auto"/>
                <w:kern w:val="0"/>
                <w:sz w:val="24"/>
                <w:szCs w:val="24"/>
              </w:rPr>
              <w:t>口光纤配线架</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10</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光纤跳线</w:t>
            </w:r>
            <w:r>
              <w:rPr>
                <w:rFonts w:ascii="宋体" w:hAnsi="宋体" w:cs="宋体"/>
                <w:color w:val="auto"/>
                <w:kern w:val="0"/>
                <w:sz w:val="24"/>
                <w:szCs w:val="24"/>
              </w:rPr>
              <w:t xml:space="preserve"> LC-LC 1 </w:t>
            </w:r>
            <w:r>
              <w:rPr>
                <w:rFonts w:hint="eastAsia" w:ascii="宋体" w:hAnsi="宋体" w:cs="宋体"/>
                <w:color w:val="auto"/>
                <w:kern w:val="0"/>
                <w:sz w:val="24"/>
                <w:szCs w:val="24"/>
              </w:rPr>
              <w:t>米</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16</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根</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11</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多模光纤尾纤</w:t>
            </w:r>
            <w:r>
              <w:rPr>
                <w:rFonts w:ascii="宋体" w:hAnsi="宋体" w:cs="宋体"/>
                <w:color w:val="auto"/>
                <w:kern w:val="0"/>
                <w:sz w:val="24"/>
                <w:szCs w:val="24"/>
              </w:rPr>
              <w:t xml:space="preserve"> LC</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16</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根</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12</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24 </w:t>
            </w:r>
            <w:r>
              <w:rPr>
                <w:rFonts w:hint="eastAsia" w:ascii="宋体" w:hAnsi="宋体" w:cs="宋体"/>
                <w:color w:val="auto"/>
                <w:kern w:val="0"/>
                <w:sz w:val="24"/>
                <w:szCs w:val="24"/>
              </w:rPr>
              <w:t>芯室内多模</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13</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PVC </w:t>
            </w:r>
            <w:r>
              <w:rPr>
                <w:rFonts w:hint="eastAsia" w:ascii="宋体" w:hAnsi="宋体" w:cs="宋体"/>
                <w:color w:val="auto"/>
                <w:kern w:val="0"/>
                <w:sz w:val="24"/>
                <w:szCs w:val="24"/>
              </w:rPr>
              <w:t>线管</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1200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14</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室内单模光缆</w:t>
            </w:r>
            <w:r>
              <w:rPr>
                <w:rFonts w:ascii="宋体" w:hAnsi="宋体" w:cs="宋体"/>
                <w:color w:val="auto"/>
                <w:kern w:val="0"/>
                <w:sz w:val="24"/>
                <w:szCs w:val="24"/>
              </w:rPr>
              <w:t xml:space="preserve"> 24 </w:t>
            </w:r>
            <w:r>
              <w:rPr>
                <w:rFonts w:hint="eastAsia" w:ascii="宋体" w:hAnsi="宋体" w:cs="宋体"/>
                <w:color w:val="auto"/>
                <w:kern w:val="0"/>
                <w:sz w:val="24"/>
                <w:szCs w:val="24"/>
              </w:rPr>
              <w:t>芯</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1800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15</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86 </w:t>
            </w:r>
            <w:r>
              <w:rPr>
                <w:rFonts w:hint="eastAsia" w:ascii="宋体" w:hAnsi="宋体" w:cs="宋体"/>
                <w:color w:val="auto"/>
                <w:kern w:val="0"/>
                <w:sz w:val="24"/>
                <w:szCs w:val="24"/>
              </w:rPr>
              <w:t>底盒</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16</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ODF </w:t>
            </w:r>
            <w:r>
              <w:rPr>
                <w:rFonts w:hint="eastAsia" w:ascii="宋体" w:hAnsi="宋体" w:cs="宋体"/>
                <w:color w:val="auto"/>
                <w:kern w:val="0"/>
                <w:sz w:val="24"/>
                <w:szCs w:val="24"/>
              </w:rPr>
              <w:t>架</w:t>
            </w:r>
            <w:r>
              <w:rPr>
                <w:rFonts w:ascii="宋体" w:hAnsi="宋体" w:cs="宋体"/>
                <w:color w:val="auto"/>
                <w:kern w:val="0"/>
                <w:sz w:val="24"/>
                <w:szCs w:val="24"/>
              </w:rPr>
              <w:t xml:space="preserve"> 96 </w:t>
            </w:r>
            <w:r>
              <w:rPr>
                <w:rFonts w:hint="eastAsia" w:ascii="宋体" w:hAnsi="宋体" w:cs="宋体"/>
                <w:color w:val="auto"/>
                <w:kern w:val="0"/>
                <w:sz w:val="24"/>
                <w:szCs w:val="24"/>
              </w:rPr>
              <w:t>口</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17</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ODF </w:t>
            </w:r>
            <w:r>
              <w:rPr>
                <w:rFonts w:hint="eastAsia" w:ascii="宋体" w:hAnsi="宋体" w:cs="宋体"/>
                <w:color w:val="auto"/>
                <w:kern w:val="0"/>
                <w:sz w:val="24"/>
                <w:szCs w:val="24"/>
              </w:rPr>
              <w:t>架</w:t>
            </w:r>
            <w:r>
              <w:rPr>
                <w:rFonts w:ascii="宋体" w:hAnsi="宋体" w:cs="宋体"/>
                <w:color w:val="auto"/>
                <w:kern w:val="0"/>
                <w:sz w:val="24"/>
                <w:szCs w:val="24"/>
              </w:rPr>
              <w:t xml:space="preserve"> 24 </w:t>
            </w:r>
            <w:r>
              <w:rPr>
                <w:rFonts w:hint="eastAsia" w:ascii="宋体" w:hAnsi="宋体" w:cs="宋体"/>
                <w:color w:val="auto"/>
                <w:kern w:val="0"/>
                <w:sz w:val="24"/>
                <w:szCs w:val="24"/>
              </w:rPr>
              <w:t>口</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18</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3 </w:t>
            </w:r>
            <w:r>
              <w:rPr>
                <w:rFonts w:hint="eastAsia" w:ascii="宋体" w:hAnsi="宋体" w:cs="宋体"/>
                <w:color w:val="auto"/>
                <w:kern w:val="0"/>
                <w:sz w:val="24"/>
                <w:szCs w:val="24"/>
              </w:rPr>
              <w:t>米跳线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对</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19</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10 </w:t>
            </w:r>
            <w:r>
              <w:rPr>
                <w:rFonts w:hint="eastAsia" w:ascii="宋体" w:hAnsi="宋体" w:cs="宋体"/>
                <w:color w:val="auto"/>
                <w:kern w:val="0"/>
                <w:sz w:val="24"/>
                <w:szCs w:val="24"/>
              </w:rPr>
              <w:t>米跳线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对</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20</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1:32 </w:t>
            </w:r>
            <w:r>
              <w:rPr>
                <w:rFonts w:hint="eastAsia" w:ascii="宋体" w:hAnsi="宋体" w:cs="宋体"/>
                <w:color w:val="auto"/>
                <w:kern w:val="0"/>
                <w:sz w:val="24"/>
                <w:szCs w:val="24"/>
              </w:rPr>
              <w:t>分纤箱</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9</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21</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管道七孔梅花管（外网顶管作业）</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22</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人井</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23</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KBG </w:t>
            </w:r>
            <w:r>
              <w:rPr>
                <w:rFonts w:hint="eastAsia" w:ascii="宋体" w:hAnsi="宋体" w:cs="宋体"/>
                <w:color w:val="auto"/>
                <w:kern w:val="0"/>
                <w:sz w:val="24"/>
                <w:szCs w:val="24"/>
              </w:rPr>
              <w:t>钢管</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24</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金属线槽</w:t>
            </w:r>
            <w:r>
              <w:rPr>
                <w:rFonts w:ascii="宋体" w:hAnsi="宋体" w:cs="宋体"/>
                <w:color w:val="auto"/>
                <w:kern w:val="0"/>
                <w:sz w:val="24"/>
                <w:szCs w:val="24"/>
              </w:rPr>
              <w:t xml:space="preserve">(1.2 </w:t>
            </w:r>
            <w:r>
              <w:rPr>
                <w:rFonts w:hint="eastAsia" w:ascii="宋体" w:hAnsi="宋体" w:cs="宋体"/>
                <w:color w:val="auto"/>
                <w:kern w:val="0"/>
                <w:sz w:val="24"/>
                <w:szCs w:val="24"/>
              </w:rPr>
              <w:t>厚</w:t>
            </w:r>
            <w:r>
              <w:rPr>
                <w:rFonts w:ascii="宋体" w:hAnsi="宋体" w:cs="宋体"/>
                <w:color w:val="auto"/>
                <w:kern w:val="0"/>
                <w:sz w:val="24"/>
                <w:szCs w:val="24"/>
              </w:rPr>
              <w:t>)200</w:t>
            </w:r>
            <w:r>
              <w:rPr>
                <w:rFonts w:hint="eastAsia" w:ascii="宋体" w:hAnsi="宋体" w:cs="宋体"/>
                <w:color w:val="auto"/>
                <w:kern w:val="0"/>
                <w:sz w:val="24"/>
                <w:szCs w:val="24"/>
              </w:rPr>
              <w:t>＊</w:t>
            </w:r>
            <w:r>
              <w:rPr>
                <w:rFonts w:ascii="宋体" w:hAnsi="宋体" w:cs="宋体"/>
                <w:color w:val="auto"/>
                <w:kern w:val="0"/>
                <w:sz w:val="24"/>
                <w:szCs w:val="24"/>
              </w:rPr>
              <w:t>100</w:t>
            </w:r>
            <w:r>
              <w:rPr>
                <w:rFonts w:hint="eastAsia" w:ascii="宋体" w:hAnsi="宋体" w:cs="宋体"/>
                <w:color w:val="auto"/>
                <w:kern w:val="0"/>
                <w:sz w:val="24"/>
                <w:szCs w:val="24"/>
              </w:rPr>
              <w:t>国标</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25</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弱电桥架</w:t>
            </w:r>
            <w:r>
              <w:rPr>
                <w:rFonts w:ascii="宋体" w:hAnsi="宋体" w:cs="宋体"/>
                <w:color w:val="auto"/>
                <w:kern w:val="0"/>
                <w:sz w:val="24"/>
                <w:szCs w:val="24"/>
              </w:rPr>
              <w:t>200</w:t>
            </w:r>
            <w:r>
              <w:rPr>
                <w:rFonts w:hint="eastAsia" w:ascii="宋体" w:hAnsi="宋体" w:cs="宋体"/>
                <w:color w:val="auto"/>
                <w:kern w:val="0"/>
                <w:sz w:val="24"/>
                <w:szCs w:val="24"/>
              </w:rPr>
              <w:t>＊</w:t>
            </w:r>
            <w:r>
              <w:rPr>
                <w:rFonts w:ascii="宋体" w:hAnsi="宋体" w:cs="宋体"/>
                <w:color w:val="auto"/>
                <w:kern w:val="0"/>
                <w:sz w:val="24"/>
                <w:szCs w:val="24"/>
              </w:rPr>
              <w:t>100</w:t>
            </w:r>
            <w:r>
              <w:rPr>
                <w:rFonts w:hint="eastAsia" w:ascii="宋体" w:hAnsi="宋体" w:cs="宋体"/>
                <w:color w:val="auto"/>
                <w:kern w:val="0"/>
                <w:sz w:val="24"/>
                <w:szCs w:val="24"/>
              </w:rPr>
              <w:t>国标</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26</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弱电井配电箱</w:t>
            </w:r>
            <w:r>
              <w:rPr>
                <w:rFonts w:ascii="宋体" w:hAnsi="宋体" w:cs="宋体"/>
                <w:color w:val="auto"/>
                <w:kern w:val="0"/>
                <w:sz w:val="24"/>
                <w:szCs w:val="24"/>
              </w:rPr>
              <w:t>(</w:t>
            </w:r>
            <w:r>
              <w:rPr>
                <w:rFonts w:hint="eastAsia" w:ascii="宋体" w:hAnsi="宋体" w:cs="宋体"/>
                <w:color w:val="auto"/>
                <w:kern w:val="0"/>
                <w:sz w:val="24"/>
                <w:szCs w:val="24"/>
              </w:rPr>
              <w:t>总</w:t>
            </w:r>
            <w:r>
              <w:rPr>
                <w:rFonts w:ascii="宋体" w:hAnsi="宋体" w:cs="宋体"/>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27</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弱电井配电箱</w:t>
            </w:r>
            <w:r>
              <w:rPr>
                <w:rFonts w:ascii="宋体" w:hAnsi="宋体" w:cs="宋体"/>
                <w:color w:val="auto"/>
                <w:kern w:val="0"/>
                <w:sz w:val="24"/>
                <w:szCs w:val="24"/>
              </w:rPr>
              <w:t>(</w:t>
            </w:r>
            <w:r>
              <w:rPr>
                <w:rFonts w:hint="eastAsia" w:ascii="宋体" w:hAnsi="宋体" w:cs="宋体"/>
                <w:color w:val="auto"/>
                <w:kern w:val="0"/>
                <w:sz w:val="24"/>
                <w:szCs w:val="24"/>
              </w:rPr>
              <w:t>分</w:t>
            </w:r>
            <w:r>
              <w:rPr>
                <w:rFonts w:ascii="宋体" w:hAnsi="宋体" w:cs="宋体"/>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28</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机柜散力架</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29</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光纤熔接</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芯</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30</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六类跳线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700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条</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31</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w:t>
            </w:r>
            <w:r>
              <w:rPr>
                <w:rFonts w:hint="eastAsia" w:ascii="宋体" w:hAnsi="宋体" w:cs="宋体"/>
                <w:color w:val="auto"/>
                <w:kern w:val="0"/>
                <w:sz w:val="24"/>
                <w:szCs w:val="24"/>
              </w:rPr>
              <w:t>类跳线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条</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32</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24</w:t>
            </w:r>
            <w:r>
              <w:rPr>
                <w:rFonts w:hint="eastAsia" w:ascii="宋体" w:hAnsi="宋体" w:cs="宋体"/>
                <w:color w:val="auto"/>
                <w:kern w:val="0"/>
                <w:sz w:val="24"/>
                <w:szCs w:val="24"/>
              </w:rPr>
              <w:t>口配线架</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33</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24</w:t>
            </w:r>
            <w:r>
              <w:rPr>
                <w:rFonts w:hint="eastAsia" w:ascii="宋体" w:hAnsi="宋体" w:cs="宋体"/>
                <w:color w:val="auto"/>
                <w:kern w:val="0"/>
                <w:sz w:val="24"/>
                <w:szCs w:val="24"/>
              </w:rPr>
              <w:t>口理线器</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34</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42U600*800</w:t>
            </w:r>
            <w:r>
              <w:rPr>
                <w:rFonts w:hint="eastAsia" w:ascii="宋体" w:hAnsi="宋体" w:cs="宋体"/>
                <w:color w:val="auto"/>
                <w:kern w:val="0"/>
                <w:sz w:val="24"/>
                <w:szCs w:val="24"/>
              </w:rPr>
              <w:t>机柜</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12</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35</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6U</w:t>
            </w:r>
            <w:r>
              <w:rPr>
                <w:rFonts w:hint="eastAsia" w:ascii="宋体" w:hAnsi="宋体" w:cs="宋体"/>
                <w:color w:val="auto"/>
                <w:kern w:val="0"/>
                <w:sz w:val="24"/>
                <w:szCs w:val="24"/>
              </w:rPr>
              <w:t>壁挂机柜</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36</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接入汇聚交换机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37</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老院综合布线</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180</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点</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38</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老院综合布线交换机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16</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39</w:t>
            </w:r>
          </w:p>
        </w:tc>
        <w:tc>
          <w:tcPr>
            <w:tcW w:w="4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老院机房整改</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16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次</w:t>
            </w:r>
          </w:p>
        </w:tc>
      </w:tr>
    </w:tbl>
    <w:p>
      <w:pPr>
        <w:spacing w:before="50" w:after="50" w:line="360" w:lineRule="auto"/>
        <w:rPr>
          <w:rFonts w:ascii="宋体"/>
          <w:color w:val="auto"/>
          <w:sz w:val="24"/>
          <w:szCs w:val="24"/>
        </w:rPr>
      </w:pPr>
    </w:p>
    <w:p>
      <w:pPr>
        <w:keepNext/>
        <w:keepLines/>
        <w:spacing w:before="156" w:after="156" w:line="416" w:lineRule="auto"/>
        <w:ind w:left="720"/>
        <w:outlineLvl w:val="1"/>
        <w:rPr>
          <w:rFonts w:ascii="宋体"/>
          <w:b/>
          <w:bCs/>
          <w:color w:val="auto"/>
          <w:sz w:val="32"/>
          <w:szCs w:val="32"/>
        </w:rPr>
      </w:pPr>
      <w:bookmarkStart w:id="838" w:name="_Toc82882772"/>
      <w:bookmarkStart w:id="839" w:name="_Toc9395"/>
      <w:bookmarkStart w:id="840" w:name="_Toc13527"/>
      <w:r>
        <w:rPr>
          <w:rFonts w:ascii="宋体" w:hAnsi="宋体" w:cs="宋体"/>
          <w:b/>
          <w:bCs/>
          <w:color w:val="auto"/>
          <w:sz w:val="32"/>
          <w:szCs w:val="32"/>
        </w:rPr>
        <w:t>3.2</w:t>
      </w:r>
      <w:r>
        <w:rPr>
          <w:rFonts w:hint="eastAsia" w:ascii="宋体" w:hAnsi="宋体" w:cs="宋体"/>
          <w:b/>
          <w:bCs/>
          <w:color w:val="auto"/>
          <w:sz w:val="32"/>
          <w:szCs w:val="32"/>
        </w:rPr>
        <w:t>、中心机房建设</w:t>
      </w:r>
      <w:bookmarkEnd w:id="838"/>
      <w:bookmarkEnd w:id="839"/>
      <w:bookmarkEnd w:id="840"/>
    </w:p>
    <w:p>
      <w:pPr>
        <w:keepNext/>
        <w:keepLines/>
        <w:spacing w:before="156" w:after="156" w:line="416" w:lineRule="auto"/>
        <w:ind w:left="720"/>
        <w:outlineLvl w:val="1"/>
        <w:rPr>
          <w:rFonts w:ascii="宋体"/>
          <w:color w:val="auto"/>
        </w:rPr>
      </w:pPr>
      <w:bookmarkStart w:id="841" w:name="_Toc82882773"/>
      <w:bookmarkStart w:id="842" w:name="_Toc13633"/>
      <w:bookmarkStart w:id="843" w:name="_Toc5053"/>
      <w:r>
        <w:rPr>
          <w:rFonts w:ascii="宋体" w:hAnsi="宋体" w:cs="宋体"/>
          <w:b/>
          <w:bCs/>
          <w:color w:val="auto"/>
          <w:sz w:val="28"/>
          <w:szCs w:val="28"/>
        </w:rPr>
        <w:t>3.2.1</w:t>
      </w:r>
      <w:r>
        <w:rPr>
          <w:rFonts w:hint="eastAsia" w:ascii="宋体" w:hAnsi="宋体" w:cs="宋体"/>
          <w:b/>
          <w:bCs/>
          <w:color w:val="auto"/>
          <w:sz w:val="28"/>
          <w:szCs w:val="28"/>
        </w:rPr>
        <w:t>、机房装修及消防接地</w:t>
      </w:r>
      <w:bookmarkEnd w:id="841"/>
      <w:bookmarkEnd w:id="842"/>
      <w:bookmarkEnd w:id="843"/>
    </w:p>
    <w:tbl>
      <w:tblPr>
        <w:tblStyle w:val="21"/>
        <w:tblW w:w="0" w:type="auto"/>
        <w:jc w:val="center"/>
        <w:tblLayout w:type="autofit"/>
        <w:tblCellMar>
          <w:top w:w="0" w:type="dxa"/>
          <w:left w:w="10" w:type="dxa"/>
          <w:bottom w:w="0" w:type="dxa"/>
          <w:right w:w="10" w:type="dxa"/>
        </w:tblCellMar>
      </w:tblPr>
      <w:tblGrid>
        <w:gridCol w:w="1105"/>
        <w:gridCol w:w="4395"/>
        <w:gridCol w:w="1365"/>
        <w:gridCol w:w="1657"/>
      </w:tblGrid>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序号</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数量</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73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铜排</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接地引线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等电位处理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点</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4</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接地汇流排</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5</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接地模块</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块</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6</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降阻剂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袋</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7</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防腐剂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桶</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8</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接地扁铁</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9</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挖土方</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立方</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10</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回填土方</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立方</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11</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铝板吊顶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12</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防尘漆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13</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踢脚线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36</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14</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散力架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15</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玻璃隔断</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16</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窗户封堵</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17</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金属装饰板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18</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方钢支架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平米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19</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LED </w:t>
            </w:r>
            <w:r>
              <w:rPr>
                <w:rFonts w:hint="eastAsia" w:ascii="宋体" w:hAnsi="宋体" w:cs="宋体"/>
                <w:color w:val="auto"/>
                <w:kern w:val="0"/>
                <w:sz w:val="24"/>
                <w:szCs w:val="24"/>
              </w:rPr>
              <w:t>灯</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支</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20</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指示灯</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64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21</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应急灯</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22</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电源线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卷</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23</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探测器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24</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探测器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25</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b/>
                <w:bCs/>
                <w:color w:val="auto"/>
                <w:kern w:val="0"/>
                <w:sz w:val="24"/>
                <w:szCs w:val="24"/>
              </w:rPr>
            </w:pPr>
            <w:r>
              <w:rPr>
                <w:rFonts w:hint="eastAsia" w:ascii="宋体" w:hAnsi="宋体" w:cs="宋体"/>
                <w:color w:val="auto"/>
                <w:kern w:val="0"/>
                <w:sz w:val="24"/>
                <w:szCs w:val="24"/>
              </w:rPr>
              <w:t>指示灯</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b/>
                <w:bCs/>
                <w:color w:val="auto"/>
                <w:kern w:val="0"/>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b/>
                <w:bCs/>
                <w:color w:val="auto"/>
                <w:kern w:val="0"/>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26</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按钮</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27</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报警器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28</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控制器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29</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消防电源线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批</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30</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 xml:space="preserve">UPS </w:t>
            </w:r>
            <w:r>
              <w:rPr>
                <w:rFonts w:hint="eastAsia" w:ascii="宋体" w:hAnsi="宋体" w:cs="宋体"/>
                <w:color w:val="auto"/>
                <w:kern w:val="0"/>
                <w:sz w:val="24"/>
                <w:szCs w:val="24"/>
              </w:rPr>
              <w:t>供电线缆</w:t>
            </w:r>
            <w:r>
              <w:rPr>
                <w:rFonts w:ascii="宋体" w:hAnsi="宋体" w:cs="宋体"/>
                <w:color w:val="auto"/>
                <w:kern w:val="0"/>
                <w:sz w:val="24"/>
                <w:szCs w:val="24"/>
              </w:rPr>
              <w:t xml:space="preserve"> BV6 </w:t>
            </w:r>
            <w:r>
              <w:rPr>
                <w:rFonts w:hint="eastAsia" w:ascii="宋体" w:hAnsi="宋体" w:cs="宋体"/>
                <w:color w:val="auto"/>
                <w:kern w:val="0"/>
                <w:sz w:val="24"/>
                <w:szCs w:val="24"/>
              </w:rPr>
              <w:t>平方</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60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31</w:t>
            </w:r>
          </w:p>
        </w:tc>
        <w:tc>
          <w:tcPr>
            <w:tcW w:w="43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金属线管</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15</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根</w:t>
            </w:r>
          </w:p>
        </w:tc>
      </w:tr>
    </w:tbl>
    <w:p>
      <w:pPr>
        <w:keepNext/>
        <w:keepLines/>
        <w:spacing w:before="156" w:after="156" w:line="416" w:lineRule="auto"/>
        <w:ind w:left="720"/>
        <w:outlineLvl w:val="1"/>
        <w:rPr>
          <w:rFonts w:ascii="宋体"/>
          <w:b/>
          <w:bCs/>
          <w:color w:val="auto"/>
          <w:sz w:val="28"/>
          <w:szCs w:val="28"/>
        </w:rPr>
      </w:pPr>
      <w:bookmarkStart w:id="844" w:name="_Toc82882774"/>
      <w:bookmarkStart w:id="845" w:name="_Toc5207"/>
      <w:bookmarkStart w:id="846" w:name="_Toc8984"/>
      <w:r>
        <w:rPr>
          <w:rFonts w:ascii="宋体" w:hAnsi="宋体" w:cs="宋体"/>
          <w:b/>
          <w:bCs/>
          <w:color w:val="auto"/>
          <w:sz w:val="28"/>
          <w:szCs w:val="28"/>
        </w:rPr>
        <w:t>3.2.2</w:t>
      </w:r>
      <w:r>
        <w:rPr>
          <w:rFonts w:hint="eastAsia" w:ascii="宋体" w:hAnsi="宋体" w:cs="宋体"/>
          <w:b/>
          <w:bCs/>
          <w:color w:val="auto"/>
          <w:sz w:val="28"/>
          <w:szCs w:val="28"/>
        </w:rPr>
        <w:t>、模块化机房</w:t>
      </w:r>
      <w:bookmarkEnd w:id="844"/>
      <w:bookmarkEnd w:id="845"/>
      <w:bookmarkEnd w:id="846"/>
    </w:p>
    <w:tbl>
      <w:tblPr>
        <w:tblStyle w:val="21"/>
        <w:tblW w:w="0" w:type="auto"/>
        <w:jc w:val="center"/>
        <w:tblLayout w:type="autofit"/>
        <w:tblCellMar>
          <w:top w:w="0" w:type="dxa"/>
          <w:left w:w="10" w:type="dxa"/>
          <w:bottom w:w="0" w:type="dxa"/>
          <w:right w:w="10" w:type="dxa"/>
        </w:tblCellMar>
      </w:tblPr>
      <w:tblGrid>
        <w:gridCol w:w="1105"/>
        <w:gridCol w:w="4393"/>
        <w:gridCol w:w="1367"/>
        <w:gridCol w:w="1657"/>
      </w:tblGrid>
      <w:tr>
        <w:tblPrEx>
          <w:tblCellMar>
            <w:top w:w="0" w:type="dxa"/>
            <w:left w:w="10" w:type="dxa"/>
            <w:bottom w:w="0" w:type="dxa"/>
            <w:right w:w="10" w:type="dxa"/>
          </w:tblCellMar>
        </w:tblPrEx>
        <w:trPr>
          <w:trHeight w:val="49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序号</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设备名称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数量</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6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基础柜</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518"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空调外机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407"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IT</w:t>
            </w:r>
            <w:r>
              <w:rPr>
                <w:rFonts w:hint="eastAsia" w:ascii="宋体" w:hAnsi="宋体" w:cs="宋体"/>
                <w:color w:val="auto"/>
                <w:kern w:val="0"/>
                <w:sz w:val="24"/>
                <w:szCs w:val="24"/>
              </w:rPr>
              <w:t>机柜</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742"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PDU</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618"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水浸</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77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温湿度传感器</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77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视频网络</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77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空调安装组件</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77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电池柜</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77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蓄电池</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64</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块</w:t>
            </w:r>
          </w:p>
        </w:tc>
      </w:tr>
      <w:tr>
        <w:tblPrEx>
          <w:tblCellMar>
            <w:top w:w="0" w:type="dxa"/>
            <w:left w:w="10" w:type="dxa"/>
            <w:bottom w:w="0" w:type="dxa"/>
            <w:right w:w="10" w:type="dxa"/>
          </w:tblCellMar>
        </w:tblPrEx>
        <w:trPr>
          <w:trHeight w:val="77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11</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安装调试</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项</w:t>
            </w:r>
          </w:p>
        </w:tc>
      </w:tr>
    </w:tbl>
    <w:p>
      <w:pPr>
        <w:keepNext/>
        <w:keepLines/>
        <w:spacing w:before="156" w:after="156" w:line="416" w:lineRule="auto"/>
        <w:ind w:left="720"/>
        <w:outlineLvl w:val="1"/>
        <w:rPr>
          <w:rFonts w:ascii="宋体"/>
          <w:b/>
          <w:bCs/>
          <w:color w:val="auto"/>
          <w:sz w:val="28"/>
          <w:szCs w:val="28"/>
        </w:rPr>
      </w:pPr>
      <w:bookmarkStart w:id="847" w:name="_Toc82882775"/>
      <w:bookmarkStart w:id="848" w:name="_Toc12934"/>
      <w:bookmarkStart w:id="849" w:name="_Toc17109"/>
      <w:r>
        <w:rPr>
          <w:rFonts w:ascii="宋体" w:hAnsi="宋体" w:cs="宋体"/>
          <w:b/>
          <w:bCs/>
          <w:color w:val="auto"/>
          <w:sz w:val="28"/>
          <w:szCs w:val="28"/>
        </w:rPr>
        <w:t>3.2.3</w:t>
      </w:r>
      <w:r>
        <w:rPr>
          <w:rFonts w:hint="eastAsia" w:ascii="宋体" w:hAnsi="宋体" w:cs="宋体"/>
          <w:b/>
          <w:bCs/>
          <w:color w:val="auto"/>
          <w:sz w:val="28"/>
          <w:szCs w:val="28"/>
        </w:rPr>
        <w:t>、核心交接系统</w:t>
      </w:r>
      <w:bookmarkEnd w:id="847"/>
      <w:bookmarkEnd w:id="848"/>
      <w:bookmarkEnd w:id="849"/>
    </w:p>
    <w:tbl>
      <w:tblPr>
        <w:tblStyle w:val="21"/>
        <w:tblW w:w="0" w:type="auto"/>
        <w:jc w:val="center"/>
        <w:tblLayout w:type="autofit"/>
        <w:tblCellMar>
          <w:top w:w="0" w:type="dxa"/>
          <w:left w:w="10" w:type="dxa"/>
          <w:bottom w:w="0" w:type="dxa"/>
          <w:right w:w="10" w:type="dxa"/>
        </w:tblCellMar>
      </w:tblPr>
      <w:tblGrid>
        <w:gridCol w:w="1105"/>
        <w:gridCol w:w="4393"/>
        <w:gridCol w:w="1367"/>
        <w:gridCol w:w="1657"/>
      </w:tblGrid>
      <w:tr>
        <w:tblPrEx>
          <w:tblCellMar>
            <w:top w:w="0" w:type="dxa"/>
            <w:left w:w="10" w:type="dxa"/>
            <w:bottom w:w="0" w:type="dxa"/>
            <w:right w:w="10" w:type="dxa"/>
          </w:tblCellMar>
        </w:tblPrEx>
        <w:trPr>
          <w:trHeight w:val="49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rPr>
            </w:pPr>
            <w:r>
              <w:rPr>
                <w:rFonts w:hint="eastAsia" w:ascii="宋体" w:hAnsi="宋体" w:cs="宋体"/>
                <w:color w:val="auto"/>
                <w:sz w:val="24"/>
                <w:szCs w:val="24"/>
              </w:rPr>
              <w:t>万兆核心交换机（新院区）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hint="eastAsia" w:ascii="宋体" w:hAnsi="宋体" w:cs="宋体"/>
                <w:color w:val="auto"/>
                <w:sz w:val="24"/>
                <w:szCs w:val="24"/>
              </w:rPr>
              <w:t>万兆核心交换机（老院区）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3</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rPr>
            </w:pPr>
            <w:r>
              <w:rPr>
                <w:rFonts w:hint="eastAsia" w:ascii="宋体" w:hAnsi="宋体" w:cs="宋体"/>
                <w:color w:val="auto"/>
                <w:sz w:val="24"/>
                <w:szCs w:val="24"/>
              </w:rPr>
              <w:t>光模块</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40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color w:val="auto"/>
                <w:sz w:val="24"/>
                <w:szCs w:val="24"/>
              </w:rPr>
              <w:t>个</w:t>
            </w:r>
          </w:p>
        </w:tc>
      </w:tr>
    </w:tbl>
    <w:p>
      <w:pPr>
        <w:keepNext/>
        <w:keepLines/>
        <w:spacing w:before="156" w:after="156" w:line="416" w:lineRule="auto"/>
        <w:ind w:left="720"/>
        <w:outlineLvl w:val="1"/>
        <w:rPr>
          <w:rFonts w:ascii="宋体"/>
          <w:b/>
          <w:bCs/>
          <w:color w:val="auto"/>
          <w:sz w:val="28"/>
          <w:szCs w:val="28"/>
        </w:rPr>
      </w:pPr>
      <w:bookmarkStart w:id="850" w:name="_Toc82882776"/>
      <w:bookmarkStart w:id="851" w:name="_Toc17511"/>
      <w:bookmarkStart w:id="852" w:name="_Toc7317"/>
      <w:r>
        <w:rPr>
          <w:rFonts w:ascii="宋体" w:hAnsi="宋体" w:cs="宋体"/>
          <w:b/>
          <w:bCs/>
          <w:color w:val="auto"/>
          <w:sz w:val="28"/>
          <w:szCs w:val="28"/>
        </w:rPr>
        <w:t>3.2.4</w:t>
      </w:r>
      <w:r>
        <w:rPr>
          <w:rFonts w:hint="eastAsia" w:ascii="宋体" w:hAnsi="宋体" w:cs="宋体"/>
          <w:b/>
          <w:bCs/>
          <w:color w:val="auto"/>
          <w:sz w:val="28"/>
          <w:szCs w:val="28"/>
        </w:rPr>
        <w:t>、超融合服务器</w:t>
      </w:r>
      <w:bookmarkEnd w:id="850"/>
      <w:bookmarkEnd w:id="851"/>
      <w:bookmarkEnd w:id="852"/>
    </w:p>
    <w:tbl>
      <w:tblPr>
        <w:tblStyle w:val="21"/>
        <w:tblW w:w="0" w:type="auto"/>
        <w:jc w:val="center"/>
        <w:tblLayout w:type="autofit"/>
        <w:tblCellMar>
          <w:top w:w="0" w:type="dxa"/>
          <w:left w:w="10" w:type="dxa"/>
          <w:bottom w:w="0" w:type="dxa"/>
          <w:right w:w="10" w:type="dxa"/>
        </w:tblCellMar>
      </w:tblPr>
      <w:tblGrid>
        <w:gridCol w:w="1105"/>
        <w:gridCol w:w="4393"/>
        <w:gridCol w:w="1367"/>
        <w:gridCol w:w="1657"/>
      </w:tblGrid>
      <w:tr>
        <w:tblPrEx>
          <w:tblCellMar>
            <w:top w:w="0" w:type="dxa"/>
            <w:left w:w="10" w:type="dxa"/>
            <w:bottom w:w="0" w:type="dxa"/>
            <w:right w:w="10" w:type="dxa"/>
          </w:tblCellMar>
        </w:tblPrEx>
        <w:trPr>
          <w:trHeight w:val="49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序号</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设备名称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数量</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超融合一体机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超融合软件</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存储交换机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业务交换机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管理交换机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服务器</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bl>
    <w:p>
      <w:pPr>
        <w:keepNext/>
        <w:keepLines/>
        <w:spacing w:before="156" w:after="156" w:line="416" w:lineRule="auto"/>
        <w:ind w:left="720"/>
        <w:outlineLvl w:val="1"/>
        <w:rPr>
          <w:rFonts w:ascii="宋体"/>
          <w:b/>
          <w:bCs/>
          <w:color w:val="auto"/>
          <w:sz w:val="28"/>
          <w:szCs w:val="28"/>
        </w:rPr>
      </w:pPr>
      <w:bookmarkStart w:id="853" w:name="_Toc32451"/>
      <w:bookmarkStart w:id="854" w:name="_Toc27586"/>
      <w:bookmarkStart w:id="855" w:name="_Toc82882777"/>
      <w:r>
        <w:rPr>
          <w:rFonts w:ascii="宋体" w:hAnsi="宋体" w:cs="宋体"/>
          <w:b/>
          <w:bCs/>
          <w:color w:val="auto"/>
          <w:sz w:val="28"/>
          <w:szCs w:val="28"/>
        </w:rPr>
        <w:t>3.2.5</w:t>
      </w:r>
      <w:r>
        <w:rPr>
          <w:rFonts w:hint="eastAsia" w:ascii="宋体" w:hAnsi="宋体" w:cs="宋体"/>
          <w:b/>
          <w:bCs/>
          <w:color w:val="auto"/>
          <w:sz w:val="28"/>
          <w:szCs w:val="28"/>
        </w:rPr>
        <w:t>、容灾备份中心</w:t>
      </w:r>
      <w:bookmarkEnd w:id="853"/>
      <w:bookmarkEnd w:id="854"/>
      <w:bookmarkEnd w:id="855"/>
    </w:p>
    <w:tbl>
      <w:tblPr>
        <w:tblStyle w:val="21"/>
        <w:tblW w:w="0" w:type="auto"/>
        <w:jc w:val="center"/>
        <w:tblLayout w:type="autofit"/>
        <w:tblCellMar>
          <w:top w:w="0" w:type="dxa"/>
          <w:left w:w="10" w:type="dxa"/>
          <w:bottom w:w="0" w:type="dxa"/>
          <w:right w:w="10" w:type="dxa"/>
        </w:tblCellMar>
      </w:tblPr>
      <w:tblGrid>
        <w:gridCol w:w="1105"/>
        <w:gridCol w:w="4393"/>
        <w:gridCol w:w="1367"/>
        <w:gridCol w:w="1657"/>
      </w:tblGrid>
      <w:tr>
        <w:tblPrEx>
          <w:tblCellMar>
            <w:top w:w="0" w:type="dxa"/>
            <w:left w:w="10" w:type="dxa"/>
            <w:bottom w:w="0" w:type="dxa"/>
            <w:right w:w="10" w:type="dxa"/>
          </w:tblCellMar>
        </w:tblPrEx>
        <w:trPr>
          <w:trHeight w:val="49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color w:val="auto"/>
                <w:sz w:val="24"/>
                <w:szCs w:val="24"/>
              </w:rPr>
              <w:t>备份一体机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color w:val="auto"/>
                <w:sz w:val="24"/>
                <w:szCs w:val="24"/>
              </w:rPr>
              <w:t>台</w:t>
            </w:r>
          </w:p>
        </w:tc>
      </w:tr>
    </w:tbl>
    <w:p>
      <w:pPr>
        <w:keepNext/>
        <w:keepLines/>
        <w:spacing w:before="156" w:after="156" w:line="416" w:lineRule="auto"/>
        <w:ind w:left="720"/>
        <w:outlineLvl w:val="1"/>
        <w:rPr>
          <w:rFonts w:ascii="宋体"/>
          <w:b/>
          <w:bCs/>
          <w:color w:val="auto"/>
          <w:sz w:val="28"/>
          <w:szCs w:val="28"/>
        </w:rPr>
      </w:pPr>
      <w:bookmarkStart w:id="856" w:name="_Toc23433"/>
      <w:bookmarkStart w:id="857" w:name="_Toc82882778"/>
      <w:bookmarkStart w:id="858" w:name="_Toc11814"/>
      <w:r>
        <w:rPr>
          <w:rFonts w:ascii="宋体" w:hAnsi="宋体" w:cs="宋体"/>
          <w:b/>
          <w:bCs/>
          <w:color w:val="auto"/>
          <w:sz w:val="28"/>
          <w:szCs w:val="28"/>
        </w:rPr>
        <w:t>3.2.6</w:t>
      </w:r>
      <w:r>
        <w:rPr>
          <w:rFonts w:hint="eastAsia" w:ascii="宋体" w:hAnsi="宋体" w:cs="宋体"/>
          <w:b/>
          <w:bCs/>
          <w:color w:val="auto"/>
          <w:sz w:val="28"/>
          <w:szCs w:val="28"/>
        </w:rPr>
        <w:t>、网络安全和等保测评</w:t>
      </w:r>
      <w:bookmarkEnd w:id="856"/>
      <w:bookmarkEnd w:id="857"/>
      <w:bookmarkEnd w:id="858"/>
    </w:p>
    <w:tbl>
      <w:tblPr>
        <w:tblStyle w:val="21"/>
        <w:tblW w:w="0" w:type="auto"/>
        <w:jc w:val="center"/>
        <w:tblLayout w:type="autofit"/>
        <w:tblCellMar>
          <w:top w:w="0" w:type="dxa"/>
          <w:left w:w="10" w:type="dxa"/>
          <w:bottom w:w="0" w:type="dxa"/>
          <w:right w:w="10" w:type="dxa"/>
        </w:tblCellMar>
      </w:tblPr>
      <w:tblGrid>
        <w:gridCol w:w="1105"/>
        <w:gridCol w:w="4393"/>
        <w:gridCol w:w="1367"/>
        <w:gridCol w:w="1657"/>
      </w:tblGrid>
      <w:tr>
        <w:tblPrEx>
          <w:tblCellMar>
            <w:top w:w="0" w:type="dxa"/>
            <w:left w:w="10" w:type="dxa"/>
            <w:bottom w:w="0" w:type="dxa"/>
            <w:right w:w="10" w:type="dxa"/>
          </w:tblCellMar>
        </w:tblPrEx>
        <w:trPr>
          <w:trHeight w:val="494"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序号</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设备名称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数量</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防火墙</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上网行为管理</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综合日志审计</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安全隔离网闸</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72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5</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入侵防御系统</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795"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6</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OSM-</w:t>
            </w:r>
            <w:r>
              <w:rPr>
                <w:rFonts w:hint="eastAsia" w:ascii="宋体" w:hAnsi="宋体" w:cs="宋体"/>
                <w:color w:val="auto"/>
                <w:kern w:val="0"/>
                <w:sz w:val="24"/>
                <w:szCs w:val="24"/>
              </w:rPr>
              <w:t>堡垒机</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终端安全管理系统（客户端）</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100</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安全管理系统（服务器版）</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5</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553"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3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等保测评</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16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次</w:t>
            </w:r>
          </w:p>
        </w:tc>
      </w:tr>
    </w:tbl>
    <w:p>
      <w:pPr>
        <w:keepNext/>
        <w:keepLines/>
        <w:numPr>
          <w:ilvl w:val="1"/>
          <w:numId w:val="15"/>
        </w:numPr>
        <w:spacing w:before="156" w:after="156" w:line="416" w:lineRule="auto"/>
        <w:ind w:left="1480" w:hanging="1658"/>
        <w:outlineLvl w:val="1"/>
        <w:rPr>
          <w:rFonts w:ascii="宋体"/>
          <w:b/>
          <w:bCs/>
          <w:color w:val="auto"/>
          <w:sz w:val="36"/>
          <w:szCs w:val="36"/>
        </w:rPr>
      </w:pPr>
      <w:bookmarkStart w:id="859" w:name="_Toc29065"/>
      <w:bookmarkStart w:id="860" w:name="_Toc82882779"/>
      <w:bookmarkStart w:id="861" w:name="_Toc5179"/>
      <w:r>
        <w:rPr>
          <w:rFonts w:hint="eastAsia" w:ascii="宋体" w:hAnsi="宋体" w:cs="宋体"/>
          <w:b/>
          <w:bCs/>
          <w:color w:val="auto"/>
          <w:sz w:val="32"/>
          <w:szCs w:val="32"/>
        </w:rPr>
        <w:t>床头呼叫系统硬件设备清单</w:t>
      </w:r>
      <w:bookmarkEnd w:id="859"/>
      <w:bookmarkEnd w:id="860"/>
      <w:bookmarkEnd w:id="861"/>
    </w:p>
    <w:tbl>
      <w:tblPr>
        <w:tblStyle w:val="21"/>
        <w:tblW w:w="0" w:type="auto"/>
        <w:tblInd w:w="2" w:type="dxa"/>
        <w:tblLayout w:type="autofit"/>
        <w:tblCellMar>
          <w:top w:w="0" w:type="dxa"/>
          <w:left w:w="10" w:type="dxa"/>
          <w:bottom w:w="0" w:type="dxa"/>
          <w:right w:w="10" w:type="dxa"/>
        </w:tblCellMar>
      </w:tblPr>
      <w:tblGrid>
        <w:gridCol w:w="1093"/>
        <w:gridCol w:w="4435"/>
        <w:gridCol w:w="1350"/>
        <w:gridCol w:w="1644"/>
      </w:tblGrid>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1</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呼叫通讯系统主机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2</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呼叫器分机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80</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3</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紧急按钮</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40</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4</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走廊显示屏</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9</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5</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显示屏放大器</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10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360" w:lineRule="auto"/>
              <w:jc w:val="center"/>
              <w:rPr>
                <w:rFonts w:ascii="宋体"/>
                <w:color w:val="auto"/>
                <w:sz w:val="24"/>
                <w:szCs w:val="24"/>
              </w:rPr>
            </w:pPr>
            <w:r>
              <w:rPr>
                <w:rFonts w:ascii="宋体" w:hAnsi="宋体" w:cs="宋体"/>
                <w:color w:val="auto"/>
                <w:sz w:val="24"/>
                <w:szCs w:val="24"/>
              </w:rPr>
              <w:t>6</w:t>
            </w:r>
          </w:p>
        </w:tc>
        <w:tc>
          <w:tcPr>
            <w:tcW w:w="44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呼叫通讯系统主机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1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bl>
    <w:p>
      <w:pPr>
        <w:spacing w:before="50" w:after="50" w:line="360" w:lineRule="auto"/>
        <w:rPr>
          <w:rFonts w:ascii="宋体"/>
          <w:color w:val="auto"/>
          <w:sz w:val="24"/>
          <w:szCs w:val="24"/>
        </w:rPr>
      </w:pPr>
    </w:p>
    <w:p>
      <w:pPr>
        <w:keepNext/>
        <w:keepLines/>
        <w:spacing w:before="156" w:after="156" w:line="416" w:lineRule="auto"/>
        <w:outlineLvl w:val="1"/>
        <w:rPr>
          <w:rFonts w:ascii="宋体"/>
          <w:b/>
          <w:bCs/>
          <w:color w:val="auto"/>
          <w:sz w:val="32"/>
          <w:szCs w:val="32"/>
        </w:rPr>
      </w:pPr>
      <w:bookmarkStart w:id="862" w:name="_Toc3074"/>
      <w:bookmarkStart w:id="863" w:name="_Toc17307"/>
      <w:bookmarkStart w:id="864" w:name="_Toc82882780"/>
      <w:r>
        <w:rPr>
          <w:rFonts w:ascii="宋体" w:hAnsi="宋体" w:cs="宋体"/>
          <w:b/>
          <w:bCs/>
          <w:color w:val="auto"/>
          <w:sz w:val="32"/>
          <w:szCs w:val="32"/>
        </w:rPr>
        <w:t>3.4</w:t>
      </w:r>
      <w:r>
        <w:rPr>
          <w:rFonts w:hint="eastAsia" w:ascii="宋体" w:hAnsi="宋体" w:cs="宋体"/>
          <w:b/>
          <w:bCs/>
          <w:color w:val="auto"/>
          <w:sz w:val="32"/>
          <w:szCs w:val="32"/>
        </w:rPr>
        <w:t>、</w:t>
      </w:r>
      <w:r>
        <w:rPr>
          <w:rFonts w:ascii="宋体" w:hAnsi="宋体" w:cs="宋体"/>
          <w:b/>
          <w:bCs/>
          <w:color w:val="auto"/>
          <w:sz w:val="32"/>
          <w:szCs w:val="32"/>
        </w:rPr>
        <w:t xml:space="preserve"> 7</w:t>
      </w:r>
      <w:r>
        <w:rPr>
          <w:rFonts w:hint="eastAsia" w:ascii="宋体" w:hAnsi="宋体" w:cs="宋体"/>
          <w:b/>
          <w:bCs/>
          <w:color w:val="auto"/>
          <w:sz w:val="32"/>
          <w:szCs w:val="32"/>
        </w:rPr>
        <w:t>楼办公区无线</w:t>
      </w:r>
      <w:r>
        <w:rPr>
          <w:rFonts w:ascii="宋体" w:hAnsi="宋体" w:cs="宋体"/>
          <w:b/>
          <w:bCs/>
          <w:color w:val="auto"/>
          <w:sz w:val="32"/>
          <w:szCs w:val="32"/>
        </w:rPr>
        <w:t>IP</w:t>
      </w:r>
      <w:r>
        <w:rPr>
          <w:rFonts w:hint="eastAsia" w:ascii="宋体" w:hAnsi="宋体" w:cs="宋体"/>
          <w:b/>
          <w:bCs/>
          <w:color w:val="auto"/>
          <w:sz w:val="32"/>
          <w:szCs w:val="32"/>
        </w:rPr>
        <w:t>、大屏会议音箱系统</w:t>
      </w:r>
      <w:bookmarkEnd w:id="862"/>
      <w:bookmarkEnd w:id="863"/>
      <w:bookmarkEnd w:id="864"/>
    </w:p>
    <w:tbl>
      <w:tblPr>
        <w:tblStyle w:val="21"/>
        <w:tblW w:w="0" w:type="auto"/>
        <w:tblInd w:w="2" w:type="dxa"/>
        <w:tblLayout w:type="autofit"/>
        <w:tblCellMar>
          <w:top w:w="0" w:type="dxa"/>
          <w:left w:w="10" w:type="dxa"/>
          <w:bottom w:w="0" w:type="dxa"/>
          <w:right w:w="10" w:type="dxa"/>
        </w:tblCellMar>
      </w:tblPr>
      <w:tblGrid>
        <w:gridCol w:w="1105"/>
        <w:gridCol w:w="4410"/>
        <w:gridCol w:w="1365"/>
        <w:gridCol w:w="1642"/>
      </w:tblGrid>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主控制器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搂层控制器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楼道放装</w:t>
            </w:r>
            <w:r>
              <w:rPr>
                <w:rFonts w:ascii="宋体" w:hAnsi="宋体" w:cs="宋体"/>
                <w:color w:val="auto"/>
                <w:sz w:val="24"/>
                <w:szCs w:val="24"/>
              </w:rPr>
              <w:t>AP</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房间</w:t>
            </w:r>
            <w:r>
              <w:rPr>
                <w:rFonts w:ascii="宋体" w:hAnsi="宋体" w:cs="宋体"/>
                <w:color w:val="auto"/>
                <w:sz w:val="24"/>
                <w:szCs w:val="24"/>
              </w:rPr>
              <w:t>AP</w:t>
            </w:r>
            <w:r>
              <w:rPr>
                <w:rFonts w:hint="eastAsia" w:ascii="宋体" w:hAnsi="宋体" w:cs="宋体"/>
                <w:color w:val="auto"/>
                <w:sz w:val="24"/>
                <w:szCs w:val="24"/>
              </w:rPr>
              <w:t>面板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交换机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55</w:t>
            </w:r>
            <w:r>
              <w:rPr>
                <w:rFonts w:hint="eastAsia" w:ascii="宋体" w:hAnsi="宋体" w:cs="宋体"/>
                <w:color w:val="auto"/>
                <w:sz w:val="24"/>
                <w:szCs w:val="24"/>
              </w:rPr>
              <w:t>寸液晶拼接屏</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内置拼接处理器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大屏显示系统控制软件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高清处理器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配套线材</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机柜式支架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专业音箱</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四通道数字功放</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音箱支架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无线话筒（双手持</w:t>
            </w:r>
            <w:r>
              <w:rPr>
                <w:rFonts w:ascii="宋体" w:hAnsi="宋体" w:cs="宋体"/>
                <w:color w:val="auto"/>
                <w:sz w:val="24"/>
                <w:szCs w:val="24"/>
              </w:rPr>
              <w:t>+</w:t>
            </w:r>
            <w:r>
              <w:rPr>
                <w:rFonts w:hint="eastAsia" w:ascii="宋体" w:hAnsi="宋体" w:cs="宋体"/>
                <w:color w:val="auto"/>
                <w:sz w:val="24"/>
                <w:szCs w:val="24"/>
              </w:rPr>
              <w:t>双桌面）</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调音台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音频处理器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电源时序器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设备机柜</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音频连接线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条</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音频连接线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条</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音频连接线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条</w:t>
            </w:r>
          </w:p>
        </w:tc>
      </w:tr>
    </w:tbl>
    <w:p>
      <w:pPr>
        <w:spacing w:before="50" w:after="50" w:line="360" w:lineRule="auto"/>
        <w:rPr>
          <w:rFonts w:ascii="宋体"/>
          <w:color w:val="auto"/>
          <w:sz w:val="24"/>
          <w:szCs w:val="24"/>
        </w:rPr>
      </w:pPr>
    </w:p>
    <w:p>
      <w:pPr>
        <w:keepNext/>
        <w:keepLines/>
        <w:spacing w:before="156" w:after="156" w:line="416" w:lineRule="auto"/>
        <w:outlineLvl w:val="1"/>
        <w:rPr>
          <w:rFonts w:ascii="宋体"/>
          <w:b/>
          <w:bCs/>
          <w:color w:val="auto"/>
          <w:sz w:val="32"/>
          <w:szCs w:val="32"/>
        </w:rPr>
      </w:pPr>
      <w:bookmarkStart w:id="865" w:name="_Toc82882781"/>
      <w:bookmarkStart w:id="866" w:name="_Toc28805"/>
      <w:bookmarkStart w:id="867" w:name="_Toc27331"/>
      <w:r>
        <w:rPr>
          <w:rFonts w:ascii="宋体" w:hAnsi="宋体" w:cs="宋体"/>
          <w:b/>
          <w:bCs/>
          <w:color w:val="auto"/>
          <w:sz w:val="32"/>
          <w:szCs w:val="32"/>
        </w:rPr>
        <w:t>3.5</w:t>
      </w:r>
      <w:r>
        <w:rPr>
          <w:rFonts w:hint="eastAsia" w:ascii="宋体" w:hAnsi="宋体" w:cs="宋体"/>
          <w:b/>
          <w:bCs/>
          <w:color w:val="auto"/>
          <w:sz w:val="32"/>
          <w:szCs w:val="32"/>
        </w:rPr>
        <w:t>、门禁系统（发热门诊楼、检验科、手术室、机房等）</w:t>
      </w:r>
      <w:bookmarkEnd w:id="865"/>
      <w:bookmarkEnd w:id="866"/>
      <w:bookmarkEnd w:id="867"/>
    </w:p>
    <w:tbl>
      <w:tblPr>
        <w:tblStyle w:val="21"/>
        <w:tblW w:w="0" w:type="auto"/>
        <w:tblInd w:w="2" w:type="dxa"/>
        <w:tblLayout w:type="autofit"/>
        <w:tblCellMar>
          <w:top w:w="0" w:type="dxa"/>
          <w:left w:w="10" w:type="dxa"/>
          <w:bottom w:w="0" w:type="dxa"/>
          <w:right w:w="10" w:type="dxa"/>
        </w:tblCellMar>
      </w:tblPr>
      <w:tblGrid>
        <w:gridCol w:w="1105"/>
        <w:gridCol w:w="4410"/>
        <w:gridCol w:w="1365"/>
        <w:gridCol w:w="1642"/>
      </w:tblGrid>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门禁管理电脑</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指纹一体门禁机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闭门器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单门磁力锁</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单门磁力锁支架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门禁专用电源</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开门按钮</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门禁管理软件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指纹采集器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IC</w:t>
            </w:r>
            <w:r>
              <w:rPr>
                <w:rFonts w:hint="eastAsia" w:ascii="宋体" w:hAnsi="宋体" w:cs="宋体"/>
                <w:color w:val="auto"/>
                <w:sz w:val="24"/>
                <w:szCs w:val="24"/>
              </w:rPr>
              <w:t>卡</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100</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张</w:t>
            </w:r>
          </w:p>
        </w:tc>
      </w:tr>
    </w:tbl>
    <w:p>
      <w:pPr>
        <w:keepNext/>
        <w:keepLines/>
        <w:spacing w:before="156" w:after="156" w:line="416" w:lineRule="auto"/>
        <w:outlineLvl w:val="1"/>
        <w:rPr>
          <w:rFonts w:ascii="宋体"/>
          <w:b/>
          <w:bCs/>
          <w:color w:val="auto"/>
          <w:sz w:val="32"/>
          <w:szCs w:val="32"/>
        </w:rPr>
      </w:pPr>
      <w:bookmarkStart w:id="868" w:name="_Toc2855"/>
      <w:bookmarkStart w:id="869" w:name="_Toc82882782"/>
      <w:bookmarkStart w:id="870" w:name="_Toc8834"/>
      <w:r>
        <w:rPr>
          <w:rFonts w:ascii="宋体" w:hAnsi="宋体" w:cs="宋体"/>
          <w:b/>
          <w:bCs/>
          <w:color w:val="auto"/>
          <w:sz w:val="32"/>
          <w:szCs w:val="32"/>
        </w:rPr>
        <w:t>3.6</w:t>
      </w:r>
      <w:r>
        <w:rPr>
          <w:rFonts w:hint="eastAsia" w:ascii="宋体" w:hAnsi="宋体" w:cs="宋体"/>
          <w:b/>
          <w:bCs/>
          <w:color w:val="auto"/>
          <w:sz w:val="32"/>
          <w:szCs w:val="32"/>
        </w:rPr>
        <w:t>、视频网络清单</w:t>
      </w:r>
      <w:bookmarkEnd w:id="868"/>
      <w:bookmarkEnd w:id="869"/>
      <w:bookmarkEnd w:id="870"/>
    </w:p>
    <w:p>
      <w:pPr>
        <w:keepNext/>
        <w:keepLines/>
        <w:spacing w:before="156" w:after="156" w:line="416" w:lineRule="auto"/>
        <w:outlineLvl w:val="2"/>
        <w:rPr>
          <w:rFonts w:ascii="宋体"/>
          <w:b/>
          <w:bCs/>
          <w:color w:val="auto"/>
          <w:sz w:val="28"/>
          <w:szCs w:val="28"/>
        </w:rPr>
      </w:pPr>
      <w:bookmarkStart w:id="871" w:name="_Toc82882783"/>
      <w:r>
        <w:rPr>
          <w:rFonts w:ascii="宋体" w:hAnsi="宋体" w:cs="宋体"/>
          <w:b/>
          <w:bCs/>
          <w:color w:val="auto"/>
          <w:sz w:val="28"/>
          <w:szCs w:val="28"/>
        </w:rPr>
        <w:t>3.6.1</w:t>
      </w:r>
      <w:r>
        <w:rPr>
          <w:rFonts w:hint="eastAsia" w:ascii="宋体" w:hAnsi="宋体" w:cs="宋体"/>
          <w:b/>
          <w:bCs/>
          <w:color w:val="auto"/>
          <w:sz w:val="28"/>
          <w:szCs w:val="28"/>
        </w:rPr>
        <w:t>、视频网络室装修</w:t>
      </w:r>
      <w:bookmarkEnd w:id="871"/>
    </w:p>
    <w:tbl>
      <w:tblPr>
        <w:tblStyle w:val="21"/>
        <w:tblW w:w="0" w:type="auto"/>
        <w:tblInd w:w="2" w:type="dxa"/>
        <w:tblLayout w:type="autofit"/>
        <w:tblCellMar>
          <w:top w:w="0" w:type="dxa"/>
          <w:left w:w="10" w:type="dxa"/>
          <w:bottom w:w="0" w:type="dxa"/>
          <w:right w:w="10" w:type="dxa"/>
        </w:tblCellMar>
      </w:tblPr>
      <w:tblGrid>
        <w:gridCol w:w="1105"/>
        <w:gridCol w:w="4410"/>
        <w:gridCol w:w="1365"/>
        <w:gridCol w:w="1642"/>
      </w:tblGrid>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接地引线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90</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米</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接地汇流排</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接地模块</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铝板吊顶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平米</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防尘漆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平米</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踢脚线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40</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米</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石膏板装修</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平米</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 xml:space="preserve">LED </w:t>
            </w:r>
            <w:r>
              <w:rPr>
                <w:rFonts w:hint="eastAsia" w:ascii="宋体" w:hAnsi="宋体" w:cs="宋体"/>
                <w:color w:val="auto"/>
                <w:sz w:val="24"/>
                <w:szCs w:val="24"/>
              </w:rPr>
              <w:t>灯</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支</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电源线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卷</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墙面处理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平米</w:t>
            </w:r>
          </w:p>
        </w:tc>
      </w:tr>
    </w:tbl>
    <w:p>
      <w:pPr>
        <w:rPr>
          <w:rFonts w:ascii="宋体"/>
          <w:color w:val="auto"/>
        </w:rPr>
      </w:pPr>
    </w:p>
    <w:p>
      <w:pPr>
        <w:keepNext/>
        <w:keepLines/>
        <w:spacing w:before="156" w:after="156" w:line="416" w:lineRule="auto"/>
        <w:outlineLvl w:val="2"/>
        <w:rPr>
          <w:rFonts w:ascii="宋体"/>
          <w:b/>
          <w:bCs/>
          <w:color w:val="auto"/>
          <w:sz w:val="28"/>
          <w:szCs w:val="28"/>
        </w:rPr>
      </w:pPr>
      <w:bookmarkStart w:id="872" w:name="_Toc82882784"/>
      <w:r>
        <w:rPr>
          <w:rFonts w:ascii="宋体" w:hAnsi="宋体" w:cs="宋体"/>
          <w:b/>
          <w:bCs/>
          <w:color w:val="auto"/>
          <w:sz w:val="28"/>
          <w:szCs w:val="28"/>
        </w:rPr>
        <w:t>3.6.2</w:t>
      </w:r>
      <w:r>
        <w:rPr>
          <w:rFonts w:hint="eastAsia" w:ascii="宋体" w:hAnsi="宋体" w:cs="宋体"/>
          <w:b/>
          <w:bCs/>
          <w:color w:val="auto"/>
          <w:sz w:val="28"/>
          <w:szCs w:val="28"/>
        </w:rPr>
        <w:t>、视频网络系统</w:t>
      </w:r>
      <w:bookmarkEnd w:id="872"/>
    </w:p>
    <w:tbl>
      <w:tblPr>
        <w:tblStyle w:val="21"/>
        <w:tblW w:w="0" w:type="auto"/>
        <w:tblInd w:w="2" w:type="dxa"/>
        <w:tblLayout w:type="autofit"/>
        <w:tblCellMar>
          <w:top w:w="0" w:type="dxa"/>
          <w:left w:w="10" w:type="dxa"/>
          <w:bottom w:w="0" w:type="dxa"/>
          <w:right w:w="10" w:type="dxa"/>
        </w:tblCellMar>
      </w:tblPr>
      <w:tblGrid>
        <w:gridCol w:w="1105"/>
        <w:gridCol w:w="4410"/>
        <w:gridCol w:w="1365"/>
        <w:gridCol w:w="1642"/>
      </w:tblGrid>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数量</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指挥作业桌</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控制电脑</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显示终端设备</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信号处理控制设备</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拼接屏支架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3P</w:t>
            </w:r>
            <w:r>
              <w:rPr>
                <w:rFonts w:hint="eastAsia" w:ascii="宋体" w:hAnsi="宋体" w:cs="宋体"/>
                <w:color w:val="auto"/>
                <w:sz w:val="24"/>
                <w:szCs w:val="24"/>
              </w:rPr>
              <w:t>空调</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硬盘</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网络视频一体机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网络摄像机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网络摄像机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摄像机支架</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电源适配器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205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电梯半球</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视频网络立杆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枪机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16</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球机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光纤收发器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对</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电梯网桥</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对</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口交换机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智慧医院综合管理平台</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综合管理服务器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机柜</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解码器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道闸</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道闸</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单路车辆检测系统</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地感线圈</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系统主板</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29</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车牌识别摄像机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30</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电源</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31</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补光灯</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32</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车牌识别显示屏</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33</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车牌识别一体机箱</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34</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车牌识别狗</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35</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岗亭管理电脑</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36</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485</w:t>
            </w:r>
            <w:r>
              <w:rPr>
                <w:rFonts w:hint="eastAsia" w:ascii="宋体" w:hAnsi="宋体" w:cs="宋体"/>
                <w:color w:val="auto"/>
                <w:sz w:val="24"/>
                <w:szCs w:val="24"/>
              </w:rPr>
              <w:t>转换器</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37</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视频网络核心交换机</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38</w:t>
            </w:r>
          </w:p>
        </w:tc>
        <w:tc>
          <w:tcPr>
            <w:tcW w:w="4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光模块</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bl>
    <w:p>
      <w:pPr>
        <w:spacing w:before="50" w:after="50" w:line="360" w:lineRule="auto"/>
        <w:rPr>
          <w:rFonts w:ascii="宋体"/>
          <w:color w:val="auto"/>
          <w:sz w:val="24"/>
          <w:szCs w:val="24"/>
        </w:rPr>
      </w:pPr>
    </w:p>
    <w:p>
      <w:pPr>
        <w:keepNext/>
        <w:keepLines/>
        <w:spacing w:before="156" w:after="156" w:line="416" w:lineRule="auto"/>
        <w:outlineLvl w:val="1"/>
        <w:rPr>
          <w:rFonts w:ascii="宋体"/>
          <w:b/>
          <w:bCs/>
          <w:color w:val="auto"/>
          <w:sz w:val="32"/>
          <w:szCs w:val="32"/>
        </w:rPr>
      </w:pPr>
      <w:bookmarkStart w:id="873" w:name="_Toc19405"/>
      <w:bookmarkStart w:id="874" w:name="_Toc82882785"/>
      <w:bookmarkStart w:id="875" w:name="_Toc8113"/>
      <w:r>
        <w:rPr>
          <w:rFonts w:ascii="宋体" w:hAnsi="宋体" w:cs="宋体"/>
          <w:b/>
          <w:bCs/>
          <w:color w:val="auto"/>
          <w:sz w:val="32"/>
          <w:szCs w:val="32"/>
        </w:rPr>
        <w:t>3.7</w:t>
      </w:r>
      <w:r>
        <w:rPr>
          <w:rFonts w:hint="eastAsia" w:ascii="宋体" w:hAnsi="宋体" w:cs="宋体"/>
          <w:b/>
          <w:bCs/>
          <w:color w:val="auto"/>
          <w:sz w:val="32"/>
          <w:szCs w:val="32"/>
        </w:rPr>
        <w:t>、科室配套硬件清单</w:t>
      </w:r>
      <w:bookmarkEnd w:id="873"/>
      <w:bookmarkEnd w:id="874"/>
      <w:bookmarkEnd w:id="875"/>
    </w:p>
    <w:tbl>
      <w:tblPr>
        <w:tblStyle w:val="21"/>
        <w:tblW w:w="0" w:type="auto"/>
        <w:tblInd w:w="2" w:type="dxa"/>
        <w:tblLayout w:type="autofit"/>
        <w:tblCellMar>
          <w:top w:w="0" w:type="dxa"/>
          <w:left w:w="10" w:type="dxa"/>
          <w:bottom w:w="0" w:type="dxa"/>
          <w:right w:w="10" w:type="dxa"/>
        </w:tblCellMar>
      </w:tblPr>
      <w:tblGrid>
        <w:gridCol w:w="1100"/>
        <w:gridCol w:w="4343"/>
        <w:gridCol w:w="1340"/>
        <w:gridCol w:w="1631"/>
      </w:tblGrid>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jc w:val="center"/>
              <w:rPr>
                <w:rFonts w:ascii="宋体"/>
                <w:color w:val="auto"/>
              </w:rPr>
            </w:pPr>
            <w:r>
              <w:rPr>
                <w:rFonts w:hint="eastAsia" w:ascii="宋体" w:hAnsi="宋体" w:cs="宋体"/>
                <w:color w:val="auto"/>
                <w:sz w:val="24"/>
                <w:szCs w:val="24"/>
              </w:rPr>
              <w:t>序号</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jc w:val="center"/>
              <w:rPr>
                <w:rFonts w:ascii="宋体"/>
                <w:color w:val="auto"/>
              </w:rPr>
            </w:pPr>
            <w:r>
              <w:rPr>
                <w:rFonts w:hint="eastAsia" w:ascii="宋体" w:hAnsi="宋体" w:cs="宋体"/>
                <w:color w:val="auto"/>
                <w:sz w:val="24"/>
                <w:szCs w:val="24"/>
              </w:rPr>
              <w:t>设备名称</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jc w:val="center"/>
              <w:rPr>
                <w:rFonts w:ascii="宋体"/>
                <w:color w:val="auto"/>
              </w:rPr>
            </w:pPr>
            <w:r>
              <w:rPr>
                <w:rFonts w:hint="eastAsia" w:ascii="宋体" w:hAnsi="宋体" w:cs="宋体"/>
                <w:color w:val="auto"/>
                <w:sz w:val="24"/>
                <w:szCs w:val="24"/>
              </w:rPr>
              <w:t>数量</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jc w:val="center"/>
              <w:rPr>
                <w:rFonts w:ascii="宋体"/>
                <w:color w:val="auto"/>
                <w:sz w:val="24"/>
                <w:szCs w:val="24"/>
              </w:rPr>
            </w:pPr>
            <w:r>
              <w:rPr>
                <w:rFonts w:hint="eastAsia" w:ascii="宋体" w:hAnsi="宋体" w:cs="宋体"/>
                <w:color w:val="auto"/>
                <w:sz w:val="24"/>
                <w:szCs w:val="24"/>
              </w:rPr>
              <w:t>单位</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身份证阅读器</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刷卡器</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25</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扫描枪</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25</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4</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条码打印机</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腕带打印机</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2</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6</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就诊卡</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5000</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7</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台式电脑</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32</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8</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激光打印机</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9</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新院互联网专线</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10</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新院与老院的数据专线</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11</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新院医保专线</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11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43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财政</w:t>
            </w:r>
            <w:r>
              <w:rPr>
                <w:rFonts w:ascii="宋体" w:hAnsi="宋体" w:cs="宋体"/>
                <w:color w:val="auto"/>
                <w:sz w:val="24"/>
                <w:szCs w:val="24"/>
              </w:rPr>
              <w:t>e</w:t>
            </w:r>
            <w:r>
              <w:rPr>
                <w:rFonts w:hint="eastAsia" w:ascii="宋体" w:hAnsi="宋体" w:cs="宋体"/>
                <w:color w:val="auto"/>
                <w:sz w:val="24"/>
                <w:szCs w:val="24"/>
              </w:rPr>
              <w:t>线</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ascii="宋体" w:hAnsi="宋体" w:cs="宋体"/>
                <w:color w:val="auto"/>
                <w:sz w:val="24"/>
                <w:szCs w:val="24"/>
              </w:rPr>
              <w:t>12</w:t>
            </w:r>
          </w:p>
        </w:tc>
        <w:tc>
          <w:tcPr>
            <w:tcW w:w="1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4"/>
                <w:szCs w:val="24"/>
              </w:rPr>
            </w:pPr>
            <w:r>
              <w:rPr>
                <w:rFonts w:hint="eastAsia" w:ascii="宋体" w:hAnsi="宋体" w:cs="宋体"/>
                <w:color w:val="auto"/>
                <w:sz w:val="24"/>
                <w:szCs w:val="24"/>
              </w:rPr>
              <w:t>每月</w:t>
            </w:r>
          </w:p>
        </w:tc>
      </w:tr>
    </w:tbl>
    <w:p>
      <w:pPr>
        <w:spacing w:before="50" w:after="50" w:line="360" w:lineRule="auto"/>
        <w:rPr>
          <w:rFonts w:ascii="宋体"/>
          <w:color w:val="auto"/>
          <w:sz w:val="24"/>
          <w:szCs w:val="24"/>
        </w:rPr>
      </w:pPr>
    </w:p>
    <w:p>
      <w:pPr>
        <w:keepNext/>
        <w:keepLines/>
        <w:spacing w:before="156" w:after="156" w:line="400" w:lineRule="exact"/>
        <w:outlineLvl w:val="1"/>
        <w:rPr>
          <w:rFonts w:ascii="宋体"/>
          <w:b/>
          <w:bCs/>
          <w:color w:val="auto"/>
          <w:sz w:val="32"/>
          <w:szCs w:val="32"/>
        </w:rPr>
      </w:pPr>
      <w:bookmarkStart w:id="876" w:name="_Toc5576"/>
      <w:bookmarkStart w:id="877" w:name="_Toc15859"/>
      <w:bookmarkStart w:id="878" w:name="_Toc82882786"/>
      <w:r>
        <w:rPr>
          <w:rFonts w:ascii="宋体" w:hAnsi="宋体" w:cs="宋体"/>
          <w:b/>
          <w:bCs/>
          <w:color w:val="auto"/>
          <w:sz w:val="32"/>
          <w:szCs w:val="32"/>
        </w:rPr>
        <w:t>3.8</w:t>
      </w:r>
      <w:r>
        <w:rPr>
          <w:rFonts w:hint="eastAsia" w:ascii="宋体" w:hAnsi="宋体" w:cs="宋体"/>
          <w:b/>
          <w:bCs/>
          <w:color w:val="auto"/>
          <w:sz w:val="32"/>
          <w:szCs w:val="32"/>
        </w:rPr>
        <w:t>、软件模块建设清单</w:t>
      </w:r>
      <w:bookmarkEnd w:id="876"/>
      <w:bookmarkEnd w:id="877"/>
      <w:bookmarkEnd w:id="878"/>
    </w:p>
    <w:tbl>
      <w:tblPr>
        <w:tblStyle w:val="21"/>
        <w:tblW w:w="0" w:type="auto"/>
        <w:jc w:val="center"/>
        <w:tblLayout w:type="autofit"/>
        <w:tblCellMar>
          <w:top w:w="0" w:type="dxa"/>
          <w:left w:w="10" w:type="dxa"/>
          <w:bottom w:w="0" w:type="dxa"/>
          <w:right w:w="10" w:type="dxa"/>
        </w:tblCellMar>
      </w:tblPr>
      <w:tblGrid>
        <w:gridCol w:w="1052"/>
        <w:gridCol w:w="1923"/>
        <w:gridCol w:w="4166"/>
        <w:gridCol w:w="1381"/>
      </w:tblGrid>
      <w:tr>
        <w:tblPrEx>
          <w:tblCellMar>
            <w:top w:w="0" w:type="dxa"/>
            <w:left w:w="10" w:type="dxa"/>
            <w:bottom w:w="0" w:type="dxa"/>
            <w:right w:w="10" w:type="dxa"/>
          </w:tblCellMar>
        </w:tblPrEx>
        <w:trPr>
          <w:trHeight w:val="90"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ind w:right="240"/>
              <w:jc w:val="center"/>
              <w:rPr>
                <w:rFonts w:ascii="宋体"/>
                <w:color w:val="auto"/>
              </w:rPr>
            </w:pPr>
            <w:r>
              <w:rPr>
                <w:rFonts w:hint="eastAsia" w:ascii="宋体" w:hAnsi="宋体" w:cs="宋体"/>
                <w:b/>
                <w:bCs/>
                <w:color w:val="auto"/>
                <w:sz w:val="24"/>
                <w:szCs w:val="24"/>
              </w:rPr>
              <w:t>序号</w:t>
            </w:r>
          </w:p>
        </w:tc>
        <w:tc>
          <w:tcPr>
            <w:tcW w:w="1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b/>
                <w:bCs/>
                <w:color w:val="auto"/>
                <w:sz w:val="24"/>
                <w:szCs w:val="24"/>
              </w:rPr>
              <w:t>大类</w:t>
            </w: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b/>
                <w:bCs/>
                <w:color w:val="auto"/>
                <w:sz w:val="24"/>
                <w:szCs w:val="24"/>
              </w:rPr>
              <w:t>系统名称</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b/>
                <w:bCs/>
                <w:color w:val="auto"/>
                <w:sz w:val="24"/>
                <w:szCs w:val="24"/>
              </w:rPr>
              <w:t>备注</w:t>
            </w:r>
          </w:p>
        </w:tc>
      </w:tr>
      <w:tr>
        <w:tblPrEx>
          <w:tblCellMar>
            <w:top w:w="0" w:type="dxa"/>
            <w:left w:w="10" w:type="dxa"/>
            <w:bottom w:w="0" w:type="dxa"/>
            <w:right w:w="10" w:type="dxa"/>
          </w:tblCellMar>
        </w:tblPrEx>
        <w:trPr>
          <w:trHeight w:val="1" w:hRule="atLeast"/>
          <w:jc w:val="center"/>
        </w:trPr>
        <w:tc>
          <w:tcPr>
            <w:tcW w:w="105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ind w:right="240"/>
              <w:jc w:val="center"/>
              <w:rPr>
                <w:rFonts w:ascii="宋体"/>
                <w:color w:val="auto"/>
                <w:sz w:val="22"/>
                <w:szCs w:val="22"/>
              </w:rPr>
            </w:pPr>
            <w:r>
              <w:rPr>
                <w:rFonts w:ascii="宋体" w:hAnsi="宋体" w:cs="宋体"/>
                <w:color w:val="auto"/>
                <w:sz w:val="22"/>
                <w:szCs w:val="22"/>
              </w:rPr>
              <w:t>1</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临床业务管理</w:t>
            </w: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门急诊挂号收费管理系统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住院管理系统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分诊排队叫号管理系统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住院审核管理系统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药库管理系统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门诊药房管理系统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住院药房管理系统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病案管理系统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门诊医生站管理系统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住院医生站管理系统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病区护士站管理系统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住院病历质控系统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临床路径管理系统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院内感染管理系统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sz w:val="24"/>
                <w:szCs w:val="24"/>
              </w:rPr>
              <w:t>HQMS</w:t>
            </w:r>
            <w:r>
              <w:rPr>
                <w:rFonts w:hint="eastAsia" w:ascii="宋体" w:hAnsi="宋体" w:cs="宋体"/>
                <w:color w:val="auto"/>
                <w:sz w:val="24"/>
                <w:szCs w:val="24"/>
              </w:rPr>
              <w:t>数据上报系统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综合统计管理系统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医保接口</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ind w:right="240"/>
              <w:jc w:val="center"/>
              <w:rPr>
                <w:rFonts w:ascii="宋体"/>
                <w:color w:val="auto"/>
                <w:sz w:val="22"/>
                <w:szCs w:val="22"/>
              </w:rPr>
            </w:pPr>
            <w:r>
              <w:rPr>
                <w:rFonts w:ascii="宋体" w:hAnsi="宋体" w:cs="宋体"/>
                <w:color w:val="auto"/>
                <w:sz w:val="22"/>
                <w:szCs w:val="22"/>
              </w:rPr>
              <w:t>2</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药学信息系统</w:t>
            </w: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抗菌药物管理系统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合理用药监测系统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处方点评管理系统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前置审方管理系统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ind w:left="210" w:right="240"/>
              <w:rPr>
                <w:rFonts w:ascii="宋体"/>
                <w:color w:val="auto"/>
                <w:sz w:val="22"/>
                <w:szCs w:val="22"/>
              </w:rPr>
            </w:pPr>
            <w:r>
              <w:rPr>
                <w:rFonts w:ascii="宋体" w:hAnsi="宋体" w:cs="宋体"/>
                <w:color w:val="auto"/>
                <w:sz w:val="22"/>
                <w:szCs w:val="22"/>
              </w:rPr>
              <w:t>3</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电子病历</w:t>
            </w: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sz w:val="24"/>
                <w:szCs w:val="24"/>
              </w:rPr>
              <w:t>门诊电子病历系统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住院电子病历系统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护理电子病历系统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ind w:right="240"/>
              <w:rPr>
                <w:rFonts w:ascii="宋体"/>
                <w:color w:val="auto"/>
                <w:sz w:val="22"/>
                <w:szCs w:val="22"/>
              </w:rPr>
            </w:pPr>
            <w:r>
              <w:rPr>
                <w:rFonts w:ascii="宋体" w:hAnsi="宋体" w:cs="宋体"/>
                <w:color w:val="auto"/>
                <w:sz w:val="22"/>
                <w:szCs w:val="22"/>
              </w:rPr>
              <w:t>4</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影像管理</w:t>
            </w: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医学影像存储与归档系统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放射科管理系统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超声科管理系统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内镜管理系统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575" w:hRule="atLeast"/>
          <w:jc w:val="center"/>
        </w:trPr>
        <w:tc>
          <w:tcPr>
            <w:tcW w:w="105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全院影像共享系统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156" w:after="156" w:line="400" w:lineRule="exact"/>
              <w:ind w:right="240"/>
              <w:rPr>
                <w:rFonts w:ascii="宋体"/>
                <w:color w:val="auto"/>
                <w:sz w:val="22"/>
                <w:szCs w:val="22"/>
              </w:rPr>
            </w:pPr>
            <w:r>
              <w:rPr>
                <w:rFonts w:ascii="宋体" w:hAnsi="宋体" w:cs="宋体"/>
                <w:color w:val="auto"/>
                <w:sz w:val="22"/>
                <w:szCs w:val="22"/>
              </w:rPr>
              <w:t>5</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检验管理</w:t>
            </w: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检验管理系统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left"/>
              <w:rPr>
                <w:rFonts w:ascii="宋体"/>
                <w:color w:val="auto"/>
                <w:sz w:val="22"/>
                <w:szCs w:val="22"/>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rPr>
                <w:rFonts w:ascii="宋体"/>
                <w:color w:val="auto"/>
                <w:sz w:val="22"/>
                <w:szCs w:val="22"/>
              </w:rPr>
            </w:pPr>
          </w:p>
        </w:tc>
        <w:tc>
          <w:tcPr>
            <w:tcW w:w="41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检验条码打印系统</w:t>
            </w:r>
          </w:p>
        </w:tc>
        <w:tc>
          <w:tcPr>
            <w:tcW w:w="13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400" w:lineRule="exact"/>
              <w:rPr>
                <w:rFonts w:ascii="宋体"/>
                <w:color w:val="auto"/>
              </w:rPr>
            </w:pPr>
            <w:r>
              <w:rPr>
                <w:rFonts w:ascii="宋体" w:hAnsi="宋体" w:cs="宋体"/>
                <w:color w:val="auto"/>
              </w:rPr>
              <w:t>6</w:t>
            </w:r>
          </w:p>
        </w:tc>
        <w:tc>
          <w:tcPr>
            <w:tcW w:w="1923"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后勤管理</w:t>
            </w:r>
          </w:p>
        </w:tc>
        <w:tc>
          <w:tcPr>
            <w:tcW w:w="416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rPr>
            </w:pPr>
            <w:r>
              <w:rPr>
                <w:rFonts w:hint="eastAsia" w:ascii="宋体" w:hAnsi="宋体" w:cs="宋体"/>
                <w:color w:val="auto"/>
                <w:sz w:val="24"/>
                <w:szCs w:val="24"/>
              </w:rPr>
              <w:t>物资库房管理系统</w:t>
            </w:r>
          </w:p>
        </w:tc>
        <w:tc>
          <w:tcPr>
            <w:tcW w:w="1381"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2"/>
                <w:szCs w:val="22"/>
              </w:rPr>
            </w:pPr>
          </w:p>
        </w:tc>
      </w:tr>
      <w:tr>
        <w:tblPrEx>
          <w:tblCellMar>
            <w:top w:w="0" w:type="dxa"/>
            <w:left w:w="10" w:type="dxa"/>
            <w:bottom w:w="0" w:type="dxa"/>
            <w:right w:w="10" w:type="dxa"/>
          </w:tblCellMar>
        </w:tblPrEx>
        <w:trPr>
          <w:trHeight w:val="1" w:hRule="atLeast"/>
          <w:jc w:val="center"/>
        </w:trPr>
        <w:tc>
          <w:tcPr>
            <w:tcW w:w="105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156" w:after="156" w:line="400" w:lineRule="exact"/>
              <w:ind w:right="240"/>
              <w:rPr>
                <w:rFonts w:ascii="宋体"/>
                <w:color w:val="auto"/>
              </w:rPr>
            </w:pPr>
            <w:r>
              <w:rPr>
                <w:rFonts w:ascii="宋体" w:hAnsi="宋体" w:cs="宋体"/>
                <w:color w:val="auto"/>
              </w:rPr>
              <w:t>7</w:t>
            </w:r>
          </w:p>
        </w:tc>
        <w:tc>
          <w:tcPr>
            <w:tcW w:w="192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color w:val="auto"/>
                <w:sz w:val="24"/>
                <w:szCs w:val="24"/>
              </w:rPr>
              <w:t>健康体检管理</w:t>
            </w:r>
          </w:p>
        </w:tc>
        <w:tc>
          <w:tcPr>
            <w:tcW w:w="416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sz w:val="24"/>
                <w:szCs w:val="24"/>
              </w:rPr>
            </w:pPr>
            <w:r>
              <w:rPr>
                <w:rFonts w:hint="eastAsia" w:ascii="宋体" w:hAnsi="宋体" w:cs="宋体"/>
                <w:color w:val="auto"/>
                <w:sz w:val="24"/>
                <w:szCs w:val="24"/>
              </w:rPr>
              <w:t>健康体检管理系统</w:t>
            </w:r>
          </w:p>
        </w:tc>
        <w:tc>
          <w:tcPr>
            <w:tcW w:w="138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p>
        </w:tc>
      </w:tr>
      <w:tr>
        <w:tblPrEx>
          <w:tblCellMar>
            <w:top w:w="0" w:type="dxa"/>
            <w:left w:w="10" w:type="dxa"/>
            <w:bottom w:w="0" w:type="dxa"/>
            <w:right w:w="10" w:type="dxa"/>
          </w:tblCellMar>
        </w:tblPrEx>
        <w:trPr>
          <w:trHeight w:val="1" w:hRule="atLeast"/>
          <w:jc w:val="center"/>
        </w:trPr>
        <w:tc>
          <w:tcPr>
            <w:tcW w:w="105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156" w:after="156" w:line="400" w:lineRule="exact"/>
              <w:ind w:right="240"/>
              <w:rPr>
                <w:rFonts w:ascii="宋体"/>
                <w:color w:val="auto"/>
              </w:rPr>
            </w:pPr>
            <w:r>
              <w:rPr>
                <w:rFonts w:ascii="宋体" w:hAnsi="宋体" w:cs="宋体"/>
                <w:color w:val="auto"/>
              </w:rPr>
              <w:t>8</w:t>
            </w:r>
          </w:p>
        </w:tc>
        <w:tc>
          <w:tcPr>
            <w:tcW w:w="192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color w:val="auto"/>
                <w:sz w:val="24"/>
                <w:szCs w:val="24"/>
              </w:rPr>
              <w:t>智能预问诊</w:t>
            </w:r>
          </w:p>
        </w:tc>
        <w:tc>
          <w:tcPr>
            <w:tcW w:w="416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sz w:val="24"/>
                <w:szCs w:val="24"/>
              </w:rPr>
            </w:pPr>
            <w:r>
              <w:rPr>
                <w:rFonts w:hint="eastAsia" w:ascii="宋体" w:hAnsi="宋体" w:cs="宋体"/>
                <w:color w:val="auto"/>
                <w:sz w:val="24"/>
                <w:szCs w:val="24"/>
              </w:rPr>
              <w:t>智能预问诊系统</w:t>
            </w:r>
          </w:p>
        </w:tc>
        <w:tc>
          <w:tcPr>
            <w:tcW w:w="138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p>
        </w:tc>
      </w:tr>
    </w:tbl>
    <w:p>
      <w:pPr>
        <w:keepNext/>
        <w:keepLines/>
        <w:spacing w:before="260" w:after="260" w:line="400" w:lineRule="exact"/>
        <w:ind w:left="576"/>
        <w:outlineLvl w:val="0"/>
        <w:rPr>
          <w:rFonts w:ascii="宋体"/>
          <w:b/>
          <w:bCs/>
          <w:color w:val="auto"/>
          <w:sz w:val="24"/>
          <w:szCs w:val="24"/>
        </w:rPr>
      </w:pPr>
      <w:bookmarkStart w:id="879" w:name="_Toc32758"/>
      <w:bookmarkStart w:id="880" w:name="_Toc82882787"/>
      <w:bookmarkStart w:id="881" w:name="_Toc29697"/>
      <w:r>
        <w:rPr>
          <w:rFonts w:ascii="宋体" w:hAnsi="宋体" w:cs="宋体"/>
          <w:b/>
          <w:bCs/>
          <w:color w:val="auto"/>
          <w:sz w:val="24"/>
          <w:szCs w:val="24"/>
        </w:rPr>
        <w:t>4</w:t>
      </w:r>
      <w:r>
        <w:rPr>
          <w:rFonts w:hint="eastAsia" w:ascii="宋体" w:hAnsi="宋体" w:cs="宋体"/>
          <w:b/>
          <w:bCs/>
          <w:color w:val="auto"/>
          <w:sz w:val="24"/>
          <w:szCs w:val="24"/>
        </w:rPr>
        <w:t>、项目技术需求</w:t>
      </w:r>
      <w:bookmarkEnd w:id="879"/>
      <w:bookmarkEnd w:id="880"/>
      <w:bookmarkEnd w:id="881"/>
    </w:p>
    <w:p>
      <w:pPr>
        <w:keepNext/>
        <w:keepLines/>
        <w:tabs>
          <w:tab w:val="left" w:pos="220"/>
        </w:tabs>
        <w:spacing w:before="156" w:after="156" w:line="400" w:lineRule="exact"/>
        <w:ind w:left="220"/>
        <w:outlineLvl w:val="1"/>
        <w:rPr>
          <w:rFonts w:ascii="宋体"/>
          <w:b/>
          <w:bCs/>
          <w:color w:val="auto"/>
          <w:sz w:val="24"/>
          <w:szCs w:val="24"/>
        </w:rPr>
      </w:pPr>
      <w:bookmarkStart w:id="882" w:name="_Toc23547"/>
      <w:bookmarkStart w:id="883" w:name="_Toc82882788"/>
      <w:bookmarkStart w:id="884" w:name="_Toc29193"/>
      <w:r>
        <w:rPr>
          <w:rFonts w:ascii="宋体" w:hAnsi="宋体" w:cs="宋体"/>
          <w:b/>
          <w:bCs/>
          <w:color w:val="auto"/>
          <w:sz w:val="24"/>
          <w:szCs w:val="24"/>
        </w:rPr>
        <w:t>4.1</w:t>
      </w:r>
      <w:r>
        <w:rPr>
          <w:rFonts w:hint="eastAsia" w:ascii="宋体" w:hAnsi="宋体" w:cs="宋体"/>
          <w:b/>
          <w:bCs/>
          <w:color w:val="auto"/>
          <w:sz w:val="24"/>
          <w:szCs w:val="24"/>
        </w:rPr>
        <w:t>、综合布线清单</w:t>
      </w:r>
      <w:bookmarkEnd w:id="882"/>
      <w:bookmarkEnd w:id="883"/>
      <w:bookmarkEnd w:id="884"/>
    </w:p>
    <w:tbl>
      <w:tblPr>
        <w:tblStyle w:val="21"/>
        <w:tblW w:w="10560" w:type="dxa"/>
        <w:tblInd w:w="-1054" w:type="dxa"/>
        <w:tblLayout w:type="fixed"/>
        <w:tblCellMar>
          <w:top w:w="0" w:type="dxa"/>
          <w:left w:w="10" w:type="dxa"/>
          <w:bottom w:w="0" w:type="dxa"/>
          <w:right w:w="10" w:type="dxa"/>
        </w:tblCellMar>
      </w:tblPr>
      <w:tblGrid>
        <w:gridCol w:w="730"/>
        <w:gridCol w:w="1091"/>
        <w:gridCol w:w="7329"/>
        <w:gridCol w:w="690"/>
        <w:gridCol w:w="720"/>
      </w:tblGrid>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rPr>
            </w:pPr>
            <w:r>
              <w:rPr>
                <w:rFonts w:hint="eastAsia" w:ascii="宋体" w:hAnsi="宋体" w:cs="宋体"/>
                <w:b/>
                <w:bCs/>
                <w:color w:val="auto"/>
              </w:rPr>
              <w:t>序号</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rPr>
            </w:pPr>
            <w:r>
              <w:rPr>
                <w:rFonts w:hint="eastAsia" w:ascii="宋体" w:hAnsi="宋体" w:cs="宋体"/>
                <w:b/>
                <w:bCs/>
                <w:color w:val="auto"/>
              </w:rPr>
              <w:t>设备名称</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rPr>
            </w:pPr>
            <w:r>
              <w:rPr>
                <w:rFonts w:hint="eastAsia" w:ascii="宋体" w:hAnsi="宋体" w:cs="宋体"/>
                <w:b/>
                <w:bCs/>
                <w:color w:val="auto"/>
              </w:rPr>
              <w:t>规格配置要求</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rPr>
            </w:pPr>
            <w:r>
              <w:rPr>
                <w:rFonts w:hint="eastAsia" w:ascii="宋体" w:hAnsi="宋体" w:cs="宋体"/>
                <w:b/>
                <w:bCs/>
                <w:color w:val="auto"/>
              </w:rPr>
              <w:t>数量</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rPr>
            </w:pPr>
            <w:r>
              <w:rPr>
                <w:rFonts w:hint="eastAsia" w:ascii="宋体" w:hAnsi="宋体" w:cs="宋体"/>
                <w:b/>
                <w:bCs/>
                <w:color w:val="auto"/>
              </w:rPr>
              <w:t>单位</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六类非屏蔽信息模块</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打线方式：</w:t>
            </w:r>
            <w:r>
              <w:rPr>
                <w:rFonts w:ascii="宋体" w:hAnsi="宋体" w:cs="宋体"/>
                <w:color w:val="auto"/>
                <w:kern w:val="0"/>
                <w:sz w:val="24"/>
                <w:szCs w:val="24"/>
              </w:rPr>
              <w:t xml:space="preserve"> 180</w:t>
            </w:r>
            <w:r>
              <w:rPr>
                <w:rFonts w:hint="eastAsia" w:ascii="宋体" w:hAnsi="宋体" w:cs="宋体"/>
                <w:color w:val="auto"/>
                <w:kern w:val="0"/>
                <w:sz w:val="24"/>
                <w:szCs w:val="24"/>
              </w:rPr>
              <w:t>°打线</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华丽清晰的彩色</w:t>
            </w:r>
            <w:r>
              <w:rPr>
                <w:rFonts w:ascii="宋体" w:hAnsi="宋体" w:cs="宋体"/>
                <w:color w:val="auto"/>
                <w:kern w:val="0"/>
                <w:sz w:val="24"/>
                <w:szCs w:val="24"/>
              </w:rPr>
              <w:t>T568A&amp;T568B</w:t>
            </w:r>
            <w:r>
              <w:rPr>
                <w:rFonts w:hint="eastAsia" w:ascii="宋体" w:hAnsi="宋体" w:cs="宋体"/>
                <w:color w:val="auto"/>
                <w:kern w:val="0"/>
                <w:sz w:val="24"/>
                <w:szCs w:val="24"/>
              </w:rPr>
              <w:t>打线标示系统，方便打线</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塑体材料选用高强度耐冲压</w:t>
            </w:r>
            <w:r>
              <w:rPr>
                <w:rFonts w:ascii="宋体" w:hAnsi="宋体" w:cs="宋体"/>
                <w:color w:val="auto"/>
                <w:kern w:val="0"/>
                <w:sz w:val="24"/>
                <w:szCs w:val="24"/>
              </w:rPr>
              <w:t>PC</w:t>
            </w:r>
            <w:r>
              <w:rPr>
                <w:rFonts w:hint="eastAsia" w:ascii="宋体" w:hAnsi="宋体" w:cs="宋体"/>
                <w:color w:val="auto"/>
                <w:kern w:val="0"/>
                <w:sz w:val="24"/>
                <w:szCs w:val="24"/>
              </w:rPr>
              <w:t>，防火阻燃可达</w:t>
            </w:r>
            <w:r>
              <w:rPr>
                <w:rFonts w:ascii="宋体" w:hAnsi="宋体" w:cs="宋体"/>
                <w:color w:val="auto"/>
                <w:kern w:val="0"/>
                <w:sz w:val="24"/>
                <w:szCs w:val="24"/>
              </w:rPr>
              <w:t>UL94V-0</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金针选用磷青铜，镀镍</w:t>
            </w:r>
            <w:r>
              <w:rPr>
                <w:rFonts w:ascii="宋体" w:hAnsi="宋体" w:cs="宋体"/>
                <w:color w:val="auto"/>
                <w:kern w:val="0"/>
                <w:sz w:val="24"/>
                <w:szCs w:val="24"/>
              </w:rPr>
              <w:t>100u</w:t>
            </w:r>
            <w:r>
              <w:rPr>
                <w:rFonts w:hint="eastAsia" w:ascii="宋体" w:hAnsi="宋体" w:cs="宋体"/>
                <w:color w:val="auto"/>
                <w:kern w:val="0"/>
                <w:sz w:val="24"/>
                <w:szCs w:val="24"/>
              </w:rPr>
              <w:t>”，镀金</w:t>
            </w:r>
            <w:r>
              <w:rPr>
                <w:rFonts w:ascii="宋体" w:hAnsi="宋体" w:cs="宋体"/>
                <w:color w:val="auto"/>
                <w:kern w:val="0"/>
                <w:sz w:val="24"/>
                <w:szCs w:val="24"/>
              </w:rPr>
              <w:t>50u</w:t>
            </w:r>
            <w:r>
              <w:rPr>
                <w:rFonts w:hint="eastAsia" w:ascii="宋体" w:hAnsi="宋体" w:cs="宋体"/>
                <w:color w:val="auto"/>
                <w:kern w:val="0"/>
                <w:sz w:val="24"/>
                <w:szCs w:val="24"/>
              </w:rPr>
              <w:t>”，保证达到最小接触电阻，防氧化性强，利于信息传输</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物理性能：</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塑体材料</w:t>
            </w:r>
            <w:r>
              <w:rPr>
                <w:rFonts w:ascii="宋体" w:hAnsi="宋体" w:cs="宋体"/>
                <w:color w:val="auto"/>
                <w:kern w:val="0"/>
                <w:sz w:val="24"/>
                <w:szCs w:val="24"/>
              </w:rPr>
              <w:t xml:space="preserve"> PC</w:t>
            </w:r>
            <w:r>
              <w:rPr>
                <w:rFonts w:hint="eastAsia" w:ascii="宋体" w:hAnsi="宋体" w:cs="宋体"/>
                <w:color w:val="auto"/>
                <w:kern w:val="0"/>
                <w:sz w:val="24"/>
                <w:szCs w:val="24"/>
              </w:rPr>
              <w:t>，防火阻燃</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金针</w:t>
            </w:r>
            <w:r>
              <w:rPr>
                <w:rFonts w:ascii="宋体" w:hAnsi="宋体" w:cs="宋体"/>
                <w:color w:val="auto"/>
                <w:kern w:val="0"/>
                <w:sz w:val="24"/>
                <w:szCs w:val="24"/>
              </w:rPr>
              <w:t xml:space="preserve"> </w:t>
            </w:r>
            <w:r>
              <w:rPr>
                <w:rFonts w:hint="eastAsia" w:ascii="宋体" w:hAnsi="宋体" w:cs="宋体"/>
                <w:color w:val="auto"/>
                <w:kern w:val="0"/>
                <w:sz w:val="24"/>
                <w:szCs w:val="24"/>
              </w:rPr>
              <w:t>镀金</w:t>
            </w:r>
            <w:r>
              <w:rPr>
                <w:rFonts w:ascii="宋体" w:hAnsi="宋体" w:cs="宋体"/>
                <w:color w:val="auto"/>
                <w:kern w:val="0"/>
                <w:sz w:val="24"/>
                <w:szCs w:val="24"/>
              </w:rPr>
              <w:t>50u</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 xml:space="preserve">IDC </w:t>
            </w:r>
            <w:r>
              <w:rPr>
                <w:rFonts w:hint="eastAsia" w:ascii="宋体" w:hAnsi="宋体" w:cs="宋体"/>
                <w:color w:val="auto"/>
                <w:kern w:val="0"/>
                <w:sz w:val="24"/>
                <w:szCs w:val="24"/>
              </w:rPr>
              <w:t>端子</w:t>
            </w:r>
            <w:r>
              <w:rPr>
                <w:rFonts w:ascii="宋体" w:hAnsi="宋体" w:cs="宋体"/>
                <w:color w:val="auto"/>
                <w:kern w:val="0"/>
                <w:sz w:val="24"/>
                <w:szCs w:val="24"/>
              </w:rPr>
              <w:t xml:space="preserve"> </w:t>
            </w:r>
            <w:r>
              <w:rPr>
                <w:rFonts w:hint="eastAsia" w:ascii="宋体" w:hAnsi="宋体" w:cs="宋体"/>
                <w:color w:val="auto"/>
                <w:kern w:val="0"/>
                <w:sz w:val="24"/>
                <w:szCs w:val="24"/>
              </w:rPr>
              <w:t>磷青铜镀镍</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适合线径</w:t>
            </w:r>
            <w:r>
              <w:rPr>
                <w:rFonts w:ascii="宋体" w:hAnsi="宋体" w:cs="宋体"/>
                <w:color w:val="auto"/>
                <w:kern w:val="0"/>
                <w:sz w:val="24"/>
                <w:szCs w:val="24"/>
              </w:rPr>
              <w:t xml:space="preserve"> 22-26 AWG</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插拔次数</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1000 </w:t>
            </w:r>
            <w:r>
              <w:rPr>
                <w:rFonts w:hint="eastAsia" w:ascii="宋体" w:hAnsi="宋体" w:cs="宋体"/>
                <w:color w:val="auto"/>
                <w:kern w:val="0"/>
                <w:sz w:val="24"/>
                <w:szCs w:val="24"/>
              </w:rPr>
              <w:t>次</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 xml:space="preserve">IDC </w:t>
            </w:r>
            <w:r>
              <w:rPr>
                <w:rFonts w:hint="eastAsia" w:ascii="宋体" w:hAnsi="宋体" w:cs="宋体"/>
                <w:color w:val="auto"/>
                <w:kern w:val="0"/>
                <w:sz w:val="24"/>
                <w:szCs w:val="24"/>
              </w:rPr>
              <w:t>卡线次数</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250 </w:t>
            </w:r>
            <w:r>
              <w:rPr>
                <w:rFonts w:hint="eastAsia" w:ascii="宋体" w:hAnsi="宋体" w:cs="宋体"/>
                <w:color w:val="auto"/>
                <w:kern w:val="0"/>
                <w:sz w:val="24"/>
                <w:szCs w:val="24"/>
              </w:rPr>
              <w:t>次</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使用温度</w:t>
            </w:r>
            <w:r>
              <w:rPr>
                <w:rFonts w:ascii="宋体" w:hAnsi="宋体" w:cs="宋体"/>
                <w:color w:val="auto"/>
                <w:kern w:val="0"/>
                <w:sz w:val="24"/>
                <w:szCs w:val="24"/>
              </w:rPr>
              <w:t xml:space="preserve"> -30</w:t>
            </w:r>
            <w:r>
              <w:rPr>
                <w:rFonts w:hint="eastAsia" w:ascii="宋体" w:hAnsi="宋体" w:cs="宋体"/>
                <w:color w:val="auto"/>
                <w:kern w:val="0"/>
                <w:sz w:val="24"/>
                <w:szCs w:val="24"/>
              </w:rPr>
              <w:t>℃到</w:t>
            </w:r>
            <w:r>
              <w:rPr>
                <w:rFonts w:ascii="宋体" w:hAnsi="宋体" w:cs="宋体"/>
                <w:color w:val="auto"/>
                <w:kern w:val="0"/>
                <w:sz w:val="24"/>
                <w:szCs w:val="24"/>
              </w:rPr>
              <w:t>+60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电气特性：</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频率范围</w:t>
            </w:r>
            <w:r>
              <w:rPr>
                <w:rFonts w:ascii="宋体" w:hAnsi="宋体" w:cs="宋体"/>
                <w:color w:val="auto"/>
                <w:kern w:val="0"/>
                <w:sz w:val="24"/>
                <w:szCs w:val="24"/>
              </w:rPr>
              <w:t xml:space="preserve"> 0</w:t>
            </w:r>
            <w:r>
              <w:rPr>
                <w:rFonts w:hint="eastAsia" w:ascii="宋体" w:hAnsi="宋体" w:cs="宋体"/>
                <w:color w:val="auto"/>
                <w:kern w:val="0"/>
                <w:sz w:val="24"/>
                <w:szCs w:val="24"/>
              </w:rPr>
              <w:t>～</w:t>
            </w:r>
            <w:r>
              <w:rPr>
                <w:rFonts w:ascii="宋体" w:hAnsi="宋体" w:cs="宋体"/>
                <w:color w:val="auto"/>
                <w:kern w:val="0"/>
                <w:sz w:val="24"/>
                <w:szCs w:val="24"/>
              </w:rPr>
              <w:t>250MHz</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额定电流</w:t>
            </w:r>
            <w:r>
              <w:rPr>
                <w:rFonts w:ascii="宋体" w:hAnsi="宋体" w:cs="宋体"/>
                <w:color w:val="auto"/>
                <w:kern w:val="0"/>
                <w:sz w:val="24"/>
                <w:szCs w:val="24"/>
              </w:rPr>
              <w:t xml:space="preserve"> 1.5A</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接触电阻</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2.5m</w:t>
            </w:r>
            <w:r>
              <w:rPr>
                <w:rFonts w:hint="eastAsia" w:ascii="宋体" w:hAnsi="宋体" w:cs="宋体"/>
                <w:color w:val="auto"/>
                <w:kern w:val="0"/>
                <w:sz w:val="24"/>
                <w:szCs w:val="24"/>
              </w:rPr>
              <w:t>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绝缘电阻</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500 M</w:t>
            </w:r>
            <w:r>
              <w:rPr>
                <w:rFonts w:hint="eastAsia" w:ascii="宋体" w:hAnsi="宋体" w:cs="宋体"/>
                <w:color w:val="auto"/>
                <w:kern w:val="0"/>
                <w:sz w:val="24"/>
                <w:szCs w:val="24"/>
              </w:rPr>
              <w:t>Ω</w:t>
            </w:r>
          </w:p>
          <w:p>
            <w:pPr>
              <w:widowControl/>
              <w:jc w:val="left"/>
              <w:textAlignment w:val="center"/>
              <w:rPr>
                <w:rFonts w:ascii="宋体"/>
                <w:color w:val="auto"/>
                <w:sz w:val="24"/>
                <w:szCs w:val="24"/>
              </w:rPr>
            </w:pPr>
            <w:r>
              <w:rPr>
                <w:rFonts w:hint="eastAsia" w:ascii="宋体" w:hAnsi="宋体" w:cs="宋体"/>
                <w:color w:val="auto"/>
                <w:kern w:val="0"/>
                <w:sz w:val="24"/>
                <w:szCs w:val="24"/>
              </w:rPr>
              <w:t>抗电强度</w:t>
            </w:r>
            <w:r>
              <w:rPr>
                <w:rFonts w:ascii="宋体" w:hAnsi="宋体" w:cs="宋体"/>
                <w:color w:val="auto"/>
                <w:kern w:val="0"/>
                <w:sz w:val="24"/>
                <w:szCs w:val="24"/>
              </w:rPr>
              <w:t xml:space="preserve"> 750VAC </w:t>
            </w:r>
            <w:r>
              <w:rPr>
                <w:rFonts w:hint="eastAsia" w:ascii="宋体" w:hAnsi="宋体" w:cs="宋体"/>
                <w:color w:val="auto"/>
                <w:kern w:val="0"/>
                <w:sz w:val="24"/>
                <w:szCs w:val="24"/>
              </w:rPr>
              <w:t>，</w:t>
            </w:r>
            <w:r>
              <w:rPr>
                <w:rFonts w:ascii="宋体" w:hAnsi="宋体" w:cs="宋体"/>
                <w:color w:val="auto"/>
                <w:kern w:val="0"/>
                <w:sz w:val="24"/>
                <w:szCs w:val="24"/>
              </w:rPr>
              <w:t xml:space="preserve">60HZ 1 </w:t>
            </w:r>
            <w:r>
              <w:rPr>
                <w:rFonts w:hint="eastAsia" w:ascii="宋体" w:hAnsi="宋体" w:cs="宋体"/>
                <w:color w:val="auto"/>
                <w:kern w:val="0"/>
                <w:sz w:val="24"/>
                <w:szCs w:val="24"/>
              </w:rPr>
              <w:t>分钟，无击穿无飞弧</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700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语音模块</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90</w:t>
            </w:r>
            <w:r>
              <w:rPr>
                <w:rFonts w:hint="eastAsia" w:ascii="宋体" w:hAnsi="宋体" w:cs="宋体"/>
                <w:color w:val="auto"/>
                <w:kern w:val="0"/>
                <w:sz w:val="24"/>
                <w:szCs w:val="24"/>
              </w:rPr>
              <w:t>°打线款式</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壳体材料：聚碳酸酯工程塑料（</w:t>
            </w:r>
            <w:r>
              <w:rPr>
                <w:rFonts w:ascii="宋体" w:hAnsi="宋体" w:cs="宋体"/>
                <w:color w:val="auto"/>
                <w:kern w:val="0"/>
                <w:sz w:val="24"/>
                <w:szCs w:val="24"/>
              </w:rPr>
              <w:t>PC</w:t>
            </w:r>
            <w:r>
              <w:rPr>
                <w:rFonts w:hint="eastAsia" w:ascii="宋体" w:hAnsi="宋体" w:cs="宋体"/>
                <w:color w:val="auto"/>
                <w:kern w:val="0"/>
                <w:sz w:val="24"/>
                <w:szCs w:val="24"/>
              </w:rPr>
              <w:t>料），</w:t>
            </w:r>
            <w:r>
              <w:rPr>
                <w:rFonts w:ascii="宋体" w:hAnsi="宋体" w:cs="宋体"/>
                <w:color w:val="auto"/>
                <w:kern w:val="0"/>
                <w:sz w:val="24"/>
                <w:szCs w:val="24"/>
              </w:rPr>
              <w:t>UL-94V0</w:t>
            </w:r>
            <w:r>
              <w:rPr>
                <w:rFonts w:hint="eastAsia" w:ascii="宋体" w:hAnsi="宋体" w:cs="宋体"/>
                <w:color w:val="auto"/>
                <w:kern w:val="0"/>
                <w:sz w:val="24"/>
                <w:szCs w:val="24"/>
              </w:rPr>
              <w:t>，抗冲击、阻燃</w:t>
            </w:r>
            <w:r>
              <w:rPr>
                <w:rFonts w:ascii="宋体" w:hAnsi="宋体" w:cs="宋体"/>
                <w:color w:val="auto"/>
                <w:kern w:val="0"/>
                <w:sz w:val="24"/>
                <w:szCs w:val="24"/>
              </w:rPr>
              <w:t>PC</w:t>
            </w:r>
            <w:r>
              <w:rPr>
                <w:rFonts w:hint="eastAsia" w:ascii="宋体" w:hAnsi="宋体" w:cs="宋体"/>
                <w:color w:val="auto"/>
                <w:kern w:val="0"/>
                <w:sz w:val="24"/>
                <w:szCs w:val="24"/>
              </w:rPr>
              <w:t>料，抗破坏能力强；</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确保卡接更加稳固，打线次数≥</w:t>
            </w:r>
            <w:r>
              <w:rPr>
                <w:rFonts w:ascii="宋体" w:hAnsi="宋体" w:cs="宋体"/>
                <w:color w:val="auto"/>
                <w:kern w:val="0"/>
                <w:sz w:val="24"/>
                <w:szCs w:val="24"/>
              </w:rPr>
              <w:t>200</w:t>
            </w:r>
            <w:r>
              <w:rPr>
                <w:rFonts w:hint="eastAsia" w:ascii="宋体" w:hAnsi="宋体" w:cs="宋体"/>
                <w:color w:val="auto"/>
                <w:kern w:val="0"/>
                <w:sz w:val="24"/>
                <w:szCs w:val="24"/>
              </w:rPr>
              <w:t>次；</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插口</w:t>
            </w:r>
            <w:r>
              <w:rPr>
                <w:rFonts w:ascii="宋体" w:hAnsi="宋体" w:cs="宋体"/>
                <w:color w:val="auto"/>
                <w:kern w:val="0"/>
                <w:sz w:val="24"/>
                <w:szCs w:val="24"/>
              </w:rPr>
              <w:t>8PIN</w:t>
            </w:r>
            <w:r>
              <w:rPr>
                <w:rFonts w:hint="eastAsia" w:ascii="宋体" w:hAnsi="宋体" w:cs="宋体"/>
                <w:color w:val="auto"/>
                <w:kern w:val="0"/>
                <w:sz w:val="24"/>
                <w:szCs w:val="24"/>
              </w:rPr>
              <w:t>金线镀金</w:t>
            </w:r>
            <w:r>
              <w:rPr>
                <w:rFonts w:ascii="宋体" w:hAnsi="宋体" w:cs="宋体"/>
                <w:color w:val="auto"/>
                <w:kern w:val="0"/>
                <w:sz w:val="24"/>
                <w:szCs w:val="24"/>
              </w:rPr>
              <w:t>50u</w:t>
            </w:r>
            <w:r>
              <w:rPr>
                <w:rFonts w:hint="eastAsia" w:ascii="宋体" w:hAnsi="宋体" w:cs="宋体"/>
                <w:color w:val="auto"/>
                <w:kern w:val="0"/>
                <w:sz w:val="24"/>
                <w:szCs w:val="24"/>
              </w:rPr>
              <w:t>”，确保优良的接触性能，插拔次数≥</w:t>
            </w:r>
            <w:r>
              <w:rPr>
                <w:rFonts w:ascii="宋体" w:hAnsi="宋体" w:cs="宋体"/>
                <w:color w:val="auto"/>
                <w:kern w:val="0"/>
                <w:sz w:val="24"/>
                <w:szCs w:val="24"/>
              </w:rPr>
              <w:t>750</w:t>
            </w:r>
            <w:r>
              <w:rPr>
                <w:rFonts w:hint="eastAsia" w:ascii="宋体" w:hAnsi="宋体" w:cs="宋体"/>
                <w:color w:val="auto"/>
                <w:kern w:val="0"/>
                <w:sz w:val="24"/>
                <w:szCs w:val="24"/>
              </w:rPr>
              <w:t>次；</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要求产品外壳上必须模刻产品厂家品牌名称标志；</w:t>
            </w:r>
          </w:p>
          <w:p>
            <w:pPr>
              <w:widowControl/>
              <w:jc w:val="left"/>
              <w:textAlignment w:val="center"/>
              <w:rPr>
                <w:rFonts w:ascii="宋体"/>
                <w:color w:val="auto"/>
                <w:sz w:val="24"/>
                <w:szCs w:val="24"/>
              </w:rPr>
            </w:pPr>
            <w:r>
              <w:rPr>
                <w:rFonts w:hint="eastAsia" w:ascii="宋体" w:hAnsi="宋体" w:cs="宋体"/>
                <w:color w:val="auto"/>
                <w:kern w:val="0"/>
                <w:sz w:val="24"/>
                <w:szCs w:val="24"/>
              </w:rPr>
              <w:t>特别设计的压线盖保证可靠的端接性能要求；</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双口信息面板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产品尺寸：</w:t>
            </w:r>
            <w:r>
              <w:rPr>
                <w:rFonts w:ascii="宋体" w:hAnsi="宋体" w:cs="宋体"/>
                <w:color w:val="auto"/>
                <w:kern w:val="0"/>
                <w:sz w:val="24"/>
                <w:szCs w:val="24"/>
              </w:rPr>
              <w:t>86*86mm</w:t>
            </w:r>
            <w:r>
              <w:rPr>
                <w:rFonts w:hint="eastAsia" w:ascii="宋体" w:hAnsi="宋体" w:cs="宋体"/>
                <w:color w:val="auto"/>
                <w:kern w:val="0"/>
                <w:sz w:val="24"/>
                <w:szCs w:val="24"/>
              </w:rPr>
              <w:t>，可与</w:t>
            </w:r>
            <w:r>
              <w:rPr>
                <w:rFonts w:ascii="宋体" w:hAnsi="宋体" w:cs="宋体"/>
                <w:color w:val="auto"/>
                <w:kern w:val="0"/>
                <w:sz w:val="24"/>
                <w:szCs w:val="24"/>
              </w:rPr>
              <w:t>86</w:t>
            </w:r>
            <w:r>
              <w:rPr>
                <w:rFonts w:hint="eastAsia" w:ascii="宋体" w:hAnsi="宋体" w:cs="宋体"/>
                <w:color w:val="auto"/>
                <w:kern w:val="0"/>
                <w:sz w:val="24"/>
                <w:szCs w:val="24"/>
              </w:rPr>
              <w:t>型底盒搭配使用</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双口型</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w:t>
            </w:r>
            <w:r>
              <w:rPr>
                <w:rFonts w:ascii="宋体" w:hAnsi="宋体" w:cs="宋体"/>
                <w:color w:val="auto"/>
                <w:kern w:val="0"/>
                <w:sz w:val="24"/>
                <w:szCs w:val="24"/>
              </w:rPr>
              <w:t>PC</w:t>
            </w:r>
            <w:r>
              <w:rPr>
                <w:rFonts w:hint="eastAsia" w:ascii="宋体" w:hAnsi="宋体" w:cs="宋体"/>
                <w:color w:val="auto"/>
                <w:kern w:val="0"/>
                <w:sz w:val="24"/>
                <w:szCs w:val="24"/>
              </w:rPr>
              <w:t>塑胶材质，耐冲压，阻燃，阻燃可达</w:t>
            </w:r>
            <w:r>
              <w:rPr>
                <w:rFonts w:ascii="宋体" w:hAnsi="宋体" w:cs="宋体"/>
                <w:color w:val="auto"/>
                <w:kern w:val="0"/>
                <w:sz w:val="24"/>
                <w:szCs w:val="24"/>
              </w:rPr>
              <w:t>UL94V-0</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采用螺钉隐藏设计，外观优雅；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自带公制</w:t>
            </w:r>
            <w:r>
              <w:rPr>
                <w:rFonts w:ascii="宋体" w:hAnsi="宋体" w:cs="宋体"/>
                <w:color w:val="auto"/>
                <w:kern w:val="0"/>
                <w:sz w:val="24"/>
                <w:szCs w:val="24"/>
              </w:rPr>
              <w:t>F</w:t>
            </w:r>
            <w:r>
              <w:rPr>
                <w:rFonts w:hint="eastAsia" w:ascii="宋体" w:hAnsi="宋体" w:cs="宋体"/>
                <w:color w:val="auto"/>
                <w:kern w:val="0"/>
                <w:sz w:val="24"/>
                <w:szCs w:val="24"/>
              </w:rPr>
              <w:t>型接头，连接用户电视使用</w:t>
            </w:r>
          </w:p>
          <w:p>
            <w:pPr>
              <w:widowControl/>
              <w:jc w:val="left"/>
              <w:textAlignment w:val="center"/>
              <w:rPr>
                <w:rFonts w:ascii="宋体"/>
                <w:color w:val="auto"/>
                <w:sz w:val="24"/>
                <w:szCs w:val="24"/>
              </w:rPr>
            </w:pPr>
            <w:r>
              <w:rPr>
                <w:rFonts w:hint="eastAsia" w:ascii="宋体" w:hAnsi="宋体" w:cs="宋体"/>
                <w:color w:val="auto"/>
                <w:kern w:val="0"/>
                <w:sz w:val="24"/>
                <w:szCs w:val="24"/>
              </w:rPr>
              <w:t>可提供防雷、不防雷系列</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300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4</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单口信息面板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产品尺寸：</w:t>
            </w:r>
            <w:r>
              <w:rPr>
                <w:rFonts w:ascii="宋体" w:hAnsi="宋体" w:cs="宋体"/>
                <w:color w:val="auto"/>
                <w:kern w:val="0"/>
                <w:sz w:val="24"/>
                <w:szCs w:val="24"/>
              </w:rPr>
              <w:t>86*86mm</w:t>
            </w:r>
            <w:r>
              <w:rPr>
                <w:rFonts w:hint="eastAsia" w:ascii="宋体" w:hAnsi="宋体" w:cs="宋体"/>
                <w:color w:val="auto"/>
                <w:kern w:val="0"/>
                <w:sz w:val="24"/>
                <w:szCs w:val="24"/>
              </w:rPr>
              <w:t>，可与</w:t>
            </w:r>
            <w:r>
              <w:rPr>
                <w:rFonts w:ascii="宋体" w:hAnsi="宋体" w:cs="宋体"/>
                <w:color w:val="auto"/>
                <w:kern w:val="0"/>
                <w:sz w:val="24"/>
                <w:szCs w:val="24"/>
              </w:rPr>
              <w:t>86</w:t>
            </w:r>
            <w:r>
              <w:rPr>
                <w:rFonts w:hint="eastAsia" w:ascii="宋体" w:hAnsi="宋体" w:cs="宋体"/>
                <w:color w:val="auto"/>
                <w:kern w:val="0"/>
                <w:sz w:val="24"/>
                <w:szCs w:val="24"/>
              </w:rPr>
              <w:t>型底盒搭配使用</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单口型</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w:t>
            </w:r>
            <w:r>
              <w:rPr>
                <w:rFonts w:ascii="宋体" w:hAnsi="宋体" w:cs="宋体"/>
                <w:color w:val="auto"/>
                <w:kern w:val="0"/>
                <w:sz w:val="24"/>
                <w:szCs w:val="24"/>
              </w:rPr>
              <w:t>PC</w:t>
            </w:r>
            <w:r>
              <w:rPr>
                <w:rFonts w:hint="eastAsia" w:ascii="宋体" w:hAnsi="宋体" w:cs="宋体"/>
                <w:color w:val="auto"/>
                <w:kern w:val="0"/>
                <w:sz w:val="24"/>
                <w:szCs w:val="24"/>
              </w:rPr>
              <w:t>塑胶材质，耐冲压，阻燃，阻燃可达</w:t>
            </w:r>
            <w:r>
              <w:rPr>
                <w:rFonts w:ascii="宋体" w:hAnsi="宋体" w:cs="宋体"/>
                <w:color w:val="auto"/>
                <w:kern w:val="0"/>
                <w:sz w:val="24"/>
                <w:szCs w:val="24"/>
              </w:rPr>
              <w:t>UL94V-0</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采用螺钉隐藏设计，外观优雅；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自带公制</w:t>
            </w:r>
            <w:r>
              <w:rPr>
                <w:rFonts w:ascii="宋体" w:hAnsi="宋体" w:cs="宋体"/>
                <w:color w:val="auto"/>
                <w:kern w:val="0"/>
                <w:sz w:val="24"/>
                <w:szCs w:val="24"/>
              </w:rPr>
              <w:t>F</w:t>
            </w:r>
            <w:r>
              <w:rPr>
                <w:rFonts w:hint="eastAsia" w:ascii="宋体" w:hAnsi="宋体" w:cs="宋体"/>
                <w:color w:val="auto"/>
                <w:kern w:val="0"/>
                <w:sz w:val="24"/>
                <w:szCs w:val="24"/>
              </w:rPr>
              <w:t>型接头，连接用户电视使用</w:t>
            </w:r>
          </w:p>
          <w:p>
            <w:pPr>
              <w:widowControl/>
              <w:jc w:val="left"/>
              <w:textAlignment w:val="center"/>
              <w:rPr>
                <w:rFonts w:ascii="宋体"/>
                <w:color w:val="auto"/>
                <w:sz w:val="24"/>
                <w:szCs w:val="24"/>
              </w:rPr>
            </w:pPr>
            <w:r>
              <w:rPr>
                <w:rFonts w:hint="eastAsia" w:ascii="宋体" w:hAnsi="宋体" w:cs="宋体"/>
                <w:color w:val="auto"/>
                <w:kern w:val="0"/>
                <w:sz w:val="24"/>
                <w:szCs w:val="24"/>
              </w:rPr>
              <w:t>可提供防雷、不防雷系列</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500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5</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六类非屏蔽网线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w:t>
            </w:r>
            <w:r>
              <w:rPr>
                <w:rFonts w:ascii="宋体" w:hAnsi="宋体" w:cs="宋体"/>
                <w:color w:val="auto"/>
                <w:kern w:val="0"/>
                <w:sz w:val="24"/>
                <w:szCs w:val="24"/>
              </w:rPr>
              <w:t>ANSI/TIA/EIA 568C.2 250MHZ</w:t>
            </w:r>
            <w:r>
              <w:rPr>
                <w:rFonts w:hint="eastAsia" w:ascii="宋体" w:hAnsi="宋体" w:cs="宋体"/>
                <w:color w:val="auto"/>
                <w:kern w:val="0"/>
                <w:sz w:val="24"/>
                <w:szCs w:val="24"/>
              </w:rPr>
              <w:t>带宽测试要求</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提供线缆长度标记，减少浪费</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具有十字</w:t>
            </w:r>
            <w:r>
              <w:rPr>
                <w:rFonts w:ascii="宋体" w:hAnsi="宋体" w:cs="宋体"/>
                <w:color w:val="auto"/>
                <w:kern w:val="0"/>
                <w:sz w:val="24"/>
                <w:szCs w:val="24"/>
              </w:rPr>
              <w:t>PE</w:t>
            </w:r>
            <w:r>
              <w:rPr>
                <w:rFonts w:hint="eastAsia" w:ascii="宋体" w:hAnsi="宋体" w:cs="宋体"/>
                <w:color w:val="auto"/>
                <w:kern w:val="0"/>
                <w:sz w:val="24"/>
                <w:szCs w:val="24"/>
              </w:rPr>
              <w:t>骨架，保证传输性能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电气性能：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直流电阻</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7.5</w:t>
            </w:r>
            <w:r>
              <w:rPr>
                <w:rFonts w:hint="eastAsia" w:ascii="宋体" w:hAnsi="宋体" w:cs="宋体"/>
                <w:color w:val="auto"/>
                <w:kern w:val="0"/>
                <w:sz w:val="24"/>
                <w:szCs w:val="24"/>
              </w:rPr>
              <w:t>Ω</w:t>
            </w:r>
            <w:r>
              <w:rPr>
                <w:rFonts w:ascii="宋体" w:hAnsi="宋体" w:cs="宋体"/>
                <w:color w:val="auto"/>
                <w:kern w:val="0"/>
                <w:sz w:val="24"/>
                <w:szCs w:val="24"/>
              </w:rPr>
              <w:t xml:space="preserve">/100m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特性阻抗</w:t>
            </w:r>
            <w:r>
              <w:rPr>
                <w:rFonts w:ascii="宋体" w:hAnsi="宋体" w:cs="宋体"/>
                <w:color w:val="auto"/>
                <w:kern w:val="0"/>
                <w:sz w:val="24"/>
                <w:szCs w:val="24"/>
              </w:rPr>
              <w:t xml:space="preserve"> 100</w:t>
            </w:r>
            <w:r>
              <w:rPr>
                <w:rFonts w:hint="eastAsia" w:ascii="宋体" w:hAnsi="宋体" w:cs="宋体"/>
                <w:color w:val="auto"/>
                <w:kern w:val="0"/>
                <w:sz w:val="24"/>
                <w:szCs w:val="24"/>
              </w:rPr>
              <w:t>±</w:t>
            </w:r>
            <w:r>
              <w:rPr>
                <w:rFonts w:ascii="宋体" w:hAnsi="宋体" w:cs="宋体"/>
                <w:color w:val="auto"/>
                <w:kern w:val="0"/>
                <w:sz w:val="24"/>
                <w:szCs w:val="24"/>
              </w:rPr>
              <w:t>15</w:t>
            </w:r>
            <w:r>
              <w:rPr>
                <w:rFonts w:hint="eastAsia" w:ascii="宋体" w:hAnsi="宋体" w:cs="宋体"/>
                <w:color w:val="auto"/>
                <w:kern w:val="0"/>
                <w:sz w:val="24"/>
                <w:szCs w:val="24"/>
              </w:rPr>
              <w:t>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绝缘电阻</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5000M</w:t>
            </w:r>
            <w:r>
              <w:rPr>
                <w:rFonts w:hint="eastAsia" w:ascii="宋体" w:hAnsi="宋体" w:cs="宋体"/>
                <w:color w:val="auto"/>
                <w:kern w:val="0"/>
                <w:sz w:val="24"/>
                <w:szCs w:val="24"/>
              </w:rPr>
              <w:t>Ω</w:t>
            </w:r>
            <w:r>
              <w:rPr>
                <w:rFonts w:ascii="宋体" w:hAnsi="宋体" w:cs="宋体"/>
                <w:color w:val="auto"/>
                <w:kern w:val="0"/>
                <w:sz w:val="24"/>
                <w:szCs w:val="24"/>
              </w:rPr>
              <w:t>/km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线对直流电阻不平衡</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2.5%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工作电容</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5.6nF/100m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物理性能：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电缆对数</w:t>
            </w:r>
            <w:r>
              <w:rPr>
                <w:rFonts w:ascii="宋体" w:hAnsi="宋体" w:cs="宋体"/>
                <w:color w:val="auto"/>
                <w:kern w:val="0"/>
                <w:sz w:val="24"/>
                <w:szCs w:val="24"/>
              </w:rPr>
              <w:t xml:space="preserve"> 4</w:t>
            </w:r>
            <w:r>
              <w:rPr>
                <w:rFonts w:hint="eastAsia" w:ascii="宋体" w:hAnsi="宋体" w:cs="宋体"/>
                <w:color w:val="auto"/>
                <w:kern w:val="0"/>
                <w:sz w:val="24"/>
                <w:szCs w:val="24"/>
              </w:rPr>
              <w:t>对</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导体材料</w:t>
            </w:r>
            <w:r>
              <w:rPr>
                <w:rFonts w:ascii="宋体" w:hAnsi="宋体" w:cs="宋体"/>
                <w:color w:val="auto"/>
                <w:kern w:val="0"/>
                <w:sz w:val="24"/>
                <w:szCs w:val="24"/>
              </w:rPr>
              <w:t xml:space="preserve"> </w:t>
            </w:r>
            <w:r>
              <w:rPr>
                <w:rFonts w:hint="eastAsia" w:ascii="宋体" w:hAnsi="宋体" w:cs="宋体"/>
                <w:color w:val="auto"/>
                <w:kern w:val="0"/>
                <w:sz w:val="24"/>
                <w:szCs w:val="24"/>
              </w:rPr>
              <w:t>无氧圆铜（纯度</w:t>
            </w:r>
            <w:r>
              <w:rPr>
                <w:rFonts w:ascii="宋体" w:hAnsi="宋体" w:cs="宋体"/>
                <w:color w:val="auto"/>
                <w:kern w:val="0"/>
                <w:sz w:val="24"/>
                <w:szCs w:val="24"/>
              </w:rPr>
              <w:t>99.99%</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线规</w:t>
            </w:r>
            <w:r>
              <w:rPr>
                <w:rFonts w:ascii="宋体" w:hAnsi="宋体" w:cs="宋体"/>
                <w:color w:val="auto"/>
                <w:kern w:val="0"/>
                <w:sz w:val="24"/>
                <w:szCs w:val="24"/>
              </w:rPr>
              <w:t xml:space="preserve"> 23AWG  0.57mm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电缆外径</w:t>
            </w:r>
            <w:r>
              <w:rPr>
                <w:rFonts w:ascii="宋体" w:hAnsi="宋体" w:cs="宋体"/>
                <w:color w:val="auto"/>
                <w:kern w:val="0"/>
                <w:sz w:val="24"/>
                <w:szCs w:val="24"/>
              </w:rPr>
              <w:t xml:space="preserve"> 6.1mm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绝缘材料</w:t>
            </w:r>
            <w:r>
              <w:rPr>
                <w:rFonts w:ascii="宋体" w:hAnsi="宋体" w:cs="宋体"/>
                <w:color w:val="auto"/>
                <w:kern w:val="0"/>
                <w:sz w:val="24"/>
                <w:szCs w:val="24"/>
              </w:rPr>
              <w:t xml:space="preserve"> HDPE</w:t>
            </w:r>
            <w:r>
              <w:rPr>
                <w:rFonts w:hint="eastAsia" w:ascii="宋体" w:hAnsi="宋体" w:cs="宋体"/>
                <w:color w:val="auto"/>
                <w:kern w:val="0"/>
                <w:sz w:val="24"/>
                <w:szCs w:val="24"/>
              </w:rPr>
              <w:t>（实心聚烯烃）</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最小弯曲半径</w:t>
            </w:r>
            <w:r>
              <w:rPr>
                <w:rFonts w:ascii="宋体" w:hAnsi="宋体" w:cs="宋体"/>
                <w:color w:val="auto"/>
                <w:kern w:val="0"/>
                <w:sz w:val="24"/>
                <w:szCs w:val="24"/>
              </w:rPr>
              <w:t xml:space="preserve"> 10</w:t>
            </w:r>
            <w:r>
              <w:rPr>
                <w:rFonts w:hint="eastAsia" w:ascii="宋体" w:hAnsi="宋体" w:cs="宋体"/>
                <w:color w:val="auto"/>
                <w:kern w:val="0"/>
                <w:sz w:val="24"/>
                <w:szCs w:val="24"/>
              </w:rPr>
              <w:t>倍电缆外径</w:t>
            </w:r>
          </w:p>
          <w:p>
            <w:pPr>
              <w:widowControl/>
              <w:jc w:val="left"/>
              <w:textAlignment w:val="center"/>
              <w:rPr>
                <w:rFonts w:ascii="宋体"/>
                <w:color w:val="auto"/>
                <w:sz w:val="24"/>
                <w:szCs w:val="24"/>
              </w:rPr>
            </w:pPr>
            <w:r>
              <w:rPr>
                <w:rFonts w:hint="eastAsia" w:ascii="宋体" w:hAnsi="宋体" w:cs="宋体"/>
                <w:color w:val="auto"/>
                <w:kern w:val="0"/>
                <w:sz w:val="24"/>
                <w:szCs w:val="24"/>
              </w:rPr>
              <w:t>工作温度</w:t>
            </w:r>
            <w:r>
              <w:rPr>
                <w:rFonts w:ascii="宋体" w:hAnsi="宋体" w:cs="宋体"/>
                <w:color w:val="auto"/>
                <w:kern w:val="0"/>
                <w:sz w:val="24"/>
                <w:szCs w:val="24"/>
              </w:rPr>
              <w:t xml:space="preserve"> -20</w:t>
            </w:r>
            <w:r>
              <w:rPr>
                <w:rFonts w:hint="eastAsia" w:ascii="宋体" w:hAnsi="宋体" w:cs="宋体"/>
                <w:color w:val="auto"/>
                <w:kern w:val="0"/>
                <w:sz w:val="24"/>
                <w:szCs w:val="24"/>
              </w:rPr>
              <w:t>℃～</w:t>
            </w:r>
            <w:r>
              <w:rPr>
                <w:rFonts w:ascii="宋体" w:hAnsi="宋体" w:cs="宋体"/>
                <w:color w:val="auto"/>
                <w:kern w:val="0"/>
                <w:sz w:val="24"/>
                <w:szCs w:val="24"/>
              </w:rPr>
              <w:t>+70</w:t>
            </w:r>
            <w:r>
              <w:rPr>
                <w:rFonts w:hint="eastAsia" w:ascii="宋体" w:hAnsi="宋体" w:cs="宋体"/>
                <w:color w:val="auto"/>
                <w:kern w:val="0"/>
                <w:sz w:val="24"/>
                <w:szCs w:val="24"/>
              </w:rPr>
              <w:t>℃</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160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箱</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6</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24 </w:t>
            </w:r>
            <w:r>
              <w:rPr>
                <w:rFonts w:hint="eastAsia" w:ascii="宋体" w:hAnsi="宋体" w:cs="宋体"/>
                <w:color w:val="auto"/>
                <w:kern w:val="0"/>
                <w:sz w:val="24"/>
                <w:szCs w:val="24"/>
              </w:rPr>
              <w:t>口六类非屏蔽配线架</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产品尺寸：</w:t>
            </w:r>
            <w:r>
              <w:rPr>
                <w:rFonts w:ascii="宋体" w:hAnsi="宋体" w:cs="宋体"/>
                <w:color w:val="auto"/>
                <w:kern w:val="0"/>
                <w:sz w:val="24"/>
                <w:szCs w:val="24"/>
              </w:rPr>
              <w:t>482*440mm</w:t>
            </w:r>
            <w:r>
              <w:rPr>
                <w:rFonts w:hint="eastAsia" w:ascii="宋体" w:hAnsi="宋体" w:cs="宋体"/>
                <w:color w:val="auto"/>
                <w:kern w:val="0"/>
                <w:sz w:val="24"/>
                <w:szCs w:val="24"/>
              </w:rPr>
              <w:t>，标准机架安装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金针：磷青铜，在镀镍</w:t>
            </w:r>
            <w:r>
              <w:rPr>
                <w:rFonts w:ascii="宋体" w:hAnsi="宋体" w:cs="宋体"/>
                <w:color w:val="auto"/>
                <w:kern w:val="0"/>
                <w:sz w:val="24"/>
                <w:szCs w:val="24"/>
              </w:rPr>
              <w:t>100u</w:t>
            </w:r>
            <w:r>
              <w:rPr>
                <w:rFonts w:hint="eastAsia" w:ascii="宋体" w:hAnsi="宋体" w:cs="宋体"/>
                <w:color w:val="auto"/>
                <w:kern w:val="0"/>
                <w:sz w:val="24"/>
                <w:szCs w:val="24"/>
              </w:rPr>
              <w:t>”后再镀金</w:t>
            </w:r>
            <w:r>
              <w:rPr>
                <w:rFonts w:ascii="宋体" w:hAnsi="宋体" w:cs="宋体"/>
                <w:color w:val="auto"/>
                <w:kern w:val="0"/>
                <w:sz w:val="24"/>
                <w:szCs w:val="24"/>
              </w:rPr>
              <w:t>50u</w:t>
            </w:r>
            <w:r>
              <w:rPr>
                <w:rFonts w:hint="eastAsia" w:ascii="宋体" w:hAnsi="宋体" w:cs="宋体"/>
                <w:color w:val="auto"/>
                <w:kern w:val="0"/>
                <w:sz w:val="24"/>
                <w:szCs w:val="24"/>
              </w:rPr>
              <w:t>”，保证达到最小接触电阻，利于信息传输，防氧化性强</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模组化结构，</w:t>
            </w:r>
            <w:r>
              <w:rPr>
                <w:rFonts w:ascii="宋体" w:hAnsi="宋体" w:cs="宋体"/>
                <w:color w:val="auto"/>
                <w:kern w:val="0"/>
                <w:sz w:val="24"/>
                <w:szCs w:val="24"/>
              </w:rPr>
              <w:t>1U</w:t>
            </w:r>
            <w:r>
              <w:rPr>
                <w:rFonts w:hint="eastAsia" w:ascii="宋体" w:hAnsi="宋体" w:cs="宋体"/>
                <w:color w:val="auto"/>
                <w:kern w:val="0"/>
                <w:sz w:val="24"/>
                <w:szCs w:val="24"/>
              </w:rPr>
              <w:t>型</w:t>
            </w:r>
            <w:r>
              <w:rPr>
                <w:rFonts w:ascii="宋体" w:hAnsi="宋体" w:cs="宋体"/>
                <w:color w:val="auto"/>
                <w:kern w:val="0"/>
                <w:sz w:val="24"/>
                <w:szCs w:val="24"/>
              </w:rPr>
              <w:t>4</w:t>
            </w:r>
            <w:r>
              <w:rPr>
                <w:rFonts w:hint="eastAsia" w:ascii="宋体" w:hAnsi="宋体" w:cs="宋体"/>
                <w:color w:val="auto"/>
                <w:kern w:val="0"/>
                <w:sz w:val="24"/>
                <w:szCs w:val="24"/>
              </w:rPr>
              <w:t>位一体</w:t>
            </w:r>
            <w:r>
              <w:rPr>
                <w:rFonts w:ascii="宋体" w:hAnsi="宋体" w:cs="宋体"/>
                <w:color w:val="auto"/>
                <w:kern w:val="0"/>
                <w:sz w:val="24"/>
                <w:szCs w:val="24"/>
              </w:rPr>
              <w:t>PCB</w:t>
            </w:r>
            <w:r>
              <w:rPr>
                <w:rFonts w:hint="eastAsia" w:ascii="宋体" w:hAnsi="宋体" w:cs="宋体"/>
                <w:color w:val="auto"/>
                <w:kern w:val="0"/>
                <w:sz w:val="24"/>
                <w:szCs w:val="24"/>
              </w:rPr>
              <w:t>模块安装组，每个模组提供</w:t>
            </w:r>
            <w:r>
              <w:rPr>
                <w:rFonts w:ascii="宋体" w:hAnsi="宋体" w:cs="宋体"/>
                <w:color w:val="auto"/>
                <w:kern w:val="0"/>
                <w:sz w:val="24"/>
                <w:szCs w:val="24"/>
              </w:rPr>
              <w:t>6</w:t>
            </w:r>
            <w:r>
              <w:rPr>
                <w:rFonts w:hint="eastAsia" w:ascii="宋体" w:hAnsi="宋体" w:cs="宋体"/>
                <w:color w:val="auto"/>
                <w:kern w:val="0"/>
                <w:sz w:val="24"/>
                <w:szCs w:val="24"/>
              </w:rPr>
              <w:t>个端口；</w:t>
            </w:r>
            <w:r>
              <w:rPr>
                <w:rFonts w:ascii="宋体" w:hAnsi="宋体" w:cs="宋体"/>
                <w:color w:val="auto"/>
                <w:kern w:val="0"/>
                <w:sz w:val="24"/>
                <w:szCs w:val="24"/>
              </w:rPr>
              <w:t>0.5U</w:t>
            </w:r>
            <w:r>
              <w:rPr>
                <w:rFonts w:hint="eastAsia" w:ascii="宋体" w:hAnsi="宋体" w:cs="宋体"/>
                <w:color w:val="auto"/>
                <w:kern w:val="0"/>
                <w:sz w:val="24"/>
                <w:szCs w:val="24"/>
              </w:rPr>
              <w:t>型</w:t>
            </w:r>
            <w:r>
              <w:rPr>
                <w:rFonts w:ascii="宋体" w:hAnsi="宋体" w:cs="宋体"/>
                <w:color w:val="auto"/>
                <w:kern w:val="0"/>
                <w:sz w:val="24"/>
                <w:szCs w:val="24"/>
              </w:rPr>
              <w:t>3</w:t>
            </w:r>
            <w:r>
              <w:rPr>
                <w:rFonts w:hint="eastAsia" w:ascii="宋体" w:hAnsi="宋体" w:cs="宋体"/>
                <w:color w:val="auto"/>
                <w:kern w:val="0"/>
                <w:sz w:val="24"/>
                <w:szCs w:val="24"/>
              </w:rPr>
              <w:t>位一体</w:t>
            </w:r>
            <w:r>
              <w:rPr>
                <w:rFonts w:ascii="宋体" w:hAnsi="宋体" w:cs="宋体"/>
                <w:color w:val="auto"/>
                <w:kern w:val="0"/>
                <w:sz w:val="24"/>
                <w:szCs w:val="24"/>
              </w:rPr>
              <w:t>PCB</w:t>
            </w:r>
            <w:r>
              <w:rPr>
                <w:rFonts w:hint="eastAsia" w:ascii="宋体" w:hAnsi="宋体" w:cs="宋体"/>
                <w:color w:val="auto"/>
                <w:kern w:val="0"/>
                <w:sz w:val="24"/>
                <w:szCs w:val="24"/>
              </w:rPr>
              <w:t>模块安装组，每个模组提供</w:t>
            </w:r>
            <w:r>
              <w:rPr>
                <w:rFonts w:ascii="宋体" w:hAnsi="宋体" w:cs="宋体"/>
                <w:color w:val="auto"/>
                <w:kern w:val="0"/>
                <w:sz w:val="24"/>
                <w:szCs w:val="24"/>
              </w:rPr>
              <w:t>8</w:t>
            </w:r>
            <w:r>
              <w:rPr>
                <w:rFonts w:hint="eastAsia" w:ascii="宋体" w:hAnsi="宋体" w:cs="宋体"/>
                <w:color w:val="auto"/>
                <w:kern w:val="0"/>
                <w:sz w:val="24"/>
                <w:szCs w:val="24"/>
              </w:rPr>
              <w:t>个端口；</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灵活性：每个模块安装组可从配线架前方拆卸，方便管理维护</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背面附带钢质镀锌理线架，提供牢固稳定的走线空间</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前端具有标示系统，方便管理和维护</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打线方式：</w:t>
            </w:r>
            <w:r>
              <w:rPr>
                <w:rFonts w:ascii="宋体" w:hAnsi="宋体" w:cs="宋体"/>
                <w:color w:val="auto"/>
                <w:kern w:val="0"/>
                <w:sz w:val="24"/>
                <w:szCs w:val="24"/>
              </w:rPr>
              <w:t>180</w:t>
            </w:r>
            <w:r>
              <w:rPr>
                <w:rFonts w:hint="eastAsia" w:ascii="宋体" w:hAnsi="宋体" w:cs="宋体"/>
                <w:color w:val="auto"/>
                <w:kern w:val="0"/>
                <w:sz w:val="24"/>
                <w:szCs w:val="24"/>
              </w:rPr>
              <w:t>°、</w:t>
            </w:r>
            <w:r>
              <w:rPr>
                <w:rFonts w:ascii="宋体" w:hAnsi="宋体" w:cs="宋体"/>
                <w:color w:val="auto"/>
                <w:kern w:val="0"/>
                <w:sz w:val="24"/>
                <w:szCs w:val="24"/>
              </w:rPr>
              <w:t>Dual Type</w:t>
            </w:r>
            <w:r>
              <w:rPr>
                <w:rFonts w:hint="eastAsia" w:ascii="宋体" w:hAnsi="宋体" w:cs="宋体"/>
                <w:color w:val="auto"/>
                <w:kern w:val="0"/>
                <w:sz w:val="24"/>
                <w:szCs w:val="24"/>
              </w:rPr>
              <w:t>打线方式</w:t>
            </w:r>
          </w:p>
          <w:p>
            <w:pPr>
              <w:widowControl/>
              <w:jc w:val="left"/>
              <w:textAlignment w:val="center"/>
              <w:rPr>
                <w:rFonts w:ascii="宋体"/>
                <w:color w:val="auto"/>
                <w:sz w:val="24"/>
                <w:szCs w:val="24"/>
              </w:rPr>
            </w:pPr>
            <w:r>
              <w:rPr>
                <w:rFonts w:hint="eastAsia" w:ascii="宋体" w:hAnsi="宋体" w:cs="宋体"/>
                <w:color w:val="auto"/>
                <w:kern w:val="0"/>
                <w:sz w:val="24"/>
                <w:szCs w:val="24"/>
              </w:rPr>
              <w:t>产品性能：性能优越，远超国际性能指标</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50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7</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24</w:t>
            </w:r>
            <w:r>
              <w:rPr>
                <w:rFonts w:hint="eastAsia" w:ascii="宋体" w:hAnsi="宋体" w:cs="宋体"/>
                <w:color w:val="auto"/>
                <w:kern w:val="0"/>
                <w:sz w:val="24"/>
                <w:szCs w:val="24"/>
              </w:rPr>
              <w:t>口理线器</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产品尺寸：</w:t>
            </w:r>
            <w:r>
              <w:rPr>
                <w:rFonts w:ascii="宋体" w:hAnsi="宋体" w:cs="宋体"/>
                <w:color w:val="auto"/>
                <w:kern w:val="0"/>
                <w:sz w:val="24"/>
                <w:szCs w:val="24"/>
              </w:rPr>
              <w:t>482*440mm</w:t>
            </w:r>
            <w:r>
              <w:rPr>
                <w:rFonts w:hint="eastAsia" w:ascii="宋体" w:hAnsi="宋体" w:cs="宋体"/>
                <w:color w:val="auto"/>
                <w:kern w:val="0"/>
                <w:sz w:val="24"/>
                <w:szCs w:val="24"/>
              </w:rPr>
              <w:t>，标准机架安装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采用优质钢材，质感出众，结构稳定，承重量大；</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安装板上方和下方有开口设计，收纳容量大，</w:t>
            </w:r>
            <w:r>
              <w:rPr>
                <w:rFonts w:ascii="宋体" w:hAnsi="宋体" w:cs="宋体"/>
                <w:color w:val="auto"/>
                <w:kern w:val="0"/>
                <w:sz w:val="24"/>
                <w:szCs w:val="24"/>
              </w:rPr>
              <w:t xml:space="preserve">1U 19" </w:t>
            </w:r>
            <w:r>
              <w:rPr>
                <w:rFonts w:hint="eastAsia" w:ascii="宋体" w:hAnsi="宋体" w:cs="宋体"/>
                <w:color w:val="auto"/>
                <w:kern w:val="0"/>
                <w:sz w:val="24"/>
                <w:szCs w:val="24"/>
              </w:rPr>
              <w:t>标准标准机架安装；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理线架各个部位边缘质地均匀、光滑精致，避免了对跳线的外护套摩擦损伤；</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安装和拆卸非常方便，使用的数量和位置可以任意调整；</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分</w:t>
            </w:r>
            <w:r>
              <w:rPr>
                <w:rFonts w:ascii="宋体" w:hAnsi="宋体" w:cs="宋体"/>
                <w:color w:val="auto"/>
                <w:kern w:val="0"/>
                <w:sz w:val="24"/>
                <w:szCs w:val="24"/>
              </w:rPr>
              <w:t>12</w:t>
            </w:r>
            <w:r>
              <w:rPr>
                <w:rFonts w:hint="eastAsia" w:ascii="宋体" w:hAnsi="宋体" w:cs="宋体"/>
                <w:color w:val="auto"/>
                <w:kern w:val="0"/>
                <w:sz w:val="24"/>
                <w:szCs w:val="24"/>
              </w:rPr>
              <w:t>档、</w:t>
            </w:r>
            <w:r>
              <w:rPr>
                <w:rFonts w:ascii="宋体" w:hAnsi="宋体" w:cs="宋体"/>
                <w:color w:val="auto"/>
                <w:kern w:val="0"/>
                <w:sz w:val="24"/>
                <w:szCs w:val="24"/>
              </w:rPr>
              <w:t>24</w:t>
            </w:r>
            <w:r>
              <w:rPr>
                <w:rFonts w:hint="eastAsia" w:ascii="宋体" w:hAnsi="宋体" w:cs="宋体"/>
                <w:color w:val="auto"/>
                <w:kern w:val="0"/>
                <w:sz w:val="24"/>
                <w:szCs w:val="24"/>
              </w:rPr>
              <w:t>档金属与非金属类型；</w:t>
            </w:r>
          </w:p>
          <w:p>
            <w:pPr>
              <w:widowControl/>
              <w:jc w:val="left"/>
              <w:textAlignment w:val="center"/>
              <w:rPr>
                <w:rFonts w:ascii="宋体"/>
                <w:color w:val="auto"/>
                <w:sz w:val="24"/>
                <w:szCs w:val="24"/>
              </w:rPr>
            </w:pPr>
            <w:r>
              <w:rPr>
                <w:rFonts w:hint="eastAsia" w:ascii="宋体" w:hAnsi="宋体" w:cs="宋体"/>
                <w:color w:val="auto"/>
                <w:kern w:val="0"/>
                <w:sz w:val="24"/>
                <w:szCs w:val="24"/>
              </w:rPr>
              <w:t>可以上下进行跳线管理，为线缆的弯曲半径提供了帮助；</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60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8</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六类非屏跳线</w:t>
            </w:r>
            <w:r>
              <w:rPr>
                <w:rFonts w:ascii="宋体" w:hAnsi="宋体" w:cs="宋体"/>
                <w:color w:val="auto"/>
                <w:kern w:val="0"/>
                <w:sz w:val="24"/>
                <w:szCs w:val="24"/>
              </w:rPr>
              <w:t xml:space="preserve"> 3 </w:t>
            </w:r>
            <w:r>
              <w:rPr>
                <w:rFonts w:hint="eastAsia" w:ascii="宋体" w:hAnsi="宋体" w:cs="宋体"/>
                <w:color w:val="auto"/>
                <w:kern w:val="0"/>
                <w:sz w:val="24"/>
                <w:szCs w:val="24"/>
              </w:rPr>
              <w:t>米</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采用多芯软铜线，跳线柔软、易弯曲，便于施工操作；</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水晶头材质</w:t>
            </w:r>
            <w:r>
              <w:rPr>
                <w:rFonts w:ascii="宋体" w:hAnsi="宋体" w:cs="宋体"/>
                <w:color w:val="auto"/>
                <w:kern w:val="0"/>
                <w:sz w:val="24"/>
                <w:szCs w:val="24"/>
              </w:rPr>
              <w:t>PC</w:t>
            </w:r>
            <w:r>
              <w:rPr>
                <w:rFonts w:hint="eastAsia" w:ascii="宋体" w:hAnsi="宋体" w:cs="宋体"/>
                <w:color w:val="auto"/>
                <w:kern w:val="0"/>
                <w:sz w:val="24"/>
                <w:szCs w:val="24"/>
              </w:rPr>
              <w:t>，簧片镀金</w:t>
            </w:r>
            <w:r>
              <w:rPr>
                <w:rFonts w:ascii="宋体" w:hAnsi="宋体" w:cs="宋体"/>
                <w:color w:val="auto"/>
                <w:kern w:val="0"/>
                <w:sz w:val="24"/>
                <w:szCs w:val="24"/>
              </w:rPr>
              <w:t>50u</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护套有</w:t>
            </w:r>
            <w:r>
              <w:rPr>
                <w:rFonts w:ascii="宋体" w:hAnsi="宋体" w:cs="宋体"/>
                <w:color w:val="auto"/>
                <w:kern w:val="0"/>
                <w:sz w:val="24"/>
                <w:szCs w:val="24"/>
              </w:rPr>
              <w:t>PVC</w:t>
            </w:r>
            <w:r>
              <w:rPr>
                <w:rFonts w:hint="eastAsia" w:ascii="宋体" w:hAnsi="宋体" w:cs="宋体"/>
                <w:color w:val="auto"/>
                <w:kern w:val="0"/>
                <w:sz w:val="24"/>
                <w:szCs w:val="24"/>
              </w:rPr>
              <w:t>或</w:t>
            </w:r>
            <w:r>
              <w:rPr>
                <w:rFonts w:ascii="宋体" w:hAnsi="宋体" w:cs="宋体"/>
                <w:color w:val="auto"/>
                <w:kern w:val="0"/>
                <w:sz w:val="24"/>
                <w:szCs w:val="24"/>
              </w:rPr>
              <w:t>LSZH</w:t>
            </w:r>
            <w:r>
              <w:rPr>
                <w:rFonts w:hint="eastAsia" w:ascii="宋体" w:hAnsi="宋体" w:cs="宋体"/>
                <w:color w:val="auto"/>
                <w:kern w:val="0"/>
                <w:sz w:val="24"/>
                <w:szCs w:val="24"/>
              </w:rPr>
              <w:t>可选；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通过一次性注塑工艺，保证软线缆与水晶头的牢固连接；</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选用优质无氧铜，铜导体直径：</w:t>
            </w:r>
            <w:r>
              <w:rPr>
                <w:rFonts w:ascii="宋体" w:hAnsi="宋体" w:cs="宋体"/>
                <w:color w:val="auto"/>
                <w:kern w:val="0"/>
                <w:sz w:val="24"/>
                <w:szCs w:val="24"/>
              </w:rPr>
              <w:t>24AWG 7*0.20mm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产品性能：</w:t>
            </w:r>
            <w:r>
              <w:rPr>
                <w:rFonts w:ascii="宋体" w:hAnsi="宋体" w:cs="宋体"/>
                <w:color w:val="auto"/>
                <w:kern w:val="0"/>
                <w:sz w:val="24"/>
                <w:szCs w:val="24"/>
              </w:rPr>
              <w:t>100%</w:t>
            </w:r>
            <w:r>
              <w:rPr>
                <w:rFonts w:hint="eastAsia" w:ascii="宋体" w:hAnsi="宋体" w:cs="宋体"/>
                <w:color w:val="auto"/>
                <w:kern w:val="0"/>
                <w:sz w:val="24"/>
                <w:szCs w:val="24"/>
              </w:rPr>
              <w:t>通过</w:t>
            </w:r>
            <w:r>
              <w:rPr>
                <w:rFonts w:ascii="宋体" w:hAnsi="宋体" w:cs="宋体"/>
                <w:color w:val="auto"/>
                <w:kern w:val="0"/>
                <w:sz w:val="24"/>
                <w:szCs w:val="24"/>
              </w:rPr>
              <w:t>Channel</w:t>
            </w:r>
            <w:r>
              <w:rPr>
                <w:rFonts w:hint="eastAsia" w:ascii="宋体" w:hAnsi="宋体" w:cs="宋体"/>
                <w:color w:val="auto"/>
                <w:kern w:val="0"/>
                <w:sz w:val="24"/>
                <w:szCs w:val="24"/>
              </w:rPr>
              <w:t>测试；</w:t>
            </w:r>
          </w:p>
          <w:p>
            <w:pPr>
              <w:widowControl/>
              <w:jc w:val="left"/>
              <w:textAlignment w:val="center"/>
              <w:rPr>
                <w:rFonts w:ascii="宋体"/>
                <w:color w:val="auto"/>
                <w:sz w:val="24"/>
                <w:szCs w:val="24"/>
              </w:rPr>
            </w:pPr>
            <w:r>
              <w:rPr>
                <w:rFonts w:hint="eastAsia" w:ascii="宋体" w:hAnsi="宋体" w:cs="宋体"/>
                <w:color w:val="auto"/>
                <w:kern w:val="0"/>
                <w:sz w:val="24"/>
                <w:szCs w:val="24"/>
              </w:rPr>
              <w:t>插拔次数：水晶头可插拔次数≥</w:t>
            </w:r>
            <w:r>
              <w:rPr>
                <w:rFonts w:ascii="宋体" w:hAnsi="宋体" w:cs="宋体"/>
                <w:color w:val="auto"/>
                <w:kern w:val="0"/>
                <w:sz w:val="24"/>
                <w:szCs w:val="24"/>
              </w:rPr>
              <w:t>750</w:t>
            </w:r>
            <w:r>
              <w:rPr>
                <w:rFonts w:hint="eastAsia" w:ascii="宋体" w:hAnsi="宋体" w:cs="宋体"/>
                <w:color w:val="auto"/>
                <w:kern w:val="0"/>
                <w:sz w:val="24"/>
                <w:szCs w:val="24"/>
              </w:rPr>
              <w:t>次；</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750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根</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9</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24 </w:t>
            </w:r>
            <w:r>
              <w:rPr>
                <w:rFonts w:hint="eastAsia" w:ascii="宋体" w:hAnsi="宋体" w:cs="宋体"/>
                <w:color w:val="auto"/>
                <w:kern w:val="0"/>
                <w:sz w:val="24"/>
                <w:szCs w:val="24"/>
              </w:rPr>
              <w:t>口光纤配线架</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外壳采用黑色雾面粉末涂装处理，外观整洁美观、环保；</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全钢板配线架外框结构，保证产品的更高机械性能；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钢质配线架外框板厚</w:t>
            </w:r>
            <w:r>
              <w:rPr>
                <w:rFonts w:ascii="宋体" w:hAnsi="宋体" w:cs="宋体"/>
                <w:color w:val="auto"/>
                <w:kern w:val="0"/>
                <w:sz w:val="24"/>
                <w:szCs w:val="24"/>
              </w:rPr>
              <w:t>1.5MM</w:t>
            </w:r>
            <w:r>
              <w:rPr>
                <w:rFonts w:hint="eastAsia" w:ascii="宋体" w:hAnsi="宋体" w:cs="宋体"/>
                <w:color w:val="auto"/>
                <w:kern w:val="0"/>
                <w:sz w:val="24"/>
                <w:szCs w:val="24"/>
              </w:rPr>
              <w:t>，机械性能强度高，不易变形；</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壳体各面均能承受</w:t>
            </w:r>
            <w:r>
              <w:rPr>
                <w:rFonts w:ascii="宋体" w:hAnsi="宋体" w:cs="宋体"/>
                <w:color w:val="auto"/>
                <w:kern w:val="0"/>
                <w:sz w:val="24"/>
                <w:szCs w:val="24"/>
              </w:rPr>
              <w:t xml:space="preserve">3000N </w:t>
            </w:r>
            <w:r>
              <w:rPr>
                <w:rFonts w:hint="eastAsia" w:ascii="宋体" w:hAnsi="宋体" w:cs="宋体"/>
                <w:color w:val="auto"/>
                <w:kern w:val="0"/>
                <w:sz w:val="24"/>
                <w:szCs w:val="24"/>
              </w:rPr>
              <w:t>以上垂直静压力；</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壳体表面通过</w:t>
            </w:r>
            <w:r>
              <w:rPr>
                <w:rFonts w:ascii="宋体" w:hAnsi="宋体" w:cs="宋体"/>
                <w:color w:val="auto"/>
                <w:kern w:val="0"/>
                <w:sz w:val="24"/>
                <w:szCs w:val="24"/>
              </w:rPr>
              <w:t xml:space="preserve">GB/T2423.17-1993 </w:t>
            </w:r>
            <w:r>
              <w:rPr>
                <w:rFonts w:hint="eastAsia" w:ascii="宋体" w:hAnsi="宋体" w:cs="宋体"/>
                <w:color w:val="auto"/>
                <w:kern w:val="0"/>
                <w:sz w:val="24"/>
                <w:szCs w:val="24"/>
              </w:rPr>
              <w:t>标准的盐雾试验</w:t>
            </w:r>
            <w:r>
              <w:rPr>
                <w:rFonts w:ascii="宋体" w:hAnsi="宋体" w:cs="宋体"/>
                <w:color w:val="auto"/>
                <w:kern w:val="0"/>
                <w:sz w:val="24"/>
                <w:szCs w:val="24"/>
              </w:rPr>
              <w:t>48H</w:t>
            </w:r>
          </w:p>
          <w:p>
            <w:pPr>
              <w:widowControl/>
              <w:jc w:val="left"/>
              <w:textAlignment w:val="center"/>
              <w:rPr>
                <w:rFonts w:ascii="宋体"/>
                <w:color w:val="auto"/>
                <w:sz w:val="24"/>
                <w:szCs w:val="24"/>
              </w:rPr>
            </w:pPr>
            <w:r>
              <w:rPr>
                <w:rFonts w:hint="eastAsia" w:ascii="宋体" w:hAnsi="宋体" w:cs="宋体"/>
                <w:color w:val="auto"/>
                <w:kern w:val="0"/>
                <w:sz w:val="24"/>
                <w:szCs w:val="24"/>
              </w:rPr>
              <w:t>标准</w:t>
            </w:r>
            <w:r>
              <w:rPr>
                <w:rFonts w:ascii="宋体" w:hAnsi="宋体" w:cs="宋体"/>
                <w:color w:val="auto"/>
                <w:kern w:val="0"/>
                <w:sz w:val="24"/>
                <w:szCs w:val="24"/>
              </w:rPr>
              <w:t>19</w:t>
            </w:r>
            <w:r>
              <w:rPr>
                <w:rFonts w:hint="eastAsia" w:ascii="宋体" w:hAnsi="宋体" w:cs="宋体"/>
                <w:color w:val="auto"/>
                <w:kern w:val="0"/>
                <w:sz w:val="24"/>
                <w:szCs w:val="24"/>
              </w:rPr>
              <w:t>”机架安装</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8</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光纤跳线</w:t>
            </w:r>
            <w:r>
              <w:rPr>
                <w:rFonts w:ascii="宋体" w:hAnsi="宋体" w:cs="宋体"/>
                <w:color w:val="auto"/>
                <w:kern w:val="0"/>
                <w:sz w:val="24"/>
                <w:szCs w:val="24"/>
              </w:rPr>
              <w:t xml:space="preserve"> LC-LC 1 </w:t>
            </w:r>
            <w:r>
              <w:rPr>
                <w:rFonts w:hint="eastAsia" w:ascii="宋体" w:hAnsi="宋体" w:cs="宋体"/>
                <w:color w:val="auto"/>
                <w:kern w:val="0"/>
                <w:sz w:val="24"/>
                <w:szCs w:val="24"/>
              </w:rPr>
              <w:t>米</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插头主体塑胶采用高耐冲击性防火阻燃型</w:t>
            </w:r>
            <w:r>
              <w:rPr>
                <w:rFonts w:ascii="宋体" w:hAnsi="宋体" w:cs="宋体"/>
                <w:color w:val="auto"/>
                <w:kern w:val="0"/>
                <w:sz w:val="24"/>
                <w:szCs w:val="24"/>
              </w:rPr>
              <w:t>PC</w:t>
            </w:r>
            <w:r>
              <w:rPr>
                <w:rFonts w:hint="eastAsia" w:ascii="宋体" w:hAnsi="宋体" w:cs="宋体"/>
                <w:color w:val="auto"/>
                <w:kern w:val="0"/>
                <w:sz w:val="24"/>
                <w:szCs w:val="24"/>
              </w:rPr>
              <w:t>，符合</w:t>
            </w:r>
            <w:r>
              <w:rPr>
                <w:rFonts w:ascii="宋体" w:hAnsi="宋体" w:cs="宋体"/>
                <w:color w:val="auto"/>
                <w:kern w:val="0"/>
                <w:sz w:val="24"/>
                <w:szCs w:val="24"/>
              </w:rPr>
              <w:t>UL94V-0</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光纤端面高精度研磨，拥有最高的连接性能，极低的插入损耗；</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可满足诸如数据中心等密集型布线场所的应用；</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工厂预端接并</w:t>
            </w:r>
            <w:r>
              <w:rPr>
                <w:rFonts w:ascii="宋体" w:hAnsi="宋体" w:cs="宋体"/>
                <w:color w:val="auto"/>
                <w:kern w:val="0"/>
                <w:sz w:val="24"/>
                <w:szCs w:val="24"/>
              </w:rPr>
              <w:t>100%</w:t>
            </w:r>
            <w:r>
              <w:rPr>
                <w:rFonts w:hint="eastAsia" w:ascii="宋体" w:hAnsi="宋体" w:cs="宋体"/>
                <w:color w:val="auto"/>
                <w:kern w:val="0"/>
                <w:sz w:val="24"/>
                <w:szCs w:val="24"/>
              </w:rPr>
              <w:t>测试合格，确保产品质量及传输性能；</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结构特征：</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插针</w:t>
            </w:r>
            <w:r>
              <w:rPr>
                <w:rFonts w:ascii="宋体" w:hAnsi="宋体" w:cs="宋体"/>
                <w:color w:val="auto"/>
                <w:kern w:val="0"/>
                <w:sz w:val="24"/>
                <w:szCs w:val="24"/>
              </w:rPr>
              <w:t xml:space="preserve"> </w:t>
            </w:r>
            <w:r>
              <w:rPr>
                <w:rFonts w:hint="eastAsia" w:ascii="宋体" w:hAnsi="宋体" w:cs="宋体"/>
                <w:color w:val="auto"/>
                <w:kern w:val="0"/>
                <w:sz w:val="24"/>
                <w:szCs w:val="24"/>
              </w:rPr>
              <w:t>陶瓷氧化锆</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插头主体</w:t>
            </w:r>
            <w:r>
              <w:rPr>
                <w:rFonts w:ascii="宋体" w:hAnsi="宋体" w:cs="宋体"/>
                <w:color w:val="auto"/>
                <w:kern w:val="0"/>
                <w:sz w:val="24"/>
                <w:szCs w:val="24"/>
              </w:rPr>
              <w:t xml:space="preserve"> PC</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护套材质</w:t>
            </w:r>
            <w:r>
              <w:rPr>
                <w:rFonts w:ascii="宋体" w:hAnsi="宋体" w:cs="宋体"/>
                <w:color w:val="auto"/>
                <w:kern w:val="0"/>
                <w:sz w:val="24"/>
                <w:szCs w:val="24"/>
              </w:rPr>
              <w:t xml:space="preserve"> </w:t>
            </w:r>
            <w:r>
              <w:rPr>
                <w:rFonts w:hint="eastAsia" w:ascii="宋体" w:hAnsi="宋体" w:cs="宋体"/>
                <w:color w:val="auto"/>
                <w:kern w:val="0"/>
                <w:sz w:val="24"/>
                <w:szCs w:val="24"/>
              </w:rPr>
              <w:t>阻燃</w:t>
            </w:r>
            <w:r>
              <w:rPr>
                <w:rFonts w:ascii="宋体" w:hAnsi="宋体" w:cs="宋体"/>
                <w:color w:val="auto"/>
                <w:kern w:val="0"/>
                <w:sz w:val="24"/>
                <w:szCs w:val="24"/>
              </w:rPr>
              <w:t>PVC</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长度、芯数</w:t>
            </w:r>
            <w:r>
              <w:rPr>
                <w:rFonts w:ascii="宋体" w:hAnsi="宋体" w:cs="宋体"/>
                <w:color w:val="auto"/>
                <w:kern w:val="0"/>
                <w:sz w:val="24"/>
                <w:szCs w:val="24"/>
              </w:rPr>
              <w:t xml:space="preserve"> </w:t>
            </w:r>
            <w:r>
              <w:rPr>
                <w:rFonts w:hint="eastAsia" w:ascii="宋体" w:hAnsi="宋体" w:cs="宋体"/>
                <w:color w:val="auto"/>
                <w:kern w:val="0"/>
                <w:sz w:val="24"/>
                <w:szCs w:val="24"/>
              </w:rPr>
              <w:t>可定制</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跳线最大张力（</w:t>
            </w:r>
            <w:r>
              <w:rPr>
                <w:rFonts w:ascii="宋体" w:hAnsi="宋体" w:cs="宋体"/>
                <w:color w:val="auto"/>
                <w:kern w:val="0"/>
                <w:sz w:val="24"/>
                <w:szCs w:val="24"/>
              </w:rPr>
              <w:t>2mm</w:t>
            </w:r>
            <w:r>
              <w:rPr>
                <w:rFonts w:hint="eastAsia" w:ascii="宋体" w:hAnsi="宋体" w:cs="宋体"/>
                <w:color w:val="auto"/>
                <w:kern w:val="0"/>
                <w:sz w:val="24"/>
                <w:szCs w:val="24"/>
              </w:rPr>
              <w:t>线径以上）</w:t>
            </w:r>
            <w:r>
              <w:rPr>
                <w:rFonts w:ascii="宋体" w:hAnsi="宋体" w:cs="宋体"/>
                <w:color w:val="auto"/>
                <w:kern w:val="0"/>
                <w:sz w:val="24"/>
                <w:szCs w:val="24"/>
              </w:rPr>
              <w:t xml:space="preserve"> 400N</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跳线最大耐压强度（</w:t>
            </w:r>
            <w:r>
              <w:rPr>
                <w:rFonts w:ascii="宋体" w:hAnsi="宋体" w:cs="宋体"/>
                <w:color w:val="auto"/>
                <w:kern w:val="0"/>
                <w:sz w:val="24"/>
                <w:szCs w:val="24"/>
              </w:rPr>
              <w:t>2mm</w:t>
            </w:r>
            <w:r>
              <w:rPr>
                <w:rFonts w:hint="eastAsia" w:ascii="宋体" w:hAnsi="宋体" w:cs="宋体"/>
                <w:color w:val="auto"/>
                <w:kern w:val="0"/>
                <w:sz w:val="24"/>
                <w:szCs w:val="24"/>
              </w:rPr>
              <w:t>线径以上）</w:t>
            </w:r>
            <w:r>
              <w:rPr>
                <w:rFonts w:ascii="宋体" w:hAnsi="宋体" w:cs="宋体"/>
                <w:color w:val="auto"/>
                <w:kern w:val="0"/>
                <w:sz w:val="24"/>
                <w:szCs w:val="24"/>
              </w:rPr>
              <w:t xml:space="preserve"> 15N</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插入损耗</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0.2dB</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最大插入损耗</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0.30dB</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重复性</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0.10dB</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互换性</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0.20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回波损耗</w:t>
            </w:r>
            <w:r>
              <w:rPr>
                <w:rFonts w:ascii="宋体" w:hAnsi="宋体" w:cs="宋体"/>
                <w:color w:val="auto"/>
                <w:kern w:val="0"/>
                <w:sz w:val="24"/>
                <w:szCs w:val="24"/>
              </w:rPr>
              <w:t xml:space="preserve"> PC</w:t>
            </w:r>
            <w:r>
              <w:rPr>
                <w:rFonts w:hint="eastAsia" w:ascii="宋体" w:hAnsi="宋体" w:cs="宋体"/>
                <w:color w:val="auto"/>
                <w:kern w:val="0"/>
                <w:sz w:val="24"/>
                <w:szCs w:val="24"/>
              </w:rPr>
              <w:t>≥</w:t>
            </w:r>
            <w:r>
              <w:rPr>
                <w:rFonts w:ascii="宋体" w:hAnsi="宋体" w:cs="宋体"/>
                <w:color w:val="auto"/>
                <w:kern w:val="0"/>
                <w:sz w:val="24"/>
                <w:szCs w:val="24"/>
              </w:rPr>
              <w:t>45</w:t>
            </w:r>
            <w:r>
              <w:rPr>
                <w:rFonts w:hint="eastAsia" w:ascii="宋体" w:hAnsi="宋体" w:cs="宋体"/>
                <w:color w:val="auto"/>
                <w:kern w:val="0"/>
                <w:sz w:val="24"/>
                <w:szCs w:val="24"/>
              </w:rPr>
              <w:t>，</w:t>
            </w:r>
            <w:r>
              <w:rPr>
                <w:rFonts w:ascii="宋体" w:hAnsi="宋体" w:cs="宋体"/>
                <w:color w:val="auto"/>
                <w:kern w:val="0"/>
                <w:sz w:val="24"/>
                <w:szCs w:val="24"/>
              </w:rPr>
              <w:t xml:space="preserve">UPC </w:t>
            </w:r>
            <w:r>
              <w:rPr>
                <w:rFonts w:hint="eastAsia" w:ascii="宋体" w:hAnsi="宋体" w:cs="宋体"/>
                <w:color w:val="auto"/>
                <w:kern w:val="0"/>
                <w:sz w:val="24"/>
                <w:szCs w:val="24"/>
              </w:rPr>
              <w:t>≥</w:t>
            </w:r>
            <w:r>
              <w:rPr>
                <w:rFonts w:ascii="宋体" w:hAnsi="宋体" w:cs="宋体"/>
                <w:color w:val="auto"/>
                <w:kern w:val="0"/>
                <w:sz w:val="24"/>
                <w:szCs w:val="24"/>
              </w:rPr>
              <w:t xml:space="preserve"> 50dB</w:t>
            </w:r>
            <w:r>
              <w:rPr>
                <w:rFonts w:hint="eastAsia" w:ascii="宋体" w:hAnsi="宋体" w:cs="宋体"/>
                <w:color w:val="auto"/>
                <w:kern w:val="0"/>
                <w:sz w:val="24"/>
                <w:szCs w:val="24"/>
              </w:rPr>
              <w:t>，</w:t>
            </w:r>
            <w:r>
              <w:rPr>
                <w:rFonts w:ascii="宋体" w:hAnsi="宋体" w:cs="宋体"/>
                <w:color w:val="auto"/>
                <w:kern w:val="0"/>
                <w:sz w:val="24"/>
                <w:szCs w:val="24"/>
              </w:rPr>
              <w:t xml:space="preserve">APC </w:t>
            </w:r>
            <w:r>
              <w:rPr>
                <w:rFonts w:hint="eastAsia" w:ascii="宋体" w:hAnsi="宋体" w:cs="宋体"/>
                <w:color w:val="auto"/>
                <w:kern w:val="0"/>
                <w:sz w:val="24"/>
                <w:szCs w:val="24"/>
              </w:rPr>
              <w:t>≥</w:t>
            </w:r>
            <w:r>
              <w:rPr>
                <w:rFonts w:ascii="宋体" w:hAnsi="宋体" w:cs="宋体"/>
                <w:color w:val="auto"/>
                <w:kern w:val="0"/>
                <w:sz w:val="24"/>
                <w:szCs w:val="24"/>
              </w:rPr>
              <w:t xml:space="preserve"> 60dB</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光纤类型</w:t>
            </w:r>
            <w:r>
              <w:rPr>
                <w:rFonts w:ascii="宋体" w:hAnsi="宋体" w:cs="宋体"/>
                <w:color w:val="auto"/>
                <w:kern w:val="0"/>
                <w:sz w:val="24"/>
                <w:szCs w:val="24"/>
              </w:rPr>
              <w:t xml:space="preserve"> </w:t>
            </w:r>
            <w:r>
              <w:rPr>
                <w:rFonts w:hint="eastAsia" w:ascii="宋体" w:hAnsi="宋体" w:cs="宋体"/>
                <w:color w:val="auto"/>
                <w:kern w:val="0"/>
                <w:sz w:val="24"/>
                <w:szCs w:val="24"/>
              </w:rPr>
              <w:t>分</w:t>
            </w:r>
            <w:r>
              <w:rPr>
                <w:rFonts w:ascii="宋体" w:hAnsi="宋体" w:cs="宋体"/>
                <w:color w:val="auto"/>
                <w:kern w:val="0"/>
                <w:sz w:val="24"/>
                <w:szCs w:val="24"/>
              </w:rPr>
              <w:t>9/125</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工作温度</w:t>
            </w:r>
            <w:r>
              <w:rPr>
                <w:rFonts w:ascii="宋体" w:hAnsi="宋体" w:cs="宋体"/>
                <w:color w:val="auto"/>
                <w:kern w:val="0"/>
                <w:sz w:val="24"/>
                <w:szCs w:val="24"/>
              </w:rPr>
              <w:t xml:space="preserve"> -40</w:t>
            </w:r>
            <w:r>
              <w:rPr>
                <w:rFonts w:hint="eastAsia" w:ascii="宋体" w:hAnsi="宋体" w:cs="宋体"/>
                <w:color w:val="auto"/>
                <w:kern w:val="0"/>
                <w:sz w:val="24"/>
                <w:szCs w:val="24"/>
              </w:rPr>
              <w:t>°</w:t>
            </w:r>
            <w:r>
              <w:rPr>
                <w:rFonts w:ascii="宋体" w:hAnsi="宋体" w:cs="宋体"/>
                <w:color w:val="auto"/>
                <w:kern w:val="0"/>
                <w:sz w:val="24"/>
                <w:szCs w:val="24"/>
              </w:rPr>
              <w:t>C~+80</w:t>
            </w:r>
            <w:r>
              <w:rPr>
                <w:rFonts w:hint="eastAsia" w:ascii="宋体" w:hAnsi="宋体" w:cs="宋体"/>
                <w:color w:val="auto"/>
                <w:kern w:val="0"/>
                <w:sz w:val="24"/>
                <w:szCs w:val="24"/>
              </w:rPr>
              <w:t>°</w:t>
            </w:r>
            <w:r>
              <w:rPr>
                <w:rFonts w:ascii="宋体" w:hAnsi="宋体" w:cs="宋体"/>
                <w:color w:val="auto"/>
                <w:kern w:val="0"/>
                <w:sz w:val="24"/>
                <w:szCs w:val="24"/>
              </w:rPr>
              <w:t>C</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hint="eastAsia" w:ascii="宋体" w:hAnsi="宋体" w:cs="宋体"/>
                <w:color w:val="auto"/>
                <w:kern w:val="0"/>
                <w:sz w:val="24"/>
                <w:szCs w:val="24"/>
              </w:rPr>
              <w:t>储存温度</w:t>
            </w:r>
            <w:r>
              <w:rPr>
                <w:rFonts w:ascii="宋体" w:hAnsi="宋体" w:cs="宋体"/>
                <w:color w:val="auto"/>
                <w:kern w:val="0"/>
                <w:sz w:val="24"/>
                <w:szCs w:val="24"/>
              </w:rPr>
              <w:t xml:space="preserve"> -40</w:t>
            </w:r>
            <w:r>
              <w:rPr>
                <w:rFonts w:hint="eastAsia" w:ascii="宋体" w:hAnsi="宋体" w:cs="宋体"/>
                <w:color w:val="auto"/>
                <w:kern w:val="0"/>
                <w:sz w:val="24"/>
                <w:szCs w:val="24"/>
              </w:rPr>
              <w:t>°</w:t>
            </w:r>
            <w:r>
              <w:rPr>
                <w:rFonts w:ascii="宋体" w:hAnsi="宋体" w:cs="宋体"/>
                <w:color w:val="auto"/>
                <w:kern w:val="0"/>
                <w:sz w:val="24"/>
                <w:szCs w:val="24"/>
              </w:rPr>
              <w:t>C~+85</w:t>
            </w:r>
            <w:r>
              <w:rPr>
                <w:rFonts w:hint="eastAsia" w:ascii="宋体" w:hAnsi="宋体" w:cs="宋体"/>
                <w:color w:val="auto"/>
                <w:kern w:val="0"/>
                <w:sz w:val="24"/>
                <w:szCs w:val="24"/>
              </w:rPr>
              <w:t>°</w:t>
            </w:r>
            <w:r>
              <w:rPr>
                <w:rFonts w:ascii="宋体" w:hAnsi="宋体" w:cs="宋体"/>
                <w:color w:val="auto"/>
                <w:kern w:val="0"/>
                <w:sz w:val="24"/>
                <w:szCs w:val="24"/>
              </w:rPr>
              <w:t>C</w:t>
            </w:r>
            <w:r>
              <w:rPr>
                <w:rFonts w:hint="eastAsia" w:ascii="宋体" w:hAnsi="宋体" w:cs="宋体"/>
                <w:color w:val="auto"/>
                <w:kern w:val="0"/>
                <w:sz w:val="24"/>
                <w:szCs w:val="24"/>
              </w:rPr>
              <w:t>；</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16</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根</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11</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多模光纤尾纤</w:t>
            </w:r>
            <w:r>
              <w:rPr>
                <w:rFonts w:ascii="宋体" w:hAnsi="宋体" w:cs="宋体"/>
                <w:color w:val="auto"/>
                <w:kern w:val="0"/>
                <w:sz w:val="24"/>
                <w:szCs w:val="24"/>
              </w:rPr>
              <w:t xml:space="preserve"> LC</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插头主体塑胶采用高耐冲击性防火阻燃型</w:t>
            </w:r>
            <w:r>
              <w:rPr>
                <w:rFonts w:ascii="宋体" w:hAnsi="宋体" w:cs="宋体"/>
                <w:color w:val="auto"/>
                <w:kern w:val="0"/>
                <w:sz w:val="24"/>
                <w:szCs w:val="24"/>
              </w:rPr>
              <w:t>PC</w:t>
            </w:r>
            <w:r>
              <w:rPr>
                <w:rFonts w:hint="eastAsia" w:ascii="宋体" w:hAnsi="宋体" w:cs="宋体"/>
                <w:color w:val="auto"/>
                <w:kern w:val="0"/>
                <w:sz w:val="24"/>
                <w:szCs w:val="24"/>
              </w:rPr>
              <w:t>，符合</w:t>
            </w:r>
            <w:r>
              <w:rPr>
                <w:rFonts w:ascii="宋体" w:hAnsi="宋体" w:cs="宋体"/>
                <w:color w:val="auto"/>
                <w:kern w:val="0"/>
                <w:sz w:val="24"/>
                <w:szCs w:val="24"/>
              </w:rPr>
              <w:t>UL94V-0</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光纤端面高精度研磨，拥有最高的连接性能，极低的插入损耗；</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可满足诸如数据中心等密集型布线场所的应用；</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工厂预端接并</w:t>
            </w:r>
            <w:r>
              <w:rPr>
                <w:rFonts w:ascii="宋体" w:hAnsi="宋体" w:cs="宋体"/>
                <w:color w:val="auto"/>
                <w:kern w:val="0"/>
                <w:sz w:val="24"/>
                <w:szCs w:val="24"/>
              </w:rPr>
              <w:t>100%</w:t>
            </w:r>
            <w:r>
              <w:rPr>
                <w:rFonts w:hint="eastAsia" w:ascii="宋体" w:hAnsi="宋体" w:cs="宋体"/>
                <w:color w:val="auto"/>
                <w:kern w:val="0"/>
                <w:sz w:val="24"/>
                <w:szCs w:val="24"/>
              </w:rPr>
              <w:t>测试合格，确保产品质量及传输性能；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结构特征：</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插针</w:t>
            </w:r>
            <w:r>
              <w:rPr>
                <w:rFonts w:ascii="宋体" w:hAnsi="宋体" w:cs="宋体"/>
                <w:color w:val="auto"/>
                <w:kern w:val="0"/>
                <w:sz w:val="24"/>
                <w:szCs w:val="24"/>
              </w:rPr>
              <w:t xml:space="preserve"> </w:t>
            </w:r>
            <w:r>
              <w:rPr>
                <w:rFonts w:hint="eastAsia" w:ascii="宋体" w:hAnsi="宋体" w:cs="宋体"/>
                <w:color w:val="auto"/>
                <w:kern w:val="0"/>
                <w:sz w:val="24"/>
                <w:szCs w:val="24"/>
              </w:rPr>
              <w:t>陶瓷氧化锆</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插头主体</w:t>
            </w:r>
            <w:r>
              <w:rPr>
                <w:rFonts w:ascii="宋体" w:hAnsi="宋体" w:cs="宋体"/>
                <w:color w:val="auto"/>
                <w:kern w:val="0"/>
                <w:sz w:val="24"/>
                <w:szCs w:val="24"/>
              </w:rPr>
              <w:t xml:space="preserve"> PC</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尾纤外径</w:t>
            </w:r>
            <w:r>
              <w:rPr>
                <w:rFonts w:ascii="宋体" w:hAnsi="宋体" w:cs="宋体"/>
                <w:color w:val="auto"/>
                <w:kern w:val="0"/>
                <w:sz w:val="24"/>
                <w:szCs w:val="24"/>
              </w:rPr>
              <w:t xml:space="preserve"> 2mm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护套材质</w:t>
            </w:r>
            <w:r>
              <w:rPr>
                <w:rFonts w:ascii="宋体" w:hAnsi="宋体" w:cs="宋体"/>
                <w:color w:val="auto"/>
                <w:kern w:val="0"/>
                <w:sz w:val="24"/>
                <w:szCs w:val="24"/>
              </w:rPr>
              <w:t xml:space="preserve"> </w:t>
            </w:r>
            <w:r>
              <w:rPr>
                <w:rFonts w:hint="eastAsia" w:ascii="宋体" w:hAnsi="宋体" w:cs="宋体"/>
                <w:color w:val="auto"/>
                <w:kern w:val="0"/>
                <w:sz w:val="24"/>
                <w:szCs w:val="24"/>
              </w:rPr>
              <w:t>阻燃</w:t>
            </w:r>
            <w:r>
              <w:rPr>
                <w:rFonts w:ascii="宋体" w:hAnsi="宋体" w:cs="宋体"/>
                <w:color w:val="auto"/>
                <w:kern w:val="0"/>
                <w:sz w:val="24"/>
                <w:szCs w:val="24"/>
              </w:rPr>
              <w:t>PVC</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长度、芯数</w:t>
            </w:r>
            <w:r>
              <w:rPr>
                <w:rFonts w:ascii="宋体" w:hAnsi="宋体" w:cs="宋体"/>
                <w:color w:val="auto"/>
                <w:kern w:val="0"/>
                <w:sz w:val="24"/>
                <w:szCs w:val="24"/>
              </w:rPr>
              <w:t xml:space="preserve"> </w:t>
            </w:r>
            <w:r>
              <w:rPr>
                <w:rFonts w:hint="eastAsia" w:ascii="宋体" w:hAnsi="宋体" w:cs="宋体"/>
                <w:color w:val="auto"/>
                <w:kern w:val="0"/>
                <w:sz w:val="24"/>
                <w:szCs w:val="24"/>
              </w:rPr>
              <w:t>可定制</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跳线最大张力（</w:t>
            </w:r>
            <w:r>
              <w:rPr>
                <w:rFonts w:ascii="宋体" w:hAnsi="宋体" w:cs="宋体"/>
                <w:color w:val="auto"/>
                <w:kern w:val="0"/>
                <w:sz w:val="24"/>
                <w:szCs w:val="24"/>
              </w:rPr>
              <w:t>2mm</w:t>
            </w:r>
            <w:r>
              <w:rPr>
                <w:rFonts w:hint="eastAsia" w:ascii="宋体" w:hAnsi="宋体" w:cs="宋体"/>
                <w:color w:val="auto"/>
                <w:kern w:val="0"/>
                <w:sz w:val="24"/>
                <w:szCs w:val="24"/>
              </w:rPr>
              <w:t>线径以上）</w:t>
            </w:r>
            <w:r>
              <w:rPr>
                <w:rFonts w:ascii="宋体" w:hAnsi="宋体" w:cs="宋体"/>
                <w:color w:val="auto"/>
                <w:kern w:val="0"/>
                <w:sz w:val="24"/>
                <w:szCs w:val="24"/>
              </w:rPr>
              <w:t xml:space="preserve"> 400N</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跳线最大耐压强度（</w:t>
            </w:r>
            <w:r>
              <w:rPr>
                <w:rFonts w:ascii="宋体" w:hAnsi="宋体" w:cs="宋体"/>
                <w:color w:val="auto"/>
                <w:kern w:val="0"/>
                <w:sz w:val="24"/>
                <w:szCs w:val="24"/>
              </w:rPr>
              <w:t>2mm</w:t>
            </w:r>
            <w:r>
              <w:rPr>
                <w:rFonts w:hint="eastAsia" w:ascii="宋体" w:hAnsi="宋体" w:cs="宋体"/>
                <w:color w:val="auto"/>
                <w:kern w:val="0"/>
                <w:sz w:val="24"/>
                <w:szCs w:val="24"/>
              </w:rPr>
              <w:t>线径以上）</w:t>
            </w:r>
            <w:r>
              <w:rPr>
                <w:rFonts w:ascii="宋体" w:hAnsi="宋体" w:cs="宋体"/>
                <w:color w:val="auto"/>
                <w:kern w:val="0"/>
                <w:sz w:val="24"/>
                <w:szCs w:val="24"/>
              </w:rPr>
              <w:t xml:space="preserve"> 15N</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插入损耗</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0.2dB</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最大插入损耗</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0.30dB</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重复性</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0.10dB</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互换性</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0.20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回波损耗</w:t>
            </w:r>
            <w:r>
              <w:rPr>
                <w:rFonts w:ascii="宋体" w:hAnsi="宋体" w:cs="宋体"/>
                <w:color w:val="auto"/>
                <w:kern w:val="0"/>
                <w:sz w:val="24"/>
                <w:szCs w:val="24"/>
              </w:rPr>
              <w:t xml:space="preserve"> PC</w:t>
            </w:r>
            <w:r>
              <w:rPr>
                <w:rFonts w:hint="eastAsia" w:ascii="宋体" w:hAnsi="宋体" w:cs="宋体"/>
                <w:color w:val="auto"/>
                <w:kern w:val="0"/>
                <w:sz w:val="24"/>
                <w:szCs w:val="24"/>
              </w:rPr>
              <w:t>≥</w:t>
            </w:r>
            <w:r>
              <w:rPr>
                <w:rFonts w:ascii="宋体" w:hAnsi="宋体" w:cs="宋体"/>
                <w:color w:val="auto"/>
                <w:kern w:val="0"/>
                <w:sz w:val="24"/>
                <w:szCs w:val="24"/>
              </w:rPr>
              <w:t>45</w:t>
            </w:r>
            <w:r>
              <w:rPr>
                <w:rFonts w:hint="eastAsia" w:ascii="宋体" w:hAnsi="宋体" w:cs="宋体"/>
                <w:color w:val="auto"/>
                <w:kern w:val="0"/>
                <w:sz w:val="24"/>
                <w:szCs w:val="24"/>
              </w:rPr>
              <w:t>，</w:t>
            </w:r>
            <w:r>
              <w:rPr>
                <w:rFonts w:ascii="宋体" w:hAnsi="宋体" w:cs="宋体"/>
                <w:color w:val="auto"/>
                <w:kern w:val="0"/>
                <w:sz w:val="24"/>
                <w:szCs w:val="24"/>
              </w:rPr>
              <w:t xml:space="preserve">UPC </w:t>
            </w:r>
            <w:r>
              <w:rPr>
                <w:rFonts w:hint="eastAsia" w:ascii="宋体" w:hAnsi="宋体" w:cs="宋体"/>
                <w:color w:val="auto"/>
                <w:kern w:val="0"/>
                <w:sz w:val="24"/>
                <w:szCs w:val="24"/>
              </w:rPr>
              <w:t>≥</w:t>
            </w:r>
            <w:r>
              <w:rPr>
                <w:rFonts w:ascii="宋体" w:hAnsi="宋体" w:cs="宋体"/>
                <w:color w:val="auto"/>
                <w:kern w:val="0"/>
                <w:sz w:val="24"/>
                <w:szCs w:val="24"/>
              </w:rPr>
              <w:t xml:space="preserve"> 50dB</w:t>
            </w:r>
            <w:r>
              <w:rPr>
                <w:rFonts w:hint="eastAsia" w:ascii="宋体" w:hAnsi="宋体" w:cs="宋体"/>
                <w:color w:val="auto"/>
                <w:kern w:val="0"/>
                <w:sz w:val="24"/>
                <w:szCs w:val="24"/>
              </w:rPr>
              <w:t>，</w:t>
            </w:r>
            <w:r>
              <w:rPr>
                <w:rFonts w:ascii="宋体" w:hAnsi="宋体" w:cs="宋体"/>
                <w:color w:val="auto"/>
                <w:kern w:val="0"/>
                <w:sz w:val="24"/>
                <w:szCs w:val="24"/>
              </w:rPr>
              <w:t xml:space="preserve">APC </w:t>
            </w:r>
            <w:r>
              <w:rPr>
                <w:rFonts w:hint="eastAsia" w:ascii="宋体" w:hAnsi="宋体" w:cs="宋体"/>
                <w:color w:val="auto"/>
                <w:kern w:val="0"/>
                <w:sz w:val="24"/>
                <w:szCs w:val="24"/>
              </w:rPr>
              <w:t>≥</w:t>
            </w:r>
            <w:r>
              <w:rPr>
                <w:rFonts w:ascii="宋体" w:hAnsi="宋体" w:cs="宋体"/>
                <w:color w:val="auto"/>
                <w:kern w:val="0"/>
                <w:sz w:val="24"/>
                <w:szCs w:val="24"/>
              </w:rPr>
              <w:t xml:space="preserve"> 60dB</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光纤类型</w:t>
            </w:r>
            <w:r>
              <w:rPr>
                <w:rFonts w:ascii="宋体" w:hAnsi="宋体" w:cs="宋体"/>
                <w:color w:val="auto"/>
                <w:kern w:val="0"/>
                <w:sz w:val="24"/>
                <w:szCs w:val="24"/>
              </w:rPr>
              <w:t xml:space="preserve"> Corning 9/125</w:t>
            </w:r>
            <w:r>
              <w:rPr>
                <w:rFonts w:hint="eastAsia" w:ascii="宋体" w:hAnsi="宋体" w:cs="宋体"/>
                <w:color w:val="auto"/>
                <w:kern w:val="0"/>
                <w:sz w:val="24"/>
                <w:szCs w:val="24"/>
              </w:rPr>
              <w:t>μ</w:t>
            </w:r>
            <w:r>
              <w:rPr>
                <w:rFonts w:ascii="宋体" w:hAnsi="宋体" w:cs="宋体"/>
                <w:color w:val="auto"/>
                <w:kern w:val="0"/>
                <w:sz w:val="24"/>
                <w:szCs w:val="24"/>
              </w:rPr>
              <w:t>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工作温度</w:t>
            </w:r>
            <w:r>
              <w:rPr>
                <w:rFonts w:ascii="宋体" w:hAnsi="宋体" w:cs="宋体"/>
                <w:color w:val="auto"/>
                <w:kern w:val="0"/>
                <w:sz w:val="24"/>
                <w:szCs w:val="24"/>
              </w:rPr>
              <w:t xml:space="preserve"> -40</w:t>
            </w:r>
            <w:r>
              <w:rPr>
                <w:rFonts w:hint="eastAsia" w:ascii="宋体" w:hAnsi="宋体" w:cs="宋体"/>
                <w:color w:val="auto"/>
                <w:kern w:val="0"/>
                <w:sz w:val="24"/>
                <w:szCs w:val="24"/>
              </w:rPr>
              <w:t>°</w:t>
            </w:r>
            <w:r>
              <w:rPr>
                <w:rFonts w:ascii="宋体" w:hAnsi="宋体" w:cs="宋体"/>
                <w:color w:val="auto"/>
                <w:kern w:val="0"/>
                <w:sz w:val="24"/>
                <w:szCs w:val="24"/>
              </w:rPr>
              <w:t>C~+80</w:t>
            </w:r>
            <w:r>
              <w:rPr>
                <w:rFonts w:hint="eastAsia" w:ascii="宋体" w:hAnsi="宋体" w:cs="宋体"/>
                <w:color w:val="auto"/>
                <w:kern w:val="0"/>
                <w:sz w:val="24"/>
                <w:szCs w:val="24"/>
              </w:rPr>
              <w:t>°</w:t>
            </w:r>
            <w:r>
              <w:rPr>
                <w:rFonts w:ascii="宋体" w:hAnsi="宋体" w:cs="宋体"/>
                <w:color w:val="auto"/>
                <w:kern w:val="0"/>
                <w:sz w:val="24"/>
                <w:szCs w:val="24"/>
              </w:rPr>
              <w:t>C</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hint="eastAsia" w:ascii="宋体" w:hAnsi="宋体" w:cs="宋体"/>
                <w:color w:val="auto"/>
                <w:kern w:val="0"/>
                <w:sz w:val="24"/>
                <w:szCs w:val="24"/>
              </w:rPr>
              <w:t>储存温度</w:t>
            </w:r>
            <w:r>
              <w:rPr>
                <w:rFonts w:ascii="宋体" w:hAnsi="宋体" w:cs="宋体"/>
                <w:color w:val="auto"/>
                <w:kern w:val="0"/>
                <w:sz w:val="24"/>
                <w:szCs w:val="24"/>
              </w:rPr>
              <w:t xml:space="preserve"> -40</w:t>
            </w:r>
            <w:r>
              <w:rPr>
                <w:rFonts w:hint="eastAsia" w:ascii="宋体" w:hAnsi="宋体" w:cs="宋体"/>
                <w:color w:val="auto"/>
                <w:kern w:val="0"/>
                <w:sz w:val="24"/>
                <w:szCs w:val="24"/>
              </w:rPr>
              <w:t>°</w:t>
            </w:r>
            <w:r>
              <w:rPr>
                <w:rFonts w:ascii="宋体" w:hAnsi="宋体" w:cs="宋体"/>
                <w:color w:val="auto"/>
                <w:kern w:val="0"/>
                <w:sz w:val="24"/>
                <w:szCs w:val="24"/>
              </w:rPr>
              <w:t>C~+85</w:t>
            </w:r>
            <w:r>
              <w:rPr>
                <w:rFonts w:hint="eastAsia" w:ascii="宋体" w:hAnsi="宋体" w:cs="宋体"/>
                <w:color w:val="auto"/>
                <w:kern w:val="0"/>
                <w:sz w:val="24"/>
                <w:szCs w:val="24"/>
              </w:rPr>
              <w:t>°</w:t>
            </w:r>
            <w:r>
              <w:rPr>
                <w:rFonts w:ascii="宋体" w:hAnsi="宋体" w:cs="宋体"/>
                <w:color w:val="auto"/>
                <w:kern w:val="0"/>
                <w:sz w:val="24"/>
                <w:szCs w:val="24"/>
              </w:rPr>
              <w:t>C</w:t>
            </w:r>
            <w:r>
              <w:rPr>
                <w:rFonts w:hint="eastAsia" w:ascii="宋体" w:hAnsi="宋体" w:cs="宋体"/>
                <w:color w:val="auto"/>
                <w:kern w:val="0"/>
                <w:sz w:val="24"/>
                <w:szCs w:val="24"/>
              </w:rPr>
              <w:t>；</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16</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根</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12</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24 </w:t>
            </w:r>
            <w:r>
              <w:rPr>
                <w:rFonts w:hint="eastAsia" w:ascii="宋体" w:hAnsi="宋体" w:cs="宋体"/>
                <w:color w:val="auto"/>
                <w:kern w:val="0"/>
                <w:sz w:val="24"/>
                <w:szCs w:val="24"/>
              </w:rPr>
              <w:t>芯室内多模</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高模量芳纶纱周边加强，使用单芯缆作为基本单元</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50/125</w:t>
            </w:r>
            <w:r>
              <w:rPr>
                <w:rFonts w:hint="eastAsia" w:ascii="宋体" w:hAnsi="宋体" w:cs="宋体"/>
                <w:color w:val="auto"/>
                <w:kern w:val="0"/>
                <w:sz w:val="24"/>
                <w:szCs w:val="24"/>
              </w:rPr>
              <w:t>或</w:t>
            </w:r>
            <w:r>
              <w:rPr>
                <w:rFonts w:ascii="宋体" w:hAnsi="宋体" w:cs="宋体"/>
                <w:color w:val="auto"/>
                <w:kern w:val="0"/>
                <w:sz w:val="24"/>
                <w:szCs w:val="24"/>
              </w:rPr>
              <w:t>62.5/125</w:t>
            </w:r>
            <w:r>
              <w:rPr>
                <w:rFonts w:hint="eastAsia" w:ascii="宋体" w:hAnsi="宋体" w:cs="宋体"/>
                <w:color w:val="auto"/>
                <w:kern w:val="0"/>
                <w:sz w:val="24"/>
                <w:szCs w:val="24"/>
              </w:rPr>
              <w:t>可选，外径小，终端直接物理保护</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柔软，弯曲半径小，应力、应变性能优良，抗拉伸性能优越</w:t>
            </w:r>
          </w:p>
          <w:p>
            <w:pPr>
              <w:widowControl/>
              <w:jc w:val="left"/>
              <w:textAlignment w:val="center"/>
              <w:rPr>
                <w:rFonts w:ascii="宋体"/>
                <w:color w:val="auto"/>
                <w:sz w:val="24"/>
                <w:szCs w:val="24"/>
              </w:rPr>
            </w:pPr>
            <w:r>
              <w:rPr>
                <w:rFonts w:hint="eastAsia" w:ascii="宋体" w:hAnsi="宋体" w:cs="宋体"/>
                <w:color w:val="auto"/>
                <w:kern w:val="0"/>
                <w:sz w:val="24"/>
                <w:szCs w:val="24"/>
              </w:rPr>
              <w:t>可选用阻燃或不延燃外护套，并可提供低烟无卤护套</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2000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13</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PVC </w:t>
            </w:r>
            <w:r>
              <w:rPr>
                <w:rFonts w:hint="eastAsia" w:ascii="宋体" w:hAnsi="宋体" w:cs="宋体"/>
                <w:color w:val="auto"/>
                <w:kern w:val="0"/>
                <w:sz w:val="24"/>
                <w:szCs w:val="24"/>
              </w:rPr>
              <w:t>线管</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olor w:val="auto"/>
                <w:kern w:val="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1200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14</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室内单模光缆</w:t>
            </w:r>
            <w:r>
              <w:rPr>
                <w:rFonts w:ascii="宋体" w:hAnsi="宋体" w:cs="宋体"/>
                <w:color w:val="auto"/>
                <w:kern w:val="0"/>
                <w:sz w:val="24"/>
                <w:szCs w:val="24"/>
              </w:rPr>
              <w:t xml:space="preserve"> 24 </w:t>
            </w:r>
            <w:r>
              <w:rPr>
                <w:rFonts w:hint="eastAsia" w:ascii="宋体" w:hAnsi="宋体" w:cs="宋体"/>
                <w:color w:val="auto"/>
                <w:kern w:val="0"/>
                <w:sz w:val="24"/>
                <w:szCs w:val="24"/>
              </w:rPr>
              <w:t>芯</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高模量芳纶纱周边加强，使用单芯缆作为基本单元</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单模</w:t>
            </w:r>
            <w:r>
              <w:rPr>
                <w:rFonts w:ascii="宋体" w:hAnsi="宋体" w:cs="宋体"/>
                <w:color w:val="auto"/>
                <w:kern w:val="0"/>
                <w:sz w:val="24"/>
                <w:szCs w:val="24"/>
              </w:rPr>
              <w:t>9/125</w:t>
            </w:r>
            <w:r>
              <w:rPr>
                <w:rFonts w:hint="eastAsia" w:ascii="宋体" w:hAnsi="宋体" w:cs="宋体"/>
                <w:color w:val="auto"/>
                <w:kern w:val="0"/>
                <w:sz w:val="24"/>
                <w:szCs w:val="24"/>
              </w:rPr>
              <w:t>，外径小，终端直接物理保护</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柔软，弯曲半径小，应力、应变性能优良，抗拉伸性能优越</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可选用阻燃或不延燃外护，并可提供低烟无卤护套</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适用温度：</w:t>
            </w:r>
            <w:r>
              <w:rPr>
                <w:rFonts w:ascii="宋体" w:hAnsi="宋体" w:cs="宋体"/>
                <w:color w:val="auto"/>
                <w:kern w:val="0"/>
                <w:sz w:val="24"/>
                <w:szCs w:val="24"/>
              </w:rPr>
              <w:t>-20</w:t>
            </w:r>
            <w:r>
              <w:rPr>
                <w:rFonts w:hint="eastAsia" w:ascii="宋体" w:hAnsi="宋体" w:cs="宋体"/>
                <w:color w:val="auto"/>
                <w:kern w:val="0"/>
                <w:sz w:val="24"/>
                <w:szCs w:val="24"/>
              </w:rPr>
              <w:t>℃到</w:t>
            </w:r>
            <w:r>
              <w:rPr>
                <w:rFonts w:ascii="宋体" w:hAnsi="宋体" w:cs="宋体"/>
                <w:color w:val="auto"/>
                <w:kern w:val="0"/>
                <w:sz w:val="24"/>
                <w:szCs w:val="24"/>
              </w:rPr>
              <w:t xml:space="preserve">+60 </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符合</w:t>
            </w:r>
            <w:r>
              <w:rPr>
                <w:rFonts w:ascii="宋体" w:hAnsi="宋体" w:cs="宋体"/>
                <w:color w:val="auto"/>
                <w:kern w:val="0"/>
                <w:sz w:val="24"/>
                <w:szCs w:val="24"/>
              </w:rPr>
              <w:t xml:space="preserve">IEC 60332-3C </w:t>
            </w:r>
            <w:r>
              <w:rPr>
                <w:rFonts w:hint="eastAsia" w:ascii="宋体" w:hAnsi="宋体" w:cs="宋体"/>
                <w:color w:val="auto"/>
                <w:kern w:val="0"/>
                <w:sz w:val="24"/>
                <w:szCs w:val="24"/>
              </w:rPr>
              <w:t>标准，根据用户使用场合选择</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烟雾气体排放符合</w:t>
            </w:r>
            <w:r>
              <w:rPr>
                <w:rFonts w:ascii="宋体" w:hAnsi="宋体" w:cs="宋体"/>
                <w:color w:val="auto"/>
                <w:kern w:val="0"/>
                <w:sz w:val="24"/>
                <w:szCs w:val="24"/>
              </w:rPr>
              <w:t xml:space="preserve">IEC 61034-2 </w:t>
            </w:r>
            <w:r>
              <w:rPr>
                <w:rFonts w:hint="eastAsia" w:ascii="宋体" w:hAnsi="宋体" w:cs="宋体"/>
                <w:color w:val="auto"/>
                <w:kern w:val="0"/>
                <w:sz w:val="24"/>
                <w:szCs w:val="24"/>
              </w:rPr>
              <w:t>、</w:t>
            </w:r>
            <w:r>
              <w:rPr>
                <w:rFonts w:ascii="宋体" w:hAnsi="宋体" w:cs="宋体"/>
                <w:color w:val="auto"/>
                <w:kern w:val="0"/>
                <w:sz w:val="24"/>
                <w:szCs w:val="24"/>
              </w:rPr>
              <w:t xml:space="preserve">IEC 60754-2 </w:t>
            </w:r>
            <w:r>
              <w:rPr>
                <w:rFonts w:hint="eastAsia" w:ascii="宋体" w:hAnsi="宋体" w:cs="宋体"/>
                <w:color w:val="auto"/>
                <w:kern w:val="0"/>
                <w:sz w:val="24"/>
                <w:szCs w:val="24"/>
              </w:rPr>
              <w:t>标准</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1800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15</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86 </w:t>
            </w:r>
            <w:r>
              <w:rPr>
                <w:rFonts w:hint="eastAsia" w:ascii="宋体" w:hAnsi="宋体" w:cs="宋体"/>
                <w:color w:val="auto"/>
                <w:kern w:val="0"/>
                <w:sz w:val="24"/>
                <w:szCs w:val="24"/>
              </w:rPr>
              <w:t>底盒</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国标</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800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16</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ODF </w:t>
            </w:r>
            <w:r>
              <w:rPr>
                <w:rFonts w:hint="eastAsia" w:ascii="宋体" w:hAnsi="宋体" w:cs="宋体"/>
                <w:color w:val="auto"/>
                <w:kern w:val="0"/>
                <w:sz w:val="24"/>
                <w:szCs w:val="24"/>
              </w:rPr>
              <w:t>架</w:t>
            </w:r>
            <w:r>
              <w:rPr>
                <w:rFonts w:ascii="宋体" w:hAnsi="宋体" w:cs="宋体"/>
                <w:color w:val="auto"/>
                <w:kern w:val="0"/>
                <w:sz w:val="24"/>
                <w:szCs w:val="24"/>
              </w:rPr>
              <w:t xml:space="preserve"> 96 </w:t>
            </w:r>
            <w:r>
              <w:rPr>
                <w:rFonts w:hint="eastAsia" w:ascii="宋体" w:hAnsi="宋体" w:cs="宋体"/>
                <w:color w:val="auto"/>
                <w:kern w:val="0"/>
                <w:sz w:val="24"/>
                <w:szCs w:val="24"/>
              </w:rPr>
              <w:t>口</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抽屉式结构，使用方便</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外壳采用黑色雾面粉末涂装处理，外观整洁美观、环保；</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全钢板配线架外框结构，保证产品的更高机械性能；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钢质配线架外框板厚</w:t>
            </w:r>
            <w:r>
              <w:rPr>
                <w:rFonts w:ascii="宋体" w:hAnsi="宋体" w:cs="宋体"/>
                <w:color w:val="auto"/>
                <w:kern w:val="0"/>
                <w:sz w:val="24"/>
                <w:szCs w:val="24"/>
              </w:rPr>
              <w:t>1.5MM</w:t>
            </w:r>
            <w:r>
              <w:rPr>
                <w:rFonts w:hint="eastAsia" w:ascii="宋体" w:hAnsi="宋体" w:cs="宋体"/>
                <w:color w:val="auto"/>
                <w:kern w:val="0"/>
                <w:sz w:val="24"/>
                <w:szCs w:val="24"/>
              </w:rPr>
              <w:t>，机械性能强度高，不易变形；</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壳体各面均能承受</w:t>
            </w:r>
            <w:r>
              <w:rPr>
                <w:rFonts w:ascii="宋体" w:hAnsi="宋体" w:cs="宋体"/>
                <w:color w:val="auto"/>
                <w:kern w:val="0"/>
                <w:sz w:val="24"/>
                <w:szCs w:val="24"/>
              </w:rPr>
              <w:t xml:space="preserve">3000N </w:t>
            </w:r>
            <w:r>
              <w:rPr>
                <w:rFonts w:hint="eastAsia" w:ascii="宋体" w:hAnsi="宋体" w:cs="宋体"/>
                <w:color w:val="auto"/>
                <w:kern w:val="0"/>
                <w:sz w:val="24"/>
                <w:szCs w:val="24"/>
              </w:rPr>
              <w:t>以上垂直静压力；</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壳体表面通过</w:t>
            </w:r>
            <w:r>
              <w:rPr>
                <w:rFonts w:ascii="宋体" w:hAnsi="宋体" w:cs="宋体"/>
                <w:color w:val="auto"/>
                <w:kern w:val="0"/>
                <w:sz w:val="24"/>
                <w:szCs w:val="24"/>
              </w:rPr>
              <w:t xml:space="preserve">GB/T2423.17-1993 </w:t>
            </w:r>
            <w:r>
              <w:rPr>
                <w:rFonts w:hint="eastAsia" w:ascii="宋体" w:hAnsi="宋体" w:cs="宋体"/>
                <w:color w:val="auto"/>
                <w:kern w:val="0"/>
                <w:sz w:val="24"/>
                <w:szCs w:val="24"/>
              </w:rPr>
              <w:t>标准的盐雾试验</w:t>
            </w:r>
            <w:r>
              <w:rPr>
                <w:rFonts w:ascii="宋体" w:hAnsi="宋体" w:cs="宋体"/>
                <w:color w:val="auto"/>
                <w:kern w:val="0"/>
                <w:sz w:val="24"/>
                <w:szCs w:val="24"/>
              </w:rPr>
              <w:t>48H</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标准</w:t>
            </w:r>
            <w:r>
              <w:rPr>
                <w:rFonts w:ascii="宋体" w:hAnsi="宋体" w:cs="宋体"/>
                <w:color w:val="auto"/>
                <w:kern w:val="0"/>
                <w:sz w:val="24"/>
                <w:szCs w:val="24"/>
              </w:rPr>
              <w:t>19</w:t>
            </w:r>
            <w:r>
              <w:rPr>
                <w:rFonts w:hint="eastAsia" w:ascii="宋体" w:hAnsi="宋体" w:cs="宋体"/>
                <w:color w:val="auto"/>
                <w:kern w:val="0"/>
                <w:sz w:val="24"/>
                <w:szCs w:val="24"/>
              </w:rPr>
              <w:t>”机架安装</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17</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ODF </w:t>
            </w:r>
            <w:r>
              <w:rPr>
                <w:rFonts w:hint="eastAsia" w:ascii="宋体" w:hAnsi="宋体" w:cs="宋体"/>
                <w:color w:val="auto"/>
                <w:kern w:val="0"/>
                <w:sz w:val="24"/>
                <w:szCs w:val="24"/>
              </w:rPr>
              <w:t>架</w:t>
            </w:r>
            <w:r>
              <w:rPr>
                <w:rFonts w:ascii="宋体" w:hAnsi="宋体" w:cs="宋体"/>
                <w:color w:val="auto"/>
                <w:kern w:val="0"/>
                <w:sz w:val="24"/>
                <w:szCs w:val="24"/>
              </w:rPr>
              <w:t xml:space="preserve"> 24 </w:t>
            </w:r>
            <w:r>
              <w:rPr>
                <w:rFonts w:hint="eastAsia" w:ascii="宋体" w:hAnsi="宋体" w:cs="宋体"/>
                <w:color w:val="auto"/>
                <w:kern w:val="0"/>
                <w:sz w:val="24"/>
                <w:szCs w:val="24"/>
              </w:rPr>
              <w:t>口</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抽屉式结构，使用方便</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外壳采用黑色雾面粉末涂装处理，外观整洁美观、环保；</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全钢板配线架外框结构，保证产品的更高机械性能；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钢质配线架外框板厚</w:t>
            </w:r>
            <w:r>
              <w:rPr>
                <w:rFonts w:ascii="宋体" w:hAnsi="宋体" w:cs="宋体"/>
                <w:color w:val="auto"/>
                <w:kern w:val="0"/>
                <w:sz w:val="24"/>
                <w:szCs w:val="24"/>
              </w:rPr>
              <w:t>1.5MM</w:t>
            </w:r>
            <w:r>
              <w:rPr>
                <w:rFonts w:hint="eastAsia" w:ascii="宋体" w:hAnsi="宋体" w:cs="宋体"/>
                <w:color w:val="auto"/>
                <w:kern w:val="0"/>
                <w:sz w:val="24"/>
                <w:szCs w:val="24"/>
              </w:rPr>
              <w:t>，机械性能强度高，不易变形；</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壳体各面均能承受</w:t>
            </w:r>
            <w:r>
              <w:rPr>
                <w:rFonts w:ascii="宋体" w:hAnsi="宋体" w:cs="宋体"/>
                <w:color w:val="auto"/>
                <w:kern w:val="0"/>
                <w:sz w:val="24"/>
                <w:szCs w:val="24"/>
              </w:rPr>
              <w:t xml:space="preserve">3000N </w:t>
            </w:r>
            <w:r>
              <w:rPr>
                <w:rFonts w:hint="eastAsia" w:ascii="宋体" w:hAnsi="宋体" w:cs="宋体"/>
                <w:color w:val="auto"/>
                <w:kern w:val="0"/>
                <w:sz w:val="24"/>
                <w:szCs w:val="24"/>
              </w:rPr>
              <w:t>以上垂直静压力；</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壳体表面通过</w:t>
            </w:r>
            <w:r>
              <w:rPr>
                <w:rFonts w:ascii="宋体" w:hAnsi="宋体" w:cs="宋体"/>
                <w:color w:val="auto"/>
                <w:kern w:val="0"/>
                <w:sz w:val="24"/>
                <w:szCs w:val="24"/>
              </w:rPr>
              <w:t xml:space="preserve">GB/T2423.17-1993 </w:t>
            </w:r>
            <w:r>
              <w:rPr>
                <w:rFonts w:hint="eastAsia" w:ascii="宋体" w:hAnsi="宋体" w:cs="宋体"/>
                <w:color w:val="auto"/>
                <w:kern w:val="0"/>
                <w:sz w:val="24"/>
                <w:szCs w:val="24"/>
              </w:rPr>
              <w:t>标准的盐雾试验</w:t>
            </w:r>
            <w:r>
              <w:rPr>
                <w:rFonts w:ascii="宋体" w:hAnsi="宋体" w:cs="宋体"/>
                <w:color w:val="auto"/>
                <w:kern w:val="0"/>
                <w:sz w:val="24"/>
                <w:szCs w:val="24"/>
              </w:rPr>
              <w:t>48H</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标准</w:t>
            </w:r>
            <w:r>
              <w:rPr>
                <w:rFonts w:ascii="宋体" w:hAnsi="宋体" w:cs="宋体"/>
                <w:color w:val="auto"/>
                <w:kern w:val="0"/>
                <w:sz w:val="24"/>
                <w:szCs w:val="24"/>
              </w:rPr>
              <w:t>19</w:t>
            </w:r>
            <w:r>
              <w:rPr>
                <w:rFonts w:hint="eastAsia" w:ascii="宋体" w:hAnsi="宋体" w:cs="宋体"/>
                <w:color w:val="auto"/>
                <w:kern w:val="0"/>
                <w:sz w:val="24"/>
                <w:szCs w:val="24"/>
              </w:rPr>
              <w:t>”机架安装</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18</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3 </w:t>
            </w:r>
            <w:r>
              <w:rPr>
                <w:rFonts w:hint="eastAsia" w:ascii="宋体" w:hAnsi="宋体" w:cs="宋体"/>
                <w:color w:val="auto"/>
                <w:kern w:val="0"/>
                <w:sz w:val="24"/>
                <w:szCs w:val="24"/>
              </w:rPr>
              <w:t>米跳线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采用多芯软铜线，跳线柔软、易弯曲，便于施工操作；</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水晶头材质</w:t>
            </w:r>
            <w:r>
              <w:rPr>
                <w:rFonts w:ascii="宋体" w:hAnsi="宋体" w:cs="宋体"/>
                <w:color w:val="auto"/>
                <w:kern w:val="0"/>
                <w:sz w:val="24"/>
                <w:szCs w:val="24"/>
              </w:rPr>
              <w:t>PC</w:t>
            </w:r>
            <w:r>
              <w:rPr>
                <w:rFonts w:hint="eastAsia" w:ascii="宋体" w:hAnsi="宋体" w:cs="宋体"/>
                <w:color w:val="auto"/>
                <w:kern w:val="0"/>
                <w:sz w:val="24"/>
                <w:szCs w:val="24"/>
              </w:rPr>
              <w:t>，簧片镀金</w:t>
            </w:r>
            <w:r>
              <w:rPr>
                <w:rFonts w:ascii="宋体" w:hAnsi="宋体" w:cs="宋体"/>
                <w:color w:val="auto"/>
                <w:kern w:val="0"/>
                <w:sz w:val="24"/>
                <w:szCs w:val="24"/>
              </w:rPr>
              <w:t>50u</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护套有</w:t>
            </w:r>
            <w:r>
              <w:rPr>
                <w:rFonts w:ascii="宋体" w:hAnsi="宋体" w:cs="宋体"/>
                <w:color w:val="auto"/>
                <w:kern w:val="0"/>
                <w:sz w:val="24"/>
                <w:szCs w:val="24"/>
              </w:rPr>
              <w:t>PVC</w:t>
            </w:r>
            <w:r>
              <w:rPr>
                <w:rFonts w:hint="eastAsia" w:ascii="宋体" w:hAnsi="宋体" w:cs="宋体"/>
                <w:color w:val="auto"/>
                <w:kern w:val="0"/>
                <w:sz w:val="24"/>
                <w:szCs w:val="24"/>
              </w:rPr>
              <w:t>或</w:t>
            </w:r>
            <w:r>
              <w:rPr>
                <w:rFonts w:ascii="宋体" w:hAnsi="宋体" w:cs="宋体"/>
                <w:color w:val="auto"/>
                <w:kern w:val="0"/>
                <w:sz w:val="24"/>
                <w:szCs w:val="24"/>
              </w:rPr>
              <w:t>LSZH</w:t>
            </w:r>
            <w:r>
              <w:rPr>
                <w:rFonts w:hint="eastAsia" w:ascii="宋体" w:hAnsi="宋体" w:cs="宋体"/>
                <w:color w:val="auto"/>
                <w:kern w:val="0"/>
                <w:sz w:val="24"/>
                <w:szCs w:val="24"/>
              </w:rPr>
              <w:t>可选；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通过一次性注塑工艺，保证软线缆与水晶头的牢固连接；</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选用优质无氧铜，铜导体直径：</w:t>
            </w:r>
            <w:r>
              <w:rPr>
                <w:rFonts w:ascii="宋体" w:hAnsi="宋体" w:cs="宋体"/>
                <w:color w:val="auto"/>
                <w:kern w:val="0"/>
                <w:sz w:val="24"/>
                <w:szCs w:val="24"/>
              </w:rPr>
              <w:t>24AWG 7*0.20mm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产品性能：</w:t>
            </w:r>
            <w:r>
              <w:rPr>
                <w:rFonts w:ascii="宋体" w:hAnsi="宋体" w:cs="宋体"/>
                <w:color w:val="auto"/>
                <w:kern w:val="0"/>
                <w:sz w:val="24"/>
                <w:szCs w:val="24"/>
              </w:rPr>
              <w:t>100%</w:t>
            </w:r>
            <w:r>
              <w:rPr>
                <w:rFonts w:hint="eastAsia" w:ascii="宋体" w:hAnsi="宋体" w:cs="宋体"/>
                <w:color w:val="auto"/>
                <w:kern w:val="0"/>
                <w:sz w:val="24"/>
                <w:szCs w:val="24"/>
              </w:rPr>
              <w:t>通过</w:t>
            </w:r>
            <w:r>
              <w:rPr>
                <w:rFonts w:ascii="宋体" w:hAnsi="宋体" w:cs="宋体"/>
                <w:color w:val="auto"/>
                <w:kern w:val="0"/>
                <w:sz w:val="24"/>
                <w:szCs w:val="24"/>
              </w:rPr>
              <w:t>Channel</w:t>
            </w:r>
            <w:r>
              <w:rPr>
                <w:rFonts w:hint="eastAsia" w:ascii="宋体" w:hAnsi="宋体" w:cs="宋体"/>
                <w:color w:val="auto"/>
                <w:kern w:val="0"/>
                <w:sz w:val="24"/>
                <w:szCs w:val="24"/>
              </w:rPr>
              <w:t>测试；</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插拔次数：水晶头可插拔次数≥</w:t>
            </w:r>
            <w:r>
              <w:rPr>
                <w:rFonts w:ascii="宋体" w:hAnsi="宋体" w:cs="宋体"/>
                <w:color w:val="auto"/>
                <w:kern w:val="0"/>
                <w:sz w:val="24"/>
                <w:szCs w:val="24"/>
              </w:rPr>
              <w:t>750</w:t>
            </w:r>
            <w:r>
              <w:rPr>
                <w:rFonts w:hint="eastAsia" w:ascii="宋体" w:hAnsi="宋体" w:cs="宋体"/>
                <w:color w:val="auto"/>
                <w:kern w:val="0"/>
                <w:sz w:val="24"/>
                <w:szCs w:val="24"/>
              </w:rPr>
              <w:t>次；</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对</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19</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10 </w:t>
            </w:r>
            <w:r>
              <w:rPr>
                <w:rFonts w:hint="eastAsia" w:ascii="宋体" w:hAnsi="宋体" w:cs="宋体"/>
                <w:color w:val="auto"/>
                <w:kern w:val="0"/>
                <w:sz w:val="24"/>
                <w:szCs w:val="24"/>
              </w:rPr>
              <w:t>米跳线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采用多芯软铜线，跳线柔软、易弯曲，便于施工操作；</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水晶头材质</w:t>
            </w:r>
            <w:r>
              <w:rPr>
                <w:rFonts w:ascii="宋体" w:hAnsi="宋体" w:cs="宋体"/>
                <w:color w:val="auto"/>
                <w:kern w:val="0"/>
                <w:sz w:val="24"/>
                <w:szCs w:val="24"/>
              </w:rPr>
              <w:t>PC</w:t>
            </w:r>
            <w:r>
              <w:rPr>
                <w:rFonts w:hint="eastAsia" w:ascii="宋体" w:hAnsi="宋体" w:cs="宋体"/>
                <w:color w:val="auto"/>
                <w:kern w:val="0"/>
                <w:sz w:val="24"/>
                <w:szCs w:val="24"/>
              </w:rPr>
              <w:t>，簧片镀金</w:t>
            </w:r>
            <w:r>
              <w:rPr>
                <w:rFonts w:ascii="宋体" w:hAnsi="宋体" w:cs="宋体"/>
                <w:color w:val="auto"/>
                <w:kern w:val="0"/>
                <w:sz w:val="24"/>
                <w:szCs w:val="24"/>
              </w:rPr>
              <w:t>50u</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护套有</w:t>
            </w:r>
            <w:r>
              <w:rPr>
                <w:rFonts w:ascii="宋体" w:hAnsi="宋体" w:cs="宋体"/>
                <w:color w:val="auto"/>
                <w:kern w:val="0"/>
                <w:sz w:val="24"/>
                <w:szCs w:val="24"/>
              </w:rPr>
              <w:t>PVC</w:t>
            </w:r>
            <w:r>
              <w:rPr>
                <w:rFonts w:hint="eastAsia" w:ascii="宋体" w:hAnsi="宋体" w:cs="宋体"/>
                <w:color w:val="auto"/>
                <w:kern w:val="0"/>
                <w:sz w:val="24"/>
                <w:szCs w:val="24"/>
              </w:rPr>
              <w:t>或</w:t>
            </w:r>
            <w:r>
              <w:rPr>
                <w:rFonts w:ascii="宋体" w:hAnsi="宋体" w:cs="宋体"/>
                <w:color w:val="auto"/>
                <w:kern w:val="0"/>
                <w:sz w:val="24"/>
                <w:szCs w:val="24"/>
              </w:rPr>
              <w:t>LSZH</w:t>
            </w:r>
            <w:r>
              <w:rPr>
                <w:rFonts w:hint="eastAsia" w:ascii="宋体" w:hAnsi="宋体" w:cs="宋体"/>
                <w:color w:val="auto"/>
                <w:kern w:val="0"/>
                <w:sz w:val="24"/>
                <w:szCs w:val="24"/>
              </w:rPr>
              <w:t>可选；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通过一次性注塑工艺，保证软线缆与水晶头的牢固连接；</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选用优质无氧铜，铜导体直径：</w:t>
            </w:r>
            <w:r>
              <w:rPr>
                <w:rFonts w:ascii="宋体" w:hAnsi="宋体" w:cs="宋体"/>
                <w:color w:val="auto"/>
                <w:kern w:val="0"/>
                <w:sz w:val="24"/>
                <w:szCs w:val="24"/>
              </w:rPr>
              <w:t>24AWG 7*0.20mm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产品性能：</w:t>
            </w:r>
            <w:r>
              <w:rPr>
                <w:rFonts w:ascii="宋体" w:hAnsi="宋体" w:cs="宋体"/>
                <w:color w:val="auto"/>
                <w:kern w:val="0"/>
                <w:sz w:val="24"/>
                <w:szCs w:val="24"/>
              </w:rPr>
              <w:t>100%</w:t>
            </w:r>
            <w:r>
              <w:rPr>
                <w:rFonts w:hint="eastAsia" w:ascii="宋体" w:hAnsi="宋体" w:cs="宋体"/>
                <w:color w:val="auto"/>
                <w:kern w:val="0"/>
                <w:sz w:val="24"/>
                <w:szCs w:val="24"/>
              </w:rPr>
              <w:t>通过</w:t>
            </w:r>
            <w:r>
              <w:rPr>
                <w:rFonts w:ascii="宋体" w:hAnsi="宋体" w:cs="宋体"/>
                <w:color w:val="auto"/>
                <w:kern w:val="0"/>
                <w:sz w:val="24"/>
                <w:szCs w:val="24"/>
              </w:rPr>
              <w:t>Channel</w:t>
            </w:r>
            <w:r>
              <w:rPr>
                <w:rFonts w:hint="eastAsia" w:ascii="宋体" w:hAnsi="宋体" w:cs="宋体"/>
                <w:color w:val="auto"/>
                <w:kern w:val="0"/>
                <w:sz w:val="24"/>
                <w:szCs w:val="24"/>
              </w:rPr>
              <w:t>测试；</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插拔次数：水晶头可插拔次数≥</w:t>
            </w:r>
            <w:r>
              <w:rPr>
                <w:rFonts w:ascii="宋体" w:hAnsi="宋体" w:cs="宋体"/>
                <w:color w:val="auto"/>
                <w:kern w:val="0"/>
                <w:sz w:val="24"/>
                <w:szCs w:val="24"/>
              </w:rPr>
              <w:t>750</w:t>
            </w:r>
            <w:r>
              <w:rPr>
                <w:rFonts w:hint="eastAsia" w:ascii="宋体" w:hAnsi="宋体" w:cs="宋体"/>
                <w:color w:val="auto"/>
                <w:kern w:val="0"/>
                <w:sz w:val="24"/>
                <w:szCs w:val="24"/>
              </w:rPr>
              <w:t>次；</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150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对</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1:32 </w:t>
            </w:r>
            <w:r>
              <w:rPr>
                <w:rFonts w:hint="eastAsia" w:ascii="宋体" w:hAnsi="宋体" w:cs="宋体"/>
                <w:color w:val="auto"/>
                <w:kern w:val="0"/>
                <w:sz w:val="24"/>
                <w:szCs w:val="24"/>
              </w:rPr>
              <w:t>分纤箱</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采用优质</w:t>
            </w:r>
            <w:r>
              <w:rPr>
                <w:rFonts w:ascii="宋体" w:hAnsi="宋体" w:cs="宋体"/>
                <w:color w:val="auto"/>
                <w:kern w:val="0"/>
                <w:sz w:val="24"/>
                <w:szCs w:val="24"/>
              </w:rPr>
              <w:t>SPCC</w:t>
            </w:r>
            <w:r>
              <w:rPr>
                <w:rFonts w:hint="eastAsia" w:ascii="宋体" w:hAnsi="宋体" w:cs="宋体"/>
                <w:color w:val="auto"/>
                <w:kern w:val="0"/>
                <w:sz w:val="24"/>
                <w:szCs w:val="24"/>
              </w:rPr>
              <w:t>冷轧钢板制造，机械强度高；</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工艺精湛，质地均匀一致，无毛刺、飞边等缺陷；</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开合灵敏，不出现卡死、难以闭合等现象；</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表面静电喷涂处理，耐腐蚀、耐磨损，可以承受长期恶劣环境的侵蚀；</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承载强度大，可有效的保护功能模块的正常工作；</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金属（塑胶可定制）面板，金属底壳，箱体四周均预留有多个标准敲落孔，以便不同房间、不同方位的缆线进入，而且保证了良好的通风性能；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能够满足家居视频、视频网络、有线电视、高清传输、家电控制等系统的配线要求；</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内置</w:t>
            </w:r>
            <w:r>
              <w:rPr>
                <w:rFonts w:ascii="宋体" w:hAnsi="宋体" w:cs="宋体"/>
                <w:color w:val="auto"/>
                <w:kern w:val="0"/>
                <w:sz w:val="24"/>
                <w:szCs w:val="24"/>
              </w:rPr>
              <w:t>ONU</w:t>
            </w:r>
            <w:r>
              <w:rPr>
                <w:rFonts w:hint="eastAsia" w:ascii="宋体" w:hAnsi="宋体" w:cs="宋体"/>
                <w:color w:val="auto"/>
                <w:kern w:val="0"/>
                <w:sz w:val="24"/>
                <w:szCs w:val="24"/>
              </w:rPr>
              <w:t>支架，安装</w:t>
            </w:r>
            <w:r>
              <w:rPr>
                <w:rFonts w:ascii="宋体" w:hAnsi="宋体" w:cs="宋体"/>
                <w:color w:val="auto"/>
                <w:kern w:val="0"/>
                <w:sz w:val="24"/>
                <w:szCs w:val="24"/>
              </w:rPr>
              <w:t>ONU</w:t>
            </w:r>
            <w:r>
              <w:rPr>
                <w:rFonts w:hint="eastAsia" w:ascii="宋体" w:hAnsi="宋体" w:cs="宋体"/>
                <w:color w:val="auto"/>
                <w:kern w:val="0"/>
                <w:sz w:val="24"/>
                <w:szCs w:val="24"/>
              </w:rPr>
              <w:t>实现光电转换为</w:t>
            </w:r>
            <w:r>
              <w:rPr>
                <w:rFonts w:ascii="宋体" w:hAnsi="宋体" w:cs="宋体"/>
                <w:color w:val="auto"/>
                <w:kern w:val="0"/>
                <w:sz w:val="24"/>
                <w:szCs w:val="24"/>
              </w:rPr>
              <w:t>FTTH</w:t>
            </w:r>
            <w:r>
              <w:rPr>
                <w:rFonts w:hint="eastAsia" w:ascii="宋体" w:hAnsi="宋体" w:cs="宋体"/>
                <w:color w:val="auto"/>
                <w:kern w:val="0"/>
                <w:sz w:val="24"/>
                <w:szCs w:val="24"/>
              </w:rPr>
              <w:t>提供完美方案；</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产品种类齐全，满足室内室外、大小尺寸等不同需求。</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9</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21</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管道七孔梅花管（外网顶管作业）</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olor w:val="auto"/>
                <w:kern w:val="0"/>
                <w:sz w:val="24"/>
                <w:szCs w:val="24"/>
              </w:rPr>
            </w:pPr>
            <w:r>
              <w:rPr>
                <w:rFonts w:hint="eastAsia" w:ascii="宋体" w:hAnsi="宋体" w:cs="宋体"/>
                <w:color w:val="auto"/>
                <w:sz w:val="24"/>
                <w:szCs w:val="24"/>
              </w:rPr>
              <w:t>机械作业</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300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22</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人井</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olor w:val="auto"/>
                <w:kern w:val="0"/>
                <w:sz w:val="24"/>
                <w:szCs w:val="24"/>
              </w:rPr>
            </w:pPr>
            <w:r>
              <w:rPr>
                <w:rFonts w:hint="eastAsia" w:ascii="宋体" w:hAnsi="宋体" w:cs="宋体"/>
                <w:color w:val="auto"/>
                <w:sz w:val="24"/>
                <w:szCs w:val="24"/>
              </w:rPr>
              <w:t>砖混结构带配套铁件</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8</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23</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 xml:space="preserve">KBG </w:t>
            </w:r>
            <w:r>
              <w:rPr>
                <w:rFonts w:hint="eastAsia" w:ascii="宋体" w:hAnsi="宋体" w:cs="宋体"/>
                <w:color w:val="auto"/>
                <w:kern w:val="0"/>
                <w:sz w:val="24"/>
                <w:szCs w:val="24"/>
              </w:rPr>
              <w:t>钢管</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运营商外网接入使用</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24</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金属线槽</w:t>
            </w:r>
            <w:r>
              <w:rPr>
                <w:rFonts w:ascii="宋体" w:hAnsi="宋体" w:cs="宋体"/>
                <w:color w:val="auto"/>
                <w:kern w:val="0"/>
                <w:sz w:val="24"/>
                <w:szCs w:val="24"/>
              </w:rPr>
              <w:t xml:space="preserve">(1.2 </w:t>
            </w:r>
            <w:r>
              <w:rPr>
                <w:rFonts w:hint="eastAsia" w:ascii="宋体" w:hAnsi="宋体" w:cs="宋体"/>
                <w:color w:val="auto"/>
                <w:kern w:val="0"/>
                <w:sz w:val="24"/>
                <w:szCs w:val="24"/>
              </w:rPr>
              <w:t>厚</w:t>
            </w:r>
            <w:r>
              <w:rPr>
                <w:rFonts w:ascii="宋体" w:hAnsi="宋体" w:cs="宋体"/>
                <w:color w:val="auto"/>
                <w:kern w:val="0"/>
                <w:sz w:val="24"/>
                <w:szCs w:val="24"/>
              </w:rPr>
              <w:t>)</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w:t>
            </w:r>
            <w:r>
              <w:rPr>
                <w:rFonts w:ascii="宋体" w:hAnsi="宋体" w:cs="宋体"/>
                <w:color w:val="auto"/>
                <w:kern w:val="0"/>
                <w:sz w:val="24"/>
                <w:szCs w:val="24"/>
              </w:rPr>
              <w:t>100</w:t>
            </w:r>
            <w:r>
              <w:rPr>
                <w:rFonts w:hint="eastAsia" w:ascii="宋体" w:hAnsi="宋体" w:cs="宋体"/>
                <w:color w:val="auto"/>
                <w:kern w:val="0"/>
                <w:sz w:val="24"/>
                <w:szCs w:val="24"/>
              </w:rPr>
              <w:t>国标</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60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25</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弱电桥架</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w:t>
            </w:r>
            <w:r>
              <w:rPr>
                <w:rFonts w:ascii="宋体" w:hAnsi="宋体" w:cs="宋体"/>
                <w:color w:val="auto"/>
                <w:kern w:val="0"/>
                <w:sz w:val="24"/>
                <w:szCs w:val="24"/>
              </w:rPr>
              <w:t>100</w:t>
            </w:r>
            <w:r>
              <w:rPr>
                <w:rFonts w:hint="eastAsia" w:ascii="宋体" w:hAnsi="宋体" w:cs="宋体"/>
                <w:color w:val="auto"/>
                <w:kern w:val="0"/>
                <w:sz w:val="24"/>
                <w:szCs w:val="24"/>
              </w:rPr>
              <w:t>国标</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800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米</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26</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弱电井配电箱</w:t>
            </w:r>
            <w:r>
              <w:rPr>
                <w:rFonts w:ascii="宋体" w:hAnsi="宋体" w:cs="宋体"/>
                <w:color w:val="auto"/>
                <w:kern w:val="0"/>
                <w:sz w:val="24"/>
                <w:szCs w:val="24"/>
              </w:rPr>
              <w:t>(</w:t>
            </w:r>
            <w:r>
              <w:rPr>
                <w:rFonts w:hint="eastAsia" w:ascii="宋体" w:hAnsi="宋体" w:cs="宋体"/>
                <w:color w:val="auto"/>
                <w:kern w:val="0"/>
                <w:sz w:val="24"/>
                <w:szCs w:val="24"/>
              </w:rPr>
              <w:t>总</w:t>
            </w:r>
            <w:r>
              <w:rPr>
                <w:rFonts w:ascii="宋体" w:hAnsi="宋体" w:cs="宋体"/>
                <w:color w:val="auto"/>
                <w:kern w:val="0"/>
                <w:sz w:val="24"/>
                <w:szCs w:val="24"/>
              </w:rPr>
              <w:t>)</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国标</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4</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27</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弱电井配电箱</w:t>
            </w:r>
            <w:r>
              <w:rPr>
                <w:rFonts w:ascii="宋体" w:hAnsi="宋体" w:cs="宋体"/>
                <w:color w:val="auto"/>
                <w:kern w:val="0"/>
                <w:sz w:val="24"/>
                <w:szCs w:val="24"/>
              </w:rPr>
              <w:t>(</w:t>
            </w:r>
            <w:r>
              <w:rPr>
                <w:rFonts w:hint="eastAsia" w:ascii="宋体" w:hAnsi="宋体" w:cs="宋体"/>
                <w:color w:val="auto"/>
                <w:kern w:val="0"/>
                <w:sz w:val="24"/>
                <w:szCs w:val="24"/>
              </w:rPr>
              <w:t>分</w:t>
            </w:r>
            <w:r>
              <w:rPr>
                <w:rFonts w:ascii="宋体" w:hAnsi="宋体" w:cs="宋体"/>
                <w:color w:val="auto"/>
                <w:kern w:val="0"/>
                <w:sz w:val="24"/>
                <w:szCs w:val="24"/>
              </w:rPr>
              <w:t>)</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国标</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15</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28</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机柜散力架</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定制</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29</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光纤熔接</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sz w:val="24"/>
                <w:szCs w:val="24"/>
              </w:rPr>
              <w:t>符合光缆施工规范</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600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芯</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30</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六类跳线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采用多芯软铜线，跳线柔软、易弯曲，便于施工操作；</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水晶头材质</w:t>
            </w:r>
            <w:r>
              <w:rPr>
                <w:rFonts w:ascii="宋体" w:hAnsi="宋体" w:cs="宋体"/>
                <w:color w:val="auto"/>
                <w:kern w:val="0"/>
                <w:sz w:val="24"/>
                <w:szCs w:val="24"/>
              </w:rPr>
              <w:t>PC</w:t>
            </w:r>
            <w:r>
              <w:rPr>
                <w:rFonts w:hint="eastAsia" w:ascii="宋体" w:hAnsi="宋体" w:cs="宋体"/>
                <w:color w:val="auto"/>
                <w:kern w:val="0"/>
                <w:sz w:val="24"/>
                <w:szCs w:val="24"/>
              </w:rPr>
              <w:t>，簧片镀金</w:t>
            </w:r>
            <w:r>
              <w:rPr>
                <w:rFonts w:ascii="宋体" w:hAnsi="宋体" w:cs="宋体"/>
                <w:color w:val="auto"/>
                <w:kern w:val="0"/>
                <w:sz w:val="24"/>
                <w:szCs w:val="24"/>
              </w:rPr>
              <w:t>50u</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水晶头有镀镍层；线材有铝箔或铝箔</w:t>
            </w:r>
            <w:r>
              <w:rPr>
                <w:rFonts w:ascii="宋体" w:hAnsi="宋体" w:cs="宋体"/>
                <w:color w:val="auto"/>
                <w:kern w:val="0"/>
                <w:sz w:val="24"/>
                <w:szCs w:val="24"/>
              </w:rPr>
              <w:t>+</w:t>
            </w:r>
            <w:r>
              <w:rPr>
                <w:rFonts w:hint="eastAsia" w:ascii="宋体" w:hAnsi="宋体" w:cs="宋体"/>
                <w:color w:val="auto"/>
                <w:kern w:val="0"/>
                <w:sz w:val="24"/>
                <w:szCs w:val="24"/>
              </w:rPr>
              <w:t>镀锡编织网包裹，有接地线；</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护套有</w:t>
            </w:r>
            <w:r>
              <w:rPr>
                <w:rFonts w:ascii="宋体" w:hAnsi="宋体" w:cs="宋体"/>
                <w:color w:val="auto"/>
                <w:kern w:val="0"/>
                <w:sz w:val="24"/>
                <w:szCs w:val="24"/>
              </w:rPr>
              <w:t>PVC</w:t>
            </w:r>
            <w:r>
              <w:rPr>
                <w:rFonts w:hint="eastAsia" w:ascii="宋体" w:hAnsi="宋体" w:cs="宋体"/>
                <w:color w:val="auto"/>
                <w:kern w:val="0"/>
                <w:sz w:val="24"/>
                <w:szCs w:val="24"/>
              </w:rPr>
              <w:t>或</w:t>
            </w:r>
            <w:r>
              <w:rPr>
                <w:rFonts w:ascii="宋体" w:hAnsi="宋体" w:cs="宋体"/>
                <w:color w:val="auto"/>
                <w:kern w:val="0"/>
                <w:sz w:val="24"/>
                <w:szCs w:val="24"/>
              </w:rPr>
              <w:t>LSZH</w:t>
            </w:r>
            <w:r>
              <w:rPr>
                <w:rFonts w:hint="eastAsia" w:ascii="宋体" w:hAnsi="宋体" w:cs="宋体"/>
                <w:color w:val="auto"/>
                <w:kern w:val="0"/>
                <w:sz w:val="24"/>
                <w:szCs w:val="24"/>
              </w:rPr>
              <w:t>可选；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通过一次性注塑工艺，保证软线缆与水晶头的牢固连接；</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选用优质无氧铜，铜导体直径：</w:t>
            </w:r>
            <w:r>
              <w:rPr>
                <w:rFonts w:ascii="宋体" w:hAnsi="宋体" w:cs="宋体"/>
                <w:color w:val="auto"/>
                <w:kern w:val="0"/>
                <w:sz w:val="24"/>
                <w:szCs w:val="24"/>
              </w:rPr>
              <w:t>26AWG 7*0.16mm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产品性能：</w:t>
            </w:r>
            <w:r>
              <w:rPr>
                <w:rFonts w:ascii="宋体" w:hAnsi="宋体" w:cs="宋体"/>
                <w:color w:val="auto"/>
                <w:kern w:val="0"/>
                <w:sz w:val="24"/>
                <w:szCs w:val="24"/>
              </w:rPr>
              <w:t>100%</w:t>
            </w:r>
            <w:r>
              <w:rPr>
                <w:rFonts w:hint="eastAsia" w:ascii="宋体" w:hAnsi="宋体" w:cs="宋体"/>
                <w:color w:val="auto"/>
                <w:kern w:val="0"/>
                <w:sz w:val="24"/>
                <w:szCs w:val="24"/>
              </w:rPr>
              <w:t>通过</w:t>
            </w:r>
            <w:r>
              <w:rPr>
                <w:rFonts w:ascii="宋体" w:hAnsi="宋体" w:cs="宋体"/>
                <w:color w:val="auto"/>
                <w:kern w:val="0"/>
                <w:sz w:val="24"/>
                <w:szCs w:val="24"/>
              </w:rPr>
              <w:t>Channel</w:t>
            </w:r>
            <w:r>
              <w:rPr>
                <w:rFonts w:hint="eastAsia" w:ascii="宋体" w:hAnsi="宋体" w:cs="宋体"/>
                <w:color w:val="auto"/>
                <w:kern w:val="0"/>
                <w:sz w:val="24"/>
                <w:szCs w:val="24"/>
              </w:rPr>
              <w:t>测试；</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插拔次数：水晶头可插拔次数≥</w:t>
            </w:r>
            <w:r>
              <w:rPr>
                <w:rFonts w:ascii="宋体" w:hAnsi="宋体" w:cs="宋体"/>
                <w:color w:val="auto"/>
                <w:kern w:val="0"/>
                <w:sz w:val="24"/>
                <w:szCs w:val="24"/>
              </w:rPr>
              <w:t>750</w:t>
            </w:r>
            <w:r>
              <w:rPr>
                <w:rFonts w:hint="eastAsia" w:ascii="宋体" w:hAnsi="宋体" w:cs="宋体"/>
                <w:color w:val="auto"/>
                <w:kern w:val="0"/>
                <w:sz w:val="24"/>
                <w:szCs w:val="24"/>
              </w:rPr>
              <w:t>次；</w:t>
            </w:r>
          </w:p>
          <w:p>
            <w:pPr>
              <w:widowControl/>
              <w:jc w:val="left"/>
              <w:textAlignment w:val="center"/>
              <w:rPr>
                <w:rFonts w:ascii="宋体"/>
                <w:color w:val="auto"/>
                <w:sz w:val="24"/>
                <w:szCs w:val="24"/>
              </w:rPr>
            </w:pPr>
            <w:r>
              <w:rPr>
                <w:rFonts w:ascii="宋体" w:hAnsi="宋体" w:cs="宋体"/>
                <w:color w:val="auto"/>
                <w:kern w:val="0"/>
                <w:sz w:val="24"/>
                <w:szCs w:val="24"/>
              </w:rPr>
              <w:t>360</w:t>
            </w:r>
            <w:r>
              <w:rPr>
                <w:rFonts w:hint="eastAsia" w:ascii="宋体" w:hAnsi="宋体" w:cs="宋体"/>
                <w:color w:val="auto"/>
                <w:kern w:val="0"/>
                <w:sz w:val="24"/>
                <w:szCs w:val="24"/>
              </w:rPr>
              <w:t>°全方位遮蔽，有效抵抗电磁干扰，并提供更好的信息保密；</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700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条</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31</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10</w:t>
            </w:r>
            <w:r>
              <w:rPr>
                <w:rFonts w:hint="eastAsia" w:ascii="宋体" w:hAnsi="宋体" w:cs="宋体"/>
                <w:color w:val="auto"/>
                <w:kern w:val="0"/>
                <w:sz w:val="24"/>
                <w:szCs w:val="24"/>
              </w:rPr>
              <w:t>类跳线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采用多芯软铜线，跳线柔软、易弯曲，便于施工操作；</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水晶头材质</w:t>
            </w:r>
            <w:r>
              <w:rPr>
                <w:rFonts w:ascii="宋体" w:hAnsi="宋体" w:cs="宋体"/>
                <w:color w:val="auto"/>
                <w:kern w:val="0"/>
                <w:sz w:val="24"/>
                <w:szCs w:val="24"/>
              </w:rPr>
              <w:t>PC</w:t>
            </w:r>
            <w:r>
              <w:rPr>
                <w:rFonts w:hint="eastAsia" w:ascii="宋体" w:hAnsi="宋体" w:cs="宋体"/>
                <w:color w:val="auto"/>
                <w:kern w:val="0"/>
                <w:sz w:val="24"/>
                <w:szCs w:val="24"/>
              </w:rPr>
              <w:t>，簧片镀金</w:t>
            </w:r>
            <w:r>
              <w:rPr>
                <w:rFonts w:ascii="宋体" w:hAnsi="宋体" w:cs="宋体"/>
                <w:color w:val="auto"/>
                <w:kern w:val="0"/>
                <w:sz w:val="24"/>
                <w:szCs w:val="24"/>
              </w:rPr>
              <w:t>50u</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水晶头有镀镍层；线材有铝箔或铝箔</w:t>
            </w:r>
            <w:r>
              <w:rPr>
                <w:rFonts w:ascii="宋体" w:hAnsi="宋体" w:cs="宋体"/>
                <w:color w:val="auto"/>
                <w:kern w:val="0"/>
                <w:sz w:val="24"/>
                <w:szCs w:val="24"/>
              </w:rPr>
              <w:t>+</w:t>
            </w:r>
            <w:r>
              <w:rPr>
                <w:rFonts w:hint="eastAsia" w:ascii="宋体" w:hAnsi="宋体" w:cs="宋体"/>
                <w:color w:val="auto"/>
                <w:kern w:val="0"/>
                <w:sz w:val="24"/>
                <w:szCs w:val="24"/>
              </w:rPr>
              <w:t>镀锡编织网包裹，有接地线；</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护套有</w:t>
            </w:r>
            <w:r>
              <w:rPr>
                <w:rFonts w:ascii="宋体" w:hAnsi="宋体" w:cs="宋体"/>
                <w:color w:val="auto"/>
                <w:kern w:val="0"/>
                <w:sz w:val="24"/>
                <w:szCs w:val="24"/>
              </w:rPr>
              <w:t>PVC</w:t>
            </w:r>
            <w:r>
              <w:rPr>
                <w:rFonts w:hint="eastAsia" w:ascii="宋体" w:hAnsi="宋体" w:cs="宋体"/>
                <w:color w:val="auto"/>
                <w:kern w:val="0"/>
                <w:sz w:val="24"/>
                <w:szCs w:val="24"/>
              </w:rPr>
              <w:t>或</w:t>
            </w:r>
            <w:r>
              <w:rPr>
                <w:rFonts w:ascii="宋体" w:hAnsi="宋体" w:cs="宋体"/>
                <w:color w:val="auto"/>
                <w:kern w:val="0"/>
                <w:sz w:val="24"/>
                <w:szCs w:val="24"/>
              </w:rPr>
              <w:t>LSZH</w:t>
            </w:r>
            <w:r>
              <w:rPr>
                <w:rFonts w:hint="eastAsia" w:ascii="宋体" w:hAnsi="宋体" w:cs="宋体"/>
                <w:color w:val="auto"/>
                <w:kern w:val="0"/>
                <w:sz w:val="24"/>
                <w:szCs w:val="24"/>
              </w:rPr>
              <w:t>可选；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通过一次性注塑工艺，保证软线缆与水晶头的牢固连接；</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选用优质无氧铜，铜导体直径：</w:t>
            </w:r>
            <w:r>
              <w:rPr>
                <w:rFonts w:ascii="宋体" w:hAnsi="宋体" w:cs="宋体"/>
                <w:color w:val="auto"/>
                <w:kern w:val="0"/>
                <w:sz w:val="24"/>
                <w:szCs w:val="24"/>
              </w:rPr>
              <w:t>26AWG 7*0.16mm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产品性能：</w:t>
            </w:r>
            <w:r>
              <w:rPr>
                <w:rFonts w:ascii="宋体" w:hAnsi="宋体" w:cs="宋体"/>
                <w:color w:val="auto"/>
                <w:kern w:val="0"/>
                <w:sz w:val="24"/>
                <w:szCs w:val="24"/>
              </w:rPr>
              <w:t>100%</w:t>
            </w:r>
            <w:r>
              <w:rPr>
                <w:rFonts w:hint="eastAsia" w:ascii="宋体" w:hAnsi="宋体" w:cs="宋体"/>
                <w:color w:val="auto"/>
                <w:kern w:val="0"/>
                <w:sz w:val="24"/>
                <w:szCs w:val="24"/>
              </w:rPr>
              <w:t>通过</w:t>
            </w:r>
            <w:r>
              <w:rPr>
                <w:rFonts w:ascii="宋体" w:hAnsi="宋体" w:cs="宋体"/>
                <w:color w:val="auto"/>
                <w:kern w:val="0"/>
                <w:sz w:val="24"/>
                <w:szCs w:val="24"/>
              </w:rPr>
              <w:t>Channel</w:t>
            </w:r>
            <w:r>
              <w:rPr>
                <w:rFonts w:hint="eastAsia" w:ascii="宋体" w:hAnsi="宋体" w:cs="宋体"/>
                <w:color w:val="auto"/>
                <w:kern w:val="0"/>
                <w:sz w:val="24"/>
                <w:szCs w:val="24"/>
              </w:rPr>
              <w:t>测试；</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插拔次数：水晶头可插拔次数≥</w:t>
            </w:r>
            <w:r>
              <w:rPr>
                <w:rFonts w:ascii="宋体" w:hAnsi="宋体" w:cs="宋体"/>
                <w:color w:val="auto"/>
                <w:kern w:val="0"/>
                <w:sz w:val="24"/>
                <w:szCs w:val="24"/>
              </w:rPr>
              <w:t>750</w:t>
            </w:r>
            <w:r>
              <w:rPr>
                <w:rFonts w:hint="eastAsia" w:ascii="宋体" w:hAnsi="宋体" w:cs="宋体"/>
                <w:color w:val="auto"/>
                <w:kern w:val="0"/>
                <w:sz w:val="24"/>
                <w:szCs w:val="24"/>
              </w:rPr>
              <w:t>次；</w:t>
            </w:r>
          </w:p>
          <w:p>
            <w:pPr>
              <w:widowControl/>
              <w:jc w:val="left"/>
              <w:textAlignment w:val="center"/>
              <w:rPr>
                <w:rFonts w:ascii="宋体"/>
                <w:color w:val="auto"/>
                <w:sz w:val="24"/>
                <w:szCs w:val="24"/>
              </w:rPr>
            </w:pPr>
            <w:r>
              <w:rPr>
                <w:rFonts w:ascii="宋体" w:hAnsi="宋体" w:cs="宋体"/>
                <w:color w:val="auto"/>
                <w:kern w:val="0"/>
                <w:sz w:val="24"/>
                <w:szCs w:val="24"/>
              </w:rPr>
              <w:t>360</w:t>
            </w:r>
            <w:r>
              <w:rPr>
                <w:rFonts w:hint="eastAsia" w:ascii="宋体" w:hAnsi="宋体" w:cs="宋体"/>
                <w:color w:val="auto"/>
                <w:kern w:val="0"/>
                <w:sz w:val="24"/>
                <w:szCs w:val="24"/>
              </w:rPr>
              <w:t>°全方位遮蔽，有效抵抗电磁干扰，并提供更好的信息保密；</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100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条</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32</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24</w:t>
            </w:r>
            <w:r>
              <w:rPr>
                <w:rFonts w:hint="eastAsia" w:ascii="宋体" w:hAnsi="宋体" w:cs="宋体"/>
                <w:color w:val="auto"/>
                <w:kern w:val="0"/>
                <w:sz w:val="24"/>
                <w:szCs w:val="24"/>
              </w:rPr>
              <w:t>口配线架</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外壳采用黑色雾面粉末涂装处理，外观整洁美观、环保；</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全钢板配线架外框结构，保证产品的更高机械性能；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钢质配线架外框板厚</w:t>
            </w:r>
            <w:r>
              <w:rPr>
                <w:rFonts w:ascii="宋体" w:hAnsi="宋体" w:cs="宋体"/>
                <w:color w:val="auto"/>
                <w:kern w:val="0"/>
                <w:sz w:val="24"/>
                <w:szCs w:val="24"/>
              </w:rPr>
              <w:t>1.5MM</w:t>
            </w:r>
            <w:r>
              <w:rPr>
                <w:rFonts w:hint="eastAsia" w:ascii="宋体" w:hAnsi="宋体" w:cs="宋体"/>
                <w:color w:val="auto"/>
                <w:kern w:val="0"/>
                <w:sz w:val="24"/>
                <w:szCs w:val="24"/>
              </w:rPr>
              <w:t>，机械性能强度高，不易变形；</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壳体各面均能承受</w:t>
            </w:r>
            <w:r>
              <w:rPr>
                <w:rFonts w:ascii="宋体" w:hAnsi="宋体" w:cs="宋体"/>
                <w:color w:val="auto"/>
                <w:kern w:val="0"/>
                <w:sz w:val="24"/>
                <w:szCs w:val="24"/>
              </w:rPr>
              <w:t xml:space="preserve">3000N </w:t>
            </w:r>
            <w:r>
              <w:rPr>
                <w:rFonts w:hint="eastAsia" w:ascii="宋体" w:hAnsi="宋体" w:cs="宋体"/>
                <w:color w:val="auto"/>
                <w:kern w:val="0"/>
                <w:sz w:val="24"/>
                <w:szCs w:val="24"/>
              </w:rPr>
              <w:t>以上垂直静压力；</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壳体表面通过</w:t>
            </w:r>
            <w:r>
              <w:rPr>
                <w:rFonts w:ascii="宋体" w:hAnsi="宋体" w:cs="宋体"/>
                <w:color w:val="auto"/>
                <w:kern w:val="0"/>
                <w:sz w:val="24"/>
                <w:szCs w:val="24"/>
              </w:rPr>
              <w:t xml:space="preserve">GB/T2423.17-1993 </w:t>
            </w:r>
            <w:r>
              <w:rPr>
                <w:rFonts w:hint="eastAsia" w:ascii="宋体" w:hAnsi="宋体" w:cs="宋体"/>
                <w:color w:val="auto"/>
                <w:kern w:val="0"/>
                <w:sz w:val="24"/>
                <w:szCs w:val="24"/>
              </w:rPr>
              <w:t>标准的盐雾试验</w:t>
            </w:r>
            <w:r>
              <w:rPr>
                <w:rFonts w:ascii="宋体" w:hAnsi="宋体" w:cs="宋体"/>
                <w:color w:val="auto"/>
                <w:kern w:val="0"/>
                <w:sz w:val="24"/>
                <w:szCs w:val="24"/>
              </w:rPr>
              <w:t>48H</w:t>
            </w:r>
          </w:p>
          <w:p>
            <w:pPr>
              <w:widowControl/>
              <w:jc w:val="left"/>
              <w:textAlignment w:val="center"/>
              <w:rPr>
                <w:rFonts w:ascii="宋体"/>
                <w:color w:val="auto"/>
                <w:sz w:val="24"/>
                <w:szCs w:val="24"/>
              </w:rPr>
            </w:pPr>
            <w:r>
              <w:rPr>
                <w:rFonts w:hint="eastAsia" w:ascii="宋体" w:hAnsi="宋体" w:cs="宋体"/>
                <w:color w:val="auto"/>
                <w:kern w:val="0"/>
                <w:sz w:val="24"/>
                <w:szCs w:val="24"/>
              </w:rPr>
              <w:t>标准</w:t>
            </w:r>
            <w:r>
              <w:rPr>
                <w:rFonts w:ascii="宋体" w:hAnsi="宋体" w:cs="宋体"/>
                <w:color w:val="auto"/>
                <w:kern w:val="0"/>
                <w:sz w:val="24"/>
                <w:szCs w:val="24"/>
              </w:rPr>
              <w:t>19</w:t>
            </w:r>
            <w:r>
              <w:rPr>
                <w:rFonts w:hint="eastAsia" w:ascii="宋体" w:hAnsi="宋体" w:cs="宋体"/>
                <w:color w:val="auto"/>
                <w:kern w:val="0"/>
                <w:sz w:val="24"/>
                <w:szCs w:val="24"/>
              </w:rPr>
              <w:t>”机架安装</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30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33</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24</w:t>
            </w:r>
            <w:r>
              <w:rPr>
                <w:rFonts w:hint="eastAsia" w:ascii="宋体" w:hAnsi="宋体" w:cs="宋体"/>
                <w:color w:val="auto"/>
                <w:kern w:val="0"/>
                <w:sz w:val="24"/>
                <w:szCs w:val="24"/>
              </w:rPr>
              <w:t>口理线器</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产品尺寸：</w:t>
            </w:r>
            <w:r>
              <w:rPr>
                <w:rFonts w:ascii="宋体" w:hAnsi="宋体" w:cs="宋体"/>
                <w:color w:val="auto"/>
                <w:kern w:val="0"/>
                <w:sz w:val="24"/>
                <w:szCs w:val="24"/>
              </w:rPr>
              <w:t>482*440mm</w:t>
            </w:r>
            <w:r>
              <w:rPr>
                <w:rFonts w:hint="eastAsia" w:ascii="宋体" w:hAnsi="宋体" w:cs="宋体"/>
                <w:color w:val="auto"/>
                <w:kern w:val="0"/>
                <w:sz w:val="24"/>
                <w:szCs w:val="24"/>
              </w:rPr>
              <w:t>，标准机架安装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采用优质钢材，质感出众，结构稳定，承重量大；</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安装板上方和下方有开口设计，收纳容量大，</w:t>
            </w:r>
            <w:r>
              <w:rPr>
                <w:rFonts w:ascii="宋体" w:hAnsi="宋体" w:cs="宋体"/>
                <w:color w:val="auto"/>
                <w:kern w:val="0"/>
                <w:sz w:val="24"/>
                <w:szCs w:val="24"/>
              </w:rPr>
              <w:t xml:space="preserve">1U 19" </w:t>
            </w:r>
            <w:r>
              <w:rPr>
                <w:rFonts w:hint="eastAsia" w:ascii="宋体" w:hAnsi="宋体" w:cs="宋体"/>
                <w:color w:val="auto"/>
                <w:kern w:val="0"/>
                <w:sz w:val="24"/>
                <w:szCs w:val="24"/>
              </w:rPr>
              <w:t>标准标准机架安装；</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理线架各个部位边缘质地均匀、光滑精致，避免了对跳线的外护套摩擦损伤；</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安装和拆卸非常方便，使用的数量和位置可以任意调整；</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分</w:t>
            </w:r>
            <w:r>
              <w:rPr>
                <w:rFonts w:ascii="宋体" w:hAnsi="宋体" w:cs="宋体"/>
                <w:color w:val="auto"/>
                <w:kern w:val="0"/>
                <w:sz w:val="24"/>
                <w:szCs w:val="24"/>
              </w:rPr>
              <w:t>12</w:t>
            </w:r>
            <w:r>
              <w:rPr>
                <w:rFonts w:hint="eastAsia" w:ascii="宋体" w:hAnsi="宋体" w:cs="宋体"/>
                <w:color w:val="auto"/>
                <w:kern w:val="0"/>
                <w:sz w:val="24"/>
                <w:szCs w:val="24"/>
              </w:rPr>
              <w:t>档、</w:t>
            </w:r>
            <w:r>
              <w:rPr>
                <w:rFonts w:ascii="宋体" w:hAnsi="宋体" w:cs="宋体"/>
                <w:color w:val="auto"/>
                <w:kern w:val="0"/>
                <w:sz w:val="24"/>
                <w:szCs w:val="24"/>
              </w:rPr>
              <w:t>24</w:t>
            </w:r>
            <w:r>
              <w:rPr>
                <w:rFonts w:hint="eastAsia" w:ascii="宋体" w:hAnsi="宋体" w:cs="宋体"/>
                <w:color w:val="auto"/>
                <w:kern w:val="0"/>
                <w:sz w:val="24"/>
                <w:szCs w:val="24"/>
              </w:rPr>
              <w:t>档金属与非金属类型；</w:t>
            </w:r>
          </w:p>
          <w:p>
            <w:pPr>
              <w:widowControl/>
              <w:jc w:val="left"/>
              <w:textAlignment w:val="center"/>
              <w:rPr>
                <w:rFonts w:ascii="宋体"/>
                <w:color w:val="auto"/>
                <w:sz w:val="24"/>
                <w:szCs w:val="24"/>
              </w:rPr>
            </w:pPr>
            <w:r>
              <w:rPr>
                <w:rFonts w:hint="eastAsia" w:ascii="宋体" w:hAnsi="宋体" w:cs="宋体"/>
                <w:color w:val="auto"/>
                <w:kern w:val="0"/>
                <w:sz w:val="24"/>
                <w:szCs w:val="24"/>
              </w:rPr>
              <w:t>可以上下进行跳线管理，为线缆的弯曲半径提供了帮助；</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50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34</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42U600*800</w:t>
            </w:r>
            <w:r>
              <w:rPr>
                <w:rFonts w:hint="eastAsia" w:ascii="宋体" w:hAnsi="宋体" w:cs="宋体"/>
                <w:color w:val="auto"/>
                <w:kern w:val="0"/>
                <w:sz w:val="24"/>
                <w:szCs w:val="24"/>
              </w:rPr>
              <w:t>机柜</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Style w:val="56"/>
                <w:rFonts w:hint="eastAsia" w:ascii="宋体" w:hAnsi="宋体" w:eastAsia="宋体" w:cs="宋体"/>
                <w:color w:val="auto"/>
                <w:sz w:val="24"/>
                <w:szCs w:val="24"/>
                <w:lang w:eastAsia="zh-CN"/>
              </w:rPr>
            </w:pPr>
            <w:r>
              <w:rPr>
                <w:rFonts w:ascii="宋体" w:hAnsi="宋体" w:cs="宋体"/>
                <w:color w:val="auto"/>
                <w:kern w:val="0"/>
                <w:sz w:val="24"/>
                <w:szCs w:val="24"/>
              </w:rPr>
              <w:t xml:space="preserve">42U </w:t>
            </w:r>
            <w:r>
              <w:rPr>
                <w:rFonts w:hint="eastAsia" w:ascii="宋体" w:hAnsi="宋体" w:cs="宋体"/>
                <w:color w:val="auto"/>
                <w:kern w:val="0"/>
                <w:sz w:val="24"/>
                <w:szCs w:val="24"/>
              </w:rPr>
              <w:t>加厚机柜，</w:t>
            </w:r>
            <w:r>
              <w:rPr>
                <w:rStyle w:val="56"/>
                <w:rFonts w:ascii="宋体" w:hAnsi="宋体" w:cs="宋体"/>
                <w:color w:val="auto"/>
                <w:sz w:val="24"/>
                <w:szCs w:val="24"/>
              </w:rPr>
              <w:t>600*800*2055</w:t>
            </w:r>
          </w:p>
          <w:p>
            <w:pPr>
              <w:widowControl/>
              <w:jc w:val="left"/>
              <w:textAlignment w:val="center"/>
              <w:rPr>
                <w:rStyle w:val="56"/>
                <w:rFonts w:hint="eastAsia" w:ascii="宋体" w:hAnsi="宋体" w:eastAsia="宋体" w:cs="宋体"/>
                <w:color w:val="auto"/>
                <w:sz w:val="24"/>
                <w:szCs w:val="24"/>
                <w:lang w:eastAsia="zh-CN"/>
              </w:rPr>
            </w:pPr>
            <w:r>
              <w:rPr>
                <w:rStyle w:val="56"/>
                <w:rFonts w:ascii="宋体" w:hAnsi="宋体" w:cs="宋体"/>
                <w:color w:val="auto"/>
                <w:sz w:val="24"/>
                <w:szCs w:val="24"/>
              </w:rPr>
              <w:t xml:space="preserve">8 </w:t>
            </w:r>
            <w:r>
              <w:rPr>
                <w:rFonts w:hint="eastAsia" w:ascii="宋体" w:hAnsi="宋体" w:cs="宋体"/>
                <w:color w:val="auto"/>
                <w:kern w:val="0"/>
                <w:sz w:val="24"/>
                <w:szCs w:val="24"/>
              </w:rPr>
              <w:t>口</w:t>
            </w:r>
            <w:r>
              <w:rPr>
                <w:rStyle w:val="56"/>
                <w:rFonts w:ascii="宋体" w:hAnsi="宋体" w:cs="宋体"/>
                <w:color w:val="auto"/>
                <w:sz w:val="24"/>
                <w:szCs w:val="24"/>
              </w:rPr>
              <w:t xml:space="preserve"> 10A PDU </w:t>
            </w:r>
            <w:r>
              <w:rPr>
                <w:rFonts w:hint="eastAsia" w:ascii="宋体" w:hAnsi="宋体" w:cs="宋体"/>
                <w:color w:val="auto"/>
                <w:kern w:val="0"/>
                <w:sz w:val="24"/>
                <w:szCs w:val="24"/>
              </w:rPr>
              <w:t>国标电源插排</w:t>
            </w:r>
            <w:r>
              <w:rPr>
                <w:rStyle w:val="56"/>
                <w:rFonts w:hint="eastAsia" w:ascii="宋体" w:hAnsi="宋体" w:cs="宋体"/>
                <w:color w:val="auto"/>
                <w:sz w:val="24"/>
                <w:szCs w:val="24"/>
              </w:rPr>
              <w:t>×</w:t>
            </w:r>
            <w:r>
              <w:rPr>
                <w:rStyle w:val="56"/>
                <w:rFonts w:ascii="宋体" w:hAnsi="宋体" w:cs="宋体"/>
                <w:color w:val="auto"/>
                <w:sz w:val="24"/>
                <w:szCs w:val="24"/>
              </w:rPr>
              <w:t>1</w:t>
            </w:r>
            <w:r>
              <w:rPr>
                <w:rFonts w:hint="eastAsia" w:ascii="宋体" w:hAnsi="宋体" w:cs="宋体"/>
                <w:color w:val="auto"/>
                <w:kern w:val="0"/>
                <w:sz w:val="24"/>
                <w:szCs w:val="24"/>
              </w:rPr>
              <w:t>，固定板部件</w:t>
            </w:r>
            <w:r>
              <w:rPr>
                <w:rStyle w:val="56"/>
                <w:rFonts w:hint="eastAsia" w:ascii="宋体" w:hAnsi="宋体" w:cs="宋体"/>
                <w:color w:val="auto"/>
                <w:sz w:val="24"/>
                <w:szCs w:val="24"/>
              </w:rPr>
              <w:t>×</w:t>
            </w:r>
            <w:r>
              <w:rPr>
                <w:rStyle w:val="56"/>
                <w:rFonts w:ascii="宋体" w:hAnsi="宋体" w:cs="宋体"/>
                <w:color w:val="auto"/>
                <w:sz w:val="24"/>
                <w:szCs w:val="24"/>
              </w:rPr>
              <w:t>1,</w:t>
            </w:r>
            <w:r>
              <w:rPr>
                <w:rFonts w:hint="eastAsia" w:ascii="宋体" w:hAnsi="宋体" w:cs="宋体"/>
                <w:color w:val="auto"/>
                <w:kern w:val="0"/>
                <w:sz w:val="24"/>
                <w:szCs w:val="24"/>
              </w:rPr>
              <w:t>风扇</w:t>
            </w:r>
            <w:r>
              <w:rPr>
                <w:rStyle w:val="56"/>
                <w:rFonts w:hint="eastAsia" w:ascii="宋体" w:hAnsi="宋体" w:cs="宋体"/>
                <w:color w:val="auto"/>
                <w:sz w:val="24"/>
                <w:szCs w:val="24"/>
              </w:rPr>
              <w:t>×</w:t>
            </w:r>
            <w:r>
              <w:rPr>
                <w:rStyle w:val="56"/>
                <w:rFonts w:ascii="宋体" w:hAnsi="宋体" w:cs="宋体"/>
                <w:color w:val="auto"/>
                <w:sz w:val="24"/>
                <w:szCs w:val="24"/>
              </w:rPr>
              <w:t>1,2"</w:t>
            </w:r>
            <w:r>
              <w:rPr>
                <w:rFonts w:hint="eastAsia" w:ascii="宋体" w:hAnsi="宋体" w:cs="宋体"/>
                <w:color w:val="auto"/>
                <w:kern w:val="0"/>
                <w:sz w:val="24"/>
                <w:szCs w:val="24"/>
              </w:rPr>
              <w:t>重型脚轮</w:t>
            </w:r>
            <w:r>
              <w:rPr>
                <w:rStyle w:val="56"/>
                <w:rFonts w:hint="eastAsia" w:ascii="宋体" w:hAnsi="宋体" w:cs="宋体"/>
                <w:color w:val="auto"/>
                <w:sz w:val="24"/>
                <w:szCs w:val="24"/>
              </w:rPr>
              <w:t>×</w:t>
            </w:r>
          </w:p>
          <w:p>
            <w:pPr>
              <w:widowControl/>
              <w:jc w:val="left"/>
              <w:textAlignment w:val="center"/>
              <w:rPr>
                <w:rFonts w:ascii="宋体"/>
                <w:color w:val="auto"/>
                <w:sz w:val="24"/>
                <w:szCs w:val="24"/>
              </w:rPr>
            </w:pPr>
            <w:r>
              <w:rPr>
                <w:rStyle w:val="56"/>
                <w:rFonts w:ascii="宋体" w:hAnsi="宋体" w:cs="宋体"/>
                <w:color w:val="auto"/>
                <w:sz w:val="24"/>
                <w:szCs w:val="24"/>
              </w:rPr>
              <w:t>4</w:t>
            </w:r>
            <w:r>
              <w:rPr>
                <w:rFonts w:hint="eastAsia" w:ascii="宋体" w:hAnsi="宋体" w:cs="宋体"/>
                <w:color w:val="auto"/>
                <w:kern w:val="0"/>
                <w:sz w:val="24"/>
                <w:szCs w:val="24"/>
              </w:rPr>
              <w:t>，</w:t>
            </w:r>
            <w:r>
              <w:rPr>
                <w:rStyle w:val="56"/>
                <w:rFonts w:ascii="宋体" w:hAnsi="宋体" w:cs="宋体"/>
                <w:color w:val="auto"/>
                <w:sz w:val="24"/>
                <w:szCs w:val="24"/>
              </w:rPr>
              <w:t xml:space="preserve">M12 </w:t>
            </w:r>
            <w:r>
              <w:rPr>
                <w:rFonts w:hint="eastAsia" w:ascii="宋体" w:hAnsi="宋体" w:cs="宋体"/>
                <w:color w:val="auto"/>
                <w:kern w:val="0"/>
                <w:sz w:val="24"/>
                <w:szCs w:val="24"/>
              </w:rPr>
              <w:t>支脚</w:t>
            </w:r>
            <w:r>
              <w:rPr>
                <w:rStyle w:val="56"/>
                <w:rFonts w:hint="eastAsia" w:ascii="宋体" w:hAnsi="宋体" w:cs="宋体"/>
                <w:color w:val="auto"/>
                <w:sz w:val="24"/>
                <w:szCs w:val="24"/>
              </w:rPr>
              <w:t>×</w:t>
            </w:r>
            <w:r>
              <w:rPr>
                <w:rStyle w:val="56"/>
                <w:rFonts w:ascii="宋体" w:hAnsi="宋体" w:cs="宋体"/>
                <w:color w:val="auto"/>
                <w:sz w:val="24"/>
                <w:szCs w:val="24"/>
              </w:rPr>
              <w:t>4</w:t>
            </w:r>
            <w:r>
              <w:rPr>
                <w:rFonts w:hint="eastAsia" w:ascii="宋体" w:hAnsi="宋体" w:cs="宋体"/>
                <w:color w:val="auto"/>
                <w:kern w:val="0"/>
                <w:sz w:val="24"/>
                <w:szCs w:val="24"/>
              </w:rPr>
              <w:t>，</w:t>
            </w:r>
            <w:r>
              <w:rPr>
                <w:rStyle w:val="56"/>
                <w:rFonts w:ascii="宋体" w:hAnsi="宋体" w:cs="宋体"/>
                <w:color w:val="auto"/>
                <w:sz w:val="24"/>
                <w:szCs w:val="24"/>
              </w:rPr>
              <w:t xml:space="preserve">M6 </w:t>
            </w:r>
            <w:r>
              <w:rPr>
                <w:rFonts w:hint="eastAsia" w:ascii="宋体" w:hAnsi="宋体" w:cs="宋体"/>
                <w:color w:val="auto"/>
                <w:kern w:val="0"/>
                <w:sz w:val="24"/>
                <w:szCs w:val="24"/>
              </w:rPr>
              <w:t>方螺母螺钉</w:t>
            </w:r>
            <w:r>
              <w:rPr>
                <w:rStyle w:val="56"/>
                <w:rFonts w:hint="eastAsia" w:ascii="宋体" w:hAnsi="宋体" w:cs="宋体"/>
                <w:color w:val="auto"/>
                <w:sz w:val="24"/>
                <w:szCs w:val="24"/>
              </w:rPr>
              <w:t>×</w:t>
            </w:r>
            <w:r>
              <w:rPr>
                <w:rStyle w:val="56"/>
                <w:rFonts w:ascii="宋体" w:hAnsi="宋体" w:cs="宋体"/>
                <w:color w:val="auto"/>
                <w:sz w:val="24"/>
                <w:szCs w:val="24"/>
              </w:rPr>
              <w:t>20</w:t>
            </w:r>
            <w:r>
              <w:rPr>
                <w:rFonts w:hint="eastAsia" w:ascii="宋体" w:hAnsi="宋体" w:cs="宋体"/>
                <w:color w:val="auto"/>
                <w:kern w:val="0"/>
                <w:sz w:val="24"/>
                <w:szCs w:val="24"/>
              </w:rPr>
              <w:t>，内六角扳手</w:t>
            </w:r>
            <w:r>
              <w:rPr>
                <w:rStyle w:val="56"/>
                <w:rFonts w:hint="eastAsia" w:ascii="宋体" w:hAnsi="宋体" w:cs="宋体"/>
                <w:color w:val="auto"/>
                <w:sz w:val="24"/>
                <w:szCs w:val="24"/>
              </w:rPr>
              <w:t>×</w:t>
            </w:r>
            <w:r>
              <w:rPr>
                <w:rStyle w:val="56"/>
                <w:rFonts w:ascii="宋体" w:hAnsi="宋体" w:cs="宋体"/>
                <w:color w:val="auto"/>
                <w:sz w:val="24"/>
                <w:szCs w:val="24"/>
              </w:rPr>
              <w:t>1</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12</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35</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6U</w:t>
            </w:r>
            <w:r>
              <w:rPr>
                <w:rFonts w:hint="eastAsia" w:ascii="宋体" w:hAnsi="宋体" w:cs="宋体"/>
                <w:color w:val="auto"/>
                <w:kern w:val="0"/>
                <w:sz w:val="24"/>
                <w:szCs w:val="24"/>
              </w:rPr>
              <w:t>壁挂机柜</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550*400*300</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产品材质：高强度冷轧钢板制作，结构合理、牢固；</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国际流行的弧形六角形或圆形网孔（玻璃）前后门，美观、大方；通风率极高，散热性极高；</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快捷的拆装结构和合理线路通道；后部专用配电通道设计排插，实现大空量、免工具快速配电部署；可选配安装底座，达到固定机柜、底部过线、底部送冷风、防鼠的要求；</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带有高效坚固的并柜插口，实现多台机柜的相互连接；</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高强度</w:t>
            </w:r>
            <w:r>
              <w:rPr>
                <w:rFonts w:ascii="宋体" w:hAnsi="宋体" w:cs="宋体"/>
                <w:color w:val="auto"/>
                <w:kern w:val="0"/>
                <w:sz w:val="24"/>
                <w:szCs w:val="24"/>
              </w:rPr>
              <w:t>19</w:t>
            </w:r>
            <w:r>
              <w:rPr>
                <w:rFonts w:hint="eastAsia" w:ascii="宋体" w:hAnsi="宋体" w:cs="宋体"/>
                <w:color w:val="auto"/>
                <w:kern w:val="0"/>
                <w:sz w:val="24"/>
                <w:szCs w:val="24"/>
              </w:rPr>
              <w:t>英寸承重方孔孔条，带</w:t>
            </w:r>
            <w:r>
              <w:rPr>
                <w:rFonts w:ascii="宋体" w:hAnsi="宋体" w:cs="宋体"/>
                <w:color w:val="auto"/>
                <w:kern w:val="0"/>
                <w:sz w:val="24"/>
                <w:szCs w:val="24"/>
              </w:rPr>
              <w:t>U</w:t>
            </w:r>
            <w:r>
              <w:rPr>
                <w:rFonts w:hint="eastAsia" w:ascii="宋体" w:hAnsi="宋体" w:cs="宋体"/>
                <w:color w:val="auto"/>
                <w:kern w:val="0"/>
                <w:sz w:val="24"/>
                <w:szCs w:val="24"/>
              </w:rPr>
              <w:t>位标识，可精确调整深度，方便安装维护使用；</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接地保护：机柜预留接地装置，满足机房使用要求；</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机柜表面采用</w:t>
            </w:r>
            <w:r>
              <w:rPr>
                <w:rFonts w:ascii="宋体" w:hAnsi="宋体" w:cs="宋体"/>
                <w:color w:val="auto"/>
                <w:kern w:val="0"/>
                <w:sz w:val="24"/>
                <w:szCs w:val="24"/>
              </w:rPr>
              <w:t>IP23</w:t>
            </w:r>
            <w:r>
              <w:rPr>
                <w:rFonts w:hint="eastAsia" w:ascii="宋体" w:hAnsi="宋体" w:cs="宋体"/>
                <w:color w:val="auto"/>
                <w:kern w:val="0"/>
                <w:sz w:val="24"/>
                <w:szCs w:val="24"/>
              </w:rPr>
              <w:t>级静电喷塑处理，生产流水线一次成形，具有较强的防潮、防止碰伤、腐蚀，</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各个部位边缘质地均匀、光滑精致，避免了对线缆和设备的摩擦损伤。</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8</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36</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接入汇聚交换机</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、交换容量≥</w:t>
            </w:r>
            <w:r>
              <w:rPr>
                <w:rFonts w:ascii="宋体" w:hAnsi="宋体" w:cs="宋体"/>
                <w:color w:val="auto"/>
                <w:kern w:val="0"/>
                <w:sz w:val="24"/>
                <w:szCs w:val="24"/>
              </w:rPr>
              <w:t>400Gbps</w:t>
            </w:r>
            <w:r>
              <w:rPr>
                <w:rFonts w:hint="eastAsia" w:ascii="宋体" w:hAnsi="宋体" w:cs="宋体"/>
                <w:color w:val="auto"/>
                <w:kern w:val="0"/>
                <w:sz w:val="24"/>
                <w:szCs w:val="24"/>
              </w:rPr>
              <w:t>，包转发率≥</w:t>
            </w:r>
            <w:r>
              <w:rPr>
                <w:rFonts w:ascii="宋体" w:hAnsi="宋体" w:cs="宋体"/>
                <w:color w:val="auto"/>
                <w:kern w:val="0"/>
                <w:sz w:val="24"/>
                <w:szCs w:val="24"/>
              </w:rPr>
              <w:t>144Mpps</w:t>
            </w:r>
            <w:r>
              <w:rPr>
                <w:rFonts w:hint="eastAsia" w:ascii="宋体" w:hAnsi="宋体" w:cs="宋体"/>
                <w:color w:val="auto"/>
                <w:kern w:val="0"/>
                <w:sz w:val="24"/>
                <w:szCs w:val="24"/>
              </w:rPr>
              <w:t>，以官网最小值为准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、整机实配：</w:t>
            </w:r>
            <w:r>
              <w:rPr>
                <w:rFonts w:ascii="宋体" w:hAnsi="宋体" w:cs="宋体"/>
                <w:color w:val="auto"/>
                <w:kern w:val="0"/>
                <w:sz w:val="24"/>
                <w:szCs w:val="24"/>
              </w:rPr>
              <w:t>48</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个万兆</w:t>
            </w:r>
            <w:r>
              <w:rPr>
                <w:rFonts w:ascii="宋体" w:hAnsi="宋体" w:cs="宋体"/>
                <w:color w:val="auto"/>
                <w:kern w:val="0"/>
                <w:sz w:val="24"/>
                <w:szCs w:val="24"/>
              </w:rPr>
              <w:t>SFP+</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w:t>
            </w:r>
            <w:r>
              <w:rPr>
                <w:rFonts w:ascii="宋体" w:hAnsi="宋体" w:cs="宋体"/>
                <w:color w:val="auto"/>
                <w:kern w:val="0"/>
                <w:sz w:val="24"/>
                <w:szCs w:val="24"/>
              </w:rPr>
              <w:t>16K</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4K</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、支持二层和</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等三层特性，支持完善的以太</w:t>
            </w:r>
            <w:r>
              <w:rPr>
                <w:rFonts w:ascii="宋体" w:hAnsi="宋体" w:cs="宋体"/>
                <w:color w:val="auto"/>
                <w:kern w:val="0"/>
                <w:sz w:val="24"/>
                <w:szCs w:val="24"/>
              </w:rPr>
              <w:t xml:space="preserve"> OAM</w:t>
            </w:r>
            <w:r>
              <w:rPr>
                <w:rFonts w:hint="eastAsia" w:ascii="宋体" w:hAnsi="宋体" w:cs="宋体"/>
                <w:color w:val="auto"/>
                <w:kern w:val="0"/>
                <w:sz w:val="24"/>
                <w:szCs w:val="24"/>
              </w:rPr>
              <w:t>（</w:t>
            </w:r>
            <w:r>
              <w:rPr>
                <w:rFonts w:ascii="宋体" w:hAnsi="宋体" w:cs="宋体"/>
                <w:color w:val="auto"/>
                <w:kern w:val="0"/>
                <w:sz w:val="24"/>
                <w:szCs w:val="24"/>
              </w:rPr>
              <w:t>IEEE 802.3ah/802.1ag</w:t>
            </w:r>
            <w:r>
              <w:rPr>
                <w:rFonts w:hint="eastAsia" w:ascii="宋体" w:hAnsi="宋体" w:cs="宋体"/>
                <w:color w:val="auto"/>
                <w:kern w:val="0"/>
                <w:sz w:val="24"/>
                <w:szCs w:val="24"/>
              </w:rPr>
              <w:t>），用于快速检测链路故障</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SNMP v1/v2c/v3</w:t>
            </w:r>
            <w:r>
              <w:rPr>
                <w:rFonts w:hint="eastAsia" w:ascii="宋体" w:hAnsi="宋体" w:cs="宋体"/>
                <w:color w:val="auto"/>
                <w:kern w:val="0"/>
                <w:sz w:val="24"/>
                <w:szCs w:val="24"/>
              </w:rPr>
              <w:t>、</w:t>
            </w:r>
            <w:r>
              <w:rPr>
                <w:rFonts w:ascii="宋体" w:hAnsi="宋体" w:cs="宋体"/>
                <w:color w:val="auto"/>
                <w:kern w:val="0"/>
                <w:sz w:val="24"/>
                <w:szCs w:val="24"/>
              </w:rPr>
              <w:t>CLI</w:t>
            </w:r>
            <w:r>
              <w:rPr>
                <w:rFonts w:hint="eastAsia" w:ascii="宋体" w:hAnsi="宋体" w:cs="宋体"/>
                <w:color w:val="auto"/>
                <w:kern w:val="0"/>
                <w:sz w:val="24"/>
                <w:szCs w:val="24"/>
              </w:rPr>
              <w:t>（命令行）、</w:t>
            </w:r>
            <w:r>
              <w:rPr>
                <w:rFonts w:ascii="宋体" w:hAnsi="宋体" w:cs="宋体"/>
                <w:color w:val="auto"/>
                <w:kern w:val="0"/>
                <w:sz w:val="24"/>
                <w:szCs w:val="24"/>
              </w:rPr>
              <w:t xml:space="preserve">Web </w:t>
            </w:r>
            <w:r>
              <w:rPr>
                <w:rFonts w:hint="eastAsia" w:ascii="宋体" w:hAnsi="宋体" w:cs="宋体"/>
                <w:color w:val="auto"/>
                <w:kern w:val="0"/>
                <w:sz w:val="24"/>
                <w:szCs w:val="24"/>
              </w:rPr>
              <w:t>网管、</w:t>
            </w:r>
            <w:r>
              <w:rPr>
                <w:rFonts w:ascii="宋体" w:hAnsi="宋体" w:cs="宋体"/>
                <w:color w:val="auto"/>
                <w:kern w:val="0"/>
                <w:sz w:val="24"/>
                <w:szCs w:val="24"/>
              </w:rPr>
              <w:t xml:space="preserve">SSHv2.0 </w:t>
            </w:r>
            <w:r>
              <w:rPr>
                <w:rFonts w:hint="eastAsia" w:ascii="宋体" w:hAnsi="宋体" w:cs="宋体"/>
                <w:color w:val="auto"/>
                <w:kern w:val="0"/>
                <w:sz w:val="24"/>
                <w:szCs w:val="24"/>
              </w:rPr>
              <w:t>等多样化的管理和维护方式；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IPv4 FIB</w:t>
            </w:r>
            <w:r>
              <w:rPr>
                <w:rFonts w:hint="eastAsia" w:ascii="宋体" w:hAnsi="宋体" w:cs="宋体"/>
                <w:color w:val="auto"/>
                <w:kern w:val="0"/>
                <w:sz w:val="24"/>
                <w:szCs w:val="24"/>
              </w:rPr>
              <w:t>表项≥</w:t>
            </w:r>
            <w:r>
              <w:rPr>
                <w:rFonts w:ascii="宋体" w:hAnsi="宋体" w:cs="宋体"/>
                <w:color w:val="auto"/>
                <w:kern w:val="0"/>
                <w:sz w:val="24"/>
                <w:szCs w:val="24"/>
              </w:rPr>
              <w:t>4K</w:t>
            </w:r>
          </w:p>
          <w:p>
            <w:pPr>
              <w:widowControl/>
              <w:jc w:val="left"/>
              <w:textAlignment w:val="center"/>
              <w:rPr>
                <w:rFonts w:ascii="宋体"/>
                <w:color w:val="auto"/>
                <w:sz w:val="24"/>
                <w:szCs w:val="24"/>
              </w:rPr>
            </w:pPr>
            <w:r>
              <w:rPr>
                <w:rFonts w:ascii="宋体" w:hAnsi="宋体" w:cs="宋体"/>
                <w:color w:val="auto"/>
                <w:kern w:val="0"/>
                <w:sz w:val="24"/>
                <w:szCs w:val="24"/>
              </w:rPr>
              <w:t>8</w:t>
            </w:r>
            <w:r>
              <w:rPr>
                <w:rFonts w:hint="eastAsia" w:ascii="宋体" w:hAnsi="宋体" w:cs="宋体"/>
                <w:color w:val="auto"/>
                <w:kern w:val="0"/>
                <w:sz w:val="24"/>
                <w:szCs w:val="24"/>
              </w:rPr>
              <w:t>、实配：硬件</w:t>
            </w:r>
            <w:r>
              <w:rPr>
                <w:rFonts w:ascii="宋体" w:hAnsi="宋体" w:cs="宋体"/>
                <w:color w:val="auto"/>
                <w:kern w:val="0"/>
                <w:sz w:val="24"/>
                <w:szCs w:val="24"/>
              </w:rPr>
              <w:t>3</w:t>
            </w:r>
            <w:r>
              <w:rPr>
                <w:rFonts w:hint="eastAsia" w:ascii="宋体" w:hAnsi="宋体" w:cs="宋体"/>
                <w:color w:val="auto"/>
                <w:kern w:val="0"/>
                <w:sz w:val="24"/>
                <w:szCs w:val="24"/>
              </w:rPr>
              <w:t>年质保</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20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37</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老院综合布线</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通过</w:t>
            </w:r>
            <w:r>
              <w:rPr>
                <w:rFonts w:ascii="宋体" w:hAnsi="宋体" w:cs="宋体"/>
                <w:color w:val="auto"/>
                <w:kern w:val="0"/>
                <w:sz w:val="24"/>
                <w:szCs w:val="24"/>
              </w:rPr>
              <w:t>ANSI/TIA/EIA 568C.2 250MHZ</w:t>
            </w:r>
            <w:r>
              <w:rPr>
                <w:rFonts w:hint="eastAsia" w:ascii="宋体" w:hAnsi="宋体" w:cs="宋体"/>
                <w:color w:val="auto"/>
                <w:kern w:val="0"/>
                <w:sz w:val="24"/>
                <w:szCs w:val="24"/>
              </w:rPr>
              <w:t>带宽测试要求</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提供线缆长度标记，减少浪费</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具有十字</w:t>
            </w:r>
            <w:r>
              <w:rPr>
                <w:rFonts w:ascii="宋体" w:hAnsi="宋体" w:cs="宋体"/>
                <w:color w:val="auto"/>
                <w:kern w:val="0"/>
                <w:sz w:val="24"/>
                <w:szCs w:val="24"/>
              </w:rPr>
              <w:t>PE</w:t>
            </w:r>
            <w:r>
              <w:rPr>
                <w:rFonts w:hint="eastAsia" w:ascii="宋体" w:hAnsi="宋体" w:cs="宋体"/>
                <w:color w:val="auto"/>
                <w:kern w:val="0"/>
                <w:sz w:val="24"/>
                <w:szCs w:val="24"/>
              </w:rPr>
              <w:t>骨架，保证传输性能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电气性能：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直流电阻</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7.5</w:t>
            </w:r>
            <w:r>
              <w:rPr>
                <w:rFonts w:hint="eastAsia" w:ascii="宋体" w:hAnsi="宋体" w:cs="宋体"/>
                <w:color w:val="auto"/>
                <w:kern w:val="0"/>
                <w:sz w:val="24"/>
                <w:szCs w:val="24"/>
              </w:rPr>
              <w:t>Ω</w:t>
            </w:r>
            <w:r>
              <w:rPr>
                <w:rFonts w:ascii="宋体" w:hAnsi="宋体" w:cs="宋体"/>
                <w:color w:val="auto"/>
                <w:kern w:val="0"/>
                <w:sz w:val="24"/>
                <w:szCs w:val="24"/>
              </w:rPr>
              <w:t xml:space="preserve">/100m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特性阻抗</w:t>
            </w:r>
            <w:r>
              <w:rPr>
                <w:rFonts w:ascii="宋体" w:hAnsi="宋体" w:cs="宋体"/>
                <w:color w:val="auto"/>
                <w:kern w:val="0"/>
                <w:sz w:val="24"/>
                <w:szCs w:val="24"/>
              </w:rPr>
              <w:t xml:space="preserve"> 100</w:t>
            </w:r>
            <w:r>
              <w:rPr>
                <w:rFonts w:hint="eastAsia" w:ascii="宋体" w:hAnsi="宋体" w:cs="宋体"/>
                <w:color w:val="auto"/>
                <w:kern w:val="0"/>
                <w:sz w:val="24"/>
                <w:szCs w:val="24"/>
              </w:rPr>
              <w:t>±</w:t>
            </w:r>
            <w:r>
              <w:rPr>
                <w:rFonts w:ascii="宋体" w:hAnsi="宋体" w:cs="宋体"/>
                <w:color w:val="auto"/>
                <w:kern w:val="0"/>
                <w:sz w:val="24"/>
                <w:szCs w:val="24"/>
              </w:rPr>
              <w:t>15</w:t>
            </w:r>
            <w:r>
              <w:rPr>
                <w:rFonts w:hint="eastAsia" w:ascii="宋体" w:hAnsi="宋体" w:cs="宋体"/>
                <w:color w:val="auto"/>
                <w:kern w:val="0"/>
                <w:sz w:val="24"/>
                <w:szCs w:val="24"/>
              </w:rPr>
              <w:t>Ω</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绝缘电阻</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5000M</w:t>
            </w:r>
            <w:r>
              <w:rPr>
                <w:rFonts w:hint="eastAsia" w:ascii="宋体" w:hAnsi="宋体" w:cs="宋体"/>
                <w:color w:val="auto"/>
                <w:kern w:val="0"/>
                <w:sz w:val="24"/>
                <w:szCs w:val="24"/>
              </w:rPr>
              <w:t>Ω</w:t>
            </w:r>
            <w:r>
              <w:rPr>
                <w:rFonts w:ascii="宋体" w:hAnsi="宋体" w:cs="宋体"/>
                <w:color w:val="auto"/>
                <w:kern w:val="0"/>
                <w:sz w:val="24"/>
                <w:szCs w:val="24"/>
              </w:rPr>
              <w:t>/km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线对直流电阻不平衡</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2.5%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工作电容</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5.6nF/100m </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物理性能：</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电缆对数</w:t>
            </w:r>
            <w:r>
              <w:rPr>
                <w:rFonts w:ascii="宋体" w:hAnsi="宋体" w:cs="宋体"/>
                <w:color w:val="auto"/>
                <w:kern w:val="0"/>
                <w:sz w:val="24"/>
                <w:szCs w:val="24"/>
              </w:rPr>
              <w:t xml:space="preserve"> 4</w:t>
            </w:r>
            <w:r>
              <w:rPr>
                <w:rFonts w:hint="eastAsia" w:ascii="宋体" w:hAnsi="宋体" w:cs="宋体"/>
                <w:color w:val="auto"/>
                <w:kern w:val="0"/>
                <w:sz w:val="24"/>
                <w:szCs w:val="24"/>
              </w:rPr>
              <w:t>对</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导体材料</w:t>
            </w:r>
            <w:r>
              <w:rPr>
                <w:rFonts w:ascii="宋体" w:hAnsi="宋体" w:cs="宋体"/>
                <w:color w:val="auto"/>
                <w:kern w:val="0"/>
                <w:sz w:val="24"/>
                <w:szCs w:val="24"/>
              </w:rPr>
              <w:t xml:space="preserve"> </w:t>
            </w:r>
            <w:r>
              <w:rPr>
                <w:rFonts w:hint="eastAsia" w:ascii="宋体" w:hAnsi="宋体" w:cs="宋体"/>
                <w:color w:val="auto"/>
                <w:kern w:val="0"/>
                <w:sz w:val="24"/>
                <w:szCs w:val="24"/>
              </w:rPr>
              <w:t>无氧圆铜（纯度</w:t>
            </w:r>
            <w:r>
              <w:rPr>
                <w:rFonts w:ascii="宋体" w:hAnsi="宋体" w:cs="宋体"/>
                <w:color w:val="auto"/>
                <w:kern w:val="0"/>
                <w:sz w:val="24"/>
                <w:szCs w:val="24"/>
              </w:rPr>
              <w:t>99.99%</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线规</w:t>
            </w:r>
            <w:r>
              <w:rPr>
                <w:rFonts w:ascii="宋体" w:hAnsi="宋体" w:cs="宋体"/>
                <w:color w:val="auto"/>
                <w:kern w:val="0"/>
                <w:sz w:val="24"/>
                <w:szCs w:val="24"/>
              </w:rPr>
              <w:t xml:space="preserve"> 23AWG  0.57mm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电缆外径</w:t>
            </w:r>
            <w:r>
              <w:rPr>
                <w:rFonts w:ascii="宋体" w:hAnsi="宋体" w:cs="宋体"/>
                <w:color w:val="auto"/>
                <w:kern w:val="0"/>
                <w:sz w:val="24"/>
                <w:szCs w:val="24"/>
              </w:rPr>
              <w:t xml:space="preserve"> 6.1mm</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绝缘材料</w:t>
            </w:r>
            <w:r>
              <w:rPr>
                <w:rFonts w:ascii="宋体" w:hAnsi="宋体" w:cs="宋体"/>
                <w:color w:val="auto"/>
                <w:kern w:val="0"/>
                <w:sz w:val="24"/>
                <w:szCs w:val="24"/>
              </w:rPr>
              <w:t xml:space="preserve"> HDPE</w:t>
            </w:r>
            <w:r>
              <w:rPr>
                <w:rFonts w:hint="eastAsia" w:ascii="宋体" w:hAnsi="宋体" w:cs="宋体"/>
                <w:color w:val="auto"/>
                <w:kern w:val="0"/>
                <w:sz w:val="24"/>
                <w:szCs w:val="24"/>
              </w:rPr>
              <w:t>（实心聚烯烃）</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最小弯曲半径</w:t>
            </w:r>
            <w:r>
              <w:rPr>
                <w:rFonts w:ascii="宋体" w:hAnsi="宋体" w:cs="宋体"/>
                <w:color w:val="auto"/>
                <w:kern w:val="0"/>
                <w:sz w:val="24"/>
                <w:szCs w:val="24"/>
              </w:rPr>
              <w:t xml:space="preserve"> 10</w:t>
            </w:r>
            <w:r>
              <w:rPr>
                <w:rFonts w:hint="eastAsia" w:ascii="宋体" w:hAnsi="宋体" w:cs="宋体"/>
                <w:color w:val="auto"/>
                <w:kern w:val="0"/>
                <w:sz w:val="24"/>
                <w:szCs w:val="24"/>
              </w:rPr>
              <w:t>倍电缆外径</w:t>
            </w:r>
          </w:p>
          <w:p>
            <w:pPr>
              <w:widowControl/>
              <w:jc w:val="left"/>
              <w:textAlignment w:val="center"/>
              <w:rPr>
                <w:rFonts w:ascii="宋体"/>
                <w:color w:val="auto"/>
                <w:sz w:val="24"/>
                <w:szCs w:val="24"/>
              </w:rPr>
            </w:pPr>
            <w:r>
              <w:rPr>
                <w:rFonts w:hint="eastAsia" w:ascii="宋体" w:hAnsi="宋体" w:cs="宋体"/>
                <w:color w:val="auto"/>
                <w:kern w:val="0"/>
                <w:sz w:val="24"/>
                <w:szCs w:val="24"/>
              </w:rPr>
              <w:t>工作温度</w:t>
            </w:r>
            <w:r>
              <w:rPr>
                <w:rFonts w:ascii="宋体" w:hAnsi="宋体" w:cs="宋体"/>
                <w:color w:val="auto"/>
                <w:kern w:val="0"/>
                <w:sz w:val="24"/>
                <w:szCs w:val="24"/>
              </w:rPr>
              <w:t xml:space="preserve"> -20</w:t>
            </w:r>
            <w:r>
              <w:rPr>
                <w:rFonts w:hint="eastAsia" w:ascii="宋体" w:hAnsi="宋体" w:cs="宋体"/>
                <w:color w:val="auto"/>
                <w:kern w:val="0"/>
                <w:sz w:val="24"/>
                <w:szCs w:val="24"/>
              </w:rPr>
              <w:t>℃～</w:t>
            </w:r>
            <w:r>
              <w:rPr>
                <w:rFonts w:ascii="宋体" w:hAnsi="宋体" w:cs="宋体"/>
                <w:color w:val="auto"/>
                <w:kern w:val="0"/>
                <w:sz w:val="24"/>
                <w:szCs w:val="24"/>
              </w:rPr>
              <w:t>+70</w:t>
            </w:r>
            <w:r>
              <w:rPr>
                <w:rFonts w:hint="eastAsia" w:ascii="宋体" w:hAnsi="宋体" w:cs="宋体"/>
                <w:color w:val="auto"/>
                <w:kern w:val="0"/>
                <w:sz w:val="24"/>
                <w:szCs w:val="24"/>
              </w:rPr>
              <w:t>℃</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180</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点</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38</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老院综合布线交换机</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numPr>
                <w:ilvl w:val="0"/>
                <w:numId w:val="16"/>
              </w:numPr>
              <w:jc w:val="left"/>
              <w:textAlignment w:val="center"/>
              <w:rPr>
                <w:rFonts w:ascii="宋体"/>
                <w:color w:val="auto"/>
                <w:kern w:val="0"/>
                <w:sz w:val="24"/>
                <w:szCs w:val="24"/>
              </w:rPr>
            </w:pPr>
            <w:r>
              <w:rPr>
                <w:rFonts w:hint="eastAsia" w:ascii="宋体" w:hAnsi="宋体" w:cs="宋体"/>
                <w:color w:val="auto"/>
                <w:kern w:val="0"/>
                <w:sz w:val="24"/>
                <w:szCs w:val="24"/>
              </w:rPr>
              <w:t>交换容量≥</w:t>
            </w:r>
            <w:r>
              <w:rPr>
                <w:rFonts w:ascii="宋体" w:hAnsi="宋体" w:cs="宋体"/>
                <w:color w:val="auto"/>
                <w:kern w:val="0"/>
                <w:sz w:val="24"/>
                <w:szCs w:val="24"/>
              </w:rPr>
              <w:t>336Gbps</w:t>
            </w:r>
            <w:r>
              <w:rPr>
                <w:rFonts w:hint="eastAsia" w:ascii="宋体" w:hAnsi="宋体" w:cs="宋体"/>
                <w:color w:val="auto"/>
                <w:kern w:val="0"/>
                <w:sz w:val="24"/>
                <w:szCs w:val="24"/>
              </w:rPr>
              <w:t>，包转发率≥</w:t>
            </w:r>
            <w:r>
              <w:rPr>
                <w:rFonts w:ascii="宋体" w:hAnsi="宋体" w:cs="宋体"/>
                <w:color w:val="auto"/>
                <w:kern w:val="0"/>
                <w:sz w:val="24"/>
                <w:szCs w:val="24"/>
              </w:rPr>
              <w:t>100Mpps</w:t>
            </w:r>
            <w:r>
              <w:rPr>
                <w:rFonts w:hint="eastAsia" w:ascii="宋体" w:hAnsi="宋体" w:cs="宋体"/>
                <w:color w:val="auto"/>
                <w:kern w:val="0"/>
                <w:sz w:val="24"/>
                <w:szCs w:val="24"/>
              </w:rPr>
              <w:t>，以官网最小值为准</w:t>
            </w:r>
          </w:p>
          <w:p>
            <w:pPr>
              <w:widowControl/>
              <w:numPr>
                <w:ilvl w:val="0"/>
                <w:numId w:val="16"/>
              </w:numPr>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、整机实配：</w:t>
            </w:r>
            <w:r>
              <w:rPr>
                <w:rFonts w:ascii="宋体" w:hAnsi="宋体" w:cs="宋体"/>
                <w:color w:val="auto"/>
                <w:kern w:val="0"/>
                <w:sz w:val="24"/>
                <w:szCs w:val="24"/>
              </w:rPr>
              <w:t>24</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个万兆</w:t>
            </w:r>
            <w:r>
              <w:rPr>
                <w:rFonts w:ascii="宋体" w:hAnsi="宋体" w:cs="宋体"/>
                <w:color w:val="auto"/>
                <w:kern w:val="0"/>
                <w:sz w:val="24"/>
                <w:szCs w:val="24"/>
              </w:rPr>
              <w:t>SFP</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p>
          <w:p>
            <w:pPr>
              <w:widowControl/>
              <w:numPr>
                <w:ilvl w:val="0"/>
                <w:numId w:val="16"/>
              </w:numPr>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w:t>
            </w:r>
            <w:r>
              <w:rPr>
                <w:rFonts w:ascii="宋体" w:hAnsi="宋体" w:cs="宋体"/>
                <w:color w:val="auto"/>
                <w:kern w:val="0"/>
                <w:sz w:val="24"/>
                <w:szCs w:val="24"/>
              </w:rPr>
              <w:t>16K</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4K</w:t>
            </w:r>
          </w:p>
          <w:p>
            <w:pPr>
              <w:widowControl/>
              <w:numPr>
                <w:ilvl w:val="0"/>
                <w:numId w:val="16"/>
              </w:numPr>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、支持二层和</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等三层特性，支持完善的以太</w:t>
            </w:r>
            <w:r>
              <w:rPr>
                <w:rFonts w:ascii="宋体" w:hAnsi="宋体" w:cs="宋体"/>
                <w:color w:val="auto"/>
                <w:kern w:val="0"/>
                <w:sz w:val="24"/>
                <w:szCs w:val="24"/>
              </w:rPr>
              <w:t xml:space="preserve"> OAM</w:t>
            </w:r>
            <w:r>
              <w:rPr>
                <w:rFonts w:hint="eastAsia" w:ascii="宋体" w:hAnsi="宋体" w:cs="宋体"/>
                <w:color w:val="auto"/>
                <w:kern w:val="0"/>
                <w:sz w:val="24"/>
                <w:szCs w:val="24"/>
              </w:rPr>
              <w:t>（</w:t>
            </w:r>
            <w:r>
              <w:rPr>
                <w:rFonts w:ascii="宋体" w:hAnsi="宋体" w:cs="宋体"/>
                <w:color w:val="auto"/>
                <w:kern w:val="0"/>
                <w:sz w:val="24"/>
                <w:szCs w:val="24"/>
              </w:rPr>
              <w:t>IEEE 802.3ah/802.1ag</w:t>
            </w:r>
            <w:r>
              <w:rPr>
                <w:rFonts w:hint="eastAsia" w:ascii="宋体" w:hAnsi="宋体" w:cs="宋体"/>
                <w:color w:val="auto"/>
                <w:kern w:val="0"/>
                <w:sz w:val="24"/>
                <w:szCs w:val="24"/>
              </w:rPr>
              <w:t>），用于快速检测链路故障</w:t>
            </w:r>
          </w:p>
          <w:p>
            <w:pPr>
              <w:widowControl/>
              <w:numPr>
                <w:ilvl w:val="0"/>
                <w:numId w:val="16"/>
              </w:numPr>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SNMP v1/v2c/v3</w:t>
            </w:r>
            <w:r>
              <w:rPr>
                <w:rFonts w:hint="eastAsia" w:ascii="宋体" w:hAnsi="宋体" w:cs="宋体"/>
                <w:color w:val="auto"/>
                <w:kern w:val="0"/>
                <w:sz w:val="24"/>
                <w:szCs w:val="24"/>
              </w:rPr>
              <w:t>、</w:t>
            </w:r>
            <w:r>
              <w:rPr>
                <w:rFonts w:ascii="宋体" w:hAnsi="宋体" w:cs="宋体"/>
                <w:color w:val="auto"/>
                <w:kern w:val="0"/>
                <w:sz w:val="24"/>
                <w:szCs w:val="24"/>
              </w:rPr>
              <w:t>CLI</w:t>
            </w:r>
            <w:r>
              <w:rPr>
                <w:rFonts w:hint="eastAsia" w:ascii="宋体" w:hAnsi="宋体" w:cs="宋体"/>
                <w:color w:val="auto"/>
                <w:kern w:val="0"/>
                <w:sz w:val="24"/>
                <w:szCs w:val="24"/>
              </w:rPr>
              <w:t>（命令行）、</w:t>
            </w:r>
            <w:r>
              <w:rPr>
                <w:rFonts w:ascii="宋体" w:hAnsi="宋体" w:cs="宋体"/>
                <w:color w:val="auto"/>
                <w:kern w:val="0"/>
                <w:sz w:val="24"/>
                <w:szCs w:val="24"/>
              </w:rPr>
              <w:t xml:space="preserve">Web </w:t>
            </w:r>
            <w:r>
              <w:rPr>
                <w:rFonts w:hint="eastAsia" w:ascii="宋体" w:hAnsi="宋体" w:cs="宋体"/>
                <w:color w:val="auto"/>
                <w:kern w:val="0"/>
                <w:sz w:val="24"/>
                <w:szCs w:val="24"/>
              </w:rPr>
              <w:t>网管、</w:t>
            </w:r>
            <w:r>
              <w:rPr>
                <w:rFonts w:ascii="宋体" w:hAnsi="宋体" w:cs="宋体"/>
                <w:color w:val="auto"/>
                <w:kern w:val="0"/>
                <w:sz w:val="24"/>
                <w:szCs w:val="24"/>
              </w:rPr>
              <w:t xml:space="preserve">SSHv2.0 </w:t>
            </w:r>
            <w:r>
              <w:rPr>
                <w:rFonts w:hint="eastAsia" w:ascii="宋体" w:hAnsi="宋体" w:cs="宋体"/>
                <w:color w:val="auto"/>
                <w:kern w:val="0"/>
                <w:sz w:val="24"/>
                <w:szCs w:val="24"/>
              </w:rPr>
              <w:t>等多样化的管理和维护方式；</w:t>
            </w:r>
          </w:p>
          <w:p>
            <w:pPr>
              <w:widowControl/>
              <w:numPr>
                <w:ilvl w:val="0"/>
                <w:numId w:val="16"/>
              </w:numPr>
              <w:jc w:val="left"/>
              <w:textAlignment w:val="center"/>
              <w:rPr>
                <w:rFonts w:ascii="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w:t>
            </w:r>
          </w:p>
          <w:p>
            <w:pPr>
              <w:widowControl/>
              <w:numPr>
                <w:ilvl w:val="0"/>
                <w:numId w:val="16"/>
              </w:numPr>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IPv4 FIB</w:t>
            </w:r>
            <w:r>
              <w:rPr>
                <w:rFonts w:hint="eastAsia" w:ascii="宋体" w:hAnsi="宋体" w:cs="宋体"/>
                <w:color w:val="auto"/>
                <w:kern w:val="0"/>
                <w:sz w:val="24"/>
                <w:szCs w:val="24"/>
              </w:rPr>
              <w:t>表项≥</w:t>
            </w:r>
            <w:r>
              <w:rPr>
                <w:rFonts w:ascii="宋体" w:hAnsi="宋体" w:cs="宋体"/>
                <w:color w:val="auto"/>
                <w:kern w:val="0"/>
                <w:sz w:val="24"/>
                <w:szCs w:val="24"/>
              </w:rPr>
              <w:t>4K</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ascii="宋体" w:hAnsi="宋体" w:cs="宋体"/>
                <w:color w:val="auto"/>
                <w:kern w:val="0"/>
                <w:sz w:val="24"/>
                <w:szCs w:val="24"/>
              </w:rPr>
              <w:t>16</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rFonts w:ascii="宋体"/>
                <w:color w:val="auto"/>
              </w:rPr>
            </w:pPr>
            <w:r>
              <w:rPr>
                <w:rFonts w:ascii="宋体" w:hAnsi="宋体" w:cs="宋体"/>
                <w:color w:val="auto"/>
                <w:sz w:val="24"/>
                <w:szCs w:val="24"/>
              </w:rPr>
              <w:t>39</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rPr>
            </w:pPr>
            <w:r>
              <w:rPr>
                <w:rFonts w:hint="eastAsia" w:ascii="宋体" w:hAnsi="宋体" w:cs="宋体"/>
                <w:color w:val="auto"/>
                <w:kern w:val="0"/>
                <w:sz w:val="24"/>
                <w:szCs w:val="24"/>
              </w:rPr>
              <w:t>老院机房整改</w:t>
            </w:r>
          </w:p>
        </w:tc>
        <w:tc>
          <w:tcPr>
            <w:tcW w:w="73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机房综合布线整改，网络安全环境建设整改，线路整理、网络规划、调整、网络系统调试及优化</w:t>
            </w:r>
            <w:r>
              <w:rPr>
                <w:rFonts w:ascii="宋体" w:cs="宋体"/>
                <w:color w:val="auto"/>
                <w:kern w:val="0"/>
                <w:sz w:val="24"/>
                <w:szCs w:val="24"/>
              </w:rPr>
              <w:t>,</w:t>
            </w:r>
            <w:r>
              <w:rPr>
                <w:rFonts w:hint="eastAsia" w:ascii="宋体" w:hAnsi="宋体" w:cs="宋体"/>
                <w:color w:val="auto"/>
                <w:kern w:val="0"/>
                <w:sz w:val="24"/>
                <w:szCs w:val="24"/>
              </w:rPr>
              <w:t>机房物理环境建设整改，业务系统数据迁移，达到三级等保测评的硬件建设要求</w:t>
            </w:r>
          </w:p>
        </w:tc>
        <w:tc>
          <w:tcPr>
            <w:tcW w:w="6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rPr>
            </w:pPr>
            <w:r>
              <w:rPr>
                <w:rFonts w:ascii="宋体" w:hAnsi="宋体" w:cs="宋体"/>
                <w:color w:val="auto"/>
                <w:kern w:val="0"/>
                <w:sz w:val="24"/>
                <w:szCs w:val="24"/>
              </w:rPr>
              <w:t>1</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kern w:val="0"/>
              </w:rPr>
            </w:pPr>
            <w:r>
              <w:rPr>
                <w:rFonts w:hint="eastAsia" w:ascii="宋体" w:hAnsi="宋体" w:cs="宋体"/>
                <w:color w:val="auto"/>
                <w:kern w:val="0"/>
                <w:sz w:val="24"/>
                <w:szCs w:val="24"/>
              </w:rPr>
              <w:t>次</w:t>
            </w:r>
          </w:p>
        </w:tc>
      </w:tr>
    </w:tbl>
    <w:p>
      <w:pPr>
        <w:pStyle w:val="9"/>
        <w:rPr>
          <w:rFonts w:cs="Times New Roman"/>
          <w:color w:val="auto"/>
        </w:rPr>
      </w:pPr>
    </w:p>
    <w:p>
      <w:pPr>
        <w:keepNext/>
        <w:keepLines/>
        <w:numPr>
          <w:ilvl w:val="1"/>
          <w:numId w:val="17"/>
        </w:numPr>
        <w:spacing w:before="156" w:after="156" w:line="400" w:lineRule="exact"/>
        <w:ind w:left="1060"/>
        <w:outlineLvl w:val="1"/>
        <w:rPr>
          <w:rFonts w:ascii="宋体"/>
          <w:b/>
          <w:bCs/>
          <w:color w:val="auto"/>
          <w:sz w:val="24"/>
          <w:szCs w:val="24"/>
        </w:rPr>
      </w:pPr>
      <w:bookmarkStart w:id="885" w:name="_Toc82882789"/>
      <w:bookmarkStart w:id="886" w:name="_Toc24395"/>
      <w:bookmarkStart w:id="887" w:name="_Toc24429"/>
      <w:r>
        <w:rPr>
          <w:rFonts w:hint="eastAsia" w:ascii="宋体" w:hAnsi="宋体" w:cs="宋体"/>
          <w:b/>
          <w:bCs/>
          <w:color w:val="auto"/>
          <w:sz w:val="24"/>
          <w:szCs w:val="24"/>
        </w:rPr>
        <w:t>中心机房建设</w:t>
      </w:r>
      <w:bookmarkEnd w:id="885"/>
      <w:bookmarkEnd w:id="886"/>
      <w:bookmarkEnd w:id="887"/>
    </w:p>
    <w:p>
      <w:pPr>
        <w:keepNext/>
        <w:keepLines/>
        <w:spacing w:before="156" w:after="156" w:line="400" w:lineRule="exact"/>
        <w:outlineLvl w:val="2"/>
        <w:rPr>
          <w:rFonts w:ascii="宋体"/>
          <w:b/>
          <w:bCs/>
          <w:color w:val="auto"/>
          <w:sz w:val="24"/>
          <w:szCs w:val="24"/>
        </w:rPr>
      </w:pPr>
      <w:bookmarkStart w:id="888" w:name="_Toc82882790"/>
      <w:r>
        <w:rPr>
          <w:rFonts w:ascii="宋体" w:hAnsi="宋体" w:cs="宋体"/>
          <w:b/>
          <w:bCs/>
          <w:color w:val="auto"/>
          <w:sz w:val="24"/>
          <w:szCs w:val="24"/>
        </w:rPr>
        <w:t>4.2.1</w:t>
      </w:r>
      <w:r>
        <w:rPr>
          <w:rFonts w:hint="eastAsia" w:ascii="宋体" w:hAnsi="宋体" w:cs="宋体"/>
          <w:b/>
          <w:bCs/>
          <w:color w:val="auto"/>
          <w:sz w:val="24"/>
          <w:szCs w:val="24"/>
        </w:rPr>
        <w:t>、机房装修及消防接地</w:t>
      </w:r>
      <w:bookmarkEnd w:id="888"/>
    </w:p>
    <w:tbl>
      <w:tblPr>
        <w:tblStyle w:val="21"/>
        <w:tblW w:w="10320" w:type="dxa"/>
        <w:tblInd w:w="-913" w:type="dxa"/>
        <w:tblLayout w:type="autofit"/>
        <w:tblCellMar>
          <w:top w:w="0" w:type="dxa"/>
          <w:left w:w="10" w:type="dxa"/>
          <w:bottom w:w="0" w:type="dxa"/>
          <w:right w:w="10" w:type="dxa"/>
        </w:tblCellMar>
      </w:tblPr>
      <w:tblGrid>
        <w:gridCol w:w="753"/>
        <w:gridCol w:w="1975"/>
        <w:gridCol w:w="5989"/>
        <w:gridCol w:w="840"/>
        <w:gridCol w:w="763"/>
      </w:tblGrid>
      <w:tr>
        <w:tblPrEx>
          <w:tblCellMar>
            <w:top w:w="0" w:type="dxa"/>
            <w:left w:w="10" w:type="dxa"/>
            <w:bottom w:w="0" w:type="dxa"/>
            <w:right w:w="10" w:type="dxa"/>
          </w:tblCellMar>
        </w:tblPrEx>
        <w:trPr>
          <w:trHeight w:val="618"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color w:val="auto"/>
                <w:sz w:val="24"/>
                <w:szCs w:val="24"/>
              </w:rPr>
            </w:pPr>
            <w:r>
              <w:rPr>
                <w:rFonts w:hint="eastAsia" w:hAnsi="宋体" w:cs="宋体"/>
                <w:b/>
                <w:bCs/>
                <w:color w:val="auto"/>
                <w:sz w:val="24"/>
                <w:szCs w:val="24"/>
              </w:rPr>
              <w:t>序号</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color w:val="auto"/>
                <w:sz w:val="24"/>
                <w:szCs w:val="24"/>
              </w:rPr>
            </w:pPr>
            <w:r>
              <w:rPr>
                <w:rFonts w:hint="eastAsia" w:hAnsi="宋体" w:cs="宋体"/>
                <w:b/>
                <w:bCs/>
                <w:color w:val="auto"/>
                <w:sz w:val="24"/>
                <w:szCs w:val="24"/>
              </w:rPr>
              <w:t>设备名称</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color w:val="auto"/>
                <w:sz w:val="24"/>
                <w:szCs w:val="24"/>
              </w:rPr>
            </w:pPr>
            <w:r>
              <w:rPr>
                <w:rFonts w:hint="eastAsia" w:hAnsi="宋体" w:cs="宋体"/>
                <w:b/>
                <w:bCs/>
                <w:color w:val="auto"/>
                <w:sz w:val="24"/>
                <w:szCs w:val="24"/>
              </w:rPr>
              <w:t>规格配置要求</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color w:val="auto"/>
                <w:sz w:val="24"/>
                <w:szCs w:val="24"/>
              </w:rPr>
            </w:pPr>
            <w:r>
              <w:rPr>
                <w:rFonts w:hint="eastAsia" w:hAnsi="宋体" w:cs="宋体"/>
                <w:b/>
                <w:bCs/>
                <w:color w:val="auto"/>
                <w:sz w:val="24"/>
                <w:szCs w:val="24"/>
              </w:rPr>
              <w:t>数量</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color w:val="auto"/>
                <w:sz w:val="24"/>
                <w:szCs w:val="24"/>
              </w:rPr>
            </w:pPr>
            <w:r>
              <w:rPr>
                <w:rFonts w:hint="eastAsia" w:hAnsi="宋体" w:cs="宋体"/>
                <w:b/>
                <w:bCs/>
                <w:color w:val="auto"/>
                <w:sz w:val="24"/>
                <w:szCs w:val="24"/>
              </w:rPr>
              <w:t>单位</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铜排</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铜排</w:t>
            </w:r>
            <w:r>
              <w:rPr>
                <w:color w:val="auto"/>
                <w:kern w:val="0"/>
                <w:sz w:val="24"/>
                <w:szCs w:val="24"/>
              </w:rPr>
              <w:t xml:space="preserve"> 25 </w:t>
            </w:r>
            <w:r>
              <w:rPr>
                <w:rFonts w:hint="eastAsia" w:hAnsi="宋体" w:cs="宋体"/>
                <w:color w:val="auto"/>
                <w:kern w:val="0"/>
                <w:sz w:val="24"/>
                <w:szCs w:val="24"/>
              </w:rPr>
              <w:t>㎜</w:t>
            </w:r>
            <w:r>
              <w:rPr>
                <w:color w:val="auto"/>
                <w:kern w:val="0"/>
                <w:sz w:val="24"/>
                <w:szCs w:val="24"/>
              </w:rPr>
              <w:t xml:space="preserve">*3m </w:t>
            </w:r>
            <w:r>
              <w:rPr>
                <w:rFonts w:hint="eastAsia" w:hAnsi="宋体" w:cs="宋体"/>
                <w:color w:val="auto"/>
                <w:kern w:val="0"/>
                <w:sz w:val="24"/>
                <w:szCs w:val="24"/>
              </w:rPr>
              <w:t>汇流排</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60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平米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接地引线</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color w:val="auto"/>
                <w:kern w:val="0"/>
                <w:sz w:val="24"/>
                <w:szCs w:val="24"/>
              </w:rPr>
              <w:t xml:space="preserve">135 </w:t>
            </w:r>
            <w:r>
              <w:rPr>
                <w:rFonts w:hint="eastAsia" w:hAnsi="宋体" w:cs="宋体"/>
                <w:color w:val="auto"/>
                <w:kern w:val="0"/>
                <w:sz w:val="24"/>
                <w:szCs w:val="24"/>
              </w:rPr>
              <w:t>平方铜</w:t>
            </w:r>
            <w:r>
              <w:rPr>
                <w:color w:val="auto"/>
                <w:kern w:val="0"/>
                <w:sz w:val="24"/>
                <w:szCs w:val="24"/>
              </w:rPr>
              <w:t xml:space="preserve"> BW35 </w:t>
            </w:r>
            <w:r>
              <w:rPr>
                <w:rFonts w:hint="eastAsia" w:hAnsi="宋体" w:cs="宋体"/>
                <w:color w:val="auto"/>
                <w:kern w:val="0"/>
                <w:sz w:val="24"/>
                <w:szCs w:val="24"/>
              </w:rPr>
              <w:t>㎡</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100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3</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等电位处理</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等电位箱，含线缆</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20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点</w:t>
            </w:r>
          </w:p>
        </w:tc>
      </w:tr>
      <w:tr>
        <w:tblPrEx>
          <w:tblCellMar>
            <w:top w:w="0" w:type="dxa"/>
            <w:left w:w="10" w:type="dxa"/>
            <w:bottom w:w="0" w:type="dxa"/>
            <w:right w:w="10" w:type="dxa"/>
          </w:tblCellMar>
        </w:tblPrEx>
        <w:trPr>
          <w:trHeight w:val="1225"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4</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接地汇流排</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室内静电滑露网制作</w:t>
            </w:r>
            <w:r>
              <w:rPr>
                <w:color w:val="auto"/>
                <w:kern w:val="0"/>
                <w:sz w:val="24"/>
                <w:szCs w:val="24"/>
              </w:rPr>
              <w:t xml:space="preserve"> 40m0.1m </w:t>
            </w:r>
            <w:r>
              <w:rPr>
                <w:rFonts w:hint="eastAsia" w:hAnsi="宋体" w:cs="宋体"/>
                <w:color w:val="auto"/>
                <w:kern w:val="0"/>
                <w:sz w:val="24"/>
                <w:szCs w:val="24"/>
              </w:rPr>
              <w:t>铜皮</w:t>
            </w:r>
            <w:r>
              <w:rPr>
                <w:color w:val="auto"/>
                <w:kern w:val="0"/>
                <w:sz w:val="24"/>
                <w:szCs w:val="24"/>
              </w:rPr>
              <w:t xml:space="preserve">400 </w:t>
            </w:r>
            <w:r>
              <w:rPr>
                <w:rFonts w:hint="eastAsia" w:hAnsi="宋体" w:cs="宋体"/>
                <w:color w:val="auto"/>
                <w:kern w:val="0"/>
                <w:sz w:val="24"/>
                <w:szCs w:val="24"/>
              </w:rPr>
              <w:t>㎜</w:t>
            </w:r>
            <w:r>
              <w:rPr>
                <w:color w:val="auto"/>
                <w:kern w:val="0"/>
                <w:sz w:val="24"/>
                <w:szCs w:val="24"/>
              </w:rPr>
              <w:t xml:space="preserve">*500 </w:t>
            </w:r>
            <w:r>
              <w:rPr>
                <w:rFonts w:hint="eastAsia" w:hAnsi="宋体" w:cs="宋体"/>
                <w:color w:val="auto"/>
                <w:kern w:val="0"/>
                <w:sz w:val="24"/>
                <w:szCs w:val="24"/>
              </w:rPr>
              <w:t>㎜</w:t>
            </w:r>
            <w:r>
              <w:rPr>
                <w:color w:val="auto"/>
                <w:kern w:val="0"/>
                <w:sz w:val="24"/>
                <w:szCs w:val="24"/>
              </w:rPr>
              <w:t xml:space="preserve">*80 </w:t>
            </w:r>
            <w:r>
              <w:rPr>
                <w:rFonts w:hint="eastAsia" w:hAnsi="宋体" w:cs="宋体"/>
                <w:color w:val="auto"/>
                <w:kern w:val="0"/>
                <w:sz w:val="24"/>
                <w:szCs w:val="24"/>
              </w:rPr>
              <w:t>㎜接地专用模块：室温下电阻率≦</w:t>
            </w:r>
            <w:r>
              <w:rPr>
                <w:color w:val="auto"/>
                <w:kern w:val="0"/>
                <w:sz w:val="24"/>
                <w:szCs w:val="24"/>
              </w:rPr>
              <w:t>0.5</w:t>
            </w:r>
            <w:r>
              <w:rPr>
                <w:rFonts w:hint="eastAsia" w:hAnsi="宋体" w:cs="宋体"/>
                <w:color w:val="auto"/>
                <w:kern w:val="0"/>
                <w:sz w:val="24"/>
                <w:szCs w:val="24"/>
              </w:rPr>
              <w:t>：功率接地电阻</w:t>
            </w:r>
            <w:r>
              <w:rPr>
                <w:color w:val="auto"/>
                <w:kern w:val="0"/>
                <w:sz w:val="24"/>
                <w:szCs w:val="24"/>
              </w:rPr>
              <w:t xml:space="preserve"> 6</w:t>
            </w:r>
            <w:r>
              <w:rPr>
                <w:rFonts w:hint="eastAsia" w:hAnsi="宋体" w:cs="宋体"/>
                <w:color w:val="auto"/>
                <w:kern w:val="0"/>
                <w:sz w:val="24"/>
                <w:szCs w:val="24"/>
              </w:rPr>
              <w:t>：功率接【块【</w:t>
            </w:r>
            <w:r>
              <w:rPr>
                <w:color w:val="auto"/>
                <w:kern w:val="0"/>
                <w:sz w:val="24"/>
                <w:szCs w:val="24"/>
              </w:rPr>
              <w:t xml:space="preserve">8 </w:t>
            </w:r>
            <w:r>
              <w:rPr>
                <w:rFonts w:hint="eastAsia" w:hAnsi="宋体" w:cs="宋体"/>
                <w:color w:val="auto"/>
                <w:kern w:val="0"/>
                <w:sz w:val="24"/>
                <w:szCs w:val="24"/>
              </w:rPr>
              <w:t>阻等效式</w:t>
            </w:r>
            <w:r>
              <w:rPr>
                <w:color w:val="auto"/>
                <w:kern w:val="0"/>
                <w:sz w:val="24"/>
                <w:szCs w:val="24"/>
              </w:rPr>
              <w:t xml:space="preserve"> Ri0.16P:</w:t>
            </w:r>
            <w:r>
              <w:rPr>
                <w:rFonts w:hint="eastAsia" w:hAnsi="宋体" w:cs="宋体"/>
                <w:color w:val="auto"/>
                <w:kern w:val="0"/>
                <w:sz w:val="24"/>
                <w:szCs w:val="24"/>
              </w:rPr>
              <w:t>质量（</w:t>
            </w:r>
            <w:r>
              <w:rPr>
                <w:color w:val="auto"/>
                <w:kern w:val="0"/>
                <w:sz w:val="24"/>
                <w:szCs w:val="24"/>
              </w:rPr>
              <w:t>KG</w:t>
            </w:r>
            <w:r>
              <w:rPr>
                <w:rFonts w:hint="eastAsia" w:hAnsi="宋体" w:cs="宋体"/>
                <w:color w:val="auto"/>
                <w:kern w:val="0"/>
                <w:sz w:val="24"/>
                <w:szCs w:val="24"/>
              </w:rPr>
              <w:t>）</w:t>
            </w:r>
            <w:r>
              <w:rPr>
                <w:color w:val="auto"/>
                <w:kern w:val="0"/>
                <w:sz w:val="24"/>
                <w:szCs w:val="24"/>
              </w:rPr>
              <w:t>=23</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77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5</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接地模块</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电阻率≦</w:t>
            </w:r>
            <w:r>
              <w:rPr>
                <w:color w:val="auto"/>
                <w:kern w:val="0"/>
                <w:sz w:val="24"/>
                <w:szCs w:val="24"/>
              </w:rPr>
              <w:t>3.09</w:t>
            </w:r>
            <w:r>
              <w:rPr>
                <w:rFonts w:hint="eastAsia" w:hAnsi="宋体" w:cs="宋体"/>
                <w:color w:val="auto"/>
                <w:kern w:val="0"/>
                <w:sz w:val="24"/>
                <w:szCs w:val="24"/>
              </w:rPr>
              <w:t>：酸碱度</w:t>
            </w:r>
            <w:r>
              <w:rPr>
                <w:color w:val="auto"/>
                <w:kern w:val="0"/>
                <w:sz w:val="24"/>
                <w:szCs w:val="24"/>
              </w:rPr>
              <w:t xml:space="preserve"> 7</w:t>
            </w:r>
            <w:r>
              <w:rPr>
                <w:rFonts w:hint="eastAsia" w:hAnsi="宋体" w:cs="宋体"/>
                <w:color w:val="auto"/>
                <w:kern w:val="0"/>
                <w:sz w:val="24"/>
                <w:szCs w:val="24"/>
              </w:rPr>
              <w:t>≦</w:t>
            </w:r>
            <w:r>
              <w:rPr>
                <w:color w:val="auto"/>
                <w:kern w:val="0"/>
                <w:sz w:val="24"/>
                <w:szCs w:val="24"/>
              </w:rPr>
              <w:t>PH</w:t>
            </w:r>
            <w:r>
              <w:rPr>
                <w:rFonts w:hint="eastAsia" w:hAnsi="宋体" w:cs="宋体"/>
                <w:color w:val="auto"/>
                <w:kern w:val="0"/>
                <w:sz w:val="24"/>
                <w:szCs w:val="24"/>
              </w:rPr>
              <w:t>≦</w:t>
            </w:r>
            <w:r>
              <w:rPr>
                <w:color w:val="auto"/>
                <w:kern w:val="0"/>
                <w:sz w:val="24"/>
                <w:szCs w:val="24"/>
              </w:rPr>
              <w:t>12</w:t>
            </w:r>
            <w:r>
              <w:rPr>
                <w:rFonts w:hint="eastAsia" w:hAnsi="宋体" w:cs="宋体"/>
                <w:color w:val="auto"/>
                <w:kern w:val="0"/>
                <w:sz w:val="24"/>
                <w:szCs w:val="24"/>
              </w:rPr>
              <w:t>：降阻剂对钢接地体表面年平均蚀率≦接地模块表面防腐处理</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8</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块</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6</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降阻剂</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国标</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8</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袋</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7</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防腐剂</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国标</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桶</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8</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接地扁铁</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color w:val="auto"/>
                <w:kern w:val="0"/>
                <w:sz w:val="24"/>
                <w:szCs w:val="24"/>
              </w:rPr>
              <w:t xml:space="preserve">40 </w:t>
            </w:r>
            <w:r>
              <w:rPr>
                <w:rFonts w:hint="eastAsia" w:hAnsi="宋体" w:cs="宋体"/>
                <w:color w:val="auto"/>
                <w:kern w:val="0"/>
                <w:sz w:val="24"/>
                <w:szCs w:val="24"/>
              </w:rPr>
              <w:t>㎜高</w:t>
            </w:r>
            <w:r>
              <w:rPr>
                <w:color w:val="auto"/>
                <w:kern w:val="0"/>
                <w:sz w:val="24"/>
                <w:szCs w:val="24"/>
              </w:rPr>
              <w:t xml:space="preserve">*4 </w:t>
            </w:r>
            <w:r>
              <w:rPr>
                <w:rFonts w:hint="eastAsia" w:hAnsi="宋体" w:cs="宋体"/>
                <w:color w:val="auto"/>
                <w:kern w:val="0"/>
                <w:sz w:val="24"/>
                <w:szCs w:val="24"/>
              </w:rPr>
              <w:t>㎜厚热锌扁铁</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50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9</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挖土方</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接地模块坑</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8</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立方</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10</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回填土方</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接地模块坑</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8</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立方</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11</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铝板吊顶</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吊顶防尘微孔铝板吊顶规格</w:t>
            </w:r>
            <w:r>
              <w:rPr>
                <w:color w:val="auto"/>
                <w:kern w:val="0"/>
                <w:sz w:val="24"/>
                <w:szCs w:val="24"/>
              </w:rPr>
              <w:t xml:space="preserve"> 600*600 </w:t>
            </w:r>
            <w:r>
              <w:rPr>
                <w:rFonts w:hint="eastAsia" w:hAnsi="宋体" w:cs="宋体"/>
                <w:color w:val="auto"/>
                <w:kern w:val="0"/>
                <w:sz w:val="24"/>
                <w:szCs w:val="24"/>
              </w:rPr>
              <w:t>㎜</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60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平米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12</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防尘漆</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防尘漆、固化剂、稀料</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60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平米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13</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踢脚线</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不锈钢拉线踢脚线</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36</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14</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散力架</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机柜散力架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15</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玻璃隔断</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color w:val="auto"/>
                <w:kern w:val="0"/>
                <w:sz w:val="24"/>
                <w:szCs w:val="24"/>
              </w:rPr>
              <w:t xml:space="preserve">600 </w:t>
            </w:r>
            <w:r>
              <w:rPr>
                <w:rFonts w:hint="eastAsia" w:hAnsi="宋体" w:cs="宋体"/>
                <w:color w:val="auto"/>
                <w:kern w:val="0"/>
                <w:sz w:val="24"/>
                <w:szCs w:val="24"/>
              </w:rPr>
              <w:t>㎝</w:t>
            </w:r>
            <w:r>
              <w:rPr>
                <w:color w:val="auto"/>
                <w:kern w:val="0"/>
                <w:sz w:val="24"/>
                <w:szCs w:val="24"/>
              </w:rPr>
              <w:t xml:space="preserve">*350 </w:t>
            </w:r>
            <w:r>
              <w:rPr>
                <w:rFonts w:hint="eastAsia" w:hAnsi="宋体" w:cs="宋体"/>
                <w:color w:val="auto"/>
                <w:kern w:val="0"/>
                <w:sz w:val="24"/>
                <w:szCs w:val="24"/>
              </w:rPr>
              <w:t>㎝</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12</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平米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16</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窗户封堵</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rPr>
            </w:pPr>
            <w:r>
              <w:rPr>
                <w:rFonts w:hint="eastAsia" w:cs="宋体"/>
                <w:color w:val="auto"/>
              </w:rPr>
              <w:t>石膏板封堵</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3</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17</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金属装饰板</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机房专用金属装饰板</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84</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平米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18</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方钢支架</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彩钢板底层</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84</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平米</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19</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 xml:space="preserve">LED </w:t>
            </w:r>
            <w:r>
              <w:rPr>
                <w:rFonts w:hint="eastAsia" w:hAnsi="宋体" w:cs="宋体"/>
                <w:color w:val="auto"/>
                <w:kern w:val="0"/>
                <w:sz w:val="24"/>
                <w:szCs w:val="24"/>
              </w:rPr>
              <w:t>灯</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格栅灯</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6</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支</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20</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指示灯</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疏散指示灯</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21</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应急灯</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应急灯</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4</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22</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电源线</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color w:val="auto"/>
                <w:kern w:val="0"/>
                <w:sz w:val="24"/>
                <w:szCs w:val="24"/>
              </w:rPr>
              <w:t>BVV2.5</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3</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卷</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23</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探测器</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感烟探测器</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4</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24</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探测器</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感温探测器</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4</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25</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指示灯</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气体释放灯</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台</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26</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按钮</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紧急启停按钮</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27</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报警器</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声光报器</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28</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控制器</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气体灭火控制器</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台</w:t>
            </w:r>
          </w:p>
        </w:tc>
      </w:tr>
      <w:tr>
        <w:tblPrEx>
          <w:tblCellMar>
            <w:top w:w="0" w:type="dxa"/>
            <w:left w:w="10" w:type="dxa"/>
            <w:bottom w:w="0" w:type="dxa"/>
            <w:right w:w="10" w:type="dxa"/>
          </w:tblCellMar>
        </w:tblPrEx>
        <w:trPr>
          <w:trHeight w:val="37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29</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消防电源线</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消防专用电源线</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2</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批</w:t>
            </w:r>
          </w:p>
        </w:tc>
      </w:tr>
      <w:tr>
        <w:tblPrEx>
          <w:tblCellMar>
            <w:top w:w="0" w:type="dxa"/>
            <w:left w:w="10" w:type="dxa"/>
            <w:bottom w:w="0" w:type="dxa"/>
            <w:right w:w="10" w:type="dxa"/>
          </w:tblCellMar>
        </w:tblPrEx>
        <w:trPr>
          <w:trHeight w:val="617"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30</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 xml:space="preserve">UPS </w:t>
            </w:r>
            <w:r>
              <w:rPr>
                <w:rFonts w:hint="eastAsia" w:hAnsi="宋体" w:cs="宋体"/>
                <w:color w:val="auto"/>
                <w:kern w:val="0"/>
                <w:sz w:val="24"/>
                <w:szCs w:val="24"/>
              </w:rPr>
              <w:t>供电线缆</w:t>
            </w:r>
            <w:r>
              <w:rPr>
                <w:color w:val="auto"/>
                <w:kern w:val="0"/>
                <w:sz w:val="24"/>
                <w:szCs w:val="24"/>
              </w:rPr>
              <w:t xml:space="preserve"> BV6 </w:t>
            </w:r>
            <w:r>
              <w:rPr>
                <w:rFonts w:hint="eastAsia" w:hAnsi="宋体" w:cs="宋体"/>
                <w:color w:val="auto"/>
                <w:kern w:val="0"/>
                <w:sz w:val="24"/>
                <w:szCs w:val="24"/>
              </w:rPr>
              <w:t>平方</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rFonts w:hint="eastAsia" w:hAnsi="宋体" w:cs="宋体"/>
                <w:color w:val="auto"/>
                <w:kern w:val="0"/>
                <w:sz w:val="24"/>
                <w:szCs w:val="24"/>
              </w:rPr>
              <w:t>国标</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60</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米</w:t>
            </w:r>
          </w:p>
        </w:tc>
      </w:tr>
      <w:tr>
        <w:tblPrEx>
          <w:tblCellMar>
            <w:top w:w="0" w:type="dxa"/>
            <w:left w:w="10" w:type="dxa"/>
            <w:bottom w:w="0" w:type="dxa"/>
            <w:right w:w="10" w:type="dxa"/>
          </w:tblCellMar>
        </w:tblPrEx>
        <w:trPr>
          <w:trHeight w:val="386"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center"/>
              <w:rPr>
                <w:color w:val="auto"/>
                <w:sz w:val="24"/>
                <w:szCs w:val="24"/>
              </w:rPr>
            </w:pPr>
            <w:r>
              <w:rPr>
                <w:color w:val="auto"/>
                <w:sz w:val="24"/>
                <w:szCs w:val="24"/>
              </w:rPr>
              <w:t>31</w:t>
            </w:r>
          </w:p>
        </w:tc>
        <w:tc>
          <w:tcPr>
            <w:tcW w:w="1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金属线管</w:t>
            </w:r>
          </w:p>
        </w:tc>
        <w:tc>
          <w:tcPr>
            <w:tcW w:w="59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sz w:val="24"/>
                <w:szCs w:val="24"/>
              </w:rPr>
            </w:pPr>
            <w:r>
              <w:rPr>
                <w:color w:val="auto"/>
                <w:kern w:val="0"/>
                <w:sz w:val="24"/>
                <w:szCs w:val="24"/>
              </w:rPr>
              <w:t xml:space="preserve">KBG25 </w:t>
            </w:r>
            <w:r>
              <w:rPr>
                <w:rFonts w:hint="eastAsia" w:hAnsi="宋体" w:cs="宋体"/>
                <w:color w:val="auto"/>
                <w:kern w:val="0"/>
                <w:sz w:val="24"/>
                <w:szCs w:val="24"/>
              </w:rPr>
              <w:t>管材</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color w:val="auto"/>
                <w:kern w:val="0"/>
                <w:sz w:val="24"/>
                <w:szCs w:val="24"/>
              </w:rPr>
              <w:t>15</w:t>
            </w:r>
          </w:p>
        </w:tc>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color w:val="auto"/>
                <w:sz w:val="24"/>
                <w:szCs w:val="24"/>
              </w:rPr>
            </w:pPr>
            <w:r>
              <w:rPr>
                <w:rFonts w:hint="eastAsia" w:hAnsi="宋体" w:cs="宋体"/>
                <w:color w:val="auto"/>
                <w:kern w:val="0"/>
                <w:sz w:val="24"/>
                <w:szCs w:val="24"/>
              </w:rPr>
              <w:t>根</w:t>
            </w:r>
          </w:p>
        </w:tc>
      </w:tr>
    </w:tbl>
    <w:p>
      <w:pPr>
        <w:keepNext/>
        <w:keepLines/>
        <w:spacing w:before="156" w:after="156" w:line="400" w:lineRule="exact"/>
        <w:outlineLvl w:val="2"/>
        <w:rPr>
          <w:b/>
          <w:bCs/>
          <w:color w:val="auto"/>
          <w:sz w:val="24"/>
          <w:szCs w:val="24"/>
        </w:rPr>
      </w:pPr>
      <w:bookmarkStart w:id="889" w:name="_Toc82882791"/>
      <w:r>
        <w:rPr>
          <w:b/>
          <w:bCs/>
          <w:color w:val="auto"/>
          <w:sz w:val="24"/>
          <w:szCs w:val="24"/>
        </w:rPr>
        <w:t>4.2.2</w:t>
      </w:r>
      <w:r>
        <w:rPr>
          <w:rFonts w:hint="eastAsia" w:hAnsi="宋体" w:cs="宋体"/>
          <w:b/>
          <w:bCs/>
          <w:color w:val="auto"/>
          <w:sz w:val="24"/>
          <w:szCs w:val="24"/>
        </w:rPr>
        <w:t>、模块化机房</w:t>
      </w:r>
      <w:bookmarkEnd w:id="889"/>
    </w:p>
    <w:tbl>
      <w:tblPr>
        <w:tblStyle w:val="21"/>
        <w:tblW w:w="10331" w:type="dxa"/>
        <w:tblInd w:w="-913" w:type="dxa"/>
        <w:tblLayout w:type="autofit"/>
        <w:tblCellMar>
          <w:top w:w="0" w:type="dxa"/>
          <w:left w:w="10" w:type="dxa"/>
          <w:bottom w:w="0" w:type="dxa"/>
          <w:right w:w="10" w:type="dxa"/>
        </w:tblCellMar>
      </w:tblPr>
      <w:tblGrid>
        <w:gridCol w:w="731"/>
        <w:gridCol w:w="1168"/>
        <w:gridCol w:w="7003"/>
        <w:gridCol w:w="655"/>
        <w:gridCol w:w="774"/>
      </w:tblGrid>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400" w:lineRule="exact"/>
              <w:jc w:val="center"/>
              <w:rPr>
                <w:color w:val="auto"/>
              </w:rPr>
            </w:pPr>
            <w:r>
              <w:rPr>
                <w:rFonts w:hint="eastAsia" w:hAnsi="宋体" w:cs="宋体"/>
                <w:b/>
                <w:bCs/>
                <w:color w:val="auto"/>
              </w:rPr>
              <w:t>序号</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line="400" w:lineRule="exact"/>
              <w:jc w:val="center"/>
              <w:rPr>
                <w:b/>
                <w:bCs/>
                <w:color w:val="auto"/>
              </w:rPr>
            </w:pPr>
            <w:r>
              <w:rPr>
                <w:rFonts w:hint="eastAsia" w:hAnsi="宋体" w:cs="宋体"/>
                <w:b/>
                <w:bCs/>
                <w:color w:val="auto"/>
              </w:rPr>
              <w:t>设备</w:t>
            </w:r>
            <w:r>
              <w:rPr>
                <w:b/>
                <w:bCs/>
                <w:color w:val="auto"/>
              </w:rPr>
              <w:t xml:space="preserve">  </w:t>
            </w:r>
          </w:p>
          <w:p>
            <w:pPr>
              <w:spacing w:line="400" w:lineRule="exact"/>
              <w:jc w:val="center"/>
              <w:rPr>
                <w:color w:val="auto"/>
              </w:rPr>
            </w:pPr>
            <w:r>
              <w:rPr>
                <w:rFonts w:hint="eastAsia" w:hAnsi="宋体" w:cs="宋体"/>
                <w:b/>
                <w:bCs/>
                <w:color w:val="auto"/>
              </w:rPr>
              <w:t>名称</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line="400" w:lineRule="exact"/>
              <w:jc w:val="center"/>
              <w:rPr>
                <w:color w:val="auto"/>
              </w:rPr>
            </w:pPr>
            <w:r>
              <w:rPr>
                <w:rFonts w:hint="eastAsia" w:hAnsi="宋体" w:cs="宋体"/>
                <w:b/>
                <w:bCs/>
                <w:color w:val="auto"/>
              </w:rPr>
              <w:t>规格配置要求</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line="400" w:lineRule="exact"/>
              <w:jc w:val="center"/>
              <w:rPr>
                <w:color w:val="auto"/>
              </w:rPr>
            </w:pPr>
            <w:r>
              <w:rPr>
                <w:rFonts w:hint="eastAsia" w:hAnsi="宋体" w:cs="宋体"/>
                <w:b/>
                <w:bCs/>
                <w:color w:val="auto"/>
              </w:rPr>
              <w:t>数量</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line="400" w:lineRule="exact"/>
              <w:jc w:val="center"/>
              <w:rPr>
                <w:color w:val="auto"/>
              </w:rPr>
            </w:pPr>
            <w:r>
              <w:rPr>
                <w:rFonts w:hint="eastAsia" w:hAnsi="宋体" w:cs="宋体"/>
                <w:b/>
                <w:bCs/>
                <w:color w:val="auto"/>
              </w:rPr>
              <w:t>单位</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1</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基础柜</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numPr>
                <w:ilvl w:val="0"/>
                <w:numId w:val="18"/>
              </w:numPr>
              <w:jc w:val="left"/>
              <w:textAlignment w:val="top"/>
              <w:rPr>
                <w:color w:val="auto"/>
                <w:kern w:val="0"/>
                <w:sz w:val="24"/>
                <w:szCs w:val="24"/>
              </w:rPr>
            </w:pPr>
            <w:r>
              <w:rPr>
                <w:rFonts w:hint="eastAsia" w:hAnsi="宋体" w:cs="宋体"/>
                <w:color w:val="auto"/>
                <w:kern w:val="0"/>
                <w:sz w:val="24"/>
                <w:szCs w:val="24"/>
              </w:rPr>
              <w:t>防雷等级：</w:t>
            </w:r>
            <w:r>
              <w:rPr>
                <w:color w:val="auto"/>
                <w:kern w:val="0"/>
                <w:sz w:val="24"/>
                <w:szCs w:val="24"/>
              </w:rPr>
              <w:t>CLASSII/C</w:t>
            </w:r>
            <w:r>
              <w:rPr>
                <w:rFonts w:hint="eastAsia" w:hAnsi="宋体" w:cs="宋体"/>
                <w:color w:val="auto"/>
                <w:kern w:val="0"/>
                <w:sz w:val="24"/>
                <w:szCs w:val="24"/>
              </w:rPr>
              <w:t>级，</w:t>
            </w:r>
            <w:r>
              <w:rPr>
                <w:color w:val="auto"/>
                <w:kern w:val="0"/>
                <w:sz w:val="24"/>
                <w:szCs w:val="24"/>
              </w:rPr>
              <w:t>In 20kA</w:t>
            </w:r>
            <w:r>
              <w:rPr>
                <w:rFonts w:hint="eastAsia" w:hAnsi="宋体" w:cs="宋体"/>
                <w:color w:val="auto"/>
                <w:kern w:val="0"/>
                <w:sz w:val="24"/>
                <w:szCs w:val="24"/>
              </w:rPr>
              <w:t>；防水</w:t>
            </w:r>
            <w:r>
              <w:rPr>
                <w:color w:val="auto"/>
                <w:kern w:val="0"/>
                <w:sz w:val="24"/>
                <w:szCs w:val="24"/>
              </w:rPr>
              <w:t>/</w:t>
            </w:r>
            <w:r>
              <w:rPr>
                <w:rFonts w:hint="eastAsia" w:hAnsi="宋体" w:cs="宋体"/>
                <w:color w:val="auto"/>
                <w:kern w:val="0"/>
                <w:sz w:val="24"/>
                <w:szCs w:val="24"/>
              </w:rPr>
              <w:t>防尘等级：</w:t>
            </w:r>
            <w:r>
              <w:rPr>
                <w:color w:val="auto"/>
                <w:kern w:val="0"/>
                <w:sz w:val="24"/>
                <w:szCs w:val="24"/>
              </w:rPr>
              <w:t>IP20</w:t>
            </w:r>
            <w:r>
              <w:rPr>
                <w:rFonts w:hint="eastAsia" w:hAnsi="宋体" w:cs="宋体"/>
                <w:color w:val="auto"/>
                <w:kern w:val="0"/>
                <w:sz w:val="24"/>
                <w:szCs w:val="24"/>
              </w:rPr>
              <w:t>；</w:t>
            </w:r>
          </w:p>
          <w:p>
            <w:pPr>
              <w:widowControl/>
              <w:numPr>
                <w:ilvl w:val="0"/>
                <w:numId w:val="18"/>
              </w:numPr>
              <w:jc w:val="left"/>
              <w:textAlignment w:val="top"/>
              <w:rPr>
                <w:color w:val="auto"/>
                <w:kern w:val="0"/>
                <w:sz w:val="24"/>
                <w:szCs w:val="24"/>
              </w:rPr>
            </w:pPr>
            <w:r>
              <w:rPr>
                <w:color w:val="auto"/>
                <w:kern w:val="0"/>
                <w:sz w:val="24"/>
                <w:szCs w:val="24"/>
              </w:rPr>
              <w:t>2</w:t>
            </w:r>
            <w:r>
              <w:rPr>
                <w:rFonts w:hint="eastAsia" w:hAnsi="宋体" w:cs="宋体"/>
                <w:color w:val="auto"/>
                <w:kern w:val="0"/>
                <w:sz w:val="24"/>
                <w:szCs w:val="24"/>
              </w:rPr>
              <w:t>、冷热通道全密闭，深度不大于</w:t>
            </w:r>
            <w:r>
              <w:rPr>
                <w:color w:val="auto"/>
                <w:kern w:val="0"/>
                <w:sz w:val="24"/>
                <w:szCs w:val="24"/>
              </w:rPr>
              <w:t>250mm</w:t>
            </w:r>
            <w:r>
              <w:rPr>
                <w:rFonts w:hint="eastAsia" w:hAnsi="宋体" w:cs="宋体"/>
                <w:color w:val="auto"/>
                <w:kern w:val="0"/>
                <w:sz w:val="24"/>
                <w:szCs w:val="24"/>
              </w:rPr>
              <w:t>，机架式变频空调，满足易维护少占地，高集成高能效要求，支持市电总输入的电压、频率、电流、功率以及</w:t>
            </w:r>
            <w:r>
              <w:rPr>
                <w:color w:val="auto"/>
                <w:kern w:val="0"/>
                <w:sz w:val="24"/>
                <w:szCs w:val="24"/>
              </w:rPr>
              <w:t>UPS</w:t>
            </w:r>
            <w:r>
              <w:rPr>
                <w:rFonts w:hint="eastAsia" w:hAnsi="宋体" w:cs="宋体"/>
                <w:color w:val="auto"/>
                <w:kern w:val="0"/>
                <w:sz w:val="24"/>
                <w:szCs w:val="24"/>
              </w:rPr>
              <w:t>的输入电压、频率、电流、开关温度等检测；</w:t>
            </w:r>
          </w:p>
          <w:p>
            <w:pPr>
              <w:widowControl/>
              <w:numPr>
                <w:ilvl w:val="0"/>
                <w:numId w:val="18"/>
              </w:numPr>
              <w:jc w:val="left"/>
              <w:textAlignment w:val="top"/>
              <w:rPr>
                <w:color w:val="auto"/>
                <w:kern w:val="0"/>
                <w:sz w:val="24"/>
                <w:szCs w:val="24"/>
              </w:rPr>
            </w:pPr>
            <w:r>
              <w:rPr>
                <w:color w:val="auto"/>
                <w:kern w:val="0"/>
                <w:sz w:val="24"/>
                <w:szCs w:val="24"/>
              </w:rPr>
              <w:t>3</w:t>
            </w:r>
            <w:r>
              <w:rPr>
                <w:rFonts w:hint="eastAsia" w:hAnsi="宋体" w:cs="宋体"/>
                <w:color w:val="auto"/>
                <w:kern w:val="0"/>
                <w:sz w:val="24"/>
                <w:szCs w:val="24"/>
              </w:rPr>
              <w:t>、支持</w:t>
            </w:r>
            <w:r>
              <w:rPr>
                <w:color w:val="auto"/>
                <w:kern w:val="0"/>
                <w:sz w:val="24"/>
                <w:szCs w:val="24"/>
              </w:rPr>
              <w:t>IT</w:t>
            </w:r>
            <w:r>
              <w:rPr>
                <w:rFonts w:hint="eastAsia" w:hAnsi="宋体" w:cs="宋体"/>
                <w:color w:val="auto"/>
                <w:kern w:val="0"/>
                <w:sz w:val="24"/>
                <w:szCs w:val="24"/>
              </w:rPr>
              <w:t>配电支路及智能温控产品配电支路的电流、电能、开关状态的检测和</w:t>
            </w:r>
            <w:r>
              <w:rPr>
                <w:color w:val="auto"/>
                <w:kern w:val="0"/>
                <w:sz w:val="24"/>
                <w:szCs w:val="24"/>
              </w:rPr>
              <w:t>PUE</w:t>
            </w:r>
            <w:r>
              <w:rPr>
                <w:rFonts w:hint="eastAsia" w:hAnsi="宋体" w:cs="宋体"/>
                <w:color w:val="auto"/>
                <w:kern w:val="0"/>
                <w:sz w:val="24"/>
                <w:szCs w:val="24"/>
              </w:rPr>
              <w:t>、负载率计算统计。支持以数据仪表盘的方式显示微模块的</w:t>
            </w:r>
            <w:r>
              <w:rPr>
                <w:color w:val="auto"/>
                <w:kern w:val="0"/>
                <w:sz w:val="24"/>
                <w:szCs w:val="24"/>
              </w:rPr>
              <w:t>PUE</w:t>
            </w:r>
            <w:r>
              <w:rPr>
                <w:rFonts w:hint="eastAsia" w:hAnsi="宋体" w:cs="宋体"/>
                <w:color w:val="auto"/>
                <w:kern w:val="0"/>
                <w:sz w:val="24"/>
                <w:szCs w:val="24"/>
              </w:rPr>
              <w:t>值，并可按照日、月、年为单位查看历史</w:t>
            </w:r>
            <w:r>
              <w:rPr>
                <w:color w:val="auto"/>
                <w:kern w:val="0"/>
                <w:sz w:val="24"/>
                <w:szCs w:val="24"/>
              </w:rPr>
              <w:t>PUE</w:t>
            </w:r>
            <w:r>
              <w:rPr>
                <w:rFonts w:hint="eastAsia" w:hAnsi="宋体" w:cs="宋体"/>
                <w:color w:val="auto"/>
                <w:kern w:val="0"/>
                <w:sz w:val="24"/>
                <w:szCs w:val="24"/>
              </w:rPr>
              <w:t>曲线；</w:t>
            </w:r>
          </w:p>
          <w:p>
            <w:pPr>
              <w:widowControl/>
              <w:numPr>
                <w:ilvl w:val="0"/>
                <w:numId w:val="18"/>
              </w:numPr>
              <w:jc w:val="left"/>
              <w:textAlignment w:val="top"/>
              <w:rPr>
                <w:color w:val="auto"/>
                <w:kern w:val="0"/>
                <w:sz w:val="24"/>
                <w:szCs w:val="24"/>
              </w:rPr>
            </w:pPr>
            <w:r>
              <w:rPr>
                <w:color w:val="auto"/>
                <w:kern w:val="0"/>
                <w:sz w:val="24"/>
                <w:szCs w:val="24"/>
              </w:rPr>
              <w:t>4</w:t>
            </w:r>
            <w:r>
              <w:rPr>
                <w:rFonts w:hint="eastAsia" w:hAnsi="宋体" w:cs="宋体"/>
                <w:color w:val="auto"/>
                <w:kern w:val="0"/>
                <w:sz w:val="24"/>
                <w:szCs w:val="24"/>
              </w:rPr>
              <w:t>、支持</w:t>
            </w:r>
            <w:r>
              <w:rPr>
                <w:color w:val="auto"/>
                <w:kern w:val="0"/>
                <w:sz w:val="24"/>
                <w:szCs w:val="24"/>
              </w:rPr>
              <w:t>UPS</w:t>
            </w:r>
            <w:r>
              <w:rPr>
                <w:rFonts w:hint="eastAsia" w:hAnsi="宋体" w:cs="宋体"/>
                <w:color w:val="auto"/>
                <w:kern w:val="0"/>
                <w:sz w:val="24"/>
                <w:szCs w:val="24"/>
              </w:rPr>
              <w:t>的输入电压、频率、电流等检测；</w:t>
            </w:r>
          </w:p>
          <w:p>
            <w:pPr>
              <w:widowControl/>
              <w:numPr>
                <w:ilvl w:val="0"/>
                <w:numId w:val="18"/>
              </w:numPr>
              <w:jc w:val="left"/>
              <w:textAlignment w:val="top"/>
              <w:rPr>
                <w:color w:val="auto"/>
                <w:kern w:val="0"/>
                <w:sz w:val="24"/>
                <w:szCs w:val="24"/>
              </w:rPr>
            </w:pPr>
            <w:r>
              <w:rPr>
                <w:color w:val="auto"/>
                <w:kern w:val="0"/>
                <w:sz w:val="24"/>
                <w:szCs w:val="24"/>
              </w:rPr>
              <w:t>5</w:t>
            </w:r>
            <w:r>
              <w:rPr>
                <w:rFonts w:hint="eastAsia" w:hAnsi="宋体" w:cs="宋体"/>
                <w:color w:val="auto"/>
                <w:kern w:val="0"/>
                <w:sz w:val="24"/>
                <w:szCs w:val="24"/>
              </w:rPr>
              <w:t>、</w:t>
            </w:r>
            <w:r>
              <w:rPr>
                <w:color w:val="auto"/>
                <w:kern w:val="0"/>
                <w:sz w:val="24"/>
                <w:szCs w:val="24"/>
              </w:rPr>
              <w:t>UPS</w:t>
            </w:r>
            <w:r>
              <w:rPr>
                <w:rFonts w:hint="eastAsia" w:hAnsi="宋体" w:cs="宋体"/>
                <w:color w:val="auto"/>
                <w:kern w:val="0"/>
                <w:sz w:val="24"/>
                <w:szCs w:val="24"/>
              </w:rPr>
              <w:t>采用机架式</w:t>
            </w:r>
            <w:r>
              <w:rPr>
                <w:color w:val="auto"/>
                <w:kern w:val="0"/>
                <w:sz w:val="24"/>
                <w:szCs w:val="24"/>
              </w:rPr>
              <w:t>UPS</w:t>
            </w:r>
            <w:r>
              <w:rPr>
                <w:rFonts w:hint="eastAsia" w:hAnsi="宋体" w:cs="宋体"/>
                <w:color w:val="auto"/>
                <w:kern w:val="0"/>
                <w:sz w:val="24"/>
                <w:szCs w:val="24"/>
              </w:rPr>
              <w:t>，满足</w:t>
            </w:r>
            <w:r>
              <w:rPr>
                <w:color w:val="auto"/>
                <w:kern w:val="0"/>
                <w:sz w:val="24"/>
                <w:szCs w:val="24"/>
              </w:rPr>
              <w:t>N/N+1</w:t>
            </w:r>
            <w:r>
              <w:rPr>
                <w:rFonts w:hint="eastAsia" w:hAnsi="宋体" w:cs="宋体"/>
                <w:color w:val="auto"/>
                <w:kern w:val="0"/>
                <w:sz w:val="24"/>
                <w:szCs w:val="24"/>
              </w:rPr>
              <w:t>要求；</w:t>
            </w:r>
          </w:p>
          <w:p>
            <w:pPr>
              <w:widowControl/>
              <w:numPr>
                <w:ilvl w:val="0"/>
                <w:numId w:val="18"/>
              </w:numPr>
              <w:jc w:val="left"/>
              <w:textAlignment w:val="top"/>
              <w:rPr>
                <w:color w:val="auto"/>
                <w:kern w:val="0"/>
                <w:sz w:val="24"/>
                <w:szCs w:val="24"/>
              </w:rPr>
            </w:pPr>
            <w:r>
              <w:rPr>
                <w:color w:val="auto"/>
                <w:kern w:val="0"/>
                <w:sz w:val="24"/>
                <w:szCs w:val="24"/>
              </w:rPr>
              <w:t>6</w:t>
            </w:r>
            <w:r>
              <w:rPr>
                <w:rFonts w:hint="eastAsia" w:hAnsi="宋体" w:cs="宋体"/>
                <w:color w:val="auto"/>
                <w:kern w:val="0"/>
                <w:sz w:val="24"/>
                <w:szCs w:val="24"/>
              </w:rPr>
              <w:t>、安装维护要求：可直接于楼宇水泥地面安装（无需架空地板），并支持前后维护；</w:t>
            </w:r>
          </w:p>
          <w:p>
            <w:pPr>
              <w:widowControl/>
              <w:numPr>
                <w:ilvl w:val="0"/>
                <w:numId w:val="18"/>
              </w:numPr>
              <w:jc w:val="left"/>
              <w:textAlignment w:val="top"/>
              <w:rPr>
                <w:color w:val="auto"/>
                <w:kern w:val="0"/>
                <w:sz w:val="24"/>
                <w:szCs w:val="24"/>
              </w:rPr>
            </w:pPr>
            <w:r>
              <w:rPr>
                <w:color w:val="auto"/>
                <w:kern w:val="0"/>
                <w:sz w:val="24"/>
                <w:szCs w:val="24"/>
              </w:rPr>
              <w:t>7</w:t>
            </w:r>
            <w:r>
              <w:rPr>
                <w:rFonts w:hint="eastAsia" w:hAnsi="宋体" w:cs="宋体"/>
                <w:color w:val="auto"/>
                <w:kern w:val="0"/>
                <w:sz w:val="24"/>
                <w:szCs w:val="24"/>
              </w:rPr>
              <w:t>、备电时间要求：满载情况下备电时间单路输入支持</w:t>
            </w:r>
            <w:r>
              <w:rPr>
                <w:color w:val="auto"/>
                <w:kern w:val="0"/>
                <w:sz w:val="24"/>
                <w:szCs w:val="24"/>
              </w:rPr>
              <w:t>2</w:t>
            </w:r>
            <w:r>
              <w:rPr>
                <w:rFonts w:hint="eastAsia" w:hAnsi="宋体" w:cs="宋体"/>
                <w:color w:val="auto"/>
                <w:kern w:val="0"/>
                <w:sz w:val="24"/>
                <w:szCs w:val="24"/>
              </w:rPr>
              <w:t>小时；</w:t>
            </w:r>
          </w:p>
          <w:p>
            <w:pPr>
              <w:widowControl/>
              <w:numPr>
                <w:ilvl w:val="0"/>
                <w:numId w:val="18"/>
              </w:numPr>
              <w:jc w:val="left"/>
              <w:textAlignment w:val="top"/>
              <w:rPr>
                <w:color w:val="auto"/>
                <w:kern w:val="0"/>
                <w:sz w:val="24"/>
                <w:szCs w:val="24"/>
              </w:rPr>
            </w:pPr>
            <w:r>
              <w:rPr>
                <w:color w:val="auto"/>
                <w:kern w:val="0"/>
                <w:sz w:val="24"/>
                <w:szCs w:val="24"/>
              </w:rPr>
              <w:t>8</w:t>
            </w:r>
            <w:r>
              <w:rPr>
                <w:rFonts w:hint="eastAsia" w:hAnsi="宋体" w:cs="宋体"/>
                <w:color w:val="auto"/>
                <w:kern w:val="0"/>
                <w:sz w:val="24"/>
                <w:szCs w:val="24"/>
              </w:rPr>
              <w:t>、电池部署方式要求：支持模块外电池柜及电池架部署；</w:t>
            </w:r>
          </w:p>
          <w:p>
            <w:pPr>
              <w:widowControl/>
              <w:numPr>
                <w:ilvl w:val="0"/>
                <w:numId w:val="18"/>
              </w:numPr>
              <w:jc w:val="left"/>
              <w:textAlignment w:val="top"/>
              <w:rPr>
                <w:color w:val="auto"/>
                <w:kern w:val="0"/>
                <w:sz w:val="24"/>
                <w:szCs w:val="24"/>
              </w:rPr>
            </w:pPr>
            <w:r>
              <w:rPr>
                <w:color w:val="auto"/>
                <w:kern w:val="0"/>
                <w:sz w:val="24"/>
                <w:szCs w:val="24"/>
              </w:rPr>
              <w:t>9</w:t>
            </w:r>
            <w:r>
              <w:rPr>
                <w:rFonts w:hint="eastAsia" w:hAnsi="宋体" w:cs="宋体"/>
                <w:color w:val="auto"/>
                <w:kern w:val="0"/>
                <w:sz w:val="24"/>
                <w:szCs w:val="24"/>
              </w:rPr>
              <w:t>、制冷形式方式：支持采用风冷机架式空调</w:t>
            </w:r>
            <w:r>
              <w:rPr>
                <w:color w:val="auto"/>
                <w:kern w:val="0"/>
                <w:sz w:val="24"/>
                <w:szCs w:val="24"/>
              </w:rPr>
              <w:t>2</w:t>
            </w:r>
            <w:r>
              <w:rPr>
                <w:rFonts w:hint="eastAsia" w:hAnsi="宋体" w:cs="宋体"/>
                <w:color w:val="auto"/>
                <w:kern w:val="0"/>
                <w:sz w:val="24"/>
                <w:szCs w:val="24"/>
              </w:rPr>
              <w:t>台，单台制冷量不小于</w:t>
            </w:r>
            <w:r>
              <w:rPr>
                <w:color w:val="auto"/>
                <w:kern w:val="0"/>
                <w:sz w:val="24"/>
                <w:szCs w:val="24"/>
              </w:rPr>
              <w:t>12.5kw;</w:t>
            </w:r>
            <w:r>
              <w:rPr>
                <w:rFonts w:hint="eastAsia" w:hAnsi="宋体" w:cs="宋体"/>
                <w:color w:val="auto"/>
                <w:kern w:val="0"/>
                <w:sz w:val="24"/>
                <w:szCs w:val="24"/>
              </w:rPr>
              <w:t>内机</w:t>
            </w:r>
            <w:r>
              <w:rPr>
                <w:color w:val="auto"/>
                <w:kern w:val="0"/>
                <w:sz w:val="24"/>
                <w:szCs w:val="24"/>
              </w:rPr>
              <w:t>6</w:t>
            </w:r>
            <w:r>
              <w:rPr>
                <w:rFonts w:hint="eastAsia" w:hAnsi="宋体" w:cs="宋体"/>
                <w:color w:val="auto"/>
                <w:kern w:val="0"/>
                <w:sz w:val="24"/>
                <w:szCs w:val="24"/>
              </w:rPr>
              <w:t>个</w:t>
            </w:r>
            <w:r>
              <w:rPr>
                <w:color w:val="auto"/>
                <w:kern w:val="0"/>
                <w:sz w:val="24"/>
                <w:szCs w:val="24"/>
              </w:rPr>
              <w:t>EC</w:t>
            </w:r>
            <w:r>
              <w:rPr>
                <w:rFonts w:hint="eastAsia" w:hAnsi="宋体" w:cs="宋体"/>
                <w:color w:val="auto"/>
                <w:kern w:val="0"/>
                <w:sz w:val="24"/>
                <w:szCs w:val="24"/>
              </w:rPr>
              <w:t>风机水平送风，风机转速可实现</w:t>
            </w:r>
            <w:r>
              <w:rPr>
                <w:color w:val="auto"/>
                <w:kern w:val="0"/>
                <w:sz w:val="24"/>
                <w:szCs w:val="24"/>
              </w:rPr>
              <w:t>30%</w:t>
            </w:r>
            <w:r>
              <w:rPr>
                <w:rFonts w:hint="eastAsia" w:hAnsi="宋体" w:cs="宋体"/>
                <w:color w:val="auto"/>
                <w:kern w:val="0"/>
                <w:sz w:val="24"/>
                <w:szCs w:val="24"/>
              </w:rPr>
              <w:t>～</w:t>
            </w:r>
            <w:r>
              <w:rPr>
                <w:color w:val="auto"/>
                <w:kern w:val="0"/>
                <w:sz w:val="24"/>
                <w:szCs w:val="24"/>
              </w:rPr>
              <w:t>100%</w:t>
            </w:r>
            <w:r>
              <w:rPr>
                <w:rFonts w:hint="eastAsia" w:hAnsi="宋体" w:cs="宋体"/>
                <w:color w:val="auto"/>
                <w:kern w:val="0"/>
                <w:sz w:val="24"/>
                <w:szCs w:val="24"/>
              </w:rPr>
              <w:t>无级调节；可对送风温度和方向进行精确控制，降低能耗。低载无凝露设计，可以使低负载（最低</w:t>
            </w:r>
            <w:r>
              <w:rPr>
                <w:color w:val="auto"/>
                <w:kern w:val="0"/>
                <w:sz w:val="24"/>
                <w:szCs w:val="24"/>
              </w:rPr>
              <w:t>10%</w:t>
            </w:r>
            <w:r>
              <w:rPr>
                <w:rFonts w:hint="eastAsia" w:hAnsi="宋体" w:cs="宋体"/>
                <w:color w:val="auto"/>
                <w:kern w:val="0"/>
                <w:sz w:val="24"/>
                <w:szCs w:val="24"/>
              </w:rPr>
              <w:t>）、湿度维持在</w:t>
            </w:r>
            <w:r>
              <w:rPr>
                <w:color w:val="auto"/>
                <w:kern w:val="0"/>
                <w:sz w:val="24"/>
                <w:szCs w:val="24"/>
              </w:rPr>
              <w:t>80%</w:t>
            </w:r>
            <w:r>
              <w:rPr>
                <w:rFonts w:hint="eastAsia" w:hAnsi="宋体" w:cs="宋体"/>
                <w:color w:val="auto"/>
                <w:kern w:val="0"/>
                <w:sz w:val="24"/>
                <w:szCs w:val="24"/>
              </w:rPr>
              <w:t>以下。可快速插入机柜，安装便捷。满足机架式安装，大幅降低制冷系统占地面积，占用</w:t>
            </w:r>
            <w:r>
              <w:rPr>
                <w:color w:val="auto"/>
                <w:kern w:val="0"/>
                <w:sz w:val="24"/>
                <w:szCs w:val="24"/>
              </w:rPr>
              <w:t>10U</w:t>
            </w:r>
            <w:r>
              <w:rPr>
                <w:rFonts w:hint="eastAsia" w:hAnsi="宋体" w:cs="宋体"/>
                <w:color w:val="auto"/>
                <w:kern w:val="0"/>
                <w:sz w:val="24"/>
                <w:szCs w:val="24"/>
              </w:rPr>
              <w:t>高空间，具备加热、湿膜加湿功能。出厂自带制冷剂，满足</w:t>
            </w:r>
            <w:r>
              <w:rPr>
                <w:color w:val="auto"/>
                <w:kern w:val="0"/>
                <w:sz w:val="24"/>
                <w:szCs w:val="24"/>
              </w:rPr>
              <w:t>30m</w:t>
            </w:r>
            <w:r>
              <w:rPr>
                <w:rFonts w:hint="eastAsia" w:hAnsi="宋体" w:cs="宋体"/>
                <w:color w:val="auto"/>
                <w:kern w:val="0"/>
                <w:sz w:val="24"/>
                <w:szCs w:val="24"/>
              </w:rPr>
              <w:t>连管使用；预充冷冻油满足</w:t>
            </w:r>
            <w:r>
              <w:rPr>
                <w:color w:val="auto"/>
                <w:kern w:val="0"/>
                <w:sz w:val="24"/>
                <w:szCs w:val="24"/>
              </w:rPr>
              <w:t>80m</w:t>
            </w:r>
            <w:r>
              <w:rPr>
                <w:rFonts w:hint="eastAsia" w:hAnsi="宋体" w:cs="宋体"/>
                <w:color w:val="auto"/>
                <w:kern w:val="0"/>
                <w:sz w:val="24"/>
                <w:szCs w:val="24"/>
              </w:rPr>
              <w:t>连管使用。满足机架式安装，大幅降低制冷系统占地面积，仅占用</w:t>
            </w:r>
            <w:r>
              <w:rPr>
                <w:color w:val="auto"/>
                <w:kern w:val="0"/>
                <w:sz w:val="24"/>
                <w:szCs w:val="24"/>
              </w:rPr>
              <w:t>10U</w:t>
            </w:r>
            <w:r>
              <w:rPr>
                <w:rFonts w:hint="eastAsia" w:hAnsi="宋体" w:cs="宋体"/>
                <w:color w:val="auto"/>
                <w:kern w:val="0"/>
                <w:sz w:val="24"/>
                <w:szCs w:val="24"/>
              </w:rPr>
              <w:t>高空间。</w:t>
            </w:r>
            <w:r>
              <w:rPr>
                <w:color w:val="auto"/>
                <w:kern w:val="0"/>
                <w:sz w:val="24"/>
                <w:szCs w:val="24"/>
              </w:rPr>
              <w:t xml:space="preserve">  </w:t>
            </w:r>
            <w:r>
              <w:rPr>
                <w:rFonts w:hint="eastAsia" w:hAnsi="宋体" w:cs="宋体"/>
                <w:color w:val="auto"/>
                <w:kern w:val="0"/>
                <w:sz w:val="24"/>
                <w:szCs w:val="24"/>
              </w:rPr>
              <w:t>制冷剂管路和水管管路均可实现上、下走管场景；</w:t>
            </w:r>
          </w:p>
          <w:p>
            <w:pPr>
              <w:widowControl/>
              <w:numPr>
                <w:ilvl w:val="0"/>
                <w:numId w:val="18"/>
              </w:numPr>
              <w:jc w:val="left"/>
              <w:textAlignment w:val="top"/>
              <w:rPr>
                <w:color w:val="auto"/>
                <w:kern w:val="0"/>
                <w:sz w:val="24"/>
                <w:szCs w:val="24"/>
              </w:rPr>
            </w:pPr>
            <w:r>
              <w:rPr>
                <w:color w:val="auto"/>
                <w:kern w:val="0"/>
                <w:sz w:val="24"/>
                <w:szCs w:val="24"/>
              </w:rPr>
              <w:t>10</w:t>
            </w:r>
            <w:r>
              <w:rPr>
                <w:rFonts w:hint="eastAsia" w:hAnsi="宋体" w:cs="宋体"/>
                <w:color w:val="auto"/>
                <w:kern w:val="0"/>
                <w:sz w:val="24"/>
                <w:szCs w:val="24"/>
              </w:rPr>
              <w:t>、视频网络功能：单个模块远程</w:t>
            </w:r>
            <w:r>
              <w:rPr>
                <w:color w:val="auto"/>
                <w:kern w:val="0"/>
                <w:sz w:val="24"/>
                <w:szCs w:val="24"/>
              </w:rPr>
              <w:t>WEB</w:t>
            </w:r>
            <w:r>
              <w:rPr>
                <w:rFonts w:hint="eastAsia" w:hAnsi="宋体" w:cs="宋体"/>
                <w:color w:val="auto"/>
                <w:kern w:val="0"/>
                <w:sz w:val="24"/>
                <w:szCs w:val="24"/>
              </w:rPr>
              <w:t>界面视频网络，具备短信告警功能，手机</w:t>
            </w:r>
            <w:r>
              <w:rPr>
                <w:color w:val="auto"/>
                <w:kern w:val="0"/>
                <w:sz w:val="24"/>
                <w:szCs w:val="24"/>
              </w:rPr>
              <w:t>APP</w:t>
            </w:r>
            <w:r>
              <w:rPr>
                <w:rFonts w:hint="eastAsia" w:hAnsi="宋体" w:cs="宋体"/>
                <w:color w:val="auto"/>
                <w:kern w:val="0"/>
                <w:sz w:val="24"/>
                <w:szCs w:val="24"/>
              </w:rPr>
              <w:t>移动运维功能；</w:t>
            </w:r>
          </w:p>
          <w:p>
            <w:pPr>
              <w:widowControl/>
              <w:numPr>
                <w:ilvl w:val="0"/>
                <w:numId w:val="18"/>
              </w:numPr>
              <w:jc w:val="left"/>
              <w:textAlignment w:val="top"/>
              <w:rPr>
                <w:color w:val="auto"/>
                <w:kern w:val="0"/>
                <w:sz w:val="24"/>
                <w:szCs w:val="24"/>
              </w:rPr>
            </w:pPr>
            <w:r>
              <w:rPr>
                <w:color w:val="auto"/>
                <w:kern w:val="0"/>
                <w:sz w:val="24"/>
                <w:szCs w:val="24"/>
              </w:rPr>
              <w:t>11</w:t>
            </w:r>
            <w:r>
              <w:rPr>
                <w:rFonts w:hint="eastAsia" w:hAnsi="宋体" w:cs="宋体"/>
                <w:color w:val="auto"/>
                <w:kern w:val="0"/>
                <w:sz w:val="24"/>
                <w:szCs w:val="24"/>
              </w:rPr>
              <w:t>、出线方式：总输入电源支持上下进线，其他线缆上出线；</w:t>
            </w:r>
          </w:p>
          <w:p>
            <w:pPr>
              <w:widowControl/>
              <w:numPr>
                <w:ilvl w:val="0"/>
                <w:numId w:val="18"/>
              </w:numPr>
              <w:jc w:val="left"/>
              <w:textAlignment w:val="top"/>
              <w:rPr>
                <w:color w:val="auto"/>
                <w:kern w:val="0"/>
                <w:sz w:val="24"/>
                <w:szCs w:val="24"/>
              </w:rPr>
            </w:pPr>
            <w:r>
              <w:rPr>
                <w:color w:val="auto"/>
                <w:kern w:val="0"/>
                <w:sz w:val="24"/>
                <w:szCs w:val="24"/>
              </w:rPr>
              <w:t>12</w:t>
            </w:r>
            <w:r>
              <w:rPr>
                <w:rFonts w:hint="eastAsia" w:hAnsi="宋体" w:cs="宋体"/>
                <w:color w:val="auto"/>
                <w:kern w:val="0"/>
                <w:sz w:val="24"/>
                <w:szCs w:val="24"/>
              </w:rPr>
              <w:t>、考虑节能降噪：冷热通道需全密闭；</w:t>
            </w:r>
          </w:p>
          <w:p>
            <w:pPr>
              <w:widowControl/>
              <w:numPr>
                <w:ilvl w:val="0"/>
                <w:numId w:val="18"/>
              </w:numPr>
              <w:jc w:val="left"/>
              <w:textAlignment w:val="top"/>
              <w:rPr>
                <w:color w:val="auto"/>
                <w:kern w:val="0"/>
                <w:sz w:val="24"/>
                <w:szCs w:val="24"/>
              </w:rPr>
            </w:pPr>
            <w:r>
              <w:rPr>
                <w:color w:val="auto"/>
                <w:kern w:val="0"/>
                <w:sz w:val="24"/>
                <w:szCs w:val="24"/>
              </w:rPr>
              <w:t>13</w:t>
            </w:r>
            <w:r>
              <w:rPr>
                <w:rFonts w:hint="eastAsia" w:hAnsi="宋体" w:cs="宋体"/>
                <w:color w:val="auto"/>
                <w:kern w:val="0"/>
                <w:sz w:val="24"/>
                <w:szCs w:val="24"/>
              </w:rPr>
              <w:t>、模块化设计：配电、</w:t>
            </w:r>
            <w:r>
              <w:rPr>
                <w:color w:val="auto"/>
                <w:kern w:val="0"/>
                <w:sz w:val="24"/>
                <w:szCs w:val="24"/>
              </w:rPr>
              <w:t>UPS</w:t>
            </w:r>
            <w:r>
              <w:rPr>
                <w:rFonts w:hint="eastAsia" w:hAnsi="宋体" w:cs="宋体"/>
                <w:color w:val="auto"/>
                <w:kern w:val="0"/>
                <w:sz w:val="24"/>
                <w:szCs w:val="24"/>
              </w:rPr>
              <w:t>、视频网络、空调内机要求均为模块化设计，便于维护；</w:t>
            </w:r>
          </w:p>
          <w:p>
            <w:pPr>
              <w:widowControl/>
              <w:numPr>
                <w:ilvl w:val="0"/>
                <w:numId w:val="18"/>
              </w:numPr>
              <w:jc w:val="left"/>
              <w:textAlignment w:val="top"/>
              <w:rPr>
                <w:color w:val="auto"/>
                <w:kern w:val="0"/>
                <w:sz w:val="24"/>
                <w:szCs w:val="24"/>
              </w:rPr>
            </w:pPr>
            <w:r>
              <w:rPr>
                <w:color w:val="auto"/>
                <w:kern w:val="0"/>
                <w:sz w:val="24"/>
                <w:szCs w:val="24"/>
              </w:rPr>
              <w:t>14</w:t>
            </w:r>
            <w:r>
              <w:rPr>
                <w:rFonts w:hint="eastAsia" w:hAnsi="宋体" w:cs="宋体"/>
                <w:color w:val="auto"/>
                <w:kern w:val="0"/>
                <w:sz w:val="24"/>
                <w:szCs w:val="24"/>
              </w:rPr>
              <w:t>、环境适应性要求：部署空间须满足</w:t>
            </w:r>
            <w:r>
              <w:rPr>
                <w:color w:val="auto"/>
                <w:kern w:val="0"/>
                <w:sz w:val="24"/>
                <w:szCs w:val="24"/>
              </w:rPr>
              <w:t>2.6m</w:t>
            </w:r>
            <w:r>
              <w:rPr>
                <w:rFonts w:hint="eastAsia" w:hAnsi="宋体" w:cs="宋体"/>
                <w:color w:val="auto"/>
                <w:kern w:val="0"/>
                <w:sz w:val="24"/>
                <w:szCs w:val="24"/>
              </w:rPr>
              <w:t>净层高要求；</w:t>
            </w:r>
          </w:p>
          <w:p>
            <w:pPr>
              <w:widowControl/>
              <w:numPr>
                <w:ilvl w:val="0"/>
                <w:numId w:val="18"/>
              </w:numPr>
              <w:jc w:val="left"/>
              <w:textAlignment w:val="top"/>
              <w:rPr>
                <w:color w:val="auto"/>
                <w:kern w:val="0"/>
                <w:sz w:val="24"/>
                <w:szCs w:val="24"/>
              </w:rPr>
            </w:pPr>
            <w:r>
              <w:rPr>
                <w:color w:val="auto"/>
                <w:kern w:val="0"/>
                <w:sz w:val="24"/>
                <w:szCs w:val="24"/>
              </w:rPr>
              <w:t>15</w:t>
            </w:r>
            <w:r>
              <w:rPr>
                <w:rFonts w:hint="eastAsia" w:hAnsi="宋体" w:cs="宋体"/>
                <w:color w:val="auto"/>
                <w:kern w:val="0"/>
                <w:sz w:val="24"/>
                <w:szCs w:val="24"/>
              </w:rPr>
              <w:t>、控制器显示屏（</w:t>
            </w:r>
            <w:r>
              <w:rPr>
                <w:color w:val="auto"/>
                <w:kern w:val="0"/>
                <w:sz w:val="24"/>
                <w:szCs w:val="24"/>
              </w:rPr>
              <w:t>9.6</w:t>
            </w:r>
            <w:r>
              <w:rPr>
                <w:rFonts w:hint="eastAsia" w:hAnsi="宋体" w:cs="宋体"/>
                <w:color w:val="auto"/>
                <w:kern w:val="0"/>
                <w:sz w:val="24"/>
                <w:szCs w:val="24"/>
              </w:rPr>
              <w:t>英寸以上，下面简称</w:t>
            </w:r>
            <w:r>
              <w:rPr>
                <w:color w:val="auto"/>
                <w:kern w:val="0"/>
                <w:sz w:val="24"/>
                <w:szCs w:val="24"/>
              </w:rPr>
              <w:t>PAD</w:t>
            </w:r>
            <w:r>
              <w:rPr>
                <w:rFonts w:hint="eastAsia" w:hAnsi="宋体" w:cs="宋体"/>
                <w:color w:val="auto"/>
                <w:kern w:val="0"/>
                <w:sz w:val="24"/>
                <w:szCs w:val="24"/>
              </w:rPr>
              <w:t>）支持无线接入数据机房管理系统，通过；</w:t>
            </w:r>
          </w:p>
          <w:p>
            <w:pPr>
              <w:widowControl/>
              <w:jc w:val="left"/>
              <w:textAlignment w:val="top"/>
              <w:rPr>
                <w:rFonts w:hint="eastAsia" w:hAnsi="宋体" w:eastAsia="宋体" w:cs="宋体"/>
                <w:color w:val="auto"/>
                <w:kern w:val="0"/>
                <w:sz w:val="24"/>
                <w:szCs w:val="24"/>
                <w:lang w:eastAsia="zh-CN"/>
              </w:rPr>
            </w:pPr>
            <w:r>
              <w:rPr>
                <w:color w:val="auto"/>
                <w:kern w:val="0"/>
                <w:sz w:val="24"/>
                <w:szCs w:val="24"/>
              </w:rPr>
              <w:t>16</w:t>
            </w:r>
            <w:r>
              <w:rPr>
                <w:rFonts w:hint="eastAsia" w:hAnsi="宋体" w:cs="宋体"/>
                <w:color w:val="auto"/>
                <w:kern w:val="0"/>
                <w:sz w:val="24"/>
                <w:szCs w:val="24"/>
              </w:rPr>
              <w:t>、</w:t>
            </w:r>
            <w:r>
              <w:rPr>
                <w:color w:val="auto"/>
                <w:kern w:val="0"/>
                <w:sz w:val="24"/>
                <w:szCs w:val="24"/>
              </w:rPr>
              <w:t>APP</w:t>
            </w:r>
            <w:r>
              <w:rPr>
                <w:rFonts w:hint="eastAsia" w:hAnsi="宋体" w:cs="宋体"/>
                <w:color w:val="auto"/>
                <w:kern w:val="0"/>
                <w:sz w:val="24"/>
                <w:szCs w:val="24"/>
              </w:rPr>
              <w:t>可对数据机房设备和环境参数进行实时监测，微模块显示屏为电容屏，支持多点触控，</w:t>
            </w:r>
            <w:r>
              <w:rPr>
                <w:color w:val="auto"/>
                <w:kern w:val="0"/>
                <w:sz w:val="24"/>
                <w:szCs w:val="24"/>
              </w:rPr>
              <w:t>UPS</w:t>
            </w:r>
            <w:r>
              <w:rPr>
                <w:rFonts w:hint="eastAsia" w:hAnsi="宋体" w:cs="宋体"/>
                <w:color w:val="auto"/>
                <w:kern w:val="0"/>
                <w:sz w:val="24"/>
                <w:szCs w:val="24"/>
              </w:rPr>
              <w:t>额定容量为</w:t>
            </w:r>
            <w:r>
              <w:rPr>
                <w:color w:val="auto"/>
                <w:kern w:val="0"/>
                <w:sz w:val="24"/>
                <w:szCs w:val="24"/>
              </w:rPr>
              <w:t>20kVA</w:t>
            </w:r>
            <w:r>
              <w:rPr>
                <w:rFonts w:hint="eastAsia" w:hAnsi="宋体" w:cs="宋体"/>
                <w:color w:val="auto"/>
                <w:kern w:val="0"/>
                <w:sz w:val="24"/>
                <w:szCs w:val="24"/>
              </w:rPr>
              <w:t>，</w:t>
            </w:r>
            <w:r>
              <w:rPr>
                <w:color w:val="auto"/>
                <w:kern w:val="0"/>
                <w:sz w:val="24"/>
                <w:szCs w:val="24"/>
              </w:rPr>
              <w:t>19</w:t>
            </w:r>
            <w:r>
              <w:rPr>
                <w:rFonts w:hint="eastAsia" w:hAnsi="宋体" w:cs="宋体"/>
                <w:color w:val="auto"/>
                <w:kern w:val="0"/>
                <w:sz w:val="24"/>
                <w:szCs w:val="24"/>
              </w:rPr>
              <w:t>英寸机架式安装，在机柜中仅占用</w:t>
            </w:r>
            <w:r>
              <w:rPr>
                <w:color w:val="auto"/>
                <w:kern w:val="0"/>
                <w:sz w:val="24"/>
                <w:szCs w:val="24"/>
              </w:rPr>
              <w:t>3U</w:t>
            </w:r>
            <w:r>
              <w:rPr>
                <w:rFonts w:hint="eastAsia" w:hAnsi="宋体" w:cs="宋体"/>
                <w:color w:val="auto"/>
                <w:kern w:val="0"/>
                <w:sz w:val="24"/>
                <w:szCs w:val="24"/>
              </w:rPr>
              <w:t>空间；</w:t>
            </w:r>
          </w:p>
          <w:p>
            <w:pPr>
              <w:widowControl/>
              <w:jc w:val="left"/>
              <w:textAlignment w:val="top"/>
              <w:rPr>
                <w:rFonts w:hint="eastAsia" w:hAnsi="宋体" w:eastAsia="宋体" w:cs="宋体"/>
                <w:color w:val="auto"/>
                <w:kern w:val="0"/>
                <w:sz w:val="24"/>
                <w:szCs w:val="24"/>
                <w:lang w:eastAsia="zh-CN"/>
              </w:rPr>
            </w:pPr>
            <w:r>
              <w:rPr>
                <w:color w:val="auto"/>
                <w:kern w:val="0"/>
                <w:sz w:val="24"/>
                <w:szCs w:val="24"/>
              </w:rPr>
              <w:t>17</w:t>
            </w:r>
            <w:r>
              <w:rPr>
                <w:rFonts w:hint="eastAsia" w:hAnsi="宋体" w:cs="宋体"/>
                <w:color w:val="auto"/>
                <w:kern w:val="0"/>
                <w:sz w:val="24"/>
                <w:szCs w:val="24"/>
              </w:rPr>
              <w:t>、</w:t>
            </w:r>
            <w:r>
              <w:rPr>
                <w:color w:val="auto"/>
                <w:kern w:val="0"/>
                <w:sz w:val="24"/>
                <w:szCs w:val="24"/>
              </w:rPr>
              <w:t>UPS</w:t>
            </w:r>
            <w:r>
              <w:rPr>
                <w:rFonts w:hint="eastAsia" w:hAnsi="宋体" w:cs="宋体"/>
                <w:color w:val="auto"/>
                <w:kern w:val="0"/>
                <w:sz w:val="24"/>
                <w:szCs w:val="24"/>
              </w:rPr>
              <w:t>额定输入电压为</w:t>
            </w:r>
            <w:r>
              <w:rPr>
                <w:color w:val="auto"/>
                <w:kern w:val="0"/>
                <w:sz w:val="24"/>
                <w:szCs w:val="24"/>
              </w:rPr>
              <w:t>380/400/415V</w:t>
            </w:r>
            <w:r>
              <w:rPr>
                <w:rFonts w:hint="eastAsia" w:hAnsi="宋体" w:cs="宋体"/>
                <w:color w:val="auto"/>
                <w:kern w:val="0"/>
                <w:sz w:val="24"/>
                <w:szCs w:val="24"/>
              </w:rPr>
              <w:t>，</w:t>
            </w:r>
            <w:r>
              <w:rPr>
                <w:color w:val="auto"/>
                <w:kern w:val="0"/>
                <w:sz w:val="24"/>
                <w:szCs w:val="24"/>
              </w:rPr>
              <w:t>50/60Hz</w:t>
            </w:r>
            <w:r>
              <w:rPr>
                <w:rFonts w:hint="eastAsia" w:hAnsi="宋体" w:cs="宋体"/>
                <w:color w:val="auto"/>
                <w:kern w:val="0"/>
                <w:sz w:val="24"/>
                <w:szCs w:val="24"/>
              </w:rPr>
              <w:t>，</w:t>
            </w:r>
            <w:r>
              <w:rPr>
                <w:color w:val="auto"/>
                <w:kern w:val="0"/>
                <w:sz w:val="24"/>
                <w:szCs w:val="24"/>
              </w:rPr>
              <w:t>3Ph+N+PE</w:t>
            </w:r>
            <w:r>
              <w:rPr>
                <w:rFonts w:hint="eastAsia" w:hAnsi="宋体" w:cs="宋体"/>
                <w:color w:val="auto"/>
                <w:kern w:val="0"/>
                <w:sz w:val="24"/>
                <w:szCs w:val="24"/>
              </w:rPr>
              <w:t>；</w:t>
            </w:r>
          </w:p>
          <w:p>
            <w:pPr>
              <w:widowControl/>
              <w:jc w:val="left"/>
              <w:textAlignment w:val="top"/>
              <w:rPr>
                <w:rFonts w:hint="eastAsia" w:hAnsi="宋体" w:eastAsia="宋体" w:cs="宋体"/>
                <w:color w:val="auto"/>
                <w:kern w:val="0"/>
                <w:sz w:val="24"/>
                <w:szCs w:val="24"/>
                <w:lang w:eastAsia="zh-CN"/>
              </w:rPr>
            </w:pPr>
            <w:r>
              <w:rPr>
                <w:color w:val="auto"/>
                <w:kern w:val="0"/>
                <w:sz w:val="24"/>
                <w:szCs w:val="24"/>
              </w:rPr>
              <w:t>18</w:t>
            </w:r>
            <w:r>
              <w:rPr>
                <w:rFonts w:hint="eastAsia" w:hAnsi="宋体" w:cs="宋体"/>
                <w:color w:val="auto"/>
                <w:kern w:val="0"/>
                <w:sz w:val="24"/>
                <w:szCs w:val="24"/>
              </w:rPr>
              <w:t>、较宽的输入电压范围</w:t>
            </w:r>
            <w:r>
              <w:rPr>
                <w:color w:val="auto"/>
                <w:kern w:val="0"/>
                <w:sz w:val="24"/>
                <w:szCs w:val="24"/>
              </w:rPr>
              <w:t>138~485VAC</w:t>
            </w:r>
            <w:r>
              <w:rPr>
                <w:rFonts w:hint="eastAsia" w:hAnsi="宋体" w:cs="宋体"/>
                <w:color w:val="auto"/>
                <w:kern w:val="0"/>
                <w:sz w:val="24"/>
                <w:szCs w:val="24"/>
              </w:rPr>
              <w:t>；高效率，在线模式下，效率达</w:t>
            </w:r>
            <w:r>
              <w:rPr>
                <w:color w:val="auto"/>
                <w:kern w:val="0"/>
                <w:sz w:val="24"/>
                <w:szCs w:val="24"/>
              </w:rPr>
              <w:t>95%</w:t>
            </w:r>
            <w:r>
              <w:rPr>
                <w:rFonts w:hint="eastAsia" w:hAnsi="宋体" w:cs="宋体"/>
                <w:color w:val="auto"/>
                <w:kern w:val="0"/>
                <w:sz w:val="24"/>
                <w:szCs w:val="24"/>
              </w:rPr>
              <w:t>；过载能力强，在</w:t>
            </w:r>
            <w:r>
              <w:rPr>
                <w:color w:val="auto"/>
                <w:kern w:val="0"/>
                <w:sz w:val="24"/>
                <w:szCs w:val="24"/>
              </w:rPr>
              <w:t>125%</w:t>
            </w:r>
            <w:r>
              <w:rPr>
                <w:rFonts w:hint="eastAsia" w:hAnsi="宋体" w:cs="宋体"/>
                <w:color w:val="auto"/>
                <w:kern w:val="0"/>
                <w:sz w:val="24"/>
                <w:szCs w:val="24"/>
              </w:rPr>
              <w:t>的额定负载时，可持续</w:t>
            </w:r>
            <w:r>
              <w:rPr>
                <w:color w:val="auto"/>
                <w:kern w:val="0"/>
                <w:sz w:val="24"/>
                <w:szCs w:val="24"/>
              </w:rPr>
              <w:t>60s</w:t>
            </w:r>
            <w:r>
              <w:rPr>
                <w:rFonts w:hint="eastAsia" w:hAnsi="宋体" w:cs="宋体"/>
                <w:color w:val="auto"/>
                <w:kern w:val="0"/>
                <w:sz w:val="24"/>
                <w:szCs w:val="24"/>
              </w:rPr>
              <w:t>；</w:t>
            </w:r>
          </w:p>
          <w:p>
            <w:pPr>
              <w:widowControl/>
              <w:jc w:val="left"/>
              <w:textAlignment w:val="top"/>
              <w:rPr>
                <w:color w:val="auto"/>
                <w:kern w:val="0"/>
                <w:sz w:val="24"/>
                <w:szCs w:val="24"/>
              </w:rPr>
            </w:pPr>
            <w:r>
              <w:rPr>
                <w:color w:val="auto"/>
                <w:kern w:val="0"/>
                <w:sz w:val="24"/>
                <w:szCs w:val="24"/>
              </w:rPr>
              <w:t>19</w:t>
            </w:r>
            <w:r>
              <w:rPr>
                <w:rFonts w:hint="eastAsia" w:hAnsi="宋体" w:cs="宋体"/>
                <w:color w:val="auto"/>
                <w:kern w:val="0"/>
                <w:sz w:val="24"/>
                <w:szCs w:val="24"/>
              </w:rPr>
              <w:t>、</w:t>
            </w:r>
            <w:r>
              <w:rPr>
                <w:color w:val="auto"/>
                <w:kern w:val="0"/>
                <w:sz w:val="24"/>
                <w:szCs w:val="24"/>
              </w:rPr>
              <w:t>UPS</w:t>
            </w:r>
            <w:r>
              <w:rPr>
                <w:rFonts w:hint="eastAsia" w:hAnsi="宋体" w:cs="宋体"/>
                <w:color w:val="auto"/>
                <w:kern w:val="0"/>
                <w:sz w:val="24"/>
                <w:szCs w:val="24"/>
              </w:rPr>
              <w:t>配置通信接口，方便视频网络</w:t>
            </w:r>
            <w:r>
              <w:rPr>
                <w:color w:val="auto"/>
                <w:kern w:val="0"/>
                <w:sz w:val="24"/>
                <w:szCs w:val="24"/>
              </w:rPr>
              <w:t>UPS</w:t>
            </w:r>
            <w:r>
              <w:rPr>
                <w:rFonts w:hint="eastAsia" w:hAnsi="宋体" w:cs="宋体"/>
                <w:color w:val="auto"/>
                <w:kern w:val="0"/>
                <w:sz w:val="24"/>
                <w:szCs w:val="24"/>
              </w:rPr>
              <w:t>运行参数和状态。</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1</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2</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空调外机</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rFonts w:hint="eastAsia" w:hAnsi="宋体" w:cs="宋体"/>
                <w:color w:val="auto"/>
                <w:kern w:val="0"/>
                <w:sz w:val="24"/>
                <w:szCs w:val="24"/>
              </w:rPr>
              <w:t>精密空调</w:t>
            </w:r>
            <w:r>
              <w:rPr>
                <w:color w:val="auto"/>
                <w:kern w:val="0"/>
                <w:sz w:val="24"/>
                <w:szCs w:val="24"/>
              </w:rPr>
              <w:t>-</w:t>
            </w:r>
            <w:r>
              <w:rPr>
                <w:rFonts w:hint="eastAsia" w:hAnsi="宋体" w:cs="宋体"/>
                <w:color w:val="auto"/>
                <w:kern w:val="0"/>
                <w:sz w:val="24"/>
                <w:szCs w:val="24"/>
              </w:rPr>
              <w:t>风冷</w:t>
            </w:r>
            <w:r>
              <w:rPr>
                <w:color w:val="auto"/>
                <w:kern w:val="0"/>
                <w:sz w:val="24"/>
                <w:szCs w:val="24"/>
              </w:rPr>
              <w:t>-NetCol500-A018WC1E0-208-240VAC-50Hz/60Hz-</w:t>
            </w:r>
            <w:r>
              <w:rPr>
                <w:rFonts w:hint="eastAsia" w:hAnsi="宋体" w:cs="宋体"/>
                <w:color w:val="auto"/>
                <w:kern w:val="0"/>
                <w:sz w:val="24"/>
                <w:szCs w:val="24"/>
              </w:rPr>
              <w:t>单冷</w:t>
            </w:r>
            <w:r>
              <w:rPr>
                <w:color w:val="auto"/>
                <w:kern w:val="0"/>
                <w:sz w:val="24"/>
                <w:szCs w:val="24"/>
              </w:rPr>
              <w:t>-R410A(</w:t>
            </w:r>
            <w:r>
              <w:rPr>
                <w:rFonts w:hint="eastAsia" w:hAnsi="宋体" w:cs="宋体"/>
                <w:color w:val="auto"/>
                <w:kern w:val="0"/>
                <w:sz w:val="24"/>
                <w:szCs w:val="24"/>
              </w:rPr>
              <w:t>已充注</w:t>
            </w:r>
            <w:r>
              <w:rPr>
                <w:color w:val="auto"/>
                <w:kern w:val="0"/>
                <w:sz w:val="24"/>
                <w:szCs w:val="24"/>
              </w:rPr>
              <w:t xml:space="preserve">6kg)-DC </w:t>
            </w:r>
            <w:r>
              <w:rPr>
                <w:rFonts w:hint="eastAsia" w:hAnsi="宋体" w:cs="宋体"/>
                <w:color w:val="auto"/>
                <w:kern w:val="0"/>
                <w:sz w:val="24"/>
                <w:szCs w:val="24"/>
              </w:rPr>
              <w:t>风机</w:t>
            </w:r>
            <w:r>
              <w:rPr>
                <w:color w:val="auto"/>
                <w:kern w:val="0"/>
                <w:sz w:val="24"/>
                <w:szCs w:val="24"/>
              </w:rPr>
              <w:t>-</w:t>
            </w:r>
            <w:r>
              <w:rPr>
                <w:rFonts w:hint="eastAsia" w:hAnsi="宋体" w:cs="宋体"/>
                <w:color w:val="auto"/>
                <w:kern w:val="0"/>
                <w:sz w:val="24"/>
                <w:szCs w:val="24"/>
              </w:rPr>
              <w:t>室外机</w:t>
            </w:r>
            <w:r>
              <w:rPr>
                <w:color w:val="auto"/>
                <w:kern w:val="0"/>
                <w:sz w:val="24"/>
                <w:szCs w:val="24"/>
              </w:rPr>
              <w:t>-</w:t>
            </w:r>
            <w:r>
              <w:rPr>
                <w:rFonts w:hint="eastAsia" w:hAnsi="宋体" w:cs="宋体"/>
                <w:color w:val="auto"/>
                <w:kern w:val="0"/>
                <w:sz w:val="24"/>
                <w:szCs w:val="24"/>
              </w:rPr>
              <w:t>单路供电</w:t>
            </w:r>
            <w:r>
              <w:rPr>
                <w:color w:val="auto"/>
                <w:kern w:val="0"/>
                <w:sz w:val="24"/>
                <w:szCs w:val="24"/>
              </w:rPr>
              <w:t>-1&amp;2PH</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2</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3</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color w:val="auto"/>
                <w:kern w:val="0"/>
                <w:sz w:val="24"/>
                <w:szCs w:val="24"/>
              </w:rPr>
              <w:t>IT</w:t>
            </w:r>
            <w:r>
              <w:rPr>
                <w:rFonts w:hint="eastAsia" w:hAnsi="宋体" w:cs="宋体"/>
                <w:color w:val="auto"/>
                <w:kern w:val="0"/>
                <w:sz w:val="24"/>
                <w:szCs w:val="24"/>
              </w:rPr>
              <w:t>机柜</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numPr>
                <w:ilvl w:val="0"/>
                <w:numId w:val="19"/>
              </w:numPr>
              <w:jc w:val="left"/>
              <w:textAlignment w:val="top"/>
              <w:rPr>
                <w:color w:val="auto"/>
                <w:kern w:val="0"/>
                <w:sz w:val="24"/>
                <w:szCs w:val="24"/>
              </w:rPr>
            </w:pPr>
            <w:r>
              <w:rPr>
                <w:rFonts w:hint="eastAsia" w:hAnsi="宋体" w:cs="宋体"/>
                <w:color w:val="auto"/>
                <w:kern w:val="0"/>
                <w:sz w:val="24"/>
                <w:szCs w:val="24"/>
              </w:rPr>
              <w:t>机柜加通道整体深度不大于</w:t>
            </w:r>
            <w:r>
              <w:rPr>
                <w:color w:val="auto"/>
                <w:kern w:val="0"/>
                <w:sz w:val="24"/>
                <w:szCs w:val="24"/>
              </w:rPr>
              <w:t>1350mm</w:t>
            </w:r>
            <w:r>
              <w:rPr>
                <w:rFonts w:hint="eastAsia" w:hAnsi="宋体" w:cs="宋体"/>
                <w:color w:val="auto"/>
                <w:kern w:val="0"/>
                <w:sz w:val="24"/>
                <w:szCs w:val="24"/>
              </w:rPr>
              <w:t>室内机柜：</w:t>
            </w:r>
            <w:r>
              <w:rPr>
                <w:color w:val="auto"/>
                <w:kern w:val="0"/>
                <w:sz w:val="24"/>
                <w:szCs w:val="24"/>
              </w:rPr>
              <w:t>600mm(W)*1350mm(D)*2000mm(H)-42U-</w:t>
            </w:r>
            <w:r>
              <w:rPr>
                <w:rFonts w:hint="eastAsia" w:hAnsi="宋体" w:cs="宋体"/>
                <w:color w:val="auto"/>
                <w:kern w:val="0"/>
                <w:sz w:val="24"/>
                <w:szCs w:val="24"/>
              </w:rPr>
              <w:t>有弹开前门、有底板、前门为玻璃门，后门为钣金门。</w:t>
            </w:r>
          </w:p>
          <w:p>
            <w:pPr>
              <w:widowControl/>
              <w:numPr>
                <w:ilvl w:val="0"/>
                <w:numId w:val="19"/>
              </w:numPr>
              <w:jc w:val="left"/>
              <w:textAlignment w:val="top"/>
              <w:rPr>
                <w:color w:val="auto"/>
                <w:kern w:val="0"/>
                <w:sz w:val="24"/>
                <w:szCs w:val="24"/>
              </w:rPr>
            </w:pPr>
            <w:r>
              <w:rPr>
                <w:color w:val="auto"/>
                <w:kern w:val="0"/>
                <w:sz w:val="24"/>
                <w:szCs w:val="24"/>
              </w:rPr>
              <w:t>2</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密闭冷通道深度不大于</w:t>
            </w:r>
            <w:r>
              <w:rPr>
                <w:color w:val="auto"/>
                <w:kern w:val="0"/>
                <w:sz w:val="24"/>
                <w:szCs w:val="24"/>
              </w:rPr>
              <w:t>250mm</w:t>
            </w:r>
            <w:r>
              <w:rPr>
                <w:rFonts w:hint="eastAsia" w:hAnsi="宋体" w:cs="宋体"/>
                <w:color w:val="auto"/>
                <w:kern w:val="0"/>
                <w:sz w:val="24"/>
                <w:szCs w:val="24"/>
              </w:rPr>
              <w:t>，为节能降噪考虑，冷热通道需全密闭。机柜内后部可安装两条竖装</w:t>
            </w:r>
            <w:r>
              <w:rPr>
                <w:color w:val="auto"/>
                <w:kern w:val="0"/>
                <w:sz w:val="24"/>
                <w:szCs w:val="24"/>
              </w:rPr>
              <w:t>PDU</w:t>
            </w:r>
            <w:r>
              <w:rPr>
                <w:rFonts w:hint="eastAsia" w:hAnsi="宋体" w:cs="宋体"/>
                <w:color w:val="auto"/>
                <w:kern w:val="0"/>
                <w:sz w:val="24"/>
                <w:szCs w:val="24"/>
              </w:rPr>
              <w:t>。</w:t>
            </w:r>
          </w:p>
          <w:p>
            <w:pPr>
              <w:widowControl/>
              <w:numPr>
                <w:ilvl w:val="0"/>
                <w:numId w:val="19"/>
              </w:numPr>
              <w:jc w:val="left"/>
              <w:textAlignment w:val="top"/>
              <w:rPr>
                <w:color w:val="auto"/>
                <w:kern w:val="0"/>
                <w:sz w:val="24"/>
                <w:szCs w:val="24"/>
              </w:rPr>
            </w:pPr>
            <w:r>
              <w:rPr>
                <w:color w:val="auto"/>
                <w:kern w:val="0"/>
                <w:sz w:val="24"/>
                <w:szCs w:val="24"/>
              </w:rPr>
              <w:t>3</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机柜的前门和后门带智能门锁，可用钥匙、人脸识别打开；出现机柜内温度超限或消防告警时可自动弹开；用于应急散热和消防联动。</w:t>
            </w:r>
          </w:p>
          <w:p>
            <w:pPr>
              <w:widowControl/>
              <w:numPr>
                <w:ilvl w:val="0"/>
                <w:numId w:val="19"/>
              </w:numPr>
              <w:jc w:val="left"/>
              <w:textAlignment w:val="top"/>
              <w:rPr>
                <w:color w:val="auto"/>
                <w:kern w:val="0"/>
                <w:sz w:val="24"/>
                <w:szCs w:val="24"/>
              </w:rPr>
            </w:pPr>
            <w:r>
              <w:rPr>
                <w:color w:val="auto"/>
                <w:kern w:val="0"/>
                <w:sz w:val="24"/>
                <w:szCs w:val="24"/>
              </w:rPr>
              <w:t>4</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机柜加通道整体深度不大于</w:t>
            </w:r>
            <w:r>
              <w:rPr>
                <w:color w:val="auto"/>
                <w:kern w:val="0"/>
                <w:sz w:val="24"/>
                <w:szCs w:val="24"/>
              </w:rPr>
              <w:t>1350mm</w:t>
            </w:r>
            <w:r>
              <w:rPr>
                <w:rFonts w:hint="eastAsia" w:hAnsi="宋体" w:cs="宋体"/>
                <w:color w:val="auto"/>
                <w:kern w:val="0"/>
                <w:sz w:val="24"/>
                <w:szCs w:val="24"/>
              </w:rPr>
              <w:t>颜色：黑色。</w:t>
            </w:r>
          </w:p>
          <w:p>
            <w:pPr>
              <w:widowControl/>
              <w:numPr>
                <w:ilvl w:val="0"/>
                <w:numId w:val="19"/>
              </w:numPr>
              <w:jc w:val="left"/>
              <w:textAlignment w:val="top"/>
              <w:rPr>
                <w:color w:val="auto"/>
                <w:kern w:val="0"/>
                <w:sz w:val="24"/>
                <w:szCs w:val="24"/>
              </w:rPr>
            </w:pPr>
            <w:r>
              <w:rPr>
                <w:color w:val="auto"/>
                <w:kern w:val="0"/>
                <w:sz w:val="24"/>
                <w:szCs w:val="24"/>
              </w:rPr>
              <w:t>5</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材质：高强度</w:t>
            </w:r>
            <w:r>
              <w:rPr>
                <w:color w:val="auto"/>
                <w:kern w:val="0"/>
                <w:sz w:val="24"/>
                <w:szCs w:val="24"/>
              </w:rPr>
              <w:t>A</w:t>
            </w:r>
            <w:r>
              <w:rPr>
                <w:rFonts w:hint="eastAsia" w:hAnsi="宋体" w:cs="宋体"/>
                <w:color w:val="auto"/>
                <w:kern w:val="0"/>
                <w:sz w:val="24"/>
                <w:szCs w:val="24"/>
              </w:rPr>
              <w:t>级优质碳素冷轧钢板和镀锌板。</w:t>
            </w:r>
          </w:p>
          <w:p>
            <w:pPr>
              <w:widowControl/>
              <w:numPr>
                <w:ilvl w:val="0"/>
                <w:numId w:val="19"/>
              </w:numPr>
              <w:jc w:val="left"/>
              <w:textAlignment w:val="top"/>
              <w:rPr>
                <w:color w:val="auto"/>
                <w:kern w:val="0"/>
                <w:sz w:val="24"/>
                <w:szCs w:val="24"/>
              </w:rPr>
            </w:pPr>
            <w:r>
              <w:rPr>
                <w:color w:val="auto"/>
                <w:kern w:val="0"/>
                <w:sz w:val="24"/>
                <w:szCs w:val="24"/>
              </w:rPr>
              <w:t>6</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风道：前后风道。</w:t>
            </w:r>
          </w:p>
          <w:p>
            <w:pPr>
              <w:widowControl/>
              <w:numPr>
                <w:ilvl w:val="0"/>
                <w:numId w:val="19"/>
              </w:numPr>
              <w:jc w:val="left"/>
              <w:textAlignment w:val="top"/>
              <w:rPr>
                <w:color w:val="auto"/>
                <w:kern w:val="0"/>
                <w:sz w:val="24"/>
                <w:szCs w:val="24"/>
              </w:rPr>
            </w:pPr>
            <w:r>
              <w:rPr>
                <w:color w:val="auto"/>
                <w:kern w:val="0"/>
                <w:sz w:val="24"/>
                <w:szCs w:val="24"/>
              </w:rPr>
              <w:t>7</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安装空间：机柜提供</w:t>
            </w:r>
            <w:r>
              <w:rPr>
                <w:color w:val="auto"/>
                <w:kern w:val="0"/>
                <w:sz w:val="24"/>
                <w:szCs w:val="24"/>
              </w:rPr>
              <w:t>42U</w:t>
            </w:r>
            <w:r>
              <w:rPr>
                <w:rFonts w:hint="eastAsia" w:hAnsi="宋体" w:cs="宋体"/>
                <w:color w:val="auto"/>
                <w:kern w:val="0"/>
                <w:sz w:val="24"/>
                <w:szCs w:val="24"/>
              </w:rPr>
              <w:t>可用空间，前后方孔条之间距离可按照</w:t>
            </w:r>
            <w:r>
              <w:rPr>
                <w:color w:val="auto"/>
                <w:kern w:val="0"/>
                <w:sz w:val="24"/>
                <w:szCs w:val="24"/>
              </w:rPr>
              <w:t>25mm</w:t>
            </w:r>
            <w:r>
              <w:rPr>
                <w:rFonts w:hint="eastAsia" w:hAnsi="宋体" w:cs="宋体"/>
                <w:color w:val="auto"/>
                <w:kern w:val="0"/>
                <w:sz w:val="24"/>
                <w:szCs w:val="24"/>
              </w:rPr>
              <w:t>步距调节，机柜后侧设置两条竖装</w:t>
            </w:r>
            <w:r>
              <w:rPr>
                <w:color w:val="auto"/>
                <w:kern w:val="0"/>
                <w:sz w:val="24"/>
                <w:szCs w:val="24"/>
              </w:rPr>
              <w:t>PDU</w:t>
            </w:r>
            <w:r>
              <w:rPr>
                <w:rFonts w:hint="eastAsia" w:hAnsi="宋体" w:cs="宋体"/>
                <w:color w:val="auto"/>
                <w:kern w:val="0"/>
                <w:sz w:val="24"/>
                <w:szCs w:val="24"/>
              </w:rPr>
              <w:t>安装位置。</w:t>
            </w:r>
          </w:p>
          <w:p>
            <w:pPr>
              <w:widowControl/>
              <w:numPr>
                <w:ilvl w:val="0"/>
                <w:numId w:val="19"/>
              </w:numPr>
              <w:jc w:val="left"/>
              <w:textAlignment w:val="top"/>
              <w:rPr>
                <w:color w:val="auto"/>
                <w:kern w:val="0"/>
                <w:sz w:val="24"/>
                <w:szCs w:val="24"/>
              </w:rPr>
            </w:pPr>
            <w:r>
              <w:rPr>
                <w:color w:val="auto"/>
                <w:kern w:val="0"/>
                <w:sz w:val="24"/>
                <w:szCs w:val="24"/>
              </w:rPr>
              <w:t>8</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安装方式：支持水泥地面及架空地板安装</w:t>
            </w:r>
            <w:r>
              <w:rPr>
                <w:color w:val="auto"/>
                <w:kern w:val="0"/>
                <w:sz w:val="24"/>
                <w:szCs w:val="24"/>
              </w:rPr>
              <w:t xml:space="preserve"> </w:t>
            </w:r>
            <w:r>
              <w:rPr>
                <w:rFonts w:hint="eastAsia" w:hAnsi="宋体" w:cs="宋体"/>
                <w:color w:val="auto"/>
                <w:kern w:val="0"/>
                <w:sz w:val="24"/>
                <w:szCs w:val="24"/>
              </w:rPr>
              <w:t>；提供静载：</w:t>
            </w:r>
            <w:r>
              <w:rPr>
                <w:color w:val="auto"/>
                <w:kern w:val="0"/>
                <w:sz w:val="24"/>
                <w:szCs w:val="24"/>
              </w:rPr>
              <w:t>1500kg</w:t>
            </w:r>
            <w:r>
              <w:rPr>
                <w:rFonts w:hint="eastAsia" w:hAnsi="宋体" w:cs="宋体"/>
                <w:color w:val="auto"/>
                <w:kern w:val="0"/>
                <w:sz w:val="24"/>
                <w:szCs w:val="24"/>
              </w:rPr>
              <w:t>；动载：</w:t>
            </w:r>
            <w:r>
              <w:rPr>
                <w:color w:val="auto"/>
                <w:kern w:val="0"/>
                <w:sz w:val="24"/>
                <w:szCs w:val="24"/>
              </w:rPr>
              <w:t>1000kg</w:t>
            </w:r>
            <w:r>
              <w:rPr>
                <w:rFonts w:hint="eastAsia" w:hAnsi="宋体" w:cs="宋体"/>
                <w:color w:val="auto"/>
                <w:kern w:val="0"/>
                <w:sz w:val="24"/>
                <w:szCs w:val="24"/>
              </w:rPr>
              <w:t>；检测报告防护等级：</w:t>
            </w:r>
            <w:r>
              <w:rPr>
                <w:color w:val="auto"/>
                <w:kern w:val="0"/>
                <w:sz w:val="24"/>
                <w:szCs w:val="24"/>
              </w:rPr>
              <w:t>IP20</w:t>
            </w:r>
            <w:r>
              <w:rPr>
                <w:rFonts w:hint="eastAsia" w:cs="宋体"/>
                <w:color w:val="auto"/>
                <w:kern w:val="0"/>
                <w:sz w:val="24"/>
                <w:szCs w:val="24"/>
              </w:rPr>
              <w:t>。</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8</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4</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color w:val="auto"/>
                <w:kern w:val="0"/>
                <w:sz w:val="24"/>
                <w:szCs w:val="24"/>
              </w:rPr>
              <w:t>PDU</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rFonts w:hint="eastAsia" w:hAnsi="宋体" w:eastAsia="宋体" w:cs="宋体"/>
                <w:color w:val="auto"/>
                <w:kern w:val="0"/>
                <w:sz w:val="24"/>
                <w:szCs w:val="24"/>
                <w:lang w:eastAsia="zh-CN"/>
              </w:rPr>
            </w:pPr>
            <w:r>
              <w:rPr>
                <w:color w:val="auto"/>
                <w:kern w:val="0"/>
                <w:sz w:val="24"/>
                <w:szCs w:val="24"/>
              </w:rPr>
              <w:t>1</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配电排</w:t>
            </w:r>
            <w:r>
              <w:rPr>
                <w:color w:val="auto"/>
                <w:kern w:val="0"/>
                <w:sz w:val="24"/>
                <w:szCs w:val="24"/>
              </w:rPr>
              <w:t>-</w:t>
            </w:r>
            <w:r>
              <w:rPr>
                <w:rFonts w:hint="eastAsia" w:hAnsi="宋体" w:cs="宋体"/>
                <w:color w:val="auto"/>
                <w:kern w:val="0"/>
                <w:sz w:val="24"/>
                <w:szCs w:val="24"/>
              </w:rPr>
              <w:t>基本型</w:t>
            </w:r>
            <w:r>
              <w:rPr>
                <w:color w:val="auto"/>
                <w:kern w:val="0"/>
                <w:sz w:val="24"/>
                <w:szCs w:val="24"/>
              </w:rPr>
              <w:t>-PDU-</w:t>
            </w:r>
            <w:r>
              <w:rPr>
                <w:rFonts w:hint="eastAsia" w:hAnsi="宋体" w:cs="宋体"/>
                <w:color w:val="auto"/>
                <w:kern w:val="0"/>
                <w:sz w:val="24"/>
                <w:szCs w:val="24"/>
              </w:rPr>
              <w:t>输出接口</w:t>
            </w:r>
            <w:r>
              <w:rPr>
                <w:color w:val="auto"/>
                <w:kern w:val="0"/>
                <w:sz w:val="24"/>
                <w:szCs w:val="24"/>
              </w:rPr>
              <w:t>20*GB 10A+4*GB 16A-7.3KVA</w:t>
            </w:r>
            <w:r>
              <w:rPr>
                <w:rFonts w:hint="eastAsia" w:hAnsi="宋体" w:cs="宋体"/>
                <w:color w:val="auto"/>
                <w:kern w:val="0"/>
                <w:sz w:val="24"/>
                <w:szCs w:val="24"/>
              </w:rPr>
              <w:t>；</w:t>
            </w:r>
          </w:p>
          <w:p>
            <w:pPr>
              <w:widowControl/>
              <w:jc w:val="left"/>
              <w:textAlignment w:val="top"/>
              <w:rPr>
                <w:rFonts w:hint="eastAsia" w:hAnsi="宋体" w:eastAsia="宋体" w:cs="宋体"/>
                <w:color w:val="auto"/>
                <w:kern w:val="0"/>
                <w:sz w:val="24"/>
                <w:szCs w:val="24"/>
                <w:lang w:eastAsia="zh-CN"/>
              </w:rPr>
            </w:pPr>
            <w:r>
              <w:rPr>
                <w:color w:val="auto"/>
                <w:kern w:val="0"/>
                <w:sz w:val="24"/>
                <w:szCs w:val="24"/>
              </w:rPr>
              <w:t>2</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电气性能：满足输入电压单相</w:t>
            </w:r>
            <w:r>
              <w:rPr>
                <w:color w:val="auto"/>
                <w:kern w:val="0"/>
                <w:sz w:val="24"/>
                <w:szCs w:val="24"/>
              </w:rPr>
              <w:t>220VAC</w:t>
            </w:r>
            <w:r>
              <w:rPr>
                <w:rFonts w:hint="eastAsia" w:hAnsi="宋体" w:cs="宋体"/>
                <w:color w:val="auto"/>
                <w:kern w:val="0"/>
                <w:sz w:val="24"/>
                <w:szCs w:val="24"/>
              </w:rPr>
              <w:t>；频率：</w:t>
            </w:r>
            <w:r>
              <w:rPr>
                <w:color w:val="auto"/>
                <w:kern w:val="0"/>
                <w:sz w:val="24"/>
                <w:szCs w:val="24"/>
              </w:rPr>
              <w:t>50/60Hz</w:t>
            </w:r>
            <w:r>
              <w:rPr>
                <w:rFonts w:hint="eastAsia" w:hAnsi="宋体" w:cs="宋体"/>
                <w:color w:val="auto"/>
                <w:kern w:val="0"/>
                <w:sz w:val="24"/>
                <w:szCs w:val="24"/>
              </w:rPr>
              <w:t>；支持</w:t>
            </w:r>
            <w:r>
              <w:rPr>
                <w:color w:val="auto"/>
                <w:kern w:val="0"/>
                <w:sz w:val="24"/>
                <w:szCs w:val="24"/>
              </w:rPr>
              <w:t>PDU</w:t>
            </w:r>
            <w:r>
              <w:rPr>
                <w:rFonts w:hint="eastAsia" w:hAnsi="宋体" w:cs="宋体"/>
                <w:color w:val="auto"/>
                <w:kern w:val="0"/>
                <w:sz w:val="24"/>
                <w:szCs w:val="24"/>
              </w:rPr>
              <w:t>单相输入；</w:t>
            </w:r>
            <w:r>
              <w:rPr>
                <w:color w:val="auto"/>
                <w:kern w:val="0"/>
                <w:sz w:val="24"/>
                <w:szCs w:val="24"/>
              </w:rPr>
              <w:t xml:space="preserve"> </w:t>
            </w:r>
            <w:r>
              <w:rPr>
                <w:rFonts w:hint="eastAsia" w:hAnsi="宋体" w:cs="宋体"/>
                <w:color w:val="auto"/>
                <w:kern w:val="0"/>
                <w:sz w:val="24"/>
                <w:szCs w:val="24"/>
              </w:rPr>
              <w:t>输出：支持国标和</w:t>
            </w:r>
            <w:r>
              <w:rPr>
                <w:color w:val="auto"/>
                <w:kern w:val="0"/>
                <w:sz w:val="24"/>
                <w:szCs w:val="24"/>
              </w:rPr>
              <w:t>IEC</w:t>
            </w:r>
            <w:r>
              <w:rPr>
                <w:rFonts w:hint="eastAsia" w:hAnsi="宋体" w:cs="宋体"/>
                <w:color w:val="auto"/>
                <w:kern w:val="0"/>
                <w:sz w:val="24"/>
                <w:szCs w:val="24"/>
              </w:rPr>
              <w:t>插座，</w:t>
            </w:r>
            <w:r>
              <w:rPr>
                <w:color w:val="auto"/>
                <w:kern w:val="0"/>
                <w:sz w:val="24"/>
                <w:szCs w:val="24"/>
              </w:rPr>
              <w:t>32A</w:t>
            </w:r>
            <w:r>
              <w:rPr>
                <w:rFonts w:hint="eastAsia" w:hAnsi="宋体" w:cs="宋体"/>
                <w:color w:val="auto"/>
                <w:kern w:val="0"/>
                <w:sz w:val="24"/>
                <w:szCs w:val="24"/>
              </w:rPr>
              <w:t>以上</w:t>
            </w:r>
            <w:r>
              <w:rPr>
                <w:color w:val="auto"/>
                <w:kern w:val="0"/>
                <w:sz w:val="24"/>
                <w:szCs w:val="24"/>
              </w:rPr>
              <w:t>PDU</w:t>
            </w:r>
            <w:r>
              <w:rPr>
                <w:rFonts w:hint="eastAsia" w:hAnsi="宋体" w:cs="宋体"/>
                <w:color w:val="auto"/>
                <w:kern w:val="0"/>
                <w:sz w:val="24"/>
                <w:szCs w:val="24"/>
              </w:rPr>
              <w:t>支持空开保护；</w:t>
            </w:r>
          </w:p>
          <w:p>
            <w:pPr>
              <w:widowControl/>
              <w:jc w:val="left"/>
              <w:textAlignment w:val="top"/>
              <w:rPr>
                <w:rFonts w:hint="eastAsia" w:eastAsia="宋体" w:cs="宋体"/>
                <w:color w:val="auto"/>
                <w:kern w:val="0"/>
                <w:sz w:val="24"/>
                <w:szCs w:val="24"/>
                <w:lang w:eastAsia="zh-CN"/>
              </w:rPr>
            </w:pPr>
            <w:r>
              <w:rPr>
                <w:color w:val="auto"/>
                <w:kern w:val="0"/>
                <w:sz w:val="24"/>
                <w:szCs w:val="24"/>
              </w:rPr>
              <w:t>3</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应用环境：工作温度：</w:t>
            </w:r>
            <w:r>
              <w:rPr>
                <w:color w:val="auto"/>
                <w:kern w:val="0"/>
                <w:sz w:val="24"/>
                <w:szCs w:val="24"/>
              </w:rPr>
              <w:t>0</w:t>
            </w:r>
            <w:r>
              <w:rPr>
                <w:rFonts w:hint="eastAsia" w:hAnsi="宋体" w:cs="宋体"/>
                <w:color w:val="auto"/>
                <w:kern w:val="0"/>
                <w:sz w:val="24"/>
                <w:szCs w:val="24"/>
              </w:rPr>
              <w:t>℃</w:t>
            </w:r>
            <w:r>
              <w:rPr>
                <w:color w:val="auto"/>
                <w:kern w:val="0"/>
                <w:sz w:val="24"/>
                <w:szCs w:val="24"/>
              </w:rPr>
              <w:t>~40</w:t>
            </w:r>
            <w:r>
              <w:rPr>
                <w:rFonts w:hint="eastAsia" w:hAnsi="宋体" w:cs="宋体"/>
                <w:color w:val="auto"/>
                <w:kern w:val="0"/>
                <w:sz w:val="24"/>
                <w:szCs w:val="24"/>
              </w:rPr>
              <w:t>℃；工作湿度：相对湿度</w:t>
            </w:r>
            <w:r>
              <w:rPr>
                <w:color w:val="auto"/>
                <w:kern w:val="0"/>
                <w:sz w:val="24"/>
                <w:szCs w:val="24"/>
              </w:rPr>
              <w:t>=95%</w:t>
            </w:r>
            <w:r>
              <w:rPr>
                <w:rFonts w:hint="eastAsia" w:hAnsi="宋体" w:cs="宋体"/>
                <w:color w:val="auto"/>
                <w:kern w:val="0"/>
                <w:sz w:val="24"/>
                <w:szCs w:val="24"/>
              </w:rPr>
              <w:t>；工作海拔：</w:t>
            </w:r>
            <w:r>
              <w:rPr>
                <w:color w:val="auto"/>
                <w:kern w:val="0"/>
                <w:sz w:val="24"/>
                <w:szCs w:val="24"/>
              </w:rPr>
              <w:t>2000</w:t>
            </w:r>
            <w:r>
              <w:rPr>
                <w:rFonts w:hint="eastAsia" w:hAnsi="宋体" w:cs="宋体"/>
                <w:color w:val="auto"/>
                <w:kern w:val="0"/>
                <w:sz w:val="24"/>
                <w:szCs w:val="24"/>
              </w:rPr>
              <w:t>米不降额；输入电压范围</w:t>
            </w:r>
            <w:r>
              <w:rPr>
                <w:color w:val="auto"/>
                <w:kern w:val="0"/>
                <w:sz w:val="24"/>
                <w:szCs w:val="24"/>
              </w:rPr>
              <w:t xml:space="preserve"> 176V AC</w:t>
            </w:r>
            <w:r>
              <w:rPr>
                <w:rFonts w:hint="eastAsia" w:hAnsi="宋体" w:cs="宋体"/>
                <w:color w:val="auto"/>
                <w:kern w:val="0"/>
                <w:sz w:val="24"/>
                <w:szCs w:val="24"/>
              </w:rPr>
              <w:t>～</w:t>
            </w:r>
            <w:r>
              <w:rPr>
                <w:color w:val="auto"/>
                <w:kern w:val="0"/>
                <w:sz w:val="24"/>
                <w:szCs w:val="24"/>
              </w:rPr>
              <w:t>264V AC 1Ph</w:t>
            </w:r>
            <w:r>
              <w:rPr>
                <w:rFonts w:hint="eastAsia" w:cs="宋体"/>
                <w:color w:val="auto"/>
                <w:kern w:val="0"/>
                <w:sz w:val="24"/>
                <w:szCs w:val="24"/>
              </w:rPr>
              <w:t>；</w:t>
            </w:r>
          </w:p>
          <w:p>
            <w:pPr>
              <w:widowControl/>
              <w:jc w:val="left"/>
              <w:textAlignment w:val="top"/>
              <w:rPr>
                <w:color w:val="auto"/>
                <w:kern w:val="0"/>
                <w:sz w:val="24"/>
                <w:szCs w:val="24"/>
              </w:rPr>
            </w:pPr>
            <w:r>
              <w:rPr>
                <w:color w:val="auto"/>
                <w:kern w:val="0"/>
                <w:sz w:val="24"/>
                <w:szCs w:val="24"/>
              </w:rPr>
              <w:t>4</w:t>
            </w:r>
            <w:r>
              <w:rPr>
                <w:rFonts w:hint="eastAsia" w:hAnsi="宋体" w:cs="宋体"/>
                <w:color w:val="auto"/>
                <w:kern w:val="0"/>
                <w:sz w:val="24"/>
                <w:szCs w:val="24"/>
              </w:rPr>
              <w:t>、</w:t>
            </w:r>
            <w:r>
              <w:rPr>
                <w:color w:val="auto"/>
                <w:kern w:val="0"/>
                <w:sz w:val="24"/>
                <w:szCs w:val="24"/>
              </w:rPr>
              <w:t xml:space="preserve"> </w:t>
            </w:r>
            <w:r>
              <w:rPr>
                <w:rFonts w:hint="eastAsia" w:hAnsi="宋体" w:cs="宋体"/>
                <w:color w:val="auto"/>
                <w:kern w:val="0"/>
                <w:sz w:val="24"/>
                <w:szCs w:val="24"/>
              </w:rPr>
              <w:t>输入电压</w:t>
            </w:r>
            <w:r>
              <w:rPr>
                <w:color w:val="auto"/>
                <w:kern w:val="0"/>
                <w:sz w:val="24"/>
                <w:szCs w:val="24"/>
              </w:rPr>
              <w:t xml:space="preserve"> 220V AC</w:t>
            </w:r>
            <w:r>
              <w:rPr>
                <w:rFonts w:hint="eastAsia" w:hAnsi="宋体" w:cs="宋体"/>
                <w:color w:val="auto"/>
                <w:kern w:val="0"/>
                <w:sz w:val="24"/>
                <w:szCs w:val="24"/>
              </w:rPr>
              <w:t>；输入电流</w:t>
            </w:r>
            <w:r>
              <w:rPr>
                <w:color w:val="auto"/>
                <w:kern w:val="0"/>
                <w:sz w:val="24"/>
                <w:szCs w:val="24"/>
              </w:rPr>
              <w:t xml:space="preserve"> 32A</w:t>
            </w:r>
            <w:r>
              <w:rPr>
                <w:rFonts w:hint="eastAsia" w:hAnsi="宋体" w:cs="宋体"/>
                <w:color w:val="auto"/>
                <w:kern w:val="0"/>
                <w:sz w:val="24"/>
                <w:szCs w:val="24"/>
              </w:rPr>
              <w:t>；输入路数</w:t>
            </w:r>
            <w:r>
              <w:rPr>
                <w:color w:val="auto"/>
                <w:kern w:val="0"/>
                <w:sz w:val="24"/>
                <w:szCs w:val="24"/>
              </w:rPr>
              <w:t xml:space="preserve"> </w:t>
            </w:r>
            <w:r>
              <w:rPr>
                <w:rFonts w:hint="eastAsia" w:hAnsi="宋体" w:cs="宋体"/>
                <w:color w:val="auto"/>
                <w:kern w:val="0"/>
                <w:sz w:val="24"/>
                <w:szCs w:val="24"/>
              </w:rPr>
              <w:t>单路；</w:t>
            </w:r>
            <w:r>
              <w:rPr>
                <w:color w:val="auto"/>
                <w:kern w:val="0"/>
                <w:sz w:val="24"/>
                <w:szCs w:val="24"/>
              </w:rPr>
              <w:t>GB</w:t>
            </w:r>
            <w:r>
              <w:rPr>
                <w:rFonts w:hint="eastAsia" w:hAnsi="宋体" w:cs="宋体"/>
                <w:color w:val="auto"/>
                <w:kern w:val="0"/>
                <w:sz w:val="24"/>
                <w:szCs w:val="24"/>
              </w:rPr>
              <w:t>（插座）：</w:t>
            </w:r>
            <w:r>
              <w:rPr>
                <w:color w:val="auto"/>
                <w:kern w:val="0"/>
                <w:sz w:val="24"/>
                <w:szCs w:val="24"/>
              </w:rPr>
              <w:t>20×GB 10A+4×GB16A</w:t>
            </w:r>
            <w:r>
              <w:rPr>
                <w:rFonts w:hint="eastAsia" w:hAnsi="宋体" w:cs="宋体"/>
                <w:color w:val="auto"/>
                <w:kern w:val="0"/>
                <w:sz w:val="24"/>
                <w:szCs w:val="24"/>
              </w:rPr>
              <w:t>；外观尺寸（长</w:t>
            </w:r>
            <w:r>
              <w:rPr>
                <w:color w:val="auto"/>
                <w:kern w:val="0"/>
                <w:sz w:val="24"/>
                <w:szCs w:val="24"/>
              </w:rPr>
              <w:t>×</w:t>
            </w:r>
            <w:r>
              <w:rPr>
                <w:rFonts w:hint="eastAsia" w:hAnsi="宋体" w:cs="宋体"/>
                <w:color w:val="auto"/>
                <w:kern w:val="0"/>
                <w:sz w:val="24"/>
                <w:szCs w:val="24"/>
              </w:rPr>
              <w:t>宽</w:t>
            </w:r>
            <w:r>
              <w:rPr>
                <w:color w:val="auto"/>
                <w:kern w:val="0"/>
                <w:sz w:val="24"/>
                <w:szCs w:val="24"/>
              </w:rPr>
              <w:t>×</w:t>
            </w:r>
            <w:r>
              <w:rPr>
                <w:rFonts w:hint="eastAsia" w:hAnsi="宋体" w:cs="宋体"/>
                <w:color w:val="auto"/>
                <w:kern w:val="0"/>
                <w:sz w:val="24"/>
                <w:szCs w:val="24"/>
              </w:rPr>
              <w:t>深）</w:t>
            </w:r>
            <w:r>
              <w:rPr>
                <w:color w:val="auto"/>
                <w:kern w:val="0"/>
                <w:sz w:val="24"/>
                <w:szCs w:val="24"/>
              </w:rPr>
              <w:t xml:space="preserve"> 1865mm×55mm×44.5mm</w:t>
            </w:r>
            <w:r>
              <w:rPr>
                <w:rFonts w:hint="eastAsia" w:hAnsi="宋体" w:cs="宋体"/>
                <w:color w:val="auto"/>
                <w:kern w:val="0"/>
                <w:sz w:val="24"/>
                <w:szCs w:val="24"/>
              </w:rPr>
              <w:t>；安装方式</w:t>
            </w:r>
            <w:r>
              <w:rPr>
                <w:color w:val="auto"/>
                <w:kern w:val="0"/>
                <w:sz w:val="24"/>
                <w:szCs w:val="24"/>
              </w:rPr>
              <w:t xml:space="preserve"> </w:t>
            </w:r>
            <w:r>
              <w:rPr>
                <w:rFonts w:hint="eastAsia" w:hAnsi="宋体" w:cs="宋体"/>
                <w:color w:val="auto"/>
                <w:kern w:val="0"/>
                <w:sz w:val="24"/>
                <w:szCs w:val="24"/>
              </w:rPr>
              <w:t>竖直安装</w:t>
            </w:r>
            <w:r>
              <w:rPr>
                <w:rFonts w:hint="eastAsia" w:cs="宋体"/>
                <w:color w:val="auto"/>
                <w:kern w:val="0"/>
                <w:sz w:val="24"/>
                <w:szCs w:val="24"/>
              </w:rPr>
              <w:t>。</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8</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5</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水浸</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rFonts w:hint="eastAsia" w:hAnsi="宋体" w:cs="宋体"/>
                <w:color w:val="auto"/>
                <w:kern w:val="0"/>
                <w:sz w:val="24"/>
                <w:szCs w:val="24"/>
              </w:rPr>
              <w:t>传感器</w:t>
            </w:r>
            <w:r>
              <w:rPr>
                <w:color w:val="auto"/>
                <w:kern w:val="0"/>
                <w:sz w:val="24"/>
                <w:szCs w:val="24"/>
              </w:rPr>
              <w:t>-</w:t>
            </w:r>
            <w:r>
              <w:rPr>
                <w:rFonts w:hint="eastAsia" w:hAnsi="宋体" w:cs="宋体"/>
                <w:color w:val="auto"/>
                <w:kern w:val="0"/>
                <w:sz w:val="24"/>
                <w:szCs w:val="24"/>
              </w:rPr>
              <w:t>非定位式水浸传感器</w:t>
            </w:r>
            <w:r>
              <w:rPr>
                <w:color w:val="auto"/>
                <w:kern w:val="0"/>
                <w:sz w:val="24"/>
                <w:szCs w:val="24"/>
              </w:rPr>
              <w:t>-12VDC-</w:t>
            </w:r>
            <w:r>
              <w:rPr>
                <w:rFonts w:hint="eastAsia" w:hAnsi="宋体" w:cs="宋体"/>
                <w:color w:val="auto"/>
                <w:kern w:val="0"/>
                <w:sz w:val="24"/>
                <w:szCs w:val="24"/>
              </w:rPr>
              <w:t>支持常开或常闭触点</w:t>
            </w:r>
            <w:r>
              <w:rPr>
                <w:color w:val="auto"/>
                <w:kern w:val="0"/>
                <w:sz w:val="24"/>
                <w:szCs w:val="24"/>
              </w:rPr>
              <w:t>-</w:t>
            </w:r>
            <w:r>
              <w:rPr>
                <w:rFonts w:hint="eastAsia" w:hAnsi="宋体" w:cs="宋体"/>
                <w:color w:val="auto"/>
                <w:kern w:val="0"/>
                <w:sz w:val="24"/>
                <w:szCs w:val="24"/>
              </w:rPr>
              <w:t>标配</w:t>
            </w:r>
            <w:r>
              <w:rPr>
                <w:color w:val="auto"/>
                <w:kern w:val="0"/>
                <w:sz w:val="24"/>
                <w:szCs w:val="24"/>
              </w:rPr>
              <w:t>5m</w:t>
            </w:r>
            <w:r>
              <w:rPr>
                <w:rFonts w:hint="eastAsia" w:hAnsi="宋体" w:cs="宋体"/>
                <w:color w:val="auto"/>
                <w:kern w:val="0"/>
                <w:sz w:val="24"/>
                <w:szCs w:val="24"/>
              </w:rPr>
              <w:t>水浸绳</w:t>
            </w:r>
            <w:r>
              <w:rPr>
                <w:color w:val="auto"/>
                <w:kern w:val="0"/>
                <w:sz w:val="24"/>
                <w:szCs w:val="24"/>
              </w:rPr>
              <w:t>,</w:t>
            </w:r>
            <w:r>
              <w:rPr>
                <w:rFonts w:hint="eastAsia" w:hAnsi="宋体" w:cs="宋体"/>
                <w:color w:val="auto"/>
                <w:kern w:val="0"/>
                <w:sz w:val="24"/>
                <w:szCs w:val="24"/>
              </w:rPr>
              <w:t>最大延长到</w:t>
            </w:r>
            <w:r>
              <w:rPr>
                <w:color w:val="auto"/>
                <w:kern w:val="0"/>
                <w:sz w:val="24"/>
                <w:szCs w:val="24"/>
              </w:rPr>
              <w:t>50m</w:t>
            </w:r>
            <w:r>
              <w:rPr>
                <w:rFonts w:hint="eastAsia" w:hAnsi="宋体" w:cs="宋体"/>
                <w:color w:val="auto"/>
                <w:kern w:val="0"/>
                <w:sz w:val="24"/>
                <w:szCs w:val="24"/>
              </w:rPr>
              <w:t>，能对微模块底部进行漏水检测，提供实时告警信号。</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1</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6</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温湿度传感器</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rFonts w:hint="eastAsia" w:hAnsi="宋体" w:cs="宋体"/>
                <w:color w:val="auto"/>
                <w:kern w:val="0"/>
                <w:sz w:val="24"/>
                <w:szCs w:val="24"/>
              </w:rPr>
              <w:t>温湿度传感器</w:t>
            </w:r>
            <w:r>
              <w:rPr>
                <w:color w:val="auto"/>
                <w:kern w:val="0"/>
                <w:sz w:val="24"/>
                <w:szCs w:val="24"/>
              </w:rPr>
              <w:t>-10-16VDC--20-70degC-+/-1degC(25degC)-NTC-</w:t>
            </w:r>
            <w:r>
              <w:rPr>
                <w:rFonts w:hint="eastAsia" w:hAnsi="宋体" w:cs="宋体"/>
                <w:color w:val="auto"/>
                <w:kern w:val="0"/>
                <w:sz w:val="24"/>
                <w:szCs w:val="24"/>
              </w:rPr>
              <w:t>温度传感器。</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8</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7</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视频网络</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rFonts w:hint="eastAsia" w:hAnsi="宋体" w:cs="宋体"/>
                <w:color w:val="auto"/>
                <w:kern w:val="0"/>
                <w:sz w:val="24"/>
                <w:szCs w:val="24"/>
              </w:rPr>
              <w:t>组件</w:t>
            </w:r>
            <w:r>
              <w:rPr>
                <w:color w:val="auto"/>
                <w:kern w:val="0"/>
                <w:sz w:val="24"/>
                <w:szCs w:val="24"/>
              </w:rPr>
              <w:t>/</w:t>
            </w:r>
            <w:r>
              <w:rPr>
                <w:rFonts w:hint="eastAsia" w:hAnsi="宋体" w:cs="宋体"/>
                <w:color w:val="auto"/>
                <w:kern w:val="0"/>
                <w:sz w:val="24"/>
                <w:szCs w:val="24"/>
              </w:rPr>
              <w:t>附件</w:t>
            </w:r>
            <w:r>
              <w:rPr>
                <w:color w:val="auto"/>
                <w:kern w:val="0"/>
                <w:sz w:val="24"/>
                <w:szCs w:val="24"/>
              </w:rPr>
              <w:t>-FusionModule800-</w:t>
            </w:r>
            <w:r>
              <w:rPr>
                <w:rFonts w:hint="eastAsia" w:hAnsi="宋体" w:cs="宋体"/>
                <w:color w:val="auto"/>
                <w:kern w:val="0"/>
                <w:sz w:val="24"/>
                <w:szCs w:val="24"/>
              </w:rPr>
              <w:t>扩展包</w:t>
            </w:r>
            <w:r>
              <w:rPr>
                <w:color w:val="auto"/>
                <w:kern w:val="0"/>
                <w:sz w:val="24"/>
                <w:szCs w:val="24"/>
              </w:rPr>
              <w:t>-</w:t>
            </w:r>
            <w:r>
              <w:rPr>
                <w:rFonts w:hint="eastAsia" w:hAnsi="宋体" w:cs="宋体"/>
                <w:color w:val="auto"/>
                <w:kern w:val="0"/>
                <w:sz w:val="24"/>
                <w:szCs w:val="24"/>
              </w:rPr>
              <w:t>视频单元</w:t>
            </w:r>
            <w:r>
              <w:rPr>
                <w:color w:val="auto"/>
                <w:kern w:val="0"/>
                <w:sz w:val="24"/>
                <w:szCs w:val="24"/>
              </w:rPr>
              <w:t>-FE/DC12V/POE/SD</w:t>
            </w:r>
            <w:r>
              <w:rPr>
                <w:rFonts w:hint="eastAsia" w:hAnsi="宋体" w:cs="宋体"/>
                <w:color w:val="auto"/>
                <w:kern w:val="0"/>
                <w:sz w:val="24"/>
                <w:szCs w:val="24"/>
              </w:rPr>
              <w:t>卡</w:t>
            </w:r>
            <w:r>
              <w:rPr>
                <w:color w:val="auto"/>
                <w:kern w:val="0"/>
                <w:sz w:val="24"/>
                <w:szCs w:val="24"/>
              </w:rPr>
              <w:t>-</w:t>
            </w:r>
            <w:r>
              <w:rPr>
                <w:rFonts w:hint="eastAsia" w:hAnsi="宋体" w:cs="宋体"/>
                <w:color w:val="auto"/>
                <w:kern w:val="0"/>
                <w:sz w:val="24"/>
                <w:szCs w:val="24"/>
              </w:rPr>
              <w:t>存储时间</w:t>
            </w:r>
            <w:r>
              <w:rPr>
                <w:color w:val="auto"/>
                <w:kern w:val="0"/>
                <w:sz w:val="24"/>
                <w:szCs w:val="24"/>
              </w:rPr>
              <w:t>&lt;=7</w:t>
            </w:r>
            <w:r>
              <w:rPr>
                <w:rFonts w:hint="eastAsia" w:hAnsi="宋体" w:cs="宋体"/>
                <w:color w:val="auto"/>
                <w:kern w:val="0"/>
                <w:sz w:val="24"/>
                <w:szCs w:val="24"/>
              </w:rPr>
              <w:t>天。</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1</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8</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空调安装组件</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rFonts w:hint="eastAsia" w:hAnsi="宋体" w:cs="宋体"/>
                <w:color w:val="auto"/>
                <w:kern w:val="0"/>
                <w:sz w:val="24"/>
                <w:szCs w:val="24"/>
              </w:rPr>
              <w:t>空调配套件</w:t>
            </w:r>
            <w:r>
              <w:rPr>
                <w:color w:val="auto"/>
                <w:kern w:val="0"/>
                <w:sz w:val="24"/>
                <w:szCs w:val="24"/>
              </w:rPr>
              <w:t>-</w:t>
            </w:r>
            <w:r>
              <w:rPr>
                <w:rFonts w:hint="eastAsia" w:hAnsi="宋体" w:cs="宋体"/>
                <w:color w:val="auto"/>
                <w:kern w:val="0"/>
                <w:sz w:val="24"/>
                <w:szCs w:val="24"/>
              </w:rPr>
              <w:t>智能温控产品配套件</w:t>
            </w:r>
            <w:r>
              <w:rPr>
                <w:color w:val="auto"/>
                <w:kern w:val="0"/>
                <w:sz w:val="24"/>
                <w:szCs w:val="24"/>
              </w:rPr>
              <w:t>-FusionModule800</w:t>
            </w:r>
            <w:r>
              <w:rPr>
                <w:rFonts w:hint="eastAsia" w:hAnsi="宋体" w:cs="宋体"/>
                <w:color w:val="auto"/>
                <w:kern w:val="0"/>
                <w:sz w:val="24"/>
                <w:szCs w:val="24"/>
              </w:rPr>
              <w:t>综合柜单空调下走管管路组件</w:t>
            </w:r>
            <w:r>
              <w:rPr>
                <w:color w:val="auto"/>
                <w:kern w:val="0"/>
                <w:sz w:val="24"/>
                <w:szCs w:val="24"/>
              </w:rPr>
              <w:t>_5/8</w:t>
            </w:r>
            <w:r>
              <w:rPr>
                <w:rFonts w:hint="eastAsia" w:hAnsi="宋体" w:cs="宋体"/>
                <w:color w:val="auto"/>
                <w:kern w:val="0"/>
                <w:sz w:val="24"/>
                <w:szCs w:val="24"/>
              </w:rPr>
              <w:t>英寸</w:t>
            </w:r>
            <w:r>
              <w:rPr>
                <w:color w:val="auto"/>
                <w:kern w:val="0"/>
                <w:sz w:val="24"/>
                <w:szCs w:val="24"/>
              </w:rPr>
              <w:t>(</w:t>
            </w:r>
            <w:r>
              <w:rPr>
                <w:rFonts w:hint="eastAsia" w:hAnsi="宋体" w:cs="宋体"/>
                <w:color w:val="auto"/>
                <w:kern w:val="0"/>
                <w:sz w:val="24"/>
                <w:szCs w:val="24"/>
              </w:rPr>
              <w:t>气管</w:t>
            </w:r>
            <w:r>
              <w:rPr>
                <w:color w:val="auto"/>
                <w:kern w:val="0"/>
                <w:sz w:val="24"/>
                <w:szCs w:val="24"/>
              </w:rPr>
              <w:t>)&amp;3/8</w:t>
            </w:r>
            <w:r>
              <w:rPr>
                <w:rFonts w:hint="eastAsia" w:hAnsi="宋体" w:cs="宋体"/>
                <w:color w:val="auto"/>
                <w:kern w:val="0"/>
                <w:sz w:val="24"/>
                <w:szCs w:val="24"/>
              </w:rPr>
              <w:t>英寸</w:t>
            </w:r>
            <w:r>
              <w:rPr>
                <w:color w:val="auto"/>
                <w:kern w:val="0"/>
                <w:sz w:val="24"/>
                <w:szCs w:val="24"/>
              </w:rPr>
              <w:t>(</w:t>
            </w:r>
            <w:r>
              <w:rPr>
                <w:rFonts w:hint="eastAsia" w:hAnsi="宋体" w:cs="宋体"/>
                <w:color w:val="auto"/>
                <w:kern w:val="0"/>
                <w:sz w:val="24"/>
                <w:szCs w:val="24"/>
              </w:rPr>
              <w:t>液管</w:t>
            </w:r>
            <w:r>
              <w:rPr>
                <w:color w:val="auto"/>
                <w:kern w:val="0"/>
                <w:sz w:val="24"/>
                <w:szCs w:val="24"/>
              </w:rPr>
              <w:t>)x2M_(</w:t>
            </w:r>
            <w:r>
              <w:rPr>
                <w:rFonts w:hint="eastAsia" w:hAnsi="宋体" w:cs="宋体"/>
                <w:color w:val="auto"/>
                <w:kern w:val="0"/>
                <w:sz w:val="24"/>
                <w:szCs w:val="24"/>
              </w:rPr>
              <w:t>含工程辅料</w:t>
            </w:r>
            <w:r>
              <w:rPr>
                <w:color w:val="auto"/>
                <w:kern w:val="0"/>
                <w:sz w:val="24"/>
                <w:szCs w:val="24"/>
              </w:rPr>
              <w:t>)</w:t>
            </w:r>
            <w:r>
              <w:rPr>
                <w:rFonts w:hint="eastAsia" w:cs="宋体"/>
                <w:color w:val="auto"/>
                <w:kern w:val="0"/>
                <w:sz w:val="24"/>
                <w:szCs w:val="24"/>
              </w:rPr>
              <w:t>。</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1</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9</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电池柜</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color w:val="auto"/>
                <w:kern w:val="0"/>
                <w:sz w:val="24"/>
                <w:szCs w:val="24"/>
              </w:rPr>
              <w:t>C32 -</w:t>
            </w:r>
            <w:r>
              <w:rPr>
                <w:rFonts w:hint="eastAsia" w:hAnsi="宋体" w:cs="宋体"/>
                <w:color w:val="auto"/>
                <w:kern w:val="0"/>
                <w:sz w:val="24"/>
                <w:szCs w:val="24"/>
              </w:rPr>
              <w:t>立放四层电池箱，含电池间连接线（宽</w:t>
            </w:r>
            <w:r>
              <w:rPr>
                <w:color w:val="auto"/>
                <w:kern w:val="0"/>
                <w:sz w:val="24"/>
                <w:szCs w:val="24"/>
              </w:rPr>
              <w:t>780*</w:t>
            </w:r>
            <w:r>
              <w:rPr>
                <w:rFonts w:hint="eastAsia" w:hAnsi="宋体" w:cs="宋体"/>
                <w:color w:val="auto"/>
                <w:kern w:val="0"/>
                <w:sz w:val="24"/>
                <w:szCs w:val="24"/>
              </w:rPr>
              <w:t>长</w:t>
            </w:r>
            <w:r>
              <w:rPr>
                <w:color w:val="auto"/>
                <w:kern w:val="0"/>
                <w:sz w:val="24"/>
                <w:szCs w:val="24"/>
              </w:rPr>
              <w:t>880*</w:t>
            </w:r>
            <w:r>
              <w:rPr>
                <w:rFonts w:hint="eastAsia" w:hAnsi="宋体" w:cs="宋体"/>
                <w:color w:val="auto"/>
                <w:kern w:val="0"/>
                <w:sz w:val="24"/>
                <w:szCs w:val="24"/>
              </w:rPr>
              <w:t>高</w:t>
            </w:r>
            <w:r>
              <w:rPr>
                <w:color w:val="auto"/>
                <w:kern w:val="0"/>
                <w:sz w:val="24"/>
                <w:szCs w:val="24"/>
              </w:rPr>
              <w:t>1185</w:t>
            </w:r>
            <w:r>
              <w:rPr>
                <w:rFonts w:hint="eastAsia" w:hAnsi="宋体" w:cs="宋体"/>
                <w:color w:val="auto"/>
                <w:kern w:val="0"/>
                <w:sz w:val="24"/>
                <w:szCs w:val="24"/>
              </w:rPr>
              <w:t>）</w:t>
            </w:r>
            <w:r>
              <w:rPr>
                <w:color w:val="auto"/>
                <w:kern w:val="0"/>
                <w:sz w:val="24"/>
                <w:szCs w:val="24"/>
              </w:rPr>
              <w:t>mm</w:t>
            </w:r>
            <w:r>
              <w:rPr>
                <w:rFonts w:hint="eastAsia" w:cs="宋体"/>
                <w:color w:val="auto"/>
                <w:kern w:val="0"/>
                <w:sz w:val="24"/>
                <w:szCs w:val="24"/>
              </w:rPr>
              <w:t>。</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4</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10</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蓄电池</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rPr>
            </w:pPr>
            <w:r>
              <w:rPr>
                <w:color w:val="auto"/>
                <w:kern w:val="0"/>
                <w:sz w:val="24"/>
                <w:szCs w:val="24"/>
              </w:rPr>
              <w:t>64</w:t>
            </w:r>
            <w:r>
              <w:rPr>
                <w:rFonts w:hint="eastAsia" w:hAnsi="宋体" w:cs="宋体"/>
                <w:color w:val="auto"/>
                <w:kern w:val="0"/>
                <w:sz w:val="24"/>
                <w:szCs w:val="24"/>
              </w:rPr>
              <w:t>节铅酸蓄电池</w:t>
            </w:r>
            <w:r>
              <w:rPr>
                <w:color w:val="auto"/>
                <w:kern w:val="0"/>
                <w:sz w:val="24"/>
                <w:szCs w:val="24"/>
              </w:rPr>
              <w:t>12V/100AH</w:t>
            </w:r>
            <w:r>
              <w:rPr>
                <w:rFonts w:hint="eastAsia" w:hAnsi="宋体" w:cs="宋体"/>
                <w:color w:val="auto"/>
                <w:kern w:val="0"/>
                <w:sz w:val="24"/>
                <w:szCs w:val="24"/>
              </w:rPr>
              <w:t>，实现所有弱电系统备电</w:t>
            </w:r>
            <w:r>
              <w:rPr>
                <w:color w:val="auto"/>
                <w:kern w:val="0"/>
                <w:sz w:val="24"/>
                <w:szCs w:val="24"/>
              </w:rPr>
              <w:t>2</w:t>
            </w:r>
            <w:r>
              <w:rPr>
                <w:rFonts w:hint="eastAsia" w:hAnsi="宋体" w:cs="宋体"/>
                <w:color w:val="auto"/>
                <w:kern w:val="0"/>
                <w:sz w:val="24"/>
                <w:szCs w:val="24"/>
              </w:rPr>
              <w:t>小时，电池容量：</w:t>
            </w:r>
            <w:r>
              <w:rPr>
                <w:color w:val="auto"/>
                <w:kern w:val="0"/>
                <w:sz w:val="24"/>
                <w:szCs w:val="24"/>
              </w:rPr>
              <w:t>100AH</w:t>
            </w:r>
            <w:r>
              <w:rPr>
                <w:rFonts w:hint="eastAsia" w:cs="宋体"/>
                <w:color w:val="auto"/>
                <w:kern w:val="0"/>
                <w:sz w:val="24"/>
                <w:szCs w:val="24"/>
              </w:rPr>
              <w:t>。</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64</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块</w:t>
            </w:r>
          </w:p>
        </w:tc>
      </w:tr>
      <w:tr>
        <w:tblPrEx>
          <w:tblCellMar>
            <w:top w:w="0" w:type="dxa"/>
            <w:left w:w="10" w:type="dxa"/>
            <w:bottom w:w="0" w:type="dxa"/>
            <w:right w:w="10" w:type="dxa"/>
          </w:tblCellMar>
        </w:tblPrEx>
        <w:trPr>
          <w:trHeight w:val="785" w:hRule="atLeast"/>
        </w:trPr>
        <w:tc>
          <w:tcPr>
            <w:tcW w:w="73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jc w:val="center"/>
              <w:rPr>
                <w:color w:val="auto"/>
              </w:rPr>
            </w:pPr>
            <w:r>
              <w:rPr>
                <w:color w:val="auto"/>
                <w:sz w:val="24"/>
                <w:szCs w:val="24"/>
              </w:rPr>
              <w:t>11</w:t>
            </w:r>
          </w:p>
        </w:tc>
        <w:tc>
          <w:tcPr>
            <w:tcW w:w="116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color w:val="auto"/>
                <w:kern w:val="0"/>
              </w:rPr>
            </w:pPr>
            <w:r>
              <w:rPr>
                <w:rFonts w:hint="eastAsia" w:hAnsi="宋体" w:cs="宋体"/>
                <w:color w:val="auto"/>
                <w:kern w:val="0"/>
                <w:sz w:val="24"/>
                <w:szCs w:val="24"/>
              </w:rPr>
              <w:t>安装调试</w:t>
            </w:r>
          </w:p>
        </w:tc>
        <w:tc>
          <w:tcPr>
            <w:tcW w:w="7003" w:type="dxa"/>
            <w:tcBorders>
              <w:top w:val="single" w:color="000000" w:sz="4" w:space="0"/>
              <w:left w:val="single" w:color="000000" w:sz="6" w:space="0"/>
              <w:bottom w:val="single" w:color="000000" w:sz="4" w:space="0"/>
              <w:right w:val="single" w:color="000000" w:sz="4" w:space="0"/>
            </w:tcBorders>
            <w:tcMar>
              <w:left w:w="108" w:type="dxa"/>
              <w:right w:w="108" w:type="dxa"/>
            </w:tcMar>
          </w:tcPr>
          <w:p>
            <w:pPr>
              <w:widowControl/>
              <w:jc w:val="left"/>
              <w:textAlignment w:val="top"/>
              <w:rPr>
                <w:color w:val="auto"/>
                <w:kern w:val="0"/>
                <w:sz w:val="24"/>
                <w:szCs w:val="24"/>
              </w:rPr>
            </w:pPr>
            <w:r>
              <w:rPr>
                <w:rFonts w:hint="eastAsia" w:hAnsi="宋体" w:cs="宋体"/>
                <w:color w:val="auto"/>
                <w:kern w:val="0"/>
                <w:sz w:val="24"/>
                <w:szCs w:val="24"/>
              </w:rPr>
              <w:t>含空调铜管，</w:t>
            </w:r>
            <w:r>
              <w:rPr>
                <w:color w:val="auto"/>
                <w:kern w:val="0"/>
                <w:sz w:val="24"/>
                <w:szCs w:val="24"/>
              </w:rPr>
              <w:t>PDU</w:t>
            </w:r>
            <w:r>
              <w:rPr>
                <w:rFonts w:hint="eastAsia" w:hAnsi="宋体" w:cs="宋体"/>
                <w:color w:val="auto"/>
                <w:kern w:val="0"/>
                <w:sz w:val="24"/>
                <w:szCs w:val="24"/>
              </w:rPr>
              <w:t>线缆，空调外机电源线、信号线，物流费、安装调试。</w:t>
            </w:r>
          </w:p>
        </w:tc>
        <w:tc>
          <w:tcPr>
            <w:tcW w:w="65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color w:val="auto"/>
                <w:kern w:val="0"/>
                <w:sz w:val="24"/>
                <w:szCs w:val="24"/>
              </w:rPr>
              <w:t>1</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spacing w:line="400" w:lineRule="exact"/>
              <w:jc w:val="center"/>
              <w:textAlignment w:val="center"/>
              <w:rPr>
                <w:color w:val="auto"/>
                <w:kern w:val="0"/>
              </w:rPr>
            </w:pPr>
            <w:r>
              <w:rPr>
                <w:rFonts w:hint="eastAsia" w:hAnsi="宋体" w:cs="宋体"/>
                <w:color w:val="auto"/>
                <w:kern w:val="0"/>
                <w:sz w:val="24"/>
                <w:szCs w:val="24"/>
              </w:rPr>
              <w:t>项</w:t>
            </w:r>
          </w:p>
        </w:tc>
      </w:tr>
    </w:tbl>
    <w:p>
      <w:pPr>
        <w:keepNext/>
        <w:keepLines/>
        <w:spacing w:before="156" w:after="156" w:line="400" w:lineRule="exact"/>
        <w:outlineLvl w:val="2"/>
        <w:rPr>
          <w:rFonts w:ascii="宋体"/>
          <w:b/>
          <w:bCs/>
          <w:color w:val="auto"/>
          <w:sz w:val="24"/>
          <w:szCs w:val="24"/>
        </w:rPr>
      </w:pPr>
      <w:bookmarkStart w:id="890" w:name="_Toc82882792"/>
      <w:r>
        <w:rPr>
          <w:rFonts w:ascii="宋体" w:hAnsi="宋体" w:cs="宋体"/>
          <w:b/>
          <w:bCs/>
          <w:color w:val="auto"/>
          <w:sz w:val="24"/>
          <w:szCs w:val="24"/>
        </w:rPr>
        <w:t>4.2.3</w:t>
      </w:r>
      <w:r>
        <w:rPr>
          <w:rFonts w:hint="eastAsia" w:ascii="宋体" w:hAnsi="宋体" w:cs="宋体"/>
          <w:b/>
          <w:bCs/>
          <w:color w:val="auto"/>
          <w:sz w:val="24"/>
          <w:szCs w:val="24"/>
        </w:rPr>
        <w:t>、核心交接系统</w:t>
      </w:r>
      <w:bookmarkEnd w:id="890"/>
    </w:p>
    <w:tbl>
      <w:tblPr>
        <w:tblStyle w:val="21"/>
        <w:tblW w:w="10287" w:type="dxa"/>
        <w:tblInd w:w="-858" w:type="dxa"/>
        <w:tblLayout w:type="autofit"/>
        <w:tblCellMar>
          <w:top w:w="0" w:type="dxa"/>
          <w:left w:w="10" w:type="dxa"/>
          <w:bottom w:w="0" w:type="dxa"/>
          <w:right w:w="10" w:type="dxa"/>
        </w:tblCellMar>
      </w:tblPr>
      <w:tblGrid>
        <w:gridCol w:w="774"/>
        <w:gridCol w:w="884"/>
        <w:gridCol w:w="7113"/>
        <w:gridCol w:w="742"/>
        <w:gridCol w:w="774"/>
      </w:tblGrid>
      <w:tr>
        <w:tblPrEx>
          <w:tblCellMar>
            <w:top w:w="0" w:type="dxa"/>
            <w:left w:w="10" w:type="dxa"/>
            <w:bottom w:w="0" w:type="dxa"/>
            <w:right w:w="10" w:type="dxa"/>
          </w:tblCellMar>
        </w:tblPrEx>
        <w:trPr>
          <w:trHeight w:val="1" w:hRule="atLeast"/>
        </w:trPr>
        <w:tc>
          <w:tcPr>
            <w:tcW w:w="7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序号</w:t>
            </w:r>
          </w:p>
        </w:tc>
        <w:tc>
          <w:tcPr>
            <w:tcW w:w="88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b/>
                <w:bCs/>
                <w:color w:val="auto"/>
                <w:sz w:val="24"/>
                <w:szCs w:val="24"/>
              </w:rPr>
            </w:pPr>
            <w:r>
              <w:rPr>
                <w:rFonts w:hint="eastAsia" w:ascii="宋体" w:hAnsi="宋体" w:cs="宋体"/>
                <w:b/>
                <w:bCs/>
                <w:color w:val="auto"/>
                <w:sz w:val="24"/>
                <w:szCs w:val="24"/>
              </w:rPr>
              <w:t>设备</w:t>
            </w:r>
            <w:r>
              <w:rPr>
                <w:rFonts w:ascii="宋体" w:hAnsi="宋体" w:cs="宋体"/>
                <w:b/>
                <w:bCs/>
                <w:color w:val="auto"/>
                <w:sz w:val="24"/>
                <w:szCs w:val="24"/>
              </w:rPr>
              <w:t xml:space="preserve">  </w:t>
            </w:r>
          </w:p>
          <w:p>
            <w:pPr>
              <w:jc w:val="center"/>
              <w:rPr>
                <w:rFonts w:ascii="宋体"/>
                <w:color w:val="auto"/>
                <w:sz w:val="24"/>
                <w:szCs w:val="24"/>
              </w:rPr>
            </w:pPr>
            <w:r>
              <w:rPr>
                <w:rFonts w:hint="eastAsia" w:ascii="宋体" w:hAnsi="宋体" w:cs="宋体"/>
                <w:b/>
                <w:bCs/>
                <w:color w:val="auto"/>
                <w:sz w:val="24"/>
                <w:szCs w:val="24"/>
              </w:rPr>
              <w:t>名称</w:t>
            </w:r>
          </w:p>
        </w:tc>
        <w:tc>
          <w:tcPr>
            <w:tcW w:w="7113"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规格配置要求</w:t>
            </w:r>
          </w:p>
        </w:tc>
        <w:tc>
          <w:tcPr>
            <w:tcW w:w="742"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数量</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74" w:type="dxa"/>
            <w:tcBorders>
              <w:top w:val="single" w:color="000000" w:sz="4" w:space="0"/>
              <w:left w:val="single" w:color="000000" w:sz="4" w:space="0"/>
              <w:bottom w:val="single" w:color="000000" w:sz="6"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1</w:t>
            </w:r>
          </w:p>
        </w:tc>
        <w:tc>
          <w:tcPr>
            <w:tcW w:w="884" w:type="dxa"/>
            <w:tcBorders>
              <w:top w:val="single" w:color="000000" w:sz="4" w:space="0"/>
              <w:left w:val="single" w:color="000000" w:sz="6" w:space="0"/>
              <w:bottom w:val="single" w:color="000000" w:sz="6"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hint="eastAsia" w:ascii="宋体" w:hAnsi="宋体" w:cs="宋体"/>
                <w:color w:val="auto"/>
                <w:sz w:val="24"/>
                <w:szCs w:val="24"/>
              </w:rPr>
              <w:t>核心交换机</w:t>
            </w:r>
          </w:p>
        </w:tc>
        <w:tc>
          <w:tcPr>
            <w:tcW w:w="7113"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、交换容量≥</w:t>
            </w:r>
            <w:r>
              <w:rPr>
                <w:rFonts w:ascii="宋体" w:hAnsi="宋体" w:cs="宋体"/>
                <w:color w:val="auto"/>
                <w:kern w:val="0"/>
                <w:sz w:val="24"/>
                <w:szCs w:val="24"/>
              </w:rPr>
              <w:t>19Tbps</w:t>
            </w:r>
            <w:r>
              <w:rPr>
                <w:rFonts w:hint="eastAsia" w:ascii="宋体" w:hAnsi="宋体" w:cs="宋体"/>
                <w:color w:val="auto"/>
                <w:kern w:val="0"/>
                <w:sz w:val="24"/>
                <w:szCs w:val="24"/>
              </w:rPr>
              <w:t>，包转发率≥</w:t>
            </w:r>
            <w:r>
              <w:rPr>
                <w:rFonts w:ascii="宋体" w:hAnsi="宋体" w:cs="宋体"/>
                <w:color w:val="auto"/>
                <w:kern w:val="0"/>
                <w:sz w:val="24"/>
                <w:szCs w:val="24"/>
              </w:rPr>
              <w:t>3000Mpps</w:t>
            </w:r>
            <w:r>
              <w:rPr>
                <w:rFonts w:hint="eastAsia" w:ascii="宋体" w:hAnsi="宋体" w:cs="宋体"/>
                <w:color w:val="auto"/>
                <w:kern w:val="0"/>
                <w:sz w:val="24"/>
                <w:szCs w:val="24"/>
              </w:rPr>
              <w:t>，以官网彩页最新参数为准；</w:t>
            </w:r>
          </w:p>
          <w:p>
            <w:pPr>
              <w:widowControl/>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、主控引擎≥</w:t>
            </w:r>
            <w:r>
              <w:rPr>
                <w:rFonts w:ascii="宋体" w:hAnsi="宋体" w:cs="宋体"/>
                <w:color w:val="auto"/>
                <w:kern w:val="0"/>
                <w:sz w:val="24"/>
                <w:szCs w:val="24"/>
              </w:rPr>
              <w:t>2</w:t>
            </w:r>
            <w:r>
              <w:rPr>
                <w:rFonts w:hint="eastAsia" w:ascii="宋体" w:hAnsi="宋体" w:cs="宋体"/>
                <w:color w:val="auto"/>
                <w:kern w:val="0"/>
                <w:sz w:val="24"/>
                <w:szCs w:val="24"/>
              </w:rPr>
              <w:t>；整机业务板槽位数≥</w:t>
            </w:r>
            <w:r>
              <w:rPr>
                <w:rFonts w:ascii="宋体" w:hAnsi="宋体" w:cs="宋体"/>
                <w:color w:val="auto"/>
                <w:kern w:val="0"/>
                <w:sz w:val="24"/>
                <w:szCs w:val="24"/>
              </w:rPr>
              <w:t>6</w:t>
            </w:r>
            <w:r>
              <w:rPr>
                <w:rFonts w:hint="eastAsia" w:ascii="宋体" w:hAnsi="宋体" w:cs="宋体"/>
                <w:color w:val="auto"/>
                <w:kern w:val="0"/>
                <w:sz w:val="24"/>
                <w:szCs w:val="24"/>
              </w:rPr>
              <w:t>，支持每槽位带宽≥</w:t>
            </w:r>
            <w:r>
              <w:rPr>
                <w:rFonts w:ascii="宋体" w:hAnsi="宋体" w:cs="宋体"/>
                <w:color w:val="auto"/>
                <w:kern w:val="0"/>
                <w:sz w:val="24"/>
                <w:szCs w:val="24"/>
              </w:rPr>
              <w:t>320Gbps</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、支持颗粒化电源，整机电源槽位数≥</w:t>
            </w:r>
            <w:r>
              <w:rPr>
                <w:rFonts w:ascii="宋体" w:hAnsi="宋体" w:cs="宋体"/>
                <w:color w:val="auto"/>
                <w:kern w:val="0"/>
                <w:sz w:val="24"/>
                <w:szCs w:val="24"/>
              </w:rPr>
              <w:t>2</w:t>
            </w:r>
            <w:r>
              <w:rPr>
                <w:rFonts w:hint="eastAsia" w:ascii="宋体" w:hAnsi="宋体" w:cs="宋体"/>
                <w:color w:val="auto"/>
                <w:kern w:val="0"/>
                <w:sz w:val="24"/>
                <w:szCs w:val="24"/>
              </w:rPr>
              <w:t>，为保证设备散热效果和可靠性，要求设备支持模块化风扇框，可热插拔，独立风扇框数≥</w:t>
            </w:r>
            <w:r>
              <w:rPr>
                <w:rFonts w:ascii="宋体" w:hAnsi="宋体" w:cs="宋体"/>
                <w:color w:val="auto"/>
                <w:kern w:val="0"/>
                <w:sz w:val="24"/>
                <w:szCs w:val="24"/>
              </w:rPr>
              <w:t>2</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、支持整机</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256K</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IPv4</w:t>
            </w:r>
            <w:r>
              <w:rPr>
                <w:rFonts w:hint="eastAsia" w:ascii="宋体" w:hAnsi="宋体" w:cs="宋体"/>
                <w:color w:val="auto"/>
                <w:kern w:val="0"/>
                <w:sz w:val="24"/>
                <w:szCs w:val="24"/>
              </w:rPr>
              <w:t>路由转发</w:t>
            </w:r>
            <w:r>
              <w:rPr>
                <w:rFonts w:ascii="宋体" w:hAnsi="宋体" w:cs="宋体"/>
                <w:color w:val="auto"/>
                <w:kern w:val="0"/>
                <w:sz w:val="24"/>
                <w:szCs w:val="24"/>
              </w:rPr>
              <w:t>FIB</w:t>
            </w:r>
            <w:r>
              <w:rPr>
                <w:rFonts w:hint="eastAsia" w:ascii="宋体" w:hAnsi="宋体" w:cs="宋体"/>
                <w:color w:val="auto"/>
                <w:kern w:val="0"/>
                <w:sz w:val="24"/>
                <w:szCs w:val="24"/>
              </w:rPr>
              <w:t>表项≥</w:t>
            </w:r>
            <w:r>
              <w:rPr>
                <w:rFonts w:ascii="宋体" w:hAnsi="宋体" w:cs="宋体"/>
                <w:color w:val="auto"/>
                <w:kern w:val="0"/>
                <w:sz w:val="24"/>
                <w:szCs w:val="24"/>
              </w:rPr>
              <w:t>512K</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、支持静态路由、</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w:t>
            </w:r>
            <w:r>
              <w:rPr>
                <w:rFonts w:ascii="宋体" w:hAnsi="宋体" w:cs="宋体"/>
                <w:color w:val="auto"/>
                <w:kern w:val="0"/>
                <w:sz w:val="24"/>
                <w:szCs w:val="24"/>
              </w:rPr>
              <w:t>BGP</w:t>
            </w:r>
            <w:r>
              <w:rPr>
                <w:rFonts w:hint="eastAsia" w:ascii="宋体" w:hAnsi="宋体" w:cs="宋体"/>
                <w:color w:val="auto"/>
                <w:kern w:val="0"/>
                <w:sz w:val="24"/>
                <w:szCs w:val="24"/>
              </w:rPr>
              <w:t>、</w:t>
            </w:r>
            <w:r>
              <w:rPr>
                <w:rFonts w:ascii="宋体" w:hAnsi="宋体" w:cs="宋体"/>
                <w:color w:val="auto"/>
                <w:kern w:val="0"/>
                <w:sz w:val="24"/>
                <w:szCs w:val="24"/>
              </w:rPr>
              <w:t>BGP4+</w:t>
            </w:r>
            <w:r>
              <w:rPr>
                <w:rFonts w:hint="eastAsia" w:ascii="宋体" w:hAnsi="宋体" w:cs="宋体"/>
                <w:color w:val="auto"/>
                <w:kern w:val="0"/>
                <w:sz w:val="24"/>
                <w:szCs w:val="24"/>
              </w:rPr>
              <w:t>、</w:t>
            </w:r>
            <w:r>
              <w:rPr>
                <w:rFonts w:ascii="宋体" w:hAnsi="宋体" w:cs="宋体"/>
                <w:color w:val="auto"/>
                <w:kern w:val="0"/>
                <w:sz w:val="24"/>
                <w:szCs w:val="24"/>
              </w:rPr>
              <w:t>ISIS</w:t>
            </w:r>
            <w:r>
              <w:rPr>
                <w:rFonts w:hint="eastAsia" w:ascii="宋体" w:hAnsi="宋体" w:cs="宋体"/>
                <w:color w:val="auto"/>
                <w:kern w:val="0"/>
                <w:sz w:val="24"/>
                <w:szCs w:val="24"/>
              </w:rPr>
              <w:t>、</w:t>
            </w:r>
            <w:r>
              <w:rPr>
                <w:rFonts w:ascii="宋体" w:hAnsi="宋体" w:cs="宋体"/>
                <w:color w:val="auto"/>
                <w:kern w:val="0"/>
                <w:sz w:val="24"/>
                <w:szCs w:val="24"/>
              </w:rPr>
              <w:t>ISISv6</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、为了简化管理，支持纵向虚拟化技术，支持把交换机和</w:t>
            </w:r>
            <w:r>
              <w:rPr>
                <w:rFonts w:ascii="宋体" w:hAnsi="宋体" w:cs="宋体"/>
                <w:color w:val="auto"/>
                <w:kern w:val="0"/>
                <w:sz w:val="24"/>
                <w:szCs w:val="24"/>
              </w:rPr>
              <w:t>AP</w:t>
            </w:r>
            <w:r>
              <w:rPr>
                <w:rFonts w:hint="eastAsia" w:ascii="宋体" w:hAnsi="宋体" w:cs="宋体"/>
                <w:color w:val="auto"/>
                <w:kern w:val="0"/>
                <w:sz w:val="24"/>
                <w:szCs w:val="24"/>
              </w:rPr>
              <w:t>虚拟为一台设备；</w:t>
            </w:r>
          </w:p>
          <w:p>
            <w:pPr>
              <w:widowControl/>
              <w:jc w:val="left"/>
              <w:textAlignment w:val="center"/>
              <w:rPr>
                <w:rFonts w:ascii="宋体"/>
                <w:color w:val="auto"/>
                <w:kern w:val="0"/>
                <w:sz w:val="24"/>
                <w:szCs w:val="24"/>
              </w:rPr>
            </w:pPr>
            <w:r>
              <w:rPr>
                <w:rFonts w:ascii="宋体" w:hAnsi="宋体" w:cs="宋体"/>
                <w:color w:val="auto"/>
                <w:kern w:val="0"/>
                <w:sz w:val="24"/>
                <w:szCs w:val="24"/>
              </w:rPr>
              <w:t>8</w:t>
            </w:r>
            <w:r>
              <w:rPr>
                <w:rFonts w:hint="eastAsia" w:ascii="宋体" w:hAnsi="宋体" w:cs="宋体"/>
                <w:color w:val="auto"/>
                <w:kern w:val="0"/>
                <w:sz w:val="24"/>
                <w:szCs w:val="24"/>
              </w:rPr>
              <w:t>、支持业务板集成</w:t>
            </w:r>
            <w:r>
              <w:rPr>
                <w:rFonts w:ascii="宋体" w:hAnsi="宋体" w:cs="宋体"/>
                <w:color w:val="auto"/>
                <w:kern w:val="0"/>
                <w:sz w:val="24"/>
                <w:szCs w:val="24"/>
              </w:rPr>
              <w:t>AC</w:t>
            </w:r>
            <w:r>
              <w:rPr>
                <w:rFonts w:hint="eastAsia" w:ascii="宋体" w:hAnsi="宋体" w:cs="宋体"/>
                <w:color w:val="auto"/>
                <w:kern w:val="0"/>
                <w:sz w:val="24"/>
                <w:szCs w:val="24"/>
              </w:rPr>
              <w:t>功能，业务单板</w:t>
            </w:r>
            <w:r>
              <w:rPr>
                <w:rFonts w:ascii="宋体" w:hAnsi="宋体" w:cs="宋体"/>
                <w:color w:val="auto"/>
                <w:kern w:val="0"/>
                <w:sz w:val="24"/>
                <w:szCs w:val="24"/>
              </w:rPr>
              <w:t>+AC</w:t>
            </w:r>
            <w:r>
              <w:rPr>
                <w:rFonts w:hint="eastAsia" w:ascii="宋体" w:hAnsi="宋体" w:cs="宋体"/>
                <w:color w:val="auto"/>
                <w:kern w:val="0"/>
                <w:sz w:val="24"/>
                <w:szCs w:val="24"/>
              </w:rPr>
              <w:t>只占用</w:t>
            </w:r>
            <w:r>
              <w:rPr>
                <w:rFonts w:ascii="宋体" w:hAnsi="宋体" w:cs="宋体"/>
                <w:color w:val="auto"/>
                <w:kern w:val="0"/>
                <w:sz w:val="24"/>
                <w:szCs w:val="24"/>
              </w:rPr>
              <w:t>1</w:t>
            </w:r>
            <w:r>
              <w:rPr>
                <w:rFonts w:hint="eastAsia" w:ascii="宋体" w:hAnsi="宋体" w:cs="宋体"/>
                <w:color w:val="auto"/>
                <w:kern w:val="0"/>
                <w:sz w:val="24"/>
                <w:szCs w:val="24"/>
              </w:rPr>
              <w:t>个业务槽位，实现对</w:t>
            </w:r>
            <w:r>
              <w:rPr>
                <w:rFonts w:ascii="宋体" w:hAnsi="宋体" w:cs="宋体"/>
                <w:color w:val="auto"/>
                <w:kern w:val="0"/>
                <w:sz w:val="24"/>
                <w:szCs w:val="24"/>
              </w:rPr>
              <w:t>AP</w:t>
            </w:r>
            <w:r>
              <w:rPr>
                <w:rFonts w:hint="eastAsia" w:ascii="宋体" w:hAnsi="宋体" w:cs="宋体"/>
                <w:color w:val="auto"/>
                <w:kern w:val="0"/>
                <w:sz w:val="24"/>
                <w:szCs w:val="24"/>
              </w:rPr>
              <w:t>的接入控制、管理、有线无线用户的统一认证管理；</w:t>
            </w:r>
          </w:p>
          <w:p>
            <w:pPr>
              <w:widowControl/>
              <w:jc w:val="left"/>
              <w:textAlignment w:val="center"/>
              <w:rPr>
                <w:rFonts w:ascii="宋体"/>
                <w:color w:val="auto"/>
              </w:rPr>
            </w:pPr>
            <w:r>
              <w:rPr>
                <w:rFonts w:ascii="宋体" w:hAnsi="宋体" w:cs="宋体"/>
                <w:color w:val="auto"/>
                <w:kern w:val="0"/>
                <w:sz w:val="24"/>
                <w:szCs w:val="24"/>
              </w:rPr>
              <w:t>9</w:t>
            </w:r>
            <w:r>
              <w:rPr>
                <w:rFonts w:hint="eastAsia" w:ascii="宋体" w:hAnsi="宋体" w:cs="宋体"/>
                <w:color w:val="auto"/>
                <w:kern w:val="0"/>
                <w:sz w:val="24"/>
                <w:szCs w:val="24"/>
              </w:rPr>
              <w:t>、实配：双主控，双电源，千兆电口≥</w:t>
            </w:r>
            <w:r>
              <w:rPr>
                <w:rFonts w:ascii="宋体" w:hAnsi="宋体" w:cs="宋体"/>
                <w:color w:val="auto"/>
                <w:kern w:val="0"/>
                <w:sz w:val="24"/>
                <w:szCs w:val="24"/>
              </w:rPr>
              <w:t>48</w:t>
            </w:r>
            <w:r>
              <w:rPr>
                <w:rFonts w:hint="eastAsia" w:ascii="宋体" w:hAnsi="宋体" w:cs="宋体"/>
                <w:color w:val="auto"/>
                <w:kern w:val="0"/>
                <w:sz w:val="24"/>
                <w:szCs w:val="24"/>
              </w:rPr>
              <w:t>，千兆光口≥</w:t>
            </w:r>
            <w:r>
              <w:rPr>
                <w:rFonts w:ascii="宋体" w:hAnsi="宋体" w:cs="宋体"/>
                <w:color w:val="auto"/>
                <w:kern w:val="0"/>
                <w:sz w:val="24"/>
                <w:szCs w:val="24"/>
              </w:rPr>
              <w:t>24</w:t>
            </w:r>
            <w:r>
              <w:rPr>
                <w:rFonts w:hint="eastAsia" w:ascii="宋体" w:hAnsi="宋体" w:cs="宋体"/>
                <w:color w:val="auto"/>
                <w:kern w:val="0"/>
                <w:sz w:val="24"/>
                <w:szCs w:val="24"/>
              </w:rPr>
              <w:t>，万兆光口≥</w:t>
            </w:r>
            <w:r>
              <w:rPr>
                <w:rFonts w:ascii="宋体" w:hAnsi="宋体" w:cs="宋体"/>
                <w:color w:val="auto"/>
                <w:kern w:val="0"/>
                <w:sz w:val="24"/>
                <w:szCs w:val="24"/>
              </w:rPr>
              <w:t>24</w:t>
            </w:r>
            <w:r>
              <w:rPr>
                <w:rFonts w:hint="eastAsia" w:ascii="宋体" w:hAnsi="宋体" w:cs="宋体"/>
                <w:color w:val="auto"/>
                <w:kern w:val="0"/>
                <w:sz w:val="24"/>
                <w:szCs w:val="24"/>
              </w:rPr>
              <w:t>，高速电缆≥</w:t>
            </w:r>
            <w:r>
              <w:rPr>
                <w:rFonts w:ascii="宋体" w:hAnsi="宋体" w:cs="宋体"/>
                <w:color w:val="auto"/>
                <w:kern w:val="0"/>
                <w:sz w:val="24"/>
                <w:szCs w:val="24"/>
              </w:rPr>
              <w:t>2</w:t>
            </w:r>
            <w:r>
              <w:rPr>
                <w:rFonts w:hint="eastAsia" w:ascii="宋体" w:hAnsi="宋体" w:cs="宋体"/>
                <w:color w:val="auto"/>
                <w:kern w:val="0"/>
                <w:sz w:val="24"/>
                <w:szCs w:val="24"/>
              </w:rPr>
              <w:t>。</w:t>
            </w:r>
          </w:p>
        </w:tc>
        <w:tc>
          <w:tcPr>
            <w:tcW w:w="742"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74" w:type="dxa"/>
            <w:tcBorders>
              <w:top w:val="single" w:color="000000" w:sz="6" w:space="0"/>
              <w:left w:val="single" w:color="000000" w:sz="4" w:space="0"/>
              <w:bottom w:val="single" w:color="000000" w:sz="4" w:space="0"/>
              <w:right w:val="single" w:color="000000" w:sz="4" w:space="0"/>
            </w:tcBorders>
            <w:tcMar>
              <w:left w:w="108" w:type="dxa"/>
              <w:right w:w="108" w:type="dxa"/>
            </w:tcMar>
            <w:vAlign w:val="center"/>
          </w:tcPr>
          <w:p>
            <w:pPr>
              <w:spacing w:before="156" w:after="156"/>
              <w:rPr>
                <w:rFonts w:ascii="宋体"/>
                <w:color w:val="auto"/>
                <w:sz w:val="24"/>
                <w:szCs w:val="24"/>
              </w:rPr>
            </w:pPr>
            <w:r>
              <w:rPr>
                <w:rFonts w:ascii="宋体" w:hAnsi="宋体" w:cs="宋体"/>
                <w:color w:val="auto"/>
                <w:sz w:val="24"/>
                <w:szCs w:val="24"/>
              </w:rPr>
              <w:t>2</w:t>
            </w:r>
          </w:p>
        </w:tc>
        <w:tc>
          <w:tcPr>
            <w:tcW w:w="884" w:type="dxa"/>
            <w:tcBorders>
              <w:top w:val="single" w:color="000000" w:sz="6" w:space="0"/>
              <w:left w:val="single" w:color="000000" w:sz="6" w:space="0"/>
              <w:bottom w:val="single" w:color="000000" w:sz="4" w:space="0"/>
              <w:right w:val="single" w:color="000000" w:sz="4" w:space="0"/>
            </w:tcBorders>
            <w:tcMar>
              <w:left w:w="108" w:type="dxa"/>
              <w:right w:w="108" w:type="dxa"/>
            </w:tcMar>
            <w:vAlign w:val="center"/>
          </w:tcPr>
          <w:p>
            <w:pPr>
              <w:spacing w:before="156" w:after="156"/>
              <w:rPr>
                <w:rFonts w:ascii="宋体"/>
                <w:color w:val="auto"/>
                <w:sz w:val="24"/>
                <w:szCs w:val="24"/>
              </w:rPr>
            </w:pPr>
            <w:r>
              <w:rPr>
                <w:rFonts w:hint="eastAsia" w:ascii="宋体" w:hAnsi="宋体" w:cs="宋体"/>
                <w:color w:val="auto"/>
                <w:sz w:val="24"/>
                <w:szCs w:val="24"/>
              </w:rPr>
              <w:t>核心交换机</w:t>
            </w:r>
          </w:p>
        </w:tc>
        <w:tc>
          <w:tcPr>
            <w:tcW w:w="7113"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组合配置</w:t>
            </w:r>
            <w:r>
              <w:rPr>
                <w:rFonts w:ascii="宋体" w:hAnsi="宋体" w:cs="宋体"/>
                <w:color w:val="auto"/>
                <w:kern w:val="0"/>
                <w:sz w:val="24"/>
                <w:szCs w:val="24"/>
              </w:rPr>
              <w:t>(24</w:t>
            </w:r>
            <w:r>
              <w:rPr>
                <w:rFonts w:hint="eastAsia" w:ascii="宋体" w:hAnsi="宋体" w:cs="宋体"/>
                <w:color w:val="auto"/>
                <w:kern w:val="0"/>
                <w:sz w:val="24"/>
                <w:szCs w:val="24"/>
              </w:rPr>
              <w:t>个万兆</w:t>
            </w:r>
            <w:r>
              <w:rPr>
                <w:rFonts w:ascii="宋体" w:hAnsi="宋体" w:cs="宋体"/>
                <w:color w:val="auto"/>
                <w:kern w:val="0"/>
                <w:sz w:val="24"/>
                <w:szCs w:val="24"/>
              </w:rPr>
              <w:t>SFP+,2</w:t>
            </w:r>
            <w:r>
              <w:rPr>
                <w:rFonts w:hint="eastAsia" w:ascii="宋体" w:hAnsi="宋体" w:cs="宋体"/>
                <w:color w:val="auto"/>
                <w:kern w:val="0"/>
                <w:sz w:val="24"/>
                <w:szCs w:val="24"/>
              </w:rPr>
              <w:t>个</w:t>
            </w:r>
            <w:r>
              <w:rPr>
                <w:rFonts w:ascii="宋体" w:hAnsi="宋体" w:cs="宋体"/>
                <w:color w:val="auto"/>
                <w:kern w:val="0"/>
                <w:sz w:val="24"/>
                <w:szCs w:val="24"/>
              </w:rPr>
              <w:t>40GE QSFP+,</w:t>
            </w:r>
            <w:r>
              <w:rPr>
                <w:rFonts w:hint="eastAsia" w:ascii="宋体" w:hAnsi="宋体" w:cs="宋体"/>
                <w:color w:val="auto"/>
                <w:kern w:val="0"/>
                <w:sz w:val="24"/>
                <w:szCs w:val="24"/>
              </w:rPr>
              <w:t>含</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170W</w:t>
            </w:r>
            <w:r>
              <w:rPr>
                <w:rFonts w:hint="eastAsia" w:ascii="宋体" w:hAnsi="宋体" w:cs="宋体"/>
                <w:color w:val="auto"/>
                <w:kern w:val="0"/>
                <w:sz w:val="24"/>
                <w:szCs w:val="24"/>
              </w:rPr>
              <w:t>交流电源</w:t>
            </w:r>
            <w:r>
              <w:rPr>
                <w:rFonts w:ascii="宋体" w:hAnsi="宋体" w:cs="宋体"/>
                <w:color w:val="auto"/>
                <w:kern w:val="0"/>
                <w:sz w:val="24"/>
                <w:szCs w:val="24"/>
              </w:rPr>
              <w:t>)</w:t>
            </w:r>
            <w:r>
              <w:rPr>
                <w:rFonts w:hint="eastAsia" w:ascii="宋体" w:hAnsi="宋体" w:cs="宋体"/>
                <w:color w:val="auto"/>
                <w:kern w:val="0"/>
                <w:sz w:val="24"/>
                <w:szCs w:val="24"/>
              </w:rPr>
              <w:t>。</w:t>
            </w:r>
          </w:p>
        </w:tc>
        <w:tc>
          <w:tcPr>
            <w:tcW w:w="742"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3</w:t>
            </w:r>
          </w:p>
        </w:tc>
        <w:tc>
          <w:tcPr>
            <w:tcW w:w="88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hint="eastAsia" w:ascii="宋体" w:hAnsi="宋体" w:cs="宋体"/>
                <w:color w:val="auto"/>
                <w:sz w:val="24"/>
                <w:szCs w:val="24"/>
              </w:rPr>
              <w:t>光模块</w:t>
            </w:r>
          </w:p>
        </w:tc>
        <w:tc>
          <w:tcPr>
            <w:tcW w:w="7113"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光模块</w:t>
            </w:r>
            <w:r>
              <w:rPr>
                <w:rFonts w:ascii="宋体" w:hAnsi="宋体" w:cs="宋体"/>
                <w:color w:val="auto"/>
                <w:kern w:val="0"/>
                <w:sz w:val="24"/>
                <w:szCs w:val="24"/>
              </w:rPr>
              <w:t>-SFP+-10G-</w:t>
            </w:r>
            <w:r>
              <w:rPr>
                <w:rFonts w:hint="eastAsia" w:ascii="宋体" w:hAnsi="宋体" w:cs="宋体"/>
                <w:color w:val="auto"/>
                <w:kern w:val="0"/>
                <w:sz w:val="24"/>
                <w:szCs w:val="24"/>
              </w:rPr>
              <w:t>多模模块</w:t>
            </w:r>
            <w:r>
              <w:rPr>
                <w:rFonts w:ascii="宋体" w:hAnsi="宋体" w:cs="宋体"/>
                <w:color w:val="auto"/>
                <w:kern w:val="0"/>
                <w:sz w:val="24"/>
                <w:szCs w:val="24"/>
              </w:rPr>
              <w:t>(850nm,0.3km,LC)</w:t>
            </w:r>
            <w:r>
              <w:rPr>
                <w:rFonts w:hint="eastAsia" w:ascii="宋体" w:hAnsi="宋体" w:cs="宋体"/>
                <w:color w:val="auto"/>
                <w:kern w:val="0"/>
                <w:sz w:val="24"/>
                <w:szCs w:val="24"/>
              </w:rPr>
              <w:t>。</w:t>
            </w:r>
          </w:p>
        </w:tc>
        <w:tc>
          <w:tcPr>
            <w:tcW w:w="742"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ind w:firstLine="240" w:firstLineChars="100"/>
              <w:jc w:val="left"/>
              <w:rPr>
                <w:rFonts w:ascii="宋体"/>
                <w:color w:val="auto"/>
                <w:sz w:val="24"/>
                <w:szCs w:val="24"/>
              </w:rPr>
            </w:pPr>
            <w:r>
              <w:rPr>
                <w:rFonts w:ascii="宋体" w:hAnsi="宋体" w:cs="宋体"/>
                <w:color w:val="auto"/>
                <w:sz w:val="24"/>
                <w:szCs w:val="24"/>
              </w:rPr>
              <w:t>40</w:t>
            </w:r>
          </w:p>
        </w:tc>
        <w:tc>
          <w:tcPr>
            <w:tcW w:w="77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hint="eastAsia" w:ascii="宋体" w:hAnsi="宋体" w:cs="宋体"/>
                <w:color w:val="auto"/>
                <w:sz w:val="24"/>
                <w:szCs w:val="24"/>
              </w:rPr>
              <w:t>个</w:t>
            </w:r>
          </w:p>
        </w:tc>
      </w:tr>
    </w:tbl>
    <w:p>
      <w:pPr>
        <w:keepNext/>
        <w:keepLines/>
        <w:spacing w:before="156" w:after="156" w:line="400" w:lineRule="exact"/>
        <w:outlineLvl w:val="2"/>
        <w:rPr>
          <w:rFonts w:ascii="宋体"/>
          <w:b/>
          <w:bCs/>
          <w:color w:val="auto"/>
          <w:sz w:val="24"/>
          <w:szCs w:val="24"/>
        </w:rPr>
      </w:pPr>
      <w:bookmarkStart w:id="891" w:name="_Toc82882793"/>
      <w:r>
        <w:rPr>
          <w:rFonts w:ascii="宋体" w:hAnsi="宋体" w:cs="宋体"/>
          <w:b/>
          <w:bCs/>
          <w:color w:val="auto"/>
          <w:sz w:val="24"/>
          <w:szCs w:val="24"/>
        </w:rPr>
        <w:t>4.2.4</w:t>
      </w:r>
      <w:r>
        <w:rPr>
          <w:rFonts w:hint="eastAsia" w:ascii="宋体" w:hAnsi="宋体" w:cs="宋体"/>
          <w:b/>
          <w:bCs/>
          <w:color w:val="auto"/>
          <w:sz w:val="24"/>
          <w:szCs w:val="24"/>
        </w:rPr>
        <w:t>、超融合服务器</w:t>
      </w:r>
      <w:bookmarkEnd w:id="891"/>
    </w:p>
    <w:tbl>
      <w:tblPr>
        <w:tblStyle w:val="21"/>
        <w:tblW w:w="10254" w:type="dxa"/>
        <w:tblInd w:w="-847" w:type="dxa"/>
        <w:tblLayout w:type="autofit"/>
        <w:tblCellMar>
          <w:top w:w="0" w:type="dxa"/>
          <w:left w:w="10" w:type="dxa"/>
          <w:bottom w:w="0" w:type="dxa"/>
          <w:right w:w="10" w:type="dxa"/>
        </w:tblCellMar>
      </w:tblPr>
      <w:tblGrid>
        <w:gridCol w:w="698"/>
        <w:gridCol w:w="895"/>
        <w:gridCol w:w="7156"/>
        <w:gridCol w:w="764"/>
        <w:gridCol w:w="741"/>
      </w:tblGrid>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序号</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b/>
                <w:bCs/>
                <w:color w:val="auto"/>
                <w:sz w:val="24"/>
                <w:szCs w:val="24"/>
              </w:rPr>
            </w:pPr>
            <w:r>
              <w:rPr>
                <w:rFonts w:hint="eastAsia" w:ascii="宋体" w:hAnsi="宋体" w:cs="宋体"/>
                <w:b/>
                <w:bCs/>
                <w:color w:val="auto"/>
                <w:sz w:val="24"/>
                <w:szCs w:val="24"/>
              </w:rPr>
              <w:t>设备</w:t>
            </w:r>
            <w:r>
              <w:rPr>
                <w:rFonts w:ascii="宋体" w:hAnsi="宋体" w:cs="宋体"/>
                <w:b/>
                <w:bCs/>
                <w:color w:val="auto"/>
                <w:sz w:val="24"/>
                <w:szCs w:val="24"/>
              </w:rPr>
              <w:t xml:space="preserve">  </w:t>
            </w:r>
          </w:p>
          <w:p>
            <w:pPr>
              <w:jc w:val="center"/>
              <w:rPr>
                <w:rFonts w:ascii="宋体"/>
                <w:color w:val="auto"/>
                <w:sz w:val="24"/>
                <w:szCs w:val="24"/>
              </w:rPr>
            </w:pPr>
            <w:r>
              <w:rPr>
                <w:rFonts w:hint="eastAsia" w:ascii="宋体" w:hAnsi="宋体" w:cs="宋体"/>
                <w:b/>
                <w:bCs/>
                <w:color w:val="auto"/>
                <w:sz w:val="24"/>
                <w:szCs w:val="24"/>
              </w:rPr>
              <w:t>名称</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规格配置要求</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数量</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1</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超融合一体机</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性能参数：形态：</w:t>
            </w:r>
            <w:r>
              <w:rPr>
                <w:rFonts w:ascii="宋体" w:hAnsi="宋体" w:cs="宋体"/>
                <w:color w:val="auto"/>
                <w:kern w:val="0"/>
                <w:sz w:val="24"/>
                <w:szCs w:val="24"/>
              </w:rPr>
              <w:t>2U</w:t>
            </w:r>
            <w:r>
              <w:rPr>
                <w:rFonts w:hint="eastAsia" w:ascii="宋体" w:hAnsi="宋体" w:cs="宋体"/>
                <w:color w:val="auto"/>
                <w:kern w:val="0"/>
                <w:sz w:val="24"/>
                <w:szCs w:val="24"/>
              </w:rPr>
              <w:t>机架服务器，支持≥</w:t>
            </w:r>
            <w:r>
              <w:rPr>
                <w:rFonts w:ascii="宋体" w:hAnsi="宋体" w:cs="宋体"/>
                <w:color w:val="auto"/>
                <w:kern w:val="0"/>
                <w:sz w:val="24"/>
                <w:szCs w:val="24"/>
              </w:rPr>
              <w:t>2</w:t>
            </w:r>
            <w:r>
              <w:rPr>
                <w:rFonts w:hint="eastAsia" w:ascii="宋体" w:hAnsi="宋体" w:cs="宋体"/>
                <w:color w:val="auto"/>
                <w:kern w:val="0"/>
                <w:sz w:val="24"/>
                <w:szCs w:val="24"/>
              </w:rPr>
              <w:t>路</w:t>
            </w:r>
            <w:r>
              <w:rPr>
                <w:rFonts w:ascii="宋体" w:hAnsi="宋体" w:cs="宋体"/>
                <w:color w:val="auto"/>
                <w:kern w:val="0"/>
                <w:sz w:val="24"/>
                <w:szCs w:val="24"/>
              </w:rPr>
              <w:t>CPU</w:t>
            </w:r>
            <w:r>
              <w:rPr>
                <w:rFonts w:hint="eastAsia" w:ascii="宋体" w:hAnsi="宋体" w:cs="宋体"/>
                <w:color w:val="auto"/>
                <w:kern w:val="0"/>
                <w:sz w:val="24"/>
                <w:szCs w:val="24"/>
              </w:rPr>
              <w:t>，含导轨</w:t>
            </w:r>
            <w:r>
              <w:rPr>
                <w:rFonts w:ascii="宋体" w:hAnsi="宋体" w:cs="宋体"/>
                <w:color w:val="auto"/>
                <w:kern w:val="0"/>
                <w:sz w:val="24"/>
                <w:szCs w:val="24"/>
              </w:rPr>
              <w:t>;CPU</w:t>
            </w:r>
            <w:r>
              <w:rPr>
                <w:rFonts w:hint="eastAsia" w:ascii="宋体" w:hAnsi="宋体" w:cs="宋体"/>
                <w:color w:val="auto"/>
                <w:kern w:val="0"/>
                <w:sz w:val="24"/>
                <w:szCs w:val="24"/>
              </w:rPr>
              <w:t>：配置≥</w:t>
            </w:r>
            <w:r>
              <w:rPr>
                <w:rFonts w:ascii="宋体" w:hAnsi="宋体" w:cs="宋体"/>
                <w:color w:val="auto"/>
                <w:kern w:val="0"/>
                <w:sz w:val="24"/>
                <w:szCs w:val="24"/>
              </w:rPr>
              <w:t>2</w:t>
            </w:r>
            <w:r>
              <w:rPr>
                <w:rFonts w:hint="eastAsia" w:ascii="宋体" w:hAnsi="宋体" w:cs="宋体"/>
                <w:color w:val="auto"/>
                <w:kern w:val="0"/>
                <w:sz w:val="24"/>
                <w:szCs w:val="24"/>
              </w:rPr>
              <w:t>颗</w:t>
            </w:r>
            <w:r>
              <w:rPr>
                <w:rFonts w:ascii="宋体" w:hAnsi="宋体" w:cs="宋体"/>
                <w:color w:val="auto"/>
                <w:kern w:val="0"/>
                <w:sz w:val="24"/>
                <w:szCs w:val="24"/>
              </w:rPr>
              <w:t>CPU</w:t>
            </w:r>
            <w:r>
              <w:rPr>
                <w:rFonts w:hint="eastAsia" w:ascii="宋体" w:hAnsi="宋体" w:cs="宋体"/>
                <w:color w:val="auto"/>
                <w:kern w:val="0"/>
                <w:sz w:val="24"/>
                <w:szCs w:val="24"/>
              </w:rPr>
              <w:t>，主频≥</w:t>
            </w:r>
            <w:r>
              <w:rPr>
                <w:rFonts w:ascii="宋体" w:hAnsi="宋体" w:cs="宋体"/>
                <w:color w:val="auto"/>
                <w:kern w:val="0"/>
                <w:sz w:val="24"/>
                <w:szCs w:val="24"/>
              </w:rPr>
              <w:t>2.1GHZ</w:t>
            </w:r>
            <w:r>
              <w:rPr>
                <w:rFonts w:hint="eastAsia" w:ascii="宋体" w:hAnsi="宋体" w:cs="宋体"/>
                <w:color w:val="auto"/>
                <w:kern w:val="0"/>
                <w:sz w:val="24"/>
                <w:szCs w:val="24"/>
              </w:rPr>
              <w:t>，</w:t>
            </w:r>
            <w:r>
              <w:rPr>
                <w:rFonts w:ascii="宋体" w:hAnsi="宋体" w:cs="宋体"/>
                <w:color w:val="auto"/>
                <w:kern w:val="0"/>
                <w:sz w:val="24"/>
                <w:szCs w:val="24"/>
              </w:rPr>
              <w:t>CPU</w:t>
            </w:r>
            <w:r>
              <w:rPr>
                <w:rFonts w:hint="eastAsia" w:ascii="宋体" w:hAnsi="宋体" w:cs="宋体"/>
                <w:color w:val="auto"/>
                <w:kern w:val="0"/>
                <w:sz w:val="24"/>
                <w:szCs w:val="24"/>
              </w:rPr>
              <w:t>物理核数≥</w:t>
            </w:r>
            <w:r>
              <w:rPr>
                <w:rFonts w:ascii="宋体" w:hAnsi="宋体" w:cs="宋体"/>
                <w:color w:val="auto"/>
                <w:kern w:val="0"/>
                <w:sz w:val="24"/>
                <w:szCs w:val="24"/>
              </w:rPr>
              <w:t>20</w:t>
            </w:r>
            <w:r>
              <w:rPr>
                <w:rFonts w:hint="eastAsia" w:ascii="宋体" w:hAnsi="宋体" w:cs="宋体"/>
                <w:color w:val="auto"/>
                <w:kern w:val="0"/>
                <w:sz w:val="24"/>
                <w:szCs w:val="24"/>
              </w:rPr>
              <w:t>核</w:t>
            </w:r>
            <w:r>
              <w:rPr>
                <w:rFonts w:ascii="宋体" w:hAnsi="宋体" w:cs="宋体"/>
                <w:color w:val="auto"/>
                <w:kern w:val="0"/>
                <w:sz w:val="24"/>
                <w:szCs w:val="24"/>
              </w:rPr>
              <w:t>;</w:t>
            </w:r>
            <w:r>
              <w:rPr>
                <w:rFonts w:hint="eastAsia" w:ascii="宋体" w:hAnsi="宋体" w:cs="宋体"/>
                <w:color w:val="auto"/>
                <w:kern w:val="0"/>
                <w:sz w:val="24"/>
                <w:szCs w:val="24"/>
              </w:rPr>
              <w:t>内存</w:t>
            </w:r>
            <w:r>
              <w:rPr>
                <w:rFonts w:ascii="宋体" w:hAnsi="宋体" w:cs="宋体"/>
                <w:color w:val="auto"/>
                <w:kern w:val="0"/>
                <w:sz w:val="24"/>
                <w:szCs w:val="24"/>
              </w:rPr>
              <w:t>:</w:t>
            </w:r>
            <w:r>
              <w:rPr>
                <w:rFonts w:hint="eastAsia" w:ascii="宋体" w:hAnsi="宋体" w:cs="宋体"/>
                <w:color w:val="auto"/>
                <w:kern w:val="0"/>
                <w:sz w:val="24"/>
                <w:szCs w:val="24"/>
              </w:rPr>
              <w:t>配置≥</w:t>
            </w:r>
            <w:r>
              <w:rPr>
                <w:rFonts w:ascii="宋体" w:hAnsi="宋体" w:cs="宋体"/>
                <w:color w:val="auto"/>
                <w:kern w:val="0"/>
                <w:sz w:val="24"/>
                <w:szCs w:val="24"/>
              </w:rPr>
              <w:t>4*32GB DDR4 RDIMM</w:t>
            </w:r>
            <w:r>
              <w:rPr>
                <w:rFonts w:hint="eastAsia" w:ascii="宋体" w:hAnsi="宋体" w:cs="宋体"/>
                <w:color w:val="auto"/>
                <w:kern w:val="0"/>
                <w:sz w:val="24"/>
                <w:szCs w:val="24"/>
              </w:rPr>
              <w:t>内存</w:t>
            </w:r>
            <w:r>
              <w:rPr>
                <w:rFonts w:ascii="宋体" w:hAnsi="宋体" w:cs="宋体"/>
                <w:color w:val="auto"/>
                <w:kern w:val="0"/>
                <w:sz w:val="24"/>
                <w:szCs w:val="24"/>
              </w:rPr>
              <w:t>;</w:t>
            </w:r>
            <w:r>
              <w:rPr>
                <w:rFonts w:hint="eastAsia" w:ascii="宋体" w:hAnsi="宋体" w:cs="宋体"/>
                <w:color w:val="auto"/>
                <w:kern w:val="0"/>
                <w:sz w:val="24"/>
                <w:szCs w:val="24"/>
              </w:rPr>
              <w:t>硬盘</w:t>
            </w:r>
            <w:r>
              <w:rPr>
                <w:rFonts w:ascii="宋体" w:hAnsi="宋体" w:cs="宋体"/>
                <w:color w:val="auto"/>
                <w:kern w:val="0"/>
                <w:sz w:val="24"/>
                <w:szCs w:val="24"/>
              </w:rPr>
              <w:t>:</w:t>
            </w:r>
            <w:r>
              <w:rPr>
                <w:rFonts w:hint="eastAsia" w:ascii="宋体" w:hAnsi="宋体" w:cs="宋体"/>
                <w:color w:val="auto"/>
                <w:kern w:val="0"/>
                <w:sz w:val="24"/>
                <w:szCs w:val="24"/>
              </w:rPr>
              <w:t>配置≥</w:t>
            </w:r>
            <w:r>
              <w:rPr>
                <w:rFonts w:ascii="宋体" w:hAnsi="宋体" w:cs="宋体"/>
                <w:color w:val="auto"/>
                <w:kern w:val="0"/>
                <w:sz w:val="24"/>
                <w:szCs w:val="24"/>
              </w:rPr>
              <w:t>8*4000GB 7.2K SATA</w:t>
            </w:r>
            <w:r>
              <w:rPr>
                <w:rFonts w:hint="eastAsia" w:ascii="宋体" w:hAnsi="宋体" w:cs="宋体"/>
                <w:color w:val="auto"/>
                <w:kern w:val="0"/>
                <w:sz w:val="24"/>
                <w:szCs w:val="24"/>
              </w:rPr>
              <w:t>硬盘</w:t>
            </w:r>
            <w:r>
              <w:rPr>
                <w:rFonts w:asci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配置</w:t>
            </w:r>
            <w:r>
              <w:rPr>
                <w:rFonts w:ascii="宋体" w:hAnsi="宋体" w:cs="宋体"/>
                <w:color w:val="auto"/>
                <w:kern w:val="0"/>
                <w:sz w:val="24"/>
                <w:szCs w:val="24"/>
              </w:rPr>
              <w:t xml:space="preserve">600GB 10K SAS </w:t>
            </w:r>
            <w:r>
              <w:rPr>
                <w:rFonts w:hint="eastAsia" w:ascii="宋体" w:hAnsi="宋体" w:cs="宋体"/>
                <w:color w:val="auto"/>
                <w:kern w:val="0"/>
                <w:sz w:val="24"/>
                <w:szCs w:val="24"/>
              </w:rPr>
              <w:t>硬盘</w:t>
            </w:r>
            <w:r>
              <w:rPr>
                <w:rFonts w:asci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kern w:val="0"/>
                <w:sz w:val="24"/>
                <w:szCs w:val="24"/>
              </w:rPr>
              <w:t>1*3.2 T NVME SSD</w:t>
            </w:r>
            <w:r>
              <w:rPr>
                <w:rFonts w:hint="eastAsia" w:ascii="宋体" w:hAnsi="宋体" w:cs="宋体"/>
                <w:color w:val="auto"/>
                <w:kern w:val="0"/>
                <w:sz w:val="24"/>
                <w:szCs w:val="24"/>
              </w:rPr>
              <w:t>，支持热插拔</w:t>
            </w:r>
            <w:r>
              <w:rPr>
                <w:rFonts w:ascii="宋体" w:hAnsi="宋体" w:cs="宋体"/>
                <w:color w:val="auto"/>
                <w:kern w:val="0"/>
                <w:sz w:val="24"/>
                <w:szCs w:val="24"/>
              </w:rPr>
              <w:t>;RAID</w:t>
            </w:r>
            <w:r>
              <w:rPr>
                <w:rFonts w:hint="eastAsia" w:ascii="宋体" w:hAnsi="宋体" w:cs="宋体"/>
                <w:color w:val="auto"/>
                <w:kern w:val="0"/>
                <w:sz w:val="24"/>
                <w:szCs w:val="24"/>
              </w:rPr>
              <w:t>卡</w:t>
            </w:r>
            <w:r>
              <w:rPr>
                <w:rFonts w:ascii="宋体" w:hAnsi="宋体" w:cs="宋体"/>
                <w:color w:val="auto"/>
                <w:kern w:val="0"/>
                <w:sz w:val="24"/>
                <w:szCs w:val="24"/>
              </w:rPr>
              <w:t>:</w:t>
            </w:r>
            <w:r>
              <w:rPr>
                <w:rFonts w:hint="eastAsia" w:ascii="宋体" w:hAnsi="宋体" w:cs="宋体"/>
                <w:color w:val="auto"/>
                <w:kern w:val="0"/>
                <w:sz w:val="24"/>
                <w:szCs w:val="24"/>
              </w:rPr>
              <w:t>配置</w:t>
            </w:r>
            <w:r>
              <w:rPr>
                <w:rFonts w:ascii="宋体" w:hAnsi="宋体" w:cs="宋体"/>
                <w:color w:val="auto"/>
                <w:kern w:val="0"/>
                <w:sz w:val="24"/>
                <w:szCs w:val="24"/>
              </w:rPr>
              <w:t>1*RAID</w:t>
            </w:r>
            <w:r>
              <w:rPr>
                <w:rFonts w:hint="eastAsia" w:ascii="宋体" w:hAnsi="宋体" w:cs="宋体"/>
                <w:color w:val="auto"/>
                <w:kern w:val="0"/>
                <w:sz w:val="24"/>
                <w:szCs w:val="24"/>
              </w:rPr>
              <w:t>卡支持</w:t>
            </w:r>
            <w:r>
              <w:rPr>
                <w:rFonts w:ascii="宋体" w:hAnsi="宋体" w:cs="宋体"/>
                <w:color w:val="auto"/>
                <w:kern w:val="0"/>
                <w:sz w:val="24"/>
                <w:szCs w:val="24"/>
              </w:rPr>
              <w:t>RAID0,1</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配置≥</w:t>
            </w:r>
            <w:r>
              <w:rPr>
                <w:rFonts w:ascii="宋体" w:hAnsi="宋体" w:cs="宋体"/>
                <w:color w:val="auto"/>
                <w:kern w:val="0"/>
                <w:sz w:val="24"/>
                <w:szCs w:val="24"/>
              </w:rPr>
              <w:t>2*GE+4*10GE</w:t>
            </w:r>
            <w:r>
              <w:rPr>
                <w:rFonts w:hint="eastAsia" w:ascii="宋体" w:hAnsi="宋体" w:cs="宋体"/>
                <w:color w:val="auto"/>
                <w:kern w:val="0"/>
                <w:sz w:val="24"/>
                <w:szCs w:val="24"/>
              </w:rPr>
              <w:t>光口</w:t>
            </w:r>
            <w:r>
              <w:rPr>
                <w:rFonts w:ascii="宋体" w:hAnsi="宋体" w:cs="宋体"/>
                <w:color w:val="auto"/>
                <w:kern w:val="0"/>
                <w:sz w:val="24"/>
                <w:szCs w:val="24"/>
              </w:rPr>
              <w:t>(</w:t>
            </w:r>
            <w:r>
              <w:rPr>
                <w:rFonts w:hint="eastAsia" w:ascii="宋体" w:hAnsi="宋体" w:cs="宋体"/>
                <w:color w:val="auto"/>
                <w:kern w:val="0"/>
                <w:sz w:val="24"/>
                <w:szCs w:val="24"/>
              </w:rPr>
              <w:t>含</w:t>
            </w:r>
            <w:r>
              <w:rPr>
                <w:rFonts w:ascii="宋体" w:hAnsi="宋体" w:cs="宋体"/>
                <w:color w:val="auto"/>
                <w:kern w:val="0"/>
                <w:sz w:val="24"/>
                <w:szCs w:val="24"/>
              </w:rPr>
              <w:t>4</w:t>
            </w:r>
            <w:r>
              <w:rPr>
                <w:rFonts w:hint="eastAsia" w:ascii="宋体" w:hAnsi="宋体" w:cs="宋体"/>
                <w:color w:val="auto"/>
                <w:kern w:val="0"/>
                <w:sz w:val="24"/>
                <w:szCs w:val="24"/>
              </w:rPr>
              <w:t>个多模万兆光模块</w:t>
            </w:r>
            <w:r>
              <w:rPr>
                <w:rFonts w:ascii="宋体" w:hAnsi="宋体" w:cs="宋体"/>
                <w:color w:val="auto"/>
                <w:kern w:val="0"/>
                <w:sz w:val="24"/>
                <w:szCs w:val="24"/>
              </w:rPr>
              <w:t>)</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电源</w:t>
            </w:r>
            <w:r>
              <w:rPr>
                <w:rFonts w:ascii="宋体" w:hAnsi="宋体" w:cs="宋体"/>
                <w:color w:val="auto"/>
                <w:kern w:val="0"/>
                <w:sz w:val="24"/>
                <w:szCs w:val="24"/>
              </w:rPr>
              <w:t>:</w:t>
            </w:r>
            <w:r>
              <w:rPr>
                <w:rFonts w:hint="eastAsia" w:ascii="宋体" w:hAnsi="宋体" w:cs="宋体"/>
                <w:color w:val="auto"/>
                <w:kern w:val="0"/>
                <w:sz w:val="24"/>
                <w:szCs w:val="24"/>
              </w:rPr>
              <w:t>配置≥</w:t>
            </w:r>
            <w:r>
              <w:rPr>
                <w:rFonts w:ascii="宋体" w:hAnsi="宋体" w:cs="宋体"/>
                <w:color w:val="auto"/>
                <w:kern w:val="0"/>
                <w:sz w:val="24"/>
                <w:szCs w:val="24"/>
              </w:rPr>
              <w:t>2*900W</w:t>
            </w:r>
            <w:r>
              <w:rPr>
                <w:rFonts w:hint="eastAsia" w:ascii="宋体" w:hAnsi="宋体" w:cs="宋体"/>
                <w:color w:val="auto"/>
                <w:kern w:val="0"/>
                <w:sz w:val="24"/>
                <w:szCs w:val="24"/>
              </w:rPr>
              <w:t>白金交流电源，满配冗余热插拔电源，并提供配套的电源连接线；</w:t>
            </w:r>
          </w:p>
          <w:p>
            <w:pPr>
              <w:widowControl/>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安装服务，</w:t>
            </w:r>
            <w:r>
              <w:rPr>
                <w:rFonts w:ascii="宋体" w:hAnsi="宋体" w:cs="宋体"/>
                <w:color w:val="auto"/>
                <w:kern w:val="0"/>
                <w:sz w:val="24"/>
                <w:szCs w:val="24"/>
              </w:rPr>
              <w:t>3</w:t>
            </w:r>
            <w:r>
              <w:rPr>
                <w:rFonts w:hint="eastAsia" w:ascii="宋体" w:hAnsi="宋体" w:cs="宋体"/>
                <w:color w:val="auto"/>
                <w:kern w:val="0"/>
                <w:sz w:val="24"/>
                <w:szCs w:val="24"/>
              </w:rPr>
              <w:t>年维保服务</w:t>
            </w:r>
            <w:r>
              <w:rPr>
                <w:rFonts w:hint="eastAsia" w:asci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配置分布式存储软件授权，须具有国产软件自主知识产权，提供分布式存储软件著作权证书；</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配置超融合管理软件授权，须具有国产软件自主知识产权，提供超融合管理软件著作权证书；</w:t>
            </w:r>
          </w:p>
          <w:p>
            <w:pPr>
              <w:widowControl/>
              <w:jc w:val="left"/>
              <w:textAlignment w:val="center"/>
              <w:rPr>
                <w:rFonts w:ascii="宋体"/>
                <w:b/>
                <w:bCs/>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分布式存储软件支持双活功能，实现两套存储数据双活（主机能够并发读写同一双活卷），任何一套设备宕机均不影响上层业务系统运行。双活架构支持独立的第三方仲裁，第三方仲裁设备故障时，不影响业务运行，同时双活卷仍能保持数据实时一致；提供原厂商授权证明材料。</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3</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2</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超融合软件</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、虚拟化平台软件厂商拥有软件自主知识产权，具有自主研发能力；</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、虚拟化软件架构须采用裸金属架构；直接安装在服务器硬件设备上，不能采用在服务器上先安装操作系统的方式。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、虚拟机支持</w:t>
            </w:r>
            <w:r>
              <w:rPr>
                <w:rFonts w:ascii="宋体" w:hAnsi="宋体" w:cs="宋体"/>
                <w:color w:val="auto"/>
                <w:kern w:val="0"/>
                <w:sz w:val="24"/>
                <w:szCs w:val="24"/>
              </w:rPr>
              <w:t>BIOS</w:t>
            </w:r>
            <w:r>
              <w:rPr>
                <w:rFonts w:hint="eastAsia" w:ascii="宋体" w:hAnsi="宋体" w:cs="宋体"/>
                <w:color w:val="auto"/>
                <w:kern w:val="0"/>
                <w:sz w:val="24"/>
                <w:szCs w:val="24"/>
              </w:rPr>
              <w:t>和</w:t>
            </w:r>
            <w:r>
              <w:rPr>
                <w:rFonts w:ascii="宋体" w:hAnsi="宋体" w:cs="宋体"/>
                <w:color w:val="auto"/>
                <w:kern w:val="0"/>
                <w:sz w:val="24"/>
                <w:szCs w:val="24"/>
              </w:rPr>
              <w:t>UEFI</w:t>
            </w:r>
            <w:r>
              <w:rPr>
                <w:rFonts w:hint="eastAsia" w:ascii="宋体" w:hAnsi="宋体" w:cs="宋体"/>
                <w:color w:val="auto"/>
                <w:kern w:val="0"/>
                <w:sz w:val="24"/>
                <w:szCs w:val="24"/>
              </w:rPr>
              <w:t>启动方式，并且管理员可自定义启动介质，如网络启动、光驱启动、硬盘启动等，并可精确指定启动顺序，需提供界面截图；</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、支持虚拟机规格的在线或离线调整，包括</w:t>
            </w:r>
            <w:r>
              <w:rPr>
                <w:rFonts w:ascii="宋体" w:hAnsi="宋体" w:cs="宋体"/>
                <w:color w:val="auto"/>
                <w:kern w:val="0"/>
                <w:sz w:val="24"/>
                <w:szCs w:val="24"/>
              </w:rPr>
              <w:t>CPU</w:t>
            </w:r>
            <w:r>
              <w:rPr>
                <w:rFonts w:hint="eastAsia" w:ascii="宋体" w:hAnsi="宋体" w:cs="宋体"/>
                <w:color w:val="auto"/>
                <w:kern w:val="0"/>
                <w:sz w:val="24"/>
                <w:szCs w:val="24"/>
              </w:rPr>
              <w:t>、内存、硬盘、网卡等资源，支持重启生效；</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、支持虚拟机</w:t>
            </w:r>
            <w:r>
              <w:rPr>
                <w:rFonts w:ascii="宋体" w:hAnsi="宋体" w:cs="宋体"/>
                <w:color w:val="auto"/>
                <w:kern w:val="0"/>
                <w:sz w:val="24"/>
                <w:szCs w:val="24"/>
              </w:rPr>
              <w:t>HA</w:t>
            </w:r>
            <w:r>
              <w:rPr>
                <w:rFonts w:hint="eastAsia" w:ascii="宋体" w:hAnsi="宋体" w:cs="宋体"/>
                <w:color w:val="auto"/>
                <w:kern w:val="0"/>
                <w:sz w:val="24"/>
                <w:szCs w:val="24"/>
              </w:rPr>
              <w:t>，允许配置集群内</w:t>
            </w:r>
            <w:r>
              <w:rPr>
                <w:rFonts w:ascii="宋体" w:hAnsi="宋体" w:cs="宋体"/>
                <w:color w:val="auto"/>
                <w:kern w:val="0"/>
                <w:sz w:val="24"/>
                <w:szCs w:val="24"/>
              </w:rPr>
              <w:t>HA</w:t>
            </w:r>
            <w:r>
              <w:rPr>
                <w:rFonts w:hint="eastAsia" w:ascii="宋体" w:hAnsi="宋体" w:cs="宋体"/>
                <w:color w:val="auto"/>
                <w:kern w:val="0"/>
                <w:sz w:val="24"/>
                <w:szCs w:val="24"/>
              </w:rPr>
              <w:t>预留的主机数量，以保证在虚拟机故障时有足够的资源进行切换，支持配置存储故障后是</w:t>
            </w:r>
            <w:r>
              <w:rPr>
                <w:rFonts w:ascii="宋体" w:hAnsi="宋体" w:cs="宋体"/>
                <w:color w:val="auto"/>
                <w:kern w:val="0"/>
                <w:sz w:val="24"/>
                <w:szCs w:val="24"/>
              </w:rPr>
              <w:t>HA</w:t>
            </w:r>
            <w:r>
              <w:rPr>
                <w:rFonts w:hint="eastAsia" w:ascii="宋体" w:hAnsi="宋体" w:cs="宋体"/>
                <w:color w:val="auto"/>
                <w:kern w:val="0"/>
                <w:sz w:val="24"/>
                <w:szCs w:val="24"/>
              </w:rPr>
              <w:t>虚拟机还是不处理；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、支持通过文件夹对虚拟机进行分组，不同类型的虚拟机实现逻辑分组管理，方便运维，文件夹深度最多可以支持</w:t>
            </w:r>
            <w:r>
              <w:rPr>
                <w:rFonts w:ascii="宋体" w:hAnsi="宋体" w:cs="宋体"/>
                <w:color w:val="auto"/>
                <w:kern w:val="0"/>
                <w:sz w:val="24"/>
                <w:szCs w:val="24"/>
              </w:rPr>
              <w:t>5</w:t>
            </w:r>
            <w:r>
              <w:rPr>
                <w:rFonts w:hint="eastAsia" w:ascii="宋体" w:hAnsi="宋体" w:cs="宋体"/>
                <w:color w:val="auto"/>
                <w:kern w:val="0"/>
                <w:sz w:val="24"/>
                <w:szCs w:val="24"/>
              </w:rPr>
              <w:t>层，并可以对分组虚拟机批量进行关闭、启动、克隆等操作；</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、为提升数据安全性，对接远端存储时，要求指定对接存储时的</w:t>
            </w:r>
            <w:r>
              <w:rPr>
                <w:rFonts w:ascii="宋体" w:hAnsi="宋体" w:cs="宋体"/>
                <w:color w:val="auto"/>
                <w:kern w:val="0"/>
                <w:sz w:val="24"/>
                <w:szCs w:val="24"/>
              </w:rPr>
              <w:t>CHAP</w:t>
            </w:r>
            <w:r>
              <w:rPr>
                <w:rFonts w:hint="eastAsia" w:ascii="宋体" w:hAnsi="宋体" w:cs="宋体"/>
                <w:color w:val="auto"/>
                <w:kern w:val="0"/>
                <w:sz w:val="24"/>
                <w:szCs w:val="24"/>
              </w:rPr>
              <w:t>信息，支持配置对接存储的存储</w:t>
            </w:r>
            <w:r>
              <w:rPr>
                <w:rFonts w:ascii="宋体" w:hAnsi="宋体" w:cs="宋体"/>
                <w:color w:val="auto"/>
                <w:kern w:val="0"/>
                <w:sz w:val="24"/>
                <w:szCs w:val="24"/>
              </w:rPr>
              <w:t>IP</w:t>
            </w:r>
            <w:r>
              <w:rPr>
                <w:rFonts w:hint="eastAsia" w:ascii="宋体" w:hAnsi="宋体" w:cs="宋体"/>
                <w:color w:val="auto"/>
                <w:kern w:val="0"/>
                <w:sz w:val="24"/>
                <w:szCs w:val="24"/>
              </w:rPr>
              <w:t>以及端口号；</w:t>
            </w:r>
          </w:p>
          <w:p>
            <w:pPr>
              <w:widowControl/>
              <w:jc w:val="left"/>
              <w:textAlignment w:val="center"/>
              <w:rPr>
                <w:rFonts w:hint="eastAsia" w:asci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、支持同一</w:t>
            </w:r>
            <w:r>
              <w:rPr>
                <w:rFonts w:ascii="宋体" w:hAnsi="宋体" w:cs="宋体"/>
                <w:color w:val="auto"/>
                <w:kern w:val="0"/>
                <w:sz w:val="24"/>
                <w:szCs w:val="24"/>
              </w:rPr>
              <w:t>CPU</w:t>
            </w:r>
            <w:r>
              <w:rPr>
                <w:rFonts w:hint="eastAsia" w:ascii="宋体" w:hAnsi="宋体" w:cs="宋体"/>
                <w:color w:val="auto"/>
                <w:kern w:val="0"/>
                <w:sz w:val="24"/>
                <w:szCs w:val="24"/>
              </w:rPr>
              <w:t>厂商不同</w:t>
            </w:r>
            <w:r>
              <w:rPr>
                <w:rFonts w:ascii="宋体" w:hAnsi="宋体" w:cs="宋体"/>
                <w:color w:val="auto"/>
                <w:kern w:val="0"/>
                <w:sz w:val="24"/>
                <w:szCs w:val="24"/>
              </w:rPr>
              <w:t>CPU</w:t>
            </w:r>
            <w:r>
              <w:rPr>
                <w:rFonts w:hint="eastAsia" w:ascii="宋体" w:hAnsi="宋体" w:cs="宋体"/>
                <w:color w:val="auto"/>
                <w:kern w:val="0"/>
                <w:sz w:val="24"/>
                <w:szCs w:val="24"/>
              </w:rPr>
              <w:t>型号服务器组建在同一逻辑集群中</w:t>
            </w:r>
            <w:r>
              <w:rPr>
                <w:rFonts w:hint="eastAsia" w:asci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9</w:t>
            </w:r>
            <w:r>
              <w:rPr>
                <w:rFonts w:hint="eastAsia" w:ascii="宋体" w:hAnsi="宋体" w:cs="宋体"/>
                <w:color w:val="auto"/>
                <w:kern w:val="0"/>
                <w:sz w:val="24"/>
                <w:szCs w:val="24"/>
              </w:rPr>
              <w:t>、虚拟机支持存储裸设备映射（</w:t>
            </w:r>
            <w:r>
              <w:rPr>
                <w:rFonts w:ascii="宋体" w:hAnsi="宋体" w:cs="宋体"/>
                <w:color w:val="auto"/>
                <w:kern w:val="0"/>
                <w:sz w:val="24"/>
                <w:szCs w:val="24"/>
              </w:rPr>
              <w:t>RDM</w:t>
            </w:r>
            <w:r>
              <w:rPr>
                <w:rFonts w:hint="eastAsia" w:ascii="宋体" w:hAnsi="宋体" w:cs="宋体"/>
                <w:color w:val="auto"/>
                <w:kern w:val="0"/>
                <w:sz w:val="24"/>
                <w:szCs w:val="24"/>
              </w:rPr>
              <w:t>），可以将存储设备上的</w:t>
            </w:r>
            <w:r>
              <w:rPr>
                <w:rFonts w:ascii="宋体" w:hAnsi="宋体" w:cs="宋体"/>
                <w:color w:val="auto"/>
                <w:kern w:val="0"/>
                <w:sz w:val="24"/>
                <w:szCs w:val="24"/>
              </w:rPr>
              <w:t>LUN</w:t>
            </w:r>
            <w:r>
              <w:rPr>
                <w:rFonts w:hint="eastAsia" w:ascii="宋体" w:hAnsi="宋体" w:cs="宋体"/>
                <w:color w:val="auto"/>
                <w:kern w:val="0"/>
                <w:sz w:val="24"/>
                <w:szCs w:val="24"/>
              </w:rPr>
              <w:t>直接映射给虚拟机使用，并且支持</w:t>
            </w:r>
            <w:r>
              <w:rPr>
                <w:rFonts w:ascii="宋体" w:hAnsi="宋体" w:cs="宋体"/>
                <w:color w:val="auto"/>
                <w:kern w:val="0"/>
                <w:sz w:val="24"/>
                <w:szCs w:val="24"/>
              </w:rPr>
              <w:t>SCSI</w:t>
            </w:r>
            <w:r>
              <w:rPr>
                <w:rFonts w:hint="eastAsia" w:ascii="宋体" w:hAnsi="宋体" w:cs="宋体"/>
                <w:color w:val="auto"/>
                <w:kern w:val="0"/>
                <w:sz w:val="24"/>
                <w:szCs w:val="24"/>
              </w:rPr>
              <w:t>指令使用透传模式或者非透传模式使用；</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10</w:t>
            </w:r>
            <w:r>
              <w:rPr>
                <w:rFonts w:hint="eastAsia" w:ascii="宋体" w:hAnsi="宋体" w:cs="宋体"/>
                <w:color w:val="auto"/>
                <w:kern w:val="0"/>
                <w:sz w:val="24"/>
                <w:szCs w:val="24"/>
              </w:rPr>
              <w:t>、支持虚拟交换机，通过对接受和发送的流量进行整形保证网络质量，至少支持平均带宽、峰值带宽、突发大小、优先级、</w:t>
            </w:r>
            <w:r>
              <w:rPr>
                <w:rFonts w:ascii="宋体" w:hAnsi="宋体" w:cs="宋体"/>
                <w:color w:val="auto"/>
                <w:kern w:val="0"/>
                <w:sz w:val="24"/>
                <w:szCs w:val="24"/>
              </w:rPr>
              <w:t>DHCP</w:t>
            </w:r>
            <w:r>
              <w:rPr>
                <w:rFonts w:hint="eastAsia" w:ascii="宋体" w:hAnsi="宋体" w:cs="宋体"/>
                <w:color w:val="auto"/>
                <w:kern w:val="0"/>
                <w:sz w:val="24"/>
                <w:szCs w:val="24"/>
              </w:rPr>
              <w:t>隔离、广播抑制、</w:t>
            </w:r>
            <w:r>
              <w:rPr>
                <w:rFonts w:ascii="宋体" w:hAnsi="宋体" w:cs="宋体"/>
                <w:color w:val="auto"/>
                <w:kern w:val="0"/>
                <w:sz w:val="24"/>
                <w:szCs w:val="24"/>
              </w:rPr>
              <w:t>TCP</w:t>
            </w:r>
            <w:r>
              <w:rPr>
                <w:rFonts w:hint="eastAsia" w:ascii="宋体" w:hAnsi="宋体" w:cs="宋体"/>
                <w:color w:val="auto"/>
                <w:kern w:val="0"/>
                <w:sz w:val="24"/>
                <w:szCs w:val="24"/>
              </w:rPr>
              <w:t>校验和的设置，提供截图证明；</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11</w:t>
            </w:r>
            <w:r>
              <w:rPr>
                <w:rFonts w:hint="eastAsia" w:ascii="宋体" w:hAnsi="宋体" w:cs="宋体"/>
                <w:color w:val="auto"/>
                <w:kern w:val="0"/>
                <w:sz w:val="24"/>
                <w:szCs w:val="24"/>
              </w:rPr>
              <w:t>、支持将虚拟交换机端口属性配置为普通或者中继</w:t>
            </w:r>
            <w:r>
              <w:rPr>
                <w:rFonts w:ascii="宋体" w:hAnsi="宋体" w:cs="宋体"/>
                <w:color w:val="auto"/>
                <w:kern w:val="0"/>
                <w:sz w:val="24"/>
                <w:szCs w:val="24"/>
              </w:rPr>
              <w:t>(Trunk)</w:t>
            </w:r>
            <w:r>
              <w:rPr>
                <w:rFonts w:hint="eastAsia" w:ascii="宋体" w:hAnsi="宋体" w:cs="宋体"/>
                <w:color w:val="auto"/>
                <w:kern w:val="0"/>
                <w:sz w:val="24"/>
                <w:szCs w:val="24"/>
              </w:rPr>
              <w:t>，以满足虚拟机内需要配置带</w:t>
            </w:r>
            <w:r>
              <w:rPr>
                <w:rFonts w:ascii="宋体" w:hAnsi="宋体" w:cs="宋体"/>
                <w:color w:val="auto"/>
                <w:kern w:val="0"/>
                <w:sz w:val="24"/>
                <w:szCs w:val="24"/>
              </w:rPr>
              <w:t>VLAN</w:t>
            </w:r>
            <w:r>
              <w:rPr>
                <w:rFonts w:hint="eastAsia" w:ascii="宋体" w:hAnsi="宋体" w:cs="宋体"/>
                <w:color w:val="auto"/>
                <w:kern w:val="0"/>
                <w:sz w:val="24"/>
                <w:szCs w:val="24"/>
              </w:rPr>
              <w:t>属性网络的配置诉求；</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12</w:t>
            </w:r>
            <w:r>
              <w:rPr>
                <w:rFonts w:hint="eastAsia" w:ascii="宋体" w:hAnsi="宋体" w:cs="宋体"/>
                <w:color w:val="auto"/>
                <w:kern w:val="0"/>
                <w:sz w:val="24"/>
                <w:szCs w:val="24"/>
              </w:rPr>
              <w:t>、支持主流的</w:t>
            </w:r>
            <w:r>
              <w:rPr>
                <w:rFonts w:ascii="宋体" w:hAnsi="宋体" w:cs="宋体"/>
                <w:color w:val="auto"/>
                <w:kern w:val="0"/>
                <w:sz w:val="24"/>
                <w:szCs w:val="24"/>
              </w:rPr>
              <w:t>x86</w:t>
            </w:r>
            <w:r>
              <w:rPr>
                <w:rFonts w:hint="eastAsia" w:ascii="宋体" w:hAnsi="宋体" w:cs="宋体"/>
                <w:color w:val="auto"/>
                <w:kern w:val="0"/>
                <w:sz w:val="24"/>
                <w:szCs w:val="24"/>
              </w:rPr>
              <w:t>和</w:t>
            </w:r>
            <w:r>
              <w:rPr>
                <w:rFonts w:ascii="宋体" w:hAnsi="宋体" w:cs="宋体"/>
                <w:color w:val="auto"/>
                <w:kern w:val="0"/>
                <w:sz w:val="24"/>
                <w:szCs w:val="24"/>
              </w:rPr>
              <w:t>ARM</w:t>
            </w:r>
            <w:r>
              <w:rPr>
                <w:rFonts w:hint="eastAsia" w:ascii="宋体" w:hAnsi="宋体" w:cs="宋体"/>
                <w:color w:val="auto"/>
                <w:kern w:val="0"/>
                <w:sz w:val="24"/>
                <w:szCs w:val="24"/>
              </w:rPr>
              <w:t>架构的操作系统。投标方应提供查询网站和兼容性列表截图；</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13</w:t>
            </w:r>
            <w:r>
              <w:rPr>
                <w:rFonts w:hint="eastAsia" w:ascii="宋体" w:hAnsi="宋体" w:cs="宋体"/>
                <w:color w:val="auto"/>
                <w:kern w:val="0"/>
                <w:sz w:val="24"/>
                <w:szCs w:val="24"/>
              </w:rPr>
              <w:t>、兼容现有市场上主流的存储阵列产品；</w:t>
            </w:r>
          </w:p>
          <w:p>
            <w:pPr>
              <w:widowControl/>
              <w:jc w:val="left"/>
              <w:textAlignment w:val="center"/>
              <w:rPr>
                <w:rFonts w:hint="eastAsia" w:ascii="宋体" w:eastAsia="宋体" w:cs="宋体"/>
                <w:color w:val="auto"/>
                <w:kern w:val="0"/>
                <w:sz w:val="24"/>
                <w:szCs w:val="24"/>
                <w:lang w:eastAsia="zh-CN"/>
              </w:rPr>
            </w:pPr>
            <w:r>
              <w:rPr>
                <w:rFonts w:ascii="宋体" w:hAnsi="宋体" w:cs="宋体"/>
                <w:color w:val="auto"/>
                <w:kern w:val="0"/>
                <w:sz w:val="24"/>
                <w:szCs w:val="24"/>
              </w:rPr>
              <w:t>14</w:t>
            </w:r>
            <w:r>
              <w:rPr>
                <w:rFonts w:hint="eastAsia" w:ascii="宋体" w:hAnsi="宋体" w:cs="宋体"/>
                <w:color w:val="auto"/>
                <w:kern w:val="0"/>
                <w:sz w:val="24"/>
                <w:szCs w:val="24"/>
              </w:rPr>
              <w:t>、支持以集群为单位设置跨代</w:t>
            </w:r>
            <w:r>
              <w:rPr>
                <w:rFonts w:ascii="宋体" w:hAnsi="宋体" w:cs="宋体"/>
                <w:color w:val="auto"/>
                <w:kern w:val="0"/>
                <w:sz w:val="24"/>
                <w:szCs w:val="24"/>
              </w:rPr>
              <w:t>CPU</w:t>
            </w:r>
            <w:r>
              <w:rPr>
                <w:rFonts w:hint="eastAsia" w:ascii="宋体" w:hAnsi="宋体" w:cs="宋体"/>
                <w:color w:val="auto"/>
                <w:kern w:val="0"/>
                <w:sz w:val="24"/>
                <w:szCs w:val="24"/>
              </w:rPr>
              <w:t>虚拟机热迁移属性．支持同一</w:t>
            </w:r>
            <w:r>
              <w:rPr>
                <w:rFonts w:ascii="宋体" w:hAnsi="宋体" w:cs="宋体"/>
                <w:color w:val="auto"/>
                <w:kern w:val="0"/>
                <w:sz w:val="24"/>
                <w:szCs w:val="24"/>
              </w:rPr>
              <w:t>CPU</w:t>
            </w:r>
            <w:r>
              <w:rPr>
                <w:rFonts w:hint="eastAsia" w:ascii="宋体" w:hAnsi="宋体" w:cs="宋体"/>
                <w:color w:val="auto"/>
                <w:kern w:val="0"/>
                <w:sz w:val="24"/>
                <w:szCs w:val="24"/>
              </w:rPr>
              <w:t>厂商不同</w:t>
            </w:r>
            <w:r>
              <w:rPr>
                <w:rFonts w:ascii="宋体" w:hAnsi="宋体" w:cs="宋体"/>
                <w:color w:val="auto"/>
                <w:kern w:val="0"/>
                <w:sz w:val="24"/>
                <w:szCs w:val="24"/>
              </w:rPr>
              <w:t>CPU</w:t>
            </w:r>
            <w:r>
              <w:rPr>
                <w:rFonts w:hint="eastAsia" w:ascii="宋体" w:hAnsi="宋体" w:cs="宋体"/>
                <w:color w:val="auto"/>
                <w:kern w:val="0"/>
                <w:sz w:val="24"/>
                <w:szCs w:val="24"/>
              </w:rPr>
              <w:t>型号服务器组建在同一逻辑集群中</w:t>
            </w:r>
            <w:r>
              <w:rPr>
                <w:rFonts w:ascii="宋体" w:cs="宋体"/>
                <w:color w:val="auto"/>
                <w:kern w:val="0"/>
                <w:sz w:val="24"/>
                <w:szCs w:val="24"/>
              </w:rPr>
              <w:t>,</w:t>
            </w:r>
            <w:r>
              <w:rPr>
                <w:rFonts w:hint="eastAsia" w:ascii="宋体" w:hAnsi="宋体" w:cs="宋体"/>
                <w:color w:val="auto"/>
                <w:kern w:val="0"/>
                <w:sz w:val="24"/>
                <w:szCs w:val="24"/>
              </w:rPr>
              <w:t>并且支持虚拟机在不同</w:t>
            </w:r>
            <w:r>
              <w:rPr>
                <w:rFonts w:ascii="宋体" w:hAnsi="宋体" w:cs="宋体"/>
                <w:color w:val="auto"/>
                <w:kern w:val="0"/>
                <w:sz w:val="24"/>
                <w:szCs w:val="24"/>
              </w:rPr>
              <w:t>CPU</w:t>
            </w:r>
            <w:r>
              <w:rPr>
                <w:rFonts w:hint="eastAsia" w:ascii="宋体" w:hAnsi="宋体" w:cs="宋体"/>
                <w:color w:val="auto"/>
                <w:kern w:val="0"/>
                <w:sz w:val="24"/>
                <w:szCs w:val="24"/>
              </w:rPr>
              <w:t>型号服务器之间进行业务不中断热迁移</w:t>
            </w:r>
            <w:r>
              <w:rPr>
                <w:rFonts w:hint="eastAsia" w:asci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15</w:t>
            </w:r>
            <w:r>
              <w:rPr>
                <w:rFonts w:hint="eastAsia" w:ascii="宋体" w:hAnsi="宋体" w:cs="宋体"/>
                <w:color w:val="auto"/>
                <w:kern w:val="0"/>
                <w:sz w:val="24"/>
                <w:szCs w:val="24"/>
              </w:rPr>
              <w:t>、管理系统支持与现有的</w:t>
            </w:r>
            <w:r>
              <w:rPr>
                <w:rFonts w:ascii="宋体" w:hAnsi="宋体" w:cs="宋体"/>
                <w:color w:val="auto"/>
                <w:kern w:val="0"/>
                <w:sz w:val="24"/>
                <w:szCs w:val="24"/>
              </w:rPr>
              <w:t>LDAP</w:t>
            </w:r>
            <w:r>
              <w:rPr>
                <w:rFonts w:hint="eastAsia" w:ascii="宋体" w:hAnsi="宋体" w:cs="宋体"/>
                <w:color w:val="auto"/>
                <w:kern w:val="0"/>
                <w:sz w:val="24"/>
                <w:szCs w:val="24"/>
              </w:rPr>
              <w:t>和安全的</w:t>
            </w:r>
            <w:r>
              <w:rPr>
                <w:rFonts w:ascii="宋体" w:hAnsi="宋体" w:cs="宋体"/>
                <w:color w:val="auto"/>
                <w:kern w:val="0"/>
                <w:sz w:val="24"/>
                <w:szCs w:val="24"/>
              </w:rPr>
              <w:t>LDAPS</w:t>
            </w:r>
            <w:r>
              <w:rPr>
                <w:rFonts w:hint="eastAsia" w:ascii="宋体" w:hAnsi="宋体" w:cs="宋体"/>
                <w:color w:val="auto"/>
                <w:kern w:val="0"/>
                <w:sz w:val="24"/>
                <w:szCs w:val="24"/>
              </w:rPr>
              <w:t>对接，简化账号与权限管理，需提供截图证明；</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16</w:t>
            </w:r>
            <w:r>
              <w:rPr>
                <w:rFonts w:hint="eastAsia" w:ascii="宋体" w:hAnsi="宋体" w:cs="宋体"/>
                <w:color w:val="auto"/>
                <w:kern w:val="0"/>
                <w:sz w:val="24"/>
                <w:szCs w:val="24"/>
              </w:rPr>
              <w:t>、支持将管理数据通过</w:t>
            </w:r>
            <w:r>
              <w:rPr>
                <w:rFonts w:ascii="宋体" w:hAnsi="宋体" w:cs="宋体"/>
                <w:color w:val="auto"/>
                <w:kern w:val="0"/>
                <w:sz w:val="24"/>
                <w:szCs w:val="24"/>
              </w:rPr>
              <w:t>FTP</w:t>
            </w:r>
            <w:r>
              <w:rPr>
                <w:rFonts w:hint="eastAsia" w:ascii="宋体" w:hAnsi="宋体" w:cs="宋体"/>
                <w:color w:val="auto"/>
                <w:kern w:val="0"/>
                <w:sz w:val="24"/>
                <w:szCs w:val="24"/>
              </w:rPr>
              <w:t>、</w:t>
            </w:r>
            <w:r>
              <w:rPr>
                <w:rFonts w:ascii="宋体" w:hAnsi="宋体" w:cs="宋体"/>
                <w:color w:val="auto"/>
                <w:kern w:val="0"/>
                <w:sz w:val="24"/>
                <w:szCs w:val="24"/>
              </w:rPr>
              <w:t>FTPs</w:t>
            </w:r>
            <w:r>
              <w:rPr>
                <w:rFonts w:hint="eastAsia" w:ascii="宋体" w:hAnsi="宋体" w:cs="宋体"/>
                <w:color w:val="auto"/>
                <w:kern w:val="0"/>
                <w:sz w:val="24"/>
                <w:szCs w:val="24"/>
              </w:rPr>
              <w:t>、</w:t>
            </w:r>
            <w:r>
              <w:rPr>
                <w:rFonts w:ascii="宋体" w:hAnsi="宋体" w:cs="宋体"/>
                <w:color w:val="auto"/>
                <w:kern w:val="0"/>
                <w:sz w:val="24"/>
                <w:szCs w:val="24"/>
              </w:rPr>
              <w:t>SCP</w:t>
            </w:r>
            <w:r>
              <w:rPr>
                <w:rFonts w:hint="eastAsia" w:ascii="宋体" w:hAnsi="宋体" w:cs="宋体"/>
                <w:color w:val="auto"/>
                <w:kern w:val="0"/>
                <w:sz w:val="24"/>
                <w:szCs w:val="24"/>
              </w:rPr>
              <w:t>等协议备份到第三方备份介质，提升管理数据可靠性；</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17</w:t>
            </w:r>
            <w:r>
              <w:rPr>
                <w:rFonts w:hint="eastAsia" w:ascii="宋体" w:hAnsi="宋体" w:cs="宋体"/>
                <w:color w:val="auto"/>
                <w:kern w:val="0"/>
                <w:sz w:val="24"/>
                <w:szCs w:val="24"/>
              </w:rPr>
              <w:t>、虚拟化软件系统管理模块默认支持主备冗余部署，以保障系统运行的可靠性；</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18</w:t>
            </w:r>
            <w:r>
              <w:rPr>
                <w:rFonts w:hint="eastAsia" w:ascii="宋体" w:hAnsi="宋体" w:cs="宋体"/>
                <w:color w:val="auto"/>
                <w:kern w:val="0"/>
                <w:sz w:val="24"/>
                <w:szCs w:val="24"/>
              </w:rPr>
              <w:t>、支持多种类型指标告警，包括但不限于</w:t>
            </w:r>
            <w:r>
              <w:rPr>
                <w:rFonts w:ascii="宋体" w:hAnsi="宋体" w:cs="宋体"/>
                <w:color w:val="auto"/>
                <w:kern w:val="0"/>
                <w:sz w:val="24"/>
                <w:szCs w:val="24"/>
              </w:rPr>
              <w:t>CPU</w:t>
            </w:r>
            <w:r>
              <w:rPr>
                <w:rFonts w:hint="eastAsia" w:ascii="宋体" w:hAnsi="宋体" w:cs="宋体"/>
                <w:color w:val="auto"/>
                <w:kern w:val="0"/>
                <w:sz w:val="24"/>
                <w:szCs w:val="24"/>
              </w:rPr>
              <w:t>、内存、磁盘使用率，存储</w:t>
            </w:r>
            <w:r>
              <w:rPr>
                <w:rFonts w:ascii="宋体" w:hAnsi="宋体" w:cs="宋体"/>
                <w:color w:val="auto"/>
                <w:kern w:val="0"/>
                <w:sz w:val="24"/>
                <w:szCs w:val="24"/>
              </w:rPr>
              <w:t>IO</w:t>
            </w:r>
            <w:r>
              <w:rPr>
                <w:rFonts w:hint="eastAsia" w:ascii="宋体" w:hAnsi="宋体" w:cs="宋体"/>
                <w:color w:val="auto"/>
                <w:kern w:val="0"/>
                <w:sz w:val="24"/>
                <w:szCs w:val="24"/>
              </w:rPr>
              <w:t>延时、分区占用率、虚拟化域资源占用等，用户可自定义告警阈值；</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19</w:t>
            </w:r>
            <w:r>
              <w:rPr>
                <w:rFonts w:hint="eastAsia" w:ascii="宋体" w:hAnsi="宋体" w:cs="宋体"/>
                <w:color w:val="auto"/>
                <w:kern w:val="0"/>
                <w:sz w:val="24"/>
                <w:szCs w:val="24"/>
              </w:rPr>
              <w:t>、支持记录操作维护人员通过运维管理系统进行的操作日志。系统操作维护人员可以在运维管理系统中筛选并查看、导出、操作日志，不允许删除日志；</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20</w:t>
            </w:r>
            <w:r>
              <w:rPr>
                <w:rFonts w:hint="eastAsia" w:ascii="宋体" w:hAnsi="宋体" w:cs="宋体"/>
                <w:color w:val="auto"/>
                <w:kern w:val="0"/>
                <w:sz w:val="24"/>
                <w:szCs w:val="24"/>
              </w:rPr>
              <w:t>、支持配置系统后续分配给虚拟机所使用的</w:t>
            </w:r>
            <w:r>
              <w:rPr>
                <w:rFonts w:ascii="宋体" w:hAnsi="宋体" w:cs="宋体"/>
                <w:color w:val="auto"/>
                <w:kern w:val="0"/>
                <w:sz w:val="24"/>
                <w:szCs w:val="24"/>
              </w:rPr>
              <w:t>MAC</w:t>
            </w:r>
            <w:r>
              <w:rPr>
                <w:rFonts w:hint="eastAsia" w:ascii="宋体" w:hAnsi="宋体" w:cs="宋体"/>
                <w:color w:val="auto"/>
                <w:kern w:val="0"/>
                <w:sz w:val="24"/>
                <w:szCs w:val="24"/>
              </w:rPr>
              <w:t>地址段，并可支持用户虚拟机</w:t>
            </w:r>
            <w:r>
              <w:rPr>
                <w:rFonts w:ascii="宋体" w:hAnsi="宋体" w:cs="宋体"/>
                <w:color w:val="auto"/>
                <w:kern w:val="0"/>
                <w:sz w:val="24"/>
                <w:szCs w:val="24"/>
              </w:rPr>
              <w:t>IP</w:t>
            </w:r>
            <w:r>
              <w:rPr>
                <w:rFonts w:hint="eastAsia" w:ascii="宋体" w:hAnsi="宋体" w:cs="宋体"/>
                <w:color w:val="auto"/>
                <w:kern w:val="0"/>
                <w:sz w:val="24"/>
                <w:szCs w:val="24"/>
              </w:rPr>
              <w:t>与</w:t>
            </w:r>
            <w:r>
              <w:rPr>
                <w:rFonts w:ascii="宋体" w:hAnsi="宋体" w:cs="宋体"/>
                <w:color w:val="auto"/>
                <w:kern w:val="0"/>
                <w:sz w:val="24"/>
                <w:szCs w:val="24"/>
              </w:rPr>
              <w:t>MAC</w:t>
            </w:r>
            <w:r>
              <w:rPr>
                <w:rFonts w:hint="eastAsia" w:ascii="宋体" w:hAnsi="宋体" w:cs="宋体"/>
                <w:color w:val="auto"/>
                <w:kern w:val="0"/>
                <w:sz w:val="24"/>
                <w:szCs w:val="24"/>
              </w:rPr>
              <w:t>绑定，防止</w:t>
            </w:r>
            <w:r>
              <w:rPr>
                <w:rFonts w:ascii="宋体" w:hAnsi="宋体" w:cs="宋体"/>
                <w:color w:val="auto"/>
                <w:kern w:val="0"/>
                <w:sz w:val="24"/>
                <w:szCs w:val="24"/>
              </w:rPr>
              <w:t>IP</w:t>
            </w:r>
            <w:r>
              <w:rPr>
                <w:rFonts w:hint="eastAsia" w:ascii="宋体" w:hAnsi="宋体" w:cs="宋体"/>
                <w:color w:val="auto"/>
                <w:kern w:val="0"/>
                <w:sz w:val="24"/>
                <w:szCs w:val="24"/>
              </w:rPr>
              <w:t>和</w:t>
            </w:r>
            <w:r>
              <w:rPr>
                <w:rFonts w:ascii="宋体" w:hAnsi="宋体" w:cs="宋体"/>
                <w:color w:val="auto"/>
                <w:kern w:val="0"/>
                <w:sz w:val="24"/>
                <w:szCs w:val="24"/>
              </w:rPr>
              <w:t>MAC</w:t>
            </w:r>
            <w:r>
              <w:rPr>
                <w:rFonts w:hint="eastAsia" w:ascii="宋体" w:hAnsi="宋体" w:cs="宋体"/>
                <w:color w:val="auto"/>
                <w:kern w:val="0"/>
                <w:sz w:val="24"/>
                <w:szCs w:val="24"/>
              </w:rPr>
              <w:t>地址仿冒。</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w:t>
            </w:r>
            <w:r>
              <w:rPr>
                <w:rFonts w:hint="eastAsia" w:ascii="宋体" w:hAnsi="宋体" w:cs="宋体"/>
                <w:color w:val="auto"/>
                <w:kern w:val="0"/>
                <w:sz w:val="24"/>
                <w:szCs w:val="24"/>
              </w:rPr>
              <w:t>、配置</w:t>
            </w:r>
            <w:r>
              <w:rPr>
                <w:rFonts w:ascii="宋体" w:hAnsi="宋体" w:cs="宋体"/>
                <w:color w:val="auto"/>
                <w:kern w:val="0"/>
                <w:sz w:val="24"/>
                <w:szCs w:val="24"/>
              </w:rPr>
              <w:t>6CPU License</w:t>
            </w:r>
            <w:r>
              <w:rPr>
                <w:rFonts w:hint="eastAsia" w:ascii="宋体" w:hAnsi="宋体" w:cs="宋体"/>
                <w:color w:val="auto"/>
                <w:kern w:val="0"/>
                <w:sz w:val="24"/>
                <w:szCs w:val="24"/>
              </w:rPr>
              <w:t>授权；</w:t>
            </w:r>
          </w:p>
          <w:p>
            <w:pPr>
              <w:widowControl/>
              <w:jc w:val="left"/>
              <w:textAlignment w:val="center"/>
              <w:rPr>
                <w:rFonts w:ascii="宋体"/>
                <w:b/>
                <w:bCs/>
                <w:color w:val="auto"/>
                <w:sz w:val="24"/>
                <w:szCs w:val="24"/>
              </w:rPr>
            </w:pPr>
            <w:r>
              <w:rPr>
                <w:rFonts w:ascii="宋体" w:hAnsi="宋体" w:cs="宋体"/>
                <w:color w:val="auto"/>
                <w:kern w:val="0"/>
                <w:sz w:val="24"/>
                <w:szCs w:val="24"/>
              </w:rPr>
              <w:t>22</w:t>
            </w:r>
            <w:r>
              <w:rPr>
                <w:rFonts w:hint="eastAsia" w:ascii="宋体" w:hAnsi="宋体" w:cs="宋体"/>
                <w:color w:val="auto"/>
                <w:kern w:val="0"/>
                <w:sz w:val="24"/>
                <w:szCs w:val="24"/>
              </w:rPr>
              <w:t>、提供原厂安装服务，</w:t>
            </w:r>
            <w:r>
              <w:rPr>
                <w:rFonts w:ascii="宋体" w:hAnsi="宋体" w:cs="宋体"/>
                <w:color w:val="auto"/>
                <w:kern w:val="0"/>
                <w:sz w:val="24"/>
                <w:szCs w:val="24"/>
              </w:rPr>
              <w:t>3</w:t>
            </w:r>
            <w:r>
              <w:rPr>
                <w:rFonts w:hint="eastAsia" w:ascii="宋体" w:hAnsi="宋体" w:cs="宋体"/>
                <w:color w:val="auto"/>
                <w:kern w:val="0"/>
                <w:sz w:val="24"/>
                <w:szCs w:val="24"/>
              </w:rPr>
              <w:t>年维保。</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1</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3</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存储交换机</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、交换容量≥</w:t>
            </w:r>
            <w:r>
              <w:rPr>
                <w:rFonts w:ascii="宋体" w:hAnsi="宋体" w:cs="宋体"/>
                <w:color w:val="auto"/>
                <w:kern w:val="0"/>
                <w:sz w:val="24"/>
                <w:szCs w:val="24"/>
              </w:rPr>
              <w:t>2.5T</w:t>
            </w:r>
            <w:r>
              <w:rPr>
                <w:rFonts w:hint="eastAsia" w:ascii="宋体" w:hAnsi="宋体" w:cs="宋体"/>
                <w:color w:val="auto"/>
                <w:kern w:val="0"/>
                <w:sz w:val="24"/>
                <w:szCs w:val="24"/>
              </w:rPr>
              <w:t>，包转发率≥</w:t>
            </w:r>
            <w:r>
              <w:rPr>
                <w:rFonts w:ascii="宋体" w:hAnsi="宋体" w:cs="宋体"/>
                <w:color w:val="auto"/>
                <w:kern w:val="0"/>
                <w:sz w:val="24"/>
                <w:szCs w:val="24"/>
              </w:rPr>
              <w:t>700Mpps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、提供</w:t>
            </w:r>
            <w:r>
              <w:rPr>
                <w:rFonts w:ascii="宋体" w:hAnsi="宋体" w:cs="宋体"/>
                <w:color w:val="auto"/>
                <w:kern w:val="0"/>
                <w:sz w:val="24"/>
                <w:szCs w:val="24"/>
              </w:rPr>
              <w:t>24</w:t>
            </w:r>
            <w:r>
              <w:rPr>
                <w:rFonts w:hint="eastAsia" w:ascii="宋体" w:hAnsi="宋体" w:cs="宋体"/>
                <w:color w:val="auto"/>
                <w:kern w:val="0"/>
                <w:sz w:val="24"/>
                <w:szCs w:val="24"/>
              </w:rPr>
              <w:t>个万兆光口，</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40GE</w:t>
            </w:r>
            <w:r>
              <w:rPr>
                <w:rFonts w:hint="eastAsia" w:ascii="宋体" w:hAnsi="宋体" w:cs="宋体"/>
                <w:color w:val="auto"/>
                <w:kern w:val="0"/>
                <w:sz w:val="24"/>
                <w:szCs w:val="24"/>
              </w:rPr>
              <w:t>接口，为了提高设备可靠性，支持模块化可插拔双电源；</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、为了提高设备散热性能，支持可插拔风扇框；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w:t>
            </w:r>
            <w:r>
              <w:rPr>
                <w:rFonts w:ascii="宋体" w:hAnsi="宋体" w:cs="宋体"/>
                <w:color w:val="auto"/>
                <w:kern w:val="0"/>
                <w:sz w:val="24"/>
                <w:szCs w:val="24"/>
              </w:rPr>
              <w:t>288K</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、静态路由、</w:t>
            </w:r>
            <w:r>
              <w:rPr>
                <w:rFonts w:ascii="宋体" w:hAnsi="宋体" w:cs="宋体"/>
                <w:color w:val="auto"/>
                <w:kern w:val="0"/>
                <w:sz w:val="24"/>
                <w:szCs w:val="24"/>
              </w:rPr>
              <w:t>RIPv1/2</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w:t>
            </w:r>
            <w:r>
              <w:rPr>
                <w:rFonts w:ascii="宋体" w:hAnsi="宋体" w:cs="宋体"/>
                <w:color w:val="auto"/>
                <w:kern w:val="0"/>
                <w:sz w:val="24"/>
                <w:szCs w:val="24"/>
              </w:rPr>
              <w:t>ECMP</w:t>
            </w:r>
            <w:r>
              <w:rPr>
                <w:rFonts w:hint="eastAsia" w:ascii="宋体" w:hAnsi="宋体" w:cs="宋体"/>
                <w:color w:val="auto"/>
                <w:kern w:val="0"/>
                <w:sz w:val="24"/>
                <w:szCs w:val="24"/>
              </w:rPr>
              <w:t>、</w:t>
            </w:r>
            <w:r>
              <w:rPr>
                <w:rFonts w:ascii="宋体" w:hAnsi="宋体" w:cs="宋体"/>
                <w:color w:val="auto"/>
                <w:kern w:val="0"/>
                <w:sz w:val="24"/>
                <w:szCs w:val="24"/>
              </w:rPr>
              <w:t>ISIS</w:t>
            </w:r>
            <w:r>
              <w:rPr>
                <w:rFonts w:hint="eastAsia" w:ascii="宋体" w:hAnsi="宋体" w:cs="宋体"/>
                <w:color w:val="auto"/>
                <w:kern w:val="0"/>
                <w:sz w:val="24"/>
                <w:szCs w:val="24"/>
              </w:rPr>
              <w:t>、</w:t>
            </w:r>
            <w:r>
              <w:rPr>
                <w:rFonts w:ascii="宋体" w:hAnsi="宋体" w:cs="宋体"/>
                <w:color w:val="auto"/>
                <w:kern w:val="0"/>
                <w:sz w:val="24"/>
                <w:szCs w:val="24"/>
              </w:rPr>
              <w:t>ISISv6</w:t>
            </w:r>
            <w:r>
              <w:rPr>
                <w:rFonts w:hint="eastAsia" w:ascii="宋体" w:hAnsi="宋体" w:cs="宋体"/>
                <w:color w:val="auto"/>
                <w:kern w:val="0"/>
                <w:sz w:val="24"/>
                <w:szCs w:val="24"/>
              </w:rPr>
              <w:t>、</w:t>
            </w:r>
            <w:r>
              <w:rPr>
                <w:rFonts w:ascii="宋体" w:hAnsi="宋体" w:cs="宋体"/>
                <w:color w:val="auto"/>
                <w:kern w:val="0"/>
                <w:sz w:val="24"/>
                <w:szCs w:val="24"/>
              </w:rPr>
              <w:t>BGP</w:t>
            </w:r>
            <w:r>
              <w:rPr>
                <w:rFonts w:hint="eastAsia" w:ascii="宋体" w:hAnsi="宋体" w:cs="宋体"/>
                <w:color w:val="auto"/>
                <w:kern w:val="0"/>
                <w:sz w:val="24"/>
                <w:szCs w:val="24"/>
              </w:rPr>
              <w:t>、</w:t>
            </w:r>
            <w:r>
              <w:rPr>
                <w:rFonts w:ascii="宋体" w:hAnsi="宋体" w:cs="宋体"/>
                <w:color w:val="auto"/>
                <w:kern w:val="0"/>
                <w:sz w:val="24"/>
                <w:szCs w:val="24"/>
              </w:rPr>
              <w:t xml:space="preserve">BGP4+ </w:t>
            </w:r>
            <w:r>
              <w:rPr>
                <w:rFonts w:hint="eastAsia" w:ascii="宋体" w:hAnsi="宋体" w:cs="宋体"/>
                <w:color w:val="auto"/>
                <w:kern w:val="0"/>
                <w:sz w:val="24"/>
                <w:szCs w:val="24"/>
              </w:rPr>
              <w:t>等路由协议；</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IPv4</w:t>
            </w:r>
            <w:r>
              <w:rPr>
                <w:rFonts w:hint="eastAsia" w:ascii="宋体" w:hAnsi="宋体" w:cs="宋体"/>
                <w:color w:val="auto"/>
                <w:kern w:val="0"/>
                <w:sz w:val="24"/>
                <w:szCs w:val="24"/>
              </w:rPr>
              <w:t>路由表≥</w:t>
            </w:r>
            <w:r>
              <w:rPr>
                <w:rFonts w:ascii="宋体" w:hAnsi="宋体" w:cs="宋体"/>
                <w:color w:val="auto"/>
                <w:kern w:val="0"/>
                <w:sz w:val="24"/>
                <w:szCs w:val="24"/>
              </w:rPr>
              <w:t>128K</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VxLAN</w:t>
            </w:r>
            <w:r>
              <w:rPr>
                <w:rFonts w:hint="eastAsia" w:ascii="宋体" w:hAnsi="宋体" w:cs="宋体"/>
                <w:color w:val="auto"/>
                <w:kern w:val="0"/>
                <w:sz w:val="24"/>
                <w:szCs w:val="24"/>
              </w:rPr>
              <w:t>功能，支持</w:t>
            </w:r>
            <w:r>
              <w:rPr>
                <w:rFonts w:ascii="宋体" w:hAnsi="宋体" w:cs="宋体"/>
                <w:color w:val="auto"/>
                <w:kern w:val="0"/>
                <w:sz w:val="24"/>
                <w:szCs w:val="24"/>
              </w:rPr>
              <w:t>VxLAN</w:t>
            </w:r>
            <w:r>
              <w:rPr>
                <w:rFonts w:hint="eastAsia" w:ascii="宋体" w:hAnsi="宋体" w:cs="宋体"/>
                <w:color w:val="auto"/>
                <w:kern w:val="0"/>
                <w:sz w:val="24"/>
                <w:szCs w:val="24"/>
              </w:rPr>
              <w:t>二层网关、三层网关，支持</w:t>
            </w:r>
            <w:r>
              <w:rPr>
                <w:rFonts w:ascii="宋体" w:hAnsi="宋体" w:cs="宋体"/>
                <w:color w:val="auto"/>
                <w:kern w:val="0"/>
                <w:sz w:val="24"/>
                <w:szCs w:val="24"/>
              </w:rPr>
              <w:t>BGP EVPN</w:t>
            </w:r>
            <w:r>
              <w:rPr>
                <w:rFonts w:hint="eastAsia" w:ascii="宋体" w:hAnsi="宋体" w:cs="宋体"/>
                <w:color w:val="auto"/>
                <w:kern w:val="0"/>
                <w:sz w:val="24"/>
                <w:szCs w:val="24"/>
              </w:rPr>
              <w:t>，实现自动建立隧道；</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、支持真实业务流实时检测技术；</w:t>
            </w:r>
          </w:p>
          <w:p>
            <w:pPr>
              <w:widowControl/>
              <w:jc w:val="left"/>
              <w:textAlignment w:val="center"/>
              <w:rPr>
                <w:rFonts w:ascii="宋体"/>
                <w:b/>
                <w:bCs/>
                <w:color w:val="auto"/>
                <w:sz w:val="24"/>
                <w:szCs w:val="24"/>
              </w:rPr>
            </w:pPr>
            <w:r>
              <w:rPr>
                <w:rFonts w:ascii="宋体" w:hAnsi="宋体" w:cs="宋体"/>
                <w:color w:val="auto"/>
                <w:kern w:val="0"/>
                <w:sz w:val="24"/>
                <w:szCs w:val="24"/>
              </w:rPr>
              <w:t>9</w:t>
            </w:r>
            <w:r>
              <w:rPr>
                <w:rFonts w:hint="eastAsia" w:ascii="宋体" w:hAnsi="宋体" w:cs="宋体"/>
                <w:color w:val="auto"/>
                <w:kern w:val="0"/>
                <w:sz w:val="24"/>
                <w:szCs w:val="24"/>
              </w:rPr>
              <w:t>、实配：万兆多模模块</w:t>
            </w:r>
            <w:r>
              <w:rPr>
                <w:rFonts w:ascii="宋体" w:hAnsi="宋体" w:cs="宋体"/>
                <w:color w:val="auto"/>
                <w:kern w:val="0"/>
                <w:sz w:val="24"/>
                <w:szCs w:val="24"/>
              </w:rPr>
              <w:t>16</w:t>
            </w:r>
            <w:r>
              <w:rPr>
                <w:rFonts w:hint="eastAsia" w:ascii="宋体" w:hAnsi="宋体" w:cs="宋体"/>
                <w:color w:val="auto"/>
                <w:kern w:val="0"/>
                <w:sz w:val="24"/>
                <w:szCs w:val="24"/>
              </w:rPr>
              <w:t>个、硬件</w:t>
            </w:r>
            <w:r>
              <w:rPr>
                <w:rFonts w:ascii="宋体" w:hAnsi="宋体" w:cs="宋体"/>
                <w:color w:val="auto"/>
                <w:kern w:val="0"/>
                <w:sz w:val="24"/>
                <w:szCs w:val="24"/>
              </w:rPr>
              <w:t>3</w:t>
            </w:r>
            <w:r>
              <w:rPr>
                <w:rFonts w:hint="eastAsia" w:ascii="宋体" w:hAnsi="宋体" w:cs="宋体"/>
                <w:color w:val="auto"/>
                <w:kern w:val="0"/>
                <w:sz w:val="24"/>
                <w:szCs w:val="24"/>
              </w:rPr>
              <w:t>年质保。</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2</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4</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业务交换机</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numPr>
                <w:ilvl w:val="0"/>
                <w:numId w:val="20"/>
              </w:numPr>
              <w:jc w:val="left"/>
              <w:textAlignment w:val="center"/>
              <w:rPr>
                <w:rFonts w:ascii="宋体"/>
                <w:color w:val="auto"/>
                <w:kern w:val="0"/>
                <w:sz w:val="24"/>
                <w:szCs w:val="24"/>
              </w:rPr>
            </w:pPr>
            <w:r>
              <w:rPr>
                <w:rFonts w:hint="eastAsia" w:ascii="宋体" w:hAnsi="宋体" w:cs="宋体"/>
                <w:color w:val="auto"/>
                <w:kern w:val="0"/>
                <w:sz w:val="24"/>
                <w:szCs w:val="24"/>
              </w:rPr>
              <w:t>交换容量≥</w:t>
            </w:r>
            <w:r>
              <w:rPr>
                <w:rFonts w:ascii="宋体" w:hAnsi="宋体" w:cs="宋体"/>
                <w:color w:val="auto"/>
                <w:kern w:val="0"/>
                <w:sz w:val="24"/>
                <w:szCs w:val="24"/>
              </w:rPr>
              <w:t>336Gbps</w:t>
            </w:r>
            <w:r>
              <w:rPr>
                <w:rFonts w:hint="eastAsia" w:ascii="宋体" w:hAnsi="宋体" w:cs="宋体"/>
                <w:color w:val="auto"/>
                <w:kern w:val="0"/>
                <w:sz w:val="24"/>
                <w:szCs w:val="24"/>
              </w:rPr>
              <w:t>；</w:t>
            </w:r>
          </w:p>
          <w:p>
            <w:pPr>
              <w:widowControl/>
              <w:numPr>
                <w:ilvl w:val="0"/>
                <w:numId w:val="20"/>
              </w:numPr>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、包转发率≥</w:t>
            </w:r>
            <w:r>
              <w:rPr>
                <w:rFonts w:ascii="宋体" w:hAnsi="宋体" w:cs="宋体"/>
                <w:color w:val="auto"/>
                <w:kern w:val="0"/>
                <w:sz w:val="24"/>
                <w:szCs w:val="24"/>
              </w:rPr>
              <w:t>108Mpps</w:t>
            </w:r>
            <w:r>
              <w:rPr>
                <w:rFonts w:hint="eastAsia" w:ascii="宋体" w:hAnsi="宋体" w:cs="宋体"/>
                <w:color w:val="auto"/>
                <w:kern w:val="0"/>
                <w:sz w:val="24"/>
                <w:szCs w:val="24"/>
              </w:rPr>
              <w:t>；</w:t>
            </w:r>
          </w:p>
          <w:p>
            <w:pPr>
              <w:widowControl/>
              <w:numPr>
                <w:ilvl w:val="0"/>
                <w:numId w:val="20"/>
              </w:numPr>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、为了提高设备可靠性，支持模块化可插拔双电源；</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24</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个万兆</w:t>
            </w:r>
            <w:r>
              <w:rPr>
                <w:rFonts w:ascii="宋体" w:hAnsi="宋体" w:cs="宋体"/>
                <w:color w:val="auto"/>
                <w:kern w:val="0"/>
                <w:sz w:val="24"/>
                <w:szCs w:val="24"/>
              </w:rPr>
              <w:t>SFP+</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r>
              <w:rPr>
                <w:rFonts w:ascii="宋体" w:hAnsi="宋体" w:cs="宋体"/>
                <w:color w:val="auto"/>
                <w:kern w:val="0"/>
                <w:sz w:val="24"/>
                <w:szCs w:val="24"/>
              </w:rPr>
              <w:t>/6</w:t>
            </w:r>
            <w:r>
              <w:rPr>
                <w:rFonts w:hint="eastAsia" w:ascii="宋体" w:hAnsi="宋体" w:cs="宋体"/>
                <w:color w:val="auto"/>
                <w:kern w:val="0"/>
                <w:sz w:val="24"/>
                <w:szCs w:val="24"/>
              </w:rPr>
              <w:t>支持；</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w:t>
            </w:r>
            <w:r>
              <w:rPr>
                <w:rFonts w:ascii="宋体" w:hAnsi="宋体" w:cs="宋体"/>
                <w:color w:val="auto"/>
                <w:kern w:val="0"/>
                <w:sz w:val="24"/>
                <w:szCs w:val="24"/>
              </w:rPr>
              <w:t>AC</w:t>
            </w:r>
            <w:r>
              <w:rPr>
                <w:rFonts w:hint="eastAsia" w:ascii="宋体" w:hAnsi="宋体" w:cs="宋体"/>
                <w:color w:val="auto"/>
                <w:kern w:val="0"/>
                <w:sz w:val="24"/>
                <w:szCs w:val="24"/>
              </w:rPr>
              <w:t>地址规格≥</w:t>
            </w:r>
            <w:r>
              <w:rPr>
                <w:rFonts w:ascii="宋体" w:hAnsi="宋体" w:cs="宋体"/>
                <w:color w:val="auto"/>
                <w:kern w:val="0"/>
                <w:sz w:val="24"/>
                <w:szCs w:val="24"/>
              </w:rPr>
              <w:t>16K</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表项规格≥</w:t>
            </w:r>
            <w:r>
              <w:rPr>
                <w:rFonts w:ascii="宋体" w:hAnsi="宋体" w:cs="宋体"/>
                <w:color w:val="auto"/>
                <w:kern w:val="0"/>
                <w:sz w:val="24"/>
                <w:szCs w:val="24"/>
              </w:rPr>
              <w:t>8000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、支持</w:t>
            </w:r>
            <w:r>
              <w:rPr>
                <w:rFonts w:ascii="宋体" w:hAnsi="宋体" w:cs="宋体"/>
                <w:color w:val="auto"/>
                <w:kern w:val="0"/>
                <w:sz w:val="24"/>
                <w:szCs w:val="24"/>
              </w:rPr>
              <w:t>4K</w:t>
            </w:r>
            <w:r>
              <w:rPr>
                <w:rFonts w:hint="eastAsia" w:ascii="宋体" w:hAnsi="宋体" w:cs="宋体"/>
                <w:color w:val="auto"/>
                <w:kern w:val="0"/>
                <w:sz w:val="24"/>
                <w:szCs w:val="24"/>
              </w:rPr>
              <w:t>个</w:t>
            </w:r>
            <w:r>
              <w:rPr>
                <w:rFonts w:ascii="宋体" w:hAnsi="宋体" w:cs="宋体"/>
                <w:color w:val="auto"/>
                <w:kern w:val="0"/>
                <w:sz w:val="24"/>
                <w:szCs w:val="24"/>
              </w:rPr>
              <w:t>VLAN</w:t>
            </w:r>
            <w:r>
              <w:rPr>
                <w:rFonts w:hint="eastAsia" w:ascii="宋体" w:hAnsi="宋体" w:cs="宋体"/>
                <w:color w:val="auto"/>
                <w:kern w:val="0"/>
                <w:sz w:val="24"/>
                <w:szCs w:val="24"/>
              </w:rPr>
              <w:t>，支持</w:t>
            </w:r>
            <w:r>
              <w:rPr>
                <w:rFonts w:ascii="宋体" w:hAnsi="宋体" w:cs="宋体"/>
                <w:color w:val="auto"/>
                <w:kern w:val="0"/>
                <w:sz w:val="24"/>
                <w:szCs w:val="24"/>
              </w:rPr>
              <w:t>Voice VLAN</w:t>
            </w:r>
            <w:r>
              <w:rPr>
                <w:rFonts w:hint="eastAsia" w:ascii="宋体" w:hAnsi="宋体" w:cs="宋体"/>
                <w:color w:val="auto"/>
                <w:kern w:val="0"/>
                <w:sz w:val="24"/>
                <w:szCs w:val="24"/>
              </w:rPr>
              <w:t>，基于端口的</w:t>
            </w:r>
            <w:r>
              <w:rPr>
                <w:rFonts w:ascii="宋体" w:hAnsi="宋体" w:cs="宋体"/>
                <w:color w:val="auto"/>
                <w:kern w:val="0"/>
                <w:sz w:val="24"/>
                <w:szCs w:val="24"/>
              </w:rPr>
              <w:t>VLAN</w:t>
            </w:r>
            <w:r>
              <w:rPr>
                <w:rFonts w:hint="eastAsia" w:ascii="宋体" w:hAnsi="宋体" w:cs="宋体"/>
                <w:color w:val="auto"/>
                <w:kern w:val="0"/>
                <w:sz w:val="24"/>
                <w:szCs w:val="24"/>
              </w:rPr>
              <w:t>，基于</w:t>
            </w:r>
            <w:r>
              <w:rPr>
                <w:rFonts w:ascii="宋体" w:hAnsi="宋体" w:cs="宋体"/>
                <w:color w:val="auto"/>
                <w:kern w:val="0"/>
                <w:sz w:val="24"/>
                <w:szCs w:val="24"/>
              </w:rPr>
              <w:t>MAC</w:t>
            </w:r>
            <w:r>
              <w:rPr>
                <w:rFonts w:hint="eastAsia" w:ascii="宋体" w:hAnsi="宋体" w:cs="宋体"/>
                <w:color w:val="auto"/>
                <w:kern w:val="0"/>
                <w:sz w:val="24"/>
                <w:szCs w:val="24"/>
              </w:rPr>
              <w:t>的</w:t>
            </w:r>
            <w:r>
              <w:rPr>
                <w:rFonts w:ascii="宋体" w:hAnsi="宋体" w:cs="宋体"/>
                <w:color w:val="auto"/>
                <w:kern w:val="0"/>
                <w:sz w:val="24"/>
                <w:szCs w:val="24"/>
              </w:rPr>
              <w:t>VLAN</w:t>
            </w:r>
            <w:r>
              <w:rPr>
                <w:rFonts w:hint="eastAsia" w:ascii="宋体" w:hAnsi="宋体" w:cs="宋体"/>
                <w:color w:val="auto"/>
                <w:kern w:val="0"/>
                <w:sz w:val="24"/>
                <w:szCs w:val="24"/>
              </w:rPr>
              <w:t>，基于协议的</w:t>
            </w:r>
            <w:r>
              <w:rPr>
                <w:rFonts w:ascii="宋体" w:hAnsi="宋体" w:cs="宋体"/>
                <w:color w:val="auto"/>
                <w:kern w:val="0"/>
                <w:sz w:val="24"/>
                <w:szCs w:val="24"/>
              </w:rPr>
              <w:t>VLAN</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9</w:t>
            </w:r>
            <w:r>
              <w:rPr>
                <w:rFonts w:hint="eastAsia" w:ascii="宋体" w:hAnsi="宋体" w:cs="宋体"/>
                <w:color w:val="auto"/>
                <w:kern w:val="0"/>
                <w:sz w:val="24"/>
                <w:szCs w:val="24"/>
              </w:rPr>
              <w:t>、支持</w:t>
            </w:r>
            <w:r>
              <w:rPr>
                <w:rFonts w:ascii="宋体" w:hAnsi="宋体" w:cs="宋体"/>
                <w:color w:val="auto"/>
                <w:kern w:val="0"/>
                <w:sz w:val="24"/>
                <w:szCs w:val="24"/>
              </w:rPr>
              <w:t>1:1</w:t>
            </w:r>
            <w:r>
              <w:rPr>
                <w:rFonts w:hint="eastAsia" w:ascii="宋体" w:hAnsi="宋体" w:cs="宋体"/>
                <w:color w:val="auto"/>
                <w:kern w:val="0"/>
                <w:sz w:val="24"/>
                <w:szCs w:val="24"/>
              </w:rPr>
              <w:t>和</w:t>
            </w:r>
            <w:r>
              <w:rPr>
                <w:rFonts w:ascii="宋体" w:hAnsi="宋体" w:cs="宋体"/>
                <w:color w:val="auto"/>
                <w:kern w:val="0"/>
                <w:sz w:val="24"/>
                <w:szCs w:val="24"/>
              </w:rPr>
              <w:t>N:1 VLAN Mapping</w:t>
            </w:r>
            <w:r>
              <w:rPr>
                <w:rFonts w:hint="eastAsia" w:ascii="宋体" w:hAnsi="宋体" w:cs="宋体"/>
                <w:color w:val="auto"/>
                <w:kern w:val="0"/>
                <w:sz w:val="24"/>
                <w:szCs w:val="24"/>
              </w:rPr>
              <w:t>功能；</w:t>
            </w:r>
          </w:p>
          <w:p>
            <w:pPr>
              <w:widowControl/>
              <w:jc w:val="left"/>
              <w:textAlignment w:val="center"/>
              <w:rPr>
                <w:rFonts w:ascii="宋体"/>
                <w:color w:val="auto"/>
                <w:kern w:val="0"/>
                <w:sz w:val="24"/>
                <w:szCs w:val="24"/>
              </w:rPr>
            </w:pPr>
            <w:r>
              <w:rPr>
                <w:rFonts w:ascii="宋体" w:hAnsi="宋体" w:cs="宋体"/>
                <w:color w:val="auto"/>
                <w:kern w:val="0"/>
                <w:sz w:val="24"/>
                <w:szCs w:val="24"/>
              </w:rPr>
              <w:t>10</w:t>
            </w:r>
            <w:r>
              <w:rPr>
                <w:rFonts w:hint="eastAsia" w:ascii="宋体" w:hAnsi="宋体" w:cs="宋体"/>
                <w:color w:val="auto"/>
                <w:kern w:val="0"/>
                <w:sz w:val="24"/>
                <w:szCs w:val="24"/>
              </w:rPr>
              <w:t>、支持</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w:t>
            </w:r>
            <w:r>
              <w:rPr>
                <w:rFonts w:ascii="宋体" w:hAnsi="宋体" w:cs="宋体"/>
                <w:color w:val="auto"/>
                <w:kern w:val="0"/>
                <w:sz w:val="24"/>
                <w:szCs w:val="24"/>
              </w:rPr>
              <w:t>ISIS</w:t>
            </w:r>
            <w:r>
              <w:rPr>
                <w:rFonts w:hint="eastAsia" w:ascii="宋体" w:hAnsi="宋体" w:cs="宋体"/>
                <w:color w:val="auto"/>
                <w:kern w:val="0"/>
                <w:sz w:val="24"/>
                <w:szCs w:val="24"/>
              </w:rPr>
              <w:t>、</w:t>
            </w:r>
            <w:r>
              <w:rPr>
                <w:rFonts w:ascii="宋体" w:hAnsi="宋体" w:cs="宋体"/>
                <w:color w:val="auto"/>
                <w:kern w:val="0"/>
                <w:sz w:val="24"/>
                <w:szCs w:val="24"/>
              </w:rPr>
              <w:t>BGP</w:t>
            </w:r>
            <w:r>
              <w:rPr>
                <w:rFonts w:hint="eastAsia" w:ascii="宋体" w:hAnsi="宋体" w:cs="宋体"/>
                <w:color w:val="auto"/>
                <w:kern w:val="0"/>
                <w:sz w:val="24"/>
                <w:szCs w:val="24"/>
              </w:rPr>
              <w:t>等路由协议；</w:t>
            </w:r>
          </w:p>
          <w:p>
            <w:pPr>
              <w:widowControl/>
              <w:numPr>
                <w:ilvl w:val="0"/>
                <w:numId w:val="21"/>
              </w:numPr>
              <w:jc w:val="left"/>
              <w:textAlignment w:val="center"/>
              <w:rPr>
                <w:rFonts w:ascii="宋体"/>
                <w:color w:val="auto"/>
                <w:kern w:val="0"/>
                <w:sz w:val="24"/>
                <w:szCs w:val="24"/>
              </w:rPr>
            </w:pPr>
            <w:r>
              <w:rPr>
                <w:rFonts w:hint="eastAsia" w:ascii="宋体" w:hAnsi="宋体" w:cs="宋体"/>
                <w:color w:val="auto"/>
                <w:kern w:val="0"/>
                <w:sz w:val="24"/>
                <w:szCs w:val="24"/>
              </w:rPr>
              <w:t>支持</w:t>
            </w:r>
            <w:r>
              <w:rPr>
                <w:rFonts w:ascii="宋体" w:hAnsi="宋体" w:cs="宋体"/>
                <w:color w:val="auto"/>
                <w:kern w:val="0"/>
                <w:sz w:val="24"/>
                <w:szCs w:val="24"/>
              </w:rPr>
              <w:t>Ipv4</w:t>
            </w:r>
            <w:r>
              <w:rPr>
                <w:rFonts w:hint="eastAsia" w:ascii="宋体" w:hAnsi="宋体" w:cs="宋体"/>
                <w:color w:val="auto"/>
                <w:kern w:val="0"/>
                <w:sz w:val="24"/>
                <w:szCs w:val="24"/>
              </w:rPr>
              <w:t>路由</w:t>
            </w:r>
            <w:r>
              <w:rPr>
                <w:rFonts w:ascii="宋体" w:hAnsi="宋体" w:cs="宋体"/>
                <w:color w:val="auto"/>
                <w:kern w:val="0"/>
                <w:sz w:val="24"/>
                <w:szCs w:val="24"/>
              </w:rPr>
              <w:t>FIB</w:t>
            </w:r>
            <w:r>
              <w:rPr>
                <w:rFonts w:hint="eastAsia" w:ascii="宋体" w:hAnsi="宋体" w:cs="宋体"/>
                <w:color w:val="auto"/>
                <w:kern w:val="0"/>
                <w:sz w:val="24"/>
                <w:szCs w:val="24"/>
              </w:rPr>
              <w:t>表≥</w:t>
            </w:r>
            <w:r>
              <w:rPr>
                <w:rFonts w:ascii="宋体" w:hAnsi="宋体" w:cs="宋体"/>
                <w:color w:val="auto"/>
                <w:kern w:val="0"/>
                <w:sz w:val="24"/>
                <w:szCs w:val="24"/>
              </w:rPr>
              <w:t>8K</w:t>
            </w:r>
            <w:r>
              <w:rPr>
                <w:rFonts w:hint="eastAsia" w:ascii="宋体" w:hAnsi="宋体" w:cs="宋体"/>
                <w:color w:val="auto"/>
                <w:kern w:val="0"/>
                <w:sz w:val="24"/>
                <w:szCs w:val="24"/>
              </w:rPr>
              <w:t>，</w:t>
            </w:r>
            <w:r>
              <w:rPr>
                <w:rFonts w:ascii="宋体" w:hAnsi="宋体" w:cs="宋体"/>
                <w:color w:val="auto"/>
                <w:kern w:val="0"/>
                <w:sz w:val="24"/>
                <w:szCs w:val="24"/>
              </w:rPr>
              <w:t>Ipv6</w:t>
            </w:r>
            <w:r>
              <w:rPr>
                <w:rFonts w:hint="eastAsia" w:ascii="宋体" w:hAnsi="宋体" w:cs="宋体"/>
                <w:color w:val="auto"/>
                <w:kern w:val="0"/>
                <w:sz w:val="24"/>
                <w:szCs w:val="24"/>
              </w:rPr>
              <w:t>路由</w:t>
            </w:r>
            <w:r>
              <w:rPr>
                <w:rFonts w:ascii="宋体" w:hAnsi="宋体" w:cs="宋体"/>
                <w:color w:val="auto"/>
                <w:kern w:val="0"/>
                <w:sz w:val="24"/>
                <w:szCs w:val="24"/>
              </w:rPr>
              <w:t>FIB</w:t>
            </w:r>
            <w:r>
              <w:rPr>
                <w:rFonts w:hint="eastAsia" w:ascii="宋体" w:hAnsi="宋体" w:cs="宋体"/>
                <w:color w:val="auto"/>
                <w:kern w:val="0"/>
                <w:sz w:val="24"/>
                <w:szCs w:val="24"/>
              </w:rPr>
              <w:t>表≥</w:t>
            </w:r>
            <w:r>
              <w:rPr>
                <w:rFonts w:ascii="宋体" w:hAnsi="宋体" w:cs="宋体"/>
                <w:color w:val="auto"/>
                <w:kern w:val="0"/>
                <w:sz w:val="24"/>
                <w:szCs w:val="24"/>
              </w:rPr>
              <w:t>3K</w:t>
            </w:r>
            <w:r>
              <w:rPr>
                <w:rFonts w:hint="eastAsia" w:ascii="宋体" w:hAnsi="宋体" w:cs="宋体"/>
                <w:color w:val="auto"/>
                <w:kern w:val="0"/>
                <w:sz w:val="24"/>
                <w:szCs w:val="24"/>
              </w:rPr>
              <w:t>；</w:t>
            </w:r>
          </w:p>
          <w:p>
            <w:pPr>
              <w:widowControl/>
              <w:numPr>
                <w:ilvl w:val="0"/>
                <w:numId w:val="21"/>
              </w:numPr>
              <w:jc w:val="left"/>
              <w:textAlignment w:val="center"/>
              <w:rPr>
                <w:rFonts w:ascii="宋体"/>
                <w:color w:val="auto"/>
                <w:kern w:val="0"/>
                <w:sz w:val="24"/>
                <w:szCs w:val="24"/>
              </w:rPr>
            </w:pPr>
            <w:r>
              <w:rPr>
                <w:rFonts w:ascii="宋体" w:hAnsi="宋体" w:cs="宋体"/>
                <w:color w:val="auto"/>
                <w:kern w:val="0"/>
                <w:sz w:val="24"/>
                <w:szCs w:val="24"/>
              </w:rPr>
              <w:t>12</w:t>
            </w:r>
            <w:r>
              <w:rPr>
                <w:rFonts w:hint="eastAsia" w:ascii="宋体" w:hAnsi="宋体" w:cs="宋体"/>
                <w:color w:val="auto"/>
                <w:kern w:val="0"/>
                <w:sz w:val="24"/>
                <w:szCs w:val="24"/>
              </w:rPr>
              <w:t>、支持</w:t>
            </w:r>
            <w:r>
              <w:rPr>
                <w:rFonts w:ascii="宋体" w:hAnsi="宋体" w:cs="宋体"/>
                <w:color w:val="auto"/>
                <w:kern w:val="0"/>
                <w:sz w:val="24"/>
                <w:szCs w:val="24"/>
              </w:rPr>
              <w:t>IPv4/IPv6</w:t>
            </w:r>
            <w:r>
              <w:rPr>
                <w:rFonts w:hint="eastAsia" w:ascii="宋体" w:hAnsi="宋体" w:cs="宋体"/>
                <w:color w:val="auto"/>
                <w:kern w:val="0"/>
                <w:sz w:val="24"/>
                <w:szCs w:val="24"/>
              </w:rPr>
              <w:t>双协议栈，支持</w:t>
            </w:r>
            <w:r>
              <w:rPr>
                <w:rFonts w:ascii="宋体" w:hAnsi="宋体" w:cs="宋体"/>
                <w:color w:val="auto"/>
                <w:kern w:val="0"/>
                <w:sz w:val="24"/>
                <w:szCs w:val="24"/>
              </w:rPr>
              <w:t>6to4</w:t>
            </w:r>
            <w:r>
              <w:rPr>
                <w:rFonts w:hint="eastAsia" w:ascii="宋体" w:hAnsi="宋体" w:cs="宋体"/>
                <w:color w:val="auto"/>
                <w:kern w:val="0"/>
                <w:sz w:val="24"/>
                <w:szCs w:val="24"/>
              </w:rPr>
              <w:t>、</w:t>
            </w:r>
            <w:r>
              <w:rPr>
                <w:rFonts w:ascii="宋体" w:hAnsi="宋体" w:cs="宋体"/>
                <w:color w:val="auto"/>
                <w:kern w:val="0"/>
                <w:sz w:val="24"/>
                <w:szCs w:val="24"/>
              </w:rPr>
              <w:t>ISATAP</w:t>
            </w:r>
            <w:r>
              <w:rPr>
                <w:rFonts w:hint="eastAsia" w:ascii="宋体" w:hAnsi="宋体" w:cs="宋体"/>
                <w:color w:val="auto"/>
                <w:kern w:val="0"/>
                <w:sz w:val="24"/>
                <w:szCs w:val="24"/>
              </w:rPr>
              <w:t>、手动配置</w:t>
            </w:r>
            <w:r>
              <w:rPr>
                <w:rFonts w:ascii="宋体" w:hAnsi="宋体" w:cs="宋体"/>
                <w:color w:val="auto"/>
                <w:kern w:val="0"/>
                <w:sz w:val="24"/>
                <w:szCs w:val="24"/>
              </w:rPr>
              <w:t>tunnel</w:t>
            </w:r>
            <w:r>
              <w:rPr>
                <w:rFonts w:hint="eastAsia" w:ascii="宋体" w:hAnsi="宋体" w:cs="宋体"/>
                <w:color w:val="auto"/>
                <w:kern w:val="0"/>
                <w:sz w:val="24"/>
                <w:szCs w:val="24"/>
              </w:rPr>
              <w:t>；</w:t>
            </w:r>
          </w:p>
          <w:p>
            <w:pPr>
              <w:widowControl/>
              <w:numPr>
                <w:ilvl w:val="0"/>
                <w:numId w:val="21"/>
              </w:numPr>
              <w:jc w:val="left"/>
              <w:textAlignment w:val="center"/>
              <w:rPr>
                <w:rFonts w:ascii="宋体"/>
                <w:color w:val="auto"/>
                <w:kern w:val="0"/>
                <w:sz w:val="24"/>
                <w:szCs w:val="24"/>
              </w:rPr>
            </w:pPr>
            <w:r>
              <w:rPr>
                <w:rFonts w:ascii="宋体" w:hAnsi="宋体" w:cs="宋体"/>
                <w:color w:val="auto"/>
                <w:kern w:val="0"/>
                <w:sz w:val="24"/>
                <w:szCs w:val="24"/>
              </w:rPr>
              <w:t>13</w:t>
            </w:r>
            <w:r>
              <w:rPr>
                <w:rFonts w:hint="eastAsia" w:ascii="宋体" w:hAnsi="宋体" w:cs="宋体"/>
                <w:color w:val="auto"/>
                <w:kern w:val="0"/>
                <w:sz w:val="24"/>
                <w:szCs w:val="24"/>
              </w:rPr>
              <w:t>、支持</w:t>
            </w:r>
            <w:r>
              <w:rPr>
                <w:rFonts w:ascii="宋体" w:hAnsi="宋体" w:cs="宋体"/>
                <w:color w:val="auto"/>
                <w:kern w:val="0"/>
                <w:sz w:val="24"/>
                <w:szCs w:val="24"/>
              </w:rPr>
              <w:t>DHCPv4/v6 client/relay/server/snooping</w:t>
            </w:r>
            <w:r>
              <w:rPr>
                <w:rFonts w:hint="eastAsia" w:ascii="宋体" w:hAnsi="宋体" w:cs="宋体"/>
                <w:color w:val="auto"/>
                <w:kern w:val="0"/>
                <w:sz w:val="24"/>
                <w:szCs w:val="24"/>
              </w:rPr>
              <w:t>；</w:t>
            </w:r>
          </w:p>
          <w:p>
            <w:pPr>
              <w:widowControl/>
              <w:numPr>
                <w:ilvl w:val="0"/>
                <w:numId w:val="22"/>
              </w:numPr>
              <w:jc w:val="left"/>
              <w:textAlignment w:val="center"/>
              <w:rPr>
                <w:rFonts w:ascii="宋体"/>
                <w:color w:val="auto"/>
                <w:kern w:val="0"/>
                <w:sz w:val="24"/>
                <w:szCs w:val="24"/>
              </w:rPr>
            </w:pPr>
            <w:r>
              <w:rPr>
                <w:rFonts w:hint="eastAsia" w:ascii="宋体" w:hAnsi="宋体" w:cs="宋体"/>
                <w:color w:val="auto"/>
                <w:kern w:val="0"/>
                <w:sz w:val="24"/>
                <w:szCs w:val="24"/>
              </w:rPr>
              <w:t>支持三层</w:t>
            </w:r>
            <w:r>
              <w:rPr>
                <w:rFonts w:ascii="宋体" w:hAnsi="宋体" w:cs="宋体"/>
                <w:color w:val="auto"/>
                <w:kern w:val="0"/>
                <w:sz w:val="24"/>
                <w:szCs w:val="24"/>
              </w:rPr>
              <w:t>IPv4</w:t>
            </w:r>
            <w:r>
              <w:rPr>
                <w:rFonts w:hint="eastAsia" w:ascii="宋体" w:hAnsi="宋体" w:cs="宋体"/>
                <w:color w:val="auto"/>
                <w:kern w:val="0"/>
                <w:sz w:val="24"/>
                <w:szCs w:val="24"/>
              </w:rPr>
              <w:t>组播路由协议</w:t>
            </w:r>
            <w:r>
              <w:rPr>
                <w:rFonts w:ascii="宋体" w:hAnsi="宋体" w:cs="宋体"/>
                <w:color w:val="auto"/>
                <w:kern w:val="0"/>
                <w:sz w:val="24"/>
                <w:szCs w:val="24"/>
              </w:rPr>
              <w:t>PIM</w:t>
            </w:r>
            <w:r>
              <w:rPr>
                <w:rFonts w:hint="eastAsia" w:ascii="宋体" w:hAnsi="宋体" w:cs="宋体"/>
                <w:color w:val="auto"/>
                <w:kern w:val="0"/>
                <w:sz w:val="24"/>
                <w:szCs w:val="24"/>
              </w:rPr>
              <w:t>，三层</w:t>
            </w:r>
            <w:r>
              <w:rPr>
                <w:rFonts w:ascii="宋体" w:hAnsi="宋体" w:cs="宋体"/>
                <w:color w:val="auto"/>
                <w:kern w:val="0"/>
                <w:sz w:val="24"/>
                <w:szCs w:val="24"/>
              </w:rPr>
              <w:t>IPv6</w:t>
            </w:r>
            <w:r>
              <w:rPr>
                <w:rFonts w:hint="eastAsia" w:ascii="宋体" w:hAnsi="宋体" w:cs="宋体"/>
                <w:color w:val="auto"/>
                <w:kern w:val="0"/>
                <w:sz w:val="24"/>
                <w:szCs w:val="24"/>
              </w:rPr>
              <w:t>组播路由协议</w:t>
            </w:r>
            <w:r>
              <w:rPr>
                <w:rFonts w:ascii="宋体" w:hAnsi="宋体" w:cs="宋体"/>
                <w:color w:val="auto"/>
                <w:kern w:val="0"/>
                <w:sz w:val="24"/>
                <w:szCs w:val="24"/>
              </w:rPr>
              <w:t>MLD</w:t>
            </w:r>
            <w:r>
              <w:rPr>
                <w:rFonts w:hint="eastAsia" w:ascii="宋体" w:hAnsi="宋体" w:cs="宋体"/>
                <w:color w:val="auto"/>
                <w:kern w:val="0"/>
                <w:sz w:val="24"/>
                <w:szCs w:val="24"/>
              </w:rPr>
              <w:t>；</w:t>
            </w:r>
          </w:p>
          <w:p>
            <w:pPr>
              <w:widowControl/>
              <w:numPr>
                <w:ilvl w:val="0"/>
                <w:numId w:val="22"/>
              </w:numPr>
              <w:jc w:val="left"/>
              <w:textAlignment w:val="center"/>
              <w:rPr>
                <w:rFonts w:ascii="宋体"/>
                <w:color w:val="auto"/>
                <w:kern w:val="0"/>
                <w:sz w:val="24"/>
                <w:szCs w:val="24"/>
              </w:rPr>
            </w:pPr>
            <w:r>
              <w:rPr>
                <w:rFonts w:ascii="宋体" w:hAnsi="宋体" w:cs="宋体"/>
                <w:color w:val="auto"/>
                <w:kern w:val="0"/>
                <w:sz w:val="24"/>
                <w:szCs w:val="24"/>
              </w:rPr>
              <w:t>15</w:t>
            </w:r>
            <w:r>
              <w:rPr>
                <w:rFonts w:hint="eastAsia" w:ascii="宋体" w:hAnsi="宋体" w:cs="宋体"/>
                <w:color w:val="auto"/>
                <w:kern w:val="0"/>
                <w:sz w:val="24"/>
                <w:szCs w:val="24"/>
              </w:rPr>
              <w:t>、支持</w:t>
            </w:r>
            <w:r>
              <w:rPr>
                <w:rFonts w:ascii="宋体" w:hAnsi="宋体" w:cs="宋体"/>
                <w:color w:val="auto"/>
                <w:kern w:val="0"/>
                <w:sz w:val="24"/>
                <w:szCs w:val="24"/>
              </w:rPr>
              <w:t>802.1x</w:t>
            </w:r>
            <w:r>
              <w:rPr>
                <w:rFonts w:hint="eastAsia" w:ascii="宋体" w:hAnsi="宋体" w:cs="宋体"/>
                <w:color w:val="auto"/>
                <w:kern w:val="0"/>
                <w:sz w:val="24"/>
                <w:szCs w:val="24"/>
              </w:rPr>
              <w:t>、</w:t>
            </w:r>
            <w:r>
              <w:rPr>
                <w:rFonts w:ascii="宋体" w:hAnsi="宋体" w:cs="宋体"/>
                <w:color w:val="auto"/>
                <w:kern w:val="0"/>
                <w:sz w:val="24"/>
                <w:szCs w:val="24"/>
              </w:rPr>
              <w:t>MAC</w:t>
            </w:r>
            <w:r>
              <w:rPr>
                <w:rFonts w:hint="eastAsia" w:ascii="宋体" w:hAnsi="宋体" w:cs="宋体"/>
                <w:color w:val="auto"/>
                <w:kern w:val="0"/>
                <w:sz w:val="24"/>
                <w:szCs w:val="24"/>
              </w:rPr>
              <w:t>认证和</w:t>
            </w:r>
            <w:r>
              <w:rPr>
                <w:rFonts w:ascii="宋体" w:hAnsi="宋体" w:cs="宋体"/>
                <w:color w:val="auto"/>
                <w:kern w:val="0"/>
                <w:sz w:val="24"/>
                <w:szCs w:val="24"/>
              </w:rPr>
              <w:t>Portal</w:t>
            </w:r>
            <w:r>
              <w:rPr>
                <w:rFonts w:hint="eastAsia" w:ascii="宋体" w:hAnsi="宋体" w:cs="宋体"/>
                <w:color w:val="auto"/>
                <w:kern w:val="0"/>
                <w:sz w:val="24"/>
                <w:szCs w:val="24"/>
              </w:rPr>
              <w:t>认证；</w:t>
            </w:r>
          </w:p>
          <w:p>
            <w:pPr>
              <w:widowControl/>
              <w:numPr>
                <w:ilvl w:val="0"/>
                <w:numId w:val="22"/>
              </w:numPr>
              <w:jc w:val="left"/>
              <w:textAlignment w:val="center"/>
              <w:rPr>
                <w:rFonts w:ascii="宋体"/>
                <w:color w:val="auto"/>
                <w:kern w:val="0"/>
                <w:sz w:val="24"/>
                <w:szCs w:val="24"/>
              </w:rPr>
            </w:pPr>
            <w:r>
              <w:rPr>
                <w:rFonts w:hint="eastAsia" w:ascii="宋体" w:hAnsi="宋体" w:cs="宋体"/>
                <w:color w:val="auto"/>
                <w:kern w:val="0"/>
                <w:sz w:val="24"/>
                <w:szCs w:val="24"/>
              </w:rPr>
              <w:t>支持</w:t>
            </w:r>
            <w:r>
              <w:rPr>
                <w:rFonts w:ascii="宋体" w:hAnsi="宋体" w:cs="宋体"/>
                <w:color w:val="auto"/>
                <w:kern w:val="0"/>
                <w:sz w:val="24"/>
                <w:szCs w:val="24"/>
              </w:rPr>
              <w:t xml:space="preserve"> IPSec </w:t>
            </w:r>
            <w:r>
              <w:rPr>
                <w:rFonts w:hint="eastAsia" w:ascii="宋体" w:hAnsi="宋体" w:cs="宋体"/>
                <w:color w:val="auto"/>
                <w:kern w:val="0"/>
                <w:sz w:val="24"/>
                <w:szCs w:val="24"/>
              </w:rPr>
              <w:t>对管理报文加密；</w:t>
            </w:r>
          </w:p>
          <w:p>
            <w:pPr>
              <w:widowControl/>
              <w:numPr>
                <w:ilvl w:val="0"/>
                <w:numId w:val="22"/>
              </w:numPr>
              <w:jc w:val="left"/>
              <w:textAlignment w:val="center"/>
              <w:rPr>
                <w:rFonts w:ascii="宋体"/>
                <w:color w:val="auto"/>
                <w:kern w:val="0"/>
                <w:sz w:val="24"/>
                <w:szCs w:val="24"/>
              </w:rPr>
            </w:pPr>
            <w:r>
              <w:rPr>
                <w:rFonts w:hint="eastAsia" w:ascii="宋体" w:hAnsi="宋体" w:cs="宋体"/>
                <w:color w:val="auto"/>
                <w:kern w:val="0"/>
                <w:sz w:val="24"/>
                <w:szCs w:val="24"/>
              </w:rPr>
              <w:t>支持</w:t>
            </w:r>
            <w:r>
              <w:rPr>
                <w:rFonts w:ascii="宋体" w:hAnsi="宋体" w:cs="宋体"/>
                <w:color w:val="auto"/>
                <w:kern w:val="0"/>
                <w:sz w:val="24"/>
                <w:szCs w:val="24"/>
              </w:rPr>
              <w:t>CPU</w:t>
            </w:r>
            <w:r>
              <w:rPr>
                <w:rFonts w:hint="eastAsia" w:ascii="宋体" w:hAnsi="宋体" w:cs="宋体"/>
                <w:color w:val="auto"/>
                <w:kern w:val="0"/>
                <w:sz w:val="24"/>
                <w:szCs w:val="24"/>
              </w:rPr>
              <w:t>保护功能；</w:t>
            </w:r>
          </w:p>
          <w:p>
            <w:pPr>
              <w:widowControl/>
              <w:numPr>
                <w:ilvl w:val="0"/>
                <w:numId w:val="22"/>
              </w:numPr>
              <w:jc w:val="left"/>
              <w:textAlignment w:val="center"/>
              <w:rPr>
                <w:rFonts w:ascii="宋体"/>
                <w:color w:val="auto"/>
                <w:kern w:val="0"/>
                <w:sz w:val="24"/>
                <w:szCs w:val="24"/>
              </w:rPr>
            </w:pPr>
            <w:r>
              <w:rPr>
                <w:rFonts w:ascii="宋体" w:hAnsi="宋体" w:cs="宋体"/>
                <w:color w:val="auto"/>
                <w:kern w:val="0"/>
                <w:sz w:val="24"/>
                <w:szCs w:val="24"/>
              </w:rPr>
              <w:t>18</w:t>
            </w:r>
            <w:r>
              <w:rPr>
                <w:rFonts w:hint="eastAsia" w:ascii="宋体" w:hAnsi="宋体" w:cs="宋体"/>
                <w:color w:val="auto"/>
                <w:kern w:val="0"/>
                <w:sz w:val="24"/>
                <w:szCs w:val="24"/>
              </w:rPr>
              <w:t>、支持对端口接收报文速率和发送报文速率进行限制，支持</w:t>
            </w:r>
            <w:r>
              <w:rPr>
                <w:rFonts w:ascii="宋体" w:hAnsi="宋体" w:cs="宋体"/>
                <w:color w:val="auto"/>
                <w:kern w:val="0"/>
                <w:sz w:val="24"/>
                <w:szCs w:val="24"/>
              </w:rPr>
              <w:t>SP</w:t>
            </w:r>
            <w:r>
              <w:rPr>
                <w:rFonts w:hint="eastAsia" w:ascii="宋体" w:hAnsi="宋体" w:cs="宋体"/>
                <w:color w:val="auto"/>
                <w:kern w:val="0"/>
                <w:sz w:val="24"/>
                <w:szCs w:val="24"/>
              </w:rPr>
              <w:t>、</w:t>
            </w:r>
            <w:r>
              <w:rPr>
                <w:rFonts w:ascii="宋体" w:hAnsi="宋体" w:cs="宋体"/>
                <w:color w:val="auto"/>
                <w:kern w:val="0"/>
                <w:sz w:val="24"/>
                <w:szCs w:val="24"/>
              </w:rPr>
              <w:t>WRR</w:t>
            </w:r>
            <w:r>
              <w:rPr>
                <w:rFonts w:hint="eastAsia" w:ascii="宋体" w:hAnsi="宋体" w:cs="宋体"/>
                <w:color w:val="auto"/>
                <w:kern w:val="0"/>
                <w:sz w:val="24"/>
                <w:szCs w:val="24"/>
              </w:rPr>
              <w:t>、</w:t>
            </w:r>
            <w:r>
              <w:rPr>
                <w:rFonts w:ascii="宋体" w:hAnsi="宋体" w:cs="宋体"/>
                <w:color w:val="auto"/>
                <w:kern w:val="0"/>
                <w:sz w:val="24"/>
                <w:szCs w:val="24"/>
              </w:rPr>
              <w:t>SP+WRR</w:t>
            </w:r>
            <w:r>
              <w:rPr>
                <w:rFonts w:hint="eastAsia" w:ascii="宋体" w:hAnsi="宋体" w:cs="宋体"/>
                <w:color w:val="auto"/>
                <w:kern w:val="0"/>
                <w:sz w:val="24"/>
                <w:szCs w:val="24"/>
              </w:rPr>
              <w:t>等队列调度算法；</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19</w:t>
            </w:r>
            <w:r>
              <w:rPr>
                <w:rFonts w:hint="eastAsia" w:ascii="宋体" w:hAnsi="宋体" w:cs="宋体"/>
                <w:color w:val="auto"/>
                <w:kern w:val="0"/>
                <w:sz w:val="24"/>
                <w:szCs w:val="24"/>
              </w:rPr>
              <w:t>、支持报文的</w:t>
            </w:r>
            <w:r>
              <w:rPr>
                <w:rFonts w:ascii="宋体" w:hAnsi="宋体" w:cs="宋体"/>
                <w:color w:val="auto"/>
                <w:kern w:val="0"/>
                <w:sz w:val="24"/>
                <w:szCs w:val="24"/>
              </w:rPr>
              <w:t xml:space="preserve"> 802.1p </w:t>
            </w:r>
            <w:r>
              <w:rPr>
                <w:rFonts w:hint="eastAsia" w:ascii="宋体" w:hAnsi="宋体" w:cs="宋体"/>
                <w:color w:val="auto"/>
                <w:kern w:val="0"/>
                <w:sz w:val="24"/>
                <w:szCs w:val="24"/>
              </w:rPr>
              <w:t>和</w:t>
            </w:r>
            <w:r>
              <w:rPr>
                <w:rFonts w:ascii="宋体" w:hAnsi="宋体" w:cs="宋体"/>
                <w:color w:val="auto"/>
                <w:kern w:val="0"/>
                <w:sz w:val="24"/>
                <w:szCs w:val="24"/>
              </w:rPr>
              <w:t xml:space="preserve"> DSCP </w:t>
            </w:r>
            <w:r>
              <w:rPr>
                <w:rFonts w:hint="eastAsia" w:ascii="宋体" w:hAnsi="宋体" w:cs="宋体"/>
                <w:color w:val="auto"/>
                <w:kern w:val="0"/>
                <w:sz w:val="24"/>
                <w:szCs w:val="24"/>
              </w:rPr>
              <w:t>优先级重新标记；</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20</w:t>
            </w:r>
            <w:r>
              <w:rPr>
                <w:rFonts w:hint="eastAsia" w:ascii="宋体" w:hAnsi="宋体" w:cs="宋体"/>
                <w:color w:val="auto"/>
                <w:kern w:val="0"/>
                <w:sz w:val="24"/>
                <w:szCs w:val="24"/>
              </w:rPr>
              <w:t>、支持</w:t>
            </w:r>
            <w:r>
              <w:rPr>
                <w:rFonts w:ascii="宋体" w:hAnsi="宋体" w:cs="宋体"/>
                <w:color w:val="auto"/>
                <w:kern w:val="0"/>
                <w:sz w:val="24"/>
                <w:szCs w:val="24"/>
              </w:rPr>
              <w:t>SNMP v1/v2/v3</w:t>
            </w:r>
            <w:r>
              <w:rPr>
                <w:rFonts w:hint="eastAsia" w:ascii="宋体" w:hAnsi="宋体" w:cs="宋体"/>
                <w:color w:val="auto"/>
                <w:kern w:val="0"/>
                <w:sz w:val="24"/>
                <w:szCs w:val="24"/>
              </w:rPr>
              <w:t>、</w:t>
            </w:r>
            <w:r>
              <w:rPr>
                <w:rFonts w:ascii="宋体" w:hAnsi="宋体" w:cs="宋体"/>
                <w:color w:val="auto"/>
                <w:kern w:val="0"/>
                <w:sz w:val="24"/>
                <w:szCs w:val="24"/>
              </w:rPr>
              <w:t>Telnet</w:t>
            </w:r>
            <w:r>
              <w:rPr>
                <w:rFonts w:hint="eastAsia" w:ascii="宋体" w:hAnsi="宋体" w:cs="宋体"/>
                <w:color w:val="auto"/>
                <w:kern w:val="0"/>
                <w:sz w:val="24"/>
                <w:szCs w:val="24"/>
              </w:rPr>
              <w:t>、</w:t>
            </w:r>
            <w:r>
              <w:rPr>
                <w:rFonts w:ascii="宋体" w:hAnsi="宋体" w:cs="宋体"/>
                <w:color w:val="auto"/>
                <w:kern w:val="0"/>
                <w:sz w:val="24"/>
                <w:szCs w:val="24"/>
              </w:rPr>
              <w:t>RMON</w:t>
            </w:r>
            <w:r>
              <w:rPr>
                <w:rFonts w:hint="eastAsia" w:ascii="宋体" w:hAnsi="宋体" w:cs="宋体"/>
                <w:color w:val="auto"/>
                <w:kern w:val="0"/>
                <w:sz w:val="24"/>
                <w:szCs w:val="24"/>
              </w:rPr>
              <w:t>、</w:t>
            </w:r>
            <w:r>
              <w:rPr>
                <w:rFonts w:ascii="宋体" w:hAnsi="宋体" w:cs="宋体"/>
                <w:color w:val="auto"/>
                <w:kern w:val="0"/>
                <w:sz w:val="24"/>
                <w:szCs w:val="24"/>
              </w:rPr>
              <w:t>SSHv2</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w:t>
            </w:r>
            <w:r>
              <w:rPr>
                <w:rFonts w:hint="eastAsia" w:ascii="宋体" w:hAnsi="宋体" w:cs="宋体"/>
                <w:color w:val="auto"/>
                <w:kern w:val="0"/>
                <w:sz w:val="24"/>
                <w:szCs w:val="24"/>
              </w:rPr>
              <w:t>、支持通过命令行、</w:t>
            </w:r>
            <w:r>
              <w:rPr>
                <w:rFonts w:ascii="宋体" w:hAnsi="宋体" w:cs="宋体"/>
                <w:color w:val="auto"/>
                <w:kern w:val="0"/>
                <w:sz w:val="24"/>
                <w:szCs w:val="24"/>
              </w:rPr>
              <w:t>Web</w:t>
            </w:r>
            <w:r>
              <w:rPr>
                <w:rFonts w:hint="eastAsia" w:ascii="宋体" w:hAnsi="宋体" w:cs="宋体"/>
                <w:color w:val="auto"/>
                <w:kern w:val="0"/>
                <w:sz w:val="24"/>
                <w:szCs w:val="24"/>
              </w:rPr>
              <w:t>、中文图形化配置软件等方式进行配置和管理；</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22</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技术，配合网络分析组件通过智能故障识别算法对网络数据进行分析，精准展现网络实时状态，并能及时有效地定界故障以及定位故障发生原因，发现影响用户体验的网络问题，精准保障用户体验；</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23</w:t>
            </w:r>
            <w:r>
              <w:rPr>
                <w:rFonts w:hint="eastAsia" w:ascii="宋体" w:hAnsi="宋体" w:cs="宋体"/>
                <w:color w:val="auto"/>
                <w:kern w:val="0"/>
                <w:sz w:val="24"/>
                <w:szCs w:val="24"/>
              </w:rPr>
              <w:t>、支持音视频业务的智能运维，将设备作为视频网络节点周期统计并上报音视频业务类指标参数至网络分析组件引擎，由网络分析组件引擎结合多个节点的视频网络结果，对音视频业务质量类故障进行快速定界；</w:t>
            </w:r>
          </w:p>
          <w:p>
            <w:pPr>
              <w:widowControl/>
              <w:jc w:val="left"/>
              <w:textAlignment w:val="center"/>
              <w:rPr>
                <w:rFonts w:ascii="宋体"/>
                <w:b/>
                <w:bCs/>
                <w:color w:val="auto"/>
                <w:sz w:val="24"/>
                <w:szCs w:val="24"/>
              </w:rPr>
            </w:pPr>
            <w:r>
              <w:rPr>
                <w:rFonts w:ascii="宋体" w:hAnsi="宋体" w:cs="宋体"/>
                <w:color w:val="auto"/>
                <w:kern w:val="0"/>
                <w:sz w:val="24"/>
                <w:szCs w:val="24"/>
              </w:rPr>
              <w:t>24</w:t>
            </w:r>
            <w:r>
              <w:rPr>
                <w:rFonts w:hint="eastAsia" w:ascii="宋体" w:hAnsi="宋体" w:cs="宋体"/>
                <w:color w:val="auto"/>
                <w:kern w:val="0"/>
                <w:sz w:val="24"/>
                <w:szCs w:val="24"/>
              </w:rPr>
              <w:t>、支持基于</w:t>
            </w:r>
            <w:r>
              <w:rPr>
                <w:rFonts w:ascii="宋体" w:hAnsi="宋体" w:cs="宋体"/>
                <w:color w:val="auto"/>
                <w:kern w:val="0"/>
                <w:sz w:val="24"/>
                <w:szCs w:val="24"/>
              </w:rPr>
              <w:t>Python</w:t>
            </w:r>
            <w:r>
              <w:rPr>
                <w:rFonts w:hint="eastAsia" w:ascii="宋体" w:hAnsi="宋体" w:cs="宋体"/>
                <w:color w:val="auto"/>
                <w:kern w:val="0"/>
                <w:sz w:val="24"/>
                <w:szCs w:val="24"/>
              </w:rPr>
              <w:t>语言的开放可编程系统，管理员可以通过</w:t>
            </w:r>
            <w:r>
              <w:rPr>
                <w:rFonts w:ascii="宋体" w:hAnsi="宋体" w:cs="宋体"/>
                <w:color w:val="auto"/>
                <w:kern w:val="0"/>
                <w:sz w:val="24"/>
                <w:szCs w:val="24"/>
              </w:rPr>
              <w:t>Python</w:t>
            </w:r>
            <w:r>
              <w:rPr>
                <w:rFonts w:hint="eastAsia" w:ascii="宋体" w:hAnsi="宋体" w:cs="宋体"/>
                <w:color w:val="auto"/>
                <w:kern w:val="0"/>
                <w:sz w:val="24"/>
                <w:szCs w:val="24"/>
              </w:rPr>
              <w:t>脚本对交换机进行运维功能的编程，快速实现功能创新，实现智能化运维。</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2</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5</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管理交换机</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numPr>
                <w:ilvl w:val="0"/>
                <w:numId w:val="23"/>
              </w:numPr>
              <w:jc w:val="left"/>
              <w:textAlignment w:val="center"/>
              <w:rPr>
                <w:rFonts w:ascii="宋体"/>
                <w:color w:val="auto"/>
                <w:kern w:val="0"/>
                <w:sz w:val="24"/>
                <w:szCs w:val="24"/>
              </w:rPr>
            </w:pPr>
            <w:r>
              <w:rPr>
                <w:rFonts w:hint="eastAsia" w:ascii="宋体" w:hAnsi="宋体" w:cs="宋体"/>
                <w:color w:val="auto"/>
                <w:kern w:val="0"/>
                <w:sz w:val="24"/>
                <w:szCs w:val="24"/>
              </w:rPr>
              <w:t>交换容量≥</w:t>
            </w:r>
            <w:r>
              <w:rPr>
                <w:rFonts w:ascii="宋体" w:hAnsi="宋体" w:cs="宋体"/>
                <w:color w:val="auto"/>
                <w:kern w:val="0"/>
                <w:sz w:val="24"/>
                <w:szCs w:val="24"/>
              </w:rPr>
              <w:t>336Gbps</w:t>
            </w:r>
            <w:r>
              <w:rPr>
                <w:rFonts w:hint="eastAsia" w:ascii="宋体" w:hAnsi="宋体" w:cs="宋体"/>
                <w:color w:val="auto"/>
                <w:kern w:val="0"/>
                <w:sz w:val="24"/>
                <w:szCs w:val="24"/>
              </w:rPr>
              <w:t>；</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、包转发率≥</w:t>
            </w:r>
            <w:r>
              <w:rPr>
                <w:rFonts w:ascii="宋体" w:hAnsi="宋体" w:cs="宋体"/>
                <w:color w:val="auto"/>
                <w:kern w:val="0"/>
                <w:sz w:val="24"/>
                <w:szCs w:val="24"/>
              </w:rPr>
              <w:t>108Mpps</w:t>
            </w:r>
            <w:r>
              <w:rPr>
                <w:rFonts w:hint="eastAsia" w:ascii="宋体" w:hAnsi="宋体" w:cs="宋体"/>
                <w:color w:val="auto"/>
                <w:kern w:val="0"/>
                <w:sz w:val="24"/>
                <w:szCs w:val="24"/>
              </w:rPr>
              <w:t>；</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、为了提高设备可靠性，支持模块化可插拔双电源；</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24</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个万兆</w:t>
            </w:r>
            <w:r>
              <w:rPr>
                <w:rFonts w:ascii="宋体" w:hAnsi="宋体" w:cs="宋体"/>
                <w:color w:val="auto"/>
                <w:kern w:val="0"/>
                <w:sz w:val="24"/>
                <w:szCs w:val="24"/>
              </w:rPr>
              <w:t>SFP+</w:t>
            </w:r>
            <w:r>
              <w:rPr>
                <w:rFonts w:hint="eastAsia" w:ascii="宋体" w:hAnsi="宋体" w:cs="宋体"/>
                <w:color w:val="auto"/>
                <w:kern w:val="0"/>
                <w:sz w:val="24"/>
                <w:szCs w:val="24"/>
              </w:rPr>
              <w:t>；</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地址规格≥</w:t>
            </w:r>
            <w:r>
              <w:rPr>
                <w:rFonts w:ascii="宋体" w:hAnsi="宋体" w:cs="宋体"/>
                <w:color w:val="auto"/>
                <w:kern w:val="0"/>
                <w:sz w:val="24"/>
                <w:szCs w:val="24"/>
              </w:rPr>
              <w:t>16K</w:t>
            </w:r>
            <w:r>
              <w:rPr>
                <w:rFonts w:hint="eastAsia" w:ascii="宋体" w:hAnsi="宋体" w:cs="宋体"/>
                <w:color w:val="auto"/>
                <w:kern w:val="0"/>
                <w:sz w:val="24"/>
                <w:szCs w:val="24"/>
              </w:rPr>
              <w:t>；</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表项规格≥</w:t>
            </w:r>
            <w:r>
              <w:rPr>
                <w:rFonts w:ascii="宋体" w:hAnsi="宋体" w:cs="宋体"/>
                <w:color w:val="auto"/>
                <w:kern w:val="0"/>
                <w:sz w:val="24"/>
                <w:szCs w:val="24"/>
              </w:rPr>
              <w:t>8000</w:t>
            </w:r>
            <w:r>
              <w:rPr>
                <w:rFonts w:hint="eastAsia" w:ascii="宋体" w:hAnsi="宋体" w:cs="宋体"/>
                <w:color w:val="auto"/>
                <w:kern w:val="0"/>
                <w:sz w:val="24"/>
                <w:szCs w:val="24"/>
              </w:rPr>
              <w:t>；</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8</w:t>
            </w:r>
            <w:r>
              <w:rPr>
                <w:rFonts w:hint="eastAsia" w:ascii="宋体" w:hAnsi="宋体" w:cs="宋体"/>
                <w:color w:val="auto"/>
                <w:kern w:val="0"/>
                <w:sz w:val="24"/>
                <w:szCs w:val="24"/>
              </w:rPr>
              <w:t>、支持</w:t>
            </w:r>
            <w:r>
              <w:rPr>
                <w:rFonts w:ascii="宋体" w:hAnsi="宋体" w:cs="宋体"/>
                <w:color w:val="auto"/>
                <w:kern w:val="0"/>
                <w:sz w:val="24"/>
                <w:szCs w:val="24"/>
              </w:rPr>
              <w:t>4K</w:t>
            </w:r>
            <w:r>
              <w:rPr>
                <w:rFonts w:hint="eastAsia" w:ascii="宋体" w:hAnsi="宋体" w:cs="宋体"/>
                <w:color w:val="auto"/>
                <w:kern w:val="0"/>
                <w:sz w:val="24"/>
                <w:szCs w:val="24"/>
              </w:rPr>
              <w:t>个</w:t>
            </w:r>
            <w:r>
              <w:rPr>
                <w:rFonts w:ascii="宋体" w:hAnsi="宋体" w:cs="宋体"/>
                <w:color w:val="auto"/>
                <w:kern w:val="0"/>
                <w:sz w:val="24"/>
                <w:szCs w:val="24"/>
              </w:rPr>
              <w:t>VLAN</w:t>
            </w:r>
            <w:r>
              <w:rPr>
                <w:rFonts w:hint="eastAsia" w:ascii="宋体" w:hAnsi="宋体" w:cs="宋体"/>
                <w:color w:val="auto"/>
                <w:kern w:val="0"/>
                <w:sz w:val="24"/>
                <w:szCs w:val="24"/>
              </w:rPr>
              <w:t>，支持</w:t>
            </w:r>
            <w:r>
              <w:rPr>
                <w:rFonts w:ascii="宋体" w:hAnsi="宋体" w:cs="宋体"/>
                <w:color w:val="auto"/>
                <w:kern w:val="0"/>
                <w:sz w:val="24"/>
                <w:szCs w:val="24"/>
              </w:rPr>
              <w:t>Voice VLAN</w:t>
            </w:r>
            <w:r>
              <w:rPr>
                <w:rFonts w:hint="eastAsia" w:ascii="宋体" w:hAnsi="宋体" w:cs="宋体"/>
                <w:color w:val="auto"/>
                <w:kern w:val="0"/>
                <w:sz w:val="24"/>
                <w:szCs w:val="24"/>
              </w:rPr>
              <w:t>，基于端口的</w:t>
            </w:r>
            <w:r>
              <w:rPr>
                <w:rFonts w:ascii="宋体" w:hAnsi="宋体" w:cs="宋体"/>
                <w:color w:val="auto"/>
                <w:kern w:val="0"/>
                <w:sz w:val="24"/>
                <w:szCs w:val="24"/>
              </w:rPr>
              <w:t>VLAN</w:t>
            </w:r>
            <w:r>
              <w:rPr>
                <w:rFonts w:hint="eastAsia" w:ascii="宋体" w:hAnsi="宋体" w:cs="宋体"/>
                <w:color w:val="auto"/>
                <w:kern w:val="0"/>
                <w:sz w:val="24"/>
                <w:szCs w:val="24"/>
              </w:rPr>
              <w:t>，基于</w:t>
            </w:r>
            <w:r>
              <w:rPr>
                <w:rFonts w:ascii="宋体" w:hAnsi="宋体" w:cs="宋体"/>
                <w:color w:val="auto"/>
                <w:kern w:val="0"/>
                <w:sz w:val="24"/>
                <w:szCs w:val="24"/>
              </w:rPr>
              <w:t>MAC</w:t>
            </w:r>
            <w:r>
              <w:rPr>
                <w:rFonts w:hint="eastAsia" w:ascii="宋体" w:hAnsi="宋体" w:cs="宋体"/>
                <w:color w:val="auto"/>
                <w:kern w:val="0"/>
                <w:sz w:val="24"/>
                <w:szCs w:val="24"/>
              </w:rPr>
              <w:t>的</w:t>
            </w:r>
            <w:r>
              <w:rPr>
                <w:rFonts w:ascii="宋体" w:hAnsi="宋体" w:cs="宋体"/>
                <w:color w:val="auto"/>
                <w:kern w:val="0"/>
                <w:sz w:val="24"/>
                <w:szCs w:val="24"/>
              </w:rPr>
              <w:t>VLAN</w:t>
            </w:r>
            <w:r>
              <w:rPr>
                <w:rFonts w:hint="eastAsia" w:ascii="宋体" w:hAnsi="宋体" w:cs="宋体"/>
                <w:color w:val="auto"/>
                <w:kern w:val="0"/>
                <w:sz w:val="24"/>
                <w:szCs w:val="24"/>
              </w:rPr>
              <w:t>，基于协议的</w:t>
            </w:r>
            <w:r>
              <w:rPr>
                <w:rFonts w:ascii="宋体" w:hAnsi="宋体" w:cs="宋体"/>
                <w:color w:val="auto"/>
                <w:kern w:val="0"/>
                <w:sz w:val="24"/>
                <w:szCs w:val="24"/>
              </w:rPr>
              <w:t>VLAN</w:t>
            </w:r>
            <w:r>
              <w:rPr>
                <w:rFonts w:hint="eastAsia" w:ascii="宋体" w:hAnsi="宋体" w:cs="宋体"/>
                <w:color w:val="auto"/>
                <w:kern w:val="0"/>
                <w:sz w:val="24"/>
                <w:szCs w:val="24"/>
              </w:rPr>
              <w:t>；</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9</w:t>
            </w:r>
            <w:r>
              <w:rPr>
                <w:rFonts w:hint="eastAsia" w:ascii="宋体" w:hAnsi="宋体" w:cs="宋体"/>
                <w:color w:val="auto"/>
                <w:kern w:val="0"/>
                <w:sz w:val="24"/>
                <w:szCs w:val="24"/>
              </w:rPr>
              <w:t>、支持</w:t>
            </w:r>
            <w:r>
              <w:rPr>
                <w:rFonts w:ascii="宋体" w:hAnsi="宋体" w:cs="宋体"/>
                <w:color w:val="auto"/>
                <w:kern w:val="0"/>
                <w:sz w:val="24"/>
                <w:szCs w:val="24"/>
              </w:rPr>
              <w:t>1:1</w:t>
            </w:r>
            <w:r>
              <w:rPr>
                <w:rFonts w:hint="eastAsia" w:ascii="宋体" w:hAnsi="宋体" w:cs="宋体"/>
                <w:color w:val="auto"/>
                <w:kern w:val="0"/>
                <w:sz w:val="24"/>
                <w:szCs w:val="24"/>
              </w:rPr>
              <w:t>和</w:t>
            </w:r>
            <w:r>
              <w:rPr>
                <w:rFonts w:ascii="宋体" w:hAnsi="宋体" w:cs="宋体"/>
                <w:color w:val="auto"/>
                <w:kern w:val="0"/>
                <w:sz w:val="24"/>
                <w:szCs w:val="24"/>
              </w:rPr>
              <w:t>N:1 VLAN Mapping</w:t>
            </w:r>
            <w:r>
              <w:rPr>
                <w:rFonts w:hint="eastAsia" w:ascii="宋体" w:hAnsi="宋体" w:cs="宋体"/>
                <w:color w:val="auto"/>
                <w:kern w:val="0"/>
                <w:sz w:val="24"/>
                <w:szCs w:val="24"/>
              </w:rPr>
              <w:t>功能；</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10</w:t>
            </w:r>
            <w:r>
              <w:rPr>
                <w:rFonts w:hint="eastAsia" w:ascii="宋体" w:hAnsi="宋体" w:cs="宋体"/>
                <w:color w:val="auto"/>
                <w:kern w:val="0"/>
                <w:sz w:val="24"/>
                <w:szCs w:val="24"/>
              </w:rPr>
              <w:t>、支持</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w:t>
            </w:r>
            <w:r>
              <w:rPr>
                <w:rFonts w:ascii="宋体" w:hAnsi="宋体" w:cs="宋体"/>
                <w:color w:val="auto"/>
                <w:kern w:val="0"/>
                <w:sz w:val="24"/>
                <w:szCs w:val="24"/>
              </w:rPr>
              <w:t>ISIS</w:t>
            </w:r>
            <w:r>
              <w:rPr>
                <w:rFonts w:hint="eastAsia" w:ascii="宋体" w:hAnsi="宋体" w:cs="宋体"/>
                <w:color w:val="auto"/>
                <w:kern w:val="0"/>
                <w:sz w:val="24"/>
                <w:szCs w:val="24"/>
              </w:rPr>
              <w:t>、</w:t>
            </w:r>
            <w:r>
              <w:rPr>
                <w:rFonts w:ascii="宋体" w:hAnsi="宋体" w:cs="宋体"/>
                <w:color w:val="auto"/>
                <w:kern w:val="0"/>
                <w:sz w:val="24"/>
                <w:szCs w:val="24"/>
              </w:rPr>
              <w:t>BGP</w:t>
            </w:r>
            <w:r>
              <w:rPr>
                <w:rFonts w:hint="eastAsia" w:ascii="宋体" w:hAnsi="宋体" w:cs="宋体"/>
                <w:color w:val="auto"/>
                <w:kern w:val="0"/>
                <w:sz w:val="24"/>
                <w:szCs w:val="24"/>
              </w:rPr>
              <w:t>等路由协议；</w:t>
            </w:r>
          </w:p>
          <w:p>
            <w:pPr>
              <w:widowControl/>
              <w:numPr>
                <w:ilvl w:val="0"/>
                <w:numId w:val="23"/>
              </w:numPr>
              <w:jc w:val="left"/>
              <w:textAlignment w:val="center"/>
              <w:rPr>
                <w:rFonts w:ascii="宋体"/>
                <w:color w:val="auto"/>
                <w:kern w:val="0"/>
                <w:sz w:val="24"/>
                <w:szCs w:val="24"/>
              </w:rPr>
            </w:pPr>
            <w:r>
              <w:rPr>
                <w:rFonts w:ascii="宋体" w:hAnsi="宋体" w:cs="宋体"/>
                <w:color w:val="auto"/>
                <w:kern w:val="0"/>
                <w:sz w:val="24"/>
                <w:szCs w:val="24"/>
              </w:rPr>
              <w:t>11</w:t>
            </w:r>
            <w:r>
              <w:rPr>
                <w:rFonts w:hint="eastAsia" w:ascii="宋体" w:hAnsi="宋体" w:cs="宋体"/>
                <w:color w:val="auto"/>
                <w:kern w:val="0"/>
                <w:sz w:val="24"/>
                <w:szCs w:val="24"/>
              </w:rPr>
              <w:t>、支持</w:t>
            </w:r>
            <w:r>
              <w:rPr>
                <w:rFonts w:ascii="宋体" w:hAnsi="宋体" w:cs="宋体"/>
                <w:color w:val="auto"/>
                <w:kern w:val="0"/>
                <w:sz w:val="24"/>
                <w:szCs w:val="24"/>
              </w:rPr>
              <w:t>Ipv4</w:t>
            </w:r>
            <w:r>
              <w:rPr>
                <w:rFonts w:hint="eastAsia" w:ascii="宋体" w:hAnsi="宋体" w:cs="宋体"/>
                <w:color w:val="auto"/>
                <w:kern w:val="0"/>
                <w:sz w:val="24"/>
                <w:szCs w:val="24"/>
              </w:rPr>
              <w:t>路由</w:t>
            </w:r>
            <w:r>
              <w:rPr>
                <w:rFonts w:ascii="宋体" w:hAnsi="宋体" w:cs="宋体"/>
                <w:color w:val="auto"/>
                <w:kern w:val="0"/>
                <w:sz w:val="24"/>
                <w:szCs w:val="24"/>
              </w:rPr>
              <w:t>FIB</w:t>
            </w:r>
            <w:r>
              <w:rPr>
                <w:rFonts w:hint="eastAsia" w:ascii="宋体" w:hAnsi="宋体" w:cs="宋体"/>
                <w:color w:val="auto"/>
                <w:kern w:val="0"/>
                <w:sz w:val="24"/>
                <w:szCs w:val="24"/>
              </w:rPr>
              <w:t>表≥</w:t>
            </w:r>
            <w:r>
              <w:rPr>
                <w:rFonts w:ascii="宋体" w:hAnsi="宋体" w:cs="宋体"/>
                <w:color w:val="auto"/>
                <w:kern w:val="0"/>
                <w:sz w:val="24"/>
                <w:szCs w:val="24"/>
              </w:rPr>
              <w:t>8K</w:t>
            </w:r>
            <w:r>
              <w:rPr>
                <w:rFonts w:hint="eastAsia" w:ascii="宋体" w:hAnsi="宋体" w:cs="宋体"/>
                <w:color w:val="auto"/>
                <w:kern w:val="0"/>
                <w:sz w:val="24"/>
                <w:szCs w:val="24"/>
              </w:rPr>
              <w:t>，</w:t>
            </w:r>
            <w:r>
              <w:rPr>
                <w:rFonts w:ascii="宋体" w:hAnsi="宋体" w:cs="宋体"/>
                <w:color w:val="auto"/>
                <w:kern w:val="0"/>
                <w:sz w:val="24"/>
                <w:szCs w:val="24"/>
              </w:rPr>
              <w:t>Ipv6</w:t>
            </w:r>
            <w:r>
              <w:rPr>
                <w:rFonts w:hint="eastAsia" w:ascii="宋体" w:hAnsi="宋体" w:cs="宋体"/>
                <w:color w:val="auto"/>
                <w:kern w:val="0"/>
                <w:sz w:val="24"/>
                <w:szCs w:val="24"/>
              </w:rPr>
              <w:t>路由</w:t>
            </w:r>
            <w:r>
              <w:rPr>
                <w:rFonts w:ascii="宋体" w:hAnsi="宋体" w:cs="宋体"/>
                <w:color w:val="auto"/>
                <w:kern w:val="0"/>
                <w:sz w:val="24"/>
                <w:szCs w:val="24"/>
              </w:rPr>
              <w:t>FIB</w:t>
            </w:r>
            <w:r>
              <w:rPr>
                <w:rFonts w:hint="eastAsia" w:ascii="宋体" w:hAnsi="宋体" w:cs="宋体"/>
                <w:color w:val="auto"/>
                <w:kern w:val="0"/>
                <w:sz w:val="24"/>
                <w:szCs w:val="24"/>
              </w:rPr>
              <w:t>表≥</w:t>
            </w:r>
            <w:r>
              <w:rPr>
                <w:rFonts w:ascii="宋体" w:hAnsi="宋体" w:cs="宋体"/>
                <w:color w:val="auto"/>
                <w:kern w:val="0"/>
                <w:sz w:val="24"/>
                <w:szCs w:val="24"/>
              </w:rPr>
              <w:t>3K</w:t>
            </w:r>
            <w:r>
              <w:rPr>
                <w:rFonts w:hint="eastAsia" w:ascii="宋体" w:hAnsi="宋体" w:cs="宋体"/>
                <w:color w:val="auto"/>
                <w:kern w:val="0"/>
                <w:sz w:val="24"/>
                <w:szCs w:val="24"/>
              </w:rPr>
              <w:t>；</w:t>
            </w:r>
          </w:p>
          <w:p>
            <w:pPr>
              <w:widowControl/>
              <w:numPr>
                <w:ilvl w:val="0"/>
                <w:numId w:val="21"/>
              </w:numPr>
              <w:jc w:val="left"/>
              <w:textAlignment w:val="center"/>
              <w:rPr>
                <w:rFonts w:ascii="宋体"/>
                <w:color w:val="auto"/>
                <w:kern w:val="0"/>
                <w:sz w:val="24"/>
                <w:szCs w:val="24"/>
              </w:rPr>
            </w:pPr>
            <w:r>
              <w:rPr>
                <w:rFonts w:hint="eastAsia" w:ascii="宋体" w:hAnsi="宋体" w:cs="宋体"/>
                <w:color w:val="auto"/>
                <w:kern w:val="0"/>
                <w:sz w:val="24"/>
                <w:szCs w:val="24"/>
              </w:rPr>
              <w:t>支持</w:t>
            </w:r>
            <w:r>
              <w:rPr>
                <w:rFonts w:ascii="宋体" w:hAnsi="宋体" w:cs="宋体"/>
                <w:color w:val="auto"/>
                <w:kern w:val="0"/>
                <w:sz w:val="24"/>
                <w:szCs w:val="24"/>
              </w:rPr>
              <w:t>IPv4/IPv6</w:t>
            </w:r>
            <w:r>
              <w:rPr>
                <w:rFonts w:hint="eastAsia" w:ascii="宋体" w:hAnsi="宋体" w:cs="宋体"/>
                <w:color w:val="auto"/>
                <w:kern w:val="0"/>
                <w:sz w:val="24"/>
                <w:szCs w:val="24"/>
              </w:rPr>
              <w:t>双协议栈，支持</w:t>
            </w:r>
            <w:r>
              <w:rPr>
                <w:rFonts w:ascii="宋体" w:hAnsi="宋体" w:cs="宋体"/>
                <w:color w:val="auto"/>
                <w:kern w:val="0"/>
                <w:sz w:val="24"/>
                <w:szCs w:val="24"/>
              </w:rPr>
              <w:t>6to4</w:t>
            </w:r>
            <w:r>
              <w:rPr>
                <w:rFonts w:hint="eastAsia" w:ascii="宋体" w:hAnsi="宋体" w:cs="宋体"/>
                <w:color w:val="auto"/>
                <w:kern w:val="0"/>
                <w:sz w:val="24"/>
                <w:szCs w:val="24"/>
              </w:rPr>
              <w:t>、</w:t>
            </w:r>
            <w:r>
              <w:rPr>
                <w:rFonts w:ascii="宋体" w:hAnsi="宋体" w:cs="宋体"/>
                <w:color w:val="auto"/>
                <w:kern w:val="0"/>
                <w:sz w:val="24"/>
                <w:szCs w:val="24"/>
              </w:rPr>
              <w:t>ISATAP</w:t>
            </w:r>
            <w:r>
              <w:rPr>
                <w:rFonts w:hint="eastAsia" w:ascii="宋体" w:hAnsi="宋体" w:cs="宋体"/>
                <w:color w:val="auto"/>
                <w:kern w:val="0"/>
                <w:sz w:val="24"/>
                <w:szCs w:val="24"/>
              </w:rPr>
              <w:t>、手动配置</w:t>
            </w:r>
            <w:r>
              <w:rPr>
                <w:rFonts w:ascii="宋体" w:hAnsi="宋体" w:cs="宋体"/>
                <w:color w:val="auto"/>
                <w:kern w:val="0"/>
                <w:sz w:val="24"/>
                <w:szCs w:val="24"/>
              </w:rPr>
              <w:t>tunnel</w:t>
            </w:r>
            <w:r>
              <w:rPr>
                <w:rFonts w:hint="eastAsia" w:ascii="宋体" w:hAnsi="宋体" w:cs="宋体"/>
                <w:color w:val="auto"/>
                <w:kern w:val="0"/>
                <w:sz w:val="24"/>
                <w:szCs w:val="24"/>
              </w:rPr>
              <w:t>；</w:t>
            </w:r>
          </w:p>
          <w:p>
            <w:pPr>
              <w:widowControl/>
              <w:numPr>
                <w:ilvl w:val="0"/>
                <w:numId w:val="21"/>
              </w:numPr>
              <w:jc w:val="left"/>
              <w:textAlignment w:val="center"/>
              <w:rPr>
                <w:rFonts w:ascii="宋体"/>
                <w:color w:val="auto"/>
                <w:kern w:val="0"/>
                <w:sz w:val="24"/>
                <w:szCs w:val="24"/>
              </w:rPr>
            </w:pPr>
            <w:r>
              <w:rPr>
                <w:rFonts w:hint="eastAsia" w:ascii="宋体" w:hAnsi="宋体" w:cs="宋体"/>
                <w:color w:val="auto"/>
                <w:kern w:val="0"/>
                <w:sz w:val="24"/>
                <w:szCs w:val="24"/>
              </w:rPr>
              <w:t>支持</w:t>
            </w:r>
            <w:r>
              <w:rPr>
                <w:rFonts w:ascii="宋体" w:hAnsi="宋体" w:cs="宋体"/>
                <w:color w:val="auto"/>
                <w:kern w:val="0"/>
                <w:sz w:val="24"/>
                <w:szCs w:val="24"/>
              </w:rPr>
              <w:t>DHCPv4/v6 client/relay/server/snooping</w:t>
            </w:r>
            <w:r>
              <w:rPr>
                <w:rFonts w:hint="eastAsia" w:ascii="宋体" w:hAnsi="宋体" w:cs="宋体"/>
                <w:color w:val="auto"/>
                <w:kern w:val="0"/>
                <w:sz w:val="24"/>
                <w:szCs w:val="24"/>
              </w:rPr>
              <w:t>；</w:t>
            </w:r>
          </w:p>
          <w:p>
            <w:pPr>
              <w:widowControl/>
              <w:numPr>
                <w:ilvl w:val="0"/>
                <w:numId w:val="21"/>
              </w:numPr>
              <w:jc w:val="left"/>
              <w:textAlignment w:val="center"/>
              <w:rPr>
                <w:rFonts w:ascii="宋体"/>
                <w:color w:val="auto"/>
                <w:kern w:val="0"/>
                <w:sz w:val="24"/>
                <w:szCs w:val="24"/>
              </w:rPr>
            </w:pPr>
            <w:r>
              <w:rPr>
                <w:rFonts w:hint="eastAsia" w:ascii="宋体" w:hAnsi="宋体" w:cs="宋体"/>
                <w:color w:val="auto"/>
                <w:kern w:val="0"/>
                <w:sz w:val="24"/>
                <w:szCs w:val="24"/>
              </w:rPr>
              <w:t>支持三层</w:t>
            </w:r>
            <w:r>
              <w:rPr>
                <w:rFonts w:ascii="宋体" w:hAnsi="宋体" w:cs="宋体"/>
                <w:color w:val="auto"/>
                <w:kern w:val="0"/>
                <w:sz w:val="24"/>
                <w:szCs w:val="24"/>
              </w:rPr>
              <w:t>IPv4</w:t>
            </w:r>
            <w:r>
              <w:rPr>
                <w:rFonts w:hint="eastAsia" w:ascii="宋体" w:hAnsi="宋体" w:cs="宋体"/>
                <w:color w:val="auto"/>
                <w:kern w:val="0"/>
                <w:sz w:val="24"/>
                <w:szCs w:val="24"/>
              </w:rPr>
              <w:t>组播路由协议</w:t>
            </w:r>
            <w:r>
              <w:rPr>
                <w:rFonts w:ascii="宋体" w:hAnsi="宋体" w:cs="宋体"/>
                <w:color w:val="auto"/>
                <w:kern w:val="0"/>
                <w:sz w:val="24"/>
                <w:szCs w:val="24"/>
              </w:rPr>
              <w:t>PIM</w:t>
            </w:r>
            <w:r>
              <w:rPr>
                <w:rFonts w:hint="eastAsia" w:ascii="宋体" w:hAnsi="宋体" w:cs="宋体"/>
                <w:color w:val="auto"/>
                <w:kern w:val="0"/>
                <w:sz w:val="24"/>
                <w:szCs w:val="24"/>
              </w:rPr>
              <w:t>，三层</w:t>
            </w:r>
            <w:r>
              <w:rPr>
                <w:rFonts w:ascii="宋体" w:hAnsi="宋体" w:cs="宋体"/>
                <w:color w:val="auto"/>
                <w:kern w:val="0"/>
                <w:sz w:val="24"/>
                <w:szCs w:val="24"/>
              </w:rPr>
              <w:t>IPv6</w:t>
            </w:r>
            <w:r>
              <w:rPr>
                <w:rFonts w:hint="eastAsia" w:ascii="宋体" w:hAnsi="宋体" w:cs="宋体"/>
                <w:color w:val="auto"/>
                <w:kern w:val="0"/>
                <w:sz w:val="24"/>
                <w:szCs w:val="24"/>
              </w:rPr>
              <w:t>组播路由协议</w:t>
            </w:r>
            <w:r>
              <w:rPr>
                <w:rFonts w:ascii="宋体" w:hAnsi="宋体" w:cs="宋体"/>
                <w:color w:val="auto"/>
                <w:kern w:val="0"/>
                <w:sz w:val="24"/>
                <w:szCs w:val="24"/>
              </w:rPr>
              <w:t>MLD</w:t>
            </w:r>
            <w:r>
              <w:rPr>
                <w:rFonts w:hint="eastAsia" w:ascii="宋体" w:hAnsi="宋体" w:cs="宋体"/>
                <w:color w:val="auto"/>
                <w:kern w:val="0"/>
                <w:sz w:val="24"/>
                <w:szCs w:val="24"/>
              </w:rPr>
              <w:t>；</w:t>
            </w:r>
          </w:p>
          <w:p>
            <w:pPr>
              <w:widowControl/>
              <w:numPr>
                <w:ilvl w:val="0"/>
                <w:numId w:val="21"/>
              </w:numPr>
              <w:jc w:val="left"/>
              <w:textAlignment w:val="center"/>
              <w:rPr>
                <w:rFonts w:ascii="宋体"/>
                <w:color w:val="auto"/>
                <w:kern w:val="0"/>
                <w:sz w:val="24"/>
                <w:szCs w:val="24"/>
              </w:rPr>
            </w:pPr>
            <w:r>
              <w:rPr>
                <w:rFonts w:hint="eastAsia" w:ascii="宋体" w:hAnsi="宋体" w:cs="宋体"/>
                <w:color w:val="auto"/>
                <w:kern w:val="0"/>
                <w:sz w:val="24"/>
                <w:szCs w:val="24"/>
              </w:rPr>
              <w:t>支持</w:t>
            </w:r>
            <w:r>
              <w:rPr>
                <w:rFonts w:ascii="宋体" w:hAnsi="宋体" w:cs="宋体"/>
                <w:color w:val="auto"/>
                <w:kern w:val="0"/>
                <w:sz w:val="24"/>
                <w:szCs w:val="24"/>
              </w:rPr>
              <w:t>802.1x</w:t>
            </w:r>
            <w:r>
              <w:rPr>
                <w:rFonts w:hint="eastAsia" w:ascii="宋体" w:hAnsi="宋体" w:cs="宋体"/>
                <w:color w:val="auto"/>
                <w:kern w:val="0"/>
                <w:sz w:val="24"/>
                <w:szCs w:val="24"/>
              </w:rPr>
              <w:t>、</w:t>
            </w:r>
            <w:r>
              <w:rPr>
                <w:rFonts w:ascii="宋体" w:hAnsi="宋体" w:cs="宋体"/>
                <w:color w:val="auto"/>
                <w:kern w:val="0"/>
                <w:sz w:val="24"/>
                <w:szCs w:val="24"/>
              </w:rPr>
              <w:t>MAC</w:t>
            </w:r>
            <w:r>
              <w:rPr>
                <w:rFonts w:hint="eastAsia" w:ascii="宋体" w:hAnsi="宋体" w:cs="宋体"/>
                <w:color w:val="auto"/>
                <w:kern w:val="0"/>
                <w:sz w:val="24"/>
                <w:szCs w:val="24"/>
              </w:rPr>
              <w:t>认证和</w:t>
            </w:r>
            <w:r>
              <w:rPr>
                <w:rFonts w:ascii="宋体" w:hAnsi="宋体" w:cs="宋体"/>
                <w:color w:val="auto"/>
                <w:kern w:val="0"/>
                <w:sz w:val="24"/>
                <w:szCs w:val="24"/>
              </w:rPr>
              <w:t>Portal</w:t>
            </w:r>
            <w:r>
              <w:rPr>
                <w:rFonts w:hint="eastAsia" w:ascii="宋体" w:hAnsi="宋体" w:cs="宋体"/>
                <w:color w:val="auto"/>
                <w:kern w:val="0"/>
                <w:sz w:val="24"/>
                <w:szCs w:val="24"/>
              </w:rPr>
              <w:t>认证；</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16</w:t>
            </w:r>
            <w:r>
              <w:rPr>
                <w:rFonts w:hint="eastAsia" w:ascii="宋体" w:hAnsi="宋体" w:cs="宋体"/>
                <w:color w:val="auto"/>
                <w:kern w:val="0"/>
                <w:sz w:val="24"/>
                <w:szCs w:val="24"/>
              </w:rPr>
              <w:t>、支持</w:t>
            </w:r>
            <w:r>
              <w:rPr>
                <w:rFonts w:ascii="宋体" w:hAnsi="宋体" w:cs="宋体"/>
                <w:color w:val="auto"/>
                <w:kern w:val="0"/>
                <w:sz w:val="24"/>
                <w:szCs w:val="24"/>
              </w:rPr>
              <w:t xml:space="preserve"> IPSec </w:t>
            </w:r>
            <w:r>
              <w:rPr>
                <w:rFonts w:hint="eastAsia" w:ascii="宋体" w:hAnsi="宋体" w:cs="宋体"/>
                <w:color w:val="auto"/>
                <w:kern w:val="0"/>
                <w:sz w:val="24"/>
                <w:szCs w:val="24"/>
              </w:rPr>
              <w:t>对管理报文加密；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17</w:t>
            </w:r>
            <w:r>
              <w:rPr>
                <w:rFonts w:hint="eastAsia" w:ascii="宋体" w:hAnsi="宋体" w:cs="宋体"/>
                <w:color w:val="auto"/>
                <w:kern w:val="0"/>
                <w:sz w:val="24"/>
                <w:szCs w:val="24"/>
              </w:rPr>
              <w:t>、支持</w:t>
            </w:r>
            <w:r>
              <w:rPr>
                <w:rFonts w:ascii="宋体" w:hAnsi="宋体" w:cs="宋体"/>
                <w:color w:val="auto"/>
                <w:kern w:val="0"/>
                <w:sz w:val="24"/>
                <w:szCs w:val="24"/>
              </w:rPr>
              <w:t>CPU</w:t>
            </w:r>
            <w:r>
              <w:rPr>
                <w:rFonts w:hint="eastAsia" w:ascii="宋体" w:hAnsi="宋体" w:cs="宋体"/>
                <w:color w:val="auto"/>
                <w:kern w:val="0"/>
                <w:sz w:val="24"/>
                <w:szCs w:val="24"/>
              </w:rPr>
              <w:t>保护功能；</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18</w:t>
            </w:r>
            <w:r>
              <w:rPr>
                <w:rFonts w:hint="eastAsia" w:ascii="宋体" w:hAnsi="宋体" w:cs="宋体"/>
                <w:color w:val="auto"/>
                <w:kern w:val="0"/>
                <w:sz w:val="24"/>
                <w:szCs w:val="24"/>
              </w:rPr>
              <w:t>、支持对端口接收报文速率和发送报文速率进行限制，支持</w:t>
            </w:r>
            <w:r>
              <w:rPr>
                <w:rFonts w:ascii="宋体" w:hAnsi="宋体" w:cs="宋体"/>
                <w:color w:val="auto"/>
                <w:kern w:val="0"/>
                <w:sz w:val="24"/>
                <w:szCs w:val="24"/>
              </w:rPr>
              <w:t>SP</w:t>
            </w:r>
            <w:r>
              <w:rPr>
                <w:rFonts w:hint="eastAsia" w:ascii="宋体" w:hAnsi="宋体" w:cs="宋体"/>
                <w:color w:val="auto"/>
                <w:kern w:val="0"/>
                <w:sz w:val="24"/>
                <w:szCs w:val="24"/>
              </w:rPr>
              <w:t>、</w:t>
            </w:r>
            <w:r>
              <w:rPr>
                <w:rFonts w:ascii="宋体" w:hAnsi="宋体" w:cs="宋体"/>
                <w:color w:val="auto"/>
                <w:kern w:val="0"/>
                <w:sz w:val="24"/>
                <w:szCs w:val="24"/>
              </w:rPr>
              <w:t>WRR</w:t>
            </w:r>
            <w:r>
              <w:rPr>
                <w:rFonts w:hint="eastAsia" w:ascii="宋体" w:hAnsi="宋体" w:cs="宋体"/>
                <w:color w:val="auto"/>
                <w:kern w:val="0"/>
                <w:sz w:val="24"/>
                <w:szCs w:val="24"/>
              </w:rPr>
              <w:t>、</w:t>
            </w:r>
            <w:r>
              <w:rPr>
                <w:rFonts w:ascii="宋体" w:hAnsi="宋体" w:cs="宋体"/>
                <w:color w:val="auto"/>
                <w:kern w:val="0"/>
                <w:sz w:val="24"/>
                <w:szCs w:val="24"/>
              </w:rPr>
              <w:t>SP+WRR</w:t>
            </w:r>
            <w:r>
              <w:rPr>
                <w:rFonts w:hint="eastAsia" w:ascii="宋体" w:hAnsi="宋体" w:cs="宋体"/>
                <w:color w:val="auto"/>
                <w:kern w:val="0"/>
                <w:sz w:val="24"/>
                <w:szCs w:val="24"/>
              </w:rPr>
              <w:t>等队列调度算法；</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19</w:t>
            </w:r>
            <w:r>
              <w:rPr>
                <w:rFonts w:hint="eastAsia" w:ascii="宋体" w:hAnsi="宋体" w:cs="宋体"/>
                <w:color w:val="auto"/>
                <w:kern w:val="0"/>
                <w:sz w:val="24"/>
                <w:szCs w:val="24"/>
              </w:rPr>
              <w:t>、支持报文的</w:t>
            </w:r>
            <w:r>
              <w:rPr>
                <w:rFonts w:ascii="宋体" w:hAnsi="宋体" w:cs="宋体"/>
                <w:color w:val="auto"/>
                <w:kern w:val="0"/>
                <w:sz w:val="24"/>
                <w:szCs w:val="24"/>
              </w:rPr>
              <w:t xml:space="preserve"> 802.1p </w:t>
            </w:r>
            <w:r>
              <w:rPr>
                <w:rFonts w:hint="eastAsia" w:ascii="宋体" w:hAnsi="宋体" w:cs="宋体"/>
                <w:color w:val="auto"/>
                <w:kern w:val="0"/>
                <w:sz w:val="24"/>
                <w:szCs w:val="24"/>
              </w:rPr>
              <w:t>和</w:t>
            </w:r>
            <w:r>
              <w:rPr>
                <w:rFonts w:ascii="宋体" w:hAnsi="宋体" w:cs="宋体"/>
                <w:color w:val="auto"/>
                <w:kern w:val="0"/>
                <w:sz w:val="24"/>
                <w:szCs w:val="24"/>
              </w:rPr>
              <w:t xml:space="preserve"> DSCP </w:t>
            </w:r>
            <w:r>
              <w:rPr>
                <w:rFonts w:hint="eastAsia" w:ascii="宋体" w:hAnsi="宋体" w:cs="宋体"/>
                <w:color w:val="auto"/>
                <w:kern w:val="0"/>
                <w:sz w:val="24"/>
                <w:szCs w:val="24"/>
              </w:rPr>
              <w:t>优先级重新标记；</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20</w:t>
            </w:r>
            <w:r>
              <w:rPr>
                <w:rFonts w:hint="eastAsia" w:ascii="宋体" w:hAnsi="宋体" w:cs="宋体"/>
                <w:color w:val="auto"/>
                <w:kern w:val="0"/>
                <w:sz w:val="24"/>
                <w:szCs w:val="24"/>
              </w:rPr>
              <w:t>、支持</w:t>
            </w:r>
            <w:r>
              <w:rPr>
                <w:rFonts w:ascii="宋体" w:hAnsi="宋体" w:cs="宋体"/>
                <w:color w:val="auto"/>
                <w:kern w:val="0"/>
                <w:sz w:val="24"/>
                <w:szCs w:val="24"/>
              </w:rPr>
              <w:t>SNMP v1/v2/v3</w:t>
            </w:r>
            <w:r>
              <w:rPr>
                <w:rFonts w:hint="eastAsia" w:ascii="宋体" w:hAnsi="宋体" w:cs="宋体"/>
                <w:color w:val="auto"/>
                <w:kern w:val="0"/>
                <w:sz w:val="24"/>
                <w:szCs w:val="24"/>
              </w:rPr>
              <w:t>、</w:t>
            </w:r>
            <w:r>
              <w:rPr>
                <w:rFonts w:ascii="宋体" w:hAnsi="宋体" w:cs="宋体"/>
                <w:color w:val="auto"/>
                <w:kern w:val="0"/>
                <w:sz w:val="24"/>
                <w:szCs w:val="24"/>
              </w:rPr>
              <w:t>Telnet</w:t>
            </w:r>
            <w:r>
              <w:rPr>
                <w:rFonts w:hint="eastAsia" w:ascii="宋体" w:hAnsi="宋体" w:cs="宋体"/>
                <w:color w:val="auto"/>
                <w:kern w:val="0"/>
                <w:sz w:val="24"/>
                <w:szCs w:val="24"/>
              </w:rPr>
              <w:t>、</w:t>
            </w:r>
            <w:r>
              <w:rPr>
                <w:rFonts w:ascii="宋体" w:hAnsi="宋体" w:cs="宋体"/>
                <w:color w:val="auto"/>
                <w:kern w:val="0"/>
                <w:sz w:val="24"/>
                <w:szCs w:val="24"/>
              </w:rPr>
              <w:t>RMON</w:t>
            </w:r>
            <w:r>
              <w:rPr>
                <w:rFonts w:hint="eastAsia" w:ascii="宋体" w:hAnsi="宋体" w:cs="宋体"/>
                <w:color w:val="auto"/>
                <w:kern w:val="0"/>
                <w:sz w:val="24"/>
                <w:szCs w:val="24"/>
              </w:rPr>
              <w:t>、</w:t>
            </w:r>
            <w:r>
              <w:rPr>
                <w:rFonts w:ascii="宋体" w:hAnsi="宋体" w:cs="宋体"/>
                <w:color w:val="auto"/>
                <w:kern w:val="0"/>
                <w:sz w:val="24"/>
                <w:szCs w:val="24"/>
              </w:rPr>
              <w:t>SSHv2</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w:t>
            </w:r>
            <w:r>
              <w:rPr>
                <w:rFonts w:hint="eastAsia" w:ascii="宋体" w:hAnsi="宋体" w:cs="宋体"/>
                <w:color w:val="auto"/>
                <w:kern w:val="0"/>
                <w:sz w:val="24"/>
                <w:szCs w:val="24"/>
              </w:rPr>
              <w:t>、支持通过命令行、</w:t>
            </w:r>
            <w:r>
              <w:rPr>
                <w:rFonts w:ascii="宋体" w:hAnsi="宋体" w:cs="宋体"/>
                <w:color w:val="auto"/>
                <w:kern w:val="0"/>
                <w:sz w:val="24"/>
                <w:szCs w:val="24"/>
              </w:rPr>
              <w:t>Web</w:t>
            </w:r>
            <w:r>
              <w:rPr>
                <w:rFonts w:hint="eastAsia" w:ascii="宋体" w:hAnsi="宋体" w:cs="宋体"/>
                <w:color w:val="auto"/>
                <w:kern w:val="0"/>
                <w:sz w:val="24"/>
                <w:szCs w:val="24"/>
              </w:rPr>
              <w:t>、中文图形化配置软件等方式进行配置和管理；</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22</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技术，配合网络分析组件通过智能故障识别算法对网络数据进行分析，精准展现网络实时状态，并能及时有效地定界故障以及定位故障发生原因，发现影响用户体验的网络问题，精准保障用户体验；</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23</w:t>
            </w:r>
            <w:r>
              <w:rPr>
                <w:rFonts w:hint="eastAsia" w:ascii="宋体" w:hAnsi="宋体" w:cs="宋体"/>
                <w:color w:val="auto"/>
                <w:kern w:val="0"/>
                <w:sz w:val="24"/>
                <w:szCs w:val="24"/>
              </w:rPr>
              <w:t>、支持音视频业务的智能运维，将设备作为视频网络节点周期统计并上报音视频业务类指标参数至网络分析组件引擎，由网络分析组件引擎结合多个节点的视频网络结果，对音视频业务质量类故障进行快速定界；</w:t>
            </w:r>
          </w:p>
          <w:p>
            <w:pPr>
              <w:widowControl/>
              <w:jc w:val="left"/>
              <w:textAlignment w:val="center"/>
              <w:rPr>
                <w:rFonts w:ascii="宋体"/>
                <w:b/>
                <w:bCs/>
                <w:color w:val="auto"/>
                <w:sz w:val="24"/>
                <w:szCs w:val="24"/>
              </w:rPr>
            </w:pPr>
            <w:r>
              <w:rPr>
                <w:rFonts w:ascii="宋体" w:hAnsi="宋体" w:cs="宋体"/>
                <w:color w:val="auto"/>
                <w:kern w:val="0"/>
                <w:sz w:val="24"/>
                <w:szCs w:val="24"/>
              </w:rPr>
              <w:t>24</w:t>
            </w:r>
            <w:r>
              <w:rPr>
                <w:rFonts w:hint="eastAsia" w:ascii="宋体" w:hAnsi="宋体" w:cs="宋体"/>
                <w:color w:val="auto"/>
                <w:kern w:val="0"/>
                <w:sz w:val="24"/>
                <w:szCs w:val="24"/>
              </w:rPr>
              <w:t>、支持基于</w:t>
            </w:r>
            <w:r>
              <w:rPr>
                <w:rFonts w:ascii="宋体" w:hAnsi="宋体" w:cs="宋体"/>
                <w:color w:val="auto"/>
                <w:kern w:val="0"/>
                <w:sz w:val="24"/>
                <w:szCs w:val="24"/>
              </w:rPr>
              <w:t>Python</w:t>
            </w:r>
            <w:r>
              <w:rPr>
                <w:rFonts w:hint="eastAsia" w:ascii="宋体" w:hAnsi="宋体" w:cs="宋体"/>
                <w:color w:val="auto"/>
                <w:kern w:val="0"/>
                <w:sz w:val="24"/>
                <w:szCs w:val="24"/>
              </w:rPr>
              <w:t>语言的开放可编程系统，管理员可以通过</w:t>
            </w:r>
            <w:r>
              <w:rPr>
                <w:rFonts w:ascii="宋体" w:hAnsi="宋体" w:cs="宋体"/>
                <w:color w:val="auto"/>
                <w:kern w:val="0"/>
                <w:sz w:val="24"/>
                <w:szCs w:val="24"/>
              </w:rPr>
              <w:t>Python</w:t>
            </w:r>
            <w:r>
              <w:rPr>
                <w:rFonts w:hint="eastAsia" w:ascii="宋体" w:hAnsi="宋体" w:cs="宋体"/>
                <w:color w:val="auto"/>
                <w:kern w:val="0"/>
                <w:sz w:val="24"/>
                <w:szCs w:val="24"/>
              </w:rPr>
              <w:t>脚本对交换机进行运维功能的编程，快速实现功能创新，实现智能化运维。</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1</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9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6</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服务器</w:t>
            </w:r>
          </w:p>
        </w:tc>
        <w:tc>
          <w:tcPr>
            <w:tcW w:w="7156"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b/>
                <w:bCs/>
                <w:color w:val="auto"/>
                <w:sz w:val="24"/>
                <w:szCs w:val="24"/>
              </w:rPr>
            </w:pPr>
            <w:r>
              <w:rPr>
                <w:rFonts w:ascii="宋体" w:hAnsi="宋体" w:cs="宋体"/>
                <w:color w:val="auto"/>
                <w:kern w:val="0"/>
                <w:sz w:val="24"/>
                <w:szCs w:val="24"/>
              </w:rPr>
              <w:t>2U</w:t>
            </w:r>
            <w:r>
              <w:rPr>
                <w:rFonts w:hint="eastAsia" w:ascii="宋体" w:hAnsi="宋体" w:cs="宋体"/>
                <w:color w:val="auto"/>
                <w:kern w:val="0"/>
                <w:sz w:val="24"/>
                <w:szCs w:val="24"/>
              </w:rPr>
              <w:t>机架式服务器，标配</w:t>
            </w:r>
            <w:r>
              <w:rPr>
                <w:rFonts w:ascii="宋体" w:hAnsi="宋体" w:cs="宋体"/>
                <w:color w:val="auto"/>
                <w:kern w:val="0"/>
                <w:sz w:val="24"/>
                <w:szCs w:val="24"/>
              </w:rPr>
              <w:t>2</w:t>
            </w:r>
            <w:r>
              <w:rPr>
                <w:rFonts w:hint="eastAsia" w:ascii="宋体" w:hAnsi="宋体" w:cs="宋体"/>
                <w:color w:val="auto"/>
                <w:kern w:val="0"/>
                <w:sz w:val="24"/>
                <w:szCs w:val="24"/>
              </w:rPr>
              <w:t>个英特尔至强铜牌</w:t>
            </w:r>
            <w:r>
              <w:rPr>
                <w:rFonts w:ascii="宋体" w:hAnsi="宋体" w:cs="宋体"/>
                <w:color w:val="auto"/>
                <w:kern w:val="0"/>
                <w:sz w:val="24"/>
                <w:szCs w:val="24"/>
              </w:rPr>
              <w:t>4210(2.2GHz/10-Core/8.25MB/85W</w:t>
            </w:r>
            <w:r>
              <w:rPr>
                <w:rFonts w:hint="eastAsia" w:ascii="宋体" w:hAnsi="宋体" w:cs="宋体"/>
                <w:color w:val="auto"/>
                <w:kern w:val="0"/>
                <w:sz w:val="24"/>
                <w:szCs w:val="24"/>
              </w:rPr>
              <w:t>）处理器</w:t>
            </w:r>
            <w:r>
              <w:rPr>
                <w:rFonts w:ascii="宋体" w:hAnsi="宋体" w:cs="宋体"/>
                <w:color w:val="auto"/>
                <w:kern w:val="0"/>
                <w:sz w:val="24"/>
                <w:szCs w:val="24"/>
              </w:rPr>
              <w:t xml:space="preserve"> </w:t>
            </w:r>
            <w:r>
              <w:rPr>
                <w:rFonts w:hint="eastAsia" w:ascii="宋体" w:hAnsi="宋体" w:cs="宋体"/>
                <w:color w:val="auto"/>
                <w:kern w:val="0"/>
                <w:sz w:val="24"/>
                <w:szCs w:val="24"/>
              </w:rPr>
              <w:t>，最大可支持</w:t>
            </w:r>
            <w:r>
              <w:rPr>
                <w:rFonts w:ascii="宋体" w:hAnsi="宋体" w:cs="宋体"/>
                <w:color w:val="auto"/>
                <w:kern w:val="0"/>
                <w:sz w:val="24"/>
                <w:szCs w:val="24"/>
              </w:rPr>
              <w:t>2</w:t>
            </w:r>
            <w:r>
              <w:rPr>
                <w:rFonts w:hint="eastAsia" w:ascii="宋体" w:hAnsi="宋体" w:cs="宋体"/>
                <w:color w:val="auto"/>
                <w:kern w:val="0"/>
                <w:sz w:val="24"/>
                <w:szCs w:val="24"/>
              </w:rPr>
              <w:t>颗</w:t>
            </w:r>
            <w:r>
              <w:rPr>
                <w:rFonts w:ascii="宋体" w:hAnsi="宋体" w:cs="宋体"/>
                <w:color w:val="auto"/>
                <w:kern w:val="0"/>
                <w:sz w:val="24"/>
                <w:szCs w:val="24"/>
              </w:rPr>
              <w:t>CPU</w:t>
            </w:r>
            <w:r>
              <w:rPr>
                <w:rFonts w:hint="eastAsia" w:ascii="宋体" w:hAnsi="宋体" w:cs="宋体"/>
                <w:color w:val="auto"/>
                <w:kern w:val="0"/>
                <w:sz w:val="24"/>
                <w:szCs w:val="24"/>
              </w:rPr>
              <w:t>，配</w:t>
            </w:r>
            <w:r>
              <w:rPr>
                <w:rFonts w:ascii="宋体" w:hAnsi="宋体" w:cs="宋体"/>
                <w:color w:val="auto"/>
                <w:kern w:val="0"/>
                <w:sz w:val="24"/>
                <w:szCs w:val="24"/>
              </w:rPr>
              <w:t>64GB TruDDR4 RDIMM</w:t>
            </w:r>
            <w:r>
              <w:rPr>
                <w:rFonts w:hint="eastAsia" w:ascii="宋体" w:hAnsi="宋体" w:cs="宋体"/>
                <w:color w:val="auto"/>
                <w:kern w:val="0"/>
                <w:sz w:val="24"/>
                <w:szCs w:val="24"/>
              </w:rPr>
              <w:t>内存，最大支持</w:t>
            </w:r>
            <w:r>
              <w:rPr>
                <w:rFonts w:ascii="宋体" w:hAnsi="宋体" w:cs="宋体"/>
                <w:color w:val="auto"/>
                <w:kern w:val="0"/>
                <w:sz w:val="24"/>
                <w:szCs w:val="24"/>
              </w:rPr>
              <w:t>12</w:t>
            </w:r>
            <w:r>
              <w:rPr>
                <w:rFonts w:hint="eastAsia" w:ascii="宋体" w:hAnsi="宋体" w:cs="宋体"/>
                <w:color w:val="auto"/>
                <w:kern w:val="0"/>
                <w:sz w:val="24"/>
                <w:szCs w:val="24"/>
              </w:rPr>
              <w:t>个</w:t>
            </w:r>
            <w:r>
              <w:rPr>
                <w:rFonts w:ascii="宋体" w:hAnsi="宋体" w:cs="宋体"/>
                <w:color w:val="auto"/>
                <w:kern w:val="0"/>
                <w:sz w:val="24"/>
                <w:szCs w:val="24"/>
              </w:rPr>
              <w:t>DDR4</w:t>
            </w:r>
            <w:r>
              <w:rPr>
                <w:rFonts w:hint="eastAsia" w:ascii="宋体" w:hAnsi="宋体" w:cs="宋体"/>
                <w:color w:val="auto"/>
                <w:kern w:val="0"/>
                <w:sz w:val="24"/>
                <w:szCs w:val="24"/>
              </w:rPr>
              <w:t>内存插槽，</w:t>
            </w:r>
            <w:r>
              <w:rPr>
                <w:rFonts w:ascii="宋体" w:hAnsi="宋体" w:cs="宋体"/>
                <w:color w:val="auto"/>
                <w:kern w:val="0"/>
                <w:sz w:val="24"/>
                <w:szCs w:val="24"/>
              </w:rPr>
              <w:t xml:space="preserve"> </w:t>
            </w:r>
            <w:r>
              <w:rPr>
                <w:rFonts w:hint="eastAsia" w:ascii="宋体" w:hAnsi="宋体" w:cs="宋体"/>
                <w:color w:val="auto"/>
                <w:kern w:val="0"/>
                <w:sz w:val="24"/>
                <w:szCs w:val="24"/>
              </w:rPr>
              <w:t>配</w:t>
            </w:r>
            <w:r>
              <w:rPr>
                <w:rFonts w:ascii="宋体" w:hAnsi="宋体" w:cs="宋体"/>
                <w:color w:val="auto"/>
                <w:kern w:val="0"/>
                <w:sz w:val="24"/>
                <w:szCs w:val="24"/>
              </w:rPr>
              <w:t>1</w:t>
            </w:r>
            <w:r>
              <w:rPr>
                <w:rFonts w:hint="eastAsia" w:ascii="宋体" w:hAnsi="宋体" w:cs="宋体"/>
                <w:color w:val="auto"/>
                <w:kern w:val="0"/>
                <w:sz w:val="24"/>
                <w:szCs w:val="24"/>
              </w:rPr>
              <w:t>块</w:t>
            </w:r>
            <w:r>
              <w:rPr>
                <w:rFonts w:ascii="宋体" w:hAnsi="宋体" w:cs="宋体"/>
                <w:color w:val="auto"/>
                <w:kern w:val="0"/>
                <w:sz w:val="24"/>
                <w:szCs w:val="24"/>
              </w:rPr>
              <w:t>240G SSD</w:t>
            </w: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块</w:t>
            </w:r>
            <w:r>
              <w:rPr>
                <w:rFonts w:ascii="宋体" w:hAnsi="宋体" w:cs="宋体"/>
                <w:color w:val="auto"/>
                <w:kern w:val="0"/>
                <w:sz w:val="24"/>
                <w:szCs w:val="24"/>
              </w:rPr>
              <w:t xml:space="preserve"> 3.5" 8TB 7.2K SATA 6Gbps </w:t>
            </w:r>
            <w:r>
              <w:rPr>
                <w:rFonts w:hint="eastAsia" w:ascii="宋体" w:hAnsi="宋体" w:cs="宋体"/>
                <w:color w:val="auto"/>
                <w:kern w:val="0"/>
                <w:sz w:val="24"/>
                <w:szCs w:val="24"/>
              </w:rPr>
              <w:t>热插拔硬盘，</w:t>
            </w:r>
            <w:r>
              <w:rPr>
                <w:rFonts w:ascii="宋体" w:hAnsi="宋体" w:cs="宋体"/>
                <w:color w:val="auto"/>
                <w:kern w:val="0"/>
                <w:sz w:val="24"/>
                <w:szCs w:val="24"/>
              </w:rPr>
              <w:t xml:space="preserve"> </w:t>
            </w:r>
            <w:r>
              <w:rPr>
                <w:rFonts w:hint="eastAsia" w:ascii="宋体" w:hAnsi="宋体" w:cs="宋体"/>
                <w:color w:val="auto"/>
                <w:kern w:val="0"/>
                <w:sz w:val="24"/>
                <w:szCs w:val="24"/>
              </w:rPr>
              <w:t>标配支持</w:t>
            </w:r>
            <w:r>
              <w:rPr>
                <w:rFonts w:ascii="宋体" w:hAnsi="宋体" w:cs="宋体"/>
                <w:color w:val="auto"/>
                <w:kern w:val="0"/>
                <w:sz w:val="24"/>
                <w:szCs w:val="24"/>
              </w:rPr>
              <w:t>8</w:t>
            </w:r>
            <w:r>
              <w:rPr>
                <w:rFonts w:hint="eastAsia" w:ascii="宋体" w:hAnsi="宋体" w:cs="宋体"/>
                <w:color w:val="auto"/>
                <w:kern w:val="0"/>
                <w:sz w:val="24"/>
                <w:szCs w:val="24"/>
              </w:rPr>
              <w:t>个</w:t>
            </w:r>
            <w:r>
              <w:rPr>
                <w:rFonts w:ascii="宋体" w:hAnsi="宋体" w:cs="宋体"/>
                <w:color w:val="auto"/>
                <w:kern w:val="0"/>
                <w:sz w:val="24"/>
                <w:szCs w:val="24"/>
              </w:rPr>
              <w:t>3.5"</w:t>
            </w:r>
            <w:r>
              <w:rPr>
                <w:rFonts w:hint="eastAsia" w:ascii="宋体" w:hAnsi="宋体" w:cs="宋体"/>
                <w:color w:val="auto"/>
                <w:kern w:val="0"/>
                <w:sz w:val="24"/>
                <w:szCs w:val="24"/>
              </w:rPr>
              <w:t>硬盘背板插槽，最大</w:t>
            </w:r>
            <w:r>
              <w:rPr>
                <w:rFonts w:ascii="宋体" w:hAnsi="宋体" w:cs="宋体"/>
                <w:color w:val="auto"/>
                <w:kern w:val="0"/>
                <w:sz w:val="24"/>
                <w:szCs w:val="24"/>
              </w:rPr>
              <w:t>12</w:t>
            </w:r>
            <w:r>
              <w:rPr>
                <w:rFonts w:hint="eastAsia" w:ascii="宋体" w:hAnsi="宋体" w:cs="宋体"/>
                <w:color w:val="auto"/>
                <w:kern w:val="0"/>
                <w:sz w:val="24"/>
                <w:szCs w:val="24"/>
              </w:rPr>
              <w:t>个</w:t>
            </w:r>
            <w:r>
              <w:rPr>
                <w:rFonts w:ascii="宋体" w:hAnsi="宋体" w:cs="宋体"/>
                <w:color w:val="auto"/>
                <w:kern w:val="0"/>
                <w:sz w:val="24"/>
                <w:szCs w:val="24"/>
              </w:rPr>
              <w:t>3.5"</w:t>
            </w:r>
            <w:r>
              <w:rPr>
                <w:rFonts w:hint="eastAsia" w:ascii="宋体" w:hAnsi="宋体" w:cs="宋体"/>
                <w:color w:val="auto"/>
                <w:kern w:val="0"/>
                <w:sz w:val="24"/>
                <w:szCs w:val="24"/>
              </w:rPr>
              <w:t>硬盘背板插槽，标配</w:t>
            </w:r>
            <w:r>
              <w:rPr>
                <w:rFonts w:ascii="宋体" w:hAnsi="宋体" w:cs="宋体"/>
                <w:color w:val="auto"/>
                <w:kern w:val="0"/>
                <w:sz w:val="24"/>
                <w:szCs w:val="24"/>
              </w:rPr>
              <w:t>RAID 530-8i PCIe 12Gbps</w:t>
            </w:r>
            <w:r>
              <w:rPr>
                <w:rFonts w:hint="eastAsia" w:ascii="宋体" w:hAnsi="宋体" w:cs="宋体"/>
                <w:color w:val="auto"/>
                <w:kern w:val="0"/>
                <w:sz w:val="24"/>
                <w:szCs w:val="24"/>
              </w:rPr>
              <w:t>阵列卡（无缓存，最大支持</w:t>
            </w:r>
            <w:r>
              <w:rPr>
                <w:rFonts w:ascii="宋体" w:hAnsi="宋体" w:cs="宋体"/>
                <w:color w:val="auto"/>
                <w:kern w:val="0"/>
                <w:sz w:val="24"/>
                <w:szCs w:val="24"/>
              </w:rPr>
              <w:t>8</w:t>
            </w:r>
            <w:r>
              <w:rPr>
                <w:rFonts w:hint="eastAsia" w:ascii="宋体" w:hAnsi="宋体" w:cs="宋体"/>
                <w:color w:val="auto"/>
                <w:kern w:val="0"/>
                <w:sz w:val="24"/>
                <w:szCs w:val="24"/>
              </w:rPr>
              <w:t>个硬盘）支持</w:t>
            </w:r>
            <w:r>
              <w:rPr>
                <w:rFonts w:ascii="宋体" w:hAnsi="宋体" w:cs="宋体"/>
                <w:color w:val="auto"/>
                <w:kern w:val="0"/>
                <w:sz w:val="24"/>
                <w:szCs w:val="24"/>
              </w:rPr>
              <w:t>RAID0/1/10/5/50</w:t>
            </w:r>
            <w:r>
              <w:rPr>
                <w:rFonts w:hint="eastAsia" w:ascii="宋体" w:hAnsi="宋体" w:cs="宋体"/>
                <w:color w:val="auto"/>
                <w:kern w:val="0"/>
                <w:sz w:val="24"/>
                <w:szCs w:val="24"/>
              </w:rPr>
              <w:t>，标配</w:t>
            </w:r>
            <w:r>
              <w:rPr>
                <w:rFonts w:ascii="宋体" w:hAnsi="宋体" w:cs="宋体"/>
                <w:color w:val="auto"/>
                <w:kern w:val="0"/>
                <w:sz w:val="24"/>
                <w:szCs w:val="24"/>
              </w:rPr>
              <w:t>2</w:t>
            </w:r>
            <w:r>
              <w:rPr>
                <w:rFonts w:hint="eastAsia" w:ascii="宋体" w:hAnsi="宋体" w:cs="宋体"/>
                <w:color w:val="auto"/>
                <w:kern w:val="0"/>
                <w:sz w:val="24"/>
                <w:szCs w:val="24"/>
              </w:rPr>
              <w:t>个集成</w:t>
            </w:r>
            <w:r>
              <w:rPr>
                <w:rFonts w:ascii="宋体" w:hAnsi="宋体" w:cs="宋体"/>
                <w:color w:val="auto"/>
                <w:kern w:val="0"/>
                <w:sz w:val="24"/>
                <w:szCs w:val="24"/>
              </w:rPr>
              <w:t>1GbE RJ-45</w:t>
            </w:r>
            <w:r>
              <w:rPr>
                <w:rFonts w:hint="eastAsia" w:ascii="宋体" w:hAnsi="宋体" w:cs="宋体"/>
                <w:color w:val="auto"/>
                <w:kern w:val="0"/>
                <w:sz w:val="24"/>
                <w:szCs w:val="24"/>
              </w:rPr>
              <w:t>网口（</w:t>
            </w:r>
            <w:r>
              <w:rPr>
                <w:rFonts w:ascii="宋体" w:hAnsi="宋体" w:cs="宋体"/>
                <w:color w:val="auto"/>
                <w:kern w:val="0"/>
                <w:sz w:val="24"/>
                <w:szCs w:val="24"/>
              </w:rPr>
              <w:t>LOM</w:t>
            </w:r>
            <w:r>
              <w:rPr>
                <w:rFonts w:hint="eastAsia" w:ascii="宋体" w:hAnsi="宋体" w:cs="宋体"/>
                <w:color w:val="auto"/>
                <w:kern w:val="0"/>
                <w:sz w:val="24"/>
                <w:szCs w:val="24"/>
              </w:rPr>
              <w:t>卡）和</w:t>
            </w:r>
            <w:r>
              <w:rPr>
                <w:rFonts w:ascii="宋体" w:hAnsi="宋体" w:cs="宋体"/>
                <w:color w:val="auto"/>
                <w:kern w:val="0"/>
                <w:sz w:val="24"/>
                <w:szCs w:val="24"/>
              </w:rPr>
              <w:t>1</w:t>
            </w:r>
            <w:r>
              <w:rPr>
                <w:rFonts w:hint="eastAsia" w:ascii="宋体" w:hAnsi="宋体" w:cs="宋体"/>
                <w:color w:val="auto"/>
                <w:kern w:val="0"/>
                <w:sz w:val="24"/>
                <w:szCs w:val="24"/>
              </w:rPr>
              <w:t>个管理网络端口，最大支持</w:t>
            </w:r>
            <w:r>
              <w:rPr>
                <w:rFonts w:ascii="宋体" w:hAnsi="宋体" w:cs="宋体"/>
                <w:color w:val="auto"/>
                <w:kern w:val="0"/>
                <w:sz w:val="24"/>
                <w:szCs w:val="24"/>
              </w:rPr>
              <w:t>6</w:t>
            </w:r>
            <w:r>
              <w:rPr>
                <w:rFonts w:hint="eastAsia" w:ascii="宋体" w:hAnsi="宋体" w:cs="宋体"/>
                <w:color w:val="auto"/>
                <w:kern w:val="0"/>
                <w:sz w:val="24"/>
                <w:szCs w:val="24"/>
              </w:rPr>
              <w:t>个</w:t>
            </w:r>
            <w:r>
              <w:rPr>
                <w:rFonts w:ascii="宋体" w:hAnsi="宋体" w:cs="宋体"/>
                <w:color w:val="auto"/>
                <w:kern w:val="0"/>
                <w:sz w:val="24"/>
                <w:szCs w:val="24"/>
              </w:rPr>
              <w:t>PCIe 3.0</w:t>
            </w:r>
            <w:r>
              <w:rPr>
                <w:rFonts w:hint="eastAsia" w:ascii="宋体" w:hAnsi="宋体" w:cs="宋体"/>
                <w:color w:val="auto"/>
                <w:kern w:val="0"/>
                <w:sz w:val="24"/>
                <w:szCs w:val="24"/>
              </w:rPr>
              <w:t>插槽，配</w:t>
            </w:r>
            <w:r>
              <w:rPr>
                <w:rFonts w:ascii="宋体" w:hAnsi="宋体" w:cs="宋体"/>
                <w:color w:val="auto"/>
                <w:kern w:val="0"/>
                <w:sz w:val="24"/>
                <w:szCs w:val="24"/>
              </w:rPr>
              <w:t xml:space="preserve"> 2</w:t>
            </w:r>
            <w:r>
              <w:rPr>
                <w:rFonts w:hint="eastAsia" w:ascii="宋体" w:hAnsi="宋体" w:cs="宋体"/>
                <w:color w:val="auto"/>
                <w:kern w:val="0"/>
                <w:sz w:val="24"/>
                <w:szCs w:val="24"/>
              </w:rPr>
              <w:t>个</w:t>
            </w:r>
            <w:r>
              <w:rPr>
                <w:rFonts w:ascii="宋体" w:hAnsi="宋体" w:cs="宋体"/>
                <w:color w:val="auto"/>
                <w:kern w:val="0"/>
                <w:sz w:val="24"/>
                <w:szCs w:val="24"/>
              </w:rPr>
              <w:t>550W</w:t>
            </w:r>
            <w:r>
              <w:rPr>
                <w:rFonts w:hint="eastAsia" w:ascii="宋体" w:hAnsi="宋体" w:cs="宋体"/>
                <w:color w:val="auto"/>
                <w:kern w:val="0"/>
                <w:sz w:val="24"/>
                <w:szCs w:val="24"/>
              </w:rPr>
              <w:t>白金级热插拔电源模块，最大支持</w:t>
            </w:r>
            <w:r>
              <w:rPr>
                <w:rFonts w:ascii="宋体" w:hAnsi="宋体" w:cs="宋体"/>
                <w:color w:val="auto"/>
                <w:kern w:val="0"/>
                <w:sz w:val="24"/>
                <w:szCs w:val="24"/>
              </w:rPr>
              <w:t>2</w:t>
            </w:r>
            <w:r>
              <w:rPr>
                <w:rFonts w:hint="eastAsia" w:ascii="宋体" w:hAnsi="宋体" w:cs="宋体"/>
                <w:color w:val="auto"/>
                <w:kern w:val="0"/>
                <w:sz w:val="24"/>
                <w:szCs w:val="24"/>
              </w:rPr>
              <w:t>个，前置</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USB2.0(XClarity</w:t>
            </w:r>
            <w:r>
              <w:rPr>
                <w:rFonts w:hint="eastAsia" w:ascii="宋体" w:hAnsi="宋体" w:cs="宋体"/>
                <w:color w:val="auto"/>
                <w:kern w:val="0"/>
                <w:sz w:val="24"/>
                <w:szCs w:val="24"/>
              </w:rPr>
              <w:t>管理接口），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USB3.0</w:t>
            </w:r>
            <w:r>
              <w:rPr>
                <w:rFonts w:hint="eastAsia" w:ascii="宋体" w:hAnsi="宋体" w:cs="宋体"/>
                <w:color w:val="auto"/>
                <w:kern w:val="0"/>
                <w:sz w:val="24"/>
                <w:szCs w:val="24"/>
              </w:rPr>
              <w:t>接口，光通路诊断</w:t>
            </w:r>
            <w:r>
              <w:rPr>
                <w:rFonts w:ascii="宋体" w:hAnsi="宋体" w:cs="宋体"/>
                <w:color w:val="auto"/>
                <w:kern w:val="0"/>
                <w:sz w:val="24"/>
                <w:szCs w:val="24"/>
              </w:rPr>
              <w:t>LED</w:t>
            </w:r>
            <w:r>
              <w:rPr>
                <w:rFonts w:hint="eastAsia" w:ascii="宋体" w:hAnsi="宋体" w:cs="宋体"/>
                <w:color w:val="auto"/>
                <w:kern w:val="0"/>
                <w:sz w:val="24"/>
                <w:szCs w:val="24"/>
              </w:rPr>
              <w:t>报警灯，工作温度</w:t>
            </w:r>
            <w:r>
              <w:rPr>
                <w:rFonts w:ascii="宋体" w:hAnsi="宋体" w:cs="宋体"/>
                <w:color w:val="auto"/>
                <w:kern w:val="0"/>
                <w:sz w:val="24"/>
                <w:szCs w:val="24"/>
              </w:rPr>
              <w:t xml:space="preserve">5 </w:t>
            </w:r>
            <w:r>
              <w:rPr>
                <w:rFonts w:hint="eastAsia" w:ascii="宋体" w:hAnsi="宋体" w:cs="宋体"/>
                <w:color w:val="auto"/>
                <w:kern w:val="0"/>
                <w:sz w:val="24"/>
                <w:szCs w:val="24"/>
              </w:rPr>
              <w:t>°</w:t>
            </w:r>
            <w:r>
              <w:rPr>
                <w:rFonts w:ascii="宋体" w:hAnsi="宋体" w:cs="宋体"/>
                <w:color w:val="auto"/>
                <w:kern w:val="0"/>
                <w:sz w:val="24"/>
                <w:szCs w:val="24"/>
              </w:rPr>
              <w:t xml:space="preserve">C - 45 </w:t>
            </w:r>
            <w:r>
              <w:rPr>
                <w:rFonts w:hint="eastAsia" w:ascii="宋体" w:hAnsi="宋体" w:cs="宋体"/>
                <w:color w:val="auto"/>
                <w:kern w:val="0"/>
                <w:sz w:val="24"/>
                <w:szCs w:val="24"/>
              </w:rPr>
              <w:t>°</w:t>
            </w:r>
            <w:r>
              <w:rPr>
                <w:rFonts w:ascii="宋体" w:hAnsi="宋体" w:cs="宋体"/>
                <w:color w:val="auto"/>
                <w:kern w:val="0"/>
                <w:sz w:val="24"/>
                <w:szCs w:val="24"/>
              </w:rPr>
              <w:t>C</w:t>
            </w:r>
            <w:r>
              <w:rPr>
                <w:rFonts w:hint="eastAsia" w:ascii="宋体" w:hAnsi="宋体" w:cs="宋体"/>
                <w:color w:val="auto"/>
                <w:kern w:val="0"/>
                <w:sz w:val="24"/>
                <w:szCs w:val="24"/>
              </w:rPr>
              <w:t>（符合</w:t>
            </w:r>
            <w:r>
              <w:rPr>
                <w:rFonts w:ascii="宋体" w:hAnsi="宋体" w:cs="宋体"/>
                <w:color w:val="auto"/>
                <w:kern w:val="0"/>
                <w:sz w:val="24"/>
                <w:szCs w:val="24"/>
              </w:rPr>
              <w:t>ASHRAE Class A4</w:t>
            </w:r>
            <w:r>
              <w:rPr>
                <w:rFonts w:hint="eastAsia" w:ascii="宋体" w:hAnsi="宋体" w:cs="宋体"/>
                <w:color w:val="auto"/>
                <w:kern w:val="0"/>
                <w:sz w:val="24"/>
                <w:szCs w:val="24"/>
              </w:rPr>
              <w:t>、</w:t>
            </w:r>
            <w:r>
              <w:rPr>
                <w:rFonts w:ascii="宋体" w:hAnsi="宋体" w:cs="宋体"/>
                <w:color w:val="auto"/>
                <w:kern w:val="0"/>
                <w:sz w:val="24"/>
                <w:szCs w:val="24"/>
              </w:rPr>
              <w:t>A3</w:t>
            </w:r>
            <w:r>
              <w:rPr>
                <w:rFonts w:hint="eastAsia" w:ascii="宋体" w:hAnsi="宋体" w:cs="宋体"/>
                <w:color w:val="auto"/>
                <w:kern w:val="0"/>
                <w:sz w:val="24"/>
                <w:szCs w:val="24"/>
              </w:rPr>
              <w:t>、</w:t>
            </w:r>
            <w:r>
              <w:rPr>
                <w:rFonts w:ascii="宋体" w:hAnsi="宋体" w:cs="宋体"/>
                <w:color w:val="auto"/>
                <w:kern w:val="0"/>
                <w:sz w:val="24"/>
                <w:szCs w:val="24"/>
              </w:rPr>
              <w:t>A2</w:t>
            </w:r>
            <w:r>
              <w:rPr>
                <w:rFonts w:hint="eastAsia" w:ascii="宋体" w:hAnsi="宋体" w:cs="宋体"/>
                <w:color w:val="auto"/>
                <w:kern w:val="0"/>
                <w:sz w:val="24"/>
                <w:szCs w:val="24"/>
              </w:rPr>
              <w:t>标准），</w:t>
            </w:r>
            <w:r>
              <w:rPr>
                <w:rFonts w:ascii="宋体" w:hAnsi="宋体" w:cs="宋体"/>
                <w:color w:val="auto"/>
                <w:kern w:val="0"/>
                <w:sz w:val="24"/>
                <w:szCs w:val="24"/>
              </w:rPr>
              <w:t>3</w:t>
            </w:r>
            <w:r>
              <w:rPr>
                <w:rFonts w:hint="eastAsia" w:ascii="宋体" w:hAnsi="宋体" w:cs="宋体"/>
                <w:color w:val="auto"/>
                <w:kern w:val="0"/>
                <w:sz w:val="24"/>
                <w:szCs w:val="24"/>
              </w:rPr>
              <w:t>年</w:t>
            </w:r>
            <w:r>
              <w:rPr>
                <w:rFonts w:ascii="宋体" w:hAnsi="宋体" w:cs="宋体"/>
                <w:color w:val="auto"/>
                <w:kern w:val="0"/>
                <w:sz w:val="24"/>
                <w:szCs w:val="24"/>
              </w:rPr>
              <w:t>7*24*4</w:t>
            </w:r>
            <w:r>
              <w:rPr>
                <w:rFonts w:hint="eastAsia" w:ascii="宋体" w:hAnsi="宋体" w:cs="宋体"/>
                <w:color w:val="auto"/>
                <w:kern w:val="0"/>
                <w:sz w:val="24"/>
                <w:szCs w:val="24"/>
              </w:rPr>
              <w:t>上门</w:t>
            </w:r>
            <w:r>
              <w:rPr>
                <w:rFonts w:ascii="宋体" w:hAnsi="宋体" w:cs="宋体"/>
                <w:color w:val="auto"/>
                <w:kern w:val="0"/>
                <w:sz w:val="24"/>
                <w:szCs w:val="24"/>
              </w:rPr>
              <w:t>&amp;</w:t>
            </w:r>
            <w:r>
              <w:rPr>
                <w:rFonts w:hint="eastAsia" w:ascii="宋体" w:hAnsi="宋体" w:cs="宋体"/>
                <w:color w:val="auto"/>
                <w:kern w:val="0"/>
                <w:sz w:val="24"/>
                <w:szCs w:val="24"/>
              </w:rPr>
              <w:t>基础安装。</w:t>
            </w:r>
          </w:p>
        </w:tc>
        <w:tc>
          <w:tcPr>
            <w:tcW w:w="764"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ascii="宋体" w:hAnsi="宋体" w:cs="宋体"/>
                <w:color w:val="auto"/>
                <w:kern w:val="0"/>
                <w:sz w:val="24"/>
                <w:szCs w:val="24"/>
              </w:rPr>
              <w:t>2</w:t>
            </w:r>
          </w:p>
        </w:tc>
        <w:tc>
          <w:tcPr>
            <w:tcW w:w="741"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b/>
                <w:bCs/>
                <w:color w:val="auto"/>
                <w:sz w:val="24"/>
                <w:szCs w:val="24"/>
              </w:rPr>
            </w:pPr>
            <w:r>
              <w:rPr>
                <w:rFonts w:hint="eastAsia" w:ascii="宋体" w:hAnsi="宋体" w:cs="宋体"/>
                <w:color w:val="auto"/>
                <w:kern w:val="0"/>
                <w:sz w:val="24"/>
                <w:szCs w:val="24"/>
              </w:rPr>
              <w:t>台</w:t>
            </w:r>
          </w:p>
        </w:tc>
      </w:tr>
    </w:tbl>
    <w:p>
      <w:pPr>
        <w:keepNext/>
        <w:keepLines/>
        <w:spacing w:before="156" w:after="156" w:line="400" w:lineRule="exact"/>
        <w:outlineLvl w:val="2"/>
        <w:rPr>
          <w:rFonts w:ascii="宋体"/>
          <w:b/>
          <w:bCs/>
          <w:color w:val="auto"/>
          <w:sz w:val="24"/>
          <w:szCs w:val="24"/>
        </w:rPr>
      </w:pPr>
      <w:bookmarkStart w:id="892" w:name="_Toc82882794"/>
      <w:r>
        <w:rPr>
          <w:rFonts w:ascii="宋体" w:hAnsi="宋体" w:cs="宋体"/>
          <w:b/>
          <w:bCs/>
          <w:color w:val="auto"/>
          <w:sz w:val="24"/>
          <w:szCs w:val="24"/>
        </w:rPr>
        <w:t>4.2.5</w:t>
      </w:r>
      <w:r>
        <w:rPr>
          <w:rFonts w:hint="eastAsia" w:ascii="宋体" w:hAnsi="宋体" w:cs="宋体"/>
          <w:b/>
          <w:bCs/>
          <w:color w:val="auto"/>
          <w:sz w:val="24"/>
          <w:szCs w:val="24"/>
        </w:rPr>
        <w:t>、容灾备份中心</w:t>
      </w:r>
      <w:bookmarkEnd w:id="892"/>
    </w:p>
    <w:tbl>
      <w:tblPr>
        <w:tblStyle w:val="21"/>
        <w:tblW w:w="10299" w:type="dxa"/>
        <w:tblInd w:w="-727" w:type="dxa"/>
        <w:tblLayout w:type="autofit"/>
        <w:tblCellMar>
          <w:top w:w="0" w:type="dxa"/>
          <w:left w:w="10" w:type="dxa"/>
          <w:bottom w:w="0" w:type="dxa"/>
          <w:right w:w="10" w:type="dxa"/>
        </w:tblCellMar>
      </w:tblPr>
      <w:tblGrid>
        <w:gridCol w:w="763"/>
        <w:gridCol w:w="1146"/>
        <w:gridCol w:w="6870"/>
        <w:gridCol w:w="780"/>
        <w:gridCol w:w="740"/>
      </w:tblGrid>
      <w:tr>
        <w:tblPrEx>
          <w:tblCellMar>
            <w:top w:w="0" w:type="dxa"/>
            <w:left w:w="10" w:type="dxa"/>
            <w:bottom w:w="0" w:type="dxa"/>
            <w:right w:w="10" w:type="dxa"/>
          </w:tblCellMar>
        </w:tblPrEx>
        <w:trPr>
          <w:trHeight w:val="1" w:hRule="atLeast"/>
        </w:trPr>
        <w:tc>
          <w:tcPr>
            <w:tcW w:w="763"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序号</w:t>
            </w:r>
          </w:p>
        </w:tc>
        <w:tc>
          <w:tcPr>
            <w:tcW w:w="1146" w:type="dxa"/>
            <w:tcBorders>
              <w:top w:val="single" w:color="000000" w:sz="4" w:space="0"/>
              <w:left w:val="single" w:color="000000" w:sz="6" w:space="0"/>
              <w:bottom w:val="single" w:color="auto" w:sz="4" w:space="0"/>
              <w:right w:val="single" w:color="000000" w:sz="4" w:space="0"/>
            </w:tcBorders>
            <w:tcMar>
              <w:left w:w="108" w:type="dxa"/>
              <w:right w:w="108" w:type="dxa"/>
            </w:tcMar>
            <w:vAlign w:val="center"/>
          </w:tcPr>
          <w:p>
            <w:pPr>
              <w:jc w:val="center"/>
              <w:rPr>
                <w:rFonts w:ascii="宋体"/>
                <w:b/>
                <w:bCs/>
                <w:color w:val="auto"/>
                <w:sz w:val="24"/>
                <w:szCs w:val="24"/>
              </w:rPr>
            </w:pPr>
            <w:r>
              <w:rPr>
                <w:rFonts w:hint="eastAsia" w:ascii="宋体" w:hAnsi="宋体" w:cs="宋体"/>
                <w:b/>
                <w:bCs/>
                <w:color w:val="auto"/>
                <w:sz w:val="24"/>
                <w:szCs w:val="24"/>
              </w:rPr>
              <w:t>设备</w:t>
            </w:r>
            <w:r>
              <w:rPr>
                <w:rFonts w:ascii="宋体" w:hAnsi="宋体" w:cs="宋体"/>
                <w:b/>
                <w:bCs/>
                <w:color w:val="auto"/>
                <w:sz w:val="24"/>
                <w:szCs w:val="24"/>
              </w:rPr>
              <w:t xml:space="preserve">  </w:t>
            </w:r>
          </w:p>
          <w:p>
            <w:pPr>
              <w:jc w:val="center"/>
              <w:rPr>
                <w:rFonts w:ascii="宋体"/>
                <w:color w:val="auto"/>
                <w:sz w:val="24"/>
                <w:szCs w:val="24"/>
              </w:rPr>
            </w:pPr>
            <w:r>
              <w:rPr>
                <w:rFonts w:hint="eastAsia" w:ascii="宋体" w:hAnsi="宋体" w:cs="宋体"/>
                <w:b/>
                <w:bCs/>
                <w:color w:val="auto"/>
                <w:sz w:val="24"/>
                <w:szCs w:val="24"/>
              </w:rPr>
              <w:t>名称</w:t>
            </w:r>
          </w:p>
        </w:tc>
        <w:tc>
          <w:tcPr>
            <w:tcW w:w="6870" w:type="dxa"/>
            <w:tcBorders>
              <w:top w:val="single" w:color="000000" w:sz="4" w:space="0"/>
              <w:left w:val="single" w:color="000000" w:sz="6" w:space="0"/>
              <w:bottom w:val="single" w:color="auto"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规格配置要求</w:t>
            </w:r>
          </w:p>
        </w:tc>
        <w:tc>
          <w:tcPr>
            <w:tcW w:w="780" w:type="dxa"/>
            <w:tcBorders>
              <w:top w:val="single" w:color="000000" w:sz="4" w:space="0"/>
              <w:left w:val="single" w:color="000000" w:sz="6" w:space="0"/>
              <w:bottom w:val="single" w:color="auto"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数量</w:t>
            </w:r>
          </w:p>
        </w:tc>
        <w:tc>
          <w:tcPr>
            <w:tcW w:w="740" w:type="dxa"/>
            <w:tcBorders>
              <w:top w:val="single" w:color="000000" w:sz="4" w:space="0"/>
              <w:left w:val="single" w:color="000000" w:sz="6" w:space="0"/>
              <w:bottom w:val="single" w:color="auto"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6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114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ascii="宋体"/>
                <w:color w:val="auto"/>
                <w:sz w:val="24"/>
                <w:szCs w:val="24"/>
              </w:rPr>
            </w:pPr>
            <w:r>
              <w:rPr>
                <w:rFonts w:hint="eastAsia" w:ascii="宋体" w:hAnsi="宋体" w:cs="宋体"/>
                <w:color w:val="auto"/>
                <w:sz w:val="24"/>
                <w:szCs w:val="24"/>
              </w:rPr>
              <w:t>备份一体机</w:t>
            </w:r>
          </w:p>
        </w:tc>
        <w:tc>
          <w:tcPr>
            <w:tcW w:w="68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、提供小时级别的增量数据备份，实现备份机房主要医院系统运行数据对接，业务正常开展；</w:t>
            </w:r>
          </w:p>
          <w:p>
            <w:pPr>
              <w:widowControl/>
              <w:jc w:val="left"/>
              <w:textAlignment w:val="center"/>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、性能参数：</w:t>
            </w:r>
            <w:r>
              <w:rPr>
                <w:rFonts w:ascii="宋体" w:hAnsi="宋体" w:cs="宋体"/>
                <w:color w:val="auto"/>
                <w:sz w:val="24"/>
                <w:szCs w:val="24"/>
              </w:rPr>
              <w:t>CPU</w:t>
            </w:r>
            <w:r>
              <w:rPr>
                <w:rFonts w:hint="eastAsia" w:ascii="宋体" w:hAnsi="宋体" w:cs="宋体"/>
                <w:color w:val="auto"/>
                <w:sz w:val="24"/>
                <w:szCs w:val="24"/>
              </w:rPr>
              <w:t>：配置≥</w:t>
            </w:r>
            <w:r>
              <w:rPr>
                <w:rFonts w:ascii="宋体" w:hAnsi="宋体" w:cs="宋体"/>
                <w:color w:val="auto"/>
                <w:sz w:val="24"/>
                <w:szCs w:val="24"/>
              </w:rPr>
              <w:t>2*10</w:t>
            </w:r>
            <w:r>
              <w:rPr>
                <w:rFonts w:hint="eastAsia" w:ascii="宋体" w:hAnsi="宋体" w:cs="宋体"/>
                <w:color w:val="auto"/>
                <w:sz w:val="24"/>
                <w:szCs w:val="24"/>
              </w:rPr>
              <w:t>核</w:t>
            </w:r>
            <w:r>
              <w:rPr>
                <w:rFonts w:ascii="宋体" w:hAnsi="宋体" w:cs="宋体"/>
                <w:color w:val="auto"/>
                <w:sz w:val="24"/>
                <w:szCs w:val="24"/>
              </w:rPr>
              <w:t>20</w:t>
            </w:r>
            <w:r>
              <w:rPr>
                <w:rFonts w:hint="eastAsia" w:ascii="宋体" w:hAnsi="宋体" w:cs="宋体"/>
                <w:color w:val="auto"/>
                <w:sz w:val="24"/>
                <w:szCs w:val="24"/>
              </w:rPr>
              <w:t>线程</w:t>
            </w:r>
            <w:r>
              <w:rPr>
                <w:rFonts w:ascii="宋体" w:hAnsi="宋体" w:cs="宋体"/>
                <w:color w:val="auto"/>
                <w:sz w:val="24"/>
                <w:szCs w:val="24"/>
              </w:rPr>
              <w:t>CPU</w:t>
            </w:r>
            <w:r>
              <w:rPr>
                <w:rFonts w:hint="eastAsia" w:ascii="宋体" w:hAnsi="宋体" w:cs="宋体"/>
                <w:color w:val="auto"/>
                <w:sz w:val="24"/>
                <w:szCs w:val="24"/>
              </w:rPr>
              <w:t>（</w:t>
            </w:r>
            <w:r>
              <w:rPr>
                <w:rFonts w:ascii="宋体" w:hAnsi="宋体" w:cs="宋体"/>
                <w:color w:val="auto"/>
                <w:sz w:val="24"/>
                <w:szCs w:val="24"/>
              </w:rPr>
              <w:t>2.2GHz</w:t>
            </w:r>
            <w:r>
              <w:rPr>
                <w:rFonts w:hint="eastAsia" w:ascii="宋体" w:hAnsi="宋体" w:cs="宋体"/>
                <w:color w:val="auto"/>
                <w:sz w:val="24"/>
                <w:szCs w:val="24"/>
              </w:rPr>
              <w:t>）及以上处理器；内存：≥</w:t>
            </w:r>
            <w:r>
              <w:rPr>
                <w:rFonts w:ascii="宋体" w:hAnsi="宋体" w:cs="宋体"/>
                <w:color w:val="auto"/>
                <w:sz w:val="24"/>
                <w:szCs w:val="24"/>
              </w:rPr>
              <w:t>64GB</w:t>
            </w:r>
            <w:r>
              <w:rPr>
                <w:rFonts w:hint="eastAsia" w:ascii="宋体" w:hAnsi="宋体" w:cs="宋体"/>
                <w:color w:val="auto"/>
                <w:sz w:val="24"/>
                <w:szCs w:val="24"/>
              </w:rPr>
              <w:t>；硬盘：系统盘≥</w:t>
            </w:r>
            <w:r>
              <w:rPr>
                <w:rFonts w:ascii="宋体" w:hAnsi="宋体" w:cs="宋体"/>
                <w:color w:val="auto"/>
                <w:sz w:val="24"/>
                <w:szCs w:val="24"/>
              </w:rPr>
              <w:t>2</w:t>
            </w:r>
            <w:r>
              <w:rPr>
                <w:rFonts w:hint="eastAsia" w:ascii="宋体" w:hAnsi="宋体" w:cs="宋体"/>
                <w:color w:val="auto"/>
                <w:sz w:val="24"/>
                <w:szCs w:val="24"/>
              </w:rPr>
              <w:t>块</w:t>
            </w:r>
            <w:r>
              <w:rPr>
                <w:rFonts w:ascii="宋体" w:hAnsi="宋体" w:cs="宋体"/>
                <w:color w:val="auto"/>
                <w:sz w:val="24"/>
                <w:szCs w:val="24"/>
              </w:rPr>
              <w:t>480GB SSD</w:t>
            </w:r>
            <w:r>
              <w:rPr>
                <w:rFonts w:hint="eastAsia" w:ascii="宋体" w:hAnsi="宋体" w:cs="宋体"/>
                <w:color w:val="auto"/>
                <w:sz w:val="24"/>
                <w:szCs w:val="24"/>
              </w:rPr>
              <w:t>，数据盘≥</w:t>
            </w:r>
            <w:r>
              <w:rPr>
                <w:rFonts w:ascii="宋体" w:hAnsi="宋体" w:cs="宋体"/>
                <w:color w:val="auto"/>
                <w:sz w:val="24"/>
                <w:szCs w:val="24"/>
              </w:rPr>
              <w:t>9</w:t>
            </w:r>
            <w:r>
              <w:rPr>
                <w:rFonts w:hint="eastAsia" w:ascii="宋体" w:hAnsi="宋体" w:cs="宋体"/>
                <w:color w:val="auto"/>
                <w:sz w:val="24"/>
                <w:szCs w:val="24"/>
              </w:rPr>
              <w:t>块</w:t>
            </w:r>
            <w:r>
              <w:rPr>
                <w:rFonts w:ascii="宋体" w:hAnsi="宋体" w:cs="宋体"/>
                <w:color w:val="auto"/>
                <w:sz w:val="24"/>
                <w:szCs w:val="24"/>
              </w:rPr>
              <w:t>6TB SATA</w:t>
            </w:r>
            <w:r>
              <w:rPr>
                <w:rFonts w:hint="eastAsia" w:ascii="宋体" w:hAnsi="宋体" w:cs="宋体"/>
                <w:color w:val="auto"/>
                <w:sz w:val="24"/>
                <w:szCs w:val="24"/>
              </w:rPr>
              <w:t>硬盘；网口：≥</w:t>
            </w:r>
            <w:r>
              <w:rPr>
                <w:rFonts w:ascii="宋体" w:hAnsi="宋体" w:cs="宋体"/>
                <w:color w:val="auto"/>
                <w:sz w:val="24"/>
                <w:szCs w:val="24"/>
              </w:rPr>
              <w:t>4*</w:t>
            </w:r>
            <w:r>
              <w:rPr>
                <w:rFonts w:hint="eastAsia" w:ascii="宋体" w:hAnsi="宋体" w:cs="宋体"/>
                <w:color w:val="auto"/>
                <w:sz w:val="24"/>
                <w:szCs w:val="24"/>
              </w:rPr>
              <w:t>万兆光口，≥</w:t>
            </w:r>
            <w:r>
              <w:rPr>
                <w:rFonts w:ascii="宋体" w:hAnsi="宋体" w:cs="宋体"/>
                <w:color w:val="auto"/>
                <w:sz w:val="24"/>
                <w:szCs w:val="24"/>
              </w:rPr>
              <w:t>2*</w:t>
            </w:r>
            <w:r>
              <w:rPr>
                <w:rFonts w:hint="eastAsia" w:ascii="宋体" w:hAnsi="宋体" w:cs="宋体"/>
                <w:color w:val="auto"/>
                <w:sz w:val="24"/>
                <w:szCs w:val="24"/>
              </w:rPr>
              <w:t>千兆电口；</w:t>
            </w:r>
          </w:p>
          <w:p>
            <w:pPr>
              <w:widowControl/>
              <w:jc w:val="left"/>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w:t>
            </w:r>
            <w:r>
              <w:rPr>
                <w:rFonts w:hint="eastAsia" w:ascii="宋体" w:hAnsi="宋体" w:cs="宋体"/>
                <w:color w:val="auto"/>
                <w:sz w:val="24"/>
                <w:szCs w:val="24"/>
              </w:rPr>
              <w:t>软件授权要求：</w:t>
            </w:r>
          </w:p>
          <w:p>
            <w:pPr>
              <w:widowControl/>
              <w:jc w:val="left"/>
              <w:textAlignment w:val="center"/>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提供</w:t>
            </w:r>
            <w:r>
              <w:rPr>
                <w:rFonts w:ascii="宋体" w:hAnsi="宋体" w:cs="宋体"/>
                <w:color w:val="auto"/>
                <w:sz w:val="24"/>
                <w:szCs w:val="24"/>
              </w:rPr>
              <w:t>40TB</w:t>
            </w:r>
            <w:r>
              <w:rPr>
                <w:rFonts w:hint="eastAsia" w:ascii="宋体" w:hAnsi="宋体" w:cs="宋体"/>
                <w:color w:val="auto"/>
                <w:sz w:val="24"/>
                <w:szCs w:val="24"/>
              </w:rPr>
              <w:t>容量授权许可（</w:t>
            </w:r>
            <w:r>
              <w:rPr>
                <w:rFonts w:ascii="宋体" w:hAnsi="宋体" w:cs="宋体"/>
                <w:color w:val="auto"/>
                <w:sz w:val="24"/>
                <w:szCs w:val="24"/>
              </w:rPr>
              <w:t>Windows</w:t>
            </w:r>
            <w:r>
              <w:rPr>
                <w:rFonts w:hint="eastAsia" w:ascii="宋体" w:hAnsi="宋体" w:cs="宋体"/>
                <w:color w:val="auto"/>
                <w:sz w:val="24"/>
                <w:szCs w:val="24"/>
              </w:rPr>
              <w:t>、</w:t>
            </w:r>
            <w:r>
              <w:rPr>
                <w:rFonts w:ascii="宋体" w:hAnsi="宋体" w:cs="宋体"/>
                <w:color w:val="auto"/>
                <w:sz w:val="24"/>
                <w:szCs w:val="24"/>
              </w:rPr>
              <w:t>Linux</w:t>
            </w:r>
            <w:r>
              <w:rPr>
                <w:rFonts w:hint="eastAsia" w:ascii="宋体" w:hAnsi="宋体" w:cs="宋体"/>
                <w:color w:val="auto"/>
                <w:sz w:val="24"/>
                <w:szCs w:val="24"/>
              </w:rPr>
              <w:t>、</w:t>
            </w:r>
            <w:r>
              <w:rPr>
                <w:rFonts w:ascii="宋体" w:hAnsi="宋体" w:cs="宋体"/>
                <w:color w:val="auto"/>
                <w:sz w:val="24"/>
                <w:szCs w:val="24"/>
              </w:rPr>
              <w:t>UNIX</w:t>
            </w:r>
            <w:r>
              <w:rPr>
                <w:rFonts w:hint="eastAsia" w:ascii="宋体" w:hAnsi="宋体" w:cs="宋体"/>
                <w:color w:val="auto"/>
                <w:sz w:val="24"/>
                <w:szCs w:val="24"/>
              </w:rPr>
              <w:t>、虚拟化平台），无限制</w:t>
            </w:r>
            <w:r>
              <w:rPr>
                <w:rFonts w:ascii="宋体" w:hAnsi="宋体" w:cs="宋体"/>
                <w:color w:val="auto"/>
                <w:sz w:val="24"/>
                <w:szCs w:val="24"/>
              </w:rPr>
              <w:t>X86</w:t>
            </w:r>
            <w:r>
              <w:rPr>
                <w:rFonts w:hint="eastAsia" w:ascii="宋体" w:hAnsi="宋体" w:cs="宋体"/>
                <w:color w:val="auto"/>
                <w:sz w:val="24"/>
                <w:szCs w:val="24"/>
              </w:rPr>
              <w:t>操作系统、数据库、文件、虚拟机等类型数据的客户端授权；</w:t>
            </w:r>
          </w:p>
          <w:p>
            <w:pPr>
              <w:widowControl/>
              <w:jc w:val="left"/>
              <w:textAlignment w:val="center"/>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国产知名品牌，非</w:t>
            </w:r>
            <w:r>
              <w:rPr>
                <w:rFonts w:ascii="宋体" w:hAnsi="宋体" w:cs="宋体"/>
                <w:color w:val="auto"/>
                <w:sz w:val="24"/>
                <w:szCs w:val="24"/>
              </w:rPr>
              <w:t>OEM</w:t>
            </w:r>
            <w:r>
              <w:rPr>
                <w:rFonts w:hint="eastAsia" w:ascii="宋体" w:hAnsi="宋体" w:cs="宋体"/>
                <w:color w:val="auto"/>
                <w:sz w:val="24"/>
                <w:szCs w:val="24"/>
              </w:rPr>
              <w:t>及转售；</w:t>
            </w:r>
          </w:p>
          <w:p>
            <w:pPr>
              <w:widowControl/>
              <w:jc w:val="left"/>
              <w:textAlignment w:val="center"/>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w:t>
            </w:r>
            <w:r>
              <w:rPr>
                <w:rFonts w:ascii="宋体" w:hAnsi="宋体" w:cs="宋体"/>
                <w:color w:val="auto"/>
                <w:sz w:val="24"/>
                <w:szCs w:val="24"/>
              </w:rPr>
              <w:t>IPv4</w:t>
            </w:r>
            <w:r>
              <w:rPr>
                <w:rFonts w:hint="eastAsia" w:ascii="宋体" w:hAnsi="宋体" w:cs="宋体"/>
                <w:color w:val="auto"/>
                <w:sz w:val="24"/>
                <w:szCs w:val="24"/>
              </w:rPr>
              <w:t>和</w:t>
            </w:r>
            <w:r>
              <w:rPr>
                <w:rFonts w:ascii="宋体" w:hAnsi="宋体" w:cs="宋体"/>
                <w:color w:val="auto"/>
                <w:sz w:val="24"/>
                <w:szCs w:val="24"/>
              </w:rPr>
              <w:t>IPv6</w:t>
            </w:r>
            <w:r>
              <w:rPr>
                <w:rFonts w:hint="eastAsia" w:ascii="宋体" w:hAnsi="宋体" w:cs="宋体"/>
                <w:color w:val="auto"/>
                <w:sz w:val="24"/>
                <w:szCs w:val="24"/>
              </w:rPr>
              <w:t>部署方式；</w:t>
            </w:r>
          </w:p>
          <w:p>
            <w:pPr>
              <w:widowControl/>
              <w:jc w:val="left"/>
              <w:textAlignment w:val="center"/>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、支持国产</w:t>
            </w:r>
            <w:r>
              <w:rPr>
                <w:rFonts w:ascii="宋体" w:hAnsi="宋体" w:cs="宋体"/>
                <w:color w:val="auto"/>
                <w:sz w:val="24"/>
                <w:szCs w:val="24"/>
              </w:rPr>
              <w:t>CPU</w:t>
            </w:r>
            <w:r>
              <w:rPr>
                <w:rFonts w:hint="eastAsia" w:ascii="宋体" w:hAnsi="宋体" w:cs="宋体"/>
                <w:color w:val="auto"/>
                <w:sz w:val="24"/>
                <w:szCs w:val="24"/>
              </w:rPr>
              <w:t>架构平台下的数据备份与恢复；</w:t>
            </w:r>
          </w:p>
          <w:p>
            <w:pPr>
              <w:widowControl/>
              <w:jc w:val="left"/>
              <w:textAlignment w:val="center"/>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、支持操作系统架构下的数据备份与恢复；</w:t>
            </w:r>
          </w:p>
          <w:p>
            <w:pPr>
              <w:widowControl/>
              <w:jc w:val="left"/>
              <w:textAlignment w:val="center"/>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、支持数据库的非脚本界面化的方式对国产数据库在线备份与恢复的数据备份与恢复；</w:t>
            </w:r>
          </w:p>
          <w:p>
            <w:pPr>
              <w:widowControl/>
              <w:jc w:val="left"/>
              <w:textAlignment w:val="center"/>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、支持国产虚拟化或云平台的备份与恢复；</w:t>
            </w:r>
          </w:p>
          <w:p>
            <w:pPr>
              <w:widowControl/>
              <w:jc w:val="left"/>
              <w:textAlignment w:val="center"/>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、支持主流的数据库备份恢复，包括但不限于</w:t>
            </w:r>
            <w:r>
              <w:rPr>
                <w:rFonts w:ascii="宋体" w:hAnsi="宋体" w:cs="宋体"/>
                <w:color w:val="auto"/>
                <w:sz w:val="24"/>
                <w:szCs w:val="24"/>
              </w:rPr>
              <w:t>Oracle</w:t>
            </w:r>
            <w:r>
              <w:rPr>
                <w:rFonts w:hint="eastAsia" w:ascii="宋体" w:hAnsi="宋体" w:cs="宋体"/>
                <w:color w:val="auto"/>
                <w:sz w:val="24"/>
                <w:szCs w:val="24"/>
              </w:rPr>
              <w:t>、</w:t>
            </w:r>
            <w:r>
              <w:rPr>
                <w:rFonts w:ascii="宋体" w:hAnsi="宋体" w:cs="宋体"/>
                <w:color w:val="auto"/>
                <w:sz w:val="24"/>
                <w:szCs w:val="24"/>
              </w:rPr>
              <w:t xml:space="preserve"> SQL Server</w:t>
            </w:r>
            <w:r>
              <w:rPr>
                <w:rFonts w:hint="eastAsia" w:ascii="宋体" w:hAnsi="宋体" w:cs="宋体"/>
                <w:color w:val="auto"/>
                <w:sz w:val="24"/>
                <w:szCs w:val="24"/>
              </w:rPr>
              <w:t>、</w:t>
            </w:r>
            <w:r>
              <w:rPr>
                <w:rFonts w:ascii="宋体" w:hAnsi="宋体" w:cs="宋体"/>
                <w:color w:val="auto"/>
                <w:sz w:val="24"/>
                <w:szCs w:val="24"/>
              </w:rPr>
              <w:t>MySQL</w:t>
            </w:r>
            <w:r>
              <w:rPr>
                <w:rFonts w:hint="eastAsia" w:ascii="宋体" w:hAnsi="宋体" w:cs="宋体"/>
                <w:color w:val="auto"/>
                <w:sz w:val="24"/>
                <w:szCs w:val="24"/>
              </w:rPr>
              <w:t>、</w:t>
            </w:r>
            <w:r>
              <w:rPr>
                <w:rFonts w:ascii="宋体" w:hAnsi="宋体" w:cs="宋体"/>
                <w:color w:val="auto"/>
                <w:sz w:val="24"/>
                <w:szCs w:val="24"/>
              </w:rPr>
              <w:t>Sybase</w:t>
            </w:r>
            <w:r>
              <w:rPr>
                <w:rFonts w:hint="eastAsia" w:ascii="宋体" w:hAnsi="宋体" w:cs="宋体"/>
                <w:color w:val="auto"/>
                <w:sz w:val="24"/>
                <w:szCs w:val="24"/>
              </w:rPr>
              <w:t>、</w:t>
            </w:r>
            <w:r>
              <w:rPr>
                <w:rFonts w:ascii="宋体" w:hAnsi="宋体" w:cs="宋体"/>
                <w:color w:val="auto"/>
                <w:sz w:val="24"/>
                <w:szCs w:val="24"/>
              </w:rPr>
              <w:t>DB2</w:t>
            </w:r>
            <w:r>
              <w:rPr>
                <w:rFonts w:hint="eastAsia" w:ascii="宋体" w:hAnsi="宋体" w:cs="宋体"/>
                <w:color w:val="auto"/>
                <w:sz w:val="24"/>
                <w:szCs w:val="24"/>
              </w:rPr>
              <w:t>、</w:t>
            </w:r>
            <w:r>
              <w:rPr>
                <w:rFonts w:ascii="宋体" w:hAnsi="宋体" w:cs="宋体"/>
                <w:color w:val="auto"/>
                <w:sz w:val="24"/>
                <w:szCs w:val="24"/>
              </w:rPr>
              <w:t>Informix</w:t>
            </w:r>
            <w:r>
              <w:rPr>
                <w:rFonts w:hint="eastAsia" w:ascii="宋体" w:hAnsi="宋体" w:cs="宋体"/>
                <w:color w:val="auto"/>
                <w:sz w:val="24"/>
                <w:szCs w:val="24"/>
              </w:rPr>
              <w:t>、</w:t>
            </w:r>
            <w:r>
              <w:rPr>
                <w:rFonts w:ascii="宋体" w:hAnsi="宋体" w:cs="宋体"/>
                <w:color w:val="auto"/>
                <w:sz w:val="24"/>
                <w:szCs w:val="24"/>
              </w:rPr>
              <w:t>PostgreSQL</w:t>
            </w:r>
            <w:r>
              <w:rPr>
                <w:rFonts w:hint="eastAsia" w:ascii="宋体" w:hAnsi="宋体" w:cs="宋体"/>
                <w:color w:val="auto"/>
                <w:sz w:val="24"/>
                <w:szCs w:val="24"/>
              </w:rPr>
              <w:t>、</w:t>
            </w:r>
            <w:r>
              <w:rPr>
                <w:rFonts w:ascii="宋体" w:hAnsi="宋体" w:cs="宋体"/>
                <w:color w:val="auto"/>
                <w:sz w:val="24"/>
                <w:szCs w:val="24"/>
              </w:rPr>
              <w:t>MongoDB</w:t>
            </w:r>
            <w:r>
              <w:rPr>
                <w:rFonts w:hint="eastAsia" w:ascii="宋体" w:hAnsi="宋体" w:cs="宋体"/>
                <w:color w:val="auto"/>
                <w:sz w:val="24"/>
                <w:szCs w:val="24"/>
              </w:rPr>
              <w:t>、</w:t>
            </w:r>
            <w:r>
              <w:rPr>
                <w:rFonts w:ascii="宋体" w:hAnsi="宋体" w:cs="宋体"/>
                <w:color w:val="auto"/>
                <w:sz w:val="24"/>
                <w:szCs w:val="24"/>
              </w:rPr>
              <w:t>Exchange</w:t>
            </w:r>
            <w:r>
              <w:rPr>
                <w:rFonts w:hint="eastAsia" w:ascii="宋体" w:hAnsi="宋体" w:cs="宋体"/>
                <w:color w:val="auto"/>
                <w:sz w:val="24"/>
                <w:szCs w:val="24"/>
              </w:rPr>
              <w:t>、</w:t>
            </w:r>
            <w:r>
              <w:rPr>
                <w:rFonts w:ascii="宋体" w:hAnsi="宋体" w:cs="宋体"/>
                <w:color w:val="auto"/>
                <w:sz w:val="24"/>
                <w:szCs w:val="24"/>
              </w:rPr>
              <w:t>SharePoint</w:t>
            </w:r>
            <w:r>
              <w:rPr>
                <w:rFonts w:hint="eastAsia" w:ascii="宋体" w:hAnsi="宋体" w:cs="宋体"/>
                <w:color w:val="auto"/>
                <w:sz w:val="24"/>
                <w:szCs w:val="24"/>
              </w:rPr>
              <w:t>、</w:t>
            </w:r>
            <w:r>
              <w:rPr>
                <w:rFonts w:ascii="宋体" w:hAnsi="宋体" w:cs="宋体"/>
                <w:color w:val="auto"/>
                <w:sz w:val="24"/>
                <w:szCs w:val="24"/>
              </w:rPr>
              <w:t>Domino</w:t>
            </w:r>
            <w:r>
              <w:rPr>
                <w:rFonts w:hint="eastAsia" w:ascii="宋体" w:hAnsi="宋体" w:cs="宋体"/>
                <w:color w:val="auto"/>
                <w:sz w:val="24"/>
                <w:szCs w:val="24"/>
              </w:rPr>
              <w:t>等主流数据库应用；</w:t>
            </w:r>
          </w:p>
          <w:p>
            <w:pPr>
              <w:widowControl/>
              <w:jc w:val="left"/>
              <w:textAlignment w:val="center"/>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、支持各版本</w:t>
            </w:r>
            <w:r>
              <w:rPr>
                <w:rFonts w:ascii="宋体" w:hAnsi="宋体" w:cs="宋体"/>
                <w:color w:val="auto"/>
                <w:sz w:val="24"/>
                <w:szCs w:val="24"/>
              </w:rPr>
              <w:t>Oracle</w:t>
            </w:r>
            <w:r>
              <w:rPr>
                <w:rFonts w:hint="eastAsia" w:ascii="宋体" w:hAnsi="宋体" w:cs="宋体"/>
                <w:color w:val="auto"/>
                <w:sz w:val="24"/>
                <w:szCs w:val="24"/>
              </w:rPr>
              <w:t>、</w:t>
            </w:r>
            <w:r>
              <w:rPr>
                <w:rFonts w:ascii="宋体" w:hAnsi="宋体" w:cs="宋体"/>
                <w:color w:val="auto"/>
                <w:sz w:val="24"/>
                <w:szCs w:val="24"/>
              </w:rPr>
              <w:t>Oracle RAC</w:t>
            </w:r>
            <w:r>
              <w:rPr>
                <w:rFonts w:hint="eastAsia" w:ascii="宋体" w:hAnsi="宋体" w:cs="宋体"/>
                <w:color w:val="auto"/>
                <w:sz w:val="24"/>
                <w:szCs w:val="24"/>
              </w:rPr>
              <w:t>数据库的完全备份、增量备份、日志备份、合成备份、连续日志备份等备份模式；</w:t>
            </w:r>
          </w:p>
          <w:p>
            <w:pPr>
              <w:widowControl/>
              <w:jc w:val="left"/>
              <w:textAlignment w:val="center"/>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、支持对</w:t>
            </w:r>
            <w:r>
              <w:rPr>
                <w:rFonts w:ascii="宋体" w:hAnsi="宋体" w:cs="宋体"/>
                <w:color w:val="auto"/>
                <w:sz w:val="24"/>
                <w:szCs w:val="24"/>
              </w:rPr>
              <w:t>Oracle</w:t>
            </w:r>
            <w:r>
              <w:rPr>
                <w:rFonts w:hint="eastAsia" w:ascii="宋体" w:hAnsi="宋体" w:cs="宋体"/>
                <w:color w:val="auto"/>
                <w:sz w:val="24"/>
                <w:szCs w:val="24"/>
              </w:rPr>
              <w:t>的日志进行详细解析，可以查看每条日志数据的实际执行内容，包括：时间、</w:t>
            </w:r>
            <w:r>
              <w:rPr>
                <w:rFonts w:ascii="宋体" w:hAnsi="宋体" w:cs="宋体"/>
                <w:color w:val="auto"/>
                <w:sz w:val="24"/>
                <w:szCs w:val="24"/>
              </w:rPr>
              <w:t xml:space="preserve"> SCN</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用户名、</w:t>
            </w:r>
            <w:r>
              <w:rPr>
                <w:rFonts w:ascii="宋体" w:hAnsi="宋体" w:cs="宋体"/>
                <w:color w:val="auto"/>
                <w:sz w:val="24"/>
                <w:szCs w:val="24"/>
              </w:rPr>
              <w:t xml:space="preserve"> </w:t>
            </w:r>
            <w:r>
              <w:rPr>
                <w:rFonts w:hint="eastAsia" w:ascii="宋体" w:hAnsi="宋体" w:cs="宋体"/>
                <w:color w:val="auto"/>
                <w:sz w:val="24"/>
                <w:szCs w:val="24"/>
              </w:rPr>
              <w:t>表名、</w:t>
            </w:r>
            <w:r>
              <w:rPr>
                <w:rFonts w:ascii="宋体" w:hAnsi="宋体" w:cs="宋体"/>
                <w:color w:val="auto"/>
                <w:sz w:val="24"/>
                <w:szCs w:val="24"/>
              </w:rPr>
              <w:t xml:space="preserve"> </w:t>
            </w:r>
            <w:r>
              <w:rPr>
                <w:rFonts w:hint="eastAsia" w:ascii="宋体" w:hAnsi="宋体" w:cs="宋体"/>
                <w:color w:val="auto"/>
                <w:sz w:val="24"/>
                <w:szCs w:val="24"/>
              </w:rPr>
              <w:t>操作类型、</w:t>
            </w:r>
            <w:r>
              <w:rPr>
                <w:rFonts w:ascii="宋体" w:hAnsi="宋体" w:cs="宋体"/>
                <w:color w:val="auto"/>
                <w:sz w:val="24"/>
                <w:szCs w:val="24"/>
              </w:rPr>
              <w:t xml:space="preserve"> SQL </w:t>
            </w:r>
            <w:r>
              <w:rPr>
                <w:rFonts w:hint="eastAsia" w:ascii="宋体" w:hAnsi="宋体" w:cs="宋体"/>
                <w:color w:val="auto"/>
                <w:sz w:val="24"/>
                <w:szCs w:val="24"/>
              </w:rPr>
              <w:t>语句等在数据恢复作业中可以选择准确的</w:t>
            </w:r>
            <w:r>
              <w:rPr>
                <w:rFonts w:ascii="宋体" w:hAnsi="宋体" w:cs="宋体"/>
                <w:color w:val="auto"/>
                <w:sz w:val="24"/>
                <w:szCs w:val="24"/>
              </w:rPr>
              <w:t>SCN</w:t>
            </w:r>
            <w:r>
              <w:rPr>
                <w:rFonts w:hint="eastAsia" w:ascii="宋体" w:hAnsi="宋体" w:cs="宋体"/>
                <w:color w:val="auto"/>
                <w:sz w:val="24"/>
                <w:szCs w:val="24"/>
              </w:rPr>
              <w:t>来确定数据恢复点；</w:t>
            </w:r>
          </w:p>
          <w:p>
            <w:pPr>
              <w:widowControl/>
              <w:jc w:val="left"/>
              <w:textAlignment w:val="center"/>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、支持</w:t>
            </w:r>
            <w:r>
              <w:rPr>
                <w:rFonts w:ascii="宋体" w:hAnsi="宋体" w:cs="宋体"/>
                <w:color w:val="auto"/>
                <w:sz w:val="24"/>
                <w:szCs w:val="24"/>
              </w:rPr>
              <w:t>MySQL</w:t>
            </w:r>
            <w:r>
              <w:rPr>
                <w:rFonts w:hint="eastAsia" w:ascii="宋体" w:hAnsi="宋体" w:cs="宋体"/>
                <w:color w:val="auto"/>
                <w:sz w:val="24"/>
                <w:szCs w:val="24"/>
              </w:rPr>
              <w:t>的逻辑备份和物理备份（完全备份、增量备份、日志备份、连续日志备份）；基于</w:t>
            </w:r>
            <w:r>
              <w:rPr>
                <w:rFonts w:ascii="宋体" w:hAnsi="宋体" w:cs="宋体"/>
                <w:color w:val="auto"/>
                <w:sz w:val="24"/>
                <w:szCs w:val="24"/>
              </w:rPr>
              <w:t>MySQL</w:t>
            </w:r>
            <w:r>
              <w:rPr>
                <w:rFonts w:hint="eastAsia" w:ascii="宋体" w:hAnsi="宋体" w:cs="宋体"/>
                <w:color w:val="auto"/>
                <w:sz w:val="24"/>
                <w:szCs w:val="24"/>
              </w:rPr>
              <w:t>的物理备份数据，在进行数据恢复时，支持恢复到指定的</w:t>
            </w:r>
            <w:r>
              <w:rPr>
                <w:rFonts w:ascii="宋体" w:hAnsi="宋体" w:cs="宋体"/>
                <w:color w:val="auto"/>
                <w:sz w:val="24"/>
                <w:szCs w:val="24"/>
              </w:rPr>
              <w:t>GTID</w:t>
            </w:r>
            <w:r>
              <w:rPr>
                <w:rFonts w:hint="eastAsia" w:ascii="宋体" w:hAnsi="宋体" w:cs="宋体"/>
                <w:color w:val="auto"/>
                <w:sz w:val="24"/>
                <w:szCs w:val="24"/>
              </w:rPr>
              <w:t>（</w:t>
            </w:r>
            <w:r>
              <w:rPr>
                <w:rFonts w:ascii="宋体" w:hAnsi="宋体" w:cs="宋体"/>
                <w:color w:val="auto"/>
                <w:sz w:val="24"/>
                <w:szCs w:val="24"/>
              </w:rPr>
              <w:t>global transaction identifier</w:t>
            </w:r>
            <w:r>
              <w:rPr>
                <w:rFonts w:hint="eastAsia" w:ascii="宋体" w:hAnsi="宋体" w:cs="宋体"/>
                <w:color w:val="auto"/>
                <w:sz w:val="24"/>
                <w:szCs w:val="24"/>
              </w:rPr>
              <w:t>）；</w:t>
            </w:r>
          </w:p>
          <w:p>
            <w:pPr>
              <w:widowControl/>
              <w:jc w:val="left"/>
              <w:textAlignment w:val="center"/>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、支持把</w:t>
            </w:r>
            <w:r>
              <w:rPr>
                <w:rFonts w:ascii="宋体" w:hAnsi="宋体" w:cs="宋体"/>
                <w:color w:val="auto"/>
                <w:sz w:val="24"/>
                <w:szCs w:val="24"/>
              </w:rPr>
              <w:t xml:space="preserve">Windows </w:t>
            </w:r>
            <w:r>
              <w:rPr>
                <w:rFonts w:hint="eastAsia" w:ascii="宋体" w:hAnsi="宋体" w:cs="宋体"/>
                <w:color w:val="auto"/>
                <w:sz w:val="24"/>
                <w:szCs w:val="24"/>
              </w:rPr>
              <w:t>操作系统的备份数据直接生成为</w:t>
            </w:r>
            <w:r>
              <w:rPr>
                <w:rFonts w:ascii="宋体" w:hAnsi="宋体" w:cs="宋体"/>
                <w:color w:val="auto"/>
                <w:sz w:val="24"/>
                <w:szCs w:val="24"/>
              </w:rPr>
              <w:t>VMWare</w:t>
            </w:r>
            <w:r>
              <w:rPr>
                <w:rFonts w:hint="eastAsia" w:ascii="宋体" w:hAnsi="宋体" w:cs="宋体"/>
                <w:color w:val="auto"/>
                <w:sz w:val="24"/>
                <w:szCs w:val="24"/>
              </w:rPr>
              <w:t>、</w:t>
            </w:r>
            <w:r>
              <w:rPr>
                <w:rFonts w:ascii="宋体" w:hAnsi="宋体" w:cs="宋体"/>
                <w:color w:val="auto"/>
                <w:sz w:val="24"/>
                <w:szCs w:val="24"/>
              </w:rPr>
              <w:t>KVM</w:t>
            </w:r>
            <w:r>
              <w:rPr>
                <w:rFonts w:hint="eastAsia" w:ascii="宋体" w:hAnsi="宋体" w:cs="宋体"/>
                <w:color w:val="auto"/>
                <w:sz w:val="24"/>
                <w:szCs w:val="24"/>
              </w:rPr>
              <w:t>、</w:t>
            </w:r>
            <w:r>
              <w:rPr>
                <w:rFonts w:ascii="宋体" w:hAnsi="宋体" w:cs="宋体"/>
                <w:color w:val="auto"/>
                <w:sz w:val="24"/>
                <w:szCs w:val="24"/>
              </w:rPr>
              <w:t>H3C CAS</w:t>
            </w:r>
            <w:r>
              <w:rPr>
                <w:rFonts w:hint="eastAsia" w:ascii="宋体" w:hAnsi="宋体" w:cs="宋体"/>
                <w:color w:val="auto"/>
                <w:sz w:val="24"/>
                <w:szCs w:val="24"/>
              </w:rPr>
              <w:t>等虚拟平台支持数据，通过挂载方式实现即时恢复；</w:t>
            </w:r>
          </w:p>
          <w:p>
            <w:pPr>
              <w:widowControl/>
              <w:jc w:val="left"/>
              <w:textAlignment w:val="center"/>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、支持虚拟机的备份恢复（不能采用</w:t>
            </w:r>
            <w:r>
              <w:rPr>
                <w:rFonts w:ascii="宋体" w:hAnsi="宋体" w:cs="宋体"/>
                <w:color w:val="auto"/>
                <w:sz w:val="24"/>
                <w:szCs w:val="24"/>
              </w:rPr>
              <w:t xml:space="preserve">guest host </w:t>
            </w:r>
            <w:r>
              <w:rPr>
                <w:rFonts w:hint="eastAsia" w:ascii="宋体" w:hAnsi="宋体" w:cs="宋体"/>
                <w:color w:val="auto"/>
                <w:sz w:val="24"/>
                <w:szCs w:val="24"/>
              </w:rPr>
              <w:t>操作系统备份恢复方式）；</w:t>
            </w:r>
          </w:p>
          <w:p>
            <w:pPr>
              <w:widowControl/>
              <w:jc w:val="left"/>
              <w:textAlignment w:val="center"/>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、支持固定块、变长块的数据重删技术，在创建重删存储空间时，需要提供变长和固定数据的数据块大小选择；</w:t>
            </w:r>
          </w:p>
          <w:p>
            <w:pPr>
              <w:widowControl/>
              <w:jc w:val="left"/>
              <w:textAlignment w:val="center"/>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、支持</w:t>
            </w:r>
            <w:r>
              <w:rPr>
                <w:rFonts w:ascii="宋体" w:hAnsi="宋体" w:cs="宋体"/>
                <w:color w:val="auto"/>
                <w:sz w:val="24"/>
                <w:szCs w:val="24"/>
              </w:rPr>
              <w:t>AES</w:t>
            </w:r>
            <w:r>
              <w:rPr>
                <w:rFonts w:hint="eastAsia" w:ascii="宋体" w:hAnsi="宋体" w:cs="宋体"/>
                <w:color w:val="auto"/>
                <w:sz w:val="24"/>
                <w:szCs w:val="24"/>
              </w:rPr>
              <w:t>、</w:t>
            </w:r>
            <w:r>
              <w:rPr>
                <w:rFonts w:ascii="宋体" w:hAnsi="宋体" w:cs="宋体"/>
                <w:color w:val="auto"/>
                <w:sz w:val="24"/>
                <w:szCs w:val="24"/>
              </w:rPr>
              <w:t>Blowfish</w:t>
            </w:r>
            <w:r>
              <w:rPr>
                <w:rFonts w:hint="eastAsia" w:ascii="宋体" w:hAnsi="宋体" w:cs="宋体"/>
                <w:color w:val="auto"/>
                <w:sz w:val="24"/>
                <w:szCs w:val="24"/>
              </w:rPr>
              <w:t>等加密算法对于</w:t>
            </w:r>
            <w:r>
              <w:rPr>
                <w:rFonts w:ascii="宋体" w:hAnsi="宋体" w:cs="宋体"/>
                <w:color w:val="auto"/>
                <w:sz w:val="24"/>
                <w:szCs w:val="24"/>
              </w:rPr>
              <w:t>AES</w:t>
            </w:r>
            <w:r>
              <w:rPr>
                <w:rFonts w:hint="eastAsia" w:ascii="宋体" w:hAnsi="宋体" w:cs="宋体"/>
                <w:color w:val="auto"/>
                <w:sz w:val="24"/>
                <w:szCs w:val="24"/>
              </w:rPr>
              <w:t>加密需要支持选择不同密钥长度，以便用户根据源端计算资源情况选择合适的数据加密处理；</w:t>
            </w:r>
          </w:p>
          <w:p>
            <w:pPr>
              <w:widowControl/>
              <w:jc w:val="left"/>
              <w:textAlignment w:val="center"/>
              <w:rPr>
                <w:rFonts w:ascii="宋体"/>
                <w:color w:val="auto"/>
                <w:sz w:val="24"/>
                <w:szCs w:val="24"/>
              </w:rPr>
            </w:pPr>
            <w:r>
              <w:rPr>
                <w:rFonts w:ascii="宋体" w:hAnsi="宋体" w:cs="宋体"/>
                <w:color w:val="auto"/>
                <w:sz w:val="24"/>
                <w:szCs w:val="24"/>
              </w:rPr>
              <w:t>17</w:t>
            </w:r>
            <w:r>
              <w:rPr>
                <w:rFonts w:hint="eastAsia" w:ascii="宋体" w:hAnsi="宋体" w:cs="宋体"/>
                <w:color w:val="auto"/>
                <w:sz w:val="24"/>
                <w:szCs w:val="24"/>
              </w:rPr>
              <w:t>、支持二次身份验证功能，系统触发生成六位或以上的字母加数字的随机认证码发送到对应用户账户的邮箱，从对应的邮件中获取随机认证码，正确输入到备份登录系统后进行二次身份验证，防止恶意破解密码；</w:t>
            </w:r>
          </w:p>
          <w:p>
            <w:pPr>
              <w:widowControl/>
              <w:jc w:val="left"/>
              <w:textAlignment w:val="center"/>
              <w:rPr>
                <w:rFonts w:ascii="宋体"/>
                <w:color w:val="auto"/>
                <w:sz w:val="24"/>
                <w:szCs w:val="24"/>
              </w:rPr>
            </w:pPr>
            <w:r>
              <w:rPr>
                <w:rFonts w:ascii="宋体" w:hAnsi="宋体" w:cs="宋体"/>
                <w:color w:val="auto"/>
                <w:sz w:val="24"/>
                <w:szCs w:val="24"/>
              </w:rPr>
              <w:t>18</w:t>
            </w:r>
            <w:r>
              <w:rPr>
                <w:rFonts w:hint="eastAsia" w:ascii="宋体" w:hAnsi="宋体" w:cs="宋体"/>
                <w:color w:val="auto"/>
                <w:sz w:val="24"/>
                <w:szCs w:val="24"/>
              </w:rPr>
              <w:t>、支持智能报表，能够自定义报表自主选择字段来源以及需要显示的字段等，并能够自定义新字段支持筛选，排序等动作；</w:t>
            </w:r>
          </w:p>
          <w:p>
            <w:pPr>
              <w:widowControl/>
              <w:jc w:val="left"/>
              <w:textAlignment w:val="center"/>
              <w:rPr>
                <w:rFonts w:ascii="宋体"/>
                <w:color w:val="auto"/>
                <w:sz w:val="24"/>
                <w:szCs w:val="24"/>
              </w:rPr>
            </w:pPr>
            <w:r>
              <w:rPr>
                <w:rFonts w:hint="eastAsia" w:ascii="宋体" w:hAnsi="宋体" w:cs="宋体"/>
                <w:color w:val="auto"/>
                <w:sz w:val="24"/>
                <w:szCs w:val="24"/>
              </w:rPr>
              <w:t>提供原厂商授权证明材料。</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1</w:t>
            </w:r>
          </w:p>
        </w:tc>
        <w:tc>
          <w:tcPr>
            <w:tcW w:w="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before="50" w:after="50"/>
              <w:jc w:val="left"/>
              <w:rPr>
                <w:rFonts w:ascii="宋体"/>
                <w:color w:val="auto"/>
                <w:sz w:val="24"/>
                <w:szCs w:val="24"/>
              </w:rPr>
            </w:pPr>
            <w:r>
              <w:rPr>
                <w:rFonts w:hint="eastAsia" w:ascii="宋体" w:hAnsi="宋体" w:cs="宋体"/>
                <w:color w:val="auto"/>
                <w:sz w:val="24"/>
                <w:szCs w:val="24"/>
              </w:rPr>
              <w:t>台</w:t>
            </w:r>
          </w:p>
        </w:tc>
      </w:tr>
    </w:tbl>
    <w:p>
      <w:pPr>
        <w:spacing w:before="50" w:after="50" w:line="400" w:lineRule="exact"/>
        <w:rPr>
          <w:rFonts w:ascii="宋体"/>
          <w:color w:val="auto"/>
          <w:sz w:val="24"/>
          <w:szCs w:val="24"/>
        </w:rPr>
      </w:pPr>
    </w:p>
    <w:p>
      <w:pPr>
        <w:keepNext/>
        <w:keepLines/>
        <w:spacing w:before="156" w:after="156" w:line="400" w:lineRule="exact"/>
        <w:outlineLvl w:val="2"/>
        <w:rPr>
          <w:rFonts w:ascii="宋体"/>
          <w:b/>
          <w:bCs/>
          <w:color w:val="auto"/>
          <w:sz w:val="24"/>
          <w:szCs w:val="24"/>
        </w:rPr>
      </w:pPr>
      <w:bookmarkStart w:id="893" w:name="_Toc82882795"/>
      <w:r>
        <w:rPr>
          <w:rFonts w:ascii="宋体" w:hAnsi="宋体" w:cs="宋体"/>
          <w:b/>
          <w:bCs/>
          <w:color w:val="auto"/>
          <w:sz w:val="24"/>
          <w:szCs w:val="24"/>
        </w:rPr>
        <w:t>4.2.6</w:t>
      </w:r>
      <w:r>
        <w:rPr>
          <w:rFonts w:hint="eastAsia" w:ascii="宋体" w:hAnsi="宋体" w:cs="宋体"/>
          <w:b/>
          <w:bCs/>
          <w:color w:val="auto"/>
          <w:sz w:val="24"/>
          <w:szCs w:val="24"/>
        </w:rPr>
        <w:t>、网络安全和等保测评</w:t>
      </w:r>
      <w:bookmarkEnd w:id="893"/>
    </w:p>
    <w:tbl>
      <w:tblPr>
        <w:tblStyle w:val="21"/>
        <w:tblW w:w="10288" w:type="dxa"/>
        <w:tblInd w:w="-716" w:type="dxa"/>
        <w:tblLayout w:type="autofit"/>
        <w:tblCellMar>
          <w:top w:w="0" w:type="dxa"/>
          <w:left w:w="10" w:type="dxa"/>
          <w:bottom w:w="0" w:type="dxa"/>
          <w:right w:w="10" w:type="dxa"/>
        </w:tblCellMar>
      </w:tblPr>
      <w:tblGrid>
        <w:gridCol w:w="665"/>
        <w:gridCol w:w="895"/>
        <w:gridCol w:w="7208"/>
        <w:gridCol w:w="780"/>
        <w:gridCol w:w="740"/>
      </w:tblGrid>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序号</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b/>
                <w:bCs/>
                <w:color w:val="auto"/>
                <w:sz w:val="24"/>
                <w:szCs w:val="24"/>
              </w:rPr>
            </w:pPr>
            <w:r>
              <w:rPr>
                <w:rFonts w:hint="eastAsia" w:ascii="宋体" w:hAnsi="宋体" w:cs="宋体"/>
                <w:b/>
                <w:bCs/>
                <w:color w:val="auto"/>
                <w:sz w:val="24"/>
                <w:szCs w:val="24"/>
              </w:rPr>
              <w:t>设备</w:t>
            </w:r>
            <w:r>
              <w:rPr>
                <w:rFonts w:ascii="宋体" w:hAnsi="宋体" w:cs="宋体"/>
                <w:b/>
                <w:bCs/>
                <w:color w:val="auto"/>
                <w:sz w:val="24"/>
                <w:szCs w:val="24"/>
              </w:rPr>
              <w:t xml:space="preserve">  </w:t>
            </w:r>
          </w:p>
          <w:p>
            <w:pPr>
              <w:jc w:val="center"/>
              <w:rPr>
                <w:rFonts w:ascii="宋体"/>
                <w:color w:val="auto"/>
                <w:sz w:val="24"/>
                <w:szCs w:val="24"/>
              </w:rPr>
            </w:pPr>
            <w:r>
              <w:rPr>
                <w:rFonts w:hint="eastAsia" w:ascii="宋体" w:hAnsi="宋体" w:cs="宋体"/>
                <w:b/>
                <w:bCs/>
                <w:color w:val="auto"/>
                <w:sz w:val="24"/>
                <w:szCs w:val="24"/>
              </w:rPr>
              <w:t>名称</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规格配置要求</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数量</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1</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防火墙</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numPr>
                <w:ilvl w:val="0"/>
                <w:numId w:val="24"/>
              </w:numPr>
              <w:snapToGrid w:val="0"/>
              <w:rPr>
                <w:rFonts w:ascii="宋体"/>
                <w:b/>
                <w:bCs/>
                <w:color w:val="auto"/>
                <w:sz w:val="24"/>
                <w:szCs w:val="24"/>
              </w:rPr>
            </w:pPr>
            <w:r>
              <w:rPr>
                <w:rFonts w:hint="eastAsia" w:ascii="宋体" w:hAnsi="宋体" w:cs="宋体"/>
                <w:b/>
                <w:bCs/>
                <w:color w:val="auto"/>
                <w:sz w:val="24"/>
                <w:szCs w:val="24"/>
              </w:rPr>
              <w:t>配置要求</w:t>
            </w:r>
          </w:p>
          <w:p>
            <w:pPr>
              <w:snapToGrid w:val="0"/>
              <w:rPr>
                <w:rFonts w:ascii="宋体"/>
                <w:color w:val="auto"/>
                <w:kern w:val="0"/>
                <w:sz w:val="24"/>
                <w:szCs w:val="24"/>
              </w:rPr>
            </w:pPr>
            <w:r>
              <w:rPr>
                <w:rFonts w:ascii="宋体" w:hAnsi="宋体" w:cs="宋体"/>
                <w:b/>
                <w:bCs/>
                <w:color w:val="auto"/>
                <w:sz w:val="24"/>
                <w:szCs w:val="24"/>
              </w:rPr>
              <w:t>1.1</w:t>
            </w:r>
            <w:r>
              <w:rPr>
                <w:rFonts w:hint="eastAsia" w:ascii="宋体" w:hAnsi="宋体" w:cs="宋体"/>
                <w:color w:val="auto"/>
                <w:kern w:val="0"/>
                <w:sz w:val="24"/>
                <w:szCs w:val="24"/>
              </w:rPr>
              <w:t>★性能参数：网络层吞吐量≥</w:t>
            </w:r>
            <w:r>
              <w:rPr>
                <w:rFonts w:ascii="宋体" w:hAnsi="宋体" w:cs="宋体"/>
                <w:color w:val="auto"/>
                <w:kern w:val="0"/>
                <w:sz w:val="24"/>
                <w:szCs w:val="24"/>
              </w:rPr>
              <w:t>12G</w:t>
            </w:r>
            <w:r>
              <w:rPr>
                <w:rFonts w:hint="eastAsia" w:ascii="宋体" w:hAnsi="宋体" w:cs="宋体"/>
                <w:color w:val="auto"/>
                <w:kern w:val="0"/>
                <w:sz w:val="24"/>
                <w:szCs w:val="24"/>
              </w:rPr>
              <w:t>；应用层吞吐量≥</w:t>
            </w:r>
            <w:r>
              <w:rPr>
                <w:rFonts w:ascii="宋体" w:hAnsi="宋体" w:cs="宋体"/>
                <w:color w:val="auto"/>
                <w:kern w:val="0"/>
                <w:sz w:val="24"/>
                <w:szCs w:val="24"/>
              </w:rPr>
              <w:t>4.4G</w:t>
            </w:r>
            <w:r>
              <w:rPr>
                <w:rFonts w:hint="eastAsia" w:ascii="宋体" w:hAnsi="宋体" w:cs="宋体"/>
                <w:color w:val="auto"/>
                <w:kern w:val="0"/>
                <w:sz w:val="24"/>
                <w:szCs w:val="24"/>
              </w:rPr>
              <w:t>；防病毒吞吐量≥</w:t>
            </w:r>
            <w:r>
              <w:rPr>
                <w:rFonts w:ascii="宋体" w:hAnsi="宋体" w:cs="宋体"/>
                <w:color w:val="auto"/>
                <w:kern w:val="0"/>
                <w:sz w:val="24"/>
                <w:szCs w:val="24"/>
              </w:rPr>
              <w:t>1G</w:t>
            </w:r>
            <w:r>
              <w:rPr>
                <w:rFonts w:hint="eastAsia" w:ascii="宋体" w:hAnsi="宋体" w:cs="宋体"/>
                <w:color w:val="auto"/>
                <w:kern w:val="0"/>
                <w:sz w:val="24"/>
                <w:szCs w:val="24"/>
              </w:rPr>
              <w:t>；</w:t>
            </w:r>
            <w:r>
              <w:rPr>
                <w:rFonts w:ascii="宋体" w:hAnsi="宋体" w:cs="宋体"/>
                <w:color w:val="auto"/>
                <w:kern w:val="0"/>
                <w:sz w:val="24"/>
                <w:szCs w:val="24"/>
              </w:rPr>
              <w:t>IPS</w:t>
            </w:r>
            <w:r>
              <w:rPr>
                <w:rFonts w:hint="eastAsia" w:ascii="宋体" w:hAnsi="宋体" w:cs="宋体"/>
                <w:color w:val="auto"/>
                <w:kern w:val="0"/>
                <w:sz w:val="24"/>
                <w:szCs w:val="24"/>
              </w:rPr>
              <w:t>吞吐量≥</w:t>
            </w:r>
            <w:r>
              <w:rPr>
                <w:rFonts w:ascii="宋体" w:hAnsi="宋体" w:cs="宋体"/>
                <w:color w:val="auto"/>
                <w:kern w:val="0"/>
                <w:sz w:val="24"/>
                <w:szCs w:val="24"/>
              </w:rPr>
              <w:t>800M</w:t>
            </w:r>
            <w:r>
              <w:rPr>
                <w:rFonts w:hint="eastAsia" w:ascii="宋体" w:hAnsi="宋体" w:cs="宋体"/>
                <w:color w:val="auto"/>
                <w:kern w:val="0"/>
                <w:sz w:val="24"/>
                <w:szCs w:val="24"/>
              </w:rPr>
              <w:t>；全威胁吞吐量≥</w:t>
            </w:r>
            <w:r>
              <w:rPr>
                <w:rFonts w:ascii="宋体" w:hAnsi="宋体" w:cs="宋体"/>
                <w:color w:val="auto"/>
                <w:kern w:val="0"/>
                <w:sz w:val="24"/>
                <w:szCs w:val="24"/>
              </w:rPr>
              <w:t>650M</w:t>
            </w:r>
            <w:r>
              <w:rPr>
                <w:rFonts w:hint="eastAsia" w:ascii="宋体" w:hAnsi="宋体" w:cs="宋体"/>
                <w:color w:val="auto"/>
                <w:kern w:val="0"/>
                <w:sz w:val="24"/>
                <w:szCs w:val="24"/>
              </w:rPr>
              <w:t>；并发连接数≥</w:t>
            </w:r>
            <w:r>
              <w:rPr>
                <w:rFonts w:ascii="宋体" w:hAnsi="宋体" w:cs="宋体"/>
                <w:color w:val="auto"/>
                <w:kern w:val="0"/>
                <w:sz w:val="24"/>
                <w:szCs w:val="24"/>
              </w:rPr>
              <w:t>200</w:t>
            </w:r>
            <w:r>
              <w:rPr>
                <w:rFonts w:hint="eastAsia" w:ascii="宋体" w:hAnsi="宋体" w:cs="宋体"/>
                <w:color w:val="auto"/>
                <w:kern w:val="0"/>
                <w:sz w:val="24"/>
                <w:szCs w:val="24"/>
              </w:rPr>
              <w:t>万；</w:t>
            </w:r>
            <w:r>
              <w:rPr>
                <w:rFonts w:ascii="宋体" w:hAnsi="宋体" w:cs="宋体"/>
                <w:color w:val="auto"/>
                <w:kern w:val="0"/>
                <w:sz w:val="24"/>
                <w:szCs w:val="24"/>
              </w:rPr>
              <w:t>HTTP</w:t>
            </w:r>
            <w:r>
              <w:rPr>
                <w:rFonts w:hint="eastAsia" w:ascii="宋体" w:hAnsi="宋体" w:cs="宋体"/>
                <w:color w:val="auto"/>
                <w:kern w:val="0"/>
                <w:sz w:val="24"/>
                <w:szCs w:val="24"/>
              </w:rPr>
              <w:t>新建连接数≥</w:t>
            </w:r>
            <w:r>
              <w:rPr>
                <w:rFonts w:ascii="宋体" w:hAnsi="宋体" w:cs="宋体"/>
                <w:color w:val="auto"/>
                <w:kern w:val="0"/>
                <w:sz w:val="24"/>
                <w:szCs w:val="24"/>
              </w:rPr>
              <w:t>8</w:t>
            </w:r>
            <w:r>
              <w:rPr>
                <w:rFonts w:hint="eastAsia" w:ascii="宋体" w:hAnsi="宋体" w:cs="宋体"/>
                <w:color w:val="auto"/>
                <w:kern w:val="0"/>
                <w:sz w:val="24"/>
                <w:szCs w:val="24"/>
              </w:rPr>
              <w:t>万；</w:t>
            </w:r>
            <w:r>
              <w:rPr>
                <w:rFonts w:ascii="宋体" w:hAnsi="宋体" w:cs="宋体"/>
                <w:color w:val="auto"/>
                <w:kern w:val="0"/>
                <w:sz w:val="24"/>
                <w:szCs w:val="24"/>
              </w:rPr>
              <w:t>IPSec</w:t>
            </w:r>
            <w:r>
              <w:rPr>
                <w:rFonts w:hint="eastAsia" w:ascii="宋体" w:hAnsi="宋体" w:cs="宋体"/>
                <w:color w:val="auto"/>
                <w:kern w:val="0"/>
                <w:sz w:val="24"/>
                <w:szCs w:val="24"/>
              </w:rPr>
              <w:t>最大隧道数≥</w:t>
            </w:r>
            <w:r>
              <w:rPr>
                <w:rFonts w:ascii="宋体" w:hAnsi="宋体" w:cs="宋体"/>
                <w:color w:val="auto"/>
                <w:kern w:val="0"/>
                <w:sz w:val="24"/>
                <w:szCs w:val="24"/>
              </w:rPr>
              <w:t>1000</w:t>
            </w:r>
            <w:r>
              <w:rPr>
                <w:rFonts w:hint="eastAsia" w:ascii="宋体" w:hAnsi="宋体" w:cs="宋体"/>
                <w:color w:val="auto"/>
                <w:kern w:val="0"/>
                <w:sz w:val="24"/>
                <w:szCs w:val="24"/>
              </w:rPr>
              <w:t>；</w:t>
            </w:r>
            <w:r>
              <w:rPr>
                <w:rFonts w:ascii="宋体" w:hAnsi="宋体" w:cs="宋体"/>
                <w:color w:val="auto"/>
                <w:kern w:val="0"/>
                <w:sz w:val="24"/>
                <w:szCs w:val="24"/>
              </w:rPr>
              <w:t>IPSec VPN</w:t>
            </w:r>
            <w:r>
              <w:rPr>
                <w:rFonts w:hint="eastAsia" w:ascii="宋体" w:hAnsi="宋体" w:cs="宋体"/>
                <w:color w:val="auto"/>
                <w:kern w:val="0"/>
                <w:sz w:val="24"/>
                <w:szCs w:val="24"/>
              </w:rPr>
              <w:t>吞吐量≥</w:t>
            </w:r>
            <w:r>
              <w:rPr>
                <w:rFonts w:ascii="宋体" w:hAnsi="宋体" w:cs="宋体"/>
                <w:color w:val="auto"/>
                <w:kern w:val="0"/>
                <w:sz w:val="24"/>
                <w:szCs w:val="24"/>
              </w:rPr>
              <w:t>250M</w:t>
            </w:r>
            <w:r>
              <w:rPr>
                <w:rFonts w:hint="eastAsia" w:ascii="宋体" w:hAnsi="宋体" w:cs="宋体"/>
                <w:color w:val="auto"/>
                <w:kern w:val="0"/>
                <w:sz w:val="24"/>
                <w:szCs w:val="24"/>
              </w:rPr>
              <w:t>。</w:t>
            </w:r>
          </w:p>
          <w:p>
            <w:pPr>
              <w:widowControl/>
              <w:jc w:val="left"/>
              <w:textAlignment w:val="center"/>
              <w:rPr>
                <w:rFonts w:ascii="宋体"/>
                <w:b/>
                <w:bCs/>
                <w:color w:val="auto"/>
                <w:sz w:val="24"/>
                <w:szCs w:val="24"/>
              </w:rPr>
            </w:pPr>
            <w:r>
              <w:rPr>
                <w:rFonts w:ascii="宋体" w:hAnsi="宋体" w:cs="宋体"/>
                <w:b/>
                <w:bCs/>
                <w:color w:val="auto"/>
                <w:sz w:val="24"/>
                <w:szCs w:val="24"/>
              </w:rPr>
              <w:t>1.2</w:t>
            </w:r>
            <w:r>
              <w:rPr>
                <w:rFonts w:hint="eastAsia" w:ascii="宋体" w:hAnsi="宋体" w:cs="宋体"/>
                <w:color w:val="auto"/>
                <w:kern w:val="0"/>
                <w:sz w:val="24"/>
                <w:szCs w:val="24"/>
              </w:rPr>
              <w:t>硬件参数：规格：</w:t>
            </w:r>
            <w:r>
              <w:rPr>
                <w:rFonts w:ascii="宋体" w:hAnsi="宋体" w:cs="宋体"/>
                <w:color w:val="auto"/>
                <w:kern w:val="0"/>
                <w:sz w:val="24"/>
                <w:szCs w:val="24"/>
              </w:rPr>
              <w:t>1U</w:t>
            </w:r>
            <w:r>
              <w:rPr>
                <w:rFonts w:hint="eastAsia" w:ascii="宋体" w:hAnsi="宋体" w:cs="宋体"/>
                <w:color w:val="auto"/>
                <w:kern w:val="0"/>
                <w:sz w:val="24"/>
                <w:szCs w:val="24"/>
              </w:rPr>
              <w:t>；内存大小≥</w:t>
            </w:r>
            <w:r>
              <w:rPr>
                <w:rFonts w:ascii="宋体" w:hAnsi="宋体" w:cs="宋体"/>
                <w:color w:val="auto"/>
                <w:kern w:val="0"/>
                <w:sz w:val="24"/>
                <w:szCs w:val="24"/>
              </w:rPr>
              <w:t>8G</w:t>
            </w:r>
            <w:r>
              <w:rPr>
                <w:rFonts w:hint="eastAsia" w:ascii="宋体" w:hAnsi="宋体" w:cs="宋体"/>
                <w:color w:val="auto"/>
                <w:kern w:val="0"/>
                <w:sz w:val="24"/>
                <w:szCs w:val="24"/>
              </w:rPr>
              <w:t>；硬盘容量≥</w:t>
            </w:r>
            <w:r>
              <w:rPr>
                <w:rFonts w:ascii="宋体" w:hAnsi="宋体" w:cs="宋体"/>
                <w:color w:val="auto"/>
                <w:kern w:val="0"/>
                <w:sz w:val="24"/>
                <w:szCs w:val="24"/>
              </w:rPr>
              <w:t>64G minisata SSD</w:t>
            </w:r>
            <w:r>
              <w:rPr>
                <w:rFonts w:hint="eastAsia" w:ascii="宋体" w:hAnsi="宋体" w:cs="宋体"/>
                <w:color w:val="auto"/>
                <w:kern w:val="0"/>
                <w:sz w:val="24"/>
                <w:szCs w:val="24"/>
              </w:rPr>
              <w:t>；电源：单电源；接口≥</w:t>
            </w:r>
            <w:r>
              <w:rPr>
                <w:rFonts w:ascii="宋体" w:hAnsi="宋体" w:cs="宋体"/>
                <w:color w:val="auto"/>
                <w:kern w:val="0"/>
                <w:sz w:val="24"/>
                <w:szCs w:val="24"/>
              </w:rPr>
              <w:t>6</w:t>
            </w:r>
            <w:r>
              <w:rPr>
                <w:rFonts w:hint="eastAsia" w:ascii="宋体" w:hAnsi="宋体" w:cs="宋体"/>
                <w:color w:val="auto"/>
                <w:kern w:val="0"/>
                <w:sz w:val="24"/>
                <w:szCs w:val="24"/>
              </w:rPr>
              <w:t>千兆电口</w:t>
            </w:r>
            <w:r>
              <w:rPr>
                <w:rFonts w:ascii="宋体" w:hAnsi="宋体" w:cs="宋体"/>
                <w:color w:val="auto"/>
                <w:kern w:val="0"/>
                <w:sz w:val="24"/>
                <w:szCs w:val="24"/>
              </w:rPr>
              <w:t>+2</w:t>
            </w:r>
            <w:r>
              <w:rPr>
                <w:rFonts w:hint="eastAsia" w:ascii="宋体" w:hAnsi="宋体" w:cs="宋体"/>
                <w:color w:val="auto"/>
                <w:kern w:val="0"/>
                <w:sz w:val="24"/>
                <w:szCs w:val="24"/>
              </w:rPr>
              <w:t>千兆光口</w:t>
            </w:r>
            <w:r>
              <w:rPr>
                <w:rFonts w:ascii="宋体" w:hAnsi="宋体" w:cs="宋体"/>
                <w:color w:val="auto"/>
                <w:kern w:val="0"/>
                <w:sz w:val="24"/>
                <w:szCs w:val="24"/>
              </w:rPr>
              <w:t>SFP</w:t>
            </w:r>
            <w:r>
              <w:rPr>
                <w:rFonts w:hint="eastAsia" w:ascii="宋体" w:hAnsi="宋体" w:cs="宋体"/>
                <w:color w:val="auto"/>
                <w:kern w:val="0"/>
                <w:sz w:val="24"/>
                <w:szCs w:val="24"/>
              </w:rPr>
              <w:t>。</w:t>
            </w:r>
          </w:p>
          <w:p>
            <w:pPr>
              <w:snapToGrid w:val="0"/>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、网络特性</w:t>
            </w:r>
          </w:p>
          <w:p>
            <w:pPr>
              <w:snapToGrid w:val="0"/>
              <w:rPr>
                <w:rFonts w:ascii="宋体"/>
                <w:color w:val="auto"/>
                <w:sz w:val="24"/>
                <w:szCs w:val="24"/>
              </w:rPr>
            </w:pPr>
            <w:r>
              <w:rPr>
                <w:rFonts w:ascii="宋体" w:hAnsi="宋体" w:cs="宋体"/>
                <w:b/>
                <w:bCs/>
                <w:color w:val="auto"/>
                <w:sz w:val="24"/>
                <w:szCs w:val="24"/>
              </w:rPr>
              <w:t>2.1</w:t>
            </w:r>
            <w:r>
              <w:rPr>
                <w:rFonts w:hint="eastAsia" w:ascii="宋体" w:hAnsi="宋体" w:cs="宋体"/>
                <w:color w:val="auto"/>
                <w:sz w:val="24"/>
                <w:szCs w:val="24"/>
              </w:rPr>
              <w:t>支持路由、透明、虚拟网线、旁路镜像、混合等多种部署方式，适应复杂使用环境的接入要求。</w:t>
            </w:r>
          </w:p>
          <w:p>
            <w:pPr>
              <w:snapToGrid w:val="0"/>
              <w:rPr>
                <w:rFonts w:ascii="宋体"/>
                <w:color w:val="auto"/>
                <w:sz w:val="24"/>
                <w:szCs w:val="24"/>
              </w:rPr>
            </w:pPr>
            <w:r>
              <w:rPr>
                <w:rFonts w:ascii="宋体" w:hAnsi="宋体" w:cs="宋体"/>
                <w:b/>
                <w:bCs/>
                <w:color w:val="auto"/>
                <w:sz w:val="24"/>
                <w:szCs w:val="24"/>
              </w:rPr>
              <w:t>2.2</w:t>
            </w:r>
            <w:r>
              <w:rPr>
                <w:rFonts w:hint="eastAsia" w:ascii="宋体" w:hAnsi="宋体" w:cs="宋体"/>
                <w:color w:val="auto"/>
                <w:sz w:val="24"/>
                <w:szCs w:val="24"/>
              </w:rPr>
              <w:t>支持</w:t>
            </w:r>
            <w:r>
              <w:rPr>
                <w:rFonts w:ascii="宋体" w:hAnsi="宋体" w:cs="宋体"/>
                <w:color w:val="auto"/>
                <w:sz w:val="24"/>
                <w:szCs w:val="24"/>
              </w:rPr>
              <w:t>IPsec VPN</w:t>
            </w:r>
            <w:r>
              <w:rPr>
                <w:rFonts w:hint="eastAsia" w:ascii="宋体" w:hAnsi="宋体" w:cs="宋体"/>
                <w:color w:val="auto"/>
                <w:sz w:val="24"/>
                <w:szCs w:val="24"/>
              </w:rPr>
              <w:t>、</w:t>
            </w:r>
            <w:r>
              <w:rPr>
                <w:rFonts w:ascii="宋体" w:hAnsi="宋体" w:cs="宋体"/>
                <w:color w:val="auto"/>
                <w:sz w:val="24"/>
                <w:szCs w:val="24"/>
              </w:rPr>
              <w:t>SSL VPN</w:t>
            </w:r>
            <w:r>
              <w:rPr>
                <w:rFonts w:hint="eastAsia" w:ascii="宋体" w:hAnsi="宋体" w:cs="宋体"/>
                <w:color w:val="auto"/>
                <w:sz w:val="24"/>
                <w:szCs w:val="24"/>
              </w:rPr>
              <w:t>和</w:t>
            </w:r>
            <w:r>
              <w:rPr>
                <w:rFonts w:ascii="宋体" w:hAnsi="宋体" w:cs="宋体"/>
                <w:color w:val="auto"/>
                <w:sz w:val="24"/>
                <w:szCs w:val="24"/>
              </w:rPr>
              <w:t>GRE VPN</w:t>
            </w:r>
            <w:r>
              <w:rPr>
                <w:rFonts w:hint="eastAsia" w:ascii="宋体" w:hAnsi="宋体" w:cs="宋体"/>
                <w:color w:val="auto"/>
                <w:sz w:val="24"/>
                <w:szCs w:val="24"/>
              </w:rPr>
              <w:t>。</w:t>
            </w:r>
            <w:r>
              <w:rPr>
                <w:rFonts w:ascii="宋体" w:hAnsi="宋体" w:cs="宋体"/>
                <w:color w:val="auto"/>
                <w:sz w:val="24"/>
                <w:szCs w:val="24"/>
              </w:rPr>
              <w:t>IPSec VPN</w:t>
            </w:r>
            <w:r>
              <w:rPr>
                <w:rFonts w:hint="eastAsia" w:ascii="宋体" w:hAnsi="宋体" w:cs="宋体"/>
                <w:color w:val="auto"/>
                <w:sz w:val="24"/>
                <w:szCs w:val="24"/>
              </w:rPr>
              <w:t>支持智能选路功能，保障业务的高可靠性。（需提供产品功能截图证明）。</w:t>
            </w:r>
          </w:p>
          <w:p>
            <w:pPr>
              <w:snapToGrid w:val="0"/>
              <w:rPr>
                <w:rFonts w:ascii="宋体"/>
                <w:color w:val="auto"/>
                <w:sz w:val="24"/>
                <w:szCs w:val="24"/>
              </w:rPr>
            </w:pPr>
            <w:r>
              <w:rPr>
                <w:rFonts w:ascii="宋体" w:hAnsi="宋体" w:cs="宋体"/>
                <w:b/>
                <w:bCs/>
                <w:color w:val="auto"/>
                <w:sz w:val="24"/>
                <w:szCs w:val="24"/>
              </w:rPr>
              <w:t>2.3</w:t>
            </w:r>
            <w:r>
              <w:rPr>
                <w:rFonts w:hint="eastAsia" w:ascii="宋体" w:hAnsi="宋体" w:cs="宋体"/>
                <w:color w:val="auto"/>
                <w:sz w:val="24"/>
                <w:szCs w:val="24"/>
              </w:rPr>
              <w:t>支持</w:t>
            </w:r>
            <w:r>
              <w:rPr>
                <w:rFonts w:ascii="宋体" w:hAnsi="宋体" w:cs="宋体"/>
                <w:color w:val="auto"/>
                <w:sz w:val="24"/>
                <w:szCs w:val="24"/>
              </w:rPr>
              <w:t>IPv6</w:t>
            </w:r>
            <w:r>
              <w:rPr>
                <w:rFonts w:hint="eastAsia" w:ascii="宋体" w:hAnsi="宋体" w:cs="宋体"/>
                <w:color w:val="auto"/>
                <w:sz w:val="24"/>
                <w:szCs w:val="24"/>
              </w:rPr>
              <w:t>环境的应用控制策略设置，能针对</w:t>
            </w:r>
            <w:r>
              <w:rPr>
                <w:rFonts w:ascii="宋体" w:hAnsi="宋体" w:cs="宋体"/>
                <w:color w:val="auto"/>
                <w:sz w:val="24"/>
                <w:szCs w:val="24"/>
              </w:rPr>
              <w:t>IPv6</w:t>
            </w:r>
            <w:r>
              <w:rPr>
                <w:rFonts w:hint="eastAsia" w:ascii="宋体" w:hAnsi="宋体" w:cs="宋体"/>
                <w:color w:val="auto"/>
                <w:sz w:val="24"/>
                <w:szCs w:val="24"/>
              </w:rPr>
              <w:t>的</w:t>
            </w:r>
            <w:r>
              <w:rPr>
                <w:rFonts w:ascii="宋体" w:hAnsi="宋体" w:cs="宋体"/>
                <w:color w:val="auto"/>
                <w:sz w:val="24"/>
                <w:szCs w:val="24"/>
              </w:rPr>
              <w:t>IP</w:t>
            </w:r>
            <w:r>
              <w:rPr>
                <w:rFonts w:hint="eastAsia" w:ascii="宋体" w:hAnsi="宋体" w:cs="宋体"/>
                <w:color w:val="auto"/>
                <w:sz w:val="24"/>
                <w:szCs w:val="24"/>
              </w:rPr>
              <w:t>地址、服务端口、区域、服务</w:t>
            </w:r>
            <w:r>
              <w:rPr>
                <w:rFonts w:ascii="宋体" w:hAnsi="宋体" w:cs="宋体"/>
                <w:color w:val="auto"/>
                <w:sz w:val="24"/>
                <w:szCs w:val="24"/>
              </w:rPr>
              <w:t>/</w:t>
            </w:r>
            <w:r>
              <w:rPr>
                <w:rFonts w:hint="eastAsia" w:ascii="宋体" w:hAnsi="宋体" w:cs="宋体"/>
                <w:color w:val="auto"/>
                <w:sz w:val="24"/>
                <w:szCs w:val="24"/>
              </w:rPr>
              <w:t>应用、时间等条件进行应用访问规则的设置。</w:t>
            </w:r>
          </w:p>
          <w:p>
            <w:pPr>
              <w:snapToGrid w:val="0"/>
              <w:rPr>
                <w:rFonts w:ascii="宋体"/>
                <w:color w:val="auto"/>
                <w:sz w:val="24"/>
                <w:szCs w:val="24"/>
              </w:rPr>
            </w:pPr>
            <w:r>
              <w:rPr>
                <w:rFonts w:ascii="宋体" w:hAnsi="宋体" w:cs="宋体"/>
                <w:b/>
                <w:bCs/>
                <w:color w:val="auto"/>
                <w:sz w:val="24"/>
                <w:szCs w:val="24"/>
              </w:rPr>
              <w:t>2.4</w:t>
            </w:r>
            <w:r>
              <w:rPr>
                <w:rFonts w:hint="eastAsia" w:ascii="宋体" w:hAnsi="宋体" w:cs="宋体"/>
                <w:color w:val="auto"/>
                <w:sz w:val="24"/>
                <w:szCs w:val="24"/>
              </w:rPr>
              <w:t>支持基于</w:t>
            </w:r>
            <w:r>
              <w:rPr>
                <w:rFonts w:ascii="宋体" w:hAnsi="宋体" w:cs="宋体"/>
                <w:color w:val="auto"/>
                <w:sz w:val="24"/>
                <w:szCs w:val="24"/>
              </w:rPr>
              <w:t>IP</w:t>
            </w:r>
            <w:r>
              <w:rPr>
                <w:rFonts w:hint="eastAsia" w:ascii="宋体" w:hAnsi="宋体" w:cs="宋体"/>
                <w:color w:val="auto"/>
                <w:sz w:val="24"/>
                <w:szCs w:val="24"/>
              </w:rPr>
              <w:t>地址、端口、地域、协议、应用等维度配置策略路由策略，支持多种负载均衡算法，包括加权、带宽比例、轮询、线路排序等。。</w:t>
            </w:r>
          </w:p>
          <w:p>
            <w:pPr>
              <w:snapToGrid w:val="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、基础功能</w:t>
            </w:r>
          </w:p>
          <w:p>
            <w:pPr>
              <w:snapToGrid w:val="0"/>
              <w:rPr>
                <w:rFonts w:ascii="宋体"/>
                <w:color w:val="auto"/>
                <w:sz w:val="24"/>
                <w:szCs w:val="24"/>
              </w:rPr>
            </w:pPr>
            <w:r>
              <w:rPr>
                <w:rFonts w:ascii="宋体" w:hAnsi="宋体" w:cs="宋体"/>
                <w:b/>
                <w:bCs/>
                <w:color w:val="auto"/>
                <w:sz w:val="24"/>
                <w:szCs w:val="24"/>
              </w:rPr>
              <w:t>3.1</w:t>
            </w:r>
            <w:r>
              <w:rPr>
                <w:rFonts w:hint="eastAsia" w:ascii="宋体" w:hAnsi="宋体" w:cs="宋体"/>
                <w:color w:val="auto"/>
                <w:sz w:val="24"/>
                <w:szCs w:val="24"/>
              </w:rPr>
              <w:t>支持连接会话展示，可针对具体的</w:t>
            </w:r>
            <w:r>
              <w:rPr>
                <w:rFonts w:ascii="宋体" w:hAnsi="宋体" w:cs="宋体"/>
                <w:color w:val="auto"/>
                <w:sz w:val="24"/>
                <w:szCs w:val="24"/>
              </w:rPr>
              <w:t>IP</w:t>
            </w:r>
            <w:r>
              <w:rPr>
                <w:rFonts w:hint="eastAsia" w:ascii="宋体" w:hAnsi="宋体" w:cs="宋体"/>
                <w:color w:val="auto"/>
                <w:sz w:val="24"/>
                <w:szCs w:val="24"/>
              </w:rPr>
              <w:t>地址进行会话详情查询，支持封锁异常会话信息，并支持设置监听具体</w:t>
            </w:r>
            <w:r>
              <w:rPr>
                <w:rFonts w:ascii="宋体" w:hAnsi="宋体" w:cs="宋体"/>
                <w:color w:val="auto"/>
                <w:sz w:val="24"/>
                <w:szCs w:val="24"/>
              </w:rPr>
              <w:t>IP</w:t>
            </w:r>
            <w:r>
              <w:rPr>
                <w:rFonts w:hint="eastAsia" w:ascii="宋体" w:hAnsi="宋体" w:cs="宋体"/>
                <w:color w:val="auto"/>
                <w:sz w:val="24"/>
                <w:szCs w:val="24"/>
              </w:rPr>
              <w:t>的会话记录。</w:t>
            </w:r>
          </w:p>
          <w:p>
            <w:pPr>
              <w:snapToGrid w:val="0"/>
              <w:rPr>
                <w:rFonts w:ascii="宋体"/>
                <w:color w:val="auto"/>
                <w:sz w:val="24"/>
                <w:szCs w:val="24"/>
              </w:rPr>
            </w:pPr>
            <w:r>
              <w:rPr>
                <w:rFonts w:ascii="宋体" w:hAnsi="宋体" w:cs="宋体"/>
                <w:b/>
                <w:bCs/>
                <w:color w:val="auto"/>
                <w:sz w:val="24"/>
                <w:szCs w:val="24"/>
              </w:rPr>
              <w:t>3.2</w:t>
            </w:r>
            <w:r>
              <w:rPr>
                <w:rFonts w:hint="eastAsia" w:ascii="宋体" w:hAnsi="宋体" w:cs="宋体"/>
                <w:color w:val="auto"/>
                <w:sz w:val="24"/>
                <w:szCs w:val="24"/>
              </w:rPr>
              <w:t>访问控制规则支持基于源／目的</w:t>
            </w:r>
            <w:r>
              <w:rPr>
                <w:rFonts w:ascii="宋体" w:hAnsi="宋体" w:cs="宋体"/>
                <w:color w:val="auto"/>
                <w:sz w:val="24"/>
                <w:szCs w:val="24"/>
              </w:rPr>
              <w:t>IP</w:t>
            </w:r>
            <w:r>
              <w:rPr>
                <w:rFonts w:hint="eastAsia" w:ascii="宋体" w:hAnsi="宋体" w:cs="宋体"/>
                <w:color w:val="auto"/>
                <w:sz w:val="24"/>
                <w:szCs w:val="24"/>
              </w:rPr>
              <w:t>，源端口，源／目的区域，用户（组），应用</w:t>
            </w:r>
            <w:r>
              <w:rPr>
                <w:rFonts w:ascii="宋体" w:hAnsi="宋体" w:cs="宋体"/>
                <w:color w:val="auto"/>
                <w:sz w:val="24"/>
                <w:szCs w:val="24"/>
              </w:rPr>
              <w:t>/</w:t>
            </w:r>
            <w:r>
              <w:rPr>
                <w:rFonts w:hint="eastAsia" w:ascii="宋体" w:hAnsi="宋体" w:cs="宋体"/>
                <w:color w:val="auto"/>
                <w:sz w:val="24"/>
                <w:szCs w:val="24"/>
              </w:rPr>
              <w:t>服务类型，时间组的细化控制方式，支持长连接功能并可以配置连接时长。</w:t>
            </w:r>
          </w:p>
          <w:p>
            <w:pPr>
              <w:snapToGrid w:val="0"/>
              <w:rPr>
                <w:rFonts w:ascii="宋体"/>
                <w:color w:val="auto"/>
                <w:sz w:val="24"/>
                <w:szCs w:val="24"/>
              </w:rPr>
            </w:pPr>
            <w:r>
              <w:rPr>
                <w:rFonts w:ascii="宋体" w:hAnsi="宋体" w:cs="宋体"/>
                <w:b/>
                <w:bCs/>
                <w:color w:val="auto"/>
                <w:sz w:val="24"/>
                <w:szCs w:val="24"/>
              </w:rPr>
              <w:t>3.3</w:t>
            </w:r>
            <w:r>
              <w:rPr>
                <w:rFonts w:hint="eastAsia" w:ascii="宋体" w:hAnsi="宋体" w:cs="宋体"/>
                <w:color w:val="auto"/>
                <w:sz w:val="24"/>
                <w:szCs w:val="24"/>
              </w:rPr>
              <w:t>访问控制规则支持模拟策略匹配，输入源目的</w:t>
            </w:r>
            <w:r>
              <w:rPr>
                <w:rFonts w:ascii="宋体" w:hAnsi="宋体" w:cs="宋体"/>
                <w:color w:val="auto"/>
                <w:sz w:val="24"/>
                <w:szCs w:val="24"/>
              </w:rPr>
              <w:t>IP</w:t>
            </w:r>
            <w:r>
              <w:rPr>
                <w:rFonts w:hint="eastAsia" w:ascii="宋体" w:hAnsi="宋体" w:cs="宋体"/>
                <w:color w:val="auto"/>
                <w:sz w:val="24"/>
                <w:szCs w:val="24"/>
              </w:rPr>
              <w:t>、端口、协议五元组信息，模拟策略匹配方式，给出最可能的匹配结果，方便排查故障，或环境部署前的调试。</w:t>
            </w:r>
            <w:r>
              <w:rPr>
                <w:rFonts w:ascii="宋体" w:hAnsi="宋体" w:cs="宋体"/>
                <w:color w:val="auto"/>
                <w:sz w:val="24"/>
                <w:szCs w:val="24"/>
              </w:rPr>
              <w:t xml:space="preserve"> </w:t>
            </w:r>
          </w:p>
          <w:p>
            <w:pPr>
              <w:snapToGrid w:val="0"/>
              <w:rPr>
                <w:rFonts w:ascii="宋体"/>
                <w:color w:val="auto"/>
                <w:sz w:val="24"/>
                <w:szCs w:val="24"/>
              </w:rPr>
            </w:pPr>
            <w:r>
              <w:rPr>
                <w:rFonts w:ascii="宋体" w:hAnsi="宋体" w:cs="宋体"/>
                <w:b/>
                <w:bCs/>
                <w:color w:val="auto"/>
                <w:sz w:val="24"/>
                <w:szCs w:val="24"/>
              </w:rPr>
              <w:t>3.4</w:t>
            </w:r>
            <w:r>
              <w:rPr>
                <w:rFonts w:hint="eastAsia" w:ascii="宋体" w:hAnsi="宋体" w:cs="宋体"/>
                <w:color w:val="auto"/>
                <w:sz w:val="24"/>
                <w:szCs w:val="24"/>
              </w:rPr>
              <w:t>支持一键分析当前访问控制策略异常问题（至少具备策略风险访问、冗余、冲突、重合、端口放通过大等），并针对异常问题划分不同等级，提供问题描述、危害、以及解决方案和关系图例说明。</w:t>
            </w:r>
          </w:p>
          <w:p>
            <w:pPr>
              <w:snapToGrid w:val="0"/>
              <w:rPr>
                <w:rFonts w:ascii="宋体"/>
                <w:color w:val="auto"/>
                <w:sz w:val="24"/>
                <w:szCs w:val="24"/>
              </w:rPr>
            </w:pPr>
            <w:r>
              <w:rPr>
                <w:rFonts w:ascii="宋体" w:hAnsi="宋体" w:cs="宋体"/>
                <w:b/>
                <w:bCs/>
                <w:color w:val="auto"/>
                <w:sz w:val="24"/>
                <w:szCs w:val="24"/>
              </w:rPr>
              <w:t>3.5</w:t>
            </w:r>
            <w:r>
              <w:rPr>
                <w:rFonts w:hint="eastAsia" w:ascii="宋体" w:hAnsi="宋体" w:cs="宋体"/>
                <w:color w:val="auto"/>
                <w:sz w:val="24"/>
                <w:szCs w:val="24"/>
              </w:rPr>
              <w:t>支持根据国家</w:t>
            </w:r>
            <w:r>
              <w:rPr>
                <w:rFonts w:ascii="宋体" w:hAnsi="宋体" w:cs="宋体"/>
                <w:color w:val="auto"/>
                <w:sz w:val="24"/>
                <w:szCs w:val="24"/>
              </w:rPr>
              <w:t>/</w:t>
            </w:r>
            <w:r>
              <w:rPr>
                <w:rFonts w:hint="eastAsia" w:ascii="宋体" w:hAnsi="宋体" w:cs="宋体"/>
                <w:color w:val="auto"/>
                <w:sz w:val="24"/>
                <w:szCs w:val="24"/>
              </w:rPr>
              <w:t>地区来进行地域访问控制。</w:t>
            </w:r>
          </w:p>
          <w:p>
            <w:pPr>
              <w:snapToGrid w:val="0"/>
              <w:rPr>
                <w:rFonts w:ascii="宋体"/>
                <w:color w:val="auto"/>
                <w:sz w:val="24"/>
                <w:szCs w:val="24"/>
              </w:rPr>
            </w:pPr>
            <w:r>
              <w:rPr>
                <w:rFonts w:ascii="宋体" w:hAnsi="宋体" w:cs="宋体"/>
                <w:b/>
                <w:bCs/>
                <w:color w:val="auto"/>
                <w:sz w:val="24"/>
                <w:szCs w:val="24"/>
              </w:rPr>
              <w:t>3.6</w:t>
            </w:r>
            <w:r>
              <w:rPr>
                <w:rFonts w:hint="eastAsia" w:ascii="宋体" w:hAnsi="宋体" w:cs="宋体"/>
                <w:color w:val="auto"/>
                <w:sz w:val="24"/>
                <w:szCs w:val="24"/>
              </w:rPr>
              <w:t>支持基于应用类型，网站类型，文件类型进行流量控制，支持基于</w:t>
            </w:r>
            <w:r>
              <w:rPr>
                <w:rFonts w:ascii="宋体" w:hAnsi="宋体" w:cs="宋体"/>
                <w:color w:val="auto"/>
                <w:sz w:val="24"/>
                <w:szCs w:val="24"/>
              </w:rPr>
              <w:t>IP</w:t>
            </w:r>
            <w:r>
              <w:rPr>
                <w:rFonts w:hint="eastAsia" w:ascii="宋体" w:hAnsi="宋体" w:cs="宋体"/>
                <w:color w:val="auto"/>
                <w:sz w:val="24"/>
                <w:szCs w:val="24"/>
              </w:rPr>
              <w:t>段、时间、国家</w:t>
            </w:r>
            <w:r>
              <w:rPr>
                <w:rFonts w:ascii="宋体" w:hAnsi="宋体" w:cs="宋体"/>
                <w:color w:val="auto"/>
                <w:sz w:val="24"/>
                <w:szCs w:val="24"/>
              </w:rPr>
              <w:t>/</w:t>
            </w:r>
            <w:r>
              <w:rPr>
                <w:rFonts w:hint="eastAsia" w:ascii="宋体" w:hAnsi="宋体" w:cs="宋体"/>
                <w:color w:val="auto"/>
                <w:sz w:val="24"/>
                <w:szCs w:val="24"/>
              </w:rPr>
              <w:t>地区、认证用户、子接口和</w:t>
            </w:r>
            <w:r>
              <w:rPr>
                <w:rFonts w:ascii="宋体" w:hAnsi="宋体" w:cs="宋体"/>
                <w:color w:val="auto"/>
                <w:sz w:val="24"/>
                <w:szCs w:val="24"/>
              </w:rPr>
              <w:t>VLAN</w:t>
            </w:r>
            <w:r>
              <w:rPr>
                <w:rFonts w:hint="eastAsia" w:ascii="宋体" w:hAnsi="宋体" w:cs="宋体"/>
                <w:color w:val="auto"/>
                <w:sz w:val="24"/>
                <w:szCs w:val="24"/>
              </w:rPr>
              <w:t>进行流量控制。</w:t>
            </w:r>
          </w:p>
          <w:p>
            <w:pPr>
              <w:snapToGrid w:val="0"/>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w:t>
            </w:r>
            <w:r>
              <w:rPr>
                <w:rFonts w:ascii="宋体" w:hAnsi="宋体" w:cs="宋体"/>
                <w:b/>
                <w:bCs/>
                <w:color w:val="auto"/>
                <w:sz w:val="24"/>
                <w:szCs w:val="24"/>
              </w:rPr>
              <w:t>DoS/DDoS</w:t>
            </w:r>
            <w:r>
              <w:rPr>
                <w:rFonts w:hint="eastAsia" w:ascii="宋体" w:hAnsi="宋体" w:cs="宋体"/>
                <w:b/>
                <w:bCs/>
                <w:color w:val="auto"/>
                <w:sz w:val="24"/>
                <w:szCs w:val="24"/>
              </w:rPr>
              <w:t>攻击防护</w:t>
            </w:r>
          </w:p>
          <w:p>
            <w:pPr>
              <w:snapToGrid w:val="0"/>
              <w:rPr>
                <w:rFonts w:ascii="宋体"/>
                <w:color w:val="auto"/>
                <w:sz w:val="24"/>
                <w:szCs w:val="24"/>
              </w:rPr>
            </w:pPr>
            <w:r>
              <w:rPr>
                <w:rFonts w:ascii="宋体" w:hAnsi="宋体" w:cs="宋体"/>
                <w:b/>
                <w:bCs/>
                <w:color w:val="auto"/>
                <w:sz w:val="24"/>
                <w:szCs w:val="24"/>
              </w:rPr>
              <w:t>4.1</w:t>
            </w:r>
            <w:r>
              <w:rPr>
                <w:rFonts w:hint="eastAsia" w:ascii="宋体" w:hAnsi="宋体" w:cs="宋体"/>
                <w:color w:val="auto"/>
                <w:sz w:val="24"/>
                <w:szCs w:val="24"/>
              </w:rPr>
              <w:t>支持</w:t>
            </w:r>
            <w:r>
              <w:rPr>
                <w:rFonts w:ascii="宋体" w:hAnsi="宋体" w:cs="宋体"/>
                <w:color w:val="auto"/>
                <w:sz w:val="24"/>
                <w:szCs w:val="24"/>
              </w:rPr>
              <w:t>Land</w:t>
            </w:r>
            <w:r>
              <w:rPr>
                <w:rFonts w:hint="eastAsia" w:ascii="宋体" w:hAnsi="宋体" w:cs="宋体"/>
                <w:color w:val="auto"/>
                <w:sz w:val="24"/>
                <w:szCs w:val="24"/>
              </w:rPr>
              <w:t>、</w:t>
            </w:r>
            <w:r>
              <w:rPr>
                <w:rFonts w:ascii="宋体" w:hAnsi="宋体" w:cs="宋体"/>
                <w:color w:val="auto"/>
                <w:sz w:val="24"/>
                <w:szCs w:val="24"/>
              </w:rPr>
              <w:t>Smurf</w:t>
            </w:r>
            <w:r>
              <w:rPr>
                <w:rFonts w:hint="eastAsia" w:ascii="宋体" w:hAnsi="宋体" w:cs="宋体"/>
                <w:color w:val="auto"/>
                <w:sz w:val="24"/>
                <w:szCs w:val="24"/>
              </w:rPr>
              <w:t>、</w:t>
            </w:r>
            <w:r>
              <w:rPr>
                <w:rFonts w:ascii="宋体" w:hAnsi="宋体" w:cs="宋体"/>
                <w:color w:val="auto"/>
                <w:sz w:val="24"/>
                <w:szCs w:val="24"/>
              </w:rPr>
              <w:t>Fraggle</w:t>
            </w:r>
            <w:r>
              <w:rPr>
                <w:rFonts w:hint="eastAsia" w:ascii="宋体" w:hAnsi="宋体" w:cs="宋体"/>
                <w:color w:val="auto"/>
                <w:sz w:val="24"/>
                <w:szCs w:val="24"/>
              </w:rPr>
              <w:t>、</w:t>
            </w:r>
            <w:r>
              <w:rPr>
                <w:rFonts w:ascii="宋体" w:hAnsi="宋体" w:cs="宋体"/>
                <w:color w:val="auto"/>
                <w:sz w:val="24"/>
                <w:szCs w:val="24"/>
              </w:rPr>
              <w:t>WinNuke</w:t>
            </w:r>
            <w:r>
              <w:rPr>
                <w:rFonts w:hint="eastAsia" w:ascii="宋体" w:hAnsi="宋体" w:cs="宋体"/>
                <w:color w:val="auto"/>
                <w:sz w:val="24"/>
                <w:szCs w:val="24"/>
              </w:rPr>
              <w:t>、</w:t>
            </w:r>
            <w:r>
              <w:rPr>
                <w:rFonts w:ascii="宋体" w:hAnsi="宋体" w:cs="宋体"/>
                <w:color w:val="auto"/>
                <w:sz w:val="24"/>
                <w:szCs w:val="24"/>
              </w:rPr>
              <w:t>Ping of Death</w:t>
            </w:r>
            <w:r>
              <w:rPr>
                <w:rFonts w:hint="eastAsia" w:ascii="宋体" w:hAnsi="宋体" w:cs="宋体"/>
                <w:color w:val="auto"/>
                <w:sz w:val="24"/>
                <w:szCs w:val="24"/>
              </w:rPr>
              <w:t>、</w:t>
            </w:r>
            <w:r>
              <w:rPr>
                <w:rFonts w:ascii="宋体" w:hAnsi="宋体" w:cs="宋体"/>
                <w:color w:val="auto"/>
                <w:sz w:val="24"/>
                <w:szCs w:val="24"/>
              </w:rPr>
              <w:t>Tear Drop</w:t>
            </w:r>
            <w:r>
              <w:rPr>
                <w:rFonts w:hint="eastAsia" w:ascii="宋体" w:hAnsi="宋体" w:cs="宋体"/>
                <w:color w:val="auto"/>
                <w:sz w:val="24"/>
                <w:szCs w:val="24"/>
              </w:rPr>
              <w:t>、</w:t>
            </w:r>
            <w:r>
              <w:rPr>
                <w:rFonts w:ascii="宋体" w:hAnsi="宋体" w:cs="宋体"/>
                <w:color w:val="auto"/>
                <w:sz w:val="24"/>
                <w:szCs w:val="24"/>
              </w:rPr>
              <w:t>IP Spoofing</w:t>
            </w:r>
            <w:r>
              <w:rPr>
                <w:rFonts w:hint="eastAsia" w:ascii="宋体" w:hAnsi="宋体" w:cs="宋体"/>
                <w:color w:val="auto"/>
                <w:sz w:val="24"/>
                <w:szCs w:val="24"/>
              </w:rPr>
              <w:t>攻击防护。</w:t>
            </w:r>
          </w:p>
          <w:p>
            <w:pPr>
              <w:snapToGrid w:val="0"/>
              <w:rPr>
                <w:rFonts w:ascii="宋体"/>
                <w:color w:val="auto"/>
                <w:sz w:val="24"/>
                <w:szCs w:val="24"/>
              </w:rPr>
            </w:pPr>
            <w:r>
              <w:rPr>
                <w:rFonts w:ascii="宋体" w:hAnsi="宋体" w:cs="宋体"/>
                <w:b/>
                <w:bCs/>
                <w:color w:val="auto"/>
                <w:sz w:val="24"/>
                <w:szCs w:val="24"/>
              </w:rPr>
              <w:t>4.2</w:t>
            </w:r>
            <w:r>
              <w:rPr>
                <w:rFonts w:hint="eastAsia" w:ascii="宋体" w:hAnsi="宋体" w:cs="宋体"/>
                <w:color w:val="auto"/>
                <w:sz w:val="24"/>
                <w:szCs w:val="24"/>
              </w:rPr>
              <w:t>支持</w:t>
            </w:r>
            <w:r>
              <w:rPr>
                <w:rFonts w:ascii="宋体" w:hAnsi="宋体" w:cs="宋体"/>
                <w:color w:val="auto"/>
                <w:sz w:val="24"/>
                <w:szCs w:val="24"/>
              </w:rPr>
              <w:t>SYN Flood</w:t>
            </w:r>
            <w:r>
              <w:rPr>
                <w:rFonts w:hint="eastAsia" w:ascii="宋体" w:hAnsi="宋体" w:cs="宋体"/>
                <w:color w:val="auto"/>
                <w:sz w:val="24"/>
                <w:szCs w:val="24"/>
              </w:rPr>
              <w:t>、</w:t>
            </w:r>
            <w:r>
              <w:rPr>
                <w:rFonts w:ascii="宋体" w:hAnsi="宋体" w:cs="宋体"/>
                <w:color w:val="auto"/>
                <w:sz w:val="24"/>
                <w:szCs w:val="24"/>
              </w:rPr>
              <w:t>ICMP Flood</w:t>
            </w:r>
            <w:r>
              <w:rPr>
                <w:rFonts w:hint="eastAsia" w:ascii="宋体" w:hAnsi="宋体" w:cs="宋体"/>
                <w:color w:val="auto"/>
                <w:sz w:val="24"/>
                <w:szCs w:val="24"/>
              </w:rPr>
              <w:t>、</w:t>
            </w:r>
            <w:r>
              <w:rPr>
                <w:rFonts w:ascii="宋体" w:hAnsi="宋体" w:cs="宋体"/>
                <w:color w:val="auto"/>
                <w:sz w:val="24"/>
                <w:szCs w:val="24"/>
              </w:rPr>
              <w:t>UDP Flood</w:t>
            </w:r>
            <w:r>
              <w:rPr>
                <w:rFonts w:hint="eastAsia" w:ascii="宋体" w:hAnsi="宋体" w:cs="宋体"/>
                <w:color w:val="auto"/>
                <w:sz w:val="24"/>
                <w:szCs w:val="24"/>
              </w:rPr>
              <w:t>、</w:t>
            </w:r>
            <w:r>
              <w:rPr>
                <w:rFonts w:ascii="宋体" w:hAnsi="宋体" w:cs="宋体"/>
                <w:color w:val="auto"/>
                <w:sz w:val="24"/>
                <w:szCs w:val="24"/>
              </w:rPr>
              <w:t>DNS Flood</w:t>
            </w:r>
            <w:r>
              <w:rPr>
                <w:rFonts w:hint="eastAsia" w:ascii="宋体" w:hAnsi="宋体" w:cs="宋体"/>
                <w:color w:val="auto"/>
                <w:sz w:val="24"/>
                <w:szCs w:val="24"/>
              </w:rPr>
              <w:t>、</w:t>
            </w:r>
            <w:r>
              <w:rPr>
                <w:rFonts w:ascii="宋体" w:hAnsi="宋体" w:cs="宋体"/>
                <w:color w:val="auto"/>
                <w:sz w:val="24"/>
                <w:szCs w:val="24"/>
              </w:rPr>
              <w:t>ARP Flood</w:t>
            </w:r>
            <w:r>
              <w:rPr>
                <w:rFonts w:hint="eastAsia" w:ascii="宋体" w:hAnsi="宋体" w:cs="宋体"/>
                <w:color w:val="auto"/>
                <w:sz w:val="24"/>
                <w:szCs w:val="24"/>
              </w:rPr>
              <w:t>攻击防护；支持</w:t>
            </w:r>
            <w:r>
              <w:rPr>
                <w:rFonts w:ascii="宋体" w:hAnsi="宋体" w:cs="宋体"/>
                <w:color w:val="auto"/>
                <w:sz w:val="24"/>
                <w:szCs w:val="24"/>
              </w:rPr>
              <w:t>IP</w:t>
            </w:r>
            <w:r>
              <w:rPr>
                <w:rFonts w:hint="eastAsia" w:ascii="宋体" w:hAnsi="宋体" w:cs="宋体"/>
                <w:color w:val="auto"/>
                <w:sz w:val="24"/>
                <w:szCs w:val="24"/>
              </w:rPr>
              <w:t>地址扫描，端口扫描防护，支持</w:t>
            </w:r>
            <w:r>
              <w:rPr>
                <w:rFonts w:ascii="宋体" w:hAnsi="宋体" w:cs="宋体"/>
                <w:color w:val="auto"/>
                <w:sz w:val="24"/>
                <w:szCs w:val="24"/>
              </w:rPr>
              <w:t>ARP</w:t>
            </w:r>
            <w:r>
              <w:rPr>
                <w:rFonts w:hint="eastAsia" w:ascii="宋体" w:hAnsi="宋体" w:cs="宋体"/>
                <w:color w:val="auto"/>
                <w:sz w:val="24"/>
                <w:szCs w:val="24"/>
              </w:rPr>
              <w:t>欺骗防护功能、支持</w:t>
            </w:r>
            <w:r>
              <w:rPr>
                <w:rFonts w:ascii="宋体" w:hAnsi="宋体" w:cs="宋体"/>
                <w:color w:val="auto"/>
                <w:sz w:val="24"/>
                <w:szCs w:val="24"/>
              </w:rPr>
              <w:t>IP</w:t>
            </w:r>
            <w:r>
              <w:rPr>
                <w:rFonts w:hint="eastAsia" w:ascii="宋体" w:hAnsi="宋体" w:cs="宋体"/>
                <w:color w:val="auto"/>
                <w:sz w:val="24"/>
                <w:szCs w:val="24"/>
              </w:rPr>
              <w:t>协议异常报文检测和</w:t>
            </w:r>
            <w:r>
              <w:rPr>
                <w:rFonts w:ascii="宋体" w:hAnsi="宋体" w:cs="宋体"/>
                <w:color w:val="auto"/>
                <w:sz w:val="24"/>
                <w:szCs w:val="24"/>
              </w:rPr>
              <w:t>TCP</w:t>
            </w:r>
            <w:r>
              <w:rPr>
                <w:rFonts w:hint="eastAsia" w:ascii="宋体" w:hAnsi="宋体" w:cs="宋体"/>
                <w:color w:val="auto"/>
                <w:sz w:val="24"/>
                <w:szCs w:val="24"/>
              </w:rPr>
              <w:t>协议异常报文检测。</w:t>
            </w:r>
          </w:p>
          <w:p>
            <w:pPr>
              <w:snapToGrid w:val="0"/>
              <w:rPr>
                <w:rFonts w:ascii="宋体"/>
                <w:color w:val="auto"/>
                <w:sz w:val="24"/>
                <w:szCs w:val="24"/>
              </w:rPr>
            </w:pPr>
            <w:r>
              <w:rPr>
                <w:rFonts w:ascii="宋体" w:hAnsi="宋体" w:cs="宋体"/>
                <w:b/>
                <w:bCs/>
                <w:color w:val="auto"/>
                <w:sz w:val="24"/>
                <w:szCs w:val="24"/>
              </w:rPr>
              <w:t>4.3</w:t>
            </w:r>
            <w:r>
              <w:rPr>
                <w:rFonts w:hint="eastAsia" w:ascii="宋体" w:hAnsi="宋体" w:cs="宋体"/>
                <w:color w:val="auto"/>
                <w:sz w:val="24"/>
                <w:szCs w:val="24"/>
              </w:rPr>
              <w:t>支持内网访问控制，配置内网区域只允许指定的</w:t>
            </w:r>
            <w:r>
              <w:rPr>
                <w:rFonts w:ascii="宋体" w:hAnsi="宋体" w:cs="宋体"/>
                <w:color w:val="auto"/>
                <w:sz w:val="24"/>
                <w:szCs w:val="24"/>
              </w:rPr>
              <w:t>IP</w:t>
            </w:r>
            <w:r>
              <w:rPr>
                <w:rFonts w:hint="eastAsia" w:ascii="宋体" w:hAnsi="宋体" w:cs="宋体"/>
                <w:color w:val="auto"/>
                <w:sz w:val="24"/>
                <w:szCs w:val="24"/>
              </w:rPr>
              <w:t>地址或</w:t>
            </w:r>
            <w:r>
              <w:rPr>
                <w:rFonts w:ascii="宋体" w:hAnsi="宋体" w:cs="宋体"/>
                <w:color w:val="auto"/>
                <w:sz w:val="24"/>
                <w:szCs w:val="24"/>
              </w:rPr>
              <w:t>IP</w:t>
            </w:r>
            <w:r>
              <w:rPr>
                <w:rFonts w:hint="eastAsia" w:ascii="宋体" w:hAnsi="宋体" w:cs="宋体"/>
                <w:color w:val="auto"/>
                <w:sz w:val="24"/>
                <w:szCs w:val="24"/>
              </w:rPr>
              <w:t>范围对外进行访问，防止内部伪造源</w:t>
            </w:r>
            <w:r>
              <w:rPr>
                <w:rFonts w:ascii="宋体" w:hAnsi="宋体" w:cs="宋体"/>
                <w:color w:val="auto"/>
                <w:sz w:val="24"/>
                <w:szCs w:val="24"/>
              </w:rPr>
              <w:t>IP</w:t>
            </w:r>
            <w:r>
              <w:rPr>
                <w:rFonts w:hint="eastAsia" w:ascii="宋体" w:hAnsi="宋体" w:cs="宋体"/>
                <w:color w:val="auto"/>
                <w:sz w:val="24"/>
                <w:szCs w:val="24"/>
              </w:rPr>
              <w:t>对外</w:t>
            </w:r>
            <w:r>
              <w:rPr>
                <w:rFonts w:ascii="宋体" w:hAnsi="宋体" w:cs="宋体"/>
                <w:color w:val="auto"/>
                <w:sz w:val="24"/>
                <w:szCs w:val="24"/>
              </w:rPr>
              <w:t>DoS</w:t>
            </w:r>
            <w:r>
              <w:rPr>
                <w:rFonts w:hint="eastAsia" w:ascii="宋体" w:hAnsi="宋体" w:cs="宋体"/>
                <w:color w:val="auto"/>
                <w:sz w:val="24"/>
                <w:szCs w:val="24"/>
              </w:rPr>
              <w:t>攻击的情况。</w:t>
            </w:r>
          </w:p>
          <w:p>
            <w:pPr>
              <w:snapToGrid w:val="0"/>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、入侵防护</w:t>
            </w:r>
          </w:p>
          <w:p>
            <w:pPr>
              <w:snapToGrid w:val="0"/>
              <w:rPr>
                <w:rFonts w:ascii="宋体"/>
                <w:color w:val="auto"/>
                <w:sz w:val="24"/>
                <w:szCs w:val="24"/>
              </w:rPr>
            </w:pPr>
            <w:r>
              <w:rPr>
                <w:rFonts w:ascii="宋体" w:hAnsi="宋体" w:cs="宋体"/>
                <w:b/>
                <w:bCs/>
                <w:color w:val="auto"/>
                <w:sz w:val="24"/>
                <w:szCs w:val="24"/>
              </w:rPr>
              <w:t>5.1</w:t>
            </w:r>
            <w:r>
              <w:rPr>
                <w:rFonts w:hint="eastAsia" w:ascii="宋体" w:hAnsi="宋体" w:cs="宋体"/>
                <w:color w:val="auto"/>
                <w:sz w:val="24"/>
                <w:szCs w:val="24"/>
              </w:rPr>
              <w:t>设备具备独立的入侵防护漏洞规则特征库，特征总数在</w:t>
            </w:r>
            <w:r>
              <w:rPr>
                <w:rFonts w:ascii="宋体" w:hAnsi="宋体" w:cs="宋体"/>
                <w:color w:val="auto"/>
                <w:sz w:val="24"/>
                <w:szCs w:val="24"/>
              </w:rPr>
              <w:t>7400</w:t>
            </w:r>
            <w:r>
              <w:rPr>
                <w:rFonts w:hint="eastAsia" w:ascii="宋体" w:hAnsi="宋体" w:cs="宋体"/>
                <w:color w:val="auto"/>
                <w:sz w:val="24"/>
                <w:szCs w:val="24"/>
              </w:rPr>
              <w:t>条以上。</w:t>
            </w:r>
          </w:p>
          <w:p>
            <w:pPr>
              <w:snapToGrid w:val="0"/>
              <w:rPr>
                <w:rFonts w:ascii="宋体"/>
                <w:color w:val="auto"/>
                <w:sz w:val="24"/>
                <w:szCs w:val="24"/>
              </w:rPr>
            </w:pPr>
            <w:r>
              <w:rPr>
                <w:rFonts w:ascii="宋体" w:hAnsi="宋体" w:cs="宋体"/>
                <w:b/>
                <w:bCs/>
                <w:color w:val="auto"/>
                <w:sz w:val="24"/>
                <w:szCs w:val="24"/>
              </w:rPr>
              <w:t>5.2</w:t>
            </w:r>
            <w:r>
              <w:rPr>
                <w:rFonts w:hint="eastAsia" w:ascii="宋体" w:hAnsi="宋体" w:cs="宋体"/>
                <w:color w:val="auto"/>
                <w:sz w:val="24"/>
                <w:szCs w:val="24"/>
              </w:rPr>
              <w:t>支持对服务器、客户端、口令暴力破解、恶意软件等漏洞攻击防护。</w:t>
            </w:r>
          </w:p>
          <w:p>
            <w:pPr>
              <w:snapToGrid w:val="0"/>
              <w:rPr>
                <w:rFonts w:ascii="宋体"/>
                <w:color w:val="auto"/>
                <w:sz w:val="24"/>
                <w:szCs w:val="24"/>
              </w:rPr>
            </w:pPr>
            <w:r>
              <w:rPr>
                <w:rFonts w:ascii="宋体" w:hAnsi="宋体" w:cs="宋体"/>
                <w:b/>
                <w:bCs/>
                <w:color w:val="auto"/>
                <w:sz w:val="24"/>
                <w:szCs w:val="24"/>
              </w:rPr>
              <w:t>5.3</w:t>
            </w:r>
            <w:r>
              <w:rPr>
                <w:rFonts w:hint="eastAsia" w:ascii="宋体" w:hAnsi="宋体" w:cs="宋体"/>
                <w:color w:val="auto"/>
                <w:sz w:val="24"/>
                <w:szCs w:val="24"/>
              </w:rPr>
              <w:t>支持对常见应用服务（</w:t>
            </w:r>
            <w:r>
              <w:rPr>
                <w:rFonts w:ascii="宋体" w:hAnsi="宋体" w:cs="宋体"/>
                <w:color w:val="auto"/>
                <w:sz w:val="24"/>
                <w:szCs w:val="24"/>
              </w:rPr>
              <w:t>HTTP</w:t>
            </w:r>
            <w:r>
              <w:rPr>
                <w:rFonts w:hint="eastAsia" w:ascii="宋体" w:hAnsi="宋体" w:cs="宋体"/>
                <w:color w:val="auto"/>
                <w:sz w:val="24"/>
                <w:szCs w:val="24"/>
              </w:rPr>
              <w:t>、</w:t>
            </w:r>
            <w:r>
              <w:rPr>
                <w:rFonts w:ascii="宋体" w:hAnsi="宋体" w:cs="宋体"/>
                <w:color w:val="auto"/>
                <w:sz w:val="24"/>
                <w:szCs w:val="24"/>
              </w:rPr>
              <w:t>FTP</w:t>
            </w:r>
            <w:r>
              <w:rPr>
                <w:rFonts w:hint="eastAsia" w:ascii="宋体" w:hAnsi="宋体" w:cs="宋体"/>
                <w:color w:val="auto"/>
                <w:sz w:val="24"/>
                <w:szCs w:val="24"/>
              </w:rPr>
              <w:t>、</w:t>
            </w:r>
            <w:r>
              <w:rPr>
                <w:rFonts w:ascii="宋体" w:hAnsi="宋体" w:cs="宋体"/>
                <w:color w:val="auto"/>
                <w:sz w:val="24"/>
                <w:szCs w:val="24"/>
              </w:rPr>
              <w:t>SSH</w:t>
            </w:r>
            <w:r>
              <w:rPr>
                <w:rFonts w:hint="eastAsia" w:ascii="宋体" w:hAnsi="宋体" w:cs="宋体"/>
                <w:color w:val="auto"/>
                <w:sz w:val="24"/>
                <w:szCs w:val="24"/>
              </w:rPr>
              <w:t>、</w:t>
            </w:r>
            <w:r>
              <w:rPr>
                <w:rFonts w:ascii="宋体" w:hAnsi="宋体" w:cs="宋体"/>
                <w:color w:val="auto"/>
                <w:sz w:val="24"/>
                <w:szCs w:val="24"/>
              </w:rPr>
              <w:t>SMTP</w:t>
            </w:r>
            <w:r>
              <w:rPr>
                <w:rFonts w:hint="eastAsia" w:ascii="宋体" w:hAnsi="宋体" w:cs="宋体"/>
                <w:color w:val="auto"/>
                <w:sz w:val="24"/>
                <w:szCs w:val="24"/>
              </w:rPr>
              <w:t>、</w:t>
            </w:r>
            <w:r>
              <w:rPr>
                <w:rFonts w:ascii="宋体" w:hAnsi="宋体" w:cs="宋体"/>
                <w:color w:val="auto"/>
                <w:sz w:val="24"/>
                <w:szCs w:val="24"/>
              </w:rPr>
              <w:t>IMAP</w:t>
            </w:r>
            <w:r>
              <w:rPr>
                <w:rFonts w:hint="eastAsia" w:ascii="宋体" w:hAnsi="宋体" w:cs="宋体"/>
                <w:color w:val="auto"/>
                <w:sz w:val="24"/>
                <w:szCs w:val="24"/>
              </w:rPr>
              <w:t>、</w:t>
            </w:r>
            <w:r>
              <w:rPr>
                <w:rFonts w:ascii="宋体" w:hAnsi="宋体" w:cs="宋体"/>
                <w:color w:val="auto"/>
                <w:sz w:val="24"/>
                <w:szCs w:val="24"/>
              </w:rPr>
              <w:t>POP3</w:t>
            </w:r>
            <w:r>
              <w:rPr>
                <w:rFonts w:hint="eastAsia" w:ascii="宋体" w:hAnsi="宋体" w:cs="宋体"/>
                <w:color w:val="auto"/>
                <w:sz w:val="24"/>
                <w:szCs w:val="24"/>
              </w:rPr>
              <w:t>、</w:t>
            </w:r>
            <w:r>
              <w:rPr>
                <w:rFonts w:ascii="宋体" w:hAnsi="宋体" w:cs="宋体"/>
                <w:color w:val="auto"/>
                <w:sz w:val="24"/>
                <w:szCs w:val="24"/>
              </w:rPr>
              <w:t xml:space="preserve"> RDP</w:t>
            </w:r>
            <w:r>
              <w:rPr>
                <w:rFonts w:hint="eastAsia" w:ascii="宋体" w:hAnsi="宋体" w:cs="宋体"/>
                <w:color w:val="auto"/>
                <w:sz w:val="24"/>
                <w:szCs w:val="24"/>
              </w:rPr>
              <w:t>、</w:t>
            </w:r>
            <w:r>
              <w:rPr>
                <w:rFonts w:ascii="宋体" w:hAnsi="宋体" w:cs="宋体"/>
                <w:color w:val="auto"/>
                <w:sz w:val="24"/>
                <w:szCs w:val="24"/>
              </w:rPr>
              <w:t>Rlogin</w:t>
            </w:r>
            <w:r>
              <w:rPr>
                <w:rFonts w:hint="eastAsia" w:ascii="宋体" w:hAnsi="宋体" w:cs="宋体"/>
                <w:color w:val="auto"/>
                <w:sz w:val="24"/>
                <w:szCs w:val="24"/>
              </w:rPr>
              <w:t>、</w:t>
            </w:r>
            <w:r>
              <w:rPr>
                <w:rFonts w:ascii="宋体" w:hAnsi="宋体" w:cs="宋体"/>
                <w:color w:val="auto"/>
                <w:sz w:val="24"/>
                <w:szCs w:val="24"/>
              </w:rPr>
              <w:t>SMB</w:t>
            </w:r>
            <w:r>
              <w:rPr>
                <w:rFonts w:hint="eastAsia" w:ascii="宋体" w:hAnsi="宋体" w:cs="宋体"/>
                <w:color w:val="auto"/>
                <w:sz w:val="24"/>
                <w:szCs w:val="24"/>
              </w:rPr>
              <w:t>、</w:t>
            </w:r>
            <w:r>
              <w:rPr>
                <w:rFonts w:ascii="宋体" w:hAnsi="宋体" w:cs="宋体"/>
                <w:color w:val="auto"/>
                <w:sz w:val="24"/>
                <w:szCs w:val="24"/>
              </w:rPr>
              <w:t>Telnet</w:t>
            </w:r>
            <w:r>
              <w:rPr>
                <w:rFonts w:hint="eastAsia" w:ascii="宋体" w:hAnsi="宋体" w:cs="宋体"/>
                <w:color w:val="auto"/>
                <w:sz w:val="24"/>
                <w:szCs w:val="24"/>
              </w:rPr>
              <w:t>、</w:t>
            </w:r>
            <w:r>
              <w:rPr>
                <w:rFonts w:ascii="宋体" w:hAnsi="宋体" w:cs="宋体"/>
                <w:color w:val="auto"/>
                <w:sz w:val="24"/>
                <w:szCs w:val="24"/>
              </w:rPr>
              <w:t>Weblogic</w:t>
            </w:r>
            <w:r>
              <w:rPr>
                <w:rFonts w:hint="eastAsia" w:ascii="宋体" w:hAnsi="宋体" w:cs="宋体"/>
                <w:color w:val="auto"/>
                <w:sz w:val="24"/>
                <w:szCs w:val="24"/>
              </w:rPr>
              <w:t>、</w:t>
            </w:r>
            <w:r>
              <w:rPr>
                <w:rFonts w:ascii="宋体" w:hAnsi="宋体" w:cs="宋体"/>
                <w:color w:val="auto"/>
                <w:sz w:val="24"/>
                <w:szCs w:val="24"/>
              </w:rPr>
              <w:t>VNC</w:t>
            </w:r>
            <w:r>
              <w:rPr>
                <w:rFonts w:hint="eastAsia" w:ascii="宋体" w:hAnsi="宋体" w:cs="宋体"/>
                <w:color w:val="auto"/>
                <w:sz w:val="24"/>
                <w:szCs w:val="24"/>
              </w:rPr>
              <w:t>）和数据库软件的口令暴力破解防护功能。</w:t>
            </w:r>
          </w:p>
          <w:p>
            <w:pPr>
              <w:snapToGrid w:val="0"/>
              <w:rPr>
                <w:rFonts w:ascii="宋体"/>
                <w:color w:val="auto"/>
                <w:sz w:val="24"/>
                <w:szCs w:val="24"/>
              </w:rPr>
            </w:pPr>
            <w:r>
              <w:rPr>
                <w:rFonts w:ascii="宋体" w:hAnsi="宋体" w:cs="宋体"/>
                <w:b/>
                <w:bCs/>
                <w:color w:val="auto"/>
                <w:sz w:val="24"/>
                <w:szCs w:val="24"/>
              </w:rPr>
              <w:t>5.4</w:t>
            </w:r>
            <w:r>
              <w:rPr>
                <w:rFonts w:hint="eastAsia" w:ascii="宋体" w:hAnsi="宋体" w:cs="宋体"/>
                <w:color w:val="auto"/>
                <w:sz w:val="24"/>
                <w:szCs w:val="24"/>
              </w:rPr>
              <w:t>具备防护常见网络协议（</w:t>
            </w:r>
            <w:r>
              <w:rPr>
                <w:rFonts w:ascii="宋体" w:hAnsi="宋体" w:cs="宋体"/>
                <w:color w:val="auto"/>
                <w:sz w:val="24"/>
                <w:szCs w:val="24"/>
              </w:rPr>
              <w:t>SSH</w:t>
            </w:r>
            <w:r>
              <w:rPr>
                <w:rFonts w:hint="eastAsia" w:ascii="宋体" w:hAnsi="宋体" w:cs="宋体"/>
                <w:color w:val="auto"/>
                <w:sz w:val="24"/>
                <w:szCs w:val="24"/>
              </w:rPr>
              <w:t>、</w:t>
            </w:r>
            <w:r>
              <w:rPr>
                <w:rFonts w:ascii="宋体" w:hAnsi="宋体" w:cs="宋体"/>
                <w:color w:val="auto"/>
                <w:sz w:val="24"/>
                <w:szCs w:val="24"/>
              </w:rPr>
              <w:t>FTP</w:t>
            </w:r>
            <w:r>
              <w:rPr>
                <w:rFonts w:hint="eastAsia" w:ascii="宋体" w:hAnsi="宋体" w:cs="宋体"/>
                <w:color w:val="auto"/>
                <w:sz w:val="24"/>
                <w:szCs w:val="24"/>
              </w:rPr>
              <w:t>、</w:t>
            </w:r>
            <w:r>
              <w:rPr>
                <w:rFonts w:ascii="宋体" w:hAnsi="宋体" w:cs="宋体"/>
                <w:color w:val="auto"/>
                <w:sz w:val="24"/>
                <w:szCs w:val="24"/>
              </w:rPr>
              <w:t>RDP</w:t>
            </w:r>
            <w:r>
              <w:rPr>
                <w:rFonts w:hint="eastAsia" w:ascii="宋体" w:hAnsi="宋体" w:cs="宋体"/>
                <w:color w:val="auto"/>
                <w:sz w:val="24"/>
                <w:szCs w:val="24"/>
              </w:rPr>
              <w:t>、</w:t>
            </w:r>
            <w:r>
              <w:rPr>
                <w:rFonts w:ascii="宋体" w:hAnsi="宋体" w:cs="宋体"/>
                <w:color w:val="auto"/>
                <w:sz w:val="24"/>
                <w:szCs w:val="24"/>
              </w:rPr>
              <w:t>VNC</w:t>
            </w:r>
            <w:r>
              <w:rPr>
                <w:rFonts w:hint="eastAsia" w:ascii="宋体" w:hAnsi="宋体" w:cs="宋体"/>
                <w:color w:val="auto"/>
                <w:sz w:val="24"/>
                <w:szCs w:val="24"/>
              </w:rPr>
              <w:t>、</w:t>
            </w:r>
            <w:r>
              <w:rPr>
                <w:rFonts w:ascii="宋体" w:hAnsi="宋体" w:cs="宋体"/>
                <w:color w:val="auto"/>
                <w:sz w:val="24"/>
                <w:szCs w:val="24"/>
              </w:rPr>
              <w:t>Netbios</w:t>
            </w:r>
            <w:r>
              <w:rPr>
                <w:rFonts w:hint="eastAsia" w:ascii="宋体" w:hAnsi="宋体" w:cs="宋体"/>
                <w:color w:val="auto"/>
                <w:sz w:val="24"/>
                <w:szCs w:val="24"/>
              </w:rPr>
              <w:t>）和数据库的弱密码扫描功能。</w:t>
            </w:r>
            <w:r>
              <w:rPr>
                <w:rFonts w:ascii="宋体" w:hAnsi="宋体" w:cs="宋体"/>
                <w:color w:val="auto"/>
                <w:sz w:val="24"/>
                <w:szCs w:val="24"/>
              </w:rPr>
              <w:t xml:space="preserve"> </w:t>
            </w:r>
          </w:p>
          <w:p>
            <w:pPr>
              <w:snapToGrid w:val="0"/>
              <w:rPr>
                <w:rFonts w:ascii="宋体"/>
                <w:color w:val="auto"/>
                <w:sz w:val="24"/>
                <w:szCs w:val="24"/>
              </w:rPr>
            </w:pPr>
            <w:r>
              <w:rPr>
                <w:rFonts w:ascii="宋体" w:hAnsi="宋体" w:cs="宋体"/>
                <w:b/>
                <w:bCs/>
                <w:color w:val="auto"/>
                <w:sz w:val="24"/>
                <w:szCs w:val="24"/>
              </w:rPr>
              <w:t>5.5</w:t>
            </w:r>
            <w:r>
              <w:rPr>
                <w:rFonts w:hint="eastAsia" w:ascii="宋体" w:hAnsi="宋体" w:cs="宋体"/>
                <w:color w:val="auto"/>
                <w:sz w:val="24"/>
                <w:szCs w:val="24"/>
              </w:rPr>
              <w:t>支持同防火墙访问控制规则进行联动，可以针对检测到的攻击源</w:t>
            </w:r>
            <w:r>
              <w:rPr>
                <w:rFonts w:ascii="宋体" w:hAnsi="宋体" w:cs="宋体"/>
                <w:color w:val="auto"/>
                <w:sz w:val="24"/>
                <w:szCs w:val="24"/>
              </w:rPr>
              <w:t>IP</w:t>
            </w:r>
            <w:r>
              <w:rPr>
                <w:rFonts w:hint="eastAsia" w:ascii="宋体" w:hAnsi="宋体" w:cs="宋体"/>
                <w:color w:val="auto"/>
                <w:sz w:val="24"/>
                <w:szCs w:val="24"/>
              </w:rPr>
              <w:t>进行联动封锁，支持自定义封锁时间。</w:t>
            </w:r>
          </w:p>
          <w:p>
            <w:pPr>
              <w:snapToGrid w:val="0"/>
              <w:rPr>
                <w:rFonts w:ascii="宋体"/>
                <w:color w:val="auto"/>
                <w:sz w:val="24"/>
                <w:szCs w:val="24"/>
              </w:rPr>
            </w:pPr>
            <w:r>
              <w:rPr>
                <w:rFonts w:ascii="宋体" w:hAnsi="宋体" w:cs="宋体"/>
                <w:b/>
                <w:bCs/>
                <w:color w:val="auto"/>
                <w:sz w:val="24"/>
                <w:szCs w:val="24"/>
              </w:rPr>
              <w:t>5.6</w:t>
            </w:r>
            <w:r>
              <w:rPr>
                <w:rFonts w:hint="eastAsia" w:ascii="宋体" w:hAnsi="宋体" w:cs="宋体"/>
                <w:color w:val="auto"/>
                <w:sz w:val="24"/>
                <w:szCs w:val="24"/>
              </w:rPr>
              <w:t>可提供最新的威胁情报信息，能够对新爆发的流行高危漏洞进行预警和自动检测，发现问题后支持一键生成防护规则。</w:t>
            </w:r>
          </w:p>
          <w:p>
            <w:pPr>
              <w:snapToGrid w:val="0"/>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、僵尸主机检测</w:t>
            </w:r>
          </w:p>
          <w:p>
            <w:pPr>
              <w:snapToGrid w:val="0"/>
              <w:rPr>
                <w:rFonts w:ascii="宋体"/>
                <w:color w:val="auto"/>
                <w:sz w:val="24"/>
                <w:szCs w:val="24"/>
              </w:rPr>
            </w:pPr>
            <w:r>
              <w:rPr>
                <w:rFonts w:ascii="宋体" w:hAnsi="宋体" w:cs="宋体"/>
                <w:b/>
                <w:bCs/>
                <w:color w:val="auto"/>
                <w:sz w:val="24"/>
                <w:szCs w:val="24"/>
              </w:rPr>
              <w:t>6.1</w:t>
            </w:r>
            <w:r>
              <w:rPr>
                <w:rFonts w:hint="eastAsia" w:ascii="宋体" w:hAnsi="宋体" w:cs="宋体"/>
                <w:color w:val="auto"/>
                <w:sz w:val="24"/>
                <w:szCs w:val="24"/>
              </w:rPr>
              <w:t>设备具备独立的僵尸网络与病毒防护库，防护类型包括木马远控、恶意脚本、勒索病毒、僵尸网络、挖矿病毒等，特征总数在</w:t>
            </w:r>
            <w:r>
              <w:rPr>
                <w:rFonts w:ascii="宋体" w:hAnsi="宋体" w:cs="宋体"/>
                <w:color w:val="auto"/>
                <w:sz w:val="24"/>
                <w:szCs w:val="24"/>
              </w:rPr>
              <w:t>105</w:t>
            </w:r>
            <w:r>
              <w:rPr>
                <w:rFonts w:hint="eastAsia" w:ascii="宋体" w:hAnsi="宋体" w:cs="宋体"/>
                <w:color w:val="auto"/>
                <w:sz w:val="24"/>
                <w:szCs w:val="24"/>
              </w:rPr>
              <w:t>万条以上。</w:t>
            </w:r>
          </w:p>
          <w:p>
            <w:pPr>
              <w:snapToGrid w:val="0"/>
              <w:rPr>
                <w:rFonts w:ascii="宋体"/>
                <w:color w:val="auto"/>
                <w:sz w:val="24"/>
                <w:szCs w:val="24"/>
              </w:rPr>
            </w:pPr>
            <w:r>
              <w:rPr>
                <w:rFonts w:ascii="宋体" w:hAnsi="宋体" w:cs="宋体"/>
                <w:b/>
                <w:bCs/>
                <w:color w:val="auto"/>
                <w:sz w:val="24"/>
                <w:szCs w:val="24"/>
              </w:rPr>
              <w:t>6.2</w:t>
            </w:r>
            <w:r>
              <w:rPr>
                <w:rFonts w:hint="eastAsia" w:ascii="宋体" w:hAnsi="宋体" w:cs="宋体"/>
                <w:color w:val="auto"/>
                <w:sz w:val="24"/>
                <w:szCs w:val="24"/>
              </w:rPr>
              <w:t>支持蜜罐功能，定位内网感染僵尸网络病毒的真实主机</w:t>
            </w:r>
            <w:r>
              <w:rPr>
                <w:rFonts w:ascii="宋体" w:hAnsi="宋体" w:cs="宋体"/>
                <w:color w:val="auto"/>
                <w:sz w:val="24"/>
                <w:szCs w:val="24"/>
              </w:rPr>
              <w:t>IP</w:t>
            </w:r>
            <w:r>
              <w:rPr>
                <w:rFonts w:hint="eastAsia" w:ascii="宋体" w:hAnsi="宋体" w:cs="宋体"/>
                <w:color w:val="auto"/>
                <w:sz w:val="24"/>
                <w:szCs w:val="24"/>
              </w:rPr>
              <w:t>地址。</w:t>
            </w:r>
          </w:p>
          <w:p>
            <w:pPr>
              <w:snapToGrid w:val="0"/>
              <w:rPr>
                <w:rFonts w:ascii="宋体"/>
                <w:color w:val="auto"/>
                <w:sz w:val="24"/>
                <w:szCs w:val="24"/>
              </w:rPr>
            </w:pPr>
            <w:r>
              <w:rPr>
                <w:rFonts w:hint="eastAsia" w:ascii="宋体" w:hAnsi="宋体" w:cs="宋体"/>
                <w:color w:val="auto"/>
                <w:sz w:val="24"/>
                <w:szCs w:val="24"/>
              </w:rPr>
              <w:t>对于未知威胁具备同云端安全分析引擎进行联动的能力，上报可疑行为并在云端进行沙盒检测，并下发威胁行为分析报告。</w:t>
            </w:r>
            <w:r>
              <w:rPr>
                <w:rFonts w:ascii="宋体"/>
                <w:color w:val="auto"/>
                <w:sz w:val="24"/>
                <w:szCs w:val="24"/>
              </w:rPr>
              <w:t> </w:t>
            </w:r>
          </w:p>
          <w:p>
            <w:pPr>
              <w:snapToGrid w:val="0"/>
              <w:rPr>
                <w:rFonts w:ascii="宋体"/>
                <w:color w:val="auto"/>
                <w:sz w:val="24"/>
                <w:szCs w:val="24"/>
              </w:rPr>
            </w:pPr>
            <w:r>
              <w:rPr>
                <w:rFonts w:ascii="宋体" w:hAnsi="宋体" w:cs="宋体"/>
                <w:b/>
                <w:bCs/>
                <w:color w:val="auto"/>
                <w:sz w:val="24"/>
                <w:szCs w:val="24"/>
              </w:rPr>
              <w:t>6.3</w:t>
            </w:r>
            <w:r>
              <w:rPr>
                <w:rFonts w:hint="eastAsia" w:ascii="宋体" w:hAnsi="宋体" w:cs="宋体"/>
                <w:color w:val="auto"/>
                <w:sz w:val="24"/>
                <w:szCs w:val="24"/>
              </w:rPr>
              <w:t>支持针对失陷主机推送杀毒通知和提供处置工具，并支持自定杀毒通知显示时间。</w:t>
            </w:r>
          </w:p>
          <w:p>
            <w:pPr>
              <w:snapToGrid w:val="0"/>
              <w:rPr>
                <w:rFonts w:ascii="宋体"/>
                <w:color w:val="auto"/>
                <w:sz w:val="24"/>
                <w:szCs w:val="24"/>
              </w:rPr>
            </w:pPr>
            <w:r>
              <w:rPr>
                <w:rFonts w:ascii="宋体" w:hAnsi="宋体" w:cs="宋体"/>
                <w:b/>
                <w:bCs/>
                <w:color w:val="auto"/>
                <w:sz w:val="24"/>
                <w:szCs w:val="24"/>
              </w:rPr>
              <w:t>6.4</w:t>
            </w:r>
            <w:r>
              <w:rPr>
                <w:rFonts w:hint="eastAsia" w:ascii="宋体" w:hAnsi="宋体" w:cs="宋体"/>
                <w:color w:val="auto"/>
                <w:sz w:val="24"/>
                <w:szCs w:val="24"/>
              </w:rPr>
              <w:t>支持失陷风险的自动化处置，当同一个终端或者网络内不同的终端，反复连接同一个域名，会将域名和进程进行绑定，当再次发现终端某一进程访问相同域名的时候，可以将域名关联的恶意文件进程进行自动化处理。</w:t>
            </w:r>
          </w:p>
          <w:p>
            <w:pPr>
              <w:snapToGrid w:val="0"/>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、安全可视</w:t>
            </w:r>
          </w:p>
          <w:p>
            <w:pPr>
              <w:snapToGrid w:val="0"/>
              <w:rPr>
                <w:rFonts w:ascii="宋体"/>
                <w:color w:val="auto"/>
                <w:sz w:val="24"/>
                <w:szCs w:val="24"/>
              </w:rPr>
            </w:pPr>
            <w:r>
              <w:rPr>
                <w:rFonts w:ascii="宋体" w:hAnsi="宋体" w:cs="宋体"/>
                <w:b/>
                <w:bCs/>
                <w:color w:val="auto"/>
                <w:sz w:val="24"/>
                <w:szCs w:val="24"/>
              </w:rPr>
              <w:t>7.1</w:t>
            </w:r>
            <w:r>
              <w:rPr>
                <w:rFonts w:hint="eastAsia" w:ascii="宋体" w:hAnsi="宋体" w:cs="宋体"/>
                <w:color w:val="auto"/>
                <w:sz w:val="24"/>
                <w:szCs w:val="24"/>
              </w:rPr>
              <w:t>支持基于勒索病毒的攻击链提供勒索病毒防护配置向导，包含防护对象、勒索病毒常用端口、漏洞、弱口令的自定义定时识别及自动生成包含</w:t>
            </w:r>
            <w:r>
              <w:rPr>
                <w:rFonts w:ascii="宋体" w:hAnsi="宋体" w:cs="宋体"/>
                <w:color w:val="auto"/>
                <w:sz w:val="24"/>
                <w:szCs w:val="24"/>
              </w:rPr>
              <w:t>WEB</w:t>
            </w:r>
            <w:r>
              <w:rPr>
                <w:rFonts w:hint="eastAsia" w:ascii="宋体" w:hAnsi="宋体" w:cs="宋体"/>
                <w:color w:val="auto"/>
                <w:sz w:val="24"/>
                <w:szCs w:val="24"/>
              </w:rPr>
              <w:t>应用防护、漏洞防护、内容安全、僵尸网络检测、慢速爆破防御等勒索病毒防护策略。</w:t>
            </w:r>
          </w:p>
          <w:p>
            <w:pPr>
              <w:snapToGrid w:val="0"/>
              <w:rPr>
                <w:rFonts w:ascii="宋体"/>
                <w:color w:val="auto"/>
                <w:sz w:val="24"/>
                <w:szCs w:val="24"/>
              </w:rPr>
            </w:pPr>
            <w:r>
              <w:rPr>
                <w:rFonts w:ascii="宋体" w:hAnsi="宋体" w:cs="宋体"/>
                <w:b/>
                <w:bCs/>
                <w:color w:val="auto"/>
                <w:sz w:val="24"/>
                <w:szCs w:val="24"/>
              </w:rPr>
              <w:t>7.2</w:t>
            </w:r>
            <w:r>
              <w:rPr>
                <w:rFonts w:hint="eastAsia" w:ascii="宋体" w:hAnsi="宋体" w:cs="宋体"/>
                <w:color w:val="auto"/>
                <w:sz w:val="24"/>
                <w:szCs w:val="24"/>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地展示最终的风险。</w:t>
            </w:r>
          </w:p>
          <w:p>
            <w:pPr>
              <w:snapToGrid w:val="0"/>
              <w:rPr>
                <w:rFonts w:ascii="宋体"/>
                <w:color w:val="auto"/>
                <w:sz w:val="24"/>
                <w:szCs w:val="24"/>
              </w:rPr>
            </w:pPr>
            <w:r>
              <w:rPr>
                <w:rFonts w:ascii="宋体" w:hAnsi="宋体" w:cs="宋体"/>
                <w:b/>
                <w:bCs/>
                <w:color w:val="auto"/>
                <w:sz w:val="24"/>
                <w:szCs w:val="24"/>
              </w:rPr>
              <w:t>7.3</w:t>
            </w:r>
            <w:r>
              <w:rPr>
                <w:rFonts w:hint="eastAsia" w:ascii="宋体" w:hAnsi="宋体" w:cs="宋体"/>
                <w:color w:val="auto"/>
                <w:sz w:val="24"/>
                <w:szCs w:val="24"/>
              </w:rPr>
              <w:t>支持自动生成综合安全风险报表，报表内容体现被保护对象的整体安全等级，发现漏洞情况以及遭受攻击的统计，具备有效攻击行为次数统计和攻击举证。</w:t>
            </w:r>
          </w:p>
          <w:p>
            <w:pPr>
              <w:snapToGrid w:val="0"/>
              <w:rPr>
                <w:rFonts w:ascii="宋体"/>
                <w:color w:val="auto"/>
                <w:sz w:val="24"/>
                <w:szCs w:val="24"/>
              </w:rPr>
            </w:pPr>
            <w:r>
              <w:rPr>
                <w:rFonts w:ascii="宋体" w:hAnsi="宋体" w:cs="宋体"/>
                <w:b/>
                <w:bCs/>
                <w:color w:val="auto"/>
                <w:sz w:val="24"/>
                <w:szCs w:val="24"/>
              </w:rPr>
              <w:t>7.4</w:t>
            </w:r>
            <w:r>
              <w:rPr>
                <w:rFonts w:hint="eastAsia" w:ascii="宋体" w:hAnsi="宋体" w:cs="宋体"/>
                <w:color w:val="auto"/>
                <w:sz w:val="24"/>
                <w:szCs w:val="24"/>
              </w:rPr>
              <w:t>支持基于天</w:t>
            </w:r>
            <w:r>
              <w:rPr>
                <w:rFonts w:ascii="宋体" w:hAnsi="宋体" w:cs="宋体"/>
                <w:color w:val="auto"/>
                <w:sz w:val="24"/>
                <w:szCs w:val="24"/>
              </w:rPr>
              <w:t>/</w:t>
            </w:r>
            <w:r>
              <w:rPr>
                <w:rFonts w:hint="eastAsia" w:ascii="宋体" w:hAnsi="宋体" w:cs="宋体"/>
                <w:color w:val="auto"/>
                <w:sz w:val="24"/>
                <w:szCs w:val="24"/>
              </w:rPr>
              <w:t>周</w:t>
            </w:r>
            <w:r>
              <w:rPr>
                <w:rFonts w:ascii="宋体" w:hAnsi="宋体" w:cs="宋体"/>
                <w:color w:val="auto"/>
                <w:sz w:val="24"/>
                <w:szCs w:val="24"/>
              </w:rPr>
              <w:t>/</w:t>
            </w:r>
            <w:r>
              <w:rPr>
                <w:rFonts w:hint="eastAsia" w:ascii="宋体" w:hAnsi="宋体" w:cs="宋体"/>
                <w:color w:val="auto"/>
                <w:sz w:val="24"/>
                <w:szCs w:val="24"/>
              </w:rPr>
              <w:t>月的报表订阅并发送到指定邮箱，支持自定义报表内容及自定义报表</w:t>
            </w:r>
            <w:r>
              <w:rPr>
                <w:rFonts w:ascii="宋体" w:hAnsi="宋体" w:cs="宋体"/>
                <w:color w:val="auto"/>
                <w:sz w:val="24"/>
                <w:szCs w:val="24"/>
              </w:rPr>
              <w:t>Logo</w:t>
            </w:r>
            <w:r>
              <w:rPr>
                <w:rFonts w:hint="eastAsia" w:ascii="宋体" w:hAnsi="宋体" w:cs="宋体"/>
                <w:color w:val="auto"/>
                <w:sz w:val="24"/>
                <w:szCs w:val="24"/>
              </w:rPr>
              <w:t>。</w:t>
            </w:r>
            <w:r>
              <w:rPr>
                <w:rFonts w:ascii="宋体" w:hAnsi="宋体" w:cs="宋体"/>
                <w:color w:val="auto"/>
                <w:sz w:val="24"/>
                <w:szCs w:val="24"/>
              </w:rPr>
              <w:t xml:space="preserve"> </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2</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2</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上网行为管理</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numPr>
                <w:ilvl w:val="0"/>
                <w:numId w:val="25"/>
              </w:numPr>
              <w:snapToGrid w:val="0"/>
              <w:jc w:val="left"/>
              <w:rPr>
                <w:rFonts w:ascii="宋体"/>
                <w:b/>
                <w:bCs/>
                <w:color w:val="auto"/>
                <w:sz w:val="24"/>
                <w:szCs w:val="24"/>
              </w:rPr>
            </w:pPr>
            <w:r>
              <w:rPr>
                <w:rFonts w:hint="eastAsia" w:ascii="宋体" w:hAnsi="宋体" w:cs="宋体"/>
                <w:b/>
                <w:bCs/>
                <w:color w:val="auto"/>
                <w:sz w:val="24"/>
                <w:szCs w:val="24"/>
              </w:rPr>
              <w:t>配置要求</w:t>
            </w:r>
          </w:p>
          <w:p>
            <w:pPr>
              <w:snapToGrid w:val="0"/>
              <w:jc w:val="left"/>
              <w:rPr>
                <w:rFonts w:ascii="宋体"/>
                <w:color w:val="auto"/>
                <w:kern w:val="0"/>
                <w:sz w:val="24"/>
                <w:szCs w:val="24"/>
              </w:rPr>
            </w:pPr>
            <w:r>
              <w:rPr>
                <w:rFonts w:ascii="宋体" w:hAnsi="宋体" w:cs="宋体"/>
                <w:b/>
                <w:bCs/>
                <w:color w:val="auto"/>
                <w:sz w:val="24"/>
                <w:szCs w:val="24"/>
              </w:rPr>
              <w:t>1.1</w:t>
            </w:r>
            <w:r>
              <w:rPr>
                <w:rFonts w:hint="eastAsia" w:ascii="宋体" w:hAnsi="宋体" w:cs="宋体"/>
                <w:color w:val="auto"/>
                <w:kern w:val="0"/>
                <w:sz w:val="24"/>
                <w:szCs w:val="24"/>
              </w:rPr>
              <w:t>★性能参数：网络层吞吐量（大包）≥</w:t>
            </w:r>
            <w:r>
              <w:rPr>
                <w:rFonts w:ascii="宋体" w:hAnsi="宋体" w:cs="宋体"/>
                <w:color w:val="auto"/>
                <w:kern w:val="0"/>
                <w:sz w:val="24"/>
                <w:szCs w:val="24"/>
              </w:rPr>
              <w:t>3Gb</w:t>
            </w:r>
            <w:r>
              <w:rPr>
                <w:rFonts w:hint="eastAsia" w:ascii="宋体" w:hAnsi="宋体" w:cs="宋体"/>
                <w:color w:val="auto"/>
                <w:kern w:val="0"/>
                <w:sz w:val="24"/>
                <w:szCs w:val="24"/>
              </w:rPr>
              <w:t>；应用层吞吐量≥</w:t>
            </w:r>
            <w:r>
              <w:rPr>
                <w:rFonts w:ascii="宋体" w:hAnsi="宋体" w:cs="宋体"/>
                <w:color w:val="auto"/>
                <w:kern w:val="0"/>
                <w:sz w:val="24"/>
                <w:szCs w:val="24"/>
              </w:rPr>
              <w:t>300Mb</w:t>
            </w:r>
            <w:r>
              <w:rPr>
                <w:rFonts w:hint="eastAsia" w:ascii="宋体" w:hAnsi="宋体" w:cs="宋体"/>
                <w:color w:val="auto"/>
                <w:kern w:val="0"/>
                <w:sz w:val="24"/>
                <w:szCs w:val="24"/>
              </w:rPr>
              <w:t>；带宽性能≥</w:t>
            </w:r>
            <w:r>
              <w:rPr>
                <w:rFonts w:ascii="宋体" w:hAnsi="宋体" w:cs="宋体"/>
                <w:color w:val="auto"/>
                <w:kern w:val="0"/>
                <w:sz w:val="24"/>
                <w:szCs w:val="24"/>
              </w:rPr>
              <w:t>200Mb</w:t>
            </w:r>
            <w:r>
              <w:rPr>
                <w:rFonts w:hint="eastAsia" w:ascii="宋体" w:hAnsi="宋体" w:cs="宋体"/>
                <w:color w:val="auto"/>
                <w:kern w:val="0"/>
                <w:sz w:val="24"/>
                <w:szCs w:val="24"/>
              </w:rPr>
              <w:t>；支持用户数≥</w:t>
            </w:r>
            <w:r>
              <w:rPr>
                <w:rFonts w:ascii="宋体" w:hAnsi="宋体" w:cs="宋体"/>
                <w:color w:val="auto"/>
                <w:kern w:val="0"/>
                <w:sz w:val="24"/>
                <w:szCs w:val="24"/>
              </w:rPr>
              <w:t>200PC</w:t>
            </w:r>
            <w:r>
              <w:rPr>
                <w:rFonts w:hint="eastAsia" w:ascii="宋体" w:hAnsi="宋体" w:cs="宋体"/>
                <w:color w:val="auto"/>
                <w:kern w:val="0"/>
                <w:sz w:val="24"/>
                <w:szCs w:val="24"/>
              </w:rPr>
              <w:t>＋</w:t>
            </w:r>
            <w:r>
              <w:rPr>
                <w:rFonts w:ascii="宋体" w:hAnsi="宋体" w:cs="宋体"/>
                <w:color w:val="auto"/>
                <w:kern w:val="0"/>
                <w:sz w:val="24"/>
                <w:szCs w:val="24"/>
              </w:rPr>
              <w:t>200</w:t>
            </w:r>
            <w:r>
              <w:rPr>
                <w:rFonts w:hint="eastAsia" w:ascii="宋体" w:hAnsi="宋体" w:cs="宋体"/>
                <w:color w:val="auto"/>
                <w:kern w:val="0"/>
                <w:sz w:val="24"/>
                <w:szCs w:val="24"/>
              </w:rPr>
              <w:t>移动端；包转发率≥</w:t>
            </w:r>
            <w:r>
              <w:rPr>
                <w:rFonts w:ascii="宋体" w:hAnsi="宋体" w:cs="宋体"/>
                <w:color w:val="auto"/>
                <w:kern w:val="0"/>
                <w:sz w:val="24"/>
                <w:szCs w:val="24"/>
              </w:rPr>
              <w:t>27Kpps</w:t>
            </w:r>
            <w:r>
              <w:rPr>
                <w:rFonts w:hint="eastAsia" w:ascii="宋体" w:hAnsi="宋体" w:cs="宋体"/>
                <w:color w:val="auto"/>
                <w:kern w:val="0"/>
                <w:sz w:val="24"/>
                <w:szCs w:val="24"/>
              </w:rPr>
              <w:t>；每秒新建连接数≥</w:t>
            </w:r>
            <w:r>
              <w:rPr>
                <w:rFonts w:ascii="宋体" w:hAnsi="宋体" w:cs="宋体"/>
                <w:color w:val="auto"/>
                <w:kern w:val="0"/>
                <w:sz w:val="24"/>
                <w:szCs w:val="24"/>
              </w:rPr>
              <w:t>2400</w:t>
            </w:r>
            <w:r>
              <w:rPr>
                <w:rFonts w:hint="eastAsia" w:ascii="宋体" w:hAnsi="宋体" w:cs="宋体"/>
                <w:color w:val="auto"/>
                <w:kern w:val="0"/>
                <w:sz w:val="24"/>
                <w:szCs w:val="24"/>
              </w:rPr>
              <w:t>；最大并发连接数≥</w:t>
            </w:r>
            <w:r>
              <w:rPr>
                <w:rFonts w:ascii="宋体" w:hAnsi="宋体" w:cs="宋体"/>
                <w:color w:val="auto"/>
                <w:kern w:val="0"/>
                <w:sz w:val="24"/>
                <w:szCs w:val="24"/>
              </w:rPr>
              <w:t>120000</w:t>
            </w:r>
            <w:r>
              <w:rPr>
                <w:rFonts w:hint="eastAsia" w:ascii="宋体" w:hAnsi="宋体" w:cs="宋体"/>
                <w:color w:val="auto"/>
                <w:kern w:val="0"/>
                <w:sz w:val="24"/>
                <w:szCs w:val="24"/>
              </w:rPr>
              <w:t>。</w:t>
            </w:r>
          </w:p>
          <w:p>
            <w:pPr>
              <w:snapToGrid w:val="0"/>
              <w:jc w:val="left"/>
              <w:rPr>
                <w:rFonts w:ascii="宋体"/>
                <w:b/>
                <w:bCs/>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硬件参数：规格：</w:t>
            </w:r>
            <w:r>
              <w:rPr>
                <w:rFonts w:ascii="宋体" w:hAnsi="宋体" w:cs="宋体"/>
                <w:color w:val="auto"/>
                <w:kern w:val="0"/>
                <w:sz w:val="24"/>
                <w:szCs w:val="24"/>
              </w:rPr>
              <w:t>1U</w:t>
            </w:r>
            <w:r>
              <w:rPr>
                <w:rFonts w:hint="eastAsia" w:ascii="宋体" w:hAnsi="宋体" w:cs="宋体"/>
                <w:color w:val="auto"/>
                <w:kern w:val="0"/>
                <w:sz w:val="24"/>
                <w:szCs w:val="24"/>
              </w:rPr>
              <w:t>；内存大小≥</w:t>
            </w:r>
            <w:r>
              <w:rPr>
                <w:rFonts w:ascii="宋体" w:hAnsi="宋体" w:cs="宋体"/>
                <w:color w:val="auto"/>
                <w:kern w:val="0"/>
                <w:sz w:val="24"/>
                <w:szCs w:val="24"/>
              </w:rPr>
              <w:t>4G</w:t>
            </w:r>
            <w:r>
              <w:rPr>
                <w:rFonts w:hint="eastAsia" w:ascii="宋体" w:hAnsi="宋体" w:cs="宋体"/>
                <w:color w:val="auto"/>
                <w:kern w:val="0"/>
                <w:sz w:val="24"/>
                <w:szCs w:val="24"/>
              </w:rPr>
              <w:t>；硬盘容量≥</w:t>
            </w:r>
            <w:r>
              <w:rPr>
                <w:rFonts w:ascii="宋体" w:hAnsi="宋体" w:cs="宋体"/>
                <w:color w:val="auto"/>
                <w:kern w:val="0"/>
                <w:sz w:val="24"/>
                <w:szCs w:val="24"/>
              </w:rPr>
              <w:t>128G minisata SSD</w:t>
            </w:r>
            <w:r>
              <w:rPr>
                <w:rFonts w:hint="eastAsia" w:ascii="宋体" w:hAnsi="宋体" w:cs="宋体"/>
                <w:color w:val="auto"/>
                <w:kern w:val="0"/>
                <w:sz w:val="24"/>
                <w:szCs w:val="24"/>
              </w:rPr>
              <w:t>；电源：单电源；接口≥</w:t>
            </w:r>
            <w:r>
              <w:rPr>
                <w:rFonts w:ascii="宋体" w:hAnsi="宋体" w:cs="宋体"/>
                <w:color w:val="auto"/>
                <w:kern w:val="0"/>
                <w:sz w:val="24"/>
                <w:szCs w:val="24"/>
              </w:rPr>
              <w:t>4</w:t>
            </w:r>
            <w:r>
              <w:rPr>
                <w:rFonts w:hint="eastAsia" w:ascii="宋体" w:hAnsi="宋体" w:cs="宋体"/>
                <w:color w:val="auto"/>
                <w:kern w:val="0"/>
                <w:sz w:val="24"/>
                <w:szCs w:val="24"/>
              </w:rPr>
              <w:t>千兆电口。</w:t>
            </w:r>
          </w:p>
          <w:p>
            <w:pPr>
              <w:snapToGrid w:val="0"/>
              <w:jc w:val="left"/>
              <w:rPr>
                <w:rFonts w:ascii="宋体"/>
                <w:color w:val="auto"/>
                <w:sz w:val="24"/>
                <w:szCs w:val="24"/>
              </w:rPr>
            </w:pPr>
            <w:r>
              <w:rPr>
                <w:rFonts w:ascii="宋体" w:hAnsi="宋体" w:cs="宋体"/>
                <w:color w:val="auto"/>
                <w:kern w:val="0"/>
                <w:sz w:val="24"/>
                <w:szCs w:val="24"/>
              </w:rPr>
              <w:t>1.3</w:t>
            </w:r>
            <w:r>
              <w:rPr>
                <w:rFonts w:hint="eastAsia" w:ascii="宋体" w:hAnsi="宋体" w:cs="宋体"/>
                <w:color w:val="auto"/>
                <w:sz w:val="24"/>
                <w:szCs w:val="24"/>
                <w:lang w:val="zh-TW" w:eastAsia="zh-TW"/>
              </w:rPr>
              <w:t>支持网关模式，网桥模式</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旁路模式</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多路桥接</w:t>
            </w:r>
            <w:r>
              <w:rPr>
                <w:rFonts w:hint="eastAsia" w:ascii="宋体" w:hAnsi="宋体" w:cs="宋体"/>
                <w:color w:val="auto"/>
                <w:sz w:val="24"/>
                <w:szCs w:val="24"/>
                <w:lang w:val="zh-TW"/>
              </w:rPr>
              <w:t>，</w:t>
            </w:r>
            <w:r>
              <w:rPr>
                <w:rFonts w:hint="eastAsia" w:ascii="宋体" w:hAnsi="宋体" w:cs="宋体"/>
                <w:color w:val="auto"/>
                <w:sz w:val="24"/>
                <w:szCs w:val="24"/>
                <w:lang w:val="zh-TW" w:eastAsia="zh-TW"/>
              </w:rPr>
              <w:t>虚拟化模式</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1.4</w:t>
            </w:r>
            <w:r>
              <w:rPr>
                <w:rFonts w:hint="eastAsia" w:ascii="宋体" w:hAnsi="宋体" w:cs="宋体"/>
                <w:color w:val="auto"/>
                <w:sz w:val="24"/>
                <w:szCs w:val="24"/>
                <w:lang w:val="zh-TW" w:eastAsia="zh-TW"/>
              </w:rPr>
              <w:t>支持部署在</w:t>
            </w:r>
            <w:r>
              <w:rPr>
                <w:rFonts w:ascii="宋体" w:hAnsi="宋体" w:cs="宋体"/>
                <w:color w:val="auto"/>
                <w:sz w:val="24"/>
                <w:szCs w:val="24"/>
              </w:rPr>
              <w:t>IPv6</w:t>
            </w:r>
            <w:r>
              <w:rPr>
                <w:rFonts w:hint="eastAsia" w:ascii="宋体" w:hAnsi="宋体" w:cs="宋体"/>
                <w:color w:val="auto"/>
                <w:sz w:val="24"/>
                <w:szCs w:val="24"/>
                <w:lang w:val="zh-TW" w:eastAsia="zh-TW"/>
              </w:rPr>
              <w:t>环境中，设备接口及部署模式均支持</w:t>
            </w:r>
            <w:r>
              <w:rPr>
                <w:rFonts w:ascii="宋体" w:hAnsi="宋体" w:cs="宋体"/>
                <w:color w:val="auto"/>
                <w:sz w:val="24"/>
                <w:szCs w:val="24"/>
              </w:rPr>
              <w:t>ipv6</w:t>
            </w:r>
            <w:r>
              <w:rPr>
                <w:rFonts w:hint="eastAsia" w:ascii="宋体" w:hAnsi="宋体" w:cs="宋体"/>
                <w:color w:val="auto"/>
                <w:sz w:val="24"/>
                <w:szCs w:val="24"/>
                <w:lang w:val="zh-TW" w:eastAsia="zh-TW"/>
              </w:rPr>
              <w:t>配置</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1.5</w:t>
            </w:r>
            <w:r>
              <w:rPr>
                <w:rFonts w:hint="eastAsia" w:ascii="宋体" w:hAnsi="宋体" w:cs="宋体"/>
                <w:color w:val="auto"/>
                <w:sz w:val="24"/>
                <w:szCs w:val="24"/>
                <w:lang w:val="zh-TW" w:eastAsia="zh-TW"/>
              </w:rPr>
              <w:t>所有核心功能（上网认证、应用控制、流量控制、内容审计、日志报表等）都支持</w:t>
            </w:r>
            <w:r>
              <w:rPr>
                <w:rFonts w:ascii="宋体" w:hAnsi="宋体" w:cs="宋体"/>
                <w:color w:val="auto"/>
                <w:sz w:val="24"/>
                <w:szCs w:val="24"/>
              </w:rPr>
              <w:t>IPv6</w:t>
            </w:r>
            <w:r>
              <w:rPr>
                <w:rFonts w:hint="eastAsia" w:ascii="宋体" w:hAnsi="宋体" w:cs="宋体"/>
                <w:color w:val="auto"/>
                <w:sz w:val="24"/>
                <w:szCs w:val="24"/>
                <w:lang w:val="zh-TW"/>
              </w:rPr>
              <w:t>。</w:t>
            </w:r>
          </w:p>
          <w:p>
            <w:pPr>
              <w:snapToGrid w:val="0"/>
              <w:jc w:val="left"/>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实时视频网络</w:t>
            </w:r>
          </w:p>
          <w:p>
            <w:pPr>
              <w:snapToGrid w:val="0"/>
              <w:jc w:val="left"/>
              <w:rPr>
                <w:rFonts w:ascii="宋体"/>
                <w:color w:val="auto"/>
                <w:sz w:val="24"/>
                <w:szCs w:val="24"/>
              </w:rPr>
            </w:pPr>
            <w:r>
              <w:rPr>
                <w:rFonts w:ascii="宋体" w:hAnsi="宋体" w:cs="宋体"/>
                <w:color w:val="auto"/>
                <w:kern w:val="0"/>
                <w:sz w:val="24"/>
                <w:szCs w:val="24"/>
              </w:rPr>
              <w:t>2.1</w:t>
            </w:r>
            <w:r>
              <w:rPr>
                <w:rFonts w:hint="eastAsia" w:ascii="宋体" w:hAnsi="宋体" w:cs="宋体"/>
                <w:color w:val="auto"/>
                <w:sz w:val="24"/>
                <w:szCs w:val="24"/>
                <w:lang w:val="zh-TW" w:eastAsia="zh-TW"/>
              </w:rPr>
              <w:t>提供设备实时</w:t>
            </w:r>
            <w:r>
              <w:rPr>
                <w:rFonts w:ascii="宋体" w:hAnsi="宋体" w:cs="宋体"/>
                <w:color w:val="auto"/>
                <w:sz w:val="24"/>
                <w:szCs w:val="24"/>
              </w:rPr>
              <w:t>CPU</w:t>
            </w:r>
            <w:r>
              <w:rPr>
                <w:rFonts w:hint="eastAsia" w:ascii="宋体" w:hAnsi="宋体" w:cs="宋体"/>
                <w:color w:val="auto"/>
                <w:sz w:val="24"/>
                <w:szCs w:val="24"/>
                <w:lang w:val="zh-TW" w:eastAsia="zh-TW"/>
              </w:rPr>
              <w:t>、内存、磁盘占有率、在线用户数、系统时间、网络接口等信息</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2.2</w:t>
            </w:r>
            <w:r>
              <w:rPr>
                <w:rFonts w:hint="eastAsia" w:ascii="宋体" w:hAnsi="宋体" w:cs="宋体"/>
                <w:color w:val="auto"/>
                <w:sz w:val="24"/>
                <w:szCs w:val="24"/>
                <w:lang w:val="zh-TW" w:eastAsia="zh-TW"/>
              </w:rPr>
              <w:t>支持首页分析显示接入用户人数、终端类型、认证方式；带宽质量分析、实时流量排名；泄密风险、违规访问、共享上网等行为风险情况</w:t>
            </w:r>
            <w:r>
              <w:rPr>
                <w:rFonts w:hint="eastAsia" w:ascii="宋体" w:hAnsi="宋体" w:cs="宋体"/>
                <w:color w:val="auto"/>
                <w:sz w:val="24"/>
                <w:szCs w:val="24"/>
                <w:lang w:val="zh-TW"/>
              </w:rPr>
              <w:t>。</w:t>
            </w:r>
          </w:p>
          <w:p>
            <w:pPr>
              <w:snapToGrid w:val="0"/>
              <w:jc w:val="left"/>
              <w:rPr>
                <w:rFonts w:ascii="宋体"/>
                <w:color w:val="auto"/>
                <w:sz w:val="24"/>
                <w:szCs w:val="24"/>
                <w:lang w:val="zh-TW"/>
              </w:rPr>
            </w:pPr>
            <w:r>
              <w:rPr>
                <w:rFonts w:ascii="宋体" w:hAnsi="宋体" w:cs="宋体"/>
                <w:color w:val="auto"/>
                <w:kern w:val="0"/>
                <w:sz w:val="24"/>
                <w:szCs w:val="24"/>
              </w:rPr>
              <w:t>2.3</w:t>
            </w:r>
            <w:r>
              <w:rPr>
                <w:rFonts w:hint="eastAsia" w:ascii="宋体" w:hAnsi="宋体" w:cs="宋体"/>
                <w:color w:val="auto"/>
                <w:sz w:val="24"/>
                <w:szCs w:val="24"/>
                <w:lang w:val="zh-TW" w:eastAsia="zh-TW"/>
              </w:rPr>
              <w:t>针对内网用户的</w:t>
            </w:r>
            <w:r>
              <w:rPr>
                <w:rFonts w:ascii="宋体" w:hAnsi="宋体" w:cs="宋体"/>
                <w:color w:val="auto"/>
                <w:sz w:val="24"/>
                <w:szCs w:val="24"/>
              </w:rPr>
              <w:t>web</w:t>
            </w:r>
            <w:r>
              <w:rPr>
                <w:rFonts w:hint="eastAsia" w:ascii="宋体" w:hAnsi="宋体" w:cs="宋体"/>
                <w:color w:val="auto"/>
                <w:sz w:val="24"/>
                <w:szCs w:val="24"/>
                <w:lang w:val="zh-TW" w:eastAsia="zh-TW"/>
              </w:rPr>
              <w:t>访问质量进行检测，对整体网络提供清晰的整体网络质量评级</w:t>
            </w:r>
            <w:r>
              <w:rPr>
                <w:rFonts w:hint="eastAsia" w:ascii="宋体" w:hAnsi="宋体" w:cs="宋体"/>
                <w:color w:val="auto"/>
                <w:sz w:val="24"/>
                <w:szCs w:val="24"/>
                <w:lang w:val="zh-TW"/>
              </w:rPr>
              <w:t>。</w:t>
            </w:r>
          </w:p>
          <w:p>
            <w:pPr>
              <w:snapToGrid w:val="0"/>
              <w:jc w:val="left"/>
              <w:rPr>
                <w:rFonts w:ascii="宋体"/>
                <w:color w:val="auto"/>
                <w:sz w:val="24"/>
                <w:szCs w:val="24"/>
                <w:lang w:val="zh-TW" w:eastAsia="zh-TW"/>
              </w:rPr>
            </w:pPr>
            <w:r>
              <w:rPr>
                <w:rFonts w:ascii="宋体" w:hAnsi="宋体" w:cs="宋体"/>
                <w:color w:val="auto"/>
                <w:kern w:val="0"/>
                <w:sz w:val="24"/>
                <w:szCs w:val="24"/>
              </w:rPr>
              <w:t>2.4</w:t>
            </w:r>
            <w:r>
              <w:rPr>
                <w:rFonts w:hint="eastAsia" w:ascii="宋体" w:hAnsi="宋体" w:cs="宋体"/>
                <w:color w:val="auto"/>
                <w:sz w:val="24"/>
                <w:szCs w:val="24"/>
                <w:lang w:val="zh-TW" w:eastAsia="zh-TW"/>
              </w:rPr>
              <w:t>支持以列表形式展示访问质量差的用户名单</w:t>
            </w:r>
          </w:p>
          <w:p>
            <w:pPr>
              <w:snapToGrid w:val="0"/>
              <w:jc w:val="left"/>
              <w:rPr>
                <w:rFonts w:ascii="宋体"/>
                <w:color w:val="auto"/>
                <w:sz w:val="24"/>
                <w:szCs w:val="24"/>
              </w:rPr>
            </w:pPr>
            <w:r>
              <w:rPr>
                <w:rFonts w:ascii="宋体" w:hAnsi="宋体" w:cs="宋体"/>
                <w:color w:val="auto"/>
                <w:kern w:val="0"/>
                <w:sz w:val="24"/>
                <w:szCs w:val="24"/>
              </w:rPr>
              <w:t>2.5</w:t>
            </w:r>
            <w:r>
              <w:rPr>
                <w:rFonts w:hint="eastAsia" w:ascii="宋体" w:hAnsi="宋体" w:cs="宋体"/>
                <w:color w:val="auto"/>
                <w:sz w:val="24"/>
                <w:szCs w:val="24"/>
                <w:lang w:val="zh-TW" w:eastAsia="zh-TW"/>
              </w:rPr>
              <w:t>支持对单用户进行定向</w:t>
            </w:r>
            <w:r>
              <w:rPr>
                <w:rFonts w:ascii="宋体" w:hAnsi="宋体" w:cs="宋体"/>
                <w:color w:val="auto"/>
                <w:sz w:val="24"/>
                <w:szCs w:val="24"/>
              </w:rPr>
              <w:t>web</w:t>
            </w:r>
            <w:r>
              <w:rPr>
                <w:rFonts w:hint="eastAsia" w:ascii="宋体" w:hAnsi="宋体" w:cs="宋体"/>
                <w:color w:val="auto"/>
                <w:sz w:val="24"/>
                <w:szCs w:val="24"/>
                <w:lang w:val="zh-TW" w:eastAsia="zh-TW"/>
              </w:rPr>
              <w:t>访问质量检测</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2.6</w:t>
            </w:r>
            <w:r>
              <w:rPr>
                <w:rFonts w:hint="eastAsia" w:ascii="宋体" w:hAnsi="宋体" w:cs="宋体"/>
                <w:color w:val="auto"/>
                <w:sz w:val="24"/>
                <w:szCs w:val="24"/>
                <w:lang w:val="zh-TW" w:eastAsia="zh-TW"/>
              </w:rPr>
              <w:t>支持</w:t>
            </w:r>
            <w:r>
              <w:rPr>
                <w:rFonts w:ascii="宋体" w:hAnsi="宋体" w:cs="宋体"/>
                <w:color w:val="auto"/>
                <w:sz w:val="24"/>
                <w:szCs w:val="24"/>
              </w:rPr>
              <w:t>PPS</w:t>
            </w:r>
            <w:r>
              <w:rPr>
                <w:rFonts w:hint="eastAsia" w:ascii="宋体" w:hAnsi="宋体" w:cs="宋体"/>
                <w:color w:val="auto"/>
                <w:sz w:val="24"/>
                <w:szCs w:val="24"/>
                <w:lang w:val="zh-TW" w:eastAsia="zh-TW"/>
              </w:rPr>
              <w:t>异常、丢包异常、</w:t>
            </w:r>
            <w:r>
              <w:rPr>
                <w:rFonts w:ascii="宋体" w:hAnsi="宋体" w:cs="宋体"/>
                <w:color w:val="auto"/>
                <w:sz w:val="24"/>
                <w:szCs w:val="24"/>
              </w:rPr>
              <w:t>ARP</w:t>
            </w:r>
            <w:r>
              <w:rPr>
                <w:rFonts w:hint="eastAsia" w:ascii="宋体" w:hAnsi="宋体" w:cs="宋体"/>
                <w:color w:val="auto"/>
                <w:sz w:val="24"/>
                <w:szCs w:val="24"/>
                <w:lang w:val="zh-TW" w:eastAsia="zh-TW"/>
              </w:rPr>
              <w:t>异常、内网</w:t>
            </w:r>
            <w:r>
              <w:rPr>
                <w:rFonts w:ascii="宋体" w:hAnsi="宋体" w:cs="宋体"/>
                <w:color w:val="auto"/>
                <w:sz w:val="24"/>
                <w:szCs w:val="24"/>
              </w:rPr>
              <w:t>DOS</w:t>
            </w:r>
            <w:r>
              <w:rPr>
                <w:rFonts w:hint="eastAsia" w:ascii="宋体" w:hAnsi="宋体" w:cs="宋体"/>
                <w:color w:val="auto"/>
                <w:sz w:val="24"/>
                <w:szCs w:val="24"/>
                <w:lang w:val="zh-TW" w:eastAsia="zh-TW"/>
              </w:rPr>
              <w:t>攻击等异常情况实时监测，显示每日异常事件个数及情况</w:t>
            </w:r>
            <w:r>
              <w:rPr>
                <w:rFonts w:hint="eastAsia" w:ascii="宋体" w:hAnsi="宋体" w:cs="宋体"/>
                <w:color w:val="auto"/>
                <w:sz w:val="24"/>
                <w:szCs w:val="24"/>
                <w:lang w:val="zh-TW"/>
              </w:rPr>
              <w:t>。</w:t>
            </w:r>
          </w:p>
          <w:p>
            <w:pPr>
              <w:snapToGrid w:val="0"/>
              <w:jc w:val="lef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用户管理</w:t>
            </w:r>
          </w:p>
          <w:p>
            <w:pPr>
              <w:snapToGrid w:val="0"/>
              <w:jc w:val="left"/>
              <w:rPr>
                <w:rFonts w:ascii="宋体"/>
                <w:color w:val="auto"/>
                <w:sz w:val="24"/>
                <w:szCs w:val="24"/>
              </w:rPr>
            </w:pPr>
            <w:r>
              <w:rPr>
                <w:rFonts w:ascii="宋体" w:hAnsi="宋体" w:cs="宋体"/>
                <w:color w:val="auto"/>
                <w:kern w:val="0"/>
                <w:sz w:val="24"/>
                <w:szCs w:val="24"/>
              </w:rPr>
              <w:t>3.1</w:t>
            </w:r>
            <w:r>
              <w:rPr>
                <w:rFonts w:hint="eastAsia" w:ascii="宋体" w:hAnsi="宋体" w:cs="宋体"/>
                <w:color w:val="auto"/>
                <w:sz w:val="24"/>
                <w:szCs w:val="24"/>
                <w:lang w:val="zh-TW" w:eastAsia="zh-TW"/>
              </w:rPr>
              <w:t>支持多种认证方式，包括本地用户名密码、第三方服务器、短信认证、微信认证、二维码认证等</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3.2</w:t>
            </w:r>
            <w:r>
              <w:rPr>
                <w:rFonts w:hint="eastAsia" w:ascii="宋体" w:hAnsi="宋体" w:cs="宋体"/>
                <w:color w:val="auto"/>
                <w:sz w:val="24"/>
                <w:szCs w:val="24"/>
                <w:lang w:val="zh-TW" w:eastAsia="zh-TW"/>
              </w:rPr>
              <w:t>支持二维码认证，管理员扫描访客的二维码后</w:t>
            </w:r>
            <w:r>
              <w:rPr>
                <w:rFonts w:ascii="宋体" w:hAnsi="宋体" w:cs="宋体"/>
                <w:color w:val="auto"/>
                <w:kern w:val="0"/>
                <w:sz w:val="24"/>
                <w:szCs w:val="24"/>
              </w:rPr>
              <w:t>3.3</w:t>
            </w:r>
            <w:r>
              <w:rPr>
                <w:rFonts w:hint="eastAsia" w:ascii="宋体" w:hAnsi="宋体" w:cs="宋体"/>
                <w:color w:val="auto"/>
                <w:sz w:val="24"/>
                <w:szCs w:val="24"/>
                <w:lang w:val="zh-TW" w:eastAsia="zh-TW"/>
              </w:rPr>
              <w:t>对其网络访问授权（提供产品界面截图）</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3.4</w:t>
            </w:r>
            <w:r>
              <w:rPr>
                <w:rFonts w:hint="eastAsia" w:ascii="宋体" w:hAnsi="宋体" w:cs="宋体"/>
                <w:color w:val="auto"/>
                <w:sz w:val="24"/>
                <w:szCs w:val="24"/>
                <w:lang w:val="zh-TW" w:eastAsia="zh-TW"/>
              </w:rPr>
              <w:t>可设置用户密码不能等于用户名。</w:t>
            </w:r>
          </w:p>
          <w:p>
            <w:pPr>
              <w:snapToGrid w:val="0"/>
              <w:jc w:val="left"/>
              <w:rPr>
                <w:rFonts w:ascii="宋体"/>
                <w:color w:val="auto"/>
                <w:sz w:val="24"/>
                <w:szCs w:val="24"/>
              </w:rPr>
            </w:pPr>
            <w:r>
              <w:rPr>
                <w:rFonts w:ascii="宋体" w:hAnsi="宋体" w:cs="宋体"/>
                <w:color w:val="auto"/>
                <w:kern w:val="0"/>
                <w:sz w:val="24"/>
                <w:szCs w:val="24"/>
              </w:rPr>
              <w:t>3.5</w:t>
            </w:r>
            <w:r>
              <w:rPr>
                <w:rFonts w:hint="eastAsia" w:ascii="宋体" w:hAnsi="宋体" w:cs="宋体"/>
                <w:color w:val="auto"/>
                <w:sz w:val="24"/>
                <w:szCs w:val="24"/>
                <w:lang w:val="zh-TW" w:eastAsia="zh-TW"/>
              </w:rPr>
              <w:t>新密码不能与旧密码相同。</w:t>
            </w:r>
          </w:p>
          <w:p>
            <w:pPr>
              <w:snapToGrid w:val="0"/>
              <w:jc w:val="left"/>
              <w:rPr>
                <w:rFonts w:ascii="宋体"/>
                <w:color w:val="auto"/>
                <w:sz w:val="24"/>
                <w:szCs w:val="24"/>
              </w:rPr>
            </w:pPr>
            <w:r>
              <w:rPr>
                <w:rFonts w:ascii="宋体" w:hAnsi="宋体" w:cs="宋体"/>
                <w:color w:val="auto"/>
                <w:kern w:val="0"/>
                <w:sz w:val="24"/>
                <w:szCs w:val="24"/>
              </w:rPr>
              <w:t>3.6</w:t>
            </w:r>
            <w:r>
              <w:rPr>
                <w:rFonts w:hint="eastAsia" w:ascii="宋体" w:hAnsi="宋体" w:cs="宋体"/>
                <w:color w:val="auto"/>
                <w:sz w:val="24"/>
                <w:szCs w:val="24"/>
                <w:lang w:val="zh-TW" w:eastAsia="zh-TW"/>
              </w:rPr>
              <w:t>可设置密码最小长度。</w:t>
            </w:r>
          </w:p>
          <w:p>
            <w:pPr>
              <w:snapToGrid w:val="0"/>
              <w:jc w:val="left"/>
              <w:rPr>
                <w:rFonts w:ascii="宋体"/>
                <w:color w:val="auto"/>
                <w:sz w:val="24"/>
                <w:szCs w:val="24"/>
              </w:rPr>
            </w:pPr>
            <w:r>
              <w:rPr>
                <w:rFonts w:ascii="宋体" w:hAnsi="宋体" w:cs="宋体"/>
                <w:color w:val="auto"/>
                <w:kern w:val="0"/>
                <w:sz w:val="24"/>
                <w:szCs w:val="24"/>
              </w:rPr>
              <w:t>3.7</w:t>
            </w:r>
            <w:r>
              <w:rPr>
                <w:rFonts w:hint="eastAsia" w:ascii="宋体" w:hAnsi="宋体" w:cs="宋体"/>
                <w:color w:val="auto"/>
                <w:sz w:val="24"/>
                <w:szCs w:val="24"/>
                <w:lang w:val="zh-TW" w:eastAsia="zh-TW"/>
              </w:rPr>
              <w:t>可设置密码必须包括数字或字母或特殊字符。</w:t>
            </w:r>
            <w:r>
              <w:rPr>
                <w:rFonts w:ascii="宋体" w:hAnsi="宋体" w:cs="宋体"/>
                <w:color w:val="auto"/>
                <w:kern w:val="0"/>
                <w:sz w:val="24"/>
                <w:szCs w:val="24"/>
              </w:rPr>
              <w:t>3.8</w:t>
            </w:r>
            <w:r>
              <w:rPr>
                <w:rFonts w:hint="eastAsia" w:ascii="宋体" w:hAnsi="宋体" w:cs="宋体"/>
                <w:color w:val="auto"/>
                <w:sz w:val="24"/>
                <w:szCs w:val="24"/>
              </w:rPr>
              <w:t>设备能够发现私接路由（或者共享软件等）共享网络的行为：支持自定义配置终端数量和冻结时间，和添加信任列表。支持显示以</w:t>
            </w:r>
            <w:r>
              <w:rPr>
                <w:rFonts w:ascii="宋体" w:hAnsi="宋体" w:cs="宋体"/>
                <w:color w:val="auto"/>
                <w:sz w:val="24"/>
                <w:szCs w:val="24"/>
              </w:rPr>
              <w:t>IP</w:t>
            </w:r>
            <w:r>
              <w:rPr>
                <w:rFonts w:hint="eastAsia" w:ascii="宋体" w:hAnsi="宋体" w:cs="宋体"/>
                <w:color w:val="auto"/>
                <w:sz w:val="24"/>
                <w:szCs w:val="24"/>
              </w:rPr>
              <w:t>或用户名的维度统计一段时间内的趋势图。支持例外排除功能：如指定例外条件</w:t>
            </w:r>
            <w:r>
              <w:rPr>
                <w:rFonts w:ascii="宋体" w:hAnsi="宋体" w:cs="宋体"/>
                <w:color w:val="auto"/>
                <w:sz w:val="24"/>
                <w:szCs w:val="24"/>
              </w:rPr>
              <w:t>1</w:t>
            </w:r>
            <w:r>
              <w:rPr>
                <w:rFonts w:hint="eastAsia" w:ascii="宋体" w:hAnsi="宋体" w:cs="宋体"/>
                <w:color w:val="auto"/>
                <w:sz w:val="24"/>
                <w:szCs w:val="24"/>
              </w:rPr>
              <w:t>台</w:t>
            </w:r>
            <w:r>
              <w:rPr>
                <w:rFonts w:ascii="宋体" w:hAnsi="宋体" w:cs="宋体"/>
                <w:color w:val="auto"/>
                <w:sz w:val="24"/>
                <w:szCs w:val="24"/>
              </w:rPr>
              <w:t>PC</w:t>
            </w: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个终端。当</w:t>
            </w:r>
            <w:r>
              <w:rPr>
                <w:rFonts w:ascii="宋体" w:hAnsi="宋体" w:cs="宋体"/>
                <w:color w:val="auto"/>
                <w:sz w:val="24"/>
                <w:szCs w:val="24"/>
              </w:rPr>
              <w:t>PC</w:t>
            </w:r>
            <w:r>
              <w:rPr>
                <w:rFonts w:hint="eastAsia" w:ascii="宋体" w:hAnsi="宋体" w:cs="宋体"/>
                <w:color w:val="auto"/>
                <w:sz w:val="24"/>
                <w:szCs w:val="24"/>
              </w:rPr>
              <w:t>或终端数超过例外条件才会被判定为共享。</w:t>
            </w:r>
          </w:p>
          <w:p>
            <w:pPr>
              <w:snapToGrid w:val="0"/>
              <w:jc w:val="left"/>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上网行为审计</w:t>
            </w:r>
          </w:p>
          <w:p>
            <w:pPr>
              <w:snapToGrid w:val="0"/>
              <w:jc w:val="left"/>
              <w:rPr>
                <w:rFonts w:ascii="宋体"/>
                <w:color w:val="auto"/>
                <w:sz w:val="24"/>
                <w:szCs w:val="24"/>
              </w:rPr>
            </w:pPr>
            <w:r>
              <w:rPr>
                <w:rFonts w:ascii="宋体" w:hAnsi="宋体" w:cs="宋体"/>
                <w:color w:val="auto"/>
                <w:kern w:val="0"/>
                <w:sz w:val="24"/>
                <w:szCs w:val="24"/>
              </w:rPr>
              <w:t>4.1</w:t>
            </w:r>
            <w:r>
              <w:rPr>
                <w:rFonts w:hint="eastAsia" w:ascii="宋体" w:hAnsi="宋体" w:cs="宋体"/>
                <w:color w:val="auto"/>
                <w:sz w:val="24"/>
                <w:szCs w:val="24"/>
                <w:lang w:val="zh-TW" w:eastAsia="zh-TW"/>
              </w:rPr>
              <w:t>支持记录全部或者指定类别</w:t>
            </w:r>
            <w:r>
              <w:rPr>
                <w:rFonts w:ascii="宋体" w:hAnsi="宋体" w:cs="宋体"/>
                <w:color w:val="auto"/>
                <w:sz w:val="24"/>
                <w:szCs w:val="24"/>
              </w:rPr>
              <w:t>URL</w:t>
            </w:r>
            <w:r>
              <w:rPr>
                <w:rFonts w:hint="eastAsia" w:ascii="宋体" w:hAnsi="宋体" w:cs="宋体"/>
                <w:color w:val="auto"/>
                <w:sz w:val="24"/>
                <w:szCs w:val="24"/>
                <w:lang w:val="zh-TW" w:eastAsia="zh-TW"/>
              </w:rPr>
              <w:t>、网页标题等信息</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4.2</w:t>
            </w:r>
            <w:r>
              <w:rPr>
                <w:rFonts w:hint="eastAsia" w:ascii="宋体" w:hAnsi="宋体" w:cs="宋体"/>
                <w:color w:val="auto"/>
                <w:sz w:val="24"/>
                <w:szCs w:val="24"/>
                <w:lang w:val="zh-TW" w:eastAsia="zh-TW"/>
              </w:rPr>
              <w:t>审计</w:t>
            </w:r>
            <w:r>
              <w:rPr>
                <w:rFonts w:ascii="宋体" w:hAnsi="宋体" w:cs="宋体"/>
                <w:color w:val="auto"/>
                <w:sz w:val="24"/>
                <w:szCs w:val="24"/>
              </w:rPr>
              <w:t>SSL</w:t>
            </w:r>
            <w:r>
              <w:rPr>
                <w:rFonts w:hint="eastAsia" w:ascii="宋体" w:hAnsi="宋体" w:cs="宋体"/>
                <w:color w:val="auto"/>
                <w:sz w:val="24"/>
                <w:szCs w:val="24"/>
                <w:lang w:val="zh-TW" w:eastAsia="zh-TW"/>
              </w:rPr>
              <w:t>网页时，支持加密证书自动分发功能，用户点击网页上的工具即可一次性安装完成。解决管理员给每台</w:t>
            </w:r>
            <w:r>
              <w:rPr>
                <w:rFonts w:ascii="宋体" w:hAnsi="宋体" w:cs="宋体"/>
                <w:color w:val="auto"/>
                <w:sz w:val="24"/>
                <w:szCs w:val="24"/>
              </w:rPr>
              <w:t>PC</w:t>
            </w:r>
            <w:r>
              <w:rPr>
                <w:rFonts w:hint="eastAsia" w:ascii="宋体" w:hAnsi="宋体" w:cs="宋体"/>
                <w:color w:val="auto"/>
                <w:sz w:val="24"/>
                <w:szCs w:val="24"/>
                <w:lang w:val="zh-TW" w:eastAsia="zh-TW"/>
              </w:rPr>
              <w:t>单独安装证书的问题</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4.3</w:t>
            </w:r>
            <w:r>
              <w:rPr>
                <w:rFonts w:hint="eastAsia" w:ascii="宋体" w:hAnsi="宋体" w:cs="宋体"/>
                <w:color w:val="auto"/>
                <w:sz w:val="24"/>
                <w:szCs w:val="24"/>
                <w:lang w:val="zh-TW" w:eastAsia="zh-TW"/>
              </w:rPr>
              <w:t>支持记录</w:t>
            </w:r>
            <w:r>
              <w:rPr>
                <w:rFonts w:ascii="宋体" w:hAnsi="宋体" w:cs="宋体"/>
                <w:color w:val="auto"/>
                <w:sz w:val="24"/>
                <w:szCs w:val="24"/>
              </w:rPr>
              <w:t>QQ</w:t>
            </w:r>
            <w:r>
              <w:rPr>
                <w:rFonts w:hint="eastAsia" w:ascii="宋体" w:hAnsi="宋体" w:cs="宋体"/>
                <w:color w:val="auto"/>
                <w:sz w:val="24"/>
                <w:szCs w:val="24"/>
                <w:lang w:val="zh-TW" w:eastAsia="zh-TW"/>
              </w:rPr>
              <w:t>、</w:t>
            </w:r>
            <w:r>
              <w:rPr>
                <w:rFonts w:ascii="宋体" w:hAnsi="宋体" w:cs="宋体"/>
                <w:color w:val="auto"/>
                <w:sz w:val="24"/>
                <w:szCs w:val="24"/>
              </w:rPr>
              <w:t>TIM</w:t>
            </w:r>
            <w:r>
              <w:rPr>
                <w:rFonts w:hint="eastAsia" w:ascii="宋体" w:hAnsi="宋体" w:cs="宋体"/>
                <w:color w:val="auto"/>
                <w:sz w:val="24"/>
                <w:szCs w:val="24"/>
                <w:lang w:val="zh-TW" w:eastAsia="zh-TW"/>
              </w:rPr>
              <w:t>、微信、</w:t>
            </w:r>
            <w:r>
              <w:rPr>
                <w:rFonts w:ascii="宋体" w:hAnsi="宋体" w:cs="宋体"/>
                <w:color w:val="auto"/>
                <w:sz w:val="24"/>
                <w:szCs w:val="24"/>
              </w:rPr>
              <w:t>skype</w:t>
            </w:r>
            <w:r>
              <w:rPr>
                <w:rFonts w:hint="eastAsia" w:ascii="宋体" w:hAnsi="宋体" w:cs="宋体"/>
                <w:color w:val="auto"/>
                <w:sz w:val="24"/>
                <w:szCs w:val="24"/>
                <w:lang w:val="zh-TW" w:eastAsia="zh-TW"/>
              </w:rPr>
              <w:t>、</w:t>
            </w:r>
            <w:r>
              <w:rPr>
                <w:rFonts w:ascii="宋体" w:hAnsi="宋体" w:cs="宋体"/>
                <w:color w:val="auto"/>
                <w:sz w:val="24"/>
                <w:szCs w:val="24"/>
              </w:rPr>
              <w:t>MSN</w:t>
            </w:r>
            <w:r>
              <w:rPr>
                <w:rFonts w:hint="eastAsia" w:ascii="宋体" w:hAnsi="宋体" w:cs="宋体"/>
                <w:color w:val="auto"/>
                <w:sz w:val="24"/>
                <w:szCs w:val="24"/>
                <w:lang w:val="zh-TW" w:eastAsia="zh-TW"/>
              </w:rPr>
              <w:t>等主流</w:t>
            </w:r>
            <w:r>
              <w:rPr>
                <w:rFonts w:ascii="宋体" w:hAnsi="宋体" w:cs="宋体"/>
                <w:color w:val="auto"/>
                <w:sz w:val="24"/>
                <w:szCs w:val="24"/>
              </w:rPr>
              <w:t>IM</w:t>
            </w:r>
            <w:r>
              <w:rPr>
                <w:rFonts w:hint="eastAsia" w:ascii="宋体" w:hAnsi="宋体" w:cs="宋体"/>
                <w:color w:val="auto"/>
                <w:sz w:val="24"/>
                <w:szCs w:val="24"/>
                <w:lang w:val="zh-TW" w:eastAsia="zh-TW"/>
              </w:rPr>
              <w:t>聊天行为和内容</w:t>
            </w:r>
            <w:r>
              <w:rPr>
                <w:rFonts w:hint="eastAsia" w:ascii="宋体" w:hAnsi="宋体" w:cs="宋体"/>
                <w:color w:val="auto"/>
                <w:sz w:val="24"/>
                <w:szCs w:val="24"/>
                <w:lang w:val="zh-TW"/>
              </w:rPr>
              <w:t>。</w:t>
            </w:r>
          </w:p>
          <w:p>
            <w:pPr>
              <w:snapToGrid w:val="0"/>
              <w:jc w:val="left"/>
              <w:rPr>
                <w:rFonts w:ascii="宋体"/>
                <w:color w:val="auto"/>
                <w:sz w:val="24"/>
                <w:szCs w:val="24"/>
                <w:lang w:val="zh-TW"/>
              </w:rPr>
            </w:pPr>
            <w:r>
              <w:rPr>
                <w:rFonts w:ascii="宋体" w:hAnsi="宋体" w:cs="宋体"/>
                <w:color w:val="auto"/>
                <w:kern w:val="0"/>
                <w:sz w:val="24"/>
                <w:szCs w:val="24"/>
              </w:rPr>
              <w:t>4.4</w:t>
            </w:r>
            <w:r>
              <w:rPr>
                <w:rFonts w:hint="eastAsia" w:ascii="宋体" w:hAnsi="宋体" w:cs="宋体"/>
                <w:color w:val="auto"/>
                <w:sz w:val="24"/>
                <w:szCs w:val="24"/>
                <w:lang w:val="zh-TW" w:eastAsia="zh-TW"/>
              </w:rPr>
              <w:t>支持根据</w:t>
            </w:r>
            <w:r>
              <w:rPr>
                <w:rFonts w:ascii="宋体" w:hAnsi="宋体" w:cs="宋体"/>
                <w:color w:val="auto"/>
                <w:sz w:val="24"/>
                <w:szCs w:val="24"/>
              </w:rPr>
              <w:t>QQ</w:t>
            </w:r>
            <w:r>
              <w:rPr>
                <w:rFonts w:hint="eastAsia" w:ascii="宋体" w:hAnsi="宋体" w:cs="宋体"/>
                <w:color w:val="auto"/>
                <w:sz w:val="24"/>
                <w:szCs w:val="24"/>
                <w:lang w:val="zh-TW" w:eastAsia="zh-TW"/>
              </w:rPr>
              <w:t>、微信账号查询</w:t>
            </w:r>
            <w:r>
              <w:rPr>
                <w:rFonts w:ascii="宋体" w:hAnsi="宋体" w:cs="宋体"/>
                <w:color w:val="auto"/>
                <w:sz w:val="24"/>
                <w:szCs w:val="24"/>
              </w:rPr>
              <w:t>IM</w:t>
            </w:r>
            <w:r>
              <w:rPr>
                <w:rFonts w:hint="eastAsia" w:ascii="宋体" w:hAnsi="宋体" w:cs="宋体"/>
                <w:color w:val="auto"/>
                <w:sz w:val="24"/>
                <w:szCs w:val="24"/>
                <w:lang w:val="zh-TW" w:eastAsia="zh-TW"/>
              </w:rPr>
              <w:t>聊天行为和内容</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4.5</w:t>
            </w:r>
            <w:r>
              <w:rPr>
                <w:rFonts w:hint="eastAsia" w:ascii="宋体" w:hAnsi="宋体" w:cs="宋体"/>
                <w:color w:val="auto"/>
                <w:sz w:val="24"/>
                <w:szCs w:val="24"/>
                <w:lang w:val="zh-TW" w:eastAsia="zh-TW"/>
              </w:rPr>
              <w:t>记录</w:t>
            </w:r>
            <w:r>
              <w:rPr>
                <w:rFonts w:ascii="宋体" w:hAnsi="宋体" w:cs="宋体"/>
                <w:color w:val="auto"/>
                <w:sz w:val="24"/>
                <w:szCs w:val="24"/>
              </w:rPr>
              <w:t>QQ</w:t>
            </w:r>
            <w:r>
              <w:rPr>
                <w:rFonts w:hint="eastAsia" w:ascii="宋体" w:hAnsi="宋体" w:cs="宋体"/>
                <w:color w:val="auto"/>
                <w:sz w:val="24"/>
                <w:szCs w:val="24"/>
                <w:lang w:val="zh-TW" w:eastAsia="zh-TW"/>
              </w:rPr>
              <w:t>、微信传文件动作和所传文件内容，并可指定记录传文件类型和文件长度</w:t>
            </w:r>
            <w:r>
              <w:rPr>
                <w:rFonts w:hint="eastAsia" w:ascii="宋体" w:hAnsi="宋体" w:cs="宋体"/>
                <w:color w:val="auto"/>
                <w:sz w:val="24"/>
                <w:szCs w:val="24"/>
                <w:lang w:val="zh-TW"/>
              </w:rPr>
              <w:t>。</w:t>
            </w:r>
          </w:p>
          <w:p>
            <w:pPr>
              <w:snapToGrid w:val="0"/>
              <w:jc w:val="left"/>
              <w:rPr>
                <w:rFonts w:ascii="宋体"/>
                <w:color w:val="auto"/>
                <w:sz w:val="24"/>
                <w:szCs w:val="24"/>
                <w:lang w:val="zh-TW"/>
              </w:rPr>
            </w:pPr>
            <w:r>
              <w:rPr>
                <w:rFonts w:ascii="宋体" w:hAnsi="宋体" w:cs="宋体"/>
                <w:color w:val="auto"/>
                <w:kern w:val="0"/>
                <w:sz w:val="24"/>
                <w:szCs w:val="24"/>
              </w:rPr>
              <w:t>4.6</w:t>
            </w:r>
            <w:r>
              <w:rPr>
                <w:rFonts w:hint="eastAsia" w:ascii="宋体" w:hAnsi="宋体" w:cs="宋体"/>
                <w:color w:val="auto"/>
                <w:sz w:val="24"/>
                <w:szCs w:val="24"/>
                <w:lang w:val="zh-TW" w:eastAsia="zh-TW"/>
              </w:rPr>
              <w:t>支持同时审计</w:t>
            </w:r>
            <w:r>
              <w:rPr>
                <w:rFonts w:ascii="宋体" w:hAnsi="宋体" w:cs="宋体"/>
                <w:color w:val="auto"/>
                <w:sz w:val="24"/>
                <w:szCs w:val="24"/>
              </w:rPr>
              <w:t>QQ</w:t>
            </w:r>
            <w:r>
              <w:rPr>
                <w:rFonts w:hint="eastAsia" w:ascii="宋体" w:hAnsi="宋体" w:cs="宋体"/>
                <w:color w:val="auto"/>
                <w:sz w:val="24"/>
                <w:szCs w:val="24"/>
                <w:lang w:val="zh-TW" w:eastAsia="zh-TW"/>
              </w:rPr>
              <w:t>聊天内容和</w:t>
            </w:r>
            <w:r>
              <w:rPr>
                <w:rFonts w:ascii="宋体" w:hAnsi="宋体" w:cs="宋体"/>
                <w:color w:val="auto"/>
                <w:sz w:val="24"/>
                <w:szCs w:val="24"/>
              </w:rPr>
              <w:t>QQ</w:t>
            </w:r>
            <w:r>
              <w:rPr>
                <w:rFonts w:hint="eastAsia" w:ascii="宋体" w:hAnsi="宋体" w:cs="宋体"/>
                <w:color w:val="auto"/>
                <w:sz w:val="24"/>
                <w:szCs w:val="24"/>
                <w:lang w:val="zh-TW" w:eastAsia="zh-TW"/>
              </w:rPr>
              <w:t>传文件内容。</w:t>
            </w:r>
          </w:p>
          <w:p>
            <w:pPr>
              <w:snapToGrid w:val="0"/>
              <w:jc w:val="left"/>
              <w:rPr>
                <w:rFonts w:ascii="宋体"/>
                <w:color w:val="auto"/>
                <w:sz w:val="24"/>
                <w:szCs w:val="24"/>
                <w:lang w:val="zh-TW"/>
              </w:rPr>
            </w:pPr>
            <w:r>
              <w:rPr>
                <w:rFonts w:ascii="宋体" w:hAnsi="宋体" w:cs="宋体"/>
                <w:color w:val="auto"/>
                <w:kern w:val="0"/>
                <w:sz w:val="24"/>
                <w:szCs w:val="24"/>
              </w:rPr>
              <w:t>4.7</w:t>
            </w:r>
            <w:r>
              <w:rPr>
                <w:rFonts w:hint="eastAsia" w:ascii="宋体" w:hAnsi="宋体" w:cs="宋体"/>
                <w:color w:val="auto"/>
                <w:sz w:val="24"/>
                <w:szCs w:val="24"/>
                <w:lang w:val="zh-TW" w:eastAsia="zh-TW"/>
              </w:rPr>
              <w:t>支持准入客户端与</w:t>
            </w:r>
            <w:r>
              <w:rPr>
                <w:rFonts w:ascii="宋体" w:hAnsi="宋体" w:cs="宋体"/>
                <w:color w:val="auto"/>
                <w:sz w:val="24"/>
                <w:szCs w:val="24"/>
                <w:lang w:val="zh-TW" w:eastAsia="zh-TW"/>
              </w:rPr>
              <w:t>AC</w:t>
            </w:r>
            <w:r>
              <w:rPr>
                <w:rFonts w:hint="eastAsia" w:ascii="宋体" w:hAnsi="宋体" w:cs="宋体"/>
                <w:color w:val="auto"/>
                <w:sz w:val="24"/>
                <w:szCs w:val="24"/>
                <w:lang w:val="zh-TW" w:eastAsia="zh-TW"/>
              </w:rPr>
              <w:t>连接断开的情况下</w:t>
            </w:r>
            <w:r>
              <w:rPr>
                <w:rFonts w:hint="eastAsia" w:ascii="宋体" w:hAnsi="宋体" w:cs="宋体"/>
                <w:color w:val="auto"/>
                <w:sz w:val="24"/>
                <w:szCs w:val="24"/>
              </w:rPr>
              <w:t>对</w:t>
            </w:r>
            <w:r>
              <w:rPr>
                <w:rFonts w:ascii="宋体" w:hAnsi="宋体" w:cs="宋体"/>
                <w:color w:val="auto"/>
                <w:sz w:val="24"/>
                <w:szCs w:val="24"/>
                <w:lang w:val="zh-TW" w:eastAsia="zh-TW"/>
              </w:rPr>
              <w:t>U</w:t>
            </w:r>
            <w:r>
              <w:rPr>
                <w:rFonts w:hint="eastAsia" w:ascii="宋体" w:hAnsi="宋体" w:cs="宋体"/>
                <w:color w:val="auto"/>
                <w:sz w:val="24"/>
                <w:szCs w:val="24"/>
                <w:lang w:val="zh-TW" w:eastAsia="zh-TW"/>
              </w:rPr>
              <w:t>盘和</w:t>
            </w:r>
            <w:r>
              <w:rPr>
                <w:rFonts w:ascii="宋体" w:hAnsi="宋体" w:cs="宋体"/>
                <w:color w:val="auto"/>
                <w:sz w:val="24"/>
                <w:szCs w:val="24"/>
                <w:lang w:val="zh-TW" w:eastAsia="zh-TW"/>
              </w:rPr>
              <w:t>IM</w:t>
            </w:r>
            <w:r>
              <w:rPr>
                <w:rFonts w:hint="eastAsia" w:ascii="宋体" w:hAnsi="宋体" w:cs="宋体"/>
                <w:color w:val="auto"/>
                <w:sz w:val="24"/>
                <w:szCs w:val="24"/>
              </w:rPr>
              <w:t>进行</w:t>
            </w:r>
            <w:r>
              <w:rPr>
                <w:rFonts w:hint="eastAsia" w:ascii="宋体" w:hAnsi="宋体" w:cs="宋体"/>
                <w:color w:val="auto"/>
                <w:sz w:val="24"/>
                <w:szCs w:val="24"/>
                <w:lang w:val="zh-TW" w:eastAsia="zh-TW"/>
              </w:rPr>
              <w:t>离线审计</w:t>
            </w:r>
            <w:r>
              <w:rPr>
                <w:rFonts w:hint="eastAsia" w:ascii="宋体" w:hAnsi="宋体" w:cs="宋体"/>
                <w:color w:val="auto"/>
                <w:sz w:val="24"/>
                <w:szCs w:val="24"/>
              </w:rPr>
              <w:t>。</w:t>
            </w:r>
          </w:p>
          <w:p>
            <w:pPr>
              <w:snapToGrid w:val="0"/>
              <w:jc w:val="left"/>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应用管理</w:t>
            </w:r>
          </w:p>
          <w:p>
            <w:pPr>
              <w:snapToGrid w:val="0"/>
              <w:jc w:val="left"/>
              <w:rPr>
                <w:rFonts w:ascii="宋体"/>
                <w:color w:val="auto"/>
                <w:sz w:val="24"/>
                <w:szCs w:val="24"/>
              </w:rPr>
            </w:pPr>
            <w:r>
              <w:rPr>
                <w:rFonts w:ascii="宋体" w:hAnsi="宋体" w:cs="宋体"/>
                <w:color w:val="auto"/>
                <w:kern w:val="0"/>
                <w:sz w:val="24"/>
                <w:szCs w:val="24"/>
              </w:rPr>
              <w:t>5.1</w:t>
            </w:r>
            <w:r>
              <w:rPr>
                <w:rFonts w:hint="eastAsia" w:ascii="宋体" w:hAnsi="宋体" w:cs="宋体"/>
                <w:color w:val="auto"/>
                <w:sz w:val="24"/>
                <w:szCs w:val="24"/>
                <w:lang w:val="zh-TW" w:eastAsia="zh-TW"/>
              </w:rPr>
              <w:t>设备内置应用识别规则库，支持超过</w:t>
            </w:r>
            <w:r>
              <w:rPr>
                <w:rFonts w:ascii="宋体" w:hAnsi="宋体" w:cs="宋体"/>
                <w:color w:val="auto"/>
                <w:sz w:val="24"/>
                <w:szCs w:val="24"/>
              </w:rPr>
              <w:t>6000</w:t>
            </w:r>
            <w:r>
              <w:rPr>
                <w:rFonts w:hint="eastAsia" w:ascii="宋体" w:hAnsi="宋体" w:cs="宋体"/>
                <w:color w:val="auto"/>
                <w:sz w:val="24"/>
                <w:szCs w:val="24"/>
                <w:lang w:val="zh-TW" w:eastAsia="zh-TW"/>
              </w:rPr>
              <w:t>条应用规则数，支持超过</w:t>
            </w:r>
            <w:r>
              <w:rPr>
                <w:rFonts w:ascii="宋体" w:hAnsi="宋体" w:cs="宋体"/>
                <w:color w:val="auto"/>
                <w:sz w:val="24"/>
                <w:szCs w:val="24"/>
              </w:rPr>
              <w:t>2800</w:t>
            </w:r>
            <w:r>
              <w:rPr>
                <w:rFonts w:hint="eastAsia" w:ascii="宋体" w:hAnsi="宋体" w:cs="宋体"/>
                <w:color w:val="auto"/>
                <w:sz w:val="24"/>
                <w:szCs w:val="24"/>
                <w:lang w:val="zh-TW" w:eastAsia="zh-TW"/>
              </w:rPr>
              <w:t>种以上的应用，</w:t>
            </w:r>
            <w:r>
              <w:rPr>
                <w:rFonts w:ascii="宋体" w:hAnsi="宋体" w:cs="宋体"/>
                <w:color w:val="auto"/>
                <w:sz w:val="24"/>
                <w:szCs w:val="24"/>
              </w:rPr>
              <w:t>1000</w:t>
            </w:r>
            <w:r>
              <w:rPr>
                <w:rFonts w:hint="eastAsia" w:ascii="宋体" w:hAnsi="宋体" w:cs="宋体"/>
                <w:color w:val="auto"/>
                <w:sz w:val="24"/>
                <w:szCs w:val="24"/>
                <w:lang w:val="zh-TW" w:eastAsia="zh-TW"/>
              </w:rPr>
              <w:t>种以上移动应用，并保持每两个星期更新一次，保证应用识别的准确率</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5.2</w:t>
            </w:r>
            <w:r>
              <w:rPr>
                <w:rFonts w:hint="eastAsia" w:ascii="宋体" w:hAnsi="宋体" w:cs="宋体"/>
                <w:color w:val="auto"/>
                <w:sz w:val="24"/>
                <w:szCs w:val="24"/>
                <w:lang w:val="zh-TW" w:eastAsia="zh-TW"/>
              </w:rPr>
              <w:t>支持根据</w:t>
            </w:r>
            <w:r>
              <w:rPr>
                <w:rFonts w:ascii="宋体" w:hAnsi="宋体" w:cs="宋体"/>
                <w:color w:val="auto"/>
                <w:sz w:val="24"/>
                <w:szCs w:val="24"/>
              </w:rPr>
              <w:t>IP</w:t>
            </w:r>
            <w:r>
              <w:rPr>
                <w:rFonts w:hint="eastAsia" w:ascii="宋体" w:hAnsi="宋体" w:cs="宋体"/>
                <w:color w:val="auto"/>
                <w:sz w:val="24"/>
                <w:szCs w:val="24"/>
                <w:lang w:val="zh-TW" w:eastAsia="zh-TW"/>
              </w:rPr>
              <w:t>、端口、协议等自定义应用规则</w:t>
            </w:r>
            <w:r>
              <w:rPr>
                <w:rFonts w:hint="eastAsia" w:ascii="宋体" w:hAnsi="宋体" w:cs="宋体"/>
                <w:color w:val="auto"/>
                <w:sz w:val="24"/>
                <w:szCs w:val="24"/>
                <w:lang w:val="zh-TW"/>
              </w:rPr>
              <w:t>。</w:t>
            </w:r>
            <w:r>
              <w:rPr>
                <w:rFonts w:ascii="宋体" w:hAnsi="宋体" w:cs="宋体"/>
                <w:color w:val="auto"/>
                <w:kern w:val="0"/>
                <w:sz w:val="24"/>
                <w:szCs w:val="24"/>
              </w:rPr>
              <w:t>5.3</w:t>
            </w:r>
            <w:r>
              <w:rPr>
                <w:rFonts w:hint="eastAsia" w:ascii="宋体" w:hAnsi="宋体" w:cs="宋体"/>
                <w:color w:val="auto"/>
                <w:sz w:val="24"/>
                <w:szCs w:val="24"/>
                <w:lang w:val="zh-TW" w:eastAsia="zh-TW"/>
              </w:rPr>
              <w:t>支持根据不同的应用类型或具体的某种应用设置允许或拒绝</w:t>
            </w:r>
            <w:r>
              <w:rPr>
                <w:rFonts w:hint="eastAsia" w:ascii="宋体" w:hAnsi="宋体" w:cs="宋体"/>
                <w:color w:val="auto"/>
                <w:sz w:val="24"/>
                <w:szCs w:val="24"/>
                <w:lang w:val="zh-TW"/>
              </w:rPr>
              <w:t>。</w:t>
            </w:r>
          </w:p>
          <w:p>
            <w:pPr>
              <w:snapToGrid w:val="0"/>
              <w:jc w:val="left"/>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流量控制</w:t>
            </w:r>
          </w:p>
          <w:p>
            <w:pPr>
              <w:snapToGrid w:val="0"/>
              <w:jc w:val="left"/>
              <w:rPr>
                <w:rFonts w:ascii="宋体"/>
                <w:color w:val="auto"/>
                <w:sz w:val="24"/>
                <w:szCs w:val="24"/>
              </w:rPr>
            </w:pPr>
            <w:r>
              <w:rPr>
                <w:rFonts w:ascii="宋体" w:hAnsi="宋体" w:cs="宋体"/>
                <w:color w:val="auto"/>
                <w:kern w:val="0"/>
                <w:sz w:val="24"/>
                <w:szCs w:val="24"/>
              </w:rPr>
              <w:t>6.1</w:t>
            </w:r>
            <w:r>
              <w:rPr>
                <w:rFonts w:hint="eastAsia" w:ascii="宋体" w:hAnsi="宋体" w:cs="宋体"/>
                <w:color w:val="auto"/>
                <w:sz w:val="24"/>
                <w:szCs w:val="24"/>
                <w:lang w:val="zh-TW" w:eastAsia="zh-TW"/>
              </w:rPr>
              <w:t>支持在不同线路上，根据不同的应用、用户</w:t>
            </w:r>
            <w:r>
              <w:rPr>
                <w:rFonts w:ascii="宋体" w:hAnsi="宋体" w:cs="宋体"/>
                <w:color w:val="auto"/>
                <w:sz w:val="24"/>
                <w:szCs w:val="24"/>
              </w:rPr>
              <w:t>/</w:t>
            </w:r>
            <w:r>
              <w:rPr>
                <w:rFonts w:hint="eastAsia" w:ascii="宋体" w:hAnsi="宋体" w:cs="宋体"/>
                <w:color w:val="auto"/>
                <w:sz w:val="24"/>
                <w:szCs w:val="24"/>
                <w:lang w:val="zh-TW" w:eastAsia="zh-TW"/>
              </w:rPr>
              <w:t>用户组、位置、终端类型来保证或者限制流量</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6.2</w:t>
            </w:r>
            <w:r>
              <w:rPr>
                <w:rFonts w:hint="eastAsia" w:ascii="宋体" w:hAnsi="宋体" w:cs="宋体"/>
                <w:color w:val="auto"/>
                <w:sz w:val="24"/>
                <w:szCs w:val="24"/>
                <w:lang w:val="zh-TW" w:eastAsia="zh-TW"/>
              </w:rPr>
              <w:t>支持根据百分比或数值设置通道带宽，并支持设置各通道的优先级</w:t>
            </w:r>
            <w:r>
              <w:rPr>
                <w:rFonts w:hint="eastAsia" w:ascii="宋体" w:hAnsi="宋体" w:cs="宋体"/>
                <w:color w:val="auto"/>
                <w:sz w:val="24"/>
                <w:szCs w:val="24"/>
                <w:lang w:val="zh-TW"/>
              </w:rPr>
              <w:t>。</w:t>
            </w:r>
          </w:p>
          <w:p>
            <w:pPr>
              <w:snapToGrid w:val="0"/>
              <w:jc w:val="left"/>
              <w:rPr>
                <w:rFonts w:ascii="宋体"/>
                <w:color w:val="auto"/>
                <w:sz w:val="24"/>
                <w:szCs w:val="24"/>
                <w:lang w:val="zh-TW"/>
              </w:rPr>
            </w:pPr>
            <w:r>
              <w:rPr>
                <w:rFonts w:ascii="宋体" w:hAnsi="宋体" w:cs="宋体"/>
                <w:color w:val="auto"/>
                <w:kern w:val="0"/>
                <w:sz w:val="24"/>
                <w:szCs w:val="24"/>
              </w:rPr>
              <w:t>6.3</w:t>
            </w:r>
            <w:r>
              <w:rPr>
                <w:rFonts w:hint="eastAsia" w:ascii="宋体" w:hAnsi="宋体" w:cs="宋体"/>
                <w:color w:val="auto"/>
                <w:sz w:val="24"/>
                <w:szCs w:val="24"/>
                <w:lang w:val="zh-TW" w:eastAsia="zh-TW"/>
              </w:rPr>
              <w:t>支持通过抑制</w:t>
            </w:r>
            <w:r>
              <w:rPr>
                <w:rFonts w:ascii="宋体" w:hAnsi="宋体" w:cs="宋体"/>
                <w:color w:val="auto"/>
                <w:sz w:val="24"/>
                <w:szCs w:val="24"/>
              </w:rPr>
              <w:t>P2P</w:t>
            </w:r>
            <w:r>
              <w:rPr>
                <w:rFonts w:hint="eastAsia" w:ascii="宋体" w:hAnsi="宋体" w:cs="宋体"/>
                <w:color w:val="auto"/>
                <w:sz w:val="24"/>
                <w:szCs w:val="24"/>
                <w:lang w:val="zh-TW" w:eastAsia="zh-TW"/>
              </w:rPr>
              <w:t>的上行流量，来减缓</w:t>
            </w:r>
            <w:r>
              <w:rPr>
                <w:rFonts w:ascii="宋体" w:hAnsi="宋体" w:cs="宋体"/>
                <w:color w:val="auto"/>
                <w:sz w:val="24"/>
                <w:szCs w:val="24"/>
              </w:rPr>
              <w:t>P2P</w:t>
            </w:r>
            <w:r>
              <w:rPr>
                <w:rFonts w:hint="eastAsia" w:ascii="宋体" w:hAnsi="宋体" w:cs="宋体"/>
                <w:color w:val="auto"/>
                <w:sz w:val="24"/>
                <w:szCs w:val="24"/>
                <w:lang w:val="zh-TW" w:eastAsia="zh-TW"/>
              </w:rPr>
              <w:t>的下行流量，从而解决网络出口在做流控后仍然压力较大的问题</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6.4</w:t>
            </w:r>
            <w:r>
              <w:rPr>
                <w:rFonts w:hint="eastAsia" w:ascii="宋体" w:hAnsi="宋体" w:cs="宋体"/>
                <w:color w:val="auto"/>
                <w:sz w:val="24"/>
                <w:szCs w:val="24"/>
                <w:lang w:val="zh-TW" w:eastAsia="zh-TW"/>
              </w:rPr>
              <w:t>基于</w:t>
            </w:r>
            <w:r>
              <w:rPr>
                <w:rFonts w:hint="eastAsia" w:ascii="宋体" w:hAnsi="宋体" w:cs="宋体"/>
                <w:color w:val="auto"/>
                <w:sz w:val="24"/>
                <w:szCs w:val="24"/>
              </w:rPr>
              <w:t>“</w:t>
            </w:r>
            <w:r>
              <w:rPr>
                <w:rFonts w:hint="eastAsia" w:ascii="宋体" w:hAnsi="宋体" w:cs="宋体"/>
                <w:color w:val="auto"/>
                <w:sz w:val="24"/>
                <w:szCs w:val="24"/>
                <w:lang w:val="zh-TW" w:eastAsia="zh-TW"/>
              </w:rPr>
              <w:t>流量</w:t>
            </w:r>
            <w:r>
              <w:rPr>
                <w:rFonts w:hint="eastAsia" w:ascii="宋体" w:hAnsi="宋体" w:cs="宋体"/>
                <w:color w:val="auto"/>
                <w:sz w:val="24"/>
                <w:szCs w:val="24"/>
              </w:rPr>
              <w:t>”</w:t>
            </w:r>
            <w:r>
              <w:rPr>
                <w:rFonts w:hint="eastAsia" w:ascii="宋体" w:hAnsi="宋体" w:cs="宋体"/>
                <w:color w:val="auto"/>
                <w:sz w:val="24"/>
                <w:szCs w:val="24"/>
                <w:lang w:val="zh-TW" w:eastAsia="zh-TW"/>
              </w:rPr>
              <w:t>、</w:t>
            </w:r>
            <w:r>
              <w:rPr>
                <w:rFonts w:hint="eastAsia" w:ascii="宋体" w:hAnsi="宋体" w:cs="宋体"/>
                <w:color w:val="auto"/>
                <w:sz w:val="24"/>
                <w:szCs w:val="24"/>
              </w:rPr>
              <w:t>“</w:t>
            </w:r>
            <w:r>
              <w:rPr>
                <w:rFonts w:hint="eastAsia" w:ascii="宋体" w:hAnsi="宋体" w:cs="宋体"/>
                <w:color w:val="auto"/>
                <w:sz w:val="24"/>
                <w:szCs w:val="24"/>
                <w:lang w:val="zh-TW" w:eastAsia="zh-TW"/>
              </w:rPr>
              <w:t>流速</w:t>
            </w:r>
            <w:r>
              <w:rPr>
                <w:rFonts w:hint="eastAsia" w:ascii="宋体" w:hAnsi="宋体" w:cs="宋体"/>
                <w:color w:val="auto"/>
                <w:sz w:val="24"/>
                <w:szCs w:val="24"/>
              </w:rPr>
              <w:t>”</w:t>
            </w:r>
            <w:r>
              <w:rPr>
                <w:rFonts w:hint="eastAsia" w:ascii="宋体" w:hAnsi="宋体" w:cs="宋体"/>
                <w:color w:val="auto"/>
                <w:sz w:val="24"/>
                <w:szCs w:val="24"/>
                <w:lang w:val="zh-TW" w:eastAsia="zh-TW"/>
              </w:rPr>
              <w:t>、</w:t>
            </w:r>
            <w:r>
              <w:rPr>
                <w:rFonts w:hint="eastAsia" w:ascii="宋体" w:hAnsi="宋体" w:cs="宋体"/>
                <w:color w:val="auto"/>
                <w:sz w:val="24"/>
                <w:szCs w:val="24"/>
              </w:rPr>
              <w:t>“</w:t>
            </w:r>
            <w:r>
              <w:rPr>
                <w:rFonts w:hint="eastAsia" w:ascii="宋体" w:hAnsi="宋体" w:cs="宋体"/>
                <w:color w:val="auto"/>
                <w:sz w:val="24"/>
                <w:szCs w:val="24"/>
                <w:lang w:val="zh-TW" w:eastAsia="zh-TW"/>
              </w:rPr>
              <w:t>时长</w:t>
            </w:r>
            <w:r>
              <w:rPr>
                <w:rFonts w:hint="eastAsia" w:ascii="宋体" w:hAnsi="宋体" w:cs="宋体"/>
                <w:color w:val="auto"/>
                <w:sz w:val="24"/>
                <w:szCs w:val="24"/>
              </w:rPr>
              <w:t>”</w:t>
            </w:r>
            <w:r>
              <w:rPr>
                <w:rFonts w:hint="eastAsia" w:ascii="宋体" w:hAnsi="宋体" w:cs="宋体"/>
                <w:color w:val="auto"/>
                <w:sz w:val="24"/>
                <w:szCs w:val="24"/>
                <w:lang w:val="zh-TW" w:eastAsia="zh-TW"/>
              </w:rPr>
              <w:t>设置配额，当配额耗尽后，将用户加入到指定的流控黑名单惩罚通道中</w:t>
            </w:r>
            <w:r>
              <w:rPr>
                <w:rFonts w:hint="eastAsia" w:ascii="宋体" w:hAnsi="宋体" w:cs="宋体"/>
                <w:color w:val="auto"/>
                <w:sz w:val="24"/>
                <w:szCs w:val="24"/>
                <w:lang w:val="zh-TW"/>
              </w:rPr>
              <w:t>。</w:t>
            </w:r>
          </w:p>
          <w:p>
            <w:pPr>
              <w:snapToGrid w:val="0"/>
              <w:jc w:val="left"/>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网安日志对接</w:t>
            </w:r>
          </w:p>
          <w:p>
            <w:pPr>
              <w:snapToGrid w:val="0"/>
              <w:jc w:val="left"/>
              <w:rPr>
                <w:rFonts w:ascii="宋体"/>
                <w:color w:val="auto"/>
                <w:sz w:val="24"/>
                <w:szCs w:val="24"/>
              </w:rPr>
            </w:pPr>
            <w:r>
              <w:rPr>
                <w:rFonts w:ascii="宋体" w:hAnsi="宋体" w:cs="宋体"/>
                <w:color w:val="auto"/>
                <w:kern w:val="0"/>
                <w:sz w:val="24"/>
                <w:szCs w:val="24"/>
              </w:rPr>
              <w:t>7.1</w:t>
            </w:r>
            <w:r>
              <w:rPr>
                <w:rFonts w:hint="eastAsia" w:ascii="宋体" w:hAnsi="宋体" w:cs="宋体"/>
                <w:color w:val="auto"/>
                <w:sz w:val="24"/>
                <w:szCs w:val="24"/>
                <w:lang w:val="zh-TW" w:eastAsia="zh-TW"/>
              </w:rPr>
              <w:t>内置多套日志模板与各省市网安日志平台对接，至少支持以下平台：派博、任子行、网博、云辰、烽火、中新软件、兆物、新网程、美亚柏科、爱思等。</w:t>
            </w:r>
          </w:p>
          <w:p>
            <w:pPr>
              <w:snapToGrid w:val="0"/>
              <w:jc w:val="left"/>
              <w:rPr>
                <w:rFonts w:ascii="宋体"/>
                <w:b/>
                <w:bCs/>
                <w:color w:val="auto"/>
                <w:sz w:val="24"/>
                <w:szCs w:val="24"/>
              </w:rPr>
            </w:pPr>
            <w:r>
              <w:rPr>
                <w:rFonts w:ascii="宋体" w:hAnsi="宋体" w:cs="宋体"/>
                <w:b/>
                <w:bCs/>
                <w:color w:val="auto"/>
                <w:sz w:val="24"/>
                <w:szCs w:val="24"/>
              </w:rPr>
              <w:t>8</w:t>
            </w:r>
            <w:r>
              <w:rPr>
                <w:rFonts w:hint="eastAsia" w:ascii="宋体" w:hAnsi="宋体" w:cs="宋体"/>
                <w:b/>
                <w:bCs/>
                <w:color w:val="auto"/>
                <w:sz w:val="24"/>
                <w:szCs w:val="24"/>
              </w:rPr>
              <w:t>、</w:t>
            </w:r>
            <w:r>
              <w:rPr>
                <w:rFonts w:hint="eastAsia" w:ascii="宋体" w:hAnsi="宋体" w:cs="宋体"/>
                <w:b/>
                <w:bCs/>
                <w:color w:val="auto"/>
                <w:sz w:val="24"/>
                <w:szCs w:val="24"/>
                <w:lang w:val="zh-TW" w:eastAsia="zh-TW"/>
              </w:rPr>
              <w:t>多产品联动</w:t>
            </w:r>
          </w:p>
          <w:p>
            <w:pPr>
              <w:snapToGrid w:val="0"/>
              <w:jc w:val="left"/>
              <w:rPr>
                <w:rFonts w:ascii="宋体"/>
                <w:color w:val="auto"/>
                <w:sz w:val="24"/>
                <w:szCs w:val="24"/>
              </w:rPr>
            </w:pPr>
            <w:r>
              <w:rPr>
                <w:rFonts w:ascii="宋体" w:hAnsi="宋体" w:cs="宋体"/>
                <w:color w:val="auto"/>
                <w:kern w:val="0"/>
                <w:sz w:val="24"/>
                <w:szCs w:val="24"/>
              </w:rPr>
              <w:t>8.1</w:t>
            </w:r>
            <w:r>
              <w:rPr>
                <w:rFonts w:hint="eastAsia" w:ascii="宋体" w:hAnsi="宋体" w:cs="宋体"/>
                <w:color w:val="auto"/>
                <w:sz w:val="24"/>
                <w:szCs w:val="24"/>
                <w:lang w:val="zh-TW" w:eastAsia="zh-TW"/>
              </w:rPr>
              <w:t>能够与同品牌下一代防火墙系统实现认证联动，同时部署产品后，可以实现认证同步机制，实现单点登录</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8.2</w:t>
            </w:r>
            <w:r>
              <w:rPr>
                <w:rFonts w:hint="eastAsia" w:ascii="宋体" w:hAnsi="宋体" w:cs="宋体"/>
                <w:color w:val="auto"/>
                <w:sz w:val="24"/>
                <w:szCs w:val="24"/>
                <w:lang w:val="zh-TW" w:eastAsia="zh-TW"/>
              </w:rPr>
              <w:t>能够与同品牌安全态势感知产品实现联动，实现用户同步，以基于用户身份进行威胁分析</w:t>
            </w:r>
            <w:r>
              <w:rPr>
                <w:rFonts w:hint="eastAsia" w:ascii="宋体" w:hAnsi="宋体" w:cs="宋体"/>
                <w:color w:val="auto"/>
                <w:sz w:val="24"/>
                <w:szCs w:val="24"/>
                <w:lang w:val="zh-TW"/>
              </w:rPr>
              <w:t>。</w:t>
            </w:r>
          </w:p>
          <w:p>
            <w:pPr>
              <w:snapToGrid w:val="0"/>
              <w:jc w:val="left"/>
              <w:rPr>
                <w:rFonts w:ascii="宋体"/>
                <w:color w:val="auto"/>
                <w:sz w:val="24"/>
                <w:szCs w:val="24"/>
              </w:rPr>
            </w:pPr>
            <w:r>
              <w:rPr>
                <w:rFonts w:ascii="宋体" w:hAnsi="宋体" w:cs="宋体"/>
                <w:color w:val="auto"/>
                <w:kern w:val="0"/>
                <w:sz w:val="24"/>
                <w:szCs w:val="24"/>
              </w:rPr>
              <w:t>8.3</w:t>
            </w:r>
            <w:r>
              <w:rPr>
                <w:rFonts w:hint="eastAsia" w:ascii="宋体" w:hAnsi="宋体" w:cs="宋体"/>
                <w:color w:val="auto"/>
                <w:sz w:val="24"/>
                <w:szCs w:val="24"/>
                <w:lang w:val="zh-TW" w:eastAsia="zh-TW"/>
              </w:rPr>
              <w:t>能够与同品牌</w:t>
            </w:r>
            <w:r>
              <w:rPr>
                <w:rFonts w:hint="eastAsia" w:ascii="宋体" w:hAnsi="宋体" w:cs="宋体"/>
                <w:color w:val="auto"/>
                <w:sz w:val="24"/>
                <w:szCs w:val="24"/>
              </w:rPr>
              <w:t>端点安全检测产品</w:t>
            </w:r>
            <w:r>
              <w:rPr>
                <w:rFonts w:hint="eastAsia" w:ascii="宋体" w:hAnsi="宋体" w:cs="宋体"/>
                <w:color w:val="auto"/>
                <w:sz w:val="24"/>
                <w:szCs w:val="24"/>
                <w:lang w:val="zh-TW" w:eastAsia="zh-TW"/>
              </w:rPr>
              <w:t>实现联动，当检测到终端未安装</w:t>
            </w:r>
            <w:r>
              <w:rPr>
                <w:rFonts w:hint="eastAsia" w:ascii="宋体" w:hAnsi="宋体" w:cs="宋体"/>
                <w:color w:val="auto"/>
                <w:sz w:val="24"/>
                <w:szCs w:val="24"/>
              </w:rPr>
              <w:t>端点安全检测产品</w:t>
            </w:r>
            <w:r>
              <w:rPr>
                <w:rFonts w:hint="eastAsia" w:ascii="宋体" w:hAnsi="宋体" w:cs="宋体"/>
                <w:color w:val="auto"/>
                <w:sz w:val="24"/>
                <w:szCs w:val="24"/>
                <w:lang w:val="zh-TW" w:eastAsia="zh-TW"/>
              </w:rPr>
              <w:t>时，禁止上网并提示需要安装</w:t>
            </w:r>
            <w:r>
              <w:rPr>
                <w:rFonts w:hint="eastAsia" w:ascii="宋体" w:hAnsi="宋体" w:cs="宋体"/>
                <w:color w:val="auto"/>
                <w:sz w:val="24"/>
                <w:szCs w:val="24"/>
              </w:rPr>
              <w:t>端点安全检测</w:t>
            </w:r>
            <w:r>
              <w:rPr>
                <w:rFonts w:hint="eastAsia" w:ascii="宋体" w:hAnsi="宋体" w:cs="宋体"/>
                <w:color w:val="auto"/>
                <w:sz w:val="24"/>
                <w:szCs w:val="24"/>
                <w:lang w:val="zh-TW" w:eastAsia="zh-TW"/>
              </w:rPr>
              <w:t>软件</w:t>
            </w:r>
            <w:r>
              <w:rPr>
                <w:rFonts w:hint="eastAsia" w:ascii="宋体" w:hAnsi="宋体" w:cs="宋体"/>
                <w:color w:val="auto"/>
                <w:sz w:val="24"/>
                <w:szCs w:val="24"/>
                <w:lang w:val="zh-TW"/>
              </w:rPr>
              <w:t>。</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3</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综合日志审计</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napToGrid w:val="0"/>
              <w:jc w:val="left"/>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、基本要求</w:t>
            </w:r>
          </w:p>
          <w:p>
            <w:pPr>
              <w:snapToGrid w:val="0"/>
              <w:jc w:val="left"/>
              <w:rPr>
                <w:rFonts w:ascii="宋体"/>
                <w:b/>
                <w:bCs/>
                <w:color w:val="auto"/>
                <w:sz w:val="24"/>
                <w:szCs w:val="24"/>
              </w:rPr>
            </w:pP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采用标准</w:t>
            </w:r>
            <w:r>
              <w:rPr>
                <w:rFonts w:ascii="宋体" w:hAnsi="宋体" w:cs="宋体"/>
                <w:color w:val="auto"/>
                <w:sz w:val="24"/>
                <w:szCs w:val="24"/>
              </w:rPr>
              <w:t>2U</w:t>
            </w:r>
            <w:r>
              <w:rPr>
                <w:rFonts w:hint="eastAsia" w:ascii="宋体" w:hAnsi="宋体" w:cs="宋体"/>
                <w:color w:val="auto"/>
                <w:sz w:val="24"/>
                <w:szCs w:val="24"/>
              </w:rPr>
              <w:t>机架式硬件。审计主机至少提供</w:t>
            </w:r>
            <w:r>
              <w:rPr>
                <w:rFonts w:ascii="宋体" w:hAnsi="宋体" w:cs="宋体"/>
                <w:color w:val="auto"/>
                <w:sz w:val="24"/>
                <w:szCs w:val="24"/>
              </w:rPr>
              <w:t>6</w:t>
            </w:r>
            <w:r>
              <w:rPr>
                <w:rFonts w:hint="eastAsia" w:ascii="宋体" w:hAnsi="宋体" w:cs="宋体"/>
                <w:color w:val="auto"/>
                <w:sz w:val="24"/>
                <w:szCs w:val="24"/>
              </w:rPr>
              <w:t>个千兆电口。可用物理磁盘空间</w:t>
            </w:r>
            <w:r>
              <w:rPr>
                <w:rFonts w:ascii="宋体" w:hAnsi="宋体" w:cs="宋体"/>
                <w:color w:val="auto"/>
                <w:sz w:val="24"/>
                <w:szCs w:val="24"/>
              </w:rPr>
              <w:t>&gt;=1TB</w:t>
            </w:r>
            <w:r>
              <w:rPr>
                <w:rFonts w:hint="eastAsia" w:ascii="宋体" w:hAnsi="宋体" w:cs="宋体"/>
                <w:color w:val="auto"/>
                <w:sz w:val="24"/>
                <w:szCs w:val="24"/>
              </w:rPr>
              <w:t>。内置</w:t>
            </w:r>
            <w:r>
              <w:rPr>
                <w:rFonts w:ascii="宋体" w:hAnsi="宋体" w:cs="宋体"/>
                <w:color w:val="auto"/>
                <w:sz w:val="24"/>
                <w:szCs w:val="24"/>
              </w:rPr>
              <w:t>50</w:t>
            </w:r>
            <w:r>
              <w:rPr>
                <w:rFonts w:hint="eastAsia" w:ascii="宋体" w:hAnsi="宋体" w:cs="宋体"/>
                <w:color w:val="auto"/>
                <w:sz w:val="24"/>
                <w:szCs w:val="24"/>
              </w:rPr>
              <w:t>个主机审计许可证书。</w:t>
            </w:r>
          </w:p>
          <w:p>
            <w:pPr>
              <w:snapToGrid w:val="0"/>
              <w:jc w:val="left"/>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、资产管理</w:t>
            </w:r>
          </w:p>
          <w:p>
            <w:pPr>
              <w:snapToGrid w:val="0"/>
              <w:jc w:val="left"/>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支持拓扑管理，并能够支持拓扑维度展示整体安全、事件分布、告警分布等（提供产品截图）</w:t>
            </w:r>
          </w:p>
          <w:p>
            <w:pPr>
              <w:snapToGrid w:val="0"/>
              <w:jc w:val="left"/>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系统支持对</w:t>
            </w:r>
            <w:r>
              <w:rPr>
                <w:rFonts w:ascii="宋体" w:hAnsi="宋体" w:cs="宋体"/>
                <w:color w:val="auto"/>
                <w:sz w:val="24"/>
                <w:szCs w:val="24"/>
              </w:rPr>
              <w:t>IP</w:t>
            </w:r>
            <w:r>
              <w:rPr>
                <w:rFonts w:hint="eastAsia" w:ascii="宋体" w:hAnsi="宋体" w:cs="宋体"/>
                <w:color w:val="auto"/>
                <w:sz w:val="24"/>
                <w:szCs w:val="24"/>
              </w:rPr>
              <w:t>对象的自动发现功能，支持</w:t>
            </w:r>
            <w:r>
              <w:rPr>
                <w:rFonts w:ascii="宋体" w:hAnsi="宋体" w:cs="宋体"/>
                <w:color w:val="auto"/>
                <w:sz w:val="24"/>
                <w:szCs w:val="24"/>
              </w:rPr>
              <w:t>IPv6</w:t>
            </w:r>
            <w:r>
              <w:rPr>
                <w:rFonts w:hint="eastAsia" w:ascii="宋体" w:hAnsi="宋体" w:cs="宋体"/>
                <w:color w:val="auto"/>
                <w:sz w:val="24"/>
                <w:szCs w:val="24"/>
              </w:rPr>
              <w:t>，对自动发现的设备可以转资产或删除。</w:t>
            </w:r>
          </w:p>
          <w:p>
            <w:pPr>
              <w:snapToGrid w:val="0"/>
              <w:jc w:val="lef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、日志采集</w:t>
            </w:r>
          </w:p>
          <w:p>
            <w:pPr>
              <w:snapToGrid w:val="0"/>
              <w:jc w:val="left"/>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系统满足设备的信息采集要求，主要包括：</w:t>
            </w:r>
          </w:p>
          <w:p>
            <w:pPr>
              <w:snapToGrid w:val="0"/>
              <w:jc w:val="left"/>
              <w:rPr>
                <w:rFonts w:ascii="宋体"/>
                <w:color w:val="auto"/>
                <w:sz w:val="24"/>
                <w:szCs w:val="24"/>
              </w:rPr>
            </w:pPr>
            <w:r>
              <w:rPr>
                <w:rFonts w:hint="eastAsia" w:ascii="宋体" w:hAnsi="宋体" w:cs="宋体"/>
                <w:color w:val="auto"/>
                <w:sz w:val="24"/>
                <w:szCs w:val="24"/>
              </w:rPr>
              <w:t>安全设备。</w:t>
            </w:r>
          </w:p>
          <w:p>
            <w:pPr>
              <w:snapToGrid w:val="0"/>
              <w:jc w:val="left"/>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操作系统。</w:t>
            </w:r>
          </w:p>
          <w:p>
            <w:pPr>
              <w:snapToGrid w:val="0"/>
              <w:jc w:val="left"/>
              <w:rPr>
                <w:rFonts w:ascii="宋体"/>
                <w:color w:val="auto"/>
                <w:sz w:val="24"/>
                <w:szCs w:val="24"/>
              </w:rPr>
            </w:pPr>
            <w:r>
              <w:rPr>
                <w:rFonts w:ascii="宋体" w:hAnsi="宋体" w:cs="宋体"/>
                <w:color w:val="auto"/>
                <w:sz w:val="24"/>
                <w:szCs w:val="24"/>
              </w:rPr>
              <w:t>3.3</w:t>
            </w:r>
            <w:r>
              <w:rPr>
                <w:rFonts w:hint="eastAsia" w:ascii="宋体" w:hAnsi="宋体" w:cs="宋体"/>
                <w:color w:val="auto"/>
                <w:sz w:val="24"/>
                <w:szCs w:val="24"/>
              </w:rPr>
              <w:t>数据库。</w:t>
            </w:r>
          </w:p>
          <w:p>
            <w:pPr>
              <w:snapToGrid w:val="0"/>
              <w:jc w:val="left"/>
              <w:rPr>
                <w:rFonts w:ascii="宋体"/>
                <w:color w:val="auto"/>
                <w:sz w:val="24"/>
                <w:szCs w:val="24"/>
              </w:rPr>
            </w:pPr>
            <w:r>
              <w:rPr>
                <w:rFonts w:ascii="宋体" w:hAnsi="宋体" w:cs="宋体"/>
                <w:color w:val="auto"/>
                <w:sz w:val="24"/>
                <w:szCs w:val="24"/>
              </w:rPr>
              <w:t>3.4</w:t>
            </w:r>
            <w:r>
              <w:rPr>
                <w:rFonts w:hint="eastAsia" w:ascii="宋体" w:hAnsi="宋体" w:cs="宋体"/>
                <w:color w:val="auto"/>
                <w:sz w:val="24"/>
                <w:szCs w:val="24"/>
              </w:rPr>
              <w:t>应用系统。</w:t>
            </w:r>
          </w:p>
          <w:p>
            <w:pPr>
              <w:snapToGrid w:val="0"/>
              <w:jc w:val="left"/>
              <w:rPr>
                <w:rFonts w:ascii="宋体"/>
                <w:color w:val="auto"/>
                <w:sz w:val="24"/>
                <w:szCs w:val="24"/>
              </w:rPr>
            </w:pPr>
            <w:r>
              <w:rPr>
                <w:rFonts w:ascii="宋体" w:hAnsi="宋体" w:cs="宋体"/>
                <w:color w:val="auto"/>
                <w:sz w:val="24"/>
                <w:szCs w:val="24"/>
              </w:rPr>
              <w:t>3.5</w:t>
            </w:r>
            <w:r>
              <w:rPr>
                <w:rFonts w:hint="eastAsia" w:ascii="宋体" w:hAnsi="宋体" w:cs="宋体"/>
                <w:color w:val="auto"/>
                <w:sz w:val="24"/>
                <w:szCs w:val="24"/>
              </w:rPr>
              <w:t>网络设备：主流的路由器、交换机、负载均衡等网络设备等。</w:t>
            </w:r>
          </w:p>
          <w:p>
            <w:pPr>
              <w:snapToGrid w:val="0"/>
              <w:jc w:val="left"/>
              <w:rPr>
                <w:rFonts w:ascii="宋体"/>
                <w:color w:val="auto"/>
                <w:sz w:val="24"/>
                <w:szCs w:val="24"/>
              </w:rPr>
            </w:pPr>
            <w:r>
              <w:rPr>
                <w:rFonts w:ascii="宋体" w:hAnsi="宋体" w:cs="宋体"/>
                <w:color w:val="auto"/>
                <w:sz w:val="24"/>
                <w:szCs w:val="24"/>
              </w:rPr>
              <w:t>3.6</w:t>
            </w:r>
            <w:r>
              <w:rPr>
                <w:rFonts w:hint="eastAsia" w:ascii="宋体" w:hAnsi="宋体" w:cs="宋体"/>
                <w:color w:val="auto"/>
                <w:sz w:val="24"/>
                <w:szCs w:val="24"/>
              </w:rPr>
              <w:t>虚拟化平台。</w:t>
            </w:r>
          </w:p>
          <w:p>
            <w:pPr>
              <w:snapToGrid w:val="0"/>
              <w:jc w:val="left"/>
              <w:rPr>
                <w:rFonts w:ascii="宋体"/>
                <w:color w:val="auto"/>
                <w:sz w:val="24"/>
                <w:szCs w:val="24"/>
              </w:rPr>
            </w:pPr>
            <w:r>
              <w:rPr>
                <w:rFonts w:ascii="宋体" w:hAnsi="宋体" w:cs="宋体"/>
                <w:color w:val="auto"/>
                <w:sz w:val="24"/>
                <w:szCs w:val="24"/>
              </w:rPr>
              <w:t>3.7</w:t>
            </w:r>
            <w:r>
              <w:rPr>
                <w:rFonts w:hint="eastAsia" w:ascii="宋体" w:hAnsi="宋体" w:cs="宋体"/>
                <w:color w:val="auto"/>
                <w:sz w:val="24"/>
                <w:szCs w:val="24"/>
              </w:rPr>
              <w:t>支持常见的虚拟机环境日志收集。</w:t>
            </w:r>
          </w:p>
          <w:p>
            <w:pPr>
              <w:snapToGrid w:val="0"/>
              <w:jc w:val="left"/>
              <w:rPr>
                <w:rFonts w:ascii="宋体"/>
                <w:color w:val="auto"/>
                <w:sz w:val="24"/>
                <w:szCs w:val="24"/>
              </w:rPr>
            </w:pPr>
            <w:r>
              <w:rPr>
                <w:rFonts w:ascii="宋体" w:hAnsi="宋体" w:cs="宋体"/>
                <w:color w:val="auto"/>
                <w:sz w:val="24"/>
                <w:szCs w:val="24"/>
              </w:rPr>
              <w:t>3.8</w:t>
            </w:r>
            <w:r>
              <w:rPr>
                <w:rFonts w:hint="eastAsia" w:ascii="宋体" w:hAnsi="宋体" w:cs="宋体"/>
                <w:color w:val="auto"/>
                <w:sz w:val="24"/>
                <w:szCs w:val="24"/>
              </w:rPr>
              <w:t>支持零管理配置，系统自动发现域名并视频网络域名的访问及攻击情况。</w:t>
            </w:r>
          </w:p>
          <w:p>
            <w:pPr>
              <w:snapToGrid w:val="0"/>
              <w:jc w:val="left"/>
              <w:rPr>
                <w:rFonts w:ascii="宋体"/>
                <w:color w:val="auto"/>
                <w:sz w:val="24"/>
                <w:szCs w:val="24"/>
              </w:rPr>
            </w:pPr>
            <w:r>
              <w:rPr>
                <w:rFonts w:ascii="宋体" w:hAnsi="宋体" w:cs="宋体"/>
                <w:color w:val="auto"/>
                <w:sz w:val="24"/>
                <w:szCs w:val="24"/>
              </w:rPr>
              <w:t>3.9</w:t>
            </w:r>
            <w:r>
              <w:rPr>
                <w:rFonts w:hint="eastAsia" w:ascii="宋体" w:hAnsi="宋体" w:cs="宋体"/>
                <w:color w:val="auto"/>
                <w:sz w:val="24"/>
                <w:szCs w:val="24"/>
              </w:rPr>
              <w:t>标准化自动识别系统类型至少达到</w:t>
            </w:r>
            <w:r>
              <w:rPr>
                <w:rFonts w:ascii="宋体" w:hAnsi="宋体" w:cs="宋体"/>
                <w:color w:val="auto"/>
                <w:sz w:val="24"/>
                <w:szCs w:val="24"/>
              </w:rPr>
              <w:t>200</w:t>
            </w:r>
            <w:r>
              <w:rPr>
                <w:rFonts w:hint="eastAsia" w:ascii="宋体" w:hAnsi="宋体" w:cs="宋体"/>
                <w:color w:val="auto"/>
                <w:sz w:val="24"/>
                <w:szCs w:val="24"/>
              </w:rPr>
              <w:t>种。</w:t>
            </w:r>
          </w:p>
          <w:p>
            <w:pPr>
              <w:snapToGrid w:val="0"/>
              <w:jc w:val="left"/>
              <w:rPr>
                <w:rFonts w:ascii="宋体"/>
                <w:color w:val="auto"/>
                <w:sz w:val="24"/>
                <w:szCs w:val="24"/>
              </w:rPr>
            </w:pPr>
            <w:r>
              <w:rPr>
                <w:rFonts w:ascii="宋体" w:hAnsi="宋体" w:cs="宋体"/>
                <w:color w:val="auto"/>
                <w:sz w:val="24"/>
                <w:szCs w:val="24"/>
              </w:rPr>
              <w:t>3.10</w:t>
            </w:r>
            <w:r>
              <w:rPr>
                <w:rFonts w:hint="eastAsia" w:ascii="宋体" w:hAnsi="宋体" w:cs="宋体"/>
                <w:color w:val="auto"/>
                <w:sz w:val="24"/>
                <w:szCs w:val="24"/>
              </w:rPr>
              <w:t>系统支持从不同设备或系统中所获得的各类日志、事件中抽取相关片段准确和完整地映射至安全事件的标准字段。</w:t>
            </w:r>
          </w:p>
          <w:p>
            <w:pPr>
              <w:snapToGrid w:val="0"/>
              <w:jc w:val="left"/>
              <w:rPr>
                <w:rFonts w:ascii="宋体"/>
                <w:color w:val="auto"/>
                <w:sz w:val="24"/>
                <w:szCs w:val="24"/>
              </w:rPr>
            </w:pPr>
            <w:r>
              <w:rPr>
                <w:rFonts w:ascii="宋体" w:hAnsi="宋体" w:cs="宋体"/>
                <w:color w:val="auto"/>
                <w:sz w:val="24"/>
                <w:szCs w:val="24"/>
              </w:rPr>
              <w:t>3.11</w:t>
            </w:r>
            <w:r>
              <w:rPr>
                <w:rFonts w:hint="eastAsia" w:ascii="宋体" w:hAnsi="宋体" w:cs="宋体"/>
                <w:color w:val="auto"/>
                <w:sz w:val="24"/>
                <w:szCs w:val="24"/>
              </w:rPr>
              <w:t>支持对安全事件重新定级。能根据统一的安全策略，按照安全设备识别名、事件类别、事件级别等所有可能的条件及各种条件的组合对事件严重级别进行重定义。</w:t>
            </w:r>
          </w:p>
          <w:p>
            <w:pPr>
              <w:snapToGrid w:val="0"/>
              <w:jc w:val="left"/>
              <w:rPr>
                <w:rFonts w:ascii="宋体"/>
                <w:color w:val="auto"/>
                <w:sz w:val="24"/>
                <w:szCs w:val="24"/>
              </w:rPr>
            </w:pPr>
            <w:r>
              <w:rPr>
                <w:rFonts w:ascii="宋体" w:hAnsi="宋体" w:cs="宋体"/>
                <w:color w:val="auto"/>
                <w:sz w:val="24"/>
                <w:szCs w:val="24"/>
              </w:rPr>
              <w:t>3.12</w:t>
            </w:r>
            <w:r>
              <w:rPr>
                <w:rFonts w:hint="eastAsia" w:ascii="宋体" w:hAnsi="宋体" w:cs="宋体"/>
                <w:color w:val="auto"/>
                <w:sz w:val="24"/>
                <w:szCs w:val="24"/>
              </w:rPr>
              <w:t>系统的标准化策略具备良好的可扩展性，可通过配置文件或界面实现管理功能。</w:t>
            </w:r>
          </w:p>
          <w:p>
            <w:pPr>
              <w:snapToGrid w:val="0"/>
              <w:jc w:val="left"/>
              <w:rPr>
                <w:rFonts w:ascii="宋体"/>
                <w:color w:val="auto"/>
                <w:sz w:val="24"/>
                <w:szCs w:val="24"/>
              </w:rPr>
            </w:pPr>
            <w:r>
              <w:rPr>
                <w:rFonts w:ascii="宋体" w:hAnsi="宋体" w:cs="宋体"/>
                <w:color w:val="auto"/>
                <w:sz w:val="24"/>
                <w:szCs w:val="24"/>
              </w:rPr>
              <w:t>3.13</w:t>
            </w:r>
            <w:r>
              <w:rPr>
                <w:rFonts w:hint="eastAsia" w:ascii="宋体" w:hAnsi="宋体" w:cs="宋体"/>
                <w:color w:val="auto"/>
                <w:sz w:val="24"/>
                <w:szCs w:val="24"/>
              </w:rPr>
              <w:t>支持相同</w:t>
            </w:r>
            <w:r>
              <w:rPr>
                <w:rFonts w:ascii="宋体" w:hAnsi="宋体" w:cs="宋体"/>
                <w:color w:val="auto"/>
                <w:sz w:val="24"/>
                <w:szCs w:val="24"/>
              </w:rPr>
              <w:t>IP</w:t>
            </w:r>
            <w:r>
              <w:rPr>
                <w:rFonts w:hint="eastAsia" w:ascii="宋体" w:hAnsi="宋体" w:cs="宋体"/>
                <w:color w:val="auto"/>
                <w:sz w:val="24"/>
                <w:szCs w:val="24"/>
              </w:rPr>
              <w:t>不同设备类型的日志识别。</w:t>
            </w:r>
          </w:p>
          <w:p>
            <w:pPr>
              <w:snapToGrid w:val="0"/>
              <w:jc w:val="left"/>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、日志处理</w:t>
            </w:r>
          </w:p>
          <w:p>
            <w:pPr>
              <w:snapToGrid w:val="0"/>
              <w:jc w:val="left"/>
              <w:rPr>
                <w:rFonts w:ascii="宋体"/>
                <w:color w:val="auto"/>
                <w:sz w:val="24"/>
                <w:szCs w:val="24"/>
              </w:rPr>
            </w:pPr>
            <w:r>
              <w:rPr>
                <w:rFonts w:ascii="宋体" w:hAnsi="宋体" w:cs="宋体"/>
                <w:color w:val="auto"/>
                <w:sz w:val="24"/>
                <w:szCs w:val="24"/>
              </w:rPr>
              <w:t>4.1</w:t>
            </w:r>
            <w:r>
              <w:rPr>
                <w:rFonts w:hint="eastAsia" w:ascii="宋体" w:hAnsi="宋体" w:cs="宋体"/>
                <w:color w:val="auto"/>
                <w:sz w:val="24"/>
                <w:szCs w:val="24"/>
              </w:rPr>
              <w:t>系统支持完全收集采集对象上的日志信息，也支持在安全事件收集引擎上设置过滤条件，可过滤出无关安全事件，满足根据实际业务需求减少采集对象发送到核心服务器的安全事件数，从而减少对网络带宽和数据库存储空间的占用。</w:t>
            </w:r>
          </w:p>
          <w:p>
            <w:pPr>
              <w:snapToGrid w:val="0"/>
              <w:jc w:val="left"/>
              <w:rPr>
                <w:rFonts w:ascii="宋体"/>
                <w:color w:val="auto"/>
                <w:sz w:val="24"/>
                <w:szCs w:val="24"/>
              </w:rPr>
            </w:pPr>
            <w:r>
              <w:rPr>
                <w:rFonts w:ascii="宋体" w:hAnsi="宋体" w:cs="宋体"/>
                <w:color w:val="auto"/>
                <w:sz w:val="24"/>
                <w:szCs w:val="24"/>
              </w:rPr>
              <w:t>4.2</w:t>
            </w:r>
            <w:r>
              <w:rPr>
                <w:rFonts w:hint="eastAsia" w:ascii="宋体" w:hAnsi="宋体" w:cs="宋体"/>
                <w:color w:val="auto"/>
                <w:sz w:val="24"/>
                <w:szCs w:val="24"/>
              </w:rPr>
              <w:t>可通过自定义聚合规则修改日志的聚合归并逻辑规则，提高日志分析效率（提供截图）。</w:t>
            </w:r>
          </w:p>
          <w:p>
            <w:pPr>
              <w:snapToGrid w:val="0"/>
              <w:jc w:val="left"/>
              <w:rPr>
                <w:rFonts w:ascii="宋体"/>
                <w:color w:val="auto"/>
                <w:sz w:val="24"/>
                <w:szCs w:val="24"/>
              </w:rPr>
            </w:pPr>
            <w:r>
              <w:rPr>
                <w:rFonts w:ascii="宋体" w:hAnsi="宋体" w:cs="宋体"/>
                <w:color w:val="auto"/>
                <w:sz w:val="24"/>
                <w:szCs w:val="24"/>
              </w:rPr>
              <w:t>4.3</w:t>
            </w:r>
            <w:r>
              <w:rPr>
                <w:rFonts w:hint="eastAsia" w:ascii="宋体" w:hAnsi="宋体" w:cs="宋体"/>
                <w:color w:val="auto"/>
                <w:sz w:val="24"/>
                <w:szCs w:val="24"/>
              </w:rPr>
              <w:t>支持归并技术，一段时间内对重复日志进行归并。</w:t>
            </w:r>
          </w:p>
          <w:p>
            <w:pPr>
              <w:snapToGrid w:val="0"/>
              <w:jc w:val="left"/>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、日志分析</w:t>
            </w:r>
          </w:p>
          <w:p>
            <w:pPr>
              <w:snapToGrid w:val="0"/>
              <w:jc w:val="left"/>
              <w:rPr>
                <w:rFonts w:ascii="宋体"/>
                <w:color w:val="auto"/>
                <w:sz w:val="24"/>
                <w:szCs w:val="24"/>
              </w:rPr>
            </w:pPr>
            <w:r>
              <w:rPr>
                <w:rFonts w:ascii="宋体" w:hAnsi="宋体" w:cs="宋体"/>
                <w:color w:val="auto"/>
                <w:sz w:val="24"/>
                <w:szCs w:val="24"/>
              </w:rPr>
              <w:t>5.1</w:t>
            </w:r>
            <w:r>
              <w:rPr>
                <w:rFonts w:hint="eastAsia" w:ascii="宋体" w:hAnsi="宋体" w:cs="宋体"/>
                <w:color w:val="auto"/>
                <w:sz w:val="24"/>
                <w:szCs w:val="24"/>
              </w:rPr>
              <w:t>支持自定义配置实时视频网络的策略，可以涵盖日志解析中的所有字段，滚动持续视频网络。</w:t>
            </w:r>
          </w:p>
          <w:p>
            <w:pPr>
              <w:snapToGrid w:val="0"/>
              <w:jc w:val="left"/>
              <w:rPr>
                <w:rFonts w:ascii="宋体"/>
                <w:color w:val="auto"/>
                <w:sz w:val="24"/>
                <w:szCs w:val="24"/>
              </w:rPr>
            </w:pPr>
            <w:r>
              <w:rPr>
                <w:rFonts w:ascii="宋体" w:hAnsi="宋体" w:cs="宋体"/>
                <w:color w:val="auto"/>
                <w:sz w:val="24"/>
                <w:szCs w:val="24"/>
              </w:rPr>
              <w:t>5.2</w:t>
            </w:r>
            <w:r>
              <w:rPr>
                <w:rFonts w:hint="eastAsia" w:ascii="宋体" w:hAnsi="宋体" w:cs="宋体"/>
                <w:color w:val="auto"/>
                <w:sz w:val="24"/>
                <w:szCs w:val="24"/>
              </w:rPr>
              <w:t>支持根据设备类型，按日期展示日志的接入情况，包含不同级别日志数量统计。</w:t>
            </w:r>
          </w:p>
          <w:p>
            <w:pPr>
              <w:snapToGrid w:val="0"/>
              <w:jc w:val="left"/>
              <w:rPr>
                <w:rFonts w:ascii="宋体"/>
                <w:color w:val="auto"/>
                <w:sz w:val="24"/>
                <w:szCs w:val="24"/>
              </w:rPr>
            </w:pPr>
            <w:r>
              <w:rPr>
                <w:rFonts w:ascii="宋体" w:hAnsi="宋体" w:cs="宋体"/>
                <w:color w:val="auto"/>
                <w:sz w:val="24"/>
                <w:szCs w:val="24"/>
              </w:rPr>
              <w:t>5.3</w:t>
            </w:r>
            <w:r>
              <w:rPr>
                <w:rFonts w:hint="eastAsia" w:ascii="宋体" w:hAnsi="宋体" w:cs="宋体"/>
                <w:color w:val="auto"/>
                <w:sz w:val="24"/>
                <w:szCs w:val="24"/>
              </w:rPr>
              <w:t>支持更加精确的专家模式查询，根据页面的指导提示，通过组合查询表达式完成精确查询。</w:t>
            </w:r>
          </w:p>
          <w:p>
            <w:pPr>
              <w:snapToGrid w:val="0"/>
              <w:jc w:val="left"/>
              <w:rPr>
                <w:rFonts w:ascii="宋体"/>
                <w:color w:val="auto"/>
                <w:sz w:val="24"/>
                <w:szCs w:val="24"/>
              </w:rPr>
            </w:pPr>
            <w:r>
              <w:rPr>
                <w:rFonts w:ascii="宋体" w:hAnsi="宋体" w:cs="宋体"/>
                <w:color w:val="auto"/>
                <w:sz w:val="24"/>
                <w:szCs w:val="24"/>
              </w:rPr>
              <w:t>5.4</w:t>
            </w:r>
            <w:r>
              <w:rPr>
                <w:rFonts w:hint="eastAsia" w:ascii="宋体" w:hAnsi="宋体" w:cs="宋体"/>
                <w:color w:val="auto"/>
                <w:sz w:val="24"/>
                <w:szCs w:val="24"/>
              </w:rPr>
              <w:t>支持全球地理位置库。</w:t>
            </w:r>
          </w:p>
          <w:p>
            <w:pPr>
              <w:snapToGrid w:val="0"/>
              <w:jc w:val="left"/>
              <w:rPr>
                <w:rFonts w:ascii="宋体"/>
                <w:color w:val="auto"/>
                <w:sz w:val="24"/>
                <w:szCs w:val="24"/>
              </w:rPr>
            </w:pPr>
            <w:r>
              <w:rPr>
                <w:rFonts w:ascii="宋体" w:hAnsi="宋体" w:cs="宋体"/>
                <w:color w:val="auto"/>
                <w:sz w:val="24"/>
                <w:szCs w:val="24"/>
              </w:rPr>
              <w:t>5.5</w:t>
            </w:r>
            <w:r>
              <w:rPr>
                <w:rFonts w:hint="eastAsia" w:ascii="宋体" w:hAnsi="宋体" w:cs="宋体"/>
                <w:color w:val="auto"/>
                <w:sz w:val="24"/>
                <w:szCs w:val="24"/>
              </w:rPr>
              <w:t>关联事件管理可以统一视频网络事件的命中情况，包括来源的设备、事件类型、最近命中时间以及命中总次数等。</w:t>
            </w:r>
          </w:p>
          <w:p>
            <w:pPr>
              <w:snapToGrid w:val="0"/>
              <w:jc w:val="left"/>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、日志审计</w:t>
            </w:r>
          </w:p>
          <w:p>
            <w:pPr>
              <w:snapToGrid w:val="0"/>
              <w:jc w:val="left"/>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支持显示审计事件分类统计列表，根据审计策略名称、审计事件类型、被审计人员、目标设备地址四个维度展现。</w:t>
            </w:r>
          </w:p>
          <w:p>
            <w:pPr>
              <w:snapToGrid w:val="0"/>
              <w:jc w:val="left"/>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通过事件总数查看具体的审计事件，并可以查看产生该审计事件的原始事件的详细内容和归并数量。</w:t>
            </w:r>
          </w:p>
          <w:p>
            <w:pPr>
              <w:snapToGrid w:val="0"/>
              <w:jc w:val="left"/>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支持预置审计策略模板，包括：</w:t>
            </w:r>
            <w:r>
              <w:rPr>
                <w:rFonts w:ascii="宋体" w:hAnsi="宋体" w:cs="宋体"/>
                <w:color w:val="auto"/>
                <w:sz w:val="24"/>
                <w:szCs w:val="24"/>
              </w:rPr>
              <w:t>Windows</w:t>
            </w:r>
            <w:r>
              <w:rPr>
                <w:rFonts w:hint="eastAsia" w:ascii="宋体" w:hAnsi="宋体" w:cs="宋体"/>
                <w:color w:val="auto"/>
                <w:sz w:val="24"/>
                <w:szCs w:val="24"/>
              </w:rPr>
              <w:t>主机类审计策略模板、</w:t>
            </w:r>
            <w:r>
              <w:rPr>
                <w:rFonts w:ascii="宋体" w:hAnsi="宋体" w:cs="宋体"/>
                <w:color w:val="auto"/>
                <w:sz w:val="24"/>
                <w:szCs w:val="24"/>
              </w:rPr>
              <w:t>Linux/Unix</w:t>
            </w:r>
            <w:r>
              <w:rPr>
                <w:rFonts w:hint="eastAsia" w:ascii="宋体" w:hAnsi="宋体" w:cs="宋体"/>
                <w:color w:val="auto"/>
                <w:sz w:val="24"/>
                <w:szCs w:val="24"/>
              </w:rPr>
              <w:t>主机类审计策略模板、防火墙类审计策略模板、扫描器类审计策略模板、</w:t>
            </w:r>
            <w:r>
              <w:rPr>
                <w:rFonts w:ascii="宋体" w:hAnsi="宋体" w:cs="宋体"/>
                <w:color w:val="auto"/>
                <w:sz w:val="24"/>
                <w:szCs w:val="24"/>
              </w:rPr>
              <w:t>IDS/IPS</w:t>
            </w:r>
            <w:r>
              <w:rPr>
                <w:rFonts w:hint="eastAsia" w:ascii="宋体" w:hAnsi="宋体" w:cs="宋体"/>
                <w:color w:val="auto"/>
                <w:sz w:val="24"/>
                <w:szCs w:val="24"/>
              </w:rPr>
              <w:t>类审计策略模板、防病毒类审计策略模板、数据库系统类审计策略模板、萨班斯审计策略模板、等级保护审计模板等。</w:t>
            </w:r>
          </w:p>
          <w:p>
            <w:pPr>
              <w:snapToGrid w:val="0"/>
              <w:jc w:val="left"/>
              <w:rPr>
                <w:rFonts w:ascii="宋体"/>
                <w:color w:val="auto"/>
                <w:sz w:val="24"/>
                <w:szCs w:val="24"/>
              </w:rPr>
            </w:pPr>
            <w:r>
              <w:rPr>
                <w:rFonts w:ascii="宋体" w:hAnsi="宋体" w:cs="宋体"/>
                <w:color w:val="auto"/>
                <w:sz w:val="24"/>
                <w:szCs w:val="24"/>
              </w:rPr>
              <w:t>6.4</w:t>
            </w:r>
            <w:r>
              <w:rPr>
                <w:rFonts w:hint="eastAsia" w:ascii="宋体" w:hAnsi="宋体" w:cs="宋体"/>
                <w:color w:val="auto"/>
                <w:sz w:val="24"/>
                <w:szCs w:val="24"/>
              </w:rPr>
              <w:t>支持审计对象的定义，包括：审计目标对象、审计行为对象、审计行为执行者对象、审计来源对象、审计时间段对象等。</w:t>
            </w:r>
          </w:p>
          <w:p>
            <w:pPr>
              <w:snapToGrid w:val="0"/>
              <w:jc w:val="left"/>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、流量审计</w:t>
            </w:r>
          </w:p>
          <w:p>
            <w:pPr>
              <w:snapToGrid w:val="0"/>
              <w:jc w:val="left"/>
              <w:rPr>
                <w:rFonts w:ascii="宋体"/>
                <w:color w:val="auto"/>
                <w:sz w:val="24"/>
                <w:szCs w:val="24"/>
              </w:rPr>
            </w:pPr>
            <w:r>
              <w:rPr>
                <w:rFonts w:ascii="宋体" w:hAnsi="宋体" w:cs="宋体"/>
                <w:color w:val="auto"/>
                <w:sz w:val="24"/>
                <w:szCs w:val="24"/>
              </w:rPr>
              <w:t>7.1</w:t>
            </w:r>
            <w:r>
              <w:rPr>
                <w:rFonts w:hint="eastAsia" w:ascii="宋体" w:hAnsi="宋体" w:cs="宋体"/>
                <w:color w:val="auto"/>
                <w:sz w:val="24"/>
                <w:szCs w:val="24"/>
              </w:rPr>
              <w:t>支持二层数据包解码：普通以太头解析、支持</w:t>
            </w:r>
            <w:r>
              <w:rPr>
                <w:rFonts w:ascii="宋体" w:hAnsi="宋体" w:cs="宋体"/>
                <w:color w:val="auto"/>
                <w:sz w:val="24"/>
                <w:szCs w:val="24"/>
              </w:rPr>
              <w:t>PPPoE</w:t>
            </w:r>
            <w:r>
              <w:rPr>
                <w:rFonts w:hint="eastAsia" w:ascii="宋体" w:hAnsi="宋体" w:cs="宋体"/>
                <w:color w:val="auto"/>
                <w:sz w:val="24"/>
                <w:szCs w:val="24"/>
              </w:rPr>
              <w:t>、</w:t>
            </w:r>
            <w:r>
              <w:rPr>
                <w:rFonts w:ascii="宋体" w:hAnsi="宋体" w:cs="宋体"/>
                <w:color w:val="auto"/>
                <w:sz w:val="24"/>
                <w:szCs w:val="24"/>
              </w:rPr>
              <w:t>VLAN</w:t>
            </w:r>
            <w:r>
              <w:rPr>
                <w:rFonts w:hint="eastAsia" w:ascii="宋体" w:hAnsi="宋体" w:cs="宋体"/>
                <w:color w:val="auto"/>
                <w:sz w:val="24"/>
                <w:szCs w:val="24"/>
              </w:rPr>
              <w:t>、</w:t>
            </w:r>
            <w:r>
              <w:rPr>
                <w:rFonts w:ascii="宋体" w:hAnsi="宋体" w:cs="宋体"/>
                <w:color w:val="auto"/>
                <w:sz w:val="24"/>
                <w:szCs w:val="24"/>
              </w:rPr>
              <w:t>VLAN QinQ</w:t>
            </w:r>
            <w:r>
              <w:rPr>
                <w:rFonts w:hint="eastAsia" w:ascii="宋体" w:hAnsi="宋体" w:cs="宋体"/>
                <w:color w:val="auto"/>
                <w:sz w:val="24"/>
                <w:szCs w:val="24"/>
              </w:rPr>
              <w:t>。</w:t>
            </w:r>
          </w:p>
          <w:p>
            <w:pPr>
              <w:snapToGrid w:val="0"/>
              <w:jc w:val="left"/>
              <w:rPr>
                <w:rFonts w:ascii="宋体"/>
                <w:color w:val="auto"/>
                <w:sz w:val="24"/>
                <w:szCs w:val="24"/>
              </w:rPr>
            </w:pPr>
            <w:r>
              <w:rPr>
                <w:rFonts w:ascii="宋体" w:hAnsi="宋体" w:cs="宋体"/>
                <w:color w:val="auto"/>
                <w:sz w:val="24"/>
                <w:szCs w:val="24"/>
              </w:rPr>
              <w:t>7.2</w:t>
            </w:r>
            <w:r>
              <w:rPr>
                <w:rFonts w:hint="eastAsia" w:ascii="宋体" w:hAnsi="宋体" w:cs="宋体"/>
                <w:color w:val="auto"/>
                <w:sz w:val="24"/>
                <w:szCs w:val="24"/>
              </w:rPr>
              <w:t>支持三层数据包解码：支持</w:t>
            </w:r>
            <w:r>
              <w:rPr>
                <w:rFonts w:ascii="宋体" w:hAnsi="宋体" w:cs="宋体"/>
                <w:color w:val="auto"/>
                <w:sz w:val="24"/>
                <w:szCs w:val="24"/>
              </w:rPr>
              <w:t>IPv4</w:t>
            </w:r>
            <w:r>
              <w:rPr>
                <w:rFonts w:hint="eastAsia" w:ascii="宋体" w:hAnsi="宋体" w:cs="宋体"/>
                <w:color w:val="auto"/>
                <w:sz w:val="24"/>
                <w:szCs w:val="24"/>
              </w:rPr>
              <w:t>、</w:t>
            </w:r>
            <w:r>
              <w:rPr>
                <w:rFonts w:ascii="宋体" w:hAnsi="宋体" w:cs="宋体"/>
                <w:color w:val="auto"/>
                <w:sz w:val="24"/>
                <w:szCs w:val="24"/>
              </w:rPr>
              <w:t>IPv6</w:t>
            </w:r>
            <w:r>
              <w:rPr>
                <w:rFonts w:hint="eastAsia" w:ascii="宋体" w:hAnsi="宋体" w:cs="宋体"/>
                <w:color w:val="auto"/>
                <w:sz w:val="24"/>
                <w:szCs w:val="24"/>
              </w:rPr>
              <w:t>。</w:t>
            </w:r>
          </w:p>
          <w:p>
            <w:pPr>
              <w:snapToGrid w:val="0"/>
              <w:jc w:val="left"/>
              <w:rPr>
                <w:rFonts w:ascii="宋体"/>
                <w:color w:val="auto"/>
                <w:sz w:val="24"/>
                <w:szCs w:val="24"/>
              </w:rPr>
            </w:pPr>
            <w:r>
              <w:rPr>
                <w:rFonts w:ascii="宋体" w:hAnsi="宋体" w:cs="宋体"/>
                <w:color w:val="auto"/>
                <w:sz w:val="24"/>
                <w:szCs w:val="24"/>
              </w:rPr>
              <w:t>7.3</w:t>
            </w:r>
            <w:r>
              <w:rPr>
                <w:rFonts w:hint="eastAsia" w:ascii="宋体" w:hAnsi="宋体" w:cs="宋体"/>
                <w:color w:val="auto"/>
                <w:sz w:val="24"/>
                <w:szCs w:val="24"/>
              </w:rPr>
              <w:t>支持四层数据解码：支持</w:t>
            </w:r>
            <w:r>
              <w:rPr>
                <w:rFonts w:ascii="宋体" w:hAnsi="宋体" w:cs="宋体"/>
                <w:color w:val="auto"/>
                <w:sz w:val="24"/>
                <w:szCs w:val="24"/>
              </w:rPr>
              <w:t>TCP</w:t>
            </w:r>
            <w:r>
              <w:rPr>
                <w:rFonts w:hint="eastAsia" w:ascii="宋体" w:hAnsi="宋体" w:cs="宋体"/>
                <w:color w:val="auto"/>
                <w:sz w:val="24"/>
                <w:szCs w:val="24"/>
              </w:rPr>
              <w:t>、</w:t>
            </w:r>
            <w:r>
              <w:rPr>
                <w:rFonts w:ascii="宋体" w:hAnsi="宋体" w:cs="宋体"/>
                <w:color w:val="auto"/>
                <w:sz w:val="24"/>
                <w:szCs w:val="24"/>
              </w:rPr>
              <w:t>UDP</w:t>
            </w:r>
            <w:r>
              <w:rPr>
                <w:rFonts w:hint="eastAsia" w:ascii="宋体" w:hAnsi="宋体" w:cs="宋体"/>
                <w:color w:val="auto"/>
                <w:sz w:val="24"/>
                <w:szCs w:val="24"/>
              </w:rPr>
              <w:t>、</w:t>
            </w:r>
            <w:r>
              <w:rPr>
                <w:rFonts w:ascii="宋体" w:hAnsi="宋体" w:cs="宋体"/>
                <w:color w:val="auto"/>
                <w:sz w:val="24"/>
                <w:szCs w:val="24"/>
              </w:rPr>
              <w:t>ICMP</w:t>
            </w:r>
            <w:r>
              <w:rPr>
                <w:rFonts w:hint="eastAsia" w:ascii="宋体" w:hAnsi="宋体" w:cs="宋体"/>
                <w:color w:val="auto"/>
                <w:sz w:val="24"/>
                <w:szCs w:val="24"/>
              </w:rPr>
              <w:t>、</w:t>
            </w:r>
            <w:r>
              <w:rPr>
                <w:rFonts w:ascii="宋体" w:hAnsi="宋体" w:cs="宋体"/>
                <w:color w:val="auto"/>
                <w:sz w:val="24"/>
                <w:szCs w:val="24"/>
              </w:rPr>
              <w:t>ICMPv6</w:t>
            </w:r>
            <w:r>
              <w:rPr>
                <w:rFonts w:hint="eastAsia" w:ascii="宋体" w:hAnsi="宋体" w:cs="宋体"/>
                <w:color w:val="auto"/>
                <w:sz w:val="24"/>
                <w:szCs w:val="24"/>
              </w:rPr>
              <w:t>、</w:t>
            </w:r>
            <w:r>
              <w:rPr>
                <w:rFonts w:ascii="宋体" w:hAnsi="宋体" w:cs="宋体"/>
                <w:color w:val="auto"/>
                <w:sz w:val="24"/>
                <w:szCs w:val="24"/>
              </w:rPr>
              <w:t>SCTP</w:t>
            </w:r>
            <w:r>
              <w:rPr>
                <w:rFonts w:hint="eastAsia" w:ascii="宋体" w:hAnsi="宋体" w:cs="宋体"/>
                <w:color w:val="auto"/>
                <w:sz w:val="24"/>
                <w:szCs w:val="24"/>
              </w:rPr>
              <w:t>、</w:t>
            </w:r>
            <w:r>
              <w:rPr>
                <w:rFonts w:ascii="宋体" w:hAnsi="宋体" w:cs="宋体"/>
                <w:color w:val="auto"/>
                <w:sz w:val="24"/>
                <w:szCs w:val="24"/>
              </w:rPr>
              <w:t>IGMP</w:t>
            </w:r>
            <w:r>
              <w:rPr>
                <w:rFonts w:hint="eastAsia" w:ascii="宋体" w:hAnsi="宋体" w:cs="宋体"/>
                <w:color w:val="auto"/>
                <w:sz w:val="24"/>
                <w:szCs w:val="24"/>
              </w:rPr>
              <w:t>等。</w:t>
            </w:r>
          </w:p>
          <w:p>
            <w:pPr>
              <w:snapToGrid w:val="0"/>
              <w:jc w:val="left"/>
              <w:rPr>
                <w:rFonts w:ascii="宋体"/>
                <w:color w:val="auto"/>
                <w:sz w:val="24"/>
                <w:szCs w:val="24"/>
              </w:rPr>
            </w:pPr>
            <w:r>
              <w:rPr>
                <w:rFonts w:ascii="宋体" w:hAnsi="宋体" w:cs="宋体"/>
                <w:color w:val="auto"/>
                <w:sz w:val="24"/>
                <w:szCs w:val="24"/>
              </w:rPr>
              <w:t>7.4</w:t>
            </w:r>
            <w:r>
              <w:rPr>
                <w:rFonts w:hint="eastAsia" w:ascii="宋体" w:hAnsi="宋体" w:cs="宋体"/>
                <w:color w:val="auto"/>
                <w:sz w:val="24"/>
                <w:szCs w:val="24"/>
              </w:rPr>
              <w:t>支持</w:t>
            </w:r>
            <w:r>
              <w:rPr>
                <w:rFonts w:ascii="宋体" w:hAnsi="宋体" w:cs="宋体"/>
                <w:color w:val="auto"/>
                <w:sz w:val="24"/>
                <w:szCs w:val="24"/>
              </w:rPr>
              <w:t>HTTP</w:t>
            </w:r>
            <w:r>
              <w:rPr>
                <w:rFonts w:hint="eastAsia" w:ascii="宋体" w:hAnsi="宋体" w:cs="宋体"/>
                <w:color w:val="auto"/>
                <w:sz w:val="24"/>
                <w:szCs w:val="24"/>
              </w:rPr>
              <w:t>网页标题、</w:t>
            </w:r>
            <w:r>
              <w:rPr>
                <w:rFonts w:ascii="宋体" w:hAnsi="宋体" w:cs="宋体"/>
                <w:color w:val="auto"/>
                <w:sz w:val="24"/>
                <w:szCs w:val="24"/>
              </w:rPr>
              <w:t>BBS</w:t>
            </w:r>
            <w:r>
              <w:rPr>
                <w:rFonts w:hint="eastAsia" w:ascii="宋体" w:hAnsi="宋体" w:cs="宋体"/>
                <w:color w:val="auto"/>
                <w:sz w:val="24"/>
                <w:szCs w:val="24"/>
              </w:rPr>
              <w:t>、威胁情报、</w:t>
            </w:r>
            <w:r>
              <w:rPr>
                <w:rFonts w:ascii="宋体" w:hAnsi="宋体" w:cs="宋体"/>
                <w:color w:val="auto"/>
                <w:sz w:val="24"/>
                <w:szCs w:val="24"/>
              </w:rPr>
              <w:t>DGA</w:t>
            </w:r>
            <w:r>
              <w:rPr>
                <w:rFonts w:hint="eastAsia" w:ascii="宋体" w:hAnsi="宋体" w:cs="宋体"/>
                <w:color w:val="auto"/>
                <w:sz w:val="24"/>
                <w:szCs w:val="24"/>
              </w:rPr>
              <w:t>、搜索关键词的网络会话分类展现（提供产品截图）</w:t>
            </w:r>
          </w:p>
          <w:p>
            <w:pPr>
              <w:snapToGrid w:val="0"/>
              <w:jc w:val="left"/>
              <w:rPr>
                <w:rFonts w:ascii="宋体"/>
                <w:color w:val="auto"/>
                <w:sz w:val="24"/>
                <w:szCs w:val="24"/>
              </w:rPr>
            </w:pPr>
            <w:r>
              <w:rPr>
                <w:rFonts w:ascii="宋体" w:hAnsi="宋体" w:cs="宋体"/>
                <w:color w:val="auto"/>
                <w:sz w:val="24"/>
                <w:szCs w:val="24"/>
              </w:rPr>
              <w:t>7.5</w:t>
            </w:r>
            <w:r>
              <w:rPr>
                <w:rFonts w:hint="eastAsia" w:ascii="宋体" w:hAnsi="宋体" w:cs="宋体"/>
                <w:color w:val="auto"/>
                <w:sz w:val="24"/>
                <w:szCs w:val="24"/>
              </w:rPr>
              <w:t>支持</w:t>
            </w:r>
            <w:r>
              <w:rPr>
                <w:rFonts w:ascii="宋体" w:hAnsi="宋体" w:cs="宋体"/>
                <w:color w:val="auto"/>
                <w:sz w:val="24"/>
                <w:szCs w:val="24"/>
              </w:rPr>
              <w:t>DNS</w:t>
            </w:r>
            <w:r>
              <w:rPr>
                <w:rFonts w:hint="eastAsia" w:ascii="宋体" w:hAnsi="宋体" w:cs="宋体"/>
                <w:color w:val="auto"/>
                <w:sz w:val="24"/>
                <w:szCs w:val="24"/>
              </w:rPr>
              <w:t>、</w:t>
            </w:r>
            <w:r>
              <w:rPr>
                <w:rFonts w:ascii="宋体" w:hAnsi="宋体" w:cs="宋体"/>
                <w:color w:val="auto"/>
                <w:sz w:val="24"/>
                <w:szCs w:val="24"/>
              </w:rPr>
              <w:t>DGA</w:t>
            </w:r>
            <w:r>
              <w:rPr>
                <w:rFonts w:hint="eastAsia" w:ascii="宋体" w:hAnsi="宋体" w:cs="宋体"/>
                <w:color w:val="auto"/>
                <w:sz w:val="24"/>
                <w:szCs w:val="24"/>
              </w:rPr>
              <w:t>、解码错误、解码失败、解码超时的网络会话分类展现。</w:t>
            </w:r>
          </w:p>
          <w:p>
            <w:pPr>
              <w:snapToGrid w:val="0"/>
              <w:jc w:val="left"/>
              <w:rPr>
                <w:rFonts w:ascii="宋体"/>
                <w:color w:val="auto"/>
                <w:sz w:val="24"/>
                <w:szCs w:val="24"/>
              </w:rPr>
            </w:pPr>
            <w:r>
              <w:rPr>
                <w:rFonts w:ascii="宋体" w:hAnsi="宋体" w:cs="宋体"/>
                <w:color w:val="auto"/>
                <w:sz w:val="24"/>
                <w:szCs w:val="24"/>
              </w:rPr>
              <w:t>7.6</w:t>
            </w:r>
            <w:r>
              <w:rPr>
                <w:rFonts w:hint="eastAsia" w:ascii="宋体" w:hAnsi="宋体" w:cs="宋体"/>
                <w:color w:val="auto"/>
                <w:sz w:val="24"/>
                <w:szCs w:val="24"/>
              </w:rPr>
              <w:t>支持</w:t>
            </w:r>
            <w:r>
              <w:rPr>
                <w:rFonts w:ascii="宋体" w:hAnsi="宋体" w:cs="宋体"/>
                <w:color w:val="auto"/>
                <w:sz w:val="24"/>
                <w:szCs w:val="24"/>
              </w:rPr>
              <w:t>TLS</w:t>
            </w:r>
            <w:r>
              <w:rPr>
                <w:rFonts w:hint="eastAsia" w:ascii="宋体" w:hAnsi="宋体" w:cs="宋体"/>
                <w:color w:val="auto"/>
                <w:sz w:val="24"/>
                <w:szCs w:val="24"/>
              </w:rPr>
              <w:t>会话、数据库会话、邮件会话、</w:t>
            </w:r>
            <w:r>
              <w:rPr>
                <w:rFonts w:ascii="宋体" w:hAnsi="宋体" w:cs="宋体"/>
                <w:color w:val="auto"/>
                <w:sz w:val="24"/>
                <w:szCs w:val="24"/>
              </w:rPr>
              <w:t>FTP</w:t>
            </w:r>
            <w:r>
              <w:rPr>
                <w:rFonts w:hint="eastAsia" w:ascii="宋体" w:hAnsi="宋体" w:cs="宋体"/>
                <w:color w:val="auto"/>
                <w:sz w:val="24"/>
                <w:szCs w:val="24"/>
              </w:rPr>
              <w:t>会话、</w:t>
            </w:r>
            <w:r>
              <w:rPr>
                <w:rFonts w:ascii="宋体" w:hAnsi="宋体" w:cs="宋体"/>
                <w:color w:val="auto"/>
                <w:sz w:val="24"/>
                <w:szCs w:val="24"/>
              </w:rPr>
              <w:t>Telnet</w:t>
            </w:r>
            <w:r>
              <w:rPr>
                <w:rFonts w:hint="eastAsia" w:ascii="宋体" w:hAnsi="宋体" w:cs="宋体"/>
                <w:color w:val="auto"/>
                <w:sz w:val="24"/>
                <w:szCs w:val="24"/>
              </w:rPr>
              <w:t>会话，即时通讯会话的展现。</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4</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安全隔离网闸</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、产品采用“</w:t>
            </w:r>
            <w:r>
              <w:rPr>
                <w:rFonts w:ascii="宋体" w:hAnsi="宋体" w:cs="宋体"/>
                <w:color w:val="auto"/>
                <w:kern w:val="0"/>
                <w:sz w:val="24"/>
                <w:szCs w:val="24"/>
              </w:rPr>
              <w:t>2+1</w:t>
            </w:r>
            <w:r>
              <w:rPr>
                <w:rFonts w:hint="eastAsia" w:ascii="宋体" w:hAnsi="宋体" w:cs="宋体"/>
                <w:color w:val="auto"/>
                <w:kern w:val="0"/>
                <w:sz w:val="24"/>
                <w:szCs w:val="24"/>
              </w:rPr>
              <w:t>”（即双主机系统</w:t>
            </w:r>
            <w:r>
              <w:rPr>
                <w:rFonts w:ascii="宋体" w:hAnsi="宋体" w:cs="宋体"/>
                <w:color w:val="auto"/>
                <w:kern w:val="0"/>
                <w:sz w:val="24"/>
                <w:szCs w:val="24"/>
              </w:rPr>
              <w:t>+</w:t>
            </w:r>
            <w:r>
              <w:rPr>
                <w:rFonts w:hint="eastAsia" w:ascii="宋体" w:hAnsi="宋体" w:cs="宋体"/>
                <w:color w:val="auto"/>
                <w:kern w:val="0"/>
                <w:sz w:val="24"/>
                <w:szCs w:val="24"/>
              </w:rPr>
              <w:t>物理隔离数据通道控制系统）体系结构；具备数据通道控制系统证书；通过嵌入式数据通道控制系统隔离外部网络，而不是采用</w:t>
            </w:r>
            <w:r>
              <w:rPr>
                <w:rFonts w:ascii="宋体" w:hAnsi="宋体" w:cs="宋体"/>
                <w:color w:val="auto"/>
                <w:kern w:val="0"/>
                <w:sz w:val="24"/>
                <w:szCs w:val="24"/>
              </w:rPr>
              <w:t>DMA</w:t>
            </w:r>
            <w:r>
              <w:rPr>
                <w:rFonts w:hint="eastAsia" w:ascii="宋体" w:hAnsi="宋体" w:cs="宋体"/>
                <w:color w:val="auto"/>
                <w:kern w:val="0"/>
                <w:sz w:val="24"/>
                <w:szCs w:val="24"/>
              </w:rPr>
              <w:t>、</w:t>
            </w:r>
            <w:r>
              <w:rPr>
                <w:rFonts w:ascii="宋体" w:hAnsi="宋体" w:cs="宋体"/>
                <w:color w:val="auto"/>
                <w:kern w:val="0"/>
                <w:sz w:val="24"/>
                <w:szCs w:val="24"/>
              </w:rPr>
              <w:t>SCSI</w:t>
            </w:r>
            <w:r>
              <w:rPr>
                <w:rFonts w:hint="eastAsia" w:ascii="宋体" w:hAnsi="宋体" w:cs="宋体"/>
                <w:color w:val="auto"/>
                <w:kern w:val="0"/>
                <w:sz w:val="24"/>
                <w:szCs w:val="24"/>
              </w:rPr>
              <w:t>、网卡等方式实现；采用特有控制逻辑和专用通讯协议完全控制数据的实时交换，确保可信网络（域）和非可信网络（域）之间任何连接的断开，彻底阻断</w:t>
            </w:r>
            <w:r>
              <w:rPr>
                <w:rFonts w:ascii="宋体" w:hAnsi="宋体" w:cs="宋体"/>
                <w:color w:val="auto"/>
                <w:kern w:val="0"/>
                <w:sz w:val="24"/>
                <w:szCs w:val="24"/>
              </w:rPr>
              <w:t>TCP/IP</w:t>
            </w:r>
            <w:r>
              <w:rPr>
                <w:rFonts w:hint="eastAsia" w:ascii="宋体" w:hAnsi="宋体" w:cs="宋体"/>
                <w:color w:val="auto"/>
                <w:kern w:val="0"/>
                <w:sz w:val="24"/>
                <w:szCs w:val="24"/>
              </w:rPr>
              <w:t>协议及其他网络协议。</w:t>
            </w:r>
          </w:p>
          <w:p>
            <w:pPr>
              <w:widowControl/>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、采用具有自主知识产权的基于</w:t>
            </w:r>
            <w:r>
              <w:rPr>
                <w:rFonts w:ascii="宋体" w:hAnsi="宋体" w:cs="宋体"/>
                <w:color w:val="auto"/>
                <w:kern w:val="0"/>
                <w:sz w:val="24"/>
                <w:szCs w:val="24"/>
              </w:rPr>
              <w:t>linux</w:t>
            </w:r>
            <w:r>
              <w:rPr>
                <w:rFonts w:hint="eastAsia" w:ascii="宋体" w:hAnsi="宋体" w:cs="宋体"/>
                <w:color w:val="auto"/>
                <w:kern w:val="0"/>
                <w:sz w:val="24"/>
                <w:szCs w:val="24"/>
              </w:rPr>
              <w:t>内核的多核多线程并行安全操作系统</w:t>
            </w:r>
            <w:r>
              <w:rPr>
                <w:rFonts w:ascii="宋体" w:hAnsi="宋体" w:cs="宋体"/>
                <w:color w:val="auto"/>
                <w:kern w:val="0"/>
                <w:sz w:val="24"/>
                <w:szCs w:val="24"/>
              </w:rPr>
              <w:t>TPSecOS</w:t>
            </w:r>
            <w:r>
              <w:rPr>
                <w:rFonts w:hint="eastAsia" w:ascii="宋体" w:hAnsi="宋体" w:cs="宋体"/>
                <w:color w:val="auto"/>
                <w:kern w:val="0"/>
                <w:sz w:val="24"/>
                <w:szCs w:val="24"/>
              </w:rPr>
              <w:t>，提供安全操作系统软件著作权登记证书。</w:t>
            </w:r>
          </w:p>
          <w:p>
            <w:pPr>
              <w:widowControl/>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1U</w:t>
            </w:r>
            <w:r>
              <w:rPr>
                <w:rFonts w:hint="eastAsia" w:ascii="宋体" w:hAnsi="宋体" w:cs="宋体"/>
                <w:color w:val="auto"/>
                <w:kern w:val="0"/>
                <w:sz w:val="24"/>
                <w:szCs w:val="24"/>
              </w:rPr>
              <w:t>机架式</w:t>
            </w:r>
            <w:r>
              <w:rPr>
                <w:rFonts w:ascii="宋体" w:hAnsi="宋体" w:cs="宋体"/>
                <w:color w:val="auto"/>
                <w:kern w:val="0"/>
                <w:sz w:val="24"/>
                <w:szCs w:val="24"/>
              </w:rPr>
              <w:t>EIA RS-310C</w:t>
            </w:r>
            <w:r>
              <w:rPr>
                <w:rFonts w:hint="eastAsia" w:ascii="宋体" w:hAnsi="宋体" w:cs="宋体"/>
                <w:color w:val="auto"/>
                <w:kern w:val="0"/>
                <w:sz w:val="24"/>
                <w:szCs w:val="24"/>
              </w:rPr>
              <w:t>标准机箱，高强度钢结构机箱。</w:t>
            </w:r>
          </w:p>
          <w:p>
            <w:pPr>
              <w:widowControl/>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、内网机：</w:t>
            </w:r>
            <w:r>
              <w:rPr>
                <w:rFonts w:ascii="宋体" w:hAnsi="宋体" w:cs="宋体"/>
                <w:color w:val="auto"/>
                <w:kern w:val="0"/>
                <w:sz w:val="24"/>
                <w:szCs w:val="24"/>
              </w:rPr>
              <w:t>5</w:t>
            </w:r>
            <w:r>
              <w:rPr>
                <w:rFonts w:hint="eastAsia" w:ascii="宋体" w:hAnsi="宋体" w:cs="宋体"/>
                <w:color w:val="auto"/>
                <w:kern w:val="0"/>
                <w:sz w:val="24"/>
                <w:szCs w:val="24"/>
              </w:rPr>
              <w:t>个</w:t>
            </w:r>
            <w:r>
              <w:rPr>
                <w:rFonts w:ascii="宋体" w:hAnsi="宋体" w:cs="宋体"/>
                <w:color w:val="auto"/>
                <w:kern w:val="0"/>
                <w:sz w:val="24"/>
                <w:szCs w:val="24"/>
              </w:rPr>
              <w:t>10/100/1000M BASE-T</w:t>
            </w:r>
            <w:r>
              <w:rPr>
                <w:rFonts w:hint="eastAsia" w:ascii="宋体" w:hAnsi="宋体" w:cs="宋体"/>
                <w:color w:val="auto"/>
                <w:kern w:val="0"/>
                <w:sz w:val="24"/>
                <w:szCs w:val="24"/>
              </w:rPr>
              <w:t>接口（包含</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HA</w:t>
            </w:r>
            <w:r>
              <w:rPr>
                <w:rFonts w:hint="eastAsia" w:ascii="宋体" w:hAnsi="宋体" w:cs="宋体"/>
                <w:color w:val="auto"/>
                <w:kern w:val="0"/>
                <w:sz w:val="24"/>
                <w:szCs w:val="24"/>
              </w:rPr>
              <w:t>口）</w:t>
            </w:r>
            <w:r>
              <w:rPr>
                <w:rFonts w:ascii="宋体" w:hAnsi="宋体" w:cs="宋体"/>
                <w:color w:val="auto"/>
                <w:kern w:val="0"/>
                <w:sz w:val="24"/>
                <w:szCs w:val="24"/>
              </w:rPr>
              <w:t>, 2</w:t>
            </w:r>
            <w:r>
              <w:rPr>
                <w:rFonts w:hint="eastAsia" w:ascii="宋体" w:hAnsi="宋体" w:cs="宋体"/>
                <w:color w:val="auto"/>
                <w:kern w:val="0"/>
                <w:sz w:val="24"/>
                <w:szCs w:val="24"/>
              </w:rPr>
              <w:t>个</w:t>
            </w:r>
            <w:r>
              <w:rPr>
                <w:rFonts w:ascii="宋体" w:hAnsi="宋体" w:cs="宋体"/>
                <w:color w:val="auto"/>
                <w:kern w:val="0"/>
                <w:sz w:val="24"/>
                <w:szCs w:val="24"/>
              </w:rPr>
              <w:t>USB</w:t>
            </w:r>
            <w:r>
              <w:rPr>
                <w:rFonts w:hint="eastAsia" w:ascii="宋体" w:hAnsi="宋体" w:cs="宋体"/>
                <w:color w:val="auto"/>
                <w:kern w:val="0"/>
                <w:sz w:val="24"/>
                <w:szCs w:val="24"/>
              </w:rPr>
              <w:t>接口，</w:t>
            </w:r>
            <w:r>
              <w:rPr>
                <w:rFonts w:ascii="宋体" w:hAnsi="宋体" w:cs="宋体"/>
                <w:color w:val="auto"/>
                <w:kern w:val="0"/>
                <w:sz w:val="24"/>
                <w:szCs w:val="24"/>
              </w:rPr>
              <w:t xml:space="preserve"> 1</w:t>
            </w:r>
            <w:r>
              <w:rPr>
                <w:rFonts w:hint="eastAsia" w:ascii="宋体" w:hAnsi="宋体" w:cs="宋体"/>
                <w:color w:val="auto"/>
                <w:kern w:val="0"/>
                <w:sz w:val="24"/>
                <w:szCs w:val="24"/>
              </w:rPr>
              <w:t>个</w:t>
            </w:r>
            <w:r>
              <w:rPr>
                <w:rFonts w:ascii="宋体" w:hAnsi="宋体" w:cs="宋体"/>
                <w:color w:val="auto"/>
                <w:kern w:val="0"/>
                <w:sz w:val="24"/>
                <w:szCs w:val="24"/>
              </w:rPr>
              <w:t>console</w:t>
            </w:r>
            <w:r>
              <w:rPr>
                <w:rFonts w:hint="eastAsia" w:ascii="宋体" w:hAnsi="宋体" w:cs="宋体"/>
                <w:color w:val="auto"/>
                <w:kern w:val="0"/>
                <w:sz w:val="24"/>
                <w:szCs w:val="24"/>
              </w:rPr>
              <w:t>接口。</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、外网机：</w:t>
            </w:r>
            <w:r>
              <w:rPr>
                <w:rFonts w:ascii="宋体" w:hAnsi="宋体" w:cs="宋体"/>
                <w:color w:val="auto"/>
                <w:kern w:val="0"/>
                <w:sz w:val="24"/>
                <w:szCs w:val="24"/>
              </w:rPr>
              <w:t>5</w:t>
            </w:r>
            <w:r>
              <w:rPr>
                <w:rFonts w:hint="eastAsia" w:ascii="宋体" w:hAnsi="宋体" w:cs="宋体"/>
                <w:color w:val="auto"/>
                <w:kern w:val="0"/>
                <w:sz w:val="24"/>
                <w:szCs w:val="24"/>
              </w:rPr>
              <w:t>个</w:t>
            </w:r>
            <w:r>
              <w:rPr>
                <w:rFonts w:ascii="宋体" w:hAnsi="宋体" w:cs="宋体"/>
                <w:color w:val="auto"/>
                <w:kern w:val="0"/>
                <w:sz w:val="24"/>
                <w:szCs w:val="24"/>
              </w:rPr>
              <w:t>10/100/1000M BASE-T</w:t>
            </w:r>
            <w:r>
              <w:rPr>
                <w:rFonts w:hint="eastAsia" w:ascii="宋体" w:hAnsi="宋体" w:cs="宋体"/>
                <w:color w:val="auto"/>
                <w:kern w:val="0"/>
                <w:sz w:val="24"/>
                <w:szCs w:val="24"/>
              </w:rPr>
              <w:t>接口（包含</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HA</w:t>
            </w:r>
            <w:r>
              <w:rPr>
                <w:rFonts w:hint="eastAsia" w:ascii="宋体" w:hAnsi="宋体" w:cs="宋体"/>
                <w:color w:val="auto"/>
                <w:kern w:val="0"/>
                <w:sz w:val="24"/>
                <w:szCs w:val="24"/>
              </w:rPr>
              <w:t>口）</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USB</w:t>
            </w:r>
            <w:r>
              <w:rPr>
                <w:rFonts w:hint="eastAsia" w:ascii="宋体" w:hAnsi="宋体" w:cs="宋体"/>
                <w:color w:val="auto"/>
                <w:kern w:val="0"/>
                <w:sz w:val="24"/>
                <w:szCs w:val="24"/>
              </w:rPr>
              <w:t>接口，</w:t>
            </w:r>
            <w:r>
              <w:rPr>
                <w:rFonts w:ascii="宋体" w:hAnsi="宋体" w:cs="宋体"/>
                <w:color w:val="auto"/>
                <w:kern w:val="0"/>
                <w:sz w:val="24"/>
                <w:szCs w:val="24"/>
              </w:rPr>
              <w:t xml:space="preserve"> 1</w:t>
            </w:r>
            <w:r>
              <w:rPr>
                <w:rFonts w:hint="eastAsia" w:ascii="宋体" w:hAnsi="宋体" w:cs="宋体"/>
                <w:color w:val="auto"/>
                <w:kern w:val="0"/>
                <w:sz w:val="24"/>
                <w:szCs w:val="24"/>
              </w:rPr>
              <w:t>个</w:t>
            </w:r>
            <w:r>
              <w:rPr>
                <w:rFonts w:ascii="宋体" w:hAnsi="宋体" w:cs="宋体"/>
                <w:color w:val="auto"/>
                <w:kern w:val="0"/>
                <w:sz w:val="24"/>
                <w:szCs w:val="24"/>
              </w:rPr>
              <w:t>console</w:t>
            </w:r>
            <w:r>
              <w:rPr>
                <w:rFonts w:hint="eastAsia" w:ascii="宋体" w:hAnsi="宋体" w:cs="宋体"/>
                <w:color w:val="auto"/>
                <w:kern w:val="0"/>
                <w:sz w:val="24"/>
                <w:szCs w:val="24"/>
              </w:rPr>
              <w:t>接口。</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、吞吐量≥</w:t>
            </w:r>
            <w:r>
              <w:rPr>
                <w:rFonts w:ascii="宋体" w:hAnsi="宋体" w:cs="宋体"/>
                <w:color w:val="auto"/>
                <w:kern w:val="0"/>
                <w:sz w:val="24"/>
                <w:szCs w:val="24"/>
              </w:rPr>
              <w:t>600 Mbps</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、最大并发连接数</w:t>
            </w:r>
            <w:r>
              <w:rPr>
                <w:rFonts w:ascii="宋体" w:hAnsi="宋体" w:cs="宋体"/>
                <w:color w:val="auto"/>
                <w:kern w:val="0"/>
                <w:sz w:val="24"/>
                <w:szCs w:val="24"/>
              </w:rPr>
              <w:t>: 100,000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w:t>
            </w:r>
            <w:r>
              <w:rPr>
                <w:rFonts w:ascii="宋体" w:hAnsi="宋体" w:cs="宋体"/>
                <w:color w:val="auto"/>
                <w:kern w:val="0"/>
                <w:sz w:val="24"/>
                <w:szCs w:val="24"/>
              </w:rPr>
              <w:t>MTBF</w:t>
            </w:r>
            <w:r>
              <w:rPr>
                <w:rFonts w:hint="eastAsia" w:ascii="宋体" w:hAnsi="宋体" w:cs="宋体"/>
                <w:color w:val="auto"/>
                <w:kern w:val="0"/>
                <w:sz w:val="24"/>
                <w:szCs w:val="24"/>
              </w:rPr>
              <w:t>≥</w:t>
            </w:r>
            <w:r>
              <w:rPr>
                <w:rFonts w:ascii="宋体" w:hAnsi="宋体" w:cs="宋体"/>
                <w:color w:val="auto"/>
                <w:kern w:val="0"/>
                <w:sz w:val="24"/>
                <w:szCs w:val="24"/>
              </w:rPr>
              <w:t>50,000</w:t>
            </w:r>
            <w:r>
              <w:rPr>
                <w:rFonts w:hint="eastAsia" w:ascii="宋体" w:hAnsi="宋体" w:cs="宋体"/>
                <w:color w:val="auto"/>
                <w:kern w:val="0"/>
                <w:sz w:val="24"/>
                <w:szCs w:val="24"/>
              </w:rPr>
              <w:t>小时。</w:t>
            </w:r>
          </w:p>
          <w:p>
            <w:pPr>
              <w:widowControl/>
              <w:jc w:val="left"/>
              <w:textAlignment w:val="center"/>
              <w:rPr>
                <w:rFonts w:ascii="宋体"/>
                <w:color w:val="auto"/>
                <w:kern w:val="0"/>
                <w:sz w:val="24"/>
                <w:szCs w:val="24"/>
              </w:rPr>
            </w:pPr>
            <w:r>
              <w:rPr>
                <w:rFonts w:ascii="宋体" w:hAnsi="宋体" w:cs="宋体"/>
                <w:color w:val="auto"/>
                <w:kern w:val="0"/>
                <w:sz w:val="24"/>
                <w:szCs w:val="24"/>
              </w:rPr>
              <w:t>9</w:t>
            </w:r>
            <w:r>
              <w:rPr>
                <w:rFonts w:hint="eastAsia" w:ascii="宋体" w:hAnsi="宋体" w:cs="宋体"/>
                <w:color w:val="auto"/>
                <w:kern w:val="0"/>
                <w:sz w:val="24"/>
                <w:szCs w:val="24"/>
              </w:rPr>
              <w:t>、系统延时</w:t>
            </w:r>
            <w:r>
              <w:rPr>
                <w:rFonts w:ascii="宋体" w:hAnsi="宋体" w:cs="宋体"/>
                <w:color w:val="auto"/>
                <w:kern w:val="0"/>
                <w:sz w:val="24"/>
                <w:szCs w:val="24"/>
              </w:rPr>
              <w:t>&lt; 1</w:t>
            </w:r>
            <w:r>
              <w:rPr>
                <w:rFonts w:hint="eastAsia" w:ascii="宋体" w:hAnsi="宋体" w:cs="宋体"/>
                <w:color w:val="auto"/>
                <w:kern w:val="0"/>
                <w:sz w:val="24"/>
                <w:szCs w:val="24"/>
              </w:rPr>
              <w:t>μ</w:t>
            </w:r>
            <w:r>
              <w:rPr>
                <w:rFonts w:ascii="宋体" w:hAnsi="宋体" w:cs="宋体"/>
                <w:color w:val="auto"/>
                <w:kern w:val="0"/>
                <w:sz w:val="24"/>
                <w:szCs w:val="24"/>
              </w:rPr>
              <w:t>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10</w:t>
            </w:r>
            <w:r>
              <w:rPr>
                <w:rFonts w:hint="eastAsia" w:ascii="宋体" w:hAnsi="宋体" w:cs="宋体"/>
                <w:color w:val="auto"/>
                <w:kern w:val="0"/>
                <w:sz w:val="24"/>
                <w:szCs w:val="24"/>
              </w:rPr>
              <w:t>、最大并发视频路数≥</w:t>
            </w:r>
            <w:r>
              <w:rPr>
                <w:rFonts w:ascii="宋体" w:hAnsi="宋体" w:cs="宋体"/>
                <w:color w:val="auto"/>
                <w:kern w:val="0"/>
                <w:sz w:val="24"/>
                <w:szCs w:val="24"/>
              </w:rPr>
              <w:t>240</w:t>
            </w:r>
            <w:r>
              <w:rPr>
                <w:rFonts w:hint="eastAsia" w:ascii="宋体" w:hAnsi="宋体" w:cs="宋体"/>
                <w:color w:val="auto"/>
                <w:kern w:val="0"/>
                <w:sz w:val="24"/>
                <w:szCs w:val="24"/>
              </w:rPr>
              <w:t>路</w:t>
            </w:r>
            <w:r>
              <w:rPr>
                <w:rFonts w:ascii="宋体" w:hAnsi="宋体" w:cs="宋体"/>
                <w:color w:val="auto"/>
                <w:kern w:val="0"/>
                <w:sz w:val="24"/>
                <w:szCs w:val="24"/>
              </w:rPr>
              <w:t>D1</w:t>
            </w:r>
            <w:r>
              <w:rPr>
                <w:rFonts w:hint="eastAsia" w:ascii="宋体" w:hAnsi="宋体" w:cs="宋体"/>
                <w:color w:val="auto"/>
                <w:kern w:val="0"/>
                <w:sz w:val="24"/>
                <w:szCs w:val="24"/>
              </w:rPr>
              <w:t>视频。</w:t>
            </w:r>
          </w:p>
          <w:p>
            <w:pPr>
              <w:widowControl/>
              <w:jc w:val="left"/>
              <w:textAlignment w:val="center"/>
              <w:rPr>
                <w:rFonts w:ascii="宋体"/>
                <w:color w:val="auto"/>
                <w:kern w:val="0"/>
                <w:sz w:val="24"/>
                <w:szCs w:val="24"/>
              </w:rPr>
            </w:pPr>
            <w:r>
              <w:rPr>
                <w:rFonts w:ascii="宋体" w:hAnsi="宋体" w:cs="宋体"/>
                <w:color w:val="auto"/>
                <w:kern w:val="0"/>
                <w:sz w:val="24"/>
                <w:szCs w:val="24"/>
              </w:rPr>
              <w:t>11</w:t>
            </w:r>
            <w:r>
              <w:rPr>
                <w:rFonts w:hint="eastAsia" w:ascii="宋体" w:hAnsi="宋体" w:cs="宋体"/>
                <w:color w:val="auto"/>
                <w:kern w:val="0"/>
                <w:sz w:val="24"/>
                <w:szCs w:val="24"/>
              </w:rPr>
              <w:t>、最大数据库同步速率≥</w:t>
            </w:r>
            <w:r>
              <w:rPr>
                <w:rFonts w:ascii="宋体" w:hAnsi="宋体" w:cs="宋体"/>
                <w:color w:val="auto"/>
                <w:kern w:val="0"/>
                <w:sz w:val="24"/>
                <w:szCs w:val="24"/>
              </w:rPr>
              <w:t>2,000</w:t>
            </w:r>
            <w:r>
              <w:rPr>
                <w:rFonts w:hint="eastAsia" w:ascii="宋体" w:hAnsi="宋体" w:cs="宋体"/>
                <w:color w:val="auto"/>
                <w:kern w:val="0"/>
                <w:sz w:val="24"/>
                <w:szCs w:val="24"/>
              </w:rPr>
              <w:t>条</w:t>
            </w:r>
            <w:r>
              <w:rPr>
                <w:rFonts w:ascii="宋体" w:hAnsi="宋体" w:cs="宋体"/>
                <w:color w:val="auto"/>
                <w:kern w:val="0"/>
                <w:sz w:val="24"/>
                <w:szCs w:val="24"/>
              </w:rPr>
              <w:t>/</w:t>
            </w:r>
            <w:r>
              <w:rPr>
                <w:rFonts w:hint="eastAsia" w:ascii="宋体" w:hAnsi="宋体" w:cs="宋体"/>
                <w:color w:val="auto"/>
                <w:kern w:val="0"/>
                <w:sz w:val="24"/>
                <w:szCs w:val="24"/>
              </w:rPr>
              <w:t>秒。</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12</w:t>
            </w:r>
            <w:r>
              <w:rPr>
                <w:rFonts w:hint="eastAsia" w:ascii="宋体" w:hAnsi="宋体" w:cs="宋体"/>
                <w:color w:val="auto"/>
                <w:kern w:val="0"/>
                <w:sz w:val="24"/>
                <w:szCs w:val="24"/>
              </w:rPr>
              <w:t>、带液晶屏，液晶菜单可显示内外网机</w:t>
            </w:r>
            <w:r>
              <w:rPr>
                <w:rFonts w:ascii="宋体" w:hAnsi="宋体" w:cs="宋体"/>
                <w:color w:val="auto"/>
                <w:kern w:val="0"/>
                <w:sz w:val="24"/>
                <w:szCs w:val="24"/>
              </w:rPr>
              <w:t>IP</w:t>
            </w:r>
            <w:r>
              <w:rPr>
                <w:rFonts w:hint="eastAsia" w:ascii="宋体" w:hAnsi="宋体" w:cs="宋体"/>
                <w:color w:val="auto"/>
                <w:kern w:val="0"/>
                <w:sz w:val="24"/>
                <w:szCs w:val="24"/>
              </w:rPr>
              <w:t>地址、</w:t>
            </w:r>
            <w:r>
              <w:rPr>
                <w:rFonts w:ascii="宋体" w:hAnsi="宋体" w:cs="宋体"/>
                <w:color w:val="auto"/>
                <w:kern w:val="0"/>
                <w:sz w:val="24"/>
                <w:szCs w:val="24"/>
              </w:rPr>
              <w:t>CPU</w:t>
            </w:r>
            <w:r>
              <w:rPr>
                <w:rFonts w:hint="eastAsia" w:ascii="宋体" w:hAnsi="宋体" w:cs="宋体"/>
                <w:color w:val="auto"/>
                <w:kern w:val="0"/>
                <w:sz w:val="24"/>
                <w:szCs w:val="24"/>
              </w:rPr>
              <w:t>使用率和内存使用率等整机信息，面板可操控整机复位、关机，具有设备异常（如网络</w:t>
            </w:r>
            <w:r>
              <w:rPr>
                <w:rFonts w:ascii="宋体" w:hAnsi="宋体" w:cs="宋体"/>
                <w:color w:val="auto"/>
                <w:kern w:val="0"/>
                <w:sz w:val="24"/>
                <w:szCs w:val="24"/>
              </w:rPr>
              <w:t>IP</w:t>
            </w:r>
            <w:r>
              <w:rPr>
                <w:rFonts w:hint="eastAsia" w:ascii="宋体" w:hAnsi="宋体" w:cs="宋体"/>
                <w:color w:val="auto"/>
                <w:kern w:val="0"/>
                <w:sz w:val="24"/>
                <w:szCs w:val="24"/>
              </w:rPr>
              <w:t>冲突、通讯异常等）监测报警功能，</w:t>
            </w:r>
            <w:r>
              <w:rPr>
                <w:rFonts w:ascii="宋体" w:hAnsi="宋体" w:cs="宋体"/>
                <w:color w:val="auto"/>
                <w:kern w:val="0"/>
                <w:sz w:val="24"/>
                <w:szCs w:val="24"/>
              </w:rPr>
              <w:t xml:space="preserve"> </w:t>
            </w:r>
            <w:r>
              <w:rPr>
                <w:rFonts w:hint="eastAsia" w:ascii="宋体" w:hAnsi="宋体" w:cs="宋体"/>
                <w:color w:val="auto"/>
                <w:kern w:val="0"/>
                <w:sz w:val="24"/>
                <w:szCs w:val="24"/>
              </w:rPr>
              <w:t>声光报警装置；（投标时必须提供物理结构图和功能图）。</w:t>
            </w:r>
          </w:p>
          <w:p>
            <w:pPr>
              <w:widowControl/>
              <w:jc w:val="left"/>
              <w:textAlignment w:val="center"/>
              <w:rPr>
                <w:rFonts w:ascii="宋体"/>
                <w:color w:val="auto"/>
                <w:kern w:val="0"/>
                <w:sz w:val="24"/>
                <w:szCs w:val="24"/>
              </w:rPr>
            </w:pPr>
            <w:r>
              <w:rPr>
                <w:rFonts w:ascii="宋体" w:hAnsi="宋体" w:cs="宋体"/>
                <w:color w:val="auto"/>
                <w:kern w:val="0"/>
                <w:sz w:val="24"/>
                <w:szCs w:val="24"/>
              </w:rPr>
              <w:t>13</w:t>
            </w:r>
            <w:r>
              <w:rPr>
                <w:rFonts w:hint="eastAsia" w:ascii="宋体" w:hAnsi="宋体" w:cs="宋体"/>
                <w:color w:val="auto"/>
                <w:kern w:val="0"/>
                <w:sz w:val="24"/>
                <w:szCs w:val="24"/>
              </w:rPr>
              <w:t>、文件同步支持</w:t>
            </w:r>
            <w:r>
              <w:rPr>
                <w:rFonts w:ascii="宋体" w:hAnsi="宋体" w:cs="宋体"/>
                <w:color w:val="auto"/>
                <w:kern w:val="0"/>
                <w:sz w:val="24"/>
                <w:szCs w:val="24"/>
              </w:rPr>
              <w:t>SMBFS</w:t>
            </w:r>
            <w:r>
              <w:rPr>
                <w:rFonts w:hint="eastAsia" w:ascii="宋体" w:hAnsi="宋体" w:cs="宋体"/>
                <w:color w:val="auto"/>
                <w:kern w:val="0"/>
                <w:sz w:val="24"/>
                <w:szCs w:val="24"/>
              </w:rPr>
              <w:t>、</w:t>
            </w:r>
            <w:r>
              <w:rPr>
                <w:rFonts w:ascii="宋体" w:hAnsi="宋体" w:cs="宋体"/>
                <w:color w:val="auto"/>
                <w:kern w:val="0"/>
                <w:sz w:val="24"/>
                <w:szCs w:val="24"/>
              </w:rPr>
              <w:t>SAMBA</w:t>
            </w:r>
            <w:r>
              <w:rPr>
                <w:rFonts w:hint="eastAsia" w:ascii="宋体" w:hAnsi="宋体" w:cs="宋体"/>
                <w:color w:val="auto"/>
                <w:kern w:val="0"/>
                <w:sz w:val="24"/>
                <w:szCs w:val="24"/>
              </w:rPr>
              <w:t>、</w:t>
            </w:r>
            <w:r>
              <w:rPr>
                <w:rFonts w:ascii="宋体" w:hAnsi="宋体" w:cs="宋体"/>
                <w:color w:val="auto"/>
                <w:kern w:val="0"/>
                <w:sz w:val="24"/>
                <w:szCs w:val="24"/>
              </w:rPr>
              <w:t>NFS</w:t>
            </w:r>
            <w:r>
              <w:rPr>
                <w:rFonts w:hint="eastAsia" w:ascii="宋体" w:hAnsi="宋体" w:cs="宋体"/>
                <w:color w:val="auto"/>
                <w:kern w:val="0"/>
                <w:sz w:val="24"/>
                <w:szCs w:val="24"/>
              </w:rPr>
              <w:t>等文件传输协议，可以实现内网到外网、外网到内网、双向的文件传输。</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14</w:t>
            </w:r>
            <w:r>
              <w:rPr>
                <w:rFonts w:hint="eastAsia" w:ascii="宋体" w:hAnsi="宋体" w:cs="宋体"/>
                <w:color w:val="auto"/>
                <w:kern w:val="0"/>
                <w:sz w:val="24"/>
                <w:szCs w:val="24"/>
              </w:rPr>
              <w:t>、支持文件传输方向可控，实现单向或双向传输。</w:t>
            </w:r>
          </w:p>
          <w:p>
            <w:pPr>
              <w:widowControl/>
              <w:jc w:val="left"/>
              <w:textAlignment w:val="center"/>
              <w:rPr>
                <w:rFonts w:ascii="宋体"/>
                <w:color w:val="auto"/>
                <w:kern w:val="0"/>
                <w:sz w:val="24"/>
                <w:szCs w:val="24"/>
              </w:rPr>
            </w:pPr>
            <w:r>
              <w:rPr>
                <w:rFonts w:ascii="宋体" w:hAnsi="宋体" w:cs="宋体"/>
                <w:color w:val="auto"/>
                <w:kern w:val="0"/>
                <w:sz w:val="24"/>
                <w:szCs w:val="24"/>
              </w:rPr>
              <w:t>15</w:t>
            </w:r>
            <w:r>
              <w:rPr>
                <w:rFonts w:hint="eastAsia" w:ascii="宋体" w:hAnsi="宋体" w:cs="宋体"/>
                <w:color w:val="auto"/>
                <w:kern w:val="0"/>
                <w:sz w:val="24"/>
                <w:szCs w:val="24"/>
              </w:rPr>
              <w:t>、支持病毒检测。</w:t>
            </w:r>
          </w:p>
          <w:p>
            <w:pPr>
              <w:widowControl/>
              <w:jc w:val="left"/>
              <w:textAlignment w:val="center"/>
              <w:rPr>
                <w:rFonts w:ascii="宋体"/>
                <w:color w:val="auto"/>
                <w:kern w:val="0"/>
                <w:sz w:val="24"/>
                <w:szCs w:val="24"/>
              </w:rPr>
            </w:pPr>
            <w:r>
              <w:rPr>
                <w:rFonts w:ascii="宋体" w:hAnsi="宋体" w:cs="宋体"/>
                <w:color w:val="auto"/>
                <w:kern w:val="0"/>
                <w:sz w:val="24"/>
                <w:szCs w:val="24"/>
              </w:rPr>
              <w:t>16</w:t>
            </w:r>
            <w:r>
              <w:rPr>
                <w:rFonts w:hint="eastAsia" w:ascii="宋体" w:hAnsi="宋体" w:cs="宋体"/>
                <w:color w:val="auto"/>
                <w:kern w:val="0"/>
                <w:sz w:val="24"/>
                <w:szCs w:val="24"/>
              </w:rPr>
              <w:t>、支持多种同步方式（如先镜像后增量、增量），同步模式支持单向和双向同步。</w:t>
            </w:r>
          </w:p>
          <w:p>
            <w:pPr>
              <w:widowControl/>
              <w:jc w:val="left"/>
              <w:textAlignment w:val="center"/>
              <w:rPr>
                <w:rFonts w:ascii="宋体"/>
                <w:color w:val="auto"/>
                <w:kern w:val="0"/>
                <w:sz w:val="24"/>
                <w:szCs w:val="24"/>
              </w:rPr>
            </w:pPr>
            <w:r>
              <w:rPr>
                <w:rFonts w:ascii="宋体" w:hAnsi="宋体" w:cs="宋体"/>
                <w:color w:val="auto"/>
                <w:kern w:val="0"/>
                <w:sz w:val="24"/>
                <w:szCs w:val="24"/>
              </w:rPr>
              <w:t>17</w:t>
            </w:r>
            <w:r>
              <w:rPr>
                <w:rFonts w:hint="eastAsia" w:ascii="宋体" w:hAnsi="宋体" w:cs="宋体"/>
                <w:color w:val="auto"/>
                <w:kern w:val="0"/>
                <w:sz w:val="24"/>
                <w:szCs w:val="24"/>
              </w:rPr>
              <w:t>、支持表级、字段级同步。</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18</w:t>
            </w:r>
            <w:r>
              <w:rPr>
                <w:rFonts w:hint="eastAsia" w:ascii="宋体" w:hAnsi="宋体" w:cs="宋体"/>
                <w:color w:val="auto"/>
                <w:kern w:val="0"/>
                <w:sz w:val="24"/>
                <w:szCs w:val="24"/>
              </w:rPr>
              <w:t>、支持同构数据库之间、异构数据库之间的数据同步，无需修改数据库表结构。</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19</w:t>
            </w:r>
            <w:r>
              <w:rPr>
                <w:rFonts w:hint="eastAsia" w:ascii="宋体" w:hAnsi="宋体" w:cs="宋体"/>
                <w:color w:val="auto"/>
                <w:kern w:val="0"/>
                <w:sz w:val="24"/>
                <w:szCs w:val="24"/>
              </w:rPr>
              <w:t>、支持对指定字段允许同步或不允许同步。</w:t>
            </w:r>
            <w:r>
              <w:rPr>
                <w:rFonts w:ascii="宋体" w:hAnsi="宋体" w:cs="宋体"/>
                <w:color w:val="auto"/>
                <w:kern w:val="0"/>
                <w:sz w:val="24"/>
                <w:szCs w:val="24"/>
              </w:rPr>
              <w:t xml:space="preserve"> 20</w:t>
            </w:r>
            <w:r>
              <w:rPr>
                <w:rFonts w:hint="eastAsia" w:ascii="宋体" w:hAnsi="宋体" w:cs="宋体"/>
                <w:color w:val="auto"/>
                <w:kern w:val="0"/>
                <w:sz w:val="24"/>
                <w:szCs w:val="24"/>
              </w:rPr>
              <w:t>、支持对指定字段的指定内容允许同步或不允许同步。</w:t>
            </w:r>
          </w:p>
          <w:p>
            <w:pPr>
              <w:widowControl/>
              <w:jc w:val="left"/>
              <w:textAlignment w:val="center"/>
              <w:rPr>
                <w:rFonts w:ascii="宋体"/>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、支持自定义间隔时间执行同步任务，支持指定时间执行同步任务，支持同步数据的数量可选及自定义。</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22</w:t>
            </w:r>
            <w:r>
              <w:rPr>
                <w:rFonts w:hint="eastAsia" w:ascii="宋体" w:hAnsi="宋体" w:cs="宋体"/>
                <w:color w:val="auto"/>
                <w:kern w:val="0"/>
                <w:sz w:val="24"/>
                <w:szCs w:val="24"/>
              </w:rPr>
              <w:t>、支持</w:t>
            </w:r>
            <w:r>
              <w:rPr>
                <w:rFonts w:ascii="宋体" w:hAnsi="宋体" w:cs="宋体"/>
                <w:color w:val="auto"/>
                <w:kern w:val="0"/>
                <w:sz w:val="24"/>
                <w:szCs w:val="24"/>
              </w:rPr>
              <w:t xml:space="preserve"> Oracle </w:t>
            </w:r>
            <w:r>
              <w:rPr>
                <w:rFonts w:hint="eastAsia" w:ascii="宋体" w:hAnsi="宋体" w:cs="宋体"/>
                <w:color w:val="auto"/>
                <w:kern w:val="0"/>
                <w:sz w:val="24"/>
                <w:szCs w:val="24"/>
              </w:rPr>
              <w:t>数据库</w:t>
            </w:r>
            <w:r>
              <w:rPr>
                <w:rFonts w:ascii="宋体" w:hAnsi="宋体" w:cs="宋体"/>
                <w:color w:val="auto"/>
                <w:kern w:val="0"/>
                <w:sz w:val="24"/>
                <w:szCs w:val="24"/>
              </w:rPr>
              <w:t xml:space="preserve"> RAC </w:t>
            </w:r>
            <w:r>
              <w:rPr>
                <w:rFonts w:hint="eastAsia" w:ascii="宋体" w:hAnsi="宋体" w:cs="宋体"/>
                <w:color w:val="auto"/>
                <w:kern w:val="0"/>
                <w:sz w:val="24"/>
                <w:szCs w:val="24"/>
              </w:rPr>
              <w:t>集群同步。</w:t>
            </w:r>
          </w:p>
          <w:p>
            <w:pPr>
              <w:widowControl/>
              <w:jc w:val="left"/>
              <w:textAlignment w:val="center"/>
              <w:rPr>
                <w:rFonts w:ascii="宋体"/>
                <w:color w:val="auto"/>
                <w:kern w:val="0"/>
                <w:sz w:val="24"/>
                <w:szCs w:val="24"/>
              </w:rPr>
            </w:pPr>
            <w:r>
              <w:rPr>
                <w:rFonts w:ascii="宋体" w:hAnsi="宋体" w:cs="宋体"/>
                <w:color w:val="auto"/>
                <w:kern w:val="0"/>
                <w:sz w:val="24"/>
                <w:szCs w:val="24"/>
              </w:rPr>
              <w:t>23</w:t>
            </w:r>
            <w:r>
              <w:rPr>
                <w:rFonts w:hint="eastAsia" w:ascii="宋体" w:hAnsi="宋体" w:cs="宋体"/>
                <w:color w:val="auto"/>
                <w:kern w:val="0"/>
                <w:sz w:val="24"/>
                <w:szCs w:val="24"/>
              </w:rPr>
              <w:t>、支持</w:t>
            </w:r>
            <w:r>
              <w:rPr>
                <w:rFonts w:ascii="宋体" w:hAnsi="宋体" w:cs="宋体"/>
                <w:color w:val="auto"/>
                <w:kern w:val="0"/>
                <w:sz w:val="24"/>
                <w:szCs w:val="24"/>
              </w:rPr>
              <w:t>SuperMap</w:t>
            </w:r>
            <w:r>
              <w:rPr>
                <w:rFonts w:hint="eastAsia" w:ascii="宋体" w:hAnsi="宋体" w:cs="宋体"/>
                <w:color w:val="auto"/>
                <w:kern w:val="0"/>
                <w:sz w:val="24"/>
                <w:szCs w:val="24"/>
              </w:rPr>
              <w:t>、</w:t>
            </w:r>
            <w:r>
              <w:rPr>
                <w:rFonts w:ascii="宋体" w:hAnsi="宋体" w:cs="宋体"/>
                <w:color w:val="auto"/>
                <w:kern w:val="0"/>
                <w:sz w:val="24"/>
                <w:szCs w:val="24"/>
              </w:rPr>
              <w:t>ArcGIS</w:t>
            </w:r>
            <w:r>
              <w:rPr>
                <w:rFonts w:hint="eastAsia" w:ascii="宋体" w:hAnsi="宋体" w:cs="宋体"/>
                <w:color w:val="auto"/>
                <w:kern w:val="0"/>
                <w:sz w:val="24"/>
                <w:szCs w:val="24"/>
              </w:rPr>
              <w:t>软件自定义生成的数据库表增加、修改及数据库表字段增加、修改操作进行同步。</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24</w:t>
            </w:r>
            <w:r>
              <w:rPr>
                <w:rFonts w:hint="eastAsia" w:ascii="宋体" w:hAnsi="宋体" w:cs="宋体"/>
                <w:color w:val="auto"/>
                <w:kern w:val="0"/>
                <w:sz w:val="24"/>
                <w:szCs w:val="24"/>
              </w:rPr>
              <w:t>、支持</w:t>
            </w:r>
            <w:r>
              <w:rPr>
                <w:rFonts w:ascii="宋体" w:hAnsi="宋体" w:cs="宋体"/>
                <w:color w:val="auto"/>
                <w:kern w:val="0"/>
                <w:sz w:val="24"/>
                <w:szCs w:val="24"/>
              </w:rPr>
              <w:t>GIS</w:t>
            </w:r>
            <w:r>
              <w:rPr>
                <w:rFonts w:hint="eastAsia" w:ascii="宋体" w:hAnsi="宋体" w:cs="宋体"/>
                <w:color w:val="auto"/>
                <w:kern w:val="0"/>
                <w:sz w:val="24"/>
                <w:szCs w:val="24"/>
              </w:rPr>
              <w:t>数据发布同步模块，支持</w:t>
            </w:r>
            <w:r>
              <w:rPr>
                <w:rFonts w:ascii="宋体" w:hAnsi="宋体" w:cs="宋体"/>
                <w:color w:val="auto"/>
                <w:kern w:val="0"/>
                <w:sz w:val="24"/>
                <w:szCs w:val="24"/>
              </w:rPr>
              <w:t>GIS</w:t>
            </w:r>
            <w:r>
              <w:rPr>
                <w:rFonts w:hint="eastAsia" w:ascii="宋体" w:hAnsi="宋体" w:cs="宋体"/>
                <w:color w:val="auto"/>
                <w:kern w:val="0"/>
                <w:sz w:val="24"/>
                <w:szCs w:val="24"/>
              </w:rPr>
              <w:t>数据中点、线、面数据实现同步。</w:t>
            </w:r>
          </w:p>
          <w:p>
            <w:pPr>
              <w:widowControl/>
              <w:jc w:val="left"/>
              <w:textAlignment w:val="center"/>
              <w:rPr>
                <w:rFonts w:ascii="宋体"/>
                <w:color w:val="auto"/>
                <w:kern w:val="0"/>
                <w:sz w:val="24"/>
                <w:szCs w:val="24"/>
              </w:rPr>
            </w:pPr>
            <w:r>
              <w:rPr>
                <w:rFonts w:ascii="宋体" w:hAnsi="宋体" w:cs="宋体"/>
                <w:color w:val="auto"/>
                <w:kern w:val="0"/>
                <w:sz w:val="24"/>
                <w:szCs w:val="24"/>
              </w:rPr>
              <w:t>25</w:t>
            </w:r>
            <w:r>
              <w:rPr>
                <w:rFonts w:hint="eastAsia" w:ascii="宋体" w:hAnsi="宋体" w:cs="宋体"/>
                <w:color w:val="auto"/>
                <w:kern w:val="0"/>
                <w:sz w:val="24"/>
                <w:szCs w:val="24"/>
              </w:rPr>
              <w:t>、可以同时发送和接收一个关系数据库中的多个表。</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26</w:t>
            </w:r>
            <w:r>
              <w:rPr>
                <w:rFonts w:hint="eastAsia" w:ascii="宋体" w:hAnsi="宋体" w:cs="宋体"/>
                <w:color w:val="auto"/>
                <w:kern w:val="0"/>
                <w:sz w:val="24"/>
                <w:szCs w:val="24"/>
              </w:rPr>
              <w:t>、可分别定义增加、修改的数据传输。</w:t>
            </w:r>
          </w:p>
          <w:p>
            <w:pPr>
              <w:widowControl/>
              <w:jc w:val="left"/>
              <w:textAlignment w:val="center"/>
              <w:rPr>
                <w:rFonts w:ascii="宋体"/>
                <w:color w:val="auto"/>
                <w:kern w:val="0"/>
                <w:sz w:val="24"/>
                <w:szCs w:val="24"/>
              </w:rPr>
            </w:pPr>
            <w:r>
              <w:rPr>
                <w:rFonts w:ascii="宋体" w:hAnsi="宋体" w:cs="宋体"/>
                <w:color w:val="auto"/>
                <w:kern w:val="0"/>
                <w:sz w:val="24"/>
                <w:szCs w:val="24"/>
              </w:rPr>
              <w:t>27</w:t>
            </w:r>
            <w:r>
              <w:rPr>
                <w:rFonts w:hint="eastAsia" w:ascii="宋体" w:hAnsi="宋体" w:cs="宋体"/>
                <w:color w:val="auto"/>
                <w:kern w:val="0"/>
                <w:sz w:val="24"/>
                <w:szCs w:val="24"/>
              </w:rPr>
              <w:t>、根据指定字段值进行条件传输。</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28</w:t>
            </w:r>
            <w:r>
              <w:rPr>
                <w:rFonts w:hint="eastAsia" w:ascii="宋体" w:hAnsi="宋体" w:cs="宋体"/>
                <w:color w:val="auto"/>
                <w:kern w:val="0"/>
                <w:sz w:val="24"/>
                <w:szCs w:val="24"/>
              </w:rPr>
              <w:t>、支持大字段数据同步交换包括</w:t>
            </w:r>
            <w:r>
              <w:rPr>
                <w:rFonts w:ascii="宋体" w:hAnsi="宋体" w:cs="宋体"/>
                <w:color w:val="auto"/>
                <w:kern w:val="0"/>
                <w:sz w:val="24"/>
                <w:szCs w:val="24"/>
              </w:rPr>
              <w:t>BLOB</w:t>
            </w:r>
            <w:r>
              <w:rPr>
                <w:rFonts w:hint="eastAsia" w:ascii="宋体" w:hAnsi="宋体" w:cs="宋体"/>
                <w:color w:val="auto"/>
                <w:kern w:val="0"/>
                <w:sz w:val="24"/>
                <w:szCs w:val="24"/>
              </w:rPr>
              <w:t>、</w:t>
            </w:r>
            <w:r>
              <w:rPr>
                <w:rFonts w:ascii="宋体" w:hAnsi="宋体" w:cs="宋体"/>
                <w:color w:val="auto"/>
                <w:kern w:val="0"/>
                <w:sz w:val="24"/>
                <w:szCs w:val="24"/>
              </w:rPr>
              <w:t>CLOB</w:t>
            </w:r>
            <w:r>
              <w:rPr>
                <w:rFonts w:hint="eastAsia" w:ascii="宋体" w:hAnsi="宋体" w:cs="宋体"/>
                <w:color w:val="auto"/>
                <w:kern w:val="0"/>
                <w:sz w:val="24"/>
                <w:szCs w:val="24"/>
              </w:rPr>
              <w:t>、</w:t>
            </w:r>
            <w:r>
              <w:rPr>
                <w:rFonts w:ascii="宋体" w:hAnsi="宋体" w:cs="宋体"/>
                <w:color w:val="auto"/>
                <w:kern w:val="0"/>
                <w:sz w:val="24"/>
                <w:szCs w:val="24"/>
              </w:rPr>
              <w:t>Long</w:t>
            </w:r>
            <w:r>
              <w:rPr>
                <w:rFonts w:hint="eastAsia" w:ascii="宋体" w:hAnsi="宋体" w:cs="宋体"/>
                <w:color w:val="auto"/>
                <w:kern w:val="0"/>
                <w:sz w:val="24"/>
                <w:szCs w:val="24"/>
              </w:rPr>
              <w:t>等。</w:t>
            </w:r>
            <w:r>
              <w:rPr>
                <w:rFonts w:ascii="宋体" w:hAnsi="宋体" w:cs="宋体"/>
                <w:color w:val="auto"/>
                <w:kern w:val="0"/>
                <w:sz w:val="24"/>
                <w:szCs w:val="24"/>
              </w:rPr>
              <w:t xml:space="preserve"> </w:t>
            </w:r>
          </w:p>
          <w:p>
            <w:pPr>
              <w:widowControl/>
              <w:jc w:val="left"/>
              <w:textAlignment w:val="center"/>
              <w:rPr>
                <w:rFonts w:ascii="宋体"/>
                <w:color w:val="auto"/>
                <w:sz w:val="24"/>
                <w:szCs w:val="24"/>
              </w:rPr>
            </w:pPr>
            <w:r>
              <w:rPr>
                <w:rFonts w:ascii="宋体" w:hAnsi="宋体" w:cs="宋体"/>
                <w:color w:val="auto"/>
                <w:kern w:val="0"/>
                <w:sz w:val="24"/>
                <w:szCs w:val="24"/>
              </w:rPr>
              <w:t>29</w:t>
            </w:r>
            <w:r>
              <w:rPr>
                <w:rFonts w:hint="eastAsia" w:ascii="宋体" w:hAnsi="宋体" w:cs="宋体"/>
                <w:color w:val="auto"/>
                <w:kern w:val="0"/>
                <w:sz w:val="24"/>
                <w:szCs w:val="24"/>
              </w:rPr>
              <w:t>、支持不同类型数据库之间的异构数据安全传输。</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5</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入侵防御系统</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、性能参数：网络层吞吐量：</w:t>
            </w:r>
            <w:r>
              <w:rPr>
                <w:rFonts w:ascii="宋体" w:hAnsi="宋体" w:cs="宋体"/>
                <w:color w:val="auto"/>
                <w:kern w:val="0"/>
                <w:sz w:val="24"/>
                <w:szCs w:val="24"/>
              </w:rPr>
              <w:t>6Gbps</w:t>
            </w:r>
            <w:r>
              <w:rPr>
                <w:rFonts w:hint="eastAsia" w:ascii="宋体" w:hAnsi="宋体" w:cs="宋体"/>
                <w:color w:val="auto"/>
                <w:kern w:val="0"/>
                <w:sz w:val="24"/>
                <w:szCs w:val="24"/>
              </w:rPr>
              <w:t>，</w:t>
            </w:r>
            <w:r>
              <w:rPr>
                <w:rFonts w:ascii="宋体" w:hAnsi="宋体" w:cs="宋体"/>
                <w:color w:val="auto"/>
                <w:kern w:val="0"/>
                <w:sz w:val="24"/>
                <w:szCs w:val="24"/>
              </w:rPr>
              <w:t>IPS</w:t>
            </w:r>
            <w:r>
              <w:rPr>
                <w:rFonts w:hint="eastAsia" w:ascii="宋体" w:hAnsi="宋体" w:cs="宋体"/>
                <w:color w:val="auto"/>
                <w:kern w:val="0"/>
                <w:sz w:val="24"/>
                <w:szCs w:val="24"/>
              </w:rPr>
              <w:t>吞吐量：</w:t>
            </w:r>
            <w:r>
              <w:rPr>
                <w:rFonts w:ascii="宋体" w:hAnsi="宋体" w:cs="宋体"/>
                <w:color w:val="auto"/>
                <w:kern w:val="0"/>
                <w:sz w:val="24"/>
                <w:szCs w:val="24"/>
              </w:rPr>
              <w:t>650Mbps</w:t>
            </w:r>
            <w:r>
              <w:rPr>
                <w:rFonts w:hint="eastAsia" w:ascii="宋体" w:hAnsi="宋体" w:cs="宋体"/>
                <w:color w:val="auto"/>
                <w:kern w:val="0"/>
                <w:sz w:val="24"/>
                <w:szCs w:val="24"/>
              </w:rPr>
              <w:t>，并发连接数：</w:t>
            </w:r>
            <w:r>
              <w:rPr>
                <w:rFonts w:ascii="宋体" w:hAnsi="宋体" w:cs="宋体"/>
                <w:color w:val="auto"/>
                <w:kern w:val="0"/>
                <w:sz w:val="24"/>
                <w:szCs w:val="24"/>
              </w:rPr>
              <w:t>1800000</w:t>
            </w:r>
            <w:r>
              <w:rPr>
                <w:rFonts w:hint="eastAsia" w:ascii="宋体" w:hAnsi="宋体" w:cs="宋体"/>
                <w:color w:val="auto"/>
                <w:kern w:val="0"/>
                <w:sz w:val="24"/>
                <w:szCs w:val="24"/>
              </w:rPr>
              <w:t>，新建连接数：</w:t>
            </w:r>
            <w:r>
              <w:rPr>
                <w:rFonts w:ascii="宋体" w:hAnsi="宋体" w:cs="宋体"/>
                <w:color w:val="auto"/>
                <w:kern w:val="0"/>
                <w:sz w:val="24"/>
                <w:szCs w:val="24"/>
              </w:rPr>
              <w:t>60000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、硬件参数：规格：</w:t>
            </w:r>
            <w:r>
              <w:rPr>
                <w:rFonts w:ascii="宋体" w:hAnsi="宋体" w:cs="宋体"/>
                <w:color w:val="auto"/>
                <w:kern w:val="0"/>
                <w:sz w:val="24"/>
                <w:szCs w:val="24"/>
              </w:rPr>
              <w:t>1U</w:t>
            </w:r>
            <w:r>
              <w:rPr>
                <w:rFonts w:hint="eastAsia" w:ascii="宋体" w:hAnsi="宋体" w:cs="宋体"/>
                <w:color w:val="auto"/>
                <w:kern w:val="0"/>
                <w:sz w:val="24"/>
                <w:szCs w:val="24"/>
              </w:rPr>
              <w:t>，内存大小：</w:t>
            </w:r>
            <w:r>
              <w:rPr>
                <w:rFonts w:ascii="宋体" w:hAnsi="宋体" w:cs="宋体"/>
                <w:color w:val="auto"/>
                <w:kern w:val="0"/>
                <w:sz w:val="24"/>
                <w:szCs w:val="24"/>
              </w:rPr>
              <w:t>4G</w:t>
            </w:r>
            <w:r>
              <w:rPr>
                <w:rFonts w:hint="eastAsia" w:ascii="宋体" w:hAnsi="宋体" w:cs="宋体"/>
                <w:color w:val="auto"/>
                <w:kern w:val="0"/>
                <w:sz w:val="24"/>
                <w:szCs w:val="24"/>
              </w:rPr>
              <w:t>，硬盘容量：</w:t>
            </w:r>
            <w:r>
              <w:rPr>
                <w:rFonts w:ascii="宋体" w:hAnsi="宋体" w:cs="宋体"/>
                <w:color w:val="auto"/>
                <w:kern w:val="0"/>
                <w:sz w:val="24"/>
                <w:szCs w:val="24"/>
              </w:rPr>
              <w:t>64GB minisata SSD</w:t>
            </w:r>
            <w:r>
              <w:rPr>
                <w:rFonts w:hint="eastAsia" w:ascii="宋体" w:hAnsi="宋体" w:cs="宋体"/>
                <w:color w:val="auto"/>
                <w:kern w:val="0"/>
                <w:sz w:val="24"/>
                <w:szCs w:val="24"/>
              </w:rPr>
              <w:t>，电源：单电源，接口：</w:t>
            </w:r>
            <w:r>
              <w:rPr>
                <w:rFonts w:ascii="宋体" w:hAnsi="宋体" w:cs="宋体"/>
                <w:color w:val="auto"/>
                <w:kern w:val="0"/>
                <w:sz w:val="24"/>
                <w:szCs w:val="24"/>
              </w:rPr>
              <w:t>6</w:t>
            </w:r>
            <w:r>
              <w:rPr>
                <w:rFonts w:hint="eastAsia" w:ascii="宋体" w:hAnsi="宋体" w:cs="宋体"/>
                <w:color w:val="auto"/>
                <w:kern w:val="0"/>
                <w:sz w:val="24"/>
                <w:szCs w:val="24"/>
              </w:rPr>
              <w:t>千兆电口</w:t>
            </w:r>
            <w:r>
              <w:rPr>
                <w:rFonts w:ascii="宋体" w:hAnsi="宋体" w:cs="宋体"/>
                <w:color w:val="auto"/>
                <w:kern w:val="0"/>
                <w:sz w:val="24"/>
                <w:szCs w:val="24"/>
              </w:rPr>
              <w:t>+4</w:t>
            </w:r>
            <w:r>
              <w:rPr>
                <w:rFonts w:hint="eastAsia" w:ascii="宋体" w:hAnsi="宋体" w:cs="宋体"/>
                <w:color w:val="auto"/>
                <w:kern w:val="0"/>
                <w:sz w:val="24"/>
                <w:szCs w:val="24"/>
              </w:rPr>
              <w:t>千兆光口</w:t>
            </w:r>
            <w:r>
              <w:rPr>
                <w:rFonts w:ascii="宋体" w:hAnsi="宋体" w:cs="宋体"/>
                <w:color w:val="auto"/>
                <w:kern w:val="0"/>
                <w:sz w:val="24"/>
                <w:szCs w:val="24"/>
              </w:rPr>
              <w:t>SFP</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功能描述：下一代入侵防御系统是自主研发的网络型入侵防御产品，围绕精确检测，有效防御的核心理念，通过对网络流量的深度解析，可及时准确发现各类非法入侵攻击行为，并执行实时精确阻断，主动而高效的保护用户的网络安全。产品具备恶意软件检测功能。含：入侵防御系统软件</w:t>
            </w:r>
            <w:r>
              <w:rPr>
                <w:rFonts w:ascii="宋体" w:hAnsi="宋体" w:cs="宋体"/>
                <w:color w:val="auto"/>
                <w:kern w:val="0"/>
                <w:sz w:val="24"/>
                <w:szCs w:val="24"/>
              </w:rPr>
              <w:t>(1</w:t>
            </w:r>
            <w:r>
              <w:rPr>
                <w:rFonts w:hint="eastAsia" w:ascii="宋体" w:hAnsi="宋体" w:cs="宋体"/>
                <w:color w:val="auto"/>
                <w:kern w:val="0"/>
                <w:sz w:val="24"/>
                <w:szCs w:val="24"/>
              </w:rPr>
              <w:t>套</w:t>
            </w:r>
            <w:r>
              <w:rPr>
                <w:rFonts w:ascii="宋体" w:hAnsi="宋体" w:cs="宋体"/>
                <w:color w:val="auto"/>
                <w:kern w:val="0"/>
                <w:sz w:val="24"/>
                <w:szCs w:val="24"/>
              </w:rPr>
              <w:t>)</w:t>
            </w:r>
            <w:r>
              <w:rPr>
                <w:rFonts w:hint="eastAsia" w:ascii="宋体" w:hAnsi="宋体" w:cs="宋体"/>
                <w:color w:val="auto"/>
                <w:kern w:val="0"/>
                <w:sz w:val="24"/>
                <w:szCs w:val="24"/>
              </w:rPr>
              <w:t>；订阅软件</w:t>
            </w:r>
            <w:r>
              <w:rPr>
                <w:rFonts w:ascii="宋体" w:hAnsi="宋体" w:cs="宋体"/>
                <w:color w:val="auto"/>
                <w:kern w:val="0"/>
                <w:sz w:val="24"/>
                <w:szCs w:val="24"/>
              </w:rPr>
              <w:t>(3</w:t>
            </w:r>
            <w:r>
              <w:rPr>
                <w:rFonts w:hint="eastAsia" w:ascii="宋体" w:hAnsi="宋体" w:cs="宋体"/>
                <w:color w:val="auto"/>
                <w:kern w:val="0"/>
                <w:sz w:val="24"/>
                <w:szCs w:val="24"/>
              </w:rPr>
              <w:t>套</w:t>
            </w:r>
            <w:r>
              <w:rPr>
                <w:rFonts w:ascii="宋体" w:hAnsi="宋体" w:cs="宋体"/>
                <w:color w:val="auto"/>
                <w:kern w:val="0"/>
                <w:sz w:val="24"/>
                <w:szCs w:val="24"/>
              </w:rPr>
              <w:t>)</w:t>
            </w:r>
            <w:r>
              <w:rPr>
                <w:rFonts w:hint="eastAsia" w:ascii="宋体" w:hAnsi="宋体" w:cs="宋体"/>
                <w:color w:val="auto"/>
                <w:kern w:val="0"/>
                <w:sz w:val="24"/>
                <w:szCs w:val="24"/>
              </w:rPr>
              <w:t>。</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r>
              <w:rPr>
                <w:rFonts w:ascii="宋体" w:cs="宋体"/>
                <w:color w:val="auto"/>
                <w:kern w:val="0"/>
                <w:sz w:val="24"/>
                <w:szCs w:val="24"/>
              </w:rPr>
              <w:t xml:space="preserve"> </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套</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6</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堡垒机</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、性能参数：默认包含运维授权数：</w:t>
            </w:r>
            <w:r>
              <w:rPr>
                <w:rFonts w:ascii="宋体" w:hAnsi="宋体" w:cs="宋体"/>
                <w:color w:val="auto"/>
                <w:kern w:val="0"/>
                <w:sz w:val="24"/>
                <w:szCs w:val="24"/>
              </w:rPr>
              <w:t>50</w:t>
            </w:r>
            <w:r>
              <w:rPr>
                <w:rFonts w:hint="eastAsia" w:ascii="宋体" w:hAnsi="宋体" w:cs="宋体"/>
                <w:color w:val="auto"/>
                <w:kern w:val="0"/>
                <w:sz w:val="24"/>
                <w:szCs w:val="24"/>
              </w:rPr>
              <w:t>，最大可扩展资产数：</w:t>
            </w:r>
            <w:r>
              <w:rPr>
                <w:rFonts w:ascii="宋体" w:hAnsi="宋体" w:cs="宋体"/>
                <w:color w:val="auto"/>
                <w:kern w:val="0"/>
                <w:sz w:val="24"/>
                <w:szCs w:val="24"/>
              </w:rPr>
              <w:t>150</w:t>
            </w:r>
            <w:r>
              <w:rPr>
                <w:rFonts w:hint="eastAsia" w:ascii="宋体" w:hAnsi="宋体" w:cs="宋体"/>
                <w:color w:val="auto"/>
                <w:kern w:val="0"/>
                <w:sz w:val="24"/>
                <w:szCs w:val="24"/>
              </w:rPr>
              <w:t>，图形运维最大并发数：</w:t>
            </w:r>
            <w:r>
              <w:rPr>
                <w:rFonts w:ascii="宋体" w:hAnsi="宋体" w:cs="宋体"/>
                <w:color w:val="auto"/>
                <w:kern w:val="0"/>
                <w:sz w:val="24"/>
                <w:szCs w:val="24"/>
              </w:rPr>
              <w:t>100</w:t>
            </w:r>
            <w:r>
              <w:rPr>
                <w:rFonts w:hint="eastAsia" w:ascii="宋体" w:hAnsi="宋体" w:cs="宋体"/>
                <w:color w:val="auto"/>
                <w:kern w:val="0"/>
                <w:sz w:val="24"/>
                <w:szCs w:val="24"/>
              </w:rPr>
              <w:t>，字符运维最大并发数：</w:t>
            </w:r>
            <w:r>
              <w:rPr>
                <w:rFonts w:ascii="宋体" w:hAnsi="宋体" w:cs="宋体"/>
                <w:color w:val="auto"/>
                <w:kern w:val="0"/>
                <w:sz w:val="24"/>
                <w:szCs w:val="24"/>
              </w:rPr>
              <w:t>200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、硬件参数：规格：</w:t>
            </w:r>
            <w:r>
              <w:rPr>
                <w:rFonts w:ascii="宋体" w:hAnsi="宋体" w:cs="宋体"/>
                <w:color w:val="auto"/>
                <w:kern w:val="0"/>
                <w:sz w:val="24"/>
                <w:szCs w:val="24"/>
              </w:rPr>
              <w:t>1U</w:t>
            </w:r>
            <w:r>
              <w:rPr>
                <w:rFonts w:hint="eastAsia" w:ascii="宋体" w:hAnsi="宋体" w:cs="宋体"/>
                <w:color w:val="auto"/>
                <w:kern w:val="0"/>
                <w:sz w:val="24"/>
                <w:szCs w:val="24"/>
              </w:rPr>
              <w:t>，内存大小：</w:t>
            </w:r>
            <w:r>
              <w:rPr>
                <w:rFonts w:ascii="宋体" w:hAnsi="宋体" w:cs="宋体"/>
                <w:color w:val="auto"/>
                <w:kern w:val="0"/>
                <w:sz w:val="24"/>
                <w:szCs w:val="24"/>
              </w:rPr>
              <w:t>4G</w:t>
            </w:r>
            <w:r>
              <w:rPr>
                <w:rFonts w:hint="eastAsia" w:ascii="宋体" w:hAnsi="宋体" w:cs="宋体"/>
                <w:color w:val="auto"/>
                <w:kern w:val="0"/>
                <w:sz w:val="24"/>
                <w:szCs w:val="24"/>
              </w:rPr>
              <w:t>，硬盘容量：</w:t>
            </w:r>
            <w:r>
              <w:rPr>
                <w:rFonts w:ascii="宋体" w:hAnsi="宋体" w:cs="宋体"/>
                <w:color w:val="auto"/>
                <w:kern w:val="0"/>
                <w:sz w:val="24"/>
                <w:szCs w:val="24"/>
              </w:rPr>
              <w:t>1T SATA</w:t>
            </w:r>
            <w:r>
              <w:rPr>
                <w:rFonts w:hint="eastAsia" w:ascii="宋体" w:hAnsi="宋体" w:cs="宋体"/>
                <w:color w:val="auto"/>
                <w:kern w:val="0"/>
                <w:sz w:val="24"/>
                <w:szCs w:val="24"/>
              </w:rPr>
              <w:t>，电源：单电源，接口：</w:t>
            </w:r>
            <w:r>
              <w:rPr>
                <w:rFonts w:ascii="宋体" w:hAnsi="宋体" w:cs="宋体"/>
                <w:color w:val="auto"/>
                <w:kern w:val="0"/>
                <w:sz w:val="24"/>
                <w:szCs w:val="24"/>
              </w:rPr>
              <w:t>6</w:t>
            </w:r>
            <w:r>
              <w:rPr>
                <w:rFonts w:hint="eastAsia" w:ascii="宋体" w:hAnsi="宋体" w:cs="宋体"/>
                <w:color w:val="auto"/>
                <w:kern w:val="0"/>
                <w:sz w:val="24"/>
                <w:szCs w:val="24"/>
              </w:rPr>
              <w:t>千兆电口。</w:t>
            </w:r>
          </w:p>
          <w:p>
            <w:pPr>
              <w:widowControl/>
              <w:jc w:val="left"/>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w:t>
            </w:r>
            <w:r>
              <w:rPr>
                <w:rFonts w:hint="eastAsia" w:hAnsi="宋体" w:cs="宋体"/>
                <w:color w:val="auto"/>
                <w:kern w:val="0"/>
                <w:sz w:val="24"/>
                <w:szCs w:val="24"/>
              </w:rPr>
              <w:t>功能描述：运维安全管理系统（堡垒机），将运</w:t>
            </w:r>
            <w:r>
              <w:rPr>
                <w:rFonts w:hint="eastAsia" w:ascii="宋体" w:hAnsi="宋体" w:cs="宋体"/>
                <w:color w:val="auto"/>
                <w:kern w:val="0"/>
                <w:sz w:val="24"/>
                <w:szCs w:val="24"/>
              </w:rPr>
              <w:t>维人员离散维护主机及网络设备的行为统一到该平台进行，加强对系统安全以及运维的控制力。一方面通过集中运维，减少因离散操作导致的失误，提高工作效率，如新的安全策略在主机上的统一应用等；另一方面通过对所有用户在主机上的操作行为进行视频网络与记录，实时了解用户的操作行为，发现风险及时中止用户的操作，并记录下用户所有的操作行为，便于进行事后的审查与取证。含：运维安全管理系统软件，堡垒主机内控管理平台</w:t>
            </w:r>
            <w:r>
              <w:rPr>
                <w:rFonts w:ascii="宋体" w:hAnsi="宋体" w:cs="宋体"/>
                <w:color w:val="auto"/>
                <w:kern w:val="0"/>
                <w:sz w:val="24"/>
                <w:szCs w:val="24"/>
              </w:rPr>
              <w:t>(1</w:t>
            </w:r>
            <w:r>
              <w:rPr>
                <w:rFonts w:hint="eastAsia" w:ascii="宋体" w:hAnsi="宋体" w:cs="宋体"/>
                <w:color w:val="auto"/>
                <w:kern w:val="0"/>
                <w:sz w:val="24"/>
                <w:szCs w:val="24"/>
              </w:rPr>
              <w:t>套</w:t>
            </w:r>
            <w:r>
              <w:rPr>
                <w:rFonts w:ascii="宋体" w:hAnsi="宋体" w:cs="宋体"/>
                <w:color w:val="auto"/>
                <w:kern w:val="0"/>
                <w:sz w:val="24"/>
                <w:szCs w:val="24"/>
              </w:rPr>
              <w:t>)</w:t>
            </w:r>
            <w:r>
              <w:rPr>
                <w:rFonts w:hint="eastAsia" w:ascii="宋体" w:hAnsi="宋体" w:cs="宋体"/>
                <w:color w:val="auto"/>
                <w:kern w:val="0"/>
                <w:sz w:val="24"/>
                <w:szCs w:val="24"/>
              </w:rPr>
              <w:t>。</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ascii="宋体" w:hAnsi="宋体" w:cs="宋体"/>
                <w:color w:val="auto"/>
                <w:kern w:val="0"/>
                <w:sz w:val="24"/>
                <w:szCs w:val="24"/>
              </w:rPr>
              <w:t>1</w:t>
            </w:r>
            <w:r>
              <w:rPr>
                <w:rFonts w:ascii="宋体" w:cs="宋体"/>
                <w:color w:val="auto"/>
                <w:kern w:val="0"/>
                <w:sz w:val="24"/>
                <w:szCs w:val="24"/>
              </w:rPr>
              <w:t xml:space="preserve"> </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kern w:val="0"/>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7</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hint="eastAsia" w:ascii="宋体" w:hAnsi="宋体" w:cs="宋体"/>
                <w:color w:val="auto"/>
                <w:sz w:val="24"/>
                <w:szCs w:val="24"/>
              </w:rPr>
              <w:t>终端安全管理系统</w:t>
            </w:r>
            <w:r>
              <w:rPr>
                <w:rFonts w:ascii="宋体" w:hAnsi="宋体" w:cs="宋体"/>
                <w:color w:val="auto"/>
                <w:sz w:val="24"/>
                <w:szCs w:val="24"/>
              </w:rPr>
              <w:t>V6.0</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rPr>
                <w:rFonts w:ascii="宋体"/>
                <w:color w:val="auto"/>
                <w:sz w:val="24"/>
                <w:szCs w:val="24"/>
                <w:lang w:val="zh-TW" w:eastAsia="zh-TW"/>
              </w:rPr>
            </w:pPr>
            <w:r>
              <w:rPr>
                <w:rFonts w:hint="eastAsia" w:ascii="宋体" w:hAnsi="宋体" w:cs="宋体"/>
                <w:color w:val="auto"/>
                <w:sz w:val="24"/>
                <w:szCs w:val="24"/>
              </w:rPr>
              <w:t>购买授权</w:t>
            </w:r>
            <w:r>
              <w:rPr>
                <w:rFonts w:ascii="宋体" w:hAnsi="宋体" w:cs="宋体"/>
                <w:color w:val="auto"/>
                <w:sz w:val="24"/>
                <w:szCs w:val="24"/>
              </w:rPr>
              <w:t>100</w:t>
            </w:r>
            <w:r>
              <w:rPr>
                <w:rFonts w:hint="eastAsia" w:ascii="宋体" w:hAnsi="宋体" w:cs="宋体"/>
                <w:color w:val="auto"/>
                <w:sz w:val="24"/>
                <w:szCs w:val="24"/>
              </w:rPr>
              <w:t>个</w:t>
            </w:r>
            <w:r>
              <w:rPr>
                <w:rFonts w:ascii="宋体" w:hAnsi="宋体" w:cs="宋体"/>
                <w:color w:val="auto"/>
                <w:sz w:val="24"/>
                <w:szCs w:val="24"/>
              </w:rPr>
              <w:t>PC</w:t>
            </w:r>
            <w:r>
              <w:rPr>
                <w:rFonts w:hint="eastAsia" w:ascii="宋体" w:hAnsi="宋体" w:cs="宋体"/>
                <w:color w:val="auto"/>
                <w:sz w:val="24"/>
                <w:szCs w:val="24"/>
              </w:rPr>
              <w:t>端（含病毒查杀、系统统一分发补丁，终端桌面管理和运维管控功能）和服务器授权使用一个控制中心含三年升级及售后服务。</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center"/>
              <w:rPr>
                <w:rFonts w:ascii="宋体"/>
                <w:color w:val="auto"/>
                <w:sz w:val="24"/>
                <w:szCs w:val="24"/>
              </w:rPr>
            </w:pPr>
            <w:r>
              <w:rPr>
                <w:rFonts w:ascii="宋体" w:hAnsi="宋体" w:cs="宋体"/>
                <w:color w:val="auto"/>
                <w:sz w:val="24"/>
                <w:szCs w:val="24"/>
              </w:rPr>
              <w:t>100</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8</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hint="eastAsia" w:ascii="宋体" w:hAnsi="宋体" w:cs="宋体"/>
                <w:color w:val="auto"/>
                <w:sz w:val="24"/>
                <w:szCs w:val="24"/>
              </w:rPr>
              <w:t>终端安全管理系统</w:t>
            </w:r>
            <w:r>
              <w:rPr>
                <w:rFonts w:ascii="宋体" w:hAnsi="宋体" w:cs="宋体"/>
                <w:color w:val="auto"/>
                <w:sz w:val="24"/>
                <w:szCs w:val="24"/>
              </w:rPr>
              <w:t>V6.0</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left"/>
              <w:rPr>
                <w:rFonts w:ascii="宋体"/>
                <w:color w:val="auto"/>
                <w:sz w:val="24"/>
                <w:szCs w:val="24"/>
              </w:rPr>
            </w:pPr>
            <w:r>
              <w:rPr>
                <w:rFonts w:hint="eastAsia" w:ascii="宋体" w:hAnsi="宋体" w:cs="宋体"/>
                <w:color w:val="auto"/>
                <w:sz w:val="24"/>
                <w:szCs w:val="24"/>
              </w:rPr>
              <w:t>购买授权</w:t>
            </w:r>
            <w:r>
              <w:rPr>
                <w:rFonts w:ascii="宋体" w:hAnsi="宋体" w:cs="宋体"/>
                <w:color w:val="auto"/>
                <w:sz w:val="24"/>
                <w:szCs w:val="24"/>
              </w:rPr>
              <w:t>5</w:t>
            </w:r>
            <w:r>
              <w:rPr>
                <w:rFonts w:hint="eastAsia" w:ascii="宋体" w:hAnsi="宋体" w:cs="宋体"/>
                <w:color w:val="auto"/>
                <w:sz w:val="24"/>
                <w:szCs w:val="24"/>
              </w:rPr>
              <w:t>个服务器端，含三年升级及售后服务。</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center"/>
              <w:rPr>
                <w:rFonts w:ascii="宋体"/>
                <w:color w:val="auto"/>
                <w:sz w:val="24"/>
                <w:szCs w:val="24"/>
              </w:rPr>
            </w:pPr>
            <w:r>
              <w:rPr>
                <w:rFonts w:ascii="宋体" w:hAnsi="宋体" w:cs="宋体"/>
                <w:color w:val="auto"/>
                <w:sz w:val="24"/>
                <w:szCs w:val="24"/>
              </w:rPr>
              <w:t>5</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before="50" w:after="50"/>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66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宋体"/>
                <w:color w:val="auto"/>
                <w:sz w:val="24"/>
                <w:szCs w:val="24"/>
              </w:rPr>
            </w:pPr>
            <w:r>
              <w:rPr>
                <w:rFonts w:ascii="宋体" w:hAnsi="宋体" w:cs="宋体"/>
                <w:color w:val="auto"/>
                <w:sz w:val="24"/>
                <w:szCs w:val="24"/>
              </w:rPr>
              <w:t>9</w:t>
            </w:r>
          </w:p>
        </w:tc>
        <w:tc>
          <w:tcPr>
            <w:tcW w:w="895"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等保测评</w:t>
            </w:r>
          </w:p>
        </w:tc>
        <w:tc>
          <w:tcPr>
            <w:tcW w:w="7208"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HIS</w:t>
            </w:r>
            <w:r>
              <w:rPr>
                <w:rFonts w:hint="eastAsia" w:ascii="宋体" w:hAnsi="宋体" w:cs="宋体"/>
                <w:color w:val="auto"/>
                <w:kern w:val="0"/>
                <w:sz w:val="24"/>
                <w:szCs w:val="24"/>
              </w:rPr>
              <w:t>，电子病历二级测评，按要求进行系统备案，整改，达到二级等保要求。</w:t>
            </w:r>
          </w:p>
        </w:tc>
        <w:tc>
          <w:tcPr>
            <w:tcW w:w="78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1</w:t>
            </w:r>
          </w:p>
        </w:tc>
        <w:tc>
          <w:tcPr>
            <w:tcW w:w="740"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次</w:t>
            </w:r>
          </w:p>
        </w:tc>
      </w:tr>
    </w:tbl>
    <w:p>
      <w:pPr>
        <w:keepNext/>
        <w:keepLines/>
        <w:numPr>
          <w:ilvl w:val="1"/>
          <w:numId w:val="17"/>
        </w:numPr>
        <w:spacing w:before="156" w:after="156" w:line="400" w:lineRule="exact"/>
        <w:ind w:left="420" w:hanging="200"/>
        <w:outlineLvl w:val="1"/>
        <w:rPr>
          <w:rFonts w:ascii="宋体"/>
          <w:b/>
          <w:bCs/>
          <w:color w:val="auto"/>
          <w:sz w:val="24"/>
          <w:szCs w:val="24"/>
        </w:rPr>
      </w:pPr>
      <w:bookmarkStart w:id="894" w:name="_Toc82882796"/>
      <w:bookmarkStart w:id="895" w:name="_Toc18848"/>
      <w:bookmarkStart w:id="896" w:name="_Toc6408"/>
      <w:r>
        <w:rPr>
          <w:rFonts w:hint="eastAsia" w:ascii="宋体" w:hAnsi="宋体" w:cs="宋体"/>
          <w:b/>
          <w:bCs/>
          <w:color w:val="auto"/>
          <w:sz w:val="24"/>
          <w:szCs w:val="24"/>
        </w:rPr>
        <w:t>床头呼叫系统硬件设备清单</w:t>
      </w:r>
      <w:bookmarkEnd w:id="894"/>
      <w:bookmarkEnd w:id="895"/>
      <w:bookmarkEnd w:id="896"/>
    </w:p>
    <w:tbl>
      <w:tblPr>
        <w:tblStyle w:val="21"/>
        <w:tblW w:w="10309" w:type="dxa"/>
        <w:tblInd w:w="-727" w:type="dxa"/>
        <w:tblLayout w:type="autofit"/>
        <w:tblCellMar>
          <w:top w:w="0" w:type="dxa"/>
          <w:left w:w="10" w:type="dxa"/>
          <w:bottom w:w="0" w:type="dxa"/>
          <w:right w:w="10" w:type="dxa"/>
        </w:tblCellMar>
      </w:tblPr>
      <w:tblGrid>
        <w:gridCol w:w="731"/>
        <w:gridCol w:w="1483"/>
        <w:gridCol w:w="6565"/>
        <w:gridCol w:w="790"/>
        <w:gridCol w:w="740"/>
      </w:tblGrid>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序号</w:t>
            </w:r>
          </w:p>
        </w:tc>
        <w:tc>
          <w:tcPr>
            <w:tcW w:w="1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设备名称</w:t>
            </w:r>
          </w:p>
        </w:tc>
        <w:tc>
          <w:tcPr>
            <w:tcW w:w="6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规格配置要求</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数量</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1</w:t>
            </w:r>
          </w:p>
        </w:tc>
        <w:tc>
          <w:tcPr>
            <w:tcW w:w="1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呼叫通讯系统主机</w:t>
            </w:r>
          </w:p>
        </w:tc>
        <w:tc>
          <w:tcPr>
            <w:tcW w:w="6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、主机容量</w:t>
            </w:r>
            <w:r>
              <w:rPr>
                <w:rFonts w:ascii="宋体" w:hAnsi="宋体" w:cs="宋体"/>
                <w:color w:val="auto"/>
                <w:kern w:val="0"/>
                <w:sz w:val="24"/>
                <w:szCs w:val="24"/>
              </w:rPr>
              <w:t>:  60</w:t>
            </w:r>
            <w:r>
              <w:rPr>
                <w:rFonts w:hint="eastAsia" w:ascii="宋体" w:hAnsi="宋体" w:cs="宋体"/>
                <w:color w:val="auto"/>
                <w:kern w:val="0"/>
                <w:sz w:val="24"/>
                <w:szCs w:val="24"/>
              </w:rPr>
              <w:t>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、最长通讯距离</w:t>
            </w:r>
            <w:r>
              <w:rPr>
                <w:rFonts w:ascii="宋体" w:hAnsi="宋体" w:cs="宋体"/>
                <w:color w:val="auto"/>
                <w:kern w:val="0"/>
                <w:sz w:val="24"/>
                <w:szCs w:val="24"/>
              </w:rPr>
              <w:t xml:space="preserve"> 1500</w:t>
            </w:r>
            <w:r>
              <w:rPr>
                <w:rFonts w:hint="eastAsia" w:ascii="宋体" w:hAnsi="宋体" w:cs="宋体"/>
                <w:color w:val="auto"/>
                <w:kern w:val="0"/>
                <w:sz w:val="24"/>
                <w:szCs w:val="24"/>
              </w:rPr>
              <w:t>米；</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、电源</w:t>
            </w:r>
            <w:r>
              <w:rPr>
                <w:rFonts w:ascii="宋体" w:hAnsi="宋体" w:cs="宋体"/>
                <w:color w:val="auto"/>
                <w:kern w:val="0"/>
                <w:sz w:val="24"/>
                <w:szCs w:val="24"/>
              </w:rPr>
              <w:t>: 220V 50HZ</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、静态功耗</w:t>
            </w:r>
            <w:r>
              <w:rPr>
                <w:rFonts w:ascii="宋体" w:hAnsi="宋体" w:cs="宋体"/>
                <w:color w:val="auto"/>
                <w:kern w:val="0"/>
                <w:sz w:val="24"/>
                <w:szCs w:val="24"/>
              </w:rPr>
              <w:t>: 30W</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、工作方式</w:t>
            </w:r>
            <w:r>
              <w:rPr>
                <w:rFonts w:ascii="宋体" w:hAnsi="宋体" w:cs="宋体"/>
                <w:color w:val="auto"/>
                <w:kern w:val="0"/>
                <w:sz w:val="24"/>
                <w:szCs w:val="24"/>
              </w:rPr>
              <w:t xml:space="preserve">: </w:t>
            </w:r>
            <w:r>
              <w:rPr>
                <w:rFonts w:hint="eastAsia" w:ascii="宋体" w:hAnsi="宋体" w:cs="宋体"/>
                <w:color w:val="auto"/>
                <w:kern w:val="0"/>
                <w:sz w:val="24"/>
                <w:szCs w:val="24"/>
              </w:rPr>
              <w:t>连续；</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、总线电压</w:t>
            </w:r>
            <w:r>
              <w:rPr>
                <w:rFonts w:ascii="宋体" w:hAnsi="宋体" w:cs="宋体"/>
                <w:color w:val="auto"/>
                <w:kern w:val="0"/>
                <w:sz w:val="24"/>
                <w:szCs w:val="24"/>
              </w:rPr>
              <w:t>: 22V</w:t>
            </w:r>
            <w:r>
              <w:rPr>
                <w:rFonts w:hint="eastAsia" w:ascii="宋体" w:hAnsi="宋体" w:cs="宋体"/>
                <w:color w:val="auto"/>
                <w:kern w:val="0"/>
                <w:sz w:val="24"/>
                <w:szCs w:val="24"/>
              </w:rPr>
              <w:t>；</w:t>
            </w:r>
            <w:r>
              <w:rPr>
                <w:rFonts w:ascii="宋体" w:hAnsi="宋体" w:cs="宋体"/>
                <w:color w:val="auto"/>
                <w:kern w:val="0"/>
                <w:sz w:val="24"/>
                <w:szCs w:val="24"/>
              </w:rPr>
              <w:t xml:space="preserve"> </w:t>
            </w:r>
          </w:p>
          <w:p>
            <w:pPr>
              <w:widowControl/>
              <w:jc w:val="left"/>
              <w:textAlignment w:val="center"/>
              <w:rPr>
                <w:rFonts w:ascii="宋体"/>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、工作条件</w:t>
            </w:r>
            <w:r>
              <w:rPr>
                <w:rFonts w:ascii="宋体" w:hAnsi="宋体" w:cs="宋体"/>
                <w:color w:val="auto"/>
                <w:kern w:val="0"/>
                <w:sz w:val="24"/>
                <w:szCs w:val="24"/>
              </w:rPr>
              <w:t xml:space="preserve">: </w:t>
            </w:r>
            <w:r>
              <w:rPr>
                <w:rFonts w:hint="eastAsia" w:ascii="宋体" w:hAnsi="宋体" w:cs="宋体"/>
                <w:color w:val="auto"/>
                <w:kern w:val="0"/>
                <w:sz w:val="24"/>
                <w:szCs w:val="24"/>
              </w:rPr>
              <w:t>环境温度</w:t>
            </w:r>
            <w:r>
              <w:rPr>
                <w:rFonts w:ascii="宋体" w:hAnsi="宋体" w:cs="宋体"/>
                <w:color w:val="auto"/>
                <w:kern w:val="0"/>
                <w:sz w:val="24"/>
                <w:szCs w:val="24"/>
              </w:rPr>
              <w:t>0-40</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相对湿度≤</w:t>
            </w:r>
            <w:r>
              <w:rPr>
                <w:rFonts w:ascii="宋体" w:hAnsi="宋体" w:cs="宋体"/>
                <w:color w:val="auto"/>
                <w:kern w:val="0"/>
                <w:sz w:val="24"/>
                <w:szCs w:val="24"/>
              </w:rPr>
              <w:t>80%</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2</w:t>
            </w:r>
          </w:p>
        </w:tc>
        <w:tc>
          <w:tcPr>
            <w:tcW w:w="1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呼叫器分机</w:t>
            </w:r>
          </w:p>
        </w:tc>
        <w:tc>
          <w:tcPr>
            <w:tcW w:w="6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numPr>
                <w:ilvl w:val="0"/>
                <w:numId w:val="26"/>
              </w:numPr>
              <w:jc w:val="left"/>
              <w:textAlignment w:val="center"/>
              <w:rPr>
                <w:rFonts w:ascii="宋体"/>
                <w:color w:val="auto"/>
                <w:kern w:val="0"/>
                <w:sz w:val="24"/>
                <w:szCs w:val="24"/>
              </w:rPr>
            </w:pPr>
            <w:r>
              <w:rPr>
                <w:rFonts w:hint="eastAsia" w:ascii="宋体" w:hAnsi="宋体" w:cs="宋体"/>
                <w:color w:val="auto"/>
                <w:kern w:val="0"/>
                <w:sz w:val="24"/>
                <w:szCs w:val="24"/>
              </w:rPr>
              <w:t>明装超薄分机；</w:t>
            </w:r>
          </w:p>
          <w:p>
            <w:pPr>
              <w:widowControl/>
              <w:jc w:val="left"/>
              <w:textAlignment w:val="center"/>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123mm</w:t>
            </w:r>
            <w:r>
              <w:rPr>
                <w:rFonts w:hint="eastAsia" w:ascii="宋体" w:hAnsi="宋体" w:cs="宋体"/>
                <w:color w:val="auto"/>
                <w:kern w:val="0"/>
                <w:sz w:val="24"/>
                <w:szCs w:val="24"/>
              </w:rPr>
              <w:t>宽</w:t>
            </w:r>
            <w:r>
              <w:rPr>
                <w:rFonts w:ascii="宋体" w:hAnsi="宋体" w:cs="宋体"/>
                <w:color w:val="auto"/>
                <w:kern w:val="0"/>
                <w:sz w:val="24"/>
                <w:szCs w:val="24"/>
              </w:rPr>
              <w:t>:78mm</w:t>
            </w:r>
            <w:r>
              <w:rPr>
                <w:rFonts w:hint="eastAsia" w:ascii="宋体" w:hAnsi="宋体" w:cs="宋体"/>
                <w:color w:val="auto"/>
                <w:kern w:val="0"/>
                <w:sz w:val="24"/>
                <w:szCs w:val="24"/>
              </w:rPr>
              <w:t>厚</w:t>
            </w:r>
            <w:r>
              <w:rPr>
                <w:rFonts w:ascii="宋体" w:hAnsi="宋体" w:cs="宋体"/>
                <w:color w:val="auto"/>
                <w:kern w:val="0"/>
                <w:sz w:val="24"/>
                <w:szCs w:val="24"/>
              </w:rPr>
              <w:t>:13mm</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80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3</w:t>
            </w:r>
          </w:p>
        </w:tc>
        <w:tc>
          <w:tcPr>
            <w:tcW w:w="1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紧急按钮</w:t>
            </w:r>
          </w:p>
        </w:tc>
        <w:tc>
          <w:tcPr>
            <w:tcW w:w="6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86mm</w:t>
            </w:r>
            <w:r>
              <w:rPr>
                <w:rFonts w:hint="eastAsia" w:ascii="宋体" w:hAnsi="宋体" w:cs="宋体"/>
                <w:color w:val="auto"/>
                <w:kern w:val="0"/>
                <w:sz w:val="24"/>
                <w:szCs w:val="24"/>
              </w:rPr>
              <w:t>宽</w:t>
            </w:r>
            <w:r>
              <w:rPr>
                <w:rFonts w:ascii="宋体" w:hAnsi="宋体" w:cs="宋体"/>
                <w:color w:val="auto"/>
                <w:kern w:val="0"/>
                <w:sz w:val="24"/>
                <w:szCs w:val="24"/>
              </w:rPr>
              <w:t>:86mm</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、墙壁</w:t>
            </w:r>
            <w:r>
              <w:rPr>
                <w:rFonts w:ascii="宋体" w:hAnsi="宋体" w:cs="宋体"/>
                <w:color w:val="auto"/>
                <w:kern w:val="0"/>
                <w:sz w:val="24"/>
                <w:szCs w:val="24"/>
              </w:rPr>
              <w:t>86</w:t>
            </w:r>
            <w:r>
              <w:rPr>
                <w:rFonts w:hint="eastAsia" w:ascii="宋体" w:hAnsi="宋体" w:cs="宋体"/>
                <w:color w:val="auto"/>
                <w:kern w:val="0"/>
                <w:sz w:val="24"/>
                <w:szCs w:val="24"/>
              </w:rPr>
              <w:t>盒安装，无对讲功能，可按压、可拉绳使用，防水可达</w:t>
            </w:r>
            <w:r>
              <w:rPr>
                <w:rFonts w:ascii="宋体" w:hAnsi="宋体" w:cs="宋体"/>
                <w:color w:val="auto"/>
                <w:kern w:val="0"/>
                <w:sz w:val="24"/>
                <w:szCs w:val="24"/>
              </w:rPr>
              <w:t>IP67</w:t>
            </w:r>
            <w:r>
              <w:rPr>
                <w:rFonts w:hint="eastAsia" w:ascii="宋体" w:hAnsi="宋体" w:cs="宋体"/>
                <w:color w:val="auto"/>
                <w:kern w:val="0"/>
                <w:sz w:val="24"/>
                <w:szCs w:val="24"/>
              </w:rPr>
              <w:t>级。</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40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4</w:t>
            </w:r>
          </w:p>
        </w:tc>
        <w:tc>
          <w:tcPr>
            <w:tcW w:w="1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走廊显示屏</w:t>
            </w:r>
          </w:p>
        </w:tc>
        <w:tc>
          <w:tcPr>
            <w:tcW w:w="6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、走廊显示屏一体成型</w:t>
            </w:r>
            <w:r>
              <w:rPr>
                <w:rFonts w:ascii="宋体" w:hAnsi="宋体" w:cs="宋体"/>
                <w:color w:val="auto"/>
                <w:kern w:val="0"/>
                <w:sz w:val="24"/>
                <w:szCs w:val="24"/>
              </w:rPr>
              <w:t xml:space="preserve"> </w:t>
            </w:r>
            <w:r>
              <w:rPr>
                <w:rFonts w:hint="eastAsia" w:ascii="宋体" w:hAnsi="宋体" w:cs="宋体"/>
                <w:color w:val="auto"/>
                <w:kern w:val="0"/>
                <w:sz w:val="24"/>
                <w:szCs w:val="24"/>
              </w:rPr>
              <w:t>无边框设计；</w:t>
            </w:r>
          </w:p>
          <w:p>
            <w:pPr>
              <w:widowControl/>
              <w:jc w:val="left"/>
              <w:textAlignment w:val="center"/>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、长</w:t>
            </w:r>
            <w:r>
              <w:rPr>
                <w:rFonts w:ascii="宋体" w:hAnsi="宋体" w:cs="宋体"/>
                <w:color w:val="auto"/>
                <w:kern w:val="0"/>
                <w:sz w:val="24"/>
                <w:szCs w:val="24"/>
              </w:rPr>
              <w:t>:650mm</w:t>
            </w:r>
            <w:r>
              <w:rPr>
                <w:rFonts w:hint="eastAsia" w:ascii="宋体" w:hAnsi="宋体" w:cs="宋体"/>
                <w:color w:val="auto"/>
                <w:kern w:val="0"/>
                <w:sz w:val="24"/>
                <w:szCs w:val="24"/>
              </w:rPr>
              <w:t>宽</w:t>
            </w:r>
            <w:r>
              <w:rPr>
                <w:rFonts w:ascii="宋体" w:hAnsi="宋体" w:cs="宋体"/>
                <w:color w:val="auto"/>
                <w:kern w:val="0"/>
                <w:sz w:val="24"/>
                <w:szCs w:val="24"/>
              </w:rPr>
              <w:t>:210</w:t>
            </w:r>
            <w:r>
              <w:rPr>
                <w:rFonts w:hint="eastAsia" w:ascii="宋体" w:hAnsi="宋体" w:cs="宋体"/>
                <w:color w:val="auto"/>
                <w:kern w:val="0"/>
                <w:sz w:val="24"/>
                <w:szCs w:val="24"/>
              </w:rPr>
              <w:t>厚</w:t>
            </w:r>
            <w:r>
              <w:rPr>
                <w:rFonts w:ascii="宋体" w:hAnsi="宋体" w:cs="宋体"/>
                <w:color w:val="auto"/>
                <w:kern w:val="0"/>
                <w:sz w:val="24"/>
                <w:szCs w:val="24"/>
              </w:rPr>
              <w:t>:40mm</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9</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jc w:val="left"/>
              <w:rPr>
                <w:rFonts w:ascii="宋体"/>
                <w:color w:val="auto"/>
                <w:sz w:val="24"/>
                <w:szCs w:val="24"/>
              </w:rPr>
            </w:pPr>
            <w:r>
              <w:rPr>
                <w:rFonts w:ascii="宋体" w:hAnsi="宋体" w:cs="宋体"/>
                <w:color w:val="auto"/>
                <w:sz w:val="24"/>
                <w:szCs w:val="24"/>
              </w:rPr>
              <w:t>5</w:t>
            </w:r>
          </w:p>
        </w:tc>
        <w:tc>
          <w:tcPr>
            <w:tcW w:w="1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显示屏放大器</w:t>
            </w:r>
          </w:p>
        </w:tc>
        <w:tc>
          <w:tcPr>
            <w:tcW w:w="6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输入电压</w:t>
            </w:r>
            <w:r>
              <w:rPr>
                <w:rFonts w:ascii="宋体" w:hAnsi="宋体" w:cs="宋体"/>
                <w:color w:val="auto"/>
                <w:kern w:val="0"/>
                <w:sz w:val="24"/>
                <w:szCs w:val="24"/>
              </w:rPr>
              <w:t>24vdc 30vdc</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ascii="宋体" w:hAnsi="宋体" w:cs="宋体"/>
                <w:color w:val="auto"/>
                <w:kern w:val="0"/>
                <w:sz w:val="24"/>
                <w:szCs w:val="24"/>
              </w:rPr>
              <w:t>3</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ascii="宋体"/>
                <w:color w:val="auto"/>
                <w:sz w:val="24"/>
                <w:szCs w:val="24"/>
              </w:rPr>
            </w:pPr>
            <w:r>
              <w:rPr>
                <w:rFonts w:hint="eastAsia" w:ascii="宋体" w:hAnsi="宋体" w:cs="宋体"/>
                <w:color w:val="auto"/>
                <w:kern w:val="0"/>
                <w:sz w:val="24"/>
                <w:szCs w:val="24"/>
              </w:rPr>
              <w:t>台</w:t>
            </w:r>
          </w:p>
        </w:tc>
      </w:tr>
    </w:tbl>
    <w:p>
      <w:pPr>
        <w:keepNext/>
        <w:keepLines/>
        <w:numPr>
          <w:ilvl w:val="1"/>
          <w:numId w:val="17"/>
        </w:numPr>
        <w:spacing w:before="156" w:after="156" w:line="400" w:lineRule="exact"/>
        <w:ind w:left="1060"/>
        <w:outlineLvl w:val="1"/>
        <w:rPr>
          <w:rFonts w:ascii="宋体"/>
          <w:b/>
          <w:bCs/>
          <w:color w:val="auto"/>
          <w:sz w:val="24"/>
          <w:szCs w:val="24"/>
        </w:rPr>
      </w:pPr>
      <w:bookmarkStart w:id="897" w:name="_Toc16660"/>
      <w:bookmarkStart w:id="898" w:name="_Toc82882797"/>
      <w:bookmarkStart w:id="899" w:name="_Toc31681"/>
      <w:r>
        <w:rPr>
          <w:rFonts w:ascii="宋体" w:hAnsi="宋体" w:cs="宋体"/>
          <w:b/>
          <w:bCs/>
          <w:color w:val="auto"/>
          <w:sz w:val="24"/>
          <w:szCs w:val="24"/>
        </w:rPr>
        <w:t>7</w:t>
      </w:r>
      <w:r>
        <w:rPr>
          <w:rFonts w:hint="eastAsia" w:ascii="宋体" w:hAnsi="宋体" w:cs="宋体"/>
          <w:b/>
          <w:bCs/>
          <w:color w:val="auto"/>
          <w:sz w:val="24"/>
          <w:szCs w:val="24"/>
        </w:rPr>
        <w:t>楼办公区无线</w:t>
      </w:r>
      <w:r>
        <w:rPr>
          <w:rFonts w:ascii="宋体" w:hAnsi="宋体" w:cs="宋体"/>
          <w:b/>
          <w:bCs/>
          <w:color w:val="auto"/>
          <w:sz w:val="24"/>
          <w:szCs w:val="24"/>
        </w:rPr>
        <w:t>IP</w:t>
      </w:r>
      <w:r>
        <w:rPr>
          <w:rFonts w:hint="eastAsia" w:ascii="宋体" w:hAnsi="宋体" w:cs="宋体"/>
          <w:b/>
          <w:bCs/>
          <w:color w:val="auto"/>
          <w:sz w:val="24"/>
          <w:szCs w:val="24"/>
        </w:rPr>
        <w:t>、大屏会议音箱系统</w:t>
      </w:r>
      <w:bookmarkEnd w:id="897"/>
      <w:bookmarkEnd w:id="898"/>
      <w:bookmarkEnd w:id="899"/>
    </w:p>
    <w:tbl>
      <w:tblPr>
        <w:tblStyle w:val="21"/>
        <w:tblW w:w="10320" w:type="dxa"/>
        <w:tblInd w:w="-738" w:type="dxa"/>
        <w:tblLayout w:type="autofit"/>
        <w:tblCellMar>
          <w:top w:w="0" w:type="dxa"/>
          <w:left w:w="10" w:type="dxa"/>
          <w:bottom w:w="0" w:type="dxa"/>
          <w:right w:w="10" w:type="dxa"/>
        </w:tblCellMar>
      </w:tblPr>
      <w:tblGrid>
        <w:gridCol w:w="753"/>
        <w:gridCol w:w="1418"/>
        <w:gridCol w:w="6629"/>
        <w:gridCol w:w="790"/>
        <w:gridCol w:w="730"/>
      </w:tblGrid>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设备名称</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规格配置要求</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数量</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hint="eastAsia" w:ascii="宋体" w:hAnsi="宋体" w:cs="宋体"/>
                <w:color w:val="auto"/>
                <w:sz w:val="24"/>
                <w:szCs w:val="24"/>
              </w:rPr>
              <w:t>主控制器</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、最大管理</w:t>
            </w:r>
            <w:r>
              <w:rPr>
                <w:rFonts w:ascii="宋体" w:hAnsi="宋体" w:cs="宋体"/>
                <w:color w:val="auto"/>
                <w:kern w:val="0"/>
                <w:sz w:val="24"/>
                <w:szCs w:val="24"/>
              </w:rPr>
              <w:t>AP</w:t>
            </w:r>
            <w:r>
              <w:rPr>
                <w:rFonts w:hint="eastAsia" w:ascii="宋体" w:hAnsi="宋体" w:cs="宋体"/>
                <w:color w:val="auto"/>
                <w:kern w:val="0"/>
                <w:sz w:val="24"/>
                <w:szCs w:val="24"/>
              </w:rPr>
              <w:t>数量≥</w:t>
            </w:r>
            <w:r>
              <w:rPr>
                <w:rFonts w:ascii="宋体" w:hAnsi="宋体" w:cs="宋体"/>
                <w:color w:val="auto"/>
                <w:kern w:val="0"/>
                <w:sz w:val="24"/>
                <w:szCs w:val="24"/>
              </w:rPr>
              <w:t>256</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、最大接入用户数量≥</w:t>
            </w:r>
            <w:r>
              <w:rPr>
                <w:rFonts w:ascii="宋体" w:hAnsi="宋体" w:cs="宋体"/>
                <w:color w:val="auto"/>
                <w:kern w:val="0"/>
                <w:sz w:val="24"/>
                <w:szCs w:val="24"/>
              </w:rPr>
              <w:t>4K</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、转发能力≥</w:t>
            </w:r>
            <w:r>
              <w:rPr>
                <w:rFonts w:ascii="宋体" w:hAnsi="宋体" w:cs="宋体"/>
                <w:color w:val="auto"/>
                <w:kern w:val="0"/>
                <w:sz w:val="24"/>
                <w:szCs w:val="24"/>
              </w:rPr>
              <w:t>6Gbps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10GE</w:t>
            </w:r>
            <w:r>
              <w:rPr>
                <w:rFonts w:hint="eastAsia" w:ascii="宋体" w:hAnsi="宋体" w:cs="宋体"/>
                <w:color w:val="auto"/>
                <w:kern w:val="0"/>
                <w:sz w:val="24"/>
                <w:szCs w:val="24"/>
              </w:rPr>
              <w:t>光口</w:t>
            </w:r>
            <w:r>
              <w:rPr>
                <w:rFonts w:ascii="宋体" w:hAnsi="宋体" w:cs="宋体"/>
                <w:color w:val="auto"/>
                <w:kern w:val="0"/>
                <w:sz w:val="24"/>
                <w:szCs w:val="24"/>
              </w:rPr>
              <w:t>, 10</w:t>
            </w:r>
            <w:r>
              <w:rPr>
                <w:rFonts w:hint="eastAsia" w:ascii="宋体" w:hAnsi="宋体" w:cs="宋体"/>
                <w:color w:val="auto"/>
                <w:kern w:val="0"/>
                <w:sz w:val="24"/>
                <w:szCs w:val="24"/>
              </w:rPr>
              <w:t>个</w:t>
            </w:r>
            <w:r>
              <w:rPr>
                <w:rFonts w:ascii="宋体" w:hAnsi="宋体" w:cs="宋体"/>
                <w:color w:val="auto"/>
                <w:kern w:val="0"/>
                <w:sz w:val="24"/>
                <w:szCs w:val="24"/>
              </w:rPr>
              <w:t>GE</w:t>
            </w:r>
            <w:r>
              <w:rPr>
                <w:rFonts w:hint="eastAsia" w:ascii="宋体" w:hAnsi="宋体" w:cs="宋体"/>
                <w:color w:val="auto"/>
                <w:kern w:val="0"/>
                <w:sz w:val="24"/>
                <w:szCs w:val="24"/>
              </w:rPr>
              <w:t>电口；</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、支持静态路由，</w:t>
            </w:r>
            <w:r>
              <w:rPr>
                <w:rFonts w:ascii="宋体" w:hAnsi="宋体" w:cs="宋体"/>
                <w:color w:val="auto"/>
                <w:kern w:val="0"/>
                <w:sz w:val="24"/>
                <w:szCs w:val="24"/>
              </w:rPr>
              <w:t>RIP-1/RIP-2</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BGP</w:t>
            </w:r>
            <w:r>
              <w:rPr>
                <w:rFonts w:hint="eastAsia" w:ascii="宋体" w:hAnsi="宋体" w:cs="宋体"/>
                <w:color w:val="auto"/>
                <w:kern w:val="0"/>
                <w:sz w:val="24"/>
                <w:szCs w:val="24"/>
              </w:rPr>
              <w:t>，</w:t>
            </w:r>
            <w:r>
              <w:rPr>
                <w:rFonts w:ascii="宋体" w:hAnsi="宋体" w:cs="宋体"/>
                <w:color w:val="auto"/>
                <w:kern w:val="0"/>
                <w:sz w:val="24"/>
                <w:szCs w:val="24"/>
              </w:rPr>
              <w:t>IS-IS</w:t>
            </w:r>
            <w:r>
              <w:rPr>
                <w:rFonts w:hint="eastAsia" w:ascii="宋体" w:hAnsi="宋体" w:cs="宋体"/>
                <w:color w:val="auto"/>
                <w:kern w:val="0"/>
                <w:sz w:val="24"/>
                <w:szCs w:val="24"/>
              </w:rPr>
              <w:t>，路由策略、策略路由；</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 xml:space="preserve">MAC </w:t>
            </w:r>
            <w:r>
              <w:rPr>
                <w:rFonts w:hint="eastAsia" w:ascii="宋体" w:hAnsi="宋体" w:cs="宋体"/>
                <w:color w:val="auto"/>
                <w:kern w:val="0"/>
                <w:sz w:val="24"/>
                <w:szCs w:val="24"/>
              </w:rPr>
              <w:t>地址认证、</w:t>
            </w:r>
            <w:r>
              <w:rPr>
                <w:rFonts w:ascii="宋体" w:hAnsi="宋体" w:cs="宋体"/>
                <w:color w:val="auto"/>
                <w:kern w:val="0"/>
                <w:sz w:val="24"/>
                <w:szCs w:val="24"/>
              </w:rPr>
              <w:t>802.1x</w:t>
            </w:r>
            <w:r>
              <w:rPr>
                <w:rFonts w:hint="eastAsia" w:ascii="宋体" w:hAnsi="宋体" w:cs="宋体"/>
                <w:color w:val="auto"/>
                <w:kern w:val="0"/>
                <w:sz w:val="24"/>
                <w:szCs w:val="24"/>
              </w:rPr>
              <w:t>认证（</w:t>
            </w:r>
            <w:r>
              <w:rPr>
                <w:rFonts w:ascii="宋体" w:hAnsi="宋体" w:cs="宋体"/>
                <w:color w:val="auto"/>
                <w:kern w:val="0"/>
                <w:sz w:val="24"/>
                <w:szCs w:val="24"/>
              </w:rPr>
              <w:t>EAP-PAP</w:t>
            </w:r>
            <w:r>
              <w:rPr>
                <w:rFonts w:hint="eastAsia" w:ascii="宋体" w:hAnsi="宋体" w:cs="宋体"/>
                <w:color w:val="auto"/>
                <w:kern w:val="0"/>
                <w:sz w:val="24"/>
                <w:szCs w:val="24"/>
              </w:rPr>
              <w:t>、</w:t>
            </w:r>
            <w:r>
              <w:rPr>
                <w:rFonts w:ascii="宋体" w:hAnsi="宋体" w:cs="宋体"/>
                <w:color w:val="auto"/>
                <w:kern w:val="0"/>
                <w:sz w:val="24"/>
                <w:szCs w:val="24"/>
              </w:rPr>
              <w:t>EAP-MD5</w:t>
            </w:r>
            <w:r>
              <w:rPr>
                <w:rFonts w:hint="eastAsia" w:ascii="宋体" w:hAnsi="宋体" w:cs="宋体"/>
                <w:color w:val="auto"/>
                <w:kern w:val="0"/>
                <w:sz w:val="24"/>
                <w:szCs w:val="24"/>
              </w:rPr>
              <w:t>、</w:t>
            </w:r>
            <w:r>
              <w:rPr>
                <w:rFonts w:ascii="宋体" w:hAnsi="宋体" w:cs="宋体"/>
                <w:color w:val="auto"/>
                <w:kern w:val="0"/>
                <w:sz w:val="24"/>
                <w:szCs w:val="24"/>
              </w:rPr>
              <w:t>EAP-PEAP</w:t>
            </w:r>
            <w:r>
              <w:rPr>
                <w:rFonts w:hint="eastAsia" w:ascii="宋体" w:hAnsi="宋体" w:cs="宋体"/>
                <w:color w:val="auto"/>
                <w:kern w:val="0"/>
                <w:sz w:val="24"/>
                <w:szCs w:val="24"/>
              </w:rPr>
              <w:t>、</w:t>
            </w:r>
            <w:r>
              <w:rPr>
                <w:rFonts w:ascii="宋体" w:hAnsi="宋体" w:cs="宋体"/>
                <w:color w:val="auto"/>
                <w:kern w:val="0"/>
                <w:sz w:val="24"/>
                <w:szCs w:val="24"/>
              </w:rPr>
              <w:t>EAP-TLS</w:t>
            </w:r>
            <w:r>
              <w:rPr>
                <w:rFonts w:hint="eastAsia" w:ascii="宋体" w:hAnsi="宋体" w:cs="宋体"/>
                <w:color w:val="auto"/>
                <w:kern w:val="0"/>
                <w:sz w:val="24"/>
                <w:szCs w:val="24"/>
              </w:rPr>
              <w:t>、</w:t>
            </w:r>
            <w:r>
              <w:rPr>
                <w:rFonts w:ascii="宋体" w:hAnsi="宋体" w:cs="宋体"/>
                <w:color w:val="auto"/>
                <w:kern w:val="0"/>
                <w:sz w:val="24"/>
                <w:szCs w:val="24"/>
              </w:rPr>
              <w:t>EAP-TTLS</w:t>
            </w:r>
            <w:r>
              <w:rPr>
                <w:rFonts w:hint="eastAsia" w:ascii="宋体" w:hAnsi="宋体" w:cs="宋体"/>
                <w:color w:val="auto"/>
                <w:kern w:val="0"/>
                <w:sz w:val="24"/>
                <w:szCs w:val="24"/>
              </w:rPr>
              <w:t>）、</w:t>
            </w:r>
            <w:r>
              <w:rPr>
                <w:rFonts w:ascii="宋体" w:hAnsi="宋体" w:cs="宋体"/>
                <w:color w:val="auto"/>
                <w:kern w:val="0"/>
                <w:sz w:val="24"/>
                <w:szCs w:val="24"/>
              </w:rPr>
              <w:t>Portal</w:t>
            </w:r>
            <w:r>
              <w:rPr>
                <w:rFonts w:hint="eastAsia" w:ascii="宋体" w:hAnsi="宋体" w:cs="宋体"/>
                <w:color w:val="auto"/>
                <w:kern w:val="0"/>
                <w:sz w:val="24"/>
                <w:szCs w:val="24"/>
              </w:rPr>
              <w:t>认证、</w:t>
            </w:r>
            <w:r>
              <w:rPr>
                <w:rFonts w:ascii="宋体" w:hAnsi="宋体" w:cs="宋体"/>
                <w:color w:val="auto"/>
                <w:kern w:val="0"/>
                <w:sz w:val="24"/>
                <w:szCs w:val="24"/>
              </w:rPr>
              <w:t>MAC+Portal</w:t>
            </w:r>
            <w:r>
              <w:rPr>
                <w:rFonts w:hint="eastAsia" w:ascii="宋体" w:hAnsi="宋体" w:cs="宋体"/>
                <w:color w:val="auto"/>
                <w:kern w:val="0"/>
                <w:sz w:val="24"/>
                <w:szCs w:val="24"/>
              </w:rPr>
              <w:t>混合认证、</w:t>
            </w:r>
            <w:r>
              <w:rPr>
                <w:rFonts w:ascii="宋体" w:hAnsi="宋体" w:cs="宋体"/>
                <w:color w:val="auto"/>
                <w:kern w:val="0"/>
                <w:sz w:val="24"/>
                <w:szCs w:val="24"/>
              </w:rPr>
              <w:t>WAPI</w:t>
            </w:r>
            <w:r>
              <w:rPr>
                <w:rFonts w:hint="eastAsia" w:ascii="宋体" w:hAnsi="宋体" w:cs="宋体"/>
                <w:color w:val="auto"/>
                <w:kern w:val="0"/>
                <w:sz w:val="24"/>
                <w:szCs w:val="24"/>
              </w:rPr>
              <w:t>认证；</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WPA</w:t>
            </w:r>
            <w:r>
              <w:rPr>
                <w:rFonts w:hint="eastAsia" w:ascii="宋体" w:hAnsi="宋体" w:cs="宋体"/>
                <w:color w:val="auto"/>
                <w:kern w:val="0"/>
                <w:sz w:val="24"/>
                <w:szCs w:val="24"/>
              </w:rPr>
              <w:t>标准、</w:t>
            </w:r>
            <w:r>
              <w:rPr>
                <w:rFonts w:ascii="宋体" w:hAnsi="宋体" w:cs="宋体"/>
                <w:color w:val="auto"/>
                <w:kern w:val="0"/>
                <w:sz w:val="24"/>
                <w:szCs w:val="24"/>
              </w:rPr>
              <w:t>WEP(WEP64/WEP128)</w:t>
            </w:r>
            <w:r>
              <w:rPr>
                <w:rFonts w:hint="eastAsia" w:ascii="宋体" w:hAnsi="宋体" w:cs="宋体"/>
                <w:color w:val="auto"/>
                <w:kern w:val="0"/>
                <w:sz w:val="24"/>
                <w:szCs w:val="24"/>
              </w:rPr>
              <w:t>、</w:t>
            </w:r>
            <w:r>
              <w:rPr>
                <w:rFonts w:ascii="宋体" w:hAnsi="宋体" w:cs="宋体"/>
                <w:color w:val="auto"/>
                <w:kern w:val="0"/>
                <w:sz w:val="24"/>
                <w:szCs w:val="24"/>
              </w:rPr>
              <w:t>TKIP</w:t>
            </w:r>
            <w:r>
              <w:rPr>
                <w:rFonts w:hint="eastAsia" w:ascii="宋体" w:hAnsi="宋体" w:cs="宋体"/>
                <w:color w:val="auto"/>
                <w:kern w:val="0"/>
                <w:sz w:val="24"/>
                <w:szCs w:val="24"/>
              </w:rPr>
              <w:t>、</w:t>
            </w:r>
            <w:r>
              <w:rPr>
                <w:rFonts w:ascii="宋体" w:hAnsi="宋体" w:cs="宋体"/>
                <w:color w:val="auto"/>
                <w:kern w:val="0"/>
                <w:sz w:val="24"/>
                <w:szCs w:val="24"/>
              </w:rPr>
              <w:t>CCMP</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、内置</w:t>
            </w:r>
            <w:r>
              <w:rPr>
                <w:rFonts w:ascii="宋体" w:hAnsi="宋体" w:cs="宋体"/>
                <w:color w:val="auto"/>
                <w:kern w:val="0"/>
                <w:sz w:val="24"/>
                <w:szCs w:val="24"/>
              </w:rPr>
              <w:t>Portal/AAA</w:t>
            </w:r>
            <w:r>
              <w:rPr>
                <w:rFonts w:hint="eastAsia" w:ascii="宋体" w:hAnsi="宋体" w:cs="宋体"/>
                <w:color w:val="auto"/>
                <w:kern w:val="0"/>
                <w:sz w:val="24"/>
                <w:szCs w:val="24"/>
              </w:rPr>
              <w:t>服务器，可为用户提供</w:t>
            </w:r>
            <w:r>
              <w:rPr>
                <w:rFonts w:ascii="宋体" w:hAnsi="宋体" w:cs="宋体"/>
                <w:color w:val="auto"/>
                <w:kern w:val="0"/>
                <w:sz w:val="24"/>
                <w:szCs w:val="24"/>
              </w:rPr>
              <w:t>Portal</w:t>
            </w:r>
            <w:r>
              <w:rPr>
                <w:rFonts w:hint="eastAsia" w:ascii="宋体" w:hAnsi="宋体" w:cs="宋体"/>
                <w:color w:val="auto"/>
                <w:kern w:val="0"/>
                <w:sz w:val="24"/>
                <w:szCs w:val="24"/>
              </w:rPr>
              <w:t>认证</w:t>
            </w:r>
            <w:r>
              <w:rPr>
                <w:rFonts w:ascii="宋体" w:hAnsi="宋体" w:cs="宋体"/>
                <w:color w:val="auto"/>
                <w:kern w:val="0"/>
                <w:sz w:val="24"/>
                <w:szCs w:val="24"/>
              </w:rPr>
              <w:t>/802.1X</w:t>
            </w:r>
            <w:r>
              <w:rPr>
                <w:rFonts w:hint="eastAsia" w:ascii="宋体" w:hAnsi="宋体" w:cs="宋体"/>
                <w:color w:val="auto"/>
                <w:kern w:val="0"/>
                <w:sz w:val="24"/>
                <w:szCs w:val="24"/>
              </w:rPr>
              <w:t>服务；</w:t>
            </w:r>
          </w:p>
          <w:p>
            <w:pPr>
              <w:widowControl/>
              <w:jc w:val="left"/>
              <w:textAlignment w:val="center"/>
              <w:rPr>
                <w:rFonts w:ascii="宋体"/>
                <w:color w:val="auto"/>
                <w:sz w:val="24"/>
                <w:szCs w:val="24"/>
              </w:rPr>
            </w:pPr>
            <w:r>
              <w:rPr>
                <w:rFonts w:ascii="宋体" w:hAnsi="宋体" w:cs="宋体"/>
                <w:color w:val="auto"/>
                <w:kern w:val="0"/>
                <w:sz w:val="24"/>
                <w:szCs w:val="24"/>
              </w:rPr>
              <w:t>9</w:t>
            </w:r>
            <w:r>
              <w:rPr>
                <w:rFonts w:hint="eastAsia" w:ascii="宋体" w:hAnsi="宋体" w:cs="宋体"/>
                <w:color w:val="auto"/>
                <w:kern w:val="0"/>
                <w:sz w:val="24"/>
                <w:szCs w:val="24"/>
              </w:rPr>
              <w:t>、实配：</w:t>
            </w:r>
            <w:r>
              <w:rPr>
                <w:rFonts w:ascii="宋体" w:hAnsi="宋体" w:cs="宋体"/>
                <w:color w:val="auto"/>
                <w:kern w:val="0"/>
                <w:sz w:val="24"/>
                <w:szCs w:val="24"/>
              </w:rPr>
              <w:t>10</w:t>
            </w:r>
            <w:r>
              <w:rPr>
                <w:rFonts w:hint="eastAsia" w:ascii="宋体" w:hAnsi="宋体" w:cs="宋体"/>
                <w:color w:val="auto"/>
                <w:kern w:val="0"/>
                <w:sz w:val="24"/>
                <w:szCs w:val="24"/>
              </w:rPr>
              <w:t>个无线</w:t>
            </w:r>
            <w:r>
              <w:rPr>
                <w:rFonts w:ascii="宋体" w:hAnsi="宋体" w:cs="宋体"/>
                <w:color w:val="auto"/>
                <w:kern w:val="0"/>
                <w:sz w:val="24"/>
                <w:szCs w:val="24"/>
              </w:rPr>
              <w:t>License</w:t>
            </w:r>
            <w:r>
              <w:rPr>
                <w:rFonts w:hint="eastAsia" w:ascii="宋体" w:hAnsi="宋体" w:cs="宋体"/>
                <w:color w:val="auto"/>
                <w:kern w:val="0"/>
                <w:sz w:val="24"/>
                <w:szCs w:val="24"/>
              </w:rPr>
              <w:t>授权，千兆多模光模块≥</w:t>
            </w:r>
            <w:r>
              <w:rPr>
                <w:rFonts w:ascii="宋体" w:hAnsi="宋体" w:cs="宋体"/>
                <w:color w:val="auto"/>
                <w:kern w:val="0"/>
                <w:sz w:val="24"/>
                <w:szCs w:val="24"/>
              </w:rPr>
              <w:t>2</w:t>
            </w:r>
            <w:r>
              <w:rPr>
                <w:rFonts w:hint="eastAsia" w:ascii="宋体" w:hAnsi="宋体" w:cs="宋体"/>
                <w:color w:val="auto"/>
                <w:kern w:val="0"/>
                <w:sz w:val="24"/>
                <w:szCs w:val="24"/>
              </w:rPr>
              <w:t>，万兆单模光模块≥</w:t>
            </w:r>
            <w:r>
              <w:rPr>
                <w:rFonts w:ascii="宋体" w:hAnsi="宋体" w:cs="宋体"/>
                <w:color w:val="auto"/>
                <w:kern w:val="0"/>
                <w:sz w:val="24"/>
                <w:szCs w:val="24"/>
              </w:rPr>
              <w:t>2</w:t>
            </w:r>
            <w:r>
              <w:rPr>
                <w:rFonts w:hint="eastAsia" w:ascii="宋体" w:hAnsi="宋体" w:cs="宋体"/>
                <w:color w:val="auto"/>
                <w:kern w:val="0"/>
                <w:sz w:val="24"/>
                <w:szCs w:val="24"/>
              </w:rPr>
              <w:t>，硬件</w:t>
            </w:r>
            <w:r>
              <w:rPr>
                <w:rFonts w:ascii="宋体" w:hAnsi="宋体" w:cs="宋体"/>
                <w:color w:val="auto"/>
                <w:kern w:val="0"/>
                <w:sz w:val="24"/>
                <w:szCs w:val="24"/>
              </w:rPr>
              <w:t>3</w:t>
            </w:r>
            <w:r>
              <w:rPr>
                <w:rFonts w:hint="eastAsia" w:ascii="宋体" w:hAnsi="宋体" w:cs="宋体"/>
                <w:color w:val="auto"/>
                <w:kern w:val="0"/>
                <w:sz w:val="24"/>
                <w:szCs w:val="24"/>
              </w:rPr>
              <w:t>年质保。</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2</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hint="eastAsia" w:ascii="宋体" w:hAnsi="宋体" w:cs="宋体"/>
                <w:color w:val="auto"/>
                <w:sz w:val="24"/>
                <w:szCs w:val="24"/>
              </w:rPr>
              <w:t>楼层控制器</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、交换容量≥</w:t>
            </w:r>
            <w:r>
              <w:rPr>
                <w:rFonts w:ascii="宋体" w:hAnsi="宋体" w:cs="宋体"/>
                <w:color w:val="auto"/>
                <w:kern w:val="0"/>
                <w:sz w:val="24"/>
                <w:szCs w:val="24"/>
              </w:rPr>
              <w:t>336Gbps</w:t>
            </w:r>
            <w:r>
              <w:rPr>
                <w:rFonts w:hint="eastAsia" w:ascii="宋体" w:hAnsi="宋体" w:cs="宋体"/>
                <w:color w:val="auto"/>
                <w:kern w:val="0"/>
                <w:sz w:val="24"/>
                <w:szCs w:val="24"/>
              </w:rPr>
              <w:t>，包转发率≥</w:t>
            </w:r>
            <w:r>
              <w:rPr>
                <w:rFonts w:ascii="宋体" w:hAnsi="宋体" w:cs="宋体"/>
                <w:color w:val="auto"/>
                <w:kern w:val="0"/>
                <w:sz w:val="24"/>
                <w:szCs w:val="24"/>
              </w:rPr>
              <w:t>50Mpps</w:t>
            </w:r>
            <w:r>
              <w:rPr>
                <w:rFonts w:hint="eastAsia" w:ascii="宋体" w:hAnsi="宋体" w:cs="宋体"/>
                <w:color w:val="auto"/>
                <w:kern w:val="0"/>
                <w:sz w:val="24"/>
                <w:szCs w:val="24"/>
              </w:rPr>
              <w:t>，以官网最小值为准；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、整机实配：</w:t>
            </w:r>
            <w:r>
              <w:rPr>
                <w:rFonts w:ascii="宋体" w:hAnsi="宋体" w:cs="宋体"/>
                <w:color w:val="auto"/>
                <w:kern w:val="0"/>
                <w:sz w:val="24"/>
                <w:szCs w:val="24"/>
              </w:rPr>
              <w:t>24</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个千兆</w:t>
            </w:r>
            <w:r>
              <w:rPr>
                <w:rFonts w:ascii="宋体" w:hAnsi="宋体" w:cs="宋体"/>
                <w:color w:val="auto"/>
                <w:kern w:val="0"/>
                <w:sz w:val="24"/>
                <w:szCs w:val="24"/>
              </w:rPr>
              <w:t>SFP</w:t>
            </w:r>
            <w:r>
              <w:rPr>
                <w:rFonts w:hint="eastAsia" w:ascii="宋体" w:hAnsi="宋体" w:cs="宋体"/>
                <w:color w:val="auto"/>
                <w:kern w:val="0"/>
                <w:sz w:val="24"/>
                <w:szCs w:val="24"/>
              </w:rPr>
              <w:t>，端口支持</w:t>
            </w:r>
            <w:r>
              <w:rPr>
                <w:rFonts w:ascii="宋体" w:hAnsi="宋体" w:cs="宋体"/>
                <w:color w:val="auto"/>
                <w:kern w:val="0"/>
                <w:sz w:val="24"/>
                <w:szCs w:val="24"/>
              </w:rPr>
              <w:t>POE+</w:t>
            </w:r>
            <w:r>
              <w:rPr>
                <w:rFonts w:hint="eastAsia" w:ascii="宋体" w:hAnsi="宋体" w:cs="宋体"/>
                <w:color w:val="auto"/>
                <w:kern w:val="0"/>
                <w:sz w:val="24"/>
                <w:szCs w:val="24"/>
              </w:rPr>
              <w:t>供电</w:t>
            </w:r>
            <w:r>
              <w:rPr>
                <w:rFonts w:ascii="宋体" w:cs="宋体"/>
                <w:color w:val="auto"/>
                <w:kern w:val="0"/>
                <w:sz w:val="24"/>
                <w:szCs w:val="24"/>
              </w:rPr>
              <w:t>,</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w:t>
            </w:r>
            <w:r>
              <w:rPr>
                <w:rFonts w:ascii="宋体" w:hAnsi="宋体" w:cs="宋体"/>
                <w:color w:val="auto"/>
                <w:kern w:val="0"/>
                <w:sz w:val="24"/>
                <w:szCs w:val="24"/>
              </w:rPr>
              <w:t>16K</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4K</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、支持二层和</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等三层特性，支持完善的以太</w:t>
            </w:r>
            <w:r>
              <w:rPr>
                <w:rFonts w:ascii="宋体" w:hAnsi="宋体" w:cs="宋体"/>
                <w:color w:val="auto"/>
                <w:kern w:val="0"/>
                <w:sz w:val="24"/>
                <w:szCs w:val="24"/>
              </w:rPr>
              <w:t xml:space="preserve"> OAM</w:t>
            </w:r>
            <w:r>
              <w:rPr>
                <w:rFonts w:hint="eastAsia" w:ascii="宋体" w:hAnsi="宋体" w:cs="宋体"/>
                <w:color w:val="auto"/>
                <w:kern w:val="0"/>
                <w:sz w:val="24"/>
                <w:szCs w:val="24"/>
              </w:rPr>
              <w:t>（</w:t>
            </w:r>
            <w:r>
              <w:rPr>
                <w:rFonts w:ascii="宋体" w:hAnsi="宋体" w:cs="宋体"/>
                <w:color w:val="auto"/>
                <w:kern w:val="0"/>
                <w:sz w:val="24"/>
                <w:szCs w:val="24"/>
              </w:rPr>
              <w:t>IEEE 802.3ah/802.1ag</w:t>
            </w:r>
            <w:r>
              <w:rPr>
                <w:rFonts w:hint="eastAsia" w:ascii="宋体" w:hAnsi="宋体" w:cs="宋体"/>
                <w:color w:val="auto"/>
                <w:kern w:val="0"/>
                <w:sz w:val="24"/>
                <w:szCs w:val="24"/>
              </w:rPr>
              <w:t>），用于快速检测链路故障；</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SNMP v1/v2c/v3</w:t>
            </w:r>
            <w:r>
              <w:rPr>
                <w:rFonts w:hint="eastAsia" w:ascii="宋体" w:hAnsi="宋体" w:cs="宋体"/>
                <w:color w:val="auto"/>
                <w:kern w:val="0"/>
                <w:sz w:val="24"/>
                <w:szCs w:val="24"/>
              </w:rPr>
              <w:t>、</w:t>
            </w:r>
            <w:r>
              <w:rPr>
                <w:rFonts w:ascii="宋体" w:hAnsi="宋体" w:cs="宋体"/>
                <w:color w:val="auto"/>
                <w:kern w:val="0"/>
                <w:sz w:val="24"/>
                <w:szCs w:val="24"/>
              </w:rPr>
              <w:t>CLI</w:t>
            </w:r>
            <w:r>
              <w:rPr>
                <w:rFonts w:hint="eastAsia" w:ascii="宋体" w:hAnsi="宋体" w:cs="宋体"/>
                <w:color w:val="auto"/>
                <w:kern w:val="0"/>
                <w:sz w:val="24"/>
                <w:szCs w:val="24"/>
              </w:rPr>
              <w:t>（命令行）、</w:t>
            </w:r>
            <w:r>
              <w:rPr>
                <w:rFonts w:ascii="宋体" w:hAnsi="宋体" w:cs="宋体"/>
                <w:color w:val="auto"/>
                <w:kern w:val="0"/>
                <w:sz w:val="24"/>
                <w:szCs w:val="24"/>
              </w:rPr>
              <w:t xml:space="preserve">Web </w:t>
            </w:r>
            <w:r>
              <w:rPr>
                <w:rFonts w:hint="eastAsia" w:ascii="宋体" w:hAnsi="宋体" w:cs="宋体"/>
                <w:color w:val="auto"/>
                <w:kern w:val="0"/>
                <w:sz w:val="24"/>
                <w:szCs w:val="24"/>
              </w:rPr>
              <w:t>网管、</w:t>
            </w:r>
            <w:r>
              <w:rPr>
                <w:rFonts w:ascii="宋体" w:hAnsi="宋体" w:cs="宋体"/>
                <w:color w:val="auto"/>
                <w:kern w:val="0"/>
                <w:sz w:val="24"/>
                <w:szCs w:val="24"/>
              </w:rPr>
              <w:t xml:space="preserve">SSHv2.0 </w:t>
            </w:r>
            <w:r>
              <w:rPr>
                <w:rFonts w:hint="eastAsia" w:ascii="宋体" w:hAnsi="宋体" w:cs="宋体"/>
                <w:color w:val="auto"/>
                <w:kern w:val="0"/>
                <w:sz w:val="24"/>
                <w:szCs w:val="24"/>
              </w:rPr>
              <w:t>等多样化的管理和维护方式；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IPv4 FIB</w:t>
            </w:r>
            <w:r>
              <w:rPr>
                <w:rFonts w:hint="eastAsia" w:ascii="宋体" w:hAnsi="宋体" w:cs="宋体"/>
                <w:color w:val="auto"/>
                <w:kern w:val="0"/>
                <w:sz w:val="24"/>
                <w:szCs w:val="24"/>
              </w:rPr>
              <w:t>表项≥</w:t>
            </w:r>
            <w:r>
              <w:rPr>
                <w:rFonts w:ascii="宋体" w:hAnsi="宋体" w:cs="宋体"/>
                <w:color w:val="auto"/>
                <w:kern w:val="0"/>
                <w:sz w:val="24"/>
                <w:szCs w:val="24"/>
              </w:rPr>
              <w:t>4K</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kern w:val="0"/>
                <w:sz w:val="24"/>
                <w:szCs w:val="24"/>
              </w:rPr>
              <w:t>8</w:t>
            </w:r>
            <w:r>
              <w:rPr>
                <w:rFonts w:hint="eastAsia" w:ascii="宋体" w:hAnsi="宋体" w:cs="宋体"/>
                <w:color w:val="auto"/>
                <w:kern w:val="0"/>
                <w:sz w:val="24"/>
                <w:szCs w:val="24"/>
              </w:rPr>
              <w:t>、实配：千兆多模光模块≥</w:t>
            </w:r>
            <w:r>
              <w:rPr>
                <w:rFonts w:ascii="宋体" w:hAnsi="宋体" w:cs="宋体"/>
                <w:color w:val="auto"/>
                <w:kern w:val="0"/>
                <w:sz w:val="24"/>
                <w:szCs w:val="24"/>
              </w:rPr>
              <w:t>2</w:t>
            </w:r>
            <w:r>
              <w:rPr>
                <w:rFonts w:hint="eastAsia" w:ascii="宋体" w:hAnsi="宋体" w:cs="宋体"/>
                <w:color w:val="auto"/>
                <w:kern w:val="0"/>
                <w:sz w:val="24"/>
                <w:szCs w:val="24"/>
              </w:rPr>
              <w:t>，硬件</w:t>
            </w:r>
            <w:r>
              <w:rPr>
                <w:rFonts w:ascii="宋体" w:hAnsi="宋体" w:cs="宋体"/>
                <w:color w:val="auto"/>
                <w:kern w:val="0"/>
                <w:sz w:val="24"/>
                <w:szCs w:val="24"/>
              </w:rPr>
              <w:t>3</w:t>
            </w:r>
            <w:r>
              <w:rPr>
                <w:rFonts w:hint="eastAsia" w:ascii="宋体" w:hAnsi="宋体" w:cs="宋体"/>
                <w:color w:val="auto"/>
                <w:kern w:val="0"/>
                <w:sz w:val="24"/>
                <w:szCs w:val="24"/>
              </w:rPr>
              <w:t>年质保。</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3</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hint="eastAsia" w:ascii="宋体" w:hAnsi="宋体" w:cs="宋体"/>
                <w:color w:val="auto"/>
                <w:sz w:val="24"/>
                <w:szCs w:val="24"/>
              </w:rPr>
              <w:t>楼道放装</w:t>
            </w:r>
            <w:r>
              <w:rPr>
                <w:rFonts w:ascii="宋体" w:hAnsi="宋体" w:cs="宋体"/>
                <w:color w:val="auto"/>
                <w:sz w:val="24"/>
                <w:szCs w:val="24"/>
              </w:rPr>
              <w:t>AP</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、支持</w:t>
            </w:r>
            <w:r>
              <w:rPr>
                <w:rFonts w:ascii="宋体" w:hAnsi="宋体" w:cs="宋体"/>
                <w:color w:val="auto"/>
                <w:kern w:val="0"/>
                <w:sz w:val="24"/>
                <w:szCs w:val="24"/>
              </w:rPr>
              <w:t>802.11ax</w:t>
            </w:r>
            <w:r>
              <w:rPr>
                <w:rFonts w:hint="eastAsia" w:ascii="宋体" w:hAnsi="宋体" w:cs="宋体"/>
                <w:color w:val="auto"/>
                <w:kern w:val="0"/>
                <w:sz w:val="24"/>
                <w:szCs w:val="24"/>
              </w:rPr>
              <w:t>标准，支持</w:t>
            </w:r>
            <w:r>
              <w:rPr>
                <w:rFonts w:ascii="宋体" w:hAnsi="宋体" w:cs="宋体"/>
                <w:color w:val="auto"/>
                <w:kern w:val="0"/>
                <w:sz w:val="24"/>
                <w:szCs w:val="24"/>
              </w:rPr>
              <w:t>2.4GHz/5GHz</w:t>
            </w:r>
            <w:r>
              <w:rPr>
                <w:rFonts w:hint="eastAsia" w:ascii="宋体" w:hAnsi="宋体" w:cs="宋体"/>
                <w:color w:val="auto"/>
                <w:kern w:val="0"/>
                <w:sz w:val="24"/>
                <w:szCs w:val="24"/>
              </w:rPr>
              <w:t>双频段；</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5G</w:t>
            </w:r>
            <w:r>
              <w:rPr>
                <w:rFonts w:hint="eastAsia" w:ascii="宋体" w:hAnsi="宋体" w:cs="宋体"/>
                <w:color w:val="auto"/>
                <w:kern w:val="0"/>
                <w:sz w:val="24"/>
                <w:szCs w:val="24"/>
              </w:rPr>
              <w:t>射频支持</w:t>
            </w:r>
            <w:r>
              <w:rPr>
                <w:rFonts w:ascii="宋体" w:hAnsi="宋体" w:cs="宋体"/>
                <w:color w:val="auto"/>
                <w:kern w:val="0"/>
                <w:sz w:val="24"/>
                <w:szCs w:val="24"/>
              </w:rPr>
              <w:t>802.11ax 2x2 MU-MIMO</w:t>
            </w:r>
            <w:r>
              <w:rPr>
                <w:rFonts w:hint="eastAsia" w:ascii="宋体" w:hAnsi="宋体" w:cs="宋体"/>
                <w:color w:val="auto"/>
                <w:kern w:val="0"/>
                <w:sz w:val="24"/>
                <w:szCs w:val="24"/>
              </w:rPr>
              <w:t>，</w:t>
            </w:r>
            <w:r>
              <w:rPr>
                <w:rFonts w:ascii="宋体" w:hAnsi="宋体" w:cs="宋体"/>
                <w:color w:val="auto"/>
                <w:kern w:val="0"/>
                <w:sz w:val="24"/>
                <w:szCs w:val="24"/>
              </w:rPr>
              <w:t>2.4G</w:t>
            </w:r>
            <w:r>
              <w:rPr>
                <w:rFonts w:hint="eastAsia" w:ascii="宋体" w:hAnsi="宋体" w:cs="宋体"/>
                <w:color w:val="auto"/>
                <w:kern w:val="0"/>
                <w:sz w:val="24"/>
                <w:szCs w:val="24"/>
              </w:rPr>
              <w:t>射频支持</w:t>
            </w:r>
            <w:r>
              <w:rPr>
                <w:rFonts w:ascii="宋体" w:hAnsi="宋体" w:cs="宋体"/>
                <w:color w:val="auto"/>
                <w:kern w:val="0"/>
                <w:sz w:val="24"/>
                <w:szCs w:val="24"/>
              </w:rPr>
              <w:t>802.11ax 2x2 MU-MIMO</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、总空间流数≥</w:t>
            </w:r>
            <w:r>
              <w:rPr>
                <w:rFonts w:ascii="宋体" w:hAnsi="宋体" w:cs="宋体"/>
                <w:color w:val="auto"/>
                <w:kern w:val="0"/>
                <w:sz w:val="24"/>
                <w:szCs w:val="24"/>
              </w:rPr>
              <w:t>4</w:t>
            </w:r>
            <w:r>
              <w:rPr>
                <w:rFonts w:hint="eastAsia" w:ascii="宋体" w:hAnsi="宋体" w:cs="宋体"/>
                <w:color w:val="auto"/>
                <w:kern w:val="0"/>
                <w:sz w:val="24"/>
                <w:szCs w:val="24"/>
              </w:rPr>
              <w:t>；整机速率≥</w:t>
            </w:r>
            <w:r>
              <w:rPr>
                <w:rFonts w:ascii="宋体" w:hAnsi="宋体" w:cs="宋体"/>
                <w:color w:val="auto"/>
                <w:kern w:val="0"/>
                <w:sz w:val="24"/>
                <w:szCs w:val="24"/>
              </w:rPr>
              <w:t>1.7Gbps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w:t>
            </w:r>
            <w:r>
              <w:rPr>
                <w:rFonts w:ascii="宋体" w:hAnsi="宋体" w:cs="宋体"/>
                <w:color w:val="auto"/>
                <w:kern w:val="0"/>
                <w:sz w:val="24"/>
                <w:szCs w:val="24"/>
              </w:rPr>
              <w:t>1*GE</w:t>
            </w:r>
            <w:r>
              <w:rPr>
                <w:rFonts w:hint="eastAsia" w:ascii="宋体" w:hAnsi="宋体" w:cs="宋体"/>
                <w:color w:val="auto"/>
                <w:kern w:val="0"/>
                <w:sz w:val="24"/>
                <w:szCs w:val="24"/>
              </w:rPr>
              <w:t>电口，内置智能天线；</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、提供</w:t>
            </w:r>
            <w:r>
              <w:rPr>
                <w:rFonts w:ascii="宋体" w:hAnsi="宋体" w:cs="宋体"/>
                <w:color w:val="auto"/>
                <w:kern w:val="0"/>
                <w:sz w:val="24"/>
                <w:szCs w:val="24"/>
              </w:rPr>
              <w:t>USG</w:t>
            </w:r>
            <w:r>
              <w:rPr>
                <w:rFonts w:hint="eastAsia" w:ascii="宋体" w:hAnsi="宋体" w:cs="宋体"/>
                <w:color w:val="auto"/>
                <w:kern w:val="0"/>
                <w:sz w:val="24"/>
                <w:szCs w:val="24"/>
              </w:rPr>
              <w:t>接口，可用于扩展外置物联网；</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、内置蓝牙</w:t>
            </w:r>
            <w:r>
              <w:rPr>
                <w:rFonts w:ascii="宋体" w:hAnsi="宋体" w:cs="宋体"/>
                <w:color w:val="auto"/>
                <w:kern w:val="0"/>
                <w:sz w:val="24"/>
                <w:szCs w:val="24"/>
              </w:rPr>
              <w:t>5.0</w:t>
            </w:r>
            <w:r>
              <w:rPr>
                <w:rFonts w:hint="eastAsia" w:ascii="宋体" w:hAnsi="宋体" w:cs="宋体"/>
                <w:color w:val="auto"/>
                <w:kern w:val="0"/>
                <w:sz w:val="24"/>
                <w:szCs w:val="24"/>
              </w:rPr>
              <w:t>，可用于蓝牙定位，支持蓝牙串口运维管理，提供证明文件；</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、支持最大接入用户数≥</w:t>
            </w:r>
            <w:r>
              <w:rPr>
                <w:rFonts w:ascii="宋体" w:hAnsi="宋体" w:cs="宋体"/>
                <w:color w:val="auto"/>
                <w:kern w:val="0"/>
                <w:sz w:val="24"/>
                <w:szCs w:val="24"/>
              </w:rPr>
              <w:t>1024</w:t>
            </w:r>
            <w:r>
              <w:rPr>
                <w:rFonts w:hint="eastAsia" w:ascii="宋体" w:hAnsi="宋体" w:cs="宋体"/>
                <w:color w:val="auto"/>
                <w:kern w:val="0"/>
                <w:sz w:val="24"/>
                <w:szCs w:val="24"/>
              </w:rPr>
              <w:t>个，提供第三方权威机构测试证明或截图；</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、支持射频自动调优功能，实时智能管理射频资源，支持</w:t>
            </w:r>
            <w:r>
              <w:rPr>
                <w:rFonts w:ascii="宋体" w:hAnsi="宋体" w:cs="宋体"/>
                <w:color w:val="auto"/>
                <w:kern w:val="0"/>
                <w:sz w:val="24"/>
                <w:szCs w:val="24"/>
              </w:rPr>
              <w:t>DC</w:t>
            </w:r>
            <w:r>
              <w:rPr>
                <w:rFonts w:hint="eastAsia" w:ascii="宋体" w:hAnsi="宋体" w:cs="宋体"/>
                <w:color w:val="auto"/>
                <w:kern w:val="0"/>
                <w:sz w:val="24"/>
                <w:szCs w:val="24"/>
              </w:rPr>
              <w:t>供电或</w:t>
            </w:r>
            <w:r>
              <w:rPr>
                <w:rFonts w:ascii="宋体" w:hAnsi="宋体" w:cs="宋体"/>
                <w:color w:val="auto"/>
                <w:kern w:val="0"/>
                <w:sz w:val="24"/>
                <w:szCs w:val="24"/>
              </w:rPr>
              <w:t>802.3at /af PoE</w:t>
            </w:r>
            <w:r>
              <w:rPr>
                <w:rFonts w:hint="eastAsia" w:ascii="宋体" w:hAnsi="宋体" w:cs="宋体"/>
                <w:color w:val="auto"/>
                <w:kern w:val="0"/>
                <w:sz w:val="24"/>
                <w:szCs w:val="24"/>
              </w:rPr>
              <w:t>供电；</w:t>
            </w:r>
          </w:p>
          <w:p>
            <w:pPr>
              <w:widowControl/>
              <w:jc w:val="left"/>
              <w:textAlignment w:val="center"/>
              <w:rPr>
                <w:rFonts w:ascii="宋体"/>
                <w:color w:val="auto"/>
                <w:sz w:val="24"/>
                <w:szCs w:val="24"/>
              </w:rPr>
            </w:pPr>
            <w:r>
              <w:rPr>
                <w:rFonts w:ascii="宋体" w:hAnsi="宋体" w:cs="宋体"/>
                <w:color w:val="auto"/>
                <w:kern w:val="0"/>
                <w:sz w:val="24"/>
                <w:szCs w:val="24"/>
              </w:rPr>
              <w:t>9</w:t>
            </w:r>
            <w:r>
              <w:rPr>
                <w:rFonts w:hint="eastAsia" w:ascii="宋体" w:hAnsi="宋体" w:cs="宋体"/>
                <w:color w:val="auto"/>
                <w:kern w:val="0"/>
                <w:sz w:val="24"/>
                <w:szCs w:val="24"/>
              </w:rPr>
              <w:t>、支持</w:t>
            </w:r>
            <w:r>
              <w:rPr>
                <w:rFonts w:ascii="宋体" w:hAnsi="宋体" w:cs="宋体"/>
                <w:color w:val="auto"/>
                <w:kern w:val="0"/>
                <w:sz w:val="24"/>
                <w:szCs w:val="24"/>
              </w:rPr>
              <w:t>FIT/FAT/</w:t>
            </w:r>
            <w:r>
              <w:rPr>
                <w:rFonts w:hint="eastAsia" w:ascii="宋体" w:hAnsi="宋体" w:cs="宋体"/>
                <w:color w:val="auto"/>
                <w:kern w:val="0"/>
                <w:sz w:val="24"/>
                <w:szCs w:val="24"/>
              </w:rPr>
              <w:t>云管理三种工作模式；</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6</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4</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hint="eastAsia" w:ascii="宋体" w:hAnsi="宋体" w:cs="宋体"/>
                <w:color w:val="auto"/>
                <w:sz w:val="24"/>
                <w:szCs w:val="24"/>
              </w:rPr>
              <w:t>房间</w:t>
            </w:r>
            <w:r>
              <w:rPr>
                <w:rFonts w:ascii="宋体" w:hAnsi="宋体" w:cs="宋体"/>
                <w:color w:val="auto"/>
                <w:sz w:val="24"/>
                <w:szCs w:val="24"/>
              </w:rPr>
              <w:t>AP</w:t>
            </w:r>
            <w:r>
              <w:rPr>
                <w:rFonts w:hint="eastAsia" w:ascii="宋体" w:hAnsi="宋体" w:cs="宋体"/>
                <w:color w:val="auto"/>
                <w:sz w:val="24"/>
                <w:szCs w:val="24"/>
              </w:rPr>
              <w:t>面板</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、支持</w:t>
            </w:r>
            <w:r>
              <w:rPr>
                <w:rFonts w:ascii="宋体" w:hAnsi="宋体" w:cs="宋体"/>
                <w:color w:val="auto"/>
                <w:kern w:val="0"/>
                <w:sz w:val="24"/>
                <w:szCs w:val="24"/>
              </w:rPr>
              <w:t>802.11ax</w:t>
            </w:r>
            <w:r>
              <w:rPr>
                <w:rFonts w:hint="eastAsia" w:ascii="宋体" w:hAnsi="宋体" w:cs="宋体"/>
                <w:color w:val="auto"/>
                <w:kern w:val="0"/>
                <w:sz w:val="24"/>
                <w:szCs w:val="24"/>
              </w:rPr>
              <w:t>标准，支持</w:t>
            </w:r>
            <w:r>
              <w:rPr>
                <w:rFonts w:ascii="宋体" w:hAnsi="宋体" w:cs="宋体"/>
                <w:color w:val="auto"/>
                <w:kern w:val="0"/>
                <w:sz w:val="24"/>
                <w:szCs w:val="24"/>
              </w:rPr>
              <w:t>2.4GHz/5GHz</w:t>
            </w:r>
            <w:r>
              <w:rPr>
                <w:rFonts w:hint="eastAsia" w:ascii="宋体" w:hAnsi="宋体" w:cs="宋体"/>
                <w:color w:val="auto"/>
                <w:kern w:val="0"/>
                <w:sz w:val="24"/>
                <w:szCs w:val="24"/>
              </w:rPr>
              <w:t>双频段；</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5G</w:t>
            </w:r>
            <w:r>
              <w:rPr>
                <w:rFonts w:hint="eastAsia" w:ascii="宋体" w:hAnsi="宋体" w:cs="宋体"/>
                <w:color w:val="auto"/>
                <w:kern w:val="0"/>
                <w:sz w:val="24"/>
                <w:szCs w:val="24"/>
              </w:rPr>
              <w:t>射频支持</w:t>
            </w:r>
            <w:r>
              <w:rPr>
                <w:rFonts w:ascii="宋体" w:hAnsi="宋体" w:cs="宋体"/>
                <w:color w:val="auto"/>
                <w:kern w:val="0"/>
                <w:sz w:val="24"/>
                <w:szCs w:val="24"/>
              </w:rPr>
              <w:t>802.11ax 2x2 MU-MIMO</w:t>
            </w:r>
            <w:r>
              <w:rPr>
                <w:rFonts w:hint="eastAsia" w:ascii="宋体" w:hAnsi="宋体" w:cs="宋体"/>
                <w:color w:val="auto"/>
                <w:kern w:val="0"/>
                <w:sz w:val="24"/>
                <w:szCs w:val="24"/>
              </w:rPr>
              <w:t>，</w:t>
            </w:r>
            <w:r>
              <w:rPr>
                <w:rFonts w:ascii="宋体" w:hAnsi="宋体" w:cs="宋体"/>
                <w:color w:val="auto"/>
                <w:kern w:val="0"/>
                <w:sz w:val="24"/>
                <w:szCs w:val="24"/>
              </w:rPr>
              <w:t>2.4G</w:t>
            </w:r>
            <w:r>
              <w:rPr>
                <w:rFonts w:hint="eastAsia" w:ascii="宋体" w:hAnsi="宋体" w:cs="宋体"/>
                <w:color w:val="auto"/>
                <w:kern w:val="0"/>
                <w:sz w:val="24"/>
                <w:szCs w:val="24"/>
              </w:rPr>
              <w:t>射频支持</w:t>
            </w:r>
            <w:r>
              <w:rPr>
                <w:rFonts w:ascii="宋体" w:hAnsi="宋体" w:cs="宋体"/>
                <w:color w:val="auto"/>
                <w:kern w:val="0"/>
                <w:sz w:val="24"/>
                <w:szCs w:val="24"/>
              </w:rPr>
              <w:t>802.11ax 2x2 MU-MIMO</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、总空间流数≥</w:t>
            </w:r>
            <w:r>
              <w:rPr>
                <w:rFonts w:ascii="宋体" w:hAnsi="宋体" w:cs="宋体"/>
                <w:color w:val="auto"/>
                <w:kern w:val="0"/>
                <w:sz w:val="24"/>
                <w:szCs w:val="24"/>
              </w:rPr>
              <w:t>4</w:t>
            </w:r>
            <w:r>
              <w:rPr>
                <w:rFonts w:hint="eastAsia" w:ascii="宋体" w:hAnsi="宋体" w:cs="宋体"/>
                <w:color w:val="auto"/>
                <w:kern w:val="0"/>
                <w:sz w:val="24"/>
                <w:szCs w:val="24"/>
              </w:rPr>
              <w:t>；整机速率≥</w:t>
            </w:r>
            <w:r>
              <w:rPr>
                <w:rFonts w:ascii="宋体" w:hAnsi="宋体" w:cs="宋体"/>
                <w:color w:val="auto"/>
                <w:kern w:val="0"/>
                <w:sz w:val="24"/>
                <w:szCs w:val="24"/>
              </w:rPr>
              <w:t>1.7Gbps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、上行</w:t>
            </w:r>
            <w:r>
              <w:rPr>
                <w:rFonts w:ascii="宋体" w:hAnsi="宋体" w:cs="宋体"/>
                <w:color w:val="auto"/>
                <w:kern w:val="0"/>
                <w:sz w:val="24"/>
                <w:szCs w:val="24"/>
              </w:rPr>
              <w:t>1xGE</w:t>
            </w:r>
            <w:r>
              <w:rPr>
                <w:rFonts w:hint="eastAsia" w:ascii="宋体" w:hAnsi="宋体" w:cs="宋体"/>
                <w:color w:val="auto"/>
                <w:kern w:val="0"/>
                <w:sz w:val="24"/>
                <w:szCs w:val="24"/>
              </w:rPr>
              <w:t>电口，下行</w:t>
            </w:r>
            <w:r>
              <w:rPr>
                <w:rFonts w:ascii="宋体" w:hAnsi="宋体" w:cs="宋体"/>
                <w:color w:val="auto"/>
                <w:kern w:val="0"/>
                <w:sz w:val="24"/>
                <w:szCs w:val="24"/>
              </w:rPr>
              <w:t>4xGE</w:t>
            </w:r>
            <w:r>
              <w:rPr>
                <w:rFonts w:hint="eastAsia" w:ascii="宋体" w:hAnsi="宋体" w:cs="宋体"/>
                <w:color w:val="auto"/>
                <w:kern w:val="0"/>
                <w:sz w:val="24"/>
                <w:szCs w:val="24"/>
              </w:rPr>
              <w:t>电口</w:t>
            </w:r>
            <w:r>
              <w:rPr>
                <w:rFonts w:ascii="宋体" w:hAnsi="宋体" w:cs="宋体"/>
                <w:color w:val="auto"/>
                <w:kern w:val="0"/>
                <w:sz w:val="24"/>
                <w:szCs w:val="24"/>
              </w:rPr>
              <w:t>,2xRJ45</w:t>
            </w:r>
            <w:r>
              <w:rPr>
                <w:rFonts w:hint="eastAsia" w:ascii="宋体" w:hAnsi="宋体" w:cs="宋体"/>
                <w:color w:val="auto"/>
                <w:kern w:val="0"/>
                <w:sz w:val="24"/>
                <w:szCs w:val="24"/>
              </w:rPr>
              <w:t>透传口，内置智能天线，支持暗盒、挂墙安装方式，便于部署；</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、内置蓝牙</w:t>
            </w:r>
            <w:r>
              <w:rPr>
                <w:rFonts w:ascii="宋体" w:hAnsi="宋体" w:cs="宋体"/>
                <w:color w:val="auto"/>
                <w:kern w:val="0"/>
                <w:sz w:val="24"/>
                <w:szCs w:val="24"/>
              </w:rPr>
              <w:t>5.0</w:t>
            </w:r>
            <w:r>
              <w:rPr>
                <w:rFonts w:hint="eastAsia" w:ascii="宋体" w:hAnsi="宋体" w:cs="宋体"/>
                <w:color w:val="auto"/>
                <w:kern w:val="0"/>
                <w:sz w:val="24"/>
                <w:szCs w:val="24"/>
              </w:rPr>
              <w:t>，可用于蓝牙定位，支持蓝牙串口运维管理，提供证明文件；</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、支持最大接入用户数≥</w:t>
            </w:r>
            <w:r>
              <w:rPr>
                <w:rFonts w:ascii="宋体" w:hAnsi="宋体" w:cs="宋体"/>
                <w:color w:val="auto"/>
                <w:kern w:val="0"/>
                <w:sz w:val="24"/>
                <w:szCs w:val="24"/>
              </w:rPr>
              <w:t>1024</w:t>
            </w:r>
            <w:r>
              <w:rPr>
                <w:rFonts w:hint="eastAsia" w:ascii="宋体" w:hAnsi="宋体" w:cs="宋体"/>
                <w:color w:val="auto"/>
                <w:kern w:val="0"/>
                <w:sz w:val="24"/>
                <w:szCs w:val="24"/>
              </w:rPr>
              <w:t>个，提供第三方权威机构测试证明或截图；</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、支持射频自动调优功能，实时智能管理射频资源，支持</w:t>
            </w:r>
            <w:r>
              <w:rPr>
                <w:rFonts w:ascii="宋体" w:hAnsi="宋体" w:cs="宋体"/>
                <w:color w:val="auto"/>
                <w:kern w:val="0"/>
                <w:sz w:val="24"/>
                <w:szCs w:val="24"/>
              </w:rPr>
              <w:t>DC</w:t>
            </w:r>
            <w:r>
              <w:rPr>
                <w:rFonts w:hint="eastAsia" w:ascii="宋体" w:hAnsi="宋体" w:cs="宋体"/>
                <w:color w:val="auto"/>
                <w:kern w:val="0"/>
                <w:sz w:val="24"/>
                <w:szCs w:val="24"/>
              </w:rPr>
              <w:t>供电或</w:t>
            </w:r>
            <w:r>
              <w:rPr>
                <w:rFonts w:ascii="宋体" w:hAnsi="宋体" w:cs="宋体"/>
                <w:color w:val="auto"/>
                <w:kern w:val="0"/>
                <w:sz w:val="24"/>
                <w:szCs w:val="24"/>
              </w:rPr>
              <w:t>802.3at /af PoE</w:t>
            </w:r>
            <w:r>
              <w:rPr>
                <w:rFonts w:hint="eastAsia" w:ascii="宋体" w:hAnsi="宋体" w:cs="宋体"/>
                <w:color w:val="auto"/>
                <w:kern w:val="0"/>
                <w:sz w:val="24"/>
                <w:szCs w:val="24"/>
              </w:rPr>
              <w:t>供电；</w:t>
            </w:r>
          </w:p>
          <w:p>
            <w:pPr>
              <w:widowControl/>
              <w:jc w:val="left"/>
              <w:textAlignment w:val="center"/>
              <w:rPr>
                <w:rFonts w:ascii="宋体"/>
                <w:color w:val="auto"/>
                <w:sz w:val="24"/>
                <w:szCs w:val="24"/>
              </w:rPr>
            </w:pPr>
            <w:r>
              <w:rPr>
                <w:rFonts w:ascii="宋体" w:hAnsi="宋体" w:cs="宋体"/>
                <w:color w:val="auto"/>
                <w:kern w:val="0"/>
                <w:sz w:val="24"/>
                <w:szCs w:val="24"/>
              </w:rPr>
              <w:t>8</w:t>
            </w:r>
            <w:r>
              <w:rPr>
                <w:rFonts w:hint="eastAsia" w:ascii="宋体" w:hAnsi="宋体" w:cs="宋体"/>
                <w:color w:val="auto"/>
                <w:kern w:val="0"/>
                <w:sz w:val="24"/>
                <w:szCs w:val="24"/>
              </w:rPr>
              <w:t>、支持</w:t>
            </w:r>
            <w:r>
              <w:rPr>
                <w:rFonts w:ascii="宋体" w:hAnsi="宋体" w:cs="宋体"/>
                <w:color w:val="auto"/>
                <w:kern w:val="0"/>
                <w:sz w:val="24"/>
                <w:szCs w:val="24"/>
              </w:rPr>
              <w:t>FIT/FAT/</w:t>
            </w:r>
            <w:r>
              <w:rPr>
                <w:rFonts w:hint="eastAsia" w:ascii="宋体" w:hAnsi="宋体" w:cs="宋体"/>
                <w:color w:val="auto"/>
                <w:kern w:val="0"/>
                <w:sz w:val="24"/>
                <w:szCs w:val="24"/>
              </w:rPr>
              <w:t>云管理三种工作模式。</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5</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hint="eastAsia" w:ascii="宋体" w:hAnsi="宋体" w:cs="宋体"/>
                <w:color w:val="auto"/>
                <w:sz w:val="24"/>
                <w:szCs w:val="24"/>
              </w:rPr>
              <w:t>交换机</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、交换容量≥</w:t>
            </w:r>
            <w:r>
              <w:rPr>
                <w:rFonts w:ascii="宋体" w:hAnsi="宋体" w:cs="宋体"/>
                <w:color w:val="auto"/>
                <w:kern w:val="0"/>
                <w:sz w:val="24"/>
                <w:szCs w:val="24"/>
              </w:rPr>
              <w:t>336Gbps</w:t>
            </w:r>
            <w:r>
              <w:rPr>
                <w:rFonts w:hint="eastAsia" w:ascii="宋体" w:hAnsi="宋体" w:cs="宋体"/>
                <w:color w:val="auto"/>
                <w:kern w:val="0"/>
                <w:sz w:val="24"/>
                <w:szCs w:val="24"/>
              </w:rPr>
              <w:t>，包转发率≥</w:t>
            </w:r>
            <w:r>
              <w:rPr>
                <w:rFonts w:ascii="宋体" w:hAnsi="宋体" w:cs="宋体"/>
                <w:color w:val="auto"/>
                <w:kern w:val="0"/>
                <w:sz w:val="24"/>
                <w:szCs w:val="24"/>
              </w:rPr>
              <w:t>100Mpps</w:t>
            </w:r>
            <w:r>
              <w:rPr>
                <w:rFonts w:hint="eastAsia" w:ascii="宋体" w:hAnsi="宋体" w:cs="宋体"/>
                <w:color w:val="auto"/>
                <w:kern w:val="0"/>
                <w:sz w:val="24"/>
                <w:szCs w:val="24"/>
              </w:rPr>
              <w:t>，以官网最小值为准；</w:t>
            </w:r>
          </w:p>
          <w:p>
            <w:pPr>
              <w:widowControl/>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、整机实配：</w:t>
            </w:r>
            <w:r>
              <w:rPr>
                <w:rFonts w:ascii="宋体" w:hAnsi="宋体" w:cs="宋体"/>
                <w:color w:val="auto"/>
                <w:kern w:val="0"/>
                <w:sz w:val="24"/>
                <w:szCs w:val="24"/>
              </w:rPr>
              <w:t>24</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个万兆</w:t>
            </w:r>
            <w:r>
              <w:rPr>
                <w:rFonts w:ascii="宋体" w:hAnsi="宋体" w:cs="宋体"/>
                <w:color w:val="auto"/>
                <w:kern w:val="0"/>
                <w:sz w:val="24"/>
                <w:szCs w:val="24"/>
              </w:rPr>
              <w:t>SFP</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p>
          <w:p>
            <w:pPr>
              <w:widowControl/>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w:t>
            </w:r>
            <w:r>
              <w:rPr>
                <w:rFonts w:ascii="宋体" w:hAnsi="宋体" w:cs="宋体"/>
                <w:color w:val="auto"/>
                <w:kern w:val="0"/>
                <w:sz w:val="24"/>
                <w:szCs w:val="24"/>
              </w:rPr>
              <w:t>16K</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4K</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、支持二层和</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等三层特性，支持完善的以太</w:t>
            </w:r>
            <w:r>
              <w:rPr>
                <w:rFonts w:ascii="宋体" w:hAnsi="宋体" w:cs="宋体"/>
                <w:color w:val="auto"/>
                <w:kern w:val="0"/>
                <w:sz w:val="24"/>
                <w:szCs w:val="24"/>
              </w:rPr>
              <w:t xml:space="preserve"> OAM</w:t>
            </w:r>
            <w:r>
              <w:rPr>
                <w:rFonts w:hint="eastAsia" w:ascii="宋体" w:hAnsi="宋体" w:cs="宋体"/>
                <w:color w:val="auto"/>
                <w:kern w:val="0"/>
                <w:sz w:val="24"/>
                <w:szCs w:val="24"/>
              </w:rPr>
              <w:t>（</w:t>
            </w:r>
            <w:r>
              <w:rPr>
                <w:rFonts w:ascii="宋体" w:hAnsi="宋体" w:cs="宋体"/>
                <w:color w:val="auto"/>
                <w:kern w:val="0"/>
                <w:sz w:val="24"/>
                <w:szCs w:val="24"/>
              </w:rPr>
              <w:t>IEEE 802.3ah/802.1ag</w:t>
            </w:r>
            <w:r>
              <w:rPr>
                <w:rFonts w:hint="eastAsia" w:ascii="宋体" w:hAnsi="宋体" w:cs="宋体"/>
                <w:color w:val="auto"/>
                <w:kern w:val="0"/>
                <w:sz w:val="24"/>
                <w:szCs w:val="24"/>
              </w:rPr>
              <w:t>），用于快速检测链路故障</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SNMP v1/v2c/v3</w:t>
            </w:r>
            <w:r>
              <w:rPr>
                <w:rFonts w:hint="eastAsia" w:ascii="宋体" w:hAnsi="宋体" w:cs="宋体"/>
                <w:color w:val="auto"/>
                <w:kern w:val="0"/>
                <w:sz w:val="24"/>
                <w:szCs w:val="24"/>
              </w:rPr>
              <w:t>、</w:t>
            </w:r>
            <w:r>
              <w:rPr>
                <w:rFonts w:ascii="宋体" w:hAnsi="宋体" w:cs="宋体"/>
                <w:color w:val="auto"/>
                <w:kern w:val="0"/>
                <w:sz w:val="24"/>
                <w:szCs w:val="24"/>
              </w:rPr>
              <w:t>CLI</w:t>
            </w:r>
            <w:r>
              <w:rPr>
                <w:rFonts w:hint="eastAsia" w:ascii="宋体" w:hAnsi="宋体" w:cs="宋体"/>
                <w:color w:val="auto"/>
                <w:kern w:val="0"/>
                <w:sz w:val="24"/>
                <w:szCs w:val="24"/>
              </w:rPr>
              <w:t>（命令行）、</w:t>
            </w:r>
            <w:r>
              <w:rPr>
                <w:rFonts w:ascii="宋体" w:hAnsi="宋体" w:cs="宋体"/>
                <w:color w:val="auto"/>
                <w:kern w:val="0"/>
                <w:sz w:val="24"/>
                <w:szCs w:val="24"/>
              </w:rPr>
              <w:t xml:space="preserve">Web </w:t>
            </w:r>
            <w:r>
              <w:rPr>
                <w:rFonts w:hint="eastAsia" w:ascii="宋体" w:hAnsi="宋体" w:cs="宋体"/>
                <w:color w:val="auto"/>
                <w:kern w:val="0"/>
                <w:sz w:val="24"/>
                <w:szCs w:val="24"/>
              </w:rPr>
              <w:t>网管、</w:t>
            </w:r>
            <w:r>
              <w:rPr>
                <w:rFonts w:ascii="宋体" w:hAnsi="宋体" w:cs="宋体"/>
                <w:color w:val="auto"/>
                <w:kern w:val="0"/>
                <w:sz w:val="24"/>
                <w:szCs w:val="24"/>
              </w:rPr>
              <w:t xml:space="preserve">SSHv2.0 </w:t>
            </w:r>
            <w:r>
              <w:rPr>
                <w:rFonts w:hint="eastAsia" w:ascii="宋体" w:hAnsi="宋体" w:cs="宋体"/>
                <w:color w:val="auto"/>
                <w:kern w:val="0"/>
                <w:sz w:val="24"/>
                <w:szCs w:val="24"/>
              </w:rPr>
              <w:t>等多样化的管理和维护方式；</w:t>
            </w:r>
          </w:p>
          <w:p>
            <w:pPr>
              <w:widowControl/>
              <w:jc w:val="left"/>
              <w:textAlignment w:val="center"/>
              <w:rPr>
                <w:rFonts w:ascii="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IPv4 FIB</w:t>
            </w:r>
            <w:r>
              <w:rPr>
                <w:rFonts w:hint="eastAsia" w:ascii="宋体" w:hAnsi="宋体" w:cs="宋体"/>
                <w:color w:val="auto"/>
                <w:kern w:val="0"/>
                <w:sz w:val="24"/>
                <w:szCs w:val="24"/>
              </w:rPr>
              <w:t>表项≥</w:t>
            </w:r>
            <w:r>
              <w:rPr>
                <w:rFonts w:ascii="宋体" w:hAnsi="宋体" w:cs="宋体"/>
                <w:color w:val="auto"/>
                <w:kern w:val="0"/>
                <w:sz w:val="24"/>
                <w:szCs w:val="24"/>
              </w:rPr>
              <w:t>4K</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6</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sz w:val="24"/>
                <w:szCs w:val="24"/>
              </w:rPr>
            </w:pPr>
            <w:r>
              <w:rPr>
                <w:rFonts w:ascii="宋体" w:hAnsi="宋体" w:cs="宋体"/>
                <w:color w:val="auto"/>
                <w:sz w:val="24"/>
                <w:szCs w:val="24"/>
              </w:rPr>
              <w:t>55</w:t>
            </w:r>
            <w:r>
              <w:rPr>
                <w:rFonts w:hint="eastAsia" w:ascii="宋体" w:hAnsi="宋体" w:cs="宋体"/>
                <w:color w:val="auto"/>
                <w:sz w:val="24"/>
                <w:szCs w:val="24"/>
              </w:rPr>
              <w:t>寸液晶拼接屏</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、拼缝：</w:t>
            </w:r>
            <w:r>
              <w:rPr>
                <w:rFonts w:ascii="宋体" w:hAnsi="宋体" w:cs="宋体"/>
                <w:color w:val="auto"/>
                <w:kern w:val="0"/>
                <w:sz w:val="24"/>
                <w:szCs w:val="24"/>
              </w:rPr>
              <w:t>1.7mm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、背光亮度：</w:t>
            </w:r>
            <w:r>
              <w:rPr>
                <w:rFonts w:ascii="宋体" w:hAnsi="宋体" w:cs="宋体"/>
                <w:color w:val="auto"/>
                <w:kern w:val="0"/>
                <w:sz w:val="24"/>
                <w:szCs w:val="24"/>
              </w:rPr>
              <w:t>500cd/</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分辨率</w:t>
            </w:r>
            <w:r>
              <w:rPr>
                <w:rFonts w:ascii="宋体" w:hAnsi="宋体" w:cs="宋体"/>
                <w:color w:val="auto"/>
                <w:kern w:val="0"/>
                <w:sz w:val="24"/>
                <w:szCs w:val="24"/>
              </w:rPr>
              <w:t>:1920X1080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、寿命：</w:t>
            </w:r>
            <w:r>
              <w:rPr>
                <w:rFonts w:ascii="宋体" w:hAnsi="宋体" w:cs="宋体"/>
                <w:color w:val="auto"/>
                <w:kern w:val="0"/>
                <w:sz w:val="24"/>
                <w:szCs w:val="24"/>
              </w:rPr>
              <w:t>100000</w:t>
            </w:r>
            <w:r>
              <w:rPr>
                <w:rFonts w:hint="eastAsia" w:ascii="宋体" w:hAnsi="宋体" w:cs="宋体"/>
                <w:color w:val="auto"/>
                <w:kern w:val="0"/>
                <w:sz w:val="24"/>
                <w:szCs w:val="24"/>
              </w:rPr>
              <w:t>小时；</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、比例：</w:t>
            </w:r>
            <w:r>
              <w:rPr>
                <w:rFonts w:ascii="宋体" w:hAnsi="宋体" w:cs="宋体"/>
                <w:color w:val="auto"/>
                <w:kern w:val="0"/>
                <w:sz w:val="24"/>
                <w:szCs w:val="24"/>
              </w:rPr>
              <w:t>16:9</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、对比度</w:t>
            </w:r>
            <w:r>
              <w:rPr>
                <w:rFonts w:ascii="宋体" w:hAnsi="宋体" w:cs="宋体"/>
                <w:color w:val="auto"/>
                <w:kern w:val="0"/>
                <w:sz w:val="24"/>
                <w:szCs w:val="24"/>
              </w:rPr>
              <w:t>:4500:1</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、可视角度</w:t>
            </w:r>
            <w:r>
              <w:rPr>
                <w:rFonts w:ascii="宋体" w:hAnsi="宋体" w:cs="宋体"/>
                <w:color w:val="auto"/>
                <w:kern w:val="0"/>
                <w:sz w:val="24"/>
                <w:szCs w:val="24"/>
              </w:rPr>
              <w:t>:179</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、响应时间：</w:t>
            </w:r>
            <w:r>
              <w:rPr>
                <w:rFonts w:ascii="宋体" w:hAnsi="宋体" w:cs="宋体"/>
                <w:color w:val="auto"/>
                <w:kern w:val="0"/>
                <w:sz w:val="24"/>
                <w:szCs w:val="24"/>
              </w:rPr>
              <w:t>6ms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、显示色彩：</w:t>
            </w:r>
            <w:r>
              <w:rPr>
                <w:rFonts w:ascii="宋体" w:hAnsi="宋体" w:cs="宋体"/>
                <w:color w:val="auto"/>
                <w:kern w:val="0"/>
                <w:sz w:val="24"/>
                <w:szCs w:val="24"/>
              </w:rPr>
              <w:t>16.7M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9</w:t>
            </w:r>
            <w:r>
              <w:rPr>
                <w:rFonts w:hint="eastAsia" w:ascii="宋体" w:hAnsi="宋体" w:cs="宋体"/>
                <w:color w:val="auto"/>
                <w:kern w:val="0"/>
                <w:sz w:val="24"/>
                <w:szCs w:val="24"/>
              </w:rPr>
              <w:t>、接口类型</w:t>
            </w:r>
            <w:r>
              <w:rPr>
                <w:rFonts w:ascii="宋体" w:hAnsi="宋体" w:cs="宋体"/>
                <w:color w:val="auto"/>
                <w:kern w:val="0"/>
                <w:sz w:val="24"/>
                <w:szCs w:val="24"/>
              </w:rPr>
              <w:t>:HDMI/DVI/VGA/VIDEO/</w:t>
            </w:r>
            <w:r>
              <w:rPr>
                <w:rFonts w:hint="eastAsia" w:ascii="宋体" w:hAnsi="宋体" w:cs="宋体"/>
                <w:color w:val="auto"/>
                <w:kern w:val="0"/>
                <w:sz w:val="24"/>
                <w:szCs w:val="24"/>
              </w:rPr>
              <w:t>串口；</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10</w:t>
            </w:r>
            <w:r>
              <w:rPr>
                <w:rFonts w:hint="eastAsia" w:ascii="宋体" w:hAnsi="宋体" w:cs="宋体"/>
                <w:color w:val="auto"/>
                <w:kern w:val="0"/>
                <w:sz w:val="24"/>
                <w:szCs w:val="24"/>
              </w:rPr>
              <w:t>、功耗：</w:t>
            </w:r>
            <w:r>
              <w:rPr>
                <w:rFonts w:ascii="宋体" w:hAnsi="宋体" w:cs="宋体"/>
                <w:color w:val="auto"/>
                <w:kern w:val="0"/>
                <w:sz w:val="24"/>
                <w:szCs w:val="24"/>
              </w:rPr>
              <w:t>198W</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11</w:t>
            </w:r>
            <w:r>
              <w:rPr>
                <w:rFonts w:hint="eastAsia" w:ascii="宋体" w:hAnsi="宋体" w:cs="宋体"/>
                <w:color w:val="auto"/>
                <w:kern w:val="0"/>
                <w:sz w:val="24"/>
                <w:szCs w:val="24"/>
              </w:rPr>
              <w:t>、电源：</w:t>
            </w:r>
            <w:r>
              <w:rPr>
                <w:rFonts w:ascii="宋体" w:hAnsi="宋体" w:cs="宋体"/>
                <w:color w:val="auto"/>
                <w:kern w:val="0"/>
                <w:sz w:val="24"/>
                <w:szCs w:val="24"/>
              </w:rPr>
              <w:t>AC100V-240V, 50/60Hz</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、尺寸：</w:t>
            </w:r>
            <w:r>
              <w:rPr>
                <w:rFonts w:ascii="宋体" w:hAnsi="宋体" w:cs="宋体"/>
                <w:color w:val="auto"/>
                <w:kern w:val="0"/>
                <w:sz w:val="24"/>
                <w:szCs w:val="24"/>
              </w:rPr>
              <w:t>1213mm</w:t>
            </w:r>
            <w:r>
              <w:rPr>
                <w:rFonts w:hint="eastAsia" w:ascii="宋体" w:hAnsi="宋体" w:cs="宋体"/>
                <w:color w:val="auto"/>
                <w:kern w:val="0"/>
                <w:sz w:val="24"/>
                <w:szCs w:val="24"/>
              </w:rPr>
              <w:t>×</w:t>
            </w:r>
            <w:r>
              <w:rPr>
                <w:rFonts w:ascii="宋体" w:hAnsi="宋体" w:cs="宋体"/>
                <w:color w:val="auto"/>
                <w:kern w:val="0"/>
                <w:sz w:val="24"/>
                <w:szCs w:val="24"/>
              </w:rPr>
              <w:t>682.34mm</w:t>
            </w:r>
            <w:r>
              <w:rPr>
                <w:rFonts w:hint="eastAsia" w:ascii="宋体" w:hAnsi="宋体" w:cs="宋体"/>
                <w:color w:val="auto"/>
                <w:kern w:val="0"/>
                <w:sz w:val="24"/>
                <w:szCs w:val="24"/>
              </w:rPr>
              <w:t>×</w:t>
            </w:r>
            <w:r>
              <w:rPr>
                <w:rFonts w:ascii="宋体" w:hAnsi="宋体" w:cs="宋体"/>
                <w:color w:val="auto"/>
                <w:kern w:val="0"/>
                <w:sz w:val="24"/>
                <w:szCs w:val="24"/>
              </w:rPr>
              <w:t>86mm</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15</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7</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内置拼接处理器</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具有信号智能补偿功能，保证真实还原图像信号，并完整环出到下一级单元，无论多少级信号环接，均能保证画面细腻清晰如一，以屏体为单位实现单屏、组合屏、全屏显示功能、与拼接屏同一厂家。</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15</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8</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大屏显示系统控制软件</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可以将大屏幕设备的配置、参数以及用户的日常应用（包括信源、预案、通道、窗口等）信息以文件方式进行备份。采用中文操作控制维护界面，所有指标均在同一套控制软件上统一实现，持用户硬件调试，系统备份，信源，窗口，场景，模式电源管理。支持</w:t>
            </w:r>
            <w:r>
              <w:rPr>
                <w:rFonts w:ascii="宋体" w:hAnsi="宋体" w:cs="宋体"/>
                <w:color w:val="auto"/>
                <w:kern w:val="0"/>
                <w:sz w:val="24"/>
                <w:szCs w:val="24"/>
              </w:rPr>
              <w:t xml:space="preserve"> TCP/IP</w:t>
            </w:r>
            <w:r>
              <w:rPr>
                <w:rFonts w:hint="eastAsia" w:ascii="宋体" w:hAnsi="宋体" w:cs="宋体"/>
                <w:color w:val="auto"/>
                <w:kern w:val="0"/>
                <w:sz w:val="24"/>
                <w:szCs w:val="24"/>
              </w:rPr>
              <w:t>、</w:t>
            </w:r>
            <w:r>
              <w:rPr>
                <w:rFonts w:ascii="宋体" w:hAnsi="宋体" w:cs="宋体"/>
                <w:color w:val="auto"/>
                <w:kern w:val="0"/>
                <w:sz w:val="24"/>
                <w:szCs w:val="24"/>
              </w:rPr>
              <w:t>RS232</w:t>
            </w:r>
            <w:r>
              <w:rPr>
                <w:rFonts w:hint="eastAsia" w:ascii="宋体" w:hAnsi="宋体" w:cs="宋体"/>
                <w:color w:val="auto"/>
                <w:kern w:val="0"/>
                <w:sz w:val="24"/>
                <w:szCs w:val="24"/>
              </w:rPr>
              <w:t>等不同的通信协议，实现不同厂家设备通信协议的统一调用，可以消除因拼接单元之间的物理缝隙。</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9</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高清处理器</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、硬件特性</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1.1</w:t>
            </w:r>
            <w:r>
              <w:rPr>
                <w:rFonts w:hint="eastAsia" w:ascii="宋体" w:hAnsi="宋体" w:cs="宋体"/>
                <w:color w:val="auto"/>
                <w:kern w:val="0"/>
                <w:sz w:val="24"/>
                <w:szCs w:val="24"/>
              </w:rPr>
              <w:t>设备应为纯硬件</w:t>
            </w:r>
            <w:r>
              <w:rPr>
                <w:rFonts w:ascii="宋体" w:hAnsi="宋体" w:cs="宋体"/>
                <w:color w:val="auto"/>
                <w:kern w:val="0"/>
                <w:sz w:val="24"/>
                <w:szCs w:val="24"/>
              </w:rPr>
              <w:t>FPGA</w:t>
            </w:r>
            <w:r>
              <w:rPr>
                <w:rFonts w:hint="eastAsia" w:ascii="宋体" w:hAnsi="宋体" w:cs="宋体"/>
                <w:color w:val="auto"/>
                <w:kern w:val="0"/>
                <w:sz w:val="24"/>
                <w:szCs w:val="24"/>
              </w:rPr>
              <w:t>架构</w:t>
            </w:r>
            <w:r>
              <w:rPr>
                <w:rFonts w:ascii="宋体" w:hAnsi="宋体" w:cs="宋体"/>
                <w:color w:val="auto"/>
                <w:kern w:val="0"/>
                <w:sz w:val="24"/>
                <w:szCs w:val="24"/>
              </w:rPr>
              <w:t>,CrossPoint</w:t>
            </w:r>
            <w:r>
              <w:rPr>
                <w:rFonts w:hint="eastAsia" w:ascii="宋体" w:hAnsi="宋体" w:cs="宋体"/>
                <w:color w:val="auto"/>
                <w:kern w:val="0"/>
                <w:sz w:val="24"/>
                <w:szCs w:val="24"/>
              </w:rPr>
              <w:t>全总线交换技术</w:t>
            </w:r>
            <w:r>
              <w:rPr>
                <w:rFonts w:ascii="宋体" w:cs="宋体"/>
                <w:color w:val="auto"/>
                <w:kern w:val="0"/>
                <w:sz w:val="24"/>
                <w:szCs w:val="24"/>
              </w:rPr>
              <w:t>,</w:t>
            </w:r>
            <w:r>
              <w:rPr>
                <w:rFonts w:hint="eastAsia" w:ascii="宋体" w:hAnsi="宋体" w:cs="宋体"/>
                <w:color w:val="auto"/>
                <w:kern w:val="0"/>
                <w:sz w:val="24"/>
                <w:szCs w:val="24"/>
              </w:rPr>
              <w:t>背板等效带宽</w:t>
            </w:r>
            <w:r>
              <w:rPr>
                <w:rFonts w:ascii="宋体" w:cs="宋体"/>
                <w:color w:val="auto"/>
                <w:kern w:val="0"/>
                <w:sz w:val="24"/>
                <w:szCs w:val="24"/>
              </w:rPr>
              <w:t>,</w:t>
            </w:r>
            <w:r>
              <w:rPr>
                <w:rFonts w:hint="eastAsia" w:ascii="宋体" w:hAnsi="宋体" w:cs="宋体"/>
                <w:color w:val="auto"/>
                <w:kern w:val="0"/>
                <w:sz w:val="24"/>
                <w:szCs w:val="24"/>
              </w:rPr>
              <w:t>不能内置</w:t>
            </w:r>
            <w:r>
              <w:rPr>
                <w:rFonts w:ascii="宋体" w:hAnsi="宋体" w:cs="宋体"/>
                <w:color w:val="auto"/>
                <w:kern w:val="0"/>
                <w:sz w:val="24"/>
                <w:szCs w:val="24"/>
              </w:rPr>
              <w:t>PC/X86/X64</w:t>
            </w:r>
            <w:r>
              <w:rPr>
                <w:rFonts w:hint="eastAsia" w:ascii="宋体" w:hAnsi="宋体" w:cs="宋体"/>
                <w:color w:val="auto"/>
                <w:kern w:val="0"/>
                <w:sz w:val="24"/>
                <w:szCs w:val="24"/>
              </w:rPr>
              <w:t>架构硬件，以避免</w:t>
            </w:r>
            <w:r>
              <w:rPr>
                <w:rFonts w:ascii="宋体" w:hAnsi="宋体" w:cs="宋体"/>
                <w:color w:val="auto"/>
                <w:kern w:val="0"/>
                <w:sz w:val="24"/>
                <w:szCs w:val="24"/>
              </w:rPr>
              <w:t>X86/X64</w:t>
            </w:r>
            <w:r>
              <w:rPr>
                <w:rFonts w:hint="eastAsia" w:ascii="宋体" w:hAnsi="宋体" w:cs="宋体"/>
                <w:color w:val="auto"/>
                <w:kern w:val="0"/>
                <w:sz w:val="24"/>
                <w:szCs w:val="24"/>
              </w:rPr>
              <w:t>架构天然存在的计算可靠性和准确性缺陷以及设备运行不稳定问题；</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1.2</w:t>
            </w:r>
            <w:r>
              <w:rPr>
                <w:rFonts w:hint="eastAsia" w:ascii="宋体" w:hAnsi="宋体" w:cs="宋体"/>
                <w:color w:val="auto"/>
                <w:kern w:val="0"/>
                <w:sz w:val="24"/>
                <w:szCs w:val="24"/>
              </w:rPr>
              <w:t>单张板卡支持</w:t>
            </w:r>
            <w:r>
              <w:rPr>
                <w:rFonts w:ascii="宋体" w:hAnsi="宋体" w:cs="宋体"/>
                <w:color w:val="auto"/>
                <w:kern w:val="0"/>
                <w:sz w:val="24"/>
                <w:szCs w:val="24"/>
              </w:rPr>
              <w:t>4</w:t>
            </w:r>
            <w:r>
              <w:rPr>
                <w:rFonts w:hint="eastAsia" w:ascii="宋体" w:hAnsi="宋体" w:cs="宋体"/>
                <w:color w:val="auto"/>
                <w:kern w:val="0"/>
                <w:sz w:val="24"/>
                <w:szCs w:val="24"/>
              </w:rPr>
              <w:t>通道输入或输出，紧凑型机箱；</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1.3</w:t>
            </w:r>
            <w:r>
              <w:rPr>
                <w:rFonts w:hint="eastAsia" w:ascii="宋体" w:hAnsi="宋体" w:cs="宋体"/>
                <w:color w:val="auto"/>
                <w:kern w:val="0"/>
                <w:sz w:val="24"/>
                <w:szCs w:val="24"/>
              </w:rPr>
              <w:t>输入输出板卡可热插拔，在不断电情况下进行更换；</w:t>
            </w:r>
            <w:r>
              <w:rPr>
                <w:rFonts w:ascii="宋体" w:hAnsi="宋体" w:cs="宋体"/>
                <w:color w:val="auto"/>
                <w:kern w:val="0"/>
                <w:sz w:val="24"/>
                <w:szCs w:val="24"/>
              </w:rPr>
              <w:t xml:space="preserve"> </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1.4</w:t>
            </w:r>
            <w:r>
              <w:rPr>
                <w:rFonts w:hint="eastAsia" w:ascii="宋体" w:hAnsi="宋体" w:cs="宋体"/>
                <w:color w:val="auto"/>
                <w:kern w:val="0"/>
                <w:sz w:val="24"/>
                <w:szCs w:val="24"/>
              </w:rPr>
              <w:t>开机时间≤</w:t>
            </w:r>
            <w:r>
              <w:rPr>
                <w:rFonts w:ascii="宋体" w:hAnsi="宋体" w:cs="宋体"/>
                <w:color w:val="auto"/>
                <w:kern w:val="0"/>
                <w:sz w:val="24"/>
                <w:szCs w:val="24"/>
              </w:rPr>
              <w:t>10s</w:t>
            </w:r>
            <w:r>
              <w:rPr>
                <w:rFonts w:hint="eastAsia" w:ascii="宋体" w:hAnsi="宋体" w:cs="宋体"/>
                <w:color w:val="auto"/>
                <w:kern w:val="0"/>
                <w:sz w:val="24"/>
                <w:szCs w:val="24"/>
              </w:rPr>
              <w:t>，启动电源至输出最总画面的时间间隔；</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1.5</w:t>
            </w:r>
            <w:r>
              <w:rPr>
                <w:rFonts w:hint="eastAsia" w:ascii="宋体" w:hAnsi="宋体" w:cs="宋体"/>
                <w:color w:val="auto"/>
                <w:kern w:val="0"/>
                <w:sz w:val="24"/>
                <w:szCs w:val="24"/>
              </w:rPr>
              <w:t>平均故障时间间隔（</w:t>
            </w:r>
            <w:r>
              <w:rPr>
                <w:rFonts w:ascii="宋体" w:hAnsi="宋体" w:cs="宋体"/>
                <w:color w:val="auto"/>
                <w:kern w:val="0"/>
                <w:sz w:val="24"/>
                <w:szCs w:val="24"/>
              </w:rPr>
              <w:t>MTBF</w:t>
            </w:r>
            <w:r>
              <w:rPr>
                <w:rFonts w:hint="eastAsia" w:ascii="宋体" w:hAnsi="宋体" w:cs="宋体"/>
                <w:color w:val="auto"/>
                <w:kern w:val="0"/>
                <w:sz w:val="24"/>
                <w:szCs w:val="24"/>
              </w:rPr>
              <w:t>）不小于</w:t>
            </w:r>
            <w:r>
              <w:rPr>
                <w:rFonts w:ascii="宋体" w:hAnsi="宋体" w:cs="宋体"/>
                <w:color w:val="auto"/>
                <w:kern w:val="0"/>
                <w:sz w:val="24"/>
                <w:szCs w:val="24"/>
              </w:rPr>
              <w:t>96000</w:t>
            </w:r>
            <w:r>
              <w:rPr>
                <w:rFonts w:hint="eastAsia" w:ascii="宋体" w:hAnsi="宋体" w:cs="宋体"/>
                <w:color w:val="auto"/>
                <w:kern w:val="0"/>
                <w:sz w:val="24"/>
                <w:szCs w:val="24"/>
              </w:rPr>
              <w:t>小时，保证设备能够稳定运行；</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1.6</w:t>
            </w:r>
            <w:r>
              <w:rPr>
                <w:rFonts w:hint="eastAsia" w:ascii="宋体" w:hAnsi="宋体" w:cs="宋体"/>
                <w:color w:val="auto"/>
                <w:kern w:val="0"/>
                <w:sz w:val="24"/>
                <w:szCs w:val="24"/>
              </w:rPr>
              <w:t>输入板卡热插拔恢复时间＜</w:t>
            </w:r>
            <w:r>
              <w:rPr>
                <w:rFonts w:ascii="宋体" w:hAnsi="宋体" w:cs="宋体"/>
                <w:color w:val="auto"/>
                <w:kern w:val="0"/>
                <w:sz w:val="24"/>
                <w:szCs w:val="24"/>
              </w:rPr>
              <w:t>2s</w:t>
            </w:r>
            <w:r>
              <w:rPr>
                <w:rFonts w:hint="eastAsia" w:ascii="宋体" w:hAnsi="宋体" w:cs="宋体"/>
                <w:color w:val="auto"/>
                <w:kern w:val="0"/>
                <w:sz w:val="24"/>
                <w:szCs w:val="24"/>
              </w:rPr>
              <w:t>，输出板卡热插拔恢复时间＜</w:t>
            </w:r>
            <w:r>
              <w:rPr>
                <w:rFonts w:ascii="宋体" w:hAnsi="宋体" w:cs="宋体"/>
                <w:color w:val="auto"/>
                <w:kern w:val="0"/>
                <w:sz w:val="24"/>
                <w:szCs w:val="24"/>
              </w:rPr>
              <w:t>8s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1.7</w:t>
            </w:r>
            <w:r>
              <w:rPr>
                <w:rFonts w:hint="eastAsia" w:ascii="宋体" w:hAnsi="宋体" w:cs="宋体"/>
                <w:color w:val="auto"/>
                <w:kern w:val="0"/>
                <w:sz w:val="24"/>
                <w:szCs w:val="24"/>
              </w:rPr>
              <w:t>对各个输入通道采用纯硬件处理技术，采用独享带宽方式为每个输入通道分配带宽，切换过程中对其他信号无影响，实现了对输入通道的实时处理功能。</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、技术指标</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w:t>
            </w:r>
            <w:r>
              <w:rPr>
                <w:rFonts w:hint="eastAsia" w:ascii="宋体" w:hAnsi="宋体" w:cs="宋体"/>
                <w:color w:val="auto"/>
                <w:kern w:val="0"/>
                <w:sz w:val="24"/>
                <w:szCs w:val="24"/>
              </w:rPr>
              <w:t>支持集中采集</w:t>
            </w:r>
            <w:r>
              <w:rPr>
                <w:rFonts w:ascii="宋体" w:hAnsi="宋体" w:cs="宋体"/>
                <w:color w:val="auto"/>
                <w:kern w:val="0"/>
                <w:sz w:val="24"/>
                <w:szCs w:val="24"/>
              </w:rPr>
              <w:t>DVI</w:t>
            </w:r>
            <w:r>
              <w:rPr>
                <w:rFonts w:hint="eastAsia" w:ascii="宋体" w:hAnsi="宋体" w:cs="宋体"/>
                <w:color w:val="auto"/>
                <w:kern w:val="0"/>
                <w:sz w:val="24"/>
                <w:szCs w:val="24"/>
              </w:rPr>
              <w:t>、</w:t>
            </w:r>
            <w:r>
              <w:rPr>
                <w:rFonts w:ascii="宋体" w:hAnsi="宋体" w:cs="宋体"/>
                <w:color w:val="auto"/>
                <w:kern w:val="0"/>
                <w:sz w:val="24"/>
                <w:szCs w:val="24"/>
              </w:rPr>
              <w:t>HDMI2k</w:t>
            </w:r>
            <w:r>
              <w:rPr>
                <w:rFonts w:hint="eastAsia" w:ascii="宋体" w:hAnsi="宋体" w:cs="宋体"/>
                <w:color w:val="auto"/>
                <w:kern w:val="0"/>
                <w:sz w:val="24"/>
                <w:szCs w:val="24"/>
              </w:rPr>
              <w:t>信号；</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2.2</w:t>
            </w:r>
            <w:r>
              <w:rPr>
                <w:rFonts w:hint="eastAsia" w:ascii="宋体" w:hAnsi="宋体" w:cs="宋体"/>
                <w:color w:val="auto"/>
                <w:kern w:val="0"/>
                <w:sz w:val="24"/>
                <w:szCs w:val="24"/>
              </w:rPr>
              <w:t>支持</w:t>
            </w:r>
            <w:r>
              <w:rPr>
                <w:rFonts w:ascii="宋体" w:hAnsi="宋体" w:cs="宋体"/>
                <w:color w:val="auto"/>
                <w:kern w:val="0"/>
                <w:sz w:val="24"/>
                <w:szCs w:val="24"/>
              </w:rPr>
              <w:t>DVI</w:t>
            </w:r>
            <w:r>
              <w:rPr>
                <w:rFonts w:hint="eastAsia" w:ascii="宋体" w:hAnsi="宋体" w:cs="宋体"/>
                <w:color w:val="auto"/>
                <w:kern w:val="0"/>
                <w:sz w:val="24"/>
                <w:szCs w:val="24"/>
              </w:rPr>
              <w:t>、</w:t>
            </w:r>
            <w:r>
              <w:rPr>
                <w:rFonts w:ascii="宋体" w:hAnsi="宋体" w:cs="宋体"/>
                <w:color w:val="auto"/>
                <w:kern w:val="0"/>
                <w:sz w:val="24"/>
                <w:szCs w:val="24"/>
              </w:rPr>
              <w:t>HDMI</w:t>
            </w:r>
            <w:r>
              <w:rPr>
                <w:rFonts w:hint="eastAsia" w:ascii="宋体" w:hAnsi="宋体" w:cs="宋体"/>
                <w:color w:val="auto"/>
                <w:kern w:val="0"/>
                <w:sz w:val="24"/>
                <w:szCs w:val="24"/>
              </w:rPr>
              <w:t>、的</w:t>
            </w:r>
            <w:r>
              <w:rPr>
                <w:rFonts w:ascii="宋体" w:hAnsi="宋体" w:cs="宋体"/>
                <w:color w:val="auto"/>
                <w:kern w:val="0"/>
                <w:sz w:val="24"/>
                <w:szCs w:val="24"/>
              </w:rPr>
              <w:t>2K</w:t>
            </w:r>
            <w:r>
              <w:rPr>
                <w:rFonts w:hint="eastAsia" w:ascii="宋体" w:hAnsi="宋体" w:cs="宋体"/>
                <w:color w:val="auto"/>
                <w:kern w:val="0"/>
                <w:sz w:val="24"/>
                <w:szCs w:val="24"/>
              </w:rPr>
              <w:t>信号输出；</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2.3</w:t>
            </w:r>
            <w:r>
              <w:rPr>
                <w:rFonts w:hint="eastAsia" w:ascii="宋体" w:hAnsi="宋体" w:cs="宋体"/>
                <w:color w:val="auto"/>
                <w:kern w:val="0"/>
                <w:sz w:val="24"/>
                <w:szCs w:val="24"/>
              </w:rPr>
              <w:t>单台设备最大规模支持</w:t>
            </w:r>
            <w:r>
              <w:rPr>
                <w:rFonts w:ascii="宋体" w:hAnsi="宋体" w:cs="宋体"/>
                <w:color w:val="auto"/>
                <w:kern w:val="0"/>
                <w:sz w:val="24"/>
                <w:szCs w:val="24"/>
              </w:rPr>
              <w:t>32</w:t>
            </w:r>
            <w:r>
              <w:rPr>
                <w:rFonts w:hint="eastAsia" w:ascii="宋体" w:hAnsi="宋体" w:cs="宋体"/>
                <w:color w:val="auto"/>
                <w:kern w:val="0"/>
                <w:sz w:val="24"/>
                <w:szCs w:val="24"/>
              </w:rPr>
              <w:t>路高清输入，</w:t>
            </w:r>
            <w:r>
              <w:rPr>
                <w:rFonts w:ascii="宋体" w:hAnsi="宋体" w:cs="宋体"/>
                <w:color w:val="auto"/>
                <w:kern w:val="0"/>
                <w:sz w:val="24"/>
                <w:szCs w:val="24"/>
              </w:rPr>
              <w:t>32</w:t>
            </w:r>
            <w:r>
              <w:rPr>
                <w:rFonts w:hint="eastAsia" w:ascii="宋体" w:hAnsi="宋体" w:cs="宋体"/>
                <w:color w:val="auto"/>
                <w:kern w:val="0"/>
                <w:sz w:val="24"/>
                <w:szCs w:val="24"/>
              </w:rPr>
              <w:t>路高清输出，均不需要设备级联；</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2.4</w:t>
            </w:r>
            <w:r>
              <w:rPr>
                <w:rFonts w:hint="eastAsia" w:ascii="宋体" w:hAnsi="宋体" w:cs="宋体"/>
                <w:color w:val="auto"/>
                <w:kern w:val="0"/>
                <w:sz w:val="24"/>
                <w:szCs w:val="24"/>
              </w:rPr>
              <w:t>设备可实现任意一路画面的任意比例缩放、漫游、跨屏、叠加、开窗；</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2.5</w:t>
            </w:r>
            <w:r>
              <w:rPr>
                <w:rFonts w:hint="eastAsia" w:ascii="宋体" w:hAnsi="宋体" w:cs="宋体"/>
                <w:color w:val="auto"/>
                <w:kern w:val="0"/>
                <w:sz w:val="24"/>
                <w:szCs w:val="24"/>
              </w:rPr>
              <w:t>设备支持图像无缝实时切换功能（图像切换间隔无黑场、无延时），无缝切换时间＜</w:t>
            </w:r>
            <w:r>
              <w:rPr>
                <w:rFonts w:ascii="宋体" w:hAnsi="宋体" w:cs="宋体"/>
                <w:color w:val="auto"/>
                <w:kern w:val="0"/>
                <w:sz w:val="24"/>
                <w:szCs w:val="24"/>
              </w:rPr>
              <w:t>20ms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2.6</w:t>
            </w:r>
            <w:r>
              <w:rPr>
                <w:rFonts w:hint="eastAsia" w:ascii="宋体" w:hAnsi="宋体" w:cs="宋体"/>
                <w:color w:val="auto"/>
                <w:kern w:val="0"/>
                <w:sz w:val="24"/>
                <w:szCs w:val="24"/>
              </w:rPr>
              <w:t>支持场景保存及快速调用，支持场景轮巡，适应于不同的应用场景；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2.7</w:t>
            </w:r>
            <w:r>
              <w:rPr>
                <w:rFonts w:hint="eastAsia" w:ascii="宋体" w:hAnsi="宋体" w:cs="宋体"/>
                <w:color w:val="auto"/>
                <w:kern w:val="0"/>
                <w:sz w:val="24"/>
                <w:szCs w:val="24"/>
              </w:rPr>
              <w:t>设备在不增加外部信号源的情况下，可以对输出通道进行测试，可以输出</w:t>
            </w:r>
            <w:r>
              <w:rPr>
                <w:rFonts w:ascii="宋体" w:hAnsi="宋体" w:cs="宋体"/>
                <w:color w:val="auto"/>
                <w:kern w:val="0"/>
                <w:sz w:val="24"/>
                <w:szCs w:val="24"/>
              </w:rPr>
              <w:t>7</w:t>
            </w:r>
            <w:r>
              <w:rPr>
                <w:rFonts w:hint="eastAsia" w:ascii="宋体" w:hAnsi="宋体" w:cs="宋体"/>
                <w:color w:val="auto"/>
                <w:kern w:val="0"/>
                <w:sz w:val="24"/>
                <w:szCs w:val="24"/>
              </w:rPr>
              <w:t>种测试颜色及网格图像来检验输出通道是否可以正常输出信号；</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2.8</w:t>
            </w:r>
            <w:r>
              <w:rPr>
                <w:rFonts w:hint="eastAsia" w:ascii="宋体" w:hAnsi="宋体" w:cs="宋体"/>
                <w:color w:val="auto"/>
                <w:kern w:val="0"/>
                <w:sz w:val="24"/>
                <w:szCs w:val="24"/>
              </w:rPr>
              <w:t>支持图像截取功能，可以实现图像重点区域的放大显示或者裁掉信号源的黑边；</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2.9</w:t>
            </w:r>
            <w:r>
              <w:rPr>
                <w:rFonts w:hint="eastAsia" w:ascii="宋体" w:hAnsi="宋体" w:cs="宋体"/>
                <w:color w:val="auto"/>
                <w:kern w:val="0"/>
                <w:sz w:val="24"/>
                <w:szCs w:val="24"/>
              </w:rPr>
              <w:t>图像开窗响应速度＜</w:t>
            </w:r>
            <w:r>
              <w:rPr>
                <w:rFonts w:ascii="宋体" w:hAnsi="宋体" w:cs="宋体"/>
                <w:color w:val="auto"/>
                <w:kern w:val="0"/>
                <w:sz w:val="24"/>
                <w:szCs w:val="24"/>
              </w:rPr>
              <w:t>15ms</w:t>
            </w:r>
            <w:r>
              <w:rPr>
                <w:rFonts w:hint="eastAsia" w:ascii="宋体" w:hAnsi="宋体" w:cs="宋体"/>
                <w:color w:val="auto"/>
                <w:kern w:val="0"/>
                <w:sz w:val="24"/>
                <w:szCs w:val="24"/>
              </w:rPr>
              <w:t>，场景调取响应速度＜</w:t>
            </w:r>
            <w:r>
              <w:rPr>
                <w:rFonts w:ascii="宋体" w:hAnsi="宋体" w:cs="宋体"/>
                <w:color w:val="auto"/>
                <w:kern w:val="0"/>
                <w:sz w:val="24"/>
                <w:szCs w:val="24"/>
              </w:rPr>
              <w:t>20ms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2.10</w:t>
            </w:r>
            <w:r>
              <w:rPr>
                <w:rFonts w:hint="eastAsia" w:ascii="宋体" w:hAnsi="宋体" w:cs="宋体"/>
                <w:color w:val="auto"/>
                <w:kern w:val="0"/>
                <w:sz w:val="24"/>
                <w:szCs w:val="24"/>
              </w:rPr>
              <w:t>支持设置拼接屏的拼缝补偿，可精确到</w:t>
            </w:r>
            <w:r>
              <w:rPr>
                <w:rFonts w:ascii="宋体" w:hAnsi="宋体" w:cs="宋体"/>
                <w:color w:val="auto"/>
                <w:kern w:val="0"/>
                <w:sz w:val="24"/>
                <w:szCs w:val="24"/>
              </w:rPr>
              <w:t>1</w:t>
            </w:r>
            <w:r>
              <w:rPr>
                <w:rFonts w:hint="eastAsia" w:ascii="宋体" w:hAnsi="宋体" w:cs="宋体"/>
                <w:color w:val="auto"/>
                <w:kern w:val="0"/>
                <w:sz w:val="24"/>
                <w:szCs w:val="24"/>
              </w:rPr>
              <w:t>个像素；</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2.11</w:t>
            </w:r>
            <w:r>
              <w:rPr>
                <w:rFonts w:hint="eastAsia" w:ascii="宋体" w:hAnsi="宋体" w:cs="宋体"/>
                <w:color w:val="auto"/>
                <w:kern w:val="0"/>
                <w:sz w:val="24"/>
                <w:szCs w:val="24"/>
              </w:rPr>
              <w:t>图像信号无压缩、无失真实时传输，保证图像质量无损耗；</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2.12</w:t>
            </w:r>
            <w:r>
              <w:rPr>
                <w:rFonts w:hint="eastAsia" w:ascii="宋体" w:hAnsi="宋体" w:cs="宋体"/>
                <w:color w:val="auto"/>
                <w:kern w:val="0"/>
                <w:sz w:val="24"/>
                <w:szCs w:val="24"/>
              </w:rPr>
              <w:t>支持整面多行拼接屏的画面同步功能，针对快速变化的画面不会出现撕裂、错位的现象；</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2.13</w:t>
            </w:r>
            <w:r>
              <w:rPr>
                <w:rFonts w:hint="eastAsia" w:ascii="宋体" w:hAnsi="宋体" w:cs="宋体"/>
                <w:color w:val="auto"/>
                <w:kern w:val="0"/>
                <w:sz w:val="24"/>
                <w:szCs w:val="24"/>
              </w:rPr>
              <w:t>支持</w:t>
            </w:r>
            <w:r>
              <w:rPr>
                <w:rFonts w:ascii="宋体" w:hAnsi="宋体" w:cs="宋体"/>
                <w:color w:val="auto"/>
                <w:kern w:val="0"/>
                <w:sz w:val="24"/>
                <w:szCs w:val="24"/>
              </w:rPr>
              <w:t>DVI</w:t>
            </w:r>
            <w:r>
              <w:rPr>
                <w:rFonts w:hint="eastAsia" w:ascii="宋体" w:hAnsi="宋体" w:cs="宋体"/>
                <w:color w:val="auto"/>
                <w:kern w:val="0"/>
                <w:sz w:val="24"/>
                <w:szCs w:val="24"/>
              </w:rPr>
              <w:t>、</w:t>
            </w:r>
            <w:r>
              <w:rPr>
                <w:rFonts w:ascii="宋体" w:hAnsi="宋体" w:cs="宋体"/>
                <w:color w:val="auto"/>
                <w:kern w:val="0"/>
                <w:sz w:val="24"/>
                <w:szCs w:val="24"/>
              </w:rPr>
              <w:t>HDMI</w:t>
            </w:r>
            <w:r>
              <w:rPr>
                <w:rFonts w:hint="eastAsia" w:ascii="宋体" w:hAnsi="宋体" w:cs="宋体"/>
                <w:color w:val="auto"/>
                <w:kern w:val="0"/>
                <w:sz w:val="24"/>
                <w:szCs w:val="24"/>
              </w:rPr>
              <w:t>接口的</w:t>
            </w:r>
            <w:r>
              <w:rPr>
                <w:rFonts w:ascii="宋体" w:hAnsi="宋体" w:cs="宋体"/>
                <w:color w:val="auto"/>
                <w:kern w:val="0"/>
                <w:sz w:val="24"/>
                <w:szCs w:val="24"/>
              </w:rPr>
              <w:t>EDID</w:t>
            </w:r>
            <w:r>
              <w:rPr>
                <w:rFonts w:hint="eastAsia" w:ascii="宋体" w:hAnsi="宋体" w:cs="宋体"/>
                <w:color w:val="auto"/>
                <w:kern w:val="0"/>
                <w:sz w:val="24"/>
                <w:szCs w:val="24"/>
              </w:rPr>
              <w:t>编辑功能；</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2.14</w:t>
            </w:r>
            <w:r>
              <w:rPr>
                <w:rFonts w:hint="eastAsia" w:ascii="宋体" w:hAnsi="宋体" w:cs="宋体"/>
                <w:color w:val="auto"/>
                <w:kern w:val="0"/>
                <w:sz w:val="24"/>
                <w:szCs w:val="24"/>
              </w:rPr>
              <w:t>输出通道支持宏定义，设备的输出通道与物理显示设备的逻辑对应关系可调；</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2.15</w:t>
            </w:r>
            <w:r>
              <w:rPr>
                <w:rFonts w:hint="eastAsia" w:ascii="宋体" w:hAnsi="宋体" w:cs="宋体"/>
                <w:color w:val="auto"/>
                <w:kern w:val="0"/>
                <w:sz w:val="24"/>
                <w:szCs w:val="24"/>
              </w:rPr>
              <w:t>支持业务智能恢复，输入输出卡更换后无需配置，可自动恢复至原来的工作状态；</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2.16</w:t>
            </w:r>
            <w:r>
              <w:rPr>
                <w:rFonts w:hint="eastAsia" w:ascii="宋体" w:hAnsi="宋体" w:cs="宋体"/>
                <w:color w:val="auto"/>
                <w:kern w:val="0"/>
                <w:sz w:val="24"/>
                <w:szCs w:val="24"/>
              </w:rPr>
              <w:t>信号显示帧率不受开窗大小及输入路数的限制，保证信号显示的流畅性；</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2.17</w:t>
            </w:r>
            <w:r>
              <w:rPr>
                <w:rFonts w:hint="eastAsia" w:ascii="宋体" w:hAnsi="宋体" w:cs="宋体"/>
                <w:color w:val="auto"/>
                <w:kern w:val="0"/>
                <w:sz w:val="24"/>
                <w:szCs w:val="24"/>
              </w:rPr>
              <w:t>设备支持倍频倍线功能，图像尺寸放大时设备自动进行倍线处理，低帧率信号输入时进行倍频增强显示，实现对低分辨率、低帧率信号的完美增强回显。通过倍频倍线处理，可将不同分辨率的各路信号统一处理输出相同分辨率的信号，极大程度地提升了画面的整体质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2.18</w:t>
            </w:r>
            <w:r>
              <w:rPr>
                <w:rFonts w:hint="eastAsia" w:ascii="宋体" w:hAnsi="宋体" w:cs="宋体"/>
                <w:color w:val="auto"/>
                <w:kern w:val="0"/>
                <w:sz w:val="24"/>
                <w:szCs w:val="24"/>
              </w:rPr>
              <w:t>设备支持对输入信号通道进行字符叠加的功能，用户可以自由定义所叠加字符的字体、颜色、大小、位置、透明度，使所叠加文字覆盖在画面上方，方便用户实时掌握信号的来源，了解相关的备注信息；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2.19</w:t>
            </w:r>
            <w:r>
              <w:rPr>
                <w:rFonts w:hint="eastAsia" w:ascii="宋体" w:hAnsi="宋体" w:cs="宋体"/>
                <w:color w:val="auto"/>
                <w:kern w:val="0"/>
                <w:sz w:val="24"/>
                <w:szCs w:val="24"/>
              </w:rPr>
              <w:t>设备采用抗高温低温设计，工作温度范围可达到</w:t>
            </w:r>
            <w:r>
              <w:rPr>
                <w:rFonts w:ascii="宋体" w:hAnsi="宋体" w:cs="宋体"/>
                <w:color w:val="auto"/>
                <w:kern w:val="0"/>
                <w:sz w:val="24"/>
                <w:szCs w:val="24"/>
              </w:rPr>
              <w:t xml:space="preserve">-5 </w:t>
            </w:r>
            <w:r>
              <w:rPr>
                <w:rFonts w:hint="eastAsia" w:ascii="宋体" w:hAnsi="宋体" w:cs="宋体"/>
                <w:color w:val="auto"/>
                <w:kern w:val="0"/>
                <w:sz w:val="24"/>
                <w:szCs w:val="24"/>
              </w:rPr>
              <w:t>℃</w:t>
            </w:r>
            <w:r>
              <w:rPr>
                <w:rFonts w:ascii="宋体" w:hAnsi="宋体" w:cs="宋体"/>
                <w:color w:val="auto"/>
                <w:kern w:val="0"/>
                <w:sz w:val="24"/>
                <w:szCs w:val="24"/>
              </w:rPr>
              <w:t>~45</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2.20</w:t>
            </w:r>
            <w:r>
              <w:rPr>
                <w:rFonts w:hint="eastAsia" w:ascii="宋体" w:hAnsi="宋体" w:cs="宋体"/>
                <w:color w:val="auto"/>
                <w:kern w:val="0"/>
                <w:sz w:val="24"/>
                <w:szCs w:val="24"/>
              </w:rPr>
              <w:t>具备</w:t>
            </w:r>
            <w:r>
              <w:rPr>
                <w:rFonts w:ascii="宋体" w:hAnsi="宋体" w:cs="宋体"/>
                <w:color w:val="auto"/>
                <w:kern w:val="0"/>
                <w:sz w:val="24"/>
                <w:szCs w:val="24"/>
              </w:rPr>
              <w:t xml:space="preserve">365x24 </w:t>
            </w:r>
            <w:r>
              <w:rPr>
                <w:rFonts w:hint="eastAsia" w:ascii="宋体" w:hAnsi="宋体" w:cs="宋体"/>
                <w:color w:val="auto"/>
                <w:kern w:val="0"/>
                <w:sz w:val="24"/>
                <w:szCs w:val="24"/>
              </w:rPr>
              <w:t>小时长时间连续开机工作的能力。</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、控制管理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3.1</w:t>
            </w:r>
            <w:r>
              <w:rPr>
                <w:rFonts w:hint="eastAsia" w:ascii="宋体" w:hAnsi="宋体" w:cs="宋体"/>
                <w:color w:val="auto"/>
                <w:kern w:val="0"/>
                <w:sz w:val="24"/>
                <w:szCs w:val="24"/>
              </w:rPr>
              <w:t>可联控市面主流品牌矩阵切换器，开放联控接口；</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3.2</w:t>
            </w:r>
            <w:r>
              <w:rPr>
                <w:rFonts w:hint="eastAsia" w:ascii="宋体" w:hAnsi="宋体" w:cs="宋体"/>
                <w:color w:val="auto"/>
                <w:kern w:val="0"/>
                <w:sz w:val="24"/>
                <w:szCs w:val="24"/>
              </w:rPr>
              <w:t>可集成拼接单元控制协议，实现对大屏幕的开关等控制；</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3.3</w:t>
            </w:r>
            <w:r>
              <w:rPr>
                <w:rFonts w:hint="eastAsia" w:ascii="宋体" w:hAnsi="宋体" w:cs="宋体"/>
                <w:color w:val="auto"/>
                <w:kern w:val="0"/>
                <w:sz w:val="24"/>
                <w:szCs w:val="24"/>
              </w:rPr>
              <w:t>支持</w:t>
            </w:r>
            <w:r>
              <w:rPr>
                <w:rFonts w:ascii="宋体" w:hAnsi="宋体" w:cs="宋体"/>
                <w:color w:val="auto"/>
                <w:kern w:val="0"/>
                <w:sz w:val="24"/>
                <w:szCs w:val="24"/>
              </w:rPr>
              <w:t xml:space="preserve"> RS232</w:t>
            </w:r>
            <w:r>
              <w:rPr>
                <w:rFonts w:hint="eastAsia" w:ascii="宋体" w:hAnsi="宋体" w:cs="宋体"/>
                <w:color w:val="auto"/>
                <w:kern w:val="0"/>
                <w:sz w:val="24"/>
                <w:szCs w:val="24"/>
              </w:rPr>
              <w:t>串口和网络</w:t>
            </w:r>
            <w:r>
              <w:rPr>
                <w:rFonts w:ascii="宋体" w:hAnsi="宋体" w:cs="宋体"/>
                <w:color w:val="auto"/>
                <w:kern w:val="0"/>
                <w:sz w:val="24"/>
                <w:szCs w:val="24"/>
              </w:rPr>
              <w:t>TCP/IP</w:t>
            </w:r>
            <w:r>
              <w:rPr>
                <w:rFonts w:hint="eastAsia" w:ascii="宋体" w:hAnsi="宋体" w:cs="宋体"/>
                <w:color w:val="auto"/>
                <w:kern w:val="0"/>
                <w:sz w:val="24"/>
                <w:szCs w:val="24"/>
              </w:rPr>
              <w:t>控制；</w:t>
            </w:r>
          </w:p>
          <w:p>
            <w:pPr>
              <w:widowControl/>
              <w:jc w:val="left"/>
              <w:textAlignment w:val="center"/>
              <w:rPr>
                <w:rFonts w:ascii="宋体"/>
                <w:color w:val="auto"/>
                <w:kern w:val="0"/>
                <w:sz w:val="24"/>
                <w:szCs w:val="24"/>
              </w:rPr>
            </w:pPr>
            <w:r>
              <w:rPr>
                <w:rFonts w:ascii="宋体" w:hAnsi="宋体" w:cs="宋体"/>
                <w:color w:val="auto"/>
                <w:kern w:val="0"/>
                <w:sz w:val="24"/>
                <w:szCs w:val="24"/>
              </w:rPr>
              <w:t>3.4</w:t>
            </w:r>
            <w:r>
              <w:rPr>
                <w:rFonts w:hint="eastAsia" w:ascii="宋体" w:hAnsi="宋体" w:cs="宋体"/>
                <w:color w:val="auto"/>
                <w:kern w:val="0"/>
                <w:sz w:val="24"/>
                <w:szCs w:val="24"/>
              </w:rPr>
              <w:t>软件支持</w:t>
            </w:r>
            <w:r>
              <w:rPr>
                <w:rFonts w:ascii="宋体" w:hAnsi="宋体" w:cs="宋体"/>
                <w:color w:val="auto"/>
                <w:kern w:val="0"/>
                <w:sz w:val="24"/>
                <w:szCs w:val="24"/>
              </w:rPr>
              <w:t>Windows</w:t>
            </w:r>
            <w:r>
              <w:rPr>
                <w:rFonts w:hint="eastAsia" w:ascii="宋体" w:hAnsi="宋体" w:cs="宋体"/>
                <w:color w:val="auto"/>
                <w:kern w:val="0"/>
                <w:sz w:val="24"/>
                <w:szCs w:val="24"/>
              </w:rPr>
              <w:t>操作系统和麒麟操作系统。</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10</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配套线材</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HDMI</w:t>
            </w:r>
            <w:r>
              <w:rPr>
                <w:rFonts w:hint="eastAsia" w:ascii="宋体" w:hAnsi="宋体" w:cs="宋体"/>
                <w:color w:val="auto"/>
                <w:kern w:val="0"/>
                <w:sz w:val="24"/>
                <w:szCs w:val="24"/>
              </w:rPr>
              <w:t>高清线材，工程专用线材，网线，电源线。</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15</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11</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机柜式支架</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全封闭式一体化拼接机柜，安装方便，前后左右，上下四周封板包围。采用优质方钢</w:t>
            </w:r>
            <w:r>
              <w:rPr>
                <w:rFonts w:ascii="宋体" w:hAnsi="宋体" w:cs="宋体"/>
                <w:color w:val="auto"/>
                <w:kern w:val="0"/>
                <w:sz w:val="24"/>
                <w:szCs w:val="24"/>
              </w:rPr>
              <w:t>/</w:t>
            </w:r>
            <w:r>
              <w:rPr>
                <w:rFonts w:hint="eastAsia" w:ascii="宋体" w:hAnsi="宋体" w:cs="宋体"/>
                <w:color w:val="auto"/>
                <w:kern w:val="0"/>
                <w:sz w:val="24"/>
                <w:szCs w:val="24"/>
              </w:rPr>
              <w:t>工业钣金、</w:t>
            </w:r>
            <w:r>
              <w:rPr>
                <w:rFonts w:ascii="宋体" w:hAnsi="宋体" w:cs="宋体"/>
                <w:color w:val="auto"/>
                <w:kern w:val="0"/>
                <w:sz w:val="24"/>
                <w:szCs w:val="24"/>
              </w:rPr>
              <w:t>0.8</w:t>
            </w:r>
            <w:r>
              <w:rPr>
                <w:rFonts w:hint="eastAsia" w:ascii="宋体" w:hAnsi="宋体" w:cs="宋体"/>
                <w:color w:val="auto"/>
                <w:kern w:val="0"/>
                <w:sz w:val="24"/>
                <w:szCs w:val="24"/>
              </w:rPr>
              <w:t>－</w:t>
            </w:r>
            <w:r>
              <w:rPr>
                <w:rFonts w:ascii="宋体" w:hAnsi="宋体" w:cs="宋体"/>
                <w:color w:val="auto"/>
                <w:kern w:val="0"/>
                <w:sz w:val="24"/>
                <w:szCs w:val="24"/>
              </w:rPr>
              <w:t>2.0</w:t>
            </w:r>
            <w:r>
              <w:rPr>
                <w:rFonts w:hint="eastAsia" w:ascii="宋体" w:hAnsi="宋体" w:cs="宋体"/>
                <w:color w:val="auto"/>
                <w:kern w:val="0"/>
                <w:sz w:val="24"/>
                <w:szCs w:val="24"/>
              </w:rPr>
              <w:t>厚的钣金轧弯而成，黑色，外加静电保护，全方位可调节，美观大方，简洁实用。厚度</w:t>
            </w:r>
            <w:r>
              <w:rPr>
                <w:rFonts w:ascii="宋体" w:hAnsi="宋体" w:cs="宋体"/>
                <w:color w:val="auto"/>
                <w:kern w:val="0"/>
                <w:sz w:val="24"/>
                <w:szCs w:val="24"/>
              </w:rPr>
              <w:t>500mm</w:t>
            </w:r>
            <w:r>
              <w:rPr>
                <w:rFonts w:hint="eastAsia" w:ascii="宋体" w:hAnsi="宋体" w:cs="宋体"/>
                <w:color w:val="auto"/>
                <w:kern w:val="0"/>
                <w:sz w:val="24"/>
                <w:szCs w:val="24"/>
              </w:rPr>
              <w:t>，底座高度</w:t>
            </w:r>
            <w:r>
              <w:rPr>
                <w:rFonts w:ascii="宋体" w:hAnsi="宋体" w:cs="宋体"/>
                <w:color w:val="auto"/>
                <w:kern w:val="0"/>
                <w:sz w:val="24"/>
                <w:szCs w:val="24"/>
              </w:rPr>
              <w:t>700mm</w:t>
            </w:r>
            <w:r>
              <w:rPr>
                <w:rFonts w:hint="eastAsia" w:ascii="宋体" w:hAnsi="宋体" w:cs="宋体"/>
                <w:color w:val="auto"/>
                <w:kern w:val="0"/>
                <w:sz w:val="24"/>
                <w:szCs w:val="24"/>
              </w:rPr>
              <w:t>，底部开门。</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15</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12</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专业音箱</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、阻抗：</w:t>
            </w:r>
            <w:r>
              <w:rPr>
                <w:rFonts w:ascii="宋体" w:hAnsi="宋体" w:cs="宋体"/>
                <w:color w:val="auto"/>
                <w:kern w:val="0"/>
                <w:sz w:val="24"/>
                <w:szCs w:val="24"/>
              </w:rPr>
              <w:t>8</w:t>
            </w:r>
            <w:r>
              <w:rPr>
                <w:rFonts w:hint="eastAsia" w:ascii="宋体" w:hAnsi="宋体" w:cs="宋体"/>
                <w:color w:val="auto"/>
                <w:kern w:val="0"/>
                <w:sz w:val="24"/>
                <w:szCs w:val="24"/>
              </w:rPr>
              <w:t>Ω；</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、频响：</w:t>
            </w:r>
            <w:r>
              <w:rPr>
                <w:rFonts w:ascii="宋体" w:hAnsi="宋体" w:cs="宋体"/>
                <w:color w:val="auto"/>
                <w:kern w:val="0"/>
                <w:sz w:val="24"/>
                <w:szCs w:val="24"/>
              </w:rPr>
              <w:t>65Hz~20KHz</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、额定功率：</w:t>
            </w:r>
            <w:r>
              <w:rPr>
                <w:rFonts w:ascii="宋体" w:hAnsi="宋体" w:cs="宋体"/>
                <w:color w:val="auto"/>
                <w:kern w:val="0"/>
                <w:sz w:val="24"/>
                <w:szCs w:val="24"/>
              </w:rPr>
              <w:t>150W</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、灵敏度：</w:t>
            </w:r>
            <w:r>
              <w:rPr>
                <w:rFonts w:ascii="宋体" w:hAnsi="宋体" w:cs="宋体"/>
                <w:color w:val="auto"/>
                <w:kern w:val="0"/>
                <w:sz w:val="24"/>
                <w:szCs w:val="24"/>
              </w:rPr>
              <w:t>95dB/W/M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、覆盖角度：</w:t>
            </w:r>
            <w:r>
              <w:rPr>
                <w:rFonts w:ascii="宋体" w:hAnsi="宋体" w:cs="宋体"/>
                <w:color w:val="auto"/>
                <w:kern w:val="0"/>
                <w:sz w:val="24"/>
                <w:szCs w:val="24"/>
              </w:rPr>
              <w:t>(H)80</w:t>
            </w:r>
            <w:r>
              <w:rPr>
                <w:rFonts w:hint="eastAsia" w:ascii="宋体" w:hAnsi="宋体" w:cs="宋体"/>
                <w:color w:val="auto"/>
                <w:kern w:val="0"/>
                <w:sz w:val="24"/>
                <w:szCs w:val="24"/>
              </w:rPr>
              <w:t>°</w:t>
            </w:r>
            <w:r>
              <w:rPr>
                <w:rFonts w:ascii="宋体" w:hAnsi="宋体" w:cs="宋体"/>
                <w:color w:val="auto"/>
                <w:kern w:val="0"/>
                <w:sz w:val="24"/>
                <w:szCs w:val="24"/>
              </w:rPr>
              <w:t>(V)60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、高音：</w:t>
            </w:r>
            <w:r>
              <w:rPr>
                <w:rFonts w:ascii="宋体" w:hAnsi="宋体" w:cs="宋体"/>
                <w:color w:val="auto"/>
                <w:kern w:val="0"/>
                <w:sz w:val="24"/>
                <w:szCs w:val="24"/>
              </w:rPr>
              <w:t>3"</w:t>
            </w:r>
            <w:r>
              <w:rPr>
                <w:rFonts w:hint="eastAsia" w:ascii="宋体" w:hAnsi="宋体" w:cs="宋体"/>
                <w:color w:val="auto"/>
                <w:kern w:val="0"/>
                <w:sz w:val="24"/>
                <w:szCs w:val="24"/>
              </w:rPr>
              <w:t>锥形高音单元×</w:t>
            </w:r>
            <w:r>
              <w:rPr>
                <w:rFonts w:ascii="宋体" w:hAnsi="宋体" w:cs="宋体"/>
                <w:color w:val="auto"/>
                <w:kern w:val="0"/>
                <w:sz w:val="24"/>
                <w:szCs w:val="24"/>
              </w:rPr>
              <w:t>2</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、低音：</w:t>
            </w:r>
            <w:r>
              <w:rPr>
                <w:rFonts w:ascii="宋体" w:hAnsi="宋体" w:cs="宋体"/>
                <w:color w:val="auto"/>
                <w:kern w:val="0"/>
                <w:sz w:val="24"/>
                <w:szCs w:val="24"/>
              </w:rPr>
              <w:t>8"</w:t>
            </w:r>
            <w:r>
              <w:rPr>
                <w:rFonts w:hint="eastAsia" w:ascii="宋体" w:hAnsi="宋体" w:cs="宋体"/>
                <w:color w:val="auto"/>
                <w:kern w:val="0"/>
                <w:sz w:val="24"/>
                <w:szCs w:val="24"/>
              </w:rPr>
              <w:t>低音×</w:t>
            </w:r>
            <w:r>
              <w:rPr>
                <w:rFonts w:ascii="宋体" w:hAnsi="宋体" w:cs="宋体"/>
                <w:color w:val="auto"/>
                <w:kern w:val="0"/>
                <w:sz w:val="24"/>
                <w:szCs w:val="24"/>
              </w:rPr>
              <w:t>1</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4</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只</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13</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四通道数字功放</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、设备采用</w:t>
            </w:r>
            <w:r>
              <w:rPr>
                <w:rFonts w:ascii="宋体" w:hAnsi="宋体" w:cs="宋体"/>
                <w:color w:val="auto"/>
                <w:kern w:val="0"/>
                <w:sz w:val="24"/>
                <w:szCs w:val="24"/>
              </w:rPr>
              <w:t>D</w:t>
            </w:r>
            <w:r>
              <w:rPr>
                <w:rFonts w:hint="eastAsia" w:ascii="宋体" w:hAnsi="宋体" w:cs="宋体"/>
                <w:color w:val="auto"/>
                <w:kern w:val="0"/>
                <w:sz w:val="24"/>
                <w:szCs w:val="24"/>
              </w:rPr>
              <w:t>类功放设计，支持开机软启动；支持智能削峰限幅器，控制功率模块及扬声器系统在安全范围内工作；</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、功放有三档输入灵敏度选择（支持</w:t>
            </w:r>
            <w:r>
              <w:rPr>
                <w:rFonts w:ascii="宋体" w:hAnsi="宋体" w:cs="宋体"/>
                <w:color w:val="auto"/>
                <w:kern w:val="0"/>
                <w:sz w:val="24"/>
                <w:szCs w:val="24"/>
              </w:rPr>
              <w:t>0.775V/1V/1.44V</w:t>
            </w:r>
            <w:r>
              <w:rPr>
                <w:rFonts w:hint="eastAsia" w:ascii="宋体" w:hAnsi="宋体" w:cs="宋体"/>
                <w:color w:val="auto"/>
                <w:kern w:val="0"/>
                <w:sz w:val="24"/>
                <w:szCs w:val="24"/>
              </w:rPr>
              <w:t>），可接纳宽幅度范围信号源输入。输入座接地脚接地和悬浮控制开关；</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、支持立体声或桥接工作模式：输出功率支持立体声</w:t>
            </w:r>
            <w:r>
              <w:rPr>
                <w:rFonts w:ascii="宋体" w:hAnsi="宋体" w:cs="宋体"/>
                <w:color w:val="auto"/>
                <w:kern w:val="0"/>
                <w:sz w:val="24"/>
                <w:szCs w:val="24"/>
              </w:rPr>
              <w:t>/</w:t>
            </w:r>
            <w:r>
              <w:rPr>
                <w:rFonts w:hint="eastAsia" w:ascii="宋体" w:hAnsi="宋体" w:cs="宋体"/>
                <w:color w:val="auto"/>
                <w:kern w:val="0"/>
                <w:sz w:val="24"/>
                <w:szCs w:val="24"/>
              </w:rPr>
              <w:t>并联</w:t>
            </w:r>
            <w:r>
              <w:rPr>
                <w:rFonts w:ascii="宋体" w:hAnsi="宋体" w:cs="宋体"/>
                <w:color w:val="auto"/>
                <w:kern w:val="0"/>
                <w:sz w:val="24"/>
                <w:szCs w:val="24"/>
              </w:rPr>
              <w:t>8</w:t>
            </w:r>
            <w:r>
              <w:rPr>
                <w:rFonts w:hint="eastAsia" w:ascii="宋体" w:hAnsi="宋体" w:cs="宋体"/>
                <w:color w:val="auto"/>
                <w:kern w:val="0"/>
                <w:sz w:val="24"/>
                <w:szCs w:val="24"/>
              </w:rPr>
              <w:t>Ω×</w:t>
            </w: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200W</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，支持立体声</w:t>
            </w:r>
            <w:r>
              <w:rPr>
                <w:rFonts w:ascii="宋体" w:hAnsi="宋体" w:cs="宋体"/>
                <w:color w:val="auto"/>
                <w:kern w:val="0"/>
                <w:sz w:val="24"/>
                <w:szCs w:val="24"/>
              </w:rPr>
              <w:t>/</w:t>
            </w:r>
            <w:r>
              <w:rPr>
                <w:rFonts w:hint="eastAsia" w:ascii="宋体" w:hAnsi="宋体" w:cs="宋体"/>
                <w:color w:val="auto"/>
                <w:kern w:val="0"/>
                <w:sz w:val="24"/>
                <w:szCs w:val="24"/>
              </w:rPr>
              <w:t>并联</w:t>
            </w:r>
            <w:r>
              <w:rPr>
                <w:rFonts w:ascii="宋体" w:hAnsi="宋体" w:cs="宋体"/>
                <w:color w:val="auto"/>
                <w:kern w:val="0"/>
                <w:sz w:val="24"/>
                <w:szCs w:val="24"/>
              </w:rPr>
              <w:t>4</w:t>
            </w:r>
            <w:r>
              <w:rPr>
                <w:rFonts w:hint="eastAsia" w:ascii="宋体" w:hAnsi="宋体" w:cs="宋体"/>
                <w:color w:val="auto"/>
                <w:kern w:val="0"/>
                <w:sz w:val="24"/>
                <w:szCs w:val="24"/>
              </w:rPr>
              <w:t>Ω×</w:t>
            </w: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350W</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，，支持桥接</w:t>
            </w:r>
            <w:r>
              <w:rPr>
                <w:rFonts w:ascii="宋体" w:hAnsi="宋体" w:cs="宋体"/>
                <w:color w:val="auto"/>
                <w:kern w:val="0"/>
                <w:sz w:val="24"/>
                <w:szCs w:val="24"/>
              </w:rPr>
              <w:t>8</w:t>
            </w:r>
            <w:r>
              <w:rPr>
                <w:rFonts w:hint="eastAsia" w:ascii="宋体" w:hAnsi="宋体" w:cs="宋体"/>
                <w:color w:val="auto"/>
                <w:kern w:val="0"/>
                <w:sz w:val="24"/>
                <w:szCs w:val="24"/>
              </w:rPr>
              <w:t>Ω×</w:t>
            </w: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700W</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、采用标准</w:t>
            </w:r>
            <w:r>
              <w:rPr>
                <w:rFonts w:ascii="宋体" w:hAnsi="宋体" w:cs="宋体"/>
                <w:color w:val="auto"/>
                <w:kern w:val="0"/>
                <w:sz w:val="24"/>
                <w:szCs w:val="24"/>
              </w:rPr>
              <w:t xml:space="preserve">XLR+TRS1/4" </w:t>
            </w:r>
            <w:r>
              <w:rPr>
                <w:rFonts w:hint="eastAsia" w:ascii="宋体" w:hAnsi="宋体" w:cs="宋体"/>
                <w:color w:val="auto"/>
                <w:kern w:val="0"/>
                <w:sz w:val="24"/>
                <w:szCs w:val="24"/>
              </w:rPr>
              <w:t>复合多功能输入接口，更加方便不同用户需求；</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、支持过压保护、欠压保护、过温压限、过温关机、输出短路保护、温控风扇、功放频率同步等功能。</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14</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音箱支架</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、固定面板孔位尺寸（长</w:t>
            </w:r>
            <w:r>
              <w:rPr>
                <w:rFonts w:ascii="宋体" w:hAnsi="宋体" w:cs="宋体"/>
                <w:color w:val="auto"/>
                <w:kern w:val="0"/>
                <w:sz w:val="24"/>
                <w:szCs w:val="24"/>
              </w:rPr>
              <w:t>*</w:t>
            </w:r>
            <w:r>
              <w:rPr>
                <w:rFonts w:hint="eastAsia" w:ascii="宋体" w:hAnsi="宋体" w:cs="宋体"/>
                <w:color w:val="auto"/>
                <w:kern w:val="0"/>
                <w:sz w:val="24"/>
                <w:szCs w:val="24"/>
              </w:rPr>
              <w:t>宽）：</w:t>
            </w:r>
            <w:r>
              <w:rPr>
                <w:rFonts w:ascii="宋体" w:hAnsi="宋体" w:cs="宋体"/>
                <w:color w:val="auto"/>
                <w:kern w:val="0"/>
                <w:sz w:val="24"/>
                <w:szCs w:val="24"/>
              </w:rPr>
              <w:t xml:space="preserve"> 140mm*65mm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、箱体固定面板孔位尺寸（长</w:t>
            </w:r>
            <w:r>
              <w:rPr>
                <w:rFonts w:ascii="宋体" w:hAnsi="宋体" w:cs="宋体"/>
                <w:color w:val="auto"/>
                <w:kern w:val="0"/>
                <w:sz w:val="24"/>
                <w:szCs w:val="24"/>
              </w:rPr>
              <w:t>*</w:t>
            </w:r>
            <w:r>
              <w:rPr>
                <w:rFonts w:hint="eastAsia" w:ascii="宋体" w:hAnsi="宋体" w:cs="宋体"/>
                <w:color w:val="auto"/>
                <w:kern w:val="0"/>
                <w:sz w:val="24"/>
                <w:szCs w:val="24"/>
              </w:rPr>
              <w:t>宽）：</w:t>
            </w:r>
            <w:r>
              <w:rPr>
                <w:rFonts w:ascii="宋体" w:hAnsi="宋体" w:cs="宋体"/>
                <w:color w:val="auto"/>
                <w:kern w:val="0"/>
                <w:sz w:val="24"/>
                <w:szCs w:val="24"/>
              </w:rPr>
              <w:t xml:space="preserve"> 128mm*70mm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、设备面板尺寸：</w:t>
            </w:r>
            <w:r>
              <w:rPr>
                <w:rFonts w:ascii="宋体" w:hAnsi="宋体" w:cs="宋体"/>
                <w:color w:val="auto"/>
                <w:kern w:val="0"/>
                <w:sz w:val="24"/>
                <w:szCs w:val="24"/>
              </w:rPr>
              <w:t>160mm*90mm</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4</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只</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15</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无线话筒（双手持</w:t>
            </w:r>
            <w:r>
              <w:rPr>
                <w:rFonts w:ascii="宋体" w:hAnsi="宋体" w:cs="宋体"/>
                <w:color w:val="auto"/>
                <w:sz w:val="24"/>
                <w:szCs w:val="24"/>
              </w:rPr>
              <w:t>+</w:t>
            </w:r>
            <w:r>
              <w:rPr>
                <w:rFonts w:hint="eastAsia" w:ascii="宋体" w:hAnsi="宋体" w:cs="宋体"/>
                <w:color w:val="auto"/>
                <w:sz w:val="24"/>
                <w:szCs w:val="24"/>
              </w:rPr>
              <w:t>双桌面）</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、采用先进</w:t>
            </w:r>
            <w:r>
              <w:rPr>
                <w:rFonts w:ascii="宋体" w:hAnsi="宋体" w:cs="宋体"/>
                <w:color w:val="auto"/>
                <w:kern w:val="0"/>
                <w:sz w:val="24"/>
                <w:szCs w:val="24"/>
              </w:rPr>
              <w:t>PLL</w:t>
            </w:r>
            <w:r>
              <w:rPr>
                <w:rFonts w:hint="eastAsia" w:ascii="宋体" w:hAnsi="宋体" w:cs="宋体"/>
                <w:color w:val="auto"/>
                <w:kern w:val="0"/>
                <w:sz w:val="24"/>
                <w:szCs w:val="24"/>
              </w:rPr>
              <w:t>频率合成锁相环技术，微电脑集成中央处理器</w:t>
            </w:r>
            <w:r>
              <w:rPr>
                <w:rFonts w:ascii="宋体" w:hAnsi="宋体" w:cs="宋体"/>
                <w:color w:val="auto"/>
                <w:kern w:val="0"/>
                <w:sz w:val="24"/>
                <w:szCs w:val="24"/>
              </w:rPr>
              <w:t>CPU</w:t>
            </w:r>
            <w:r>
              <w:rPr>
                <w:rFonts w:hint="eastAsia" w:ascii="宋体" w:hAnsi="宋体" w:cs="宋体"/>
                <w:color w:val="auto"/>
                <w:kern w:val="0"/>
                <w:sz w:val="24"/>
                <w:szCs w:val="24"/>
              </w:rPr>
              <w:t>总线控制系统；</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、兼容手动选频和红外自动对频锁定频道，</w:t>
            </w:r>
            <w:r>
              <w:rPr>
                <w:rFonts w:ascii="宋体" w:hAnsi="宋体" w:cs="宋体"/>
                <w:color w:val="auto"/>
                <w:kern w:val="0"/>
                <w:sz w:val="24"/>
                <w:szCs w:val="24"/>
              </w:rPr>
              <w:t xml:space="preserve"> </w:t>
            </w:r>
            <w:r>
              <w:rPr>
                <w:rFonts w:hint="eastAsia" w:ascii="宋体" w:hAnsi="宋体" w:cs="宋体"/>
                <w:color w:val="auto"/>
                <w:kern w:val="0"/>
                <w:sz w:val="24"/>
                <w:szCs w:val="24"/>
              </w:rPr>
              <w:t>杂讯锁定静噪控制及音码锁定静噪控制；</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V/A</w:t>
            </w:r>
            <w:r>
              <w:rPr>
                <w:rFonts w:hint="eastAsia" w:ascii="宋体" w:hAnsi="宋体" w:cs="宋体"/>
                <w:color w:val="auto"/>
                <w:kern w:val="0"/>
                <w:sz w:val="24"/>
                <w:szCs w:val="24"/>
              </w:rPr>
              <w:t>显示屏在任何角度观察字体清晰同时显示信道号与工作频率；</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、带</w:t>
            </w:r>
            <w:r>
              <w:rPr>
                <w:rFonts w:ascii="宋体" w:hAnsi="宋体" w:cs="宋体"/>
                <w:color w:val="auto"/>
                <w:kern w:val="0"/>
                <w:sz w:val="24"/>
                <w:szCs w:val="24"/>
              </w:rPr>
              <w:t>8</w:t>
            </w:r>
            <w:r>
              <w:rPr>
                <w:rFonts w:hint="eastAsia" w:ascii="宋体" w:hAnsi="宋体" w:cs="宋体"/>
                <w:color w:val="auto"/>
                <w:kern w:val="0"/>
                <w:sz w:val="24"/>
                <w:szCs w:val="24"/>
              </w:rPr>
              <w:t>级射频电平显示，</w:t>
            </w:r>
            <w:r>
              <w:rPr>
                <w:rFonts w:ascii="宋体" w:hAnsi="宋体" w:cs="宋体"/>
                <w:color w:val="auto"/>
                <w:kern w:val="0"/>
                <w:sz w:val="24"/>
                <w:szCs w:val="24"/>
              </w:rPr>
              <w:t>8</w:t>
            </w:r>
            <w:r>
              <w:rPr>
                <w:rFonts w:hint="eastAsia" w:ascii="宋体" w:hAnsi="宋体" w:cs="宋体"/>
                <w:color w:val="auto"/>
                <w:kern w:val="0"/>
                <w:sz w:val="24"/>
                <w:szCs w:val="24"/>
              </w:rPr>
              <w:t>级音频电平显示，频道菜单显示，静音显示；</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、使用</w:t>
            </w:r>
            <w:r>
              <w:rPr>
                <w:rFonts w:ascii="宋体" w:hAnsi="宋体" w:cs="宋体"/>
                <w:color w:val="auto"/>
                <w:kern w:val="0"/>
                <w:sz w:val="24"/>
                <w:szCs w:val="24"/>
              </w:rPr>
              <w:t>640-830MHZ</w:t>
            </w:r>
            <w:r>
              <w:rPr>
                <w:rFonts w:hint="eastAsia" w:ascii="宋体" w:hAnsi="宋体" w:cs="宋体"/>
                <w:color w:val="auto"/>
                <w:kern w:val="0"/>
                <w:sz w:val="24"/>
                <w:szCs w:val="24"/>
              </w:rPr>
              <w:t>频段，每台接收机拥有</w:t>
            </w:r>
            <w:r>
              <w:rPr>
                <w:rFonts w:ascii="宋体" w:hAnsi="宋体" w:cs="宋体"/>
                <w:color w:val="auto"/>
                <w:kern w:val="0"/>
                <w:sz w:val="24"/>
                <w:szCs w:val="24"/>
              </w:rPr>
              <w:t>200</w:t>
            </w:r>
            <w:r>
              <w:rPr>
                <w:rFonts w:hint="eastAsia" w:ascii="宋体" w:hAnsi="宋体" w:cs="宋体"/>
                <w:color w:val="auto"/>
                <w:kern w:val="0"/>
                <w:sz w:val="24"/>
                <w:szCs w:val="24"/>
              </w:rPr>
              <w:t>个可调频率；</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、支持平衡和非平衡两种选择输出端口；</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、系统包括有一台主机</w:t>
            </w:r>
            <w:r>
              <w:rPr>
                <w:rFonts w:ascii="宋体" w:hAnsi="宋体" w:cs="宋体"/>
                <w:color w:val="auto"/>
                <w:kern w:val="0"/>
                <w:sz w:val="24"/>
                <w:szCs w:val="24"/>
              </w:rPr>
              <w:t>+</w:t>
            </w:r>
            <w:r>
              <w:rPr>
                <w:rFonts w:hint="eastAsia" w:ascii="宋体" w:hAnsi="宋体" w:cs="宋体"/>
                <w:color w:val="auto"/>
                <w:kern w:val="0"/>
                <w:sz w:val="24"/>
                <w:szCs w:val="24"/>
              </w:rPr>
              <w:t>两台桌面式无线麦克风和两个手持话筒。</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16</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调音台</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、支持≥</w:t>
            </w:r>
            <w:r>
              <w:rPr>
                <w:rFonts w:ascii="宋体" w:hAnsi="宋体" w:cs="宋体"/>
                <w:color w:val="auto"/>
                <w:kern w:val="0"/>
                <w:sz w:val="24"/>
                <w:szCs w:val="24"/>
              </w:rPr>
              <w:t>8</w:t>
            </w:r>
            <w:r>
              <w:rPr>
                <w:rFonts w:hint="eastAsia" w:ascii="宋体" w:hAnsi="宋体" w:cs="宋体"/>
                <w:color w:val="auto"/>
                <w:kern w:val="0"/>
                <w:sz w:val="24"/>
                <w:szCs w:val="24"/>
              </w:rPr>
              <w:t>路麦克风输入兼容</w:t>
            </w:r>
            <w:r>
              <w:rPr>
                <w:rFonts w:ascii="宋体" w:hAnsi="宋体" w:cs="宋体"/>
                <w:color w:val="auto"/>
                <w:kern w:val="0"/>
                <w:sz w:val="24"/>
                <w:szCs w:val="24"/>
              </w:rPr>
              <w:t>6</w:t>
            </w:r>
            <w:r>
              <w:rPr>
                <w:rFonts w:hint="eastAsia" w:ascii="宋体" w:hAnsi="宋体" w:cs="宋体"/>
                <w:color w:val="auto"/>
                <w:kern w:val="0"/>
                <w:sz w:val="24"/>
                <w:szCs w:val="24"/>
              </w:rPr>
              <w:t>路线路输入接口，支持≥</w:t>
            </w:r>
            <w:r>
              <w:rPr>
                <w:rFonts w:ascii="宋体" w:hAnsi="宋体" w:cs="宋体"/>
                <w:color w:val="auto"/>
                <w:kern w:val="0"/>
                <w:sz w:val="24"/>
                <w:szCs w:val="24"/>
              </w:rPr>
              <w:t>2</w:t>
            </w:r>
            <w:r>
              <w:rPr>
                <w:rFonts w:hint="eastAsia" w:ascii="宋体" w:hAnsi="宋体" w:cs="宋体"/>
                <w:color w:val="auto"/>
                <w:kern w:val="0"/>
                <w:sz w:val="24"/>
                <w:szCs w:val="24"/>
              </w:rPr>
              <w:t>路立体声输入接口，≥</w:t>
            </w:r>
            <w:r>
              <w:rPr>
                <w:rFonts w:ascii="宋体" w:hAnsi="宋体" w:cs="宋体"/>
                <w:color w:val="auto"/>
                <w:kern w:val="0"/>
                <w:sz w:val="24"/>
                <w:szCs w:val="24"/>
              </w:rPr>
              <w:t>4</w:t>
            </w:r>
            <w:r>
              <w:rPr>
                <w:rFonts w:hint="eastAsia" w:ascii="宋体" w:hAnsi="宋体" w:cs="宋体"/>
                <w:color w:val="auto"/>
                <w:kern w:val="0"/>
                <w:sz w:val="24"/>
                <w:szCs w:val="24"/>
              </w:rPr>
              <w:t>路</w:t>
            </w:r>
            <w:r>
              <w:rPr>
                <w:rFonts w:ascii="宋体" w:hAnsi="宋体" w:cs="宋体"/>
                <w:color w:val="auto"/>
                <w:kern w:val="0"/>
                <w:sz w:val="24"/>
                <w:szCs w:val="24"/>
              </w:rPr>
              <w:t>RCA</w:t>
            </w:r>
            <w:r>
              <w:rPr>
                <w:rFonts w:hint="eastAsia" w:ascii="宋体" w:hAnsi="宋体" w:cs="宋体"/>
                <w:color w:val="auto"/>
                <w:kern w:val="0"/>
                <w:sz w:val="24"/>
                <w:szCs w:val="24"/>
              </w:rPr>
              <w:t>输入，话筒接口幻象电源：</w:t>
            </w:r>
            <w:r>
              <w:rPr>
                <w:rFonts w:ascii="宋体" w:hAnsi="宋体" w:cs="宋体"/>
                <w:color w:val="auto"/>
                <w:kern w:val="0"/>
                <w:sz w:val="24"/>
                <w:szCs w:val="24"/>
              </w:rPr>
              <w:t>+48V</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、具有≥</w:t>
            </w:r>
            <w:r>
              <w:rPr>
                <w:rFonts w:ascii="宋体" w:hAnsi="宋体" w:cs="宋体"/>
                <w:color w:val="auto"/>
                <w:kern w:val="0"/>
                <w:sz w:val="24"/>
                <w:szCs w:val="24"/>
              </w:rPr>
              <w:t>2</w:t>
            </w:r>
            <w:r>
              <w:rPr>
                <w:rFonts w:hint="eastAsia" w:ascii="宋体" w:hAnsi="宋体" w:cs="宋体"/>
                <w:color w:val="auto"/>
                <w:kern w:val="0"/>
                <w:sz w:val="24"/>
                <w:szCs w:val="24"/>
              </w:rPr>
              <w:t>组立体主输出、≥</w:t>
            </w:r>
            <w:r>
              <w:rPr>
                <w:rFonts w:ascii="宋体" w:hAnsi="宋体" w:cs="宋体"/>
                <w:color w:val="auto"/>
                <w:kern w:val="0"/>
                <w:sz w:val="24"/>
                <w:szCs w:val="24"/>
              </w:rPr>
              <w:t>4</w:t>
            </w:r>
            <w:r>
              <w:rPr>
                <w:rFonts w:hint="eastAsia" w:ascii="宋体" w:hAnsi="宋体" w:cs="宋体"/>
                <w:color w:val="auto"/>
                <w:kern w:val="0"/>
                <w:sz w:val="24"/>
                <w:szCs w:val="24"/>
              </w:rPr>
              <w:t>路编组输出、≥</w:t>
            </w:r>
            <w:r>
              <w:rPr>
                <w:rFonts w:ascii="宋体" w:hAnsi="宋体" w:cs="宋体"/>
                <w:color w:val="auto"/>
                <w:kern w:val="0"/>
                <w:sz w:val="24"/>
                <w:szCs w:val="24"/>
              </w:rPr>
              <w:t>4</w:t>
            </w:r>
            <w:r>
              <w:rPr>
                <w:rFonts w:hint="eastAsia" w:ascii="宋体" w:hAnsi="宋体" w:cs="宋体"/>
                <w:color w:val="auto"/>
                <w:kern w:val="0"/>
                <w:sz w:val="24"/>
                <w:szCs w:val="24"/>
              </w:rPr>
              <w:t>路辅助输出、≥</w:t>
            </w:r>
            <w:r>
              <w:rPr>
                <w:rFonts w:ascii="宋体" w:hAnsi="宋体" w:cs="宋体"/>
                <w:color w:val="auto"/>
                <w:kern w:val="0"/>
                <w:sz w:val="24"/>
                <w:szCs w:val="24"/>
              </w:rPr>
              <w:t>1</w:t>
            </w:r>
            <w:r>
              <w:rPr>
                <w:rFonts w:hint="eastAsia" w:ascii="宋体" w:hAnsi="宋体" w:cs="宋体"/>
                <w:color w:val="auto"/>
                <w:kern w:val="0"/>
                <w:sz w:val="24"/>
                <w:szCs w:val="24"/>
              </w:rPr>
              <w:t>组立体声监听输出、≥</w:t>
            </w:r>
            <w:r>
              <w:rPr>
                <w:rFonts w:ascii="宋体" w:hAnsi="宋体" w:cs="宋体"/>
                <w:color w:val="auto"/>
                <w:kern w:val="0"/>
                <w:sz w:val="24"/>
                <w:szCs w:val="24"/>
              </w:rPr>
              <w:t>1</w:t>
            </w:r>
            <w:r>
              <w:rPr>
                <w:rFonts w:hint="eastAsia" w:ascii="宋体" w:hAnsi="宋体" w:cs="宋体"/>
                <w:color w:val="auto"/>
                <w:kern w:val="0"/>
                <w:sz w:val="24"/>
                <w:szCs w:val="24"/>
              </w:rPr>
              <w:t>个耳机监听输出、≥</w:t>
            </w:r>
            <w:r>
              <w:rPr>
                <w:rFonts w:ascii="宋体" w:hAnsi="宋体" w:cs="宋体"/>
                <w:color w:val="auto"/>
                <w:kern w:val="0"/>
                <w:sz w:val="24"/>
                <w:szCs w:val="24"/>
              </w:rPr>
              <w:t>2</w:t>
            </w:r>
            <w:r>
              <w:rPr>
                <w:rFonts w:hint="eastAsia" w:ascii="宋体" w:hAnsi="宋体" w:cs="宋体"/>
                <w:color w:val="auto"/>
                <w:kern w:val="0"/>
                <w:sz w:val="24"/>
                <w:szCs w:val="24"/>
              </w:rPr>
              <w:t>个效果输出、≥</w:t>
            </w:r>
            <w:r>
              <w:rPr>
                <w:rFonts w:ascii="宋体" w:hAnsi="宋体" w:cs="宋体"/>
                <w:color w:val="auto"/>
                <w:kern w:val="0"/>
                <w:sz w:val="24"/>
                <w:szCs w:val="24"/>
              </w:rPr>
              <w:t>1</w:t>
            </w:r>
            <w:r>
              <w:rPr>
                <w:rFonts w:hint="eastAsia" w:ascii="宋体" w:hAnsi="宋体" w:cs="宋体"/>
                <w:color w:val="auto"/>
                <w:kern w:val="0"/>
                <w:sz w:val="24"/>
                <w:szCs w:val="24"/>
              </w:rPr>
              <w:t>组主混音断点插入、≥</w:t>
            </w:r>
            <w:r>
              <w:rPr>
                <w:rFonts w:ascii="宋体" w:hAnsi="宋体" w:cs="宋体"/>
                <w:color w:val="auto"/>
                <w:kern w:val="0"/>
                <w:sz w:val="24"/>
                <w:szCs w:val="24"/>
              </w:rPr>
              <w:t>6</w:t>
            </w:r>
            <w:r>
              <w:rPr>
                <w:rFonts w:hint="eastAsia" w:ascii="宋体" w:hAnsi="宋体" w:cs="宋体"/>
                <w:color w:val="auto"/>
                <w:kern w:val="0"/>
                <w:sz w:val="24"/>
                <w:szCs w:val="24"/>
              </w:rPr>
              <w:t>个断点插入；</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、内置</w:t>
            </w:r>
            <w:r>
              <w:rPr>
                <w:rFonts w:ascii="宋体" w:hAnsi="宋体" w:cs="宋体"/>
                <w:color w:val="auto"/>
                <w:kern w:val="0"/>
                <w:sz w:val="24"/>
                <w:szCs w:val="24"/>
              </w:rPr>
              <w:t>24</w:t>
            </w:r>
            <w:r>
              <w:rPr>
                <w:rFonts w:hint="eastAsia" w:ascii="宋体" w:hAnsi="宋体" w:cs="宋体"/>
                <w:color w:val="auto"/>
                <w:kern w:val="0"/>
                <w:sz w:val="24"/>
                <w:szCs w:val="24"/>
              </w:rPr>
              <w:t>位</w:t>
            </w:r>
            <w:r>
              <w:rPr>
                <w:rFonts w:ascii="宋体" w:hAnsi="宋体" w:cs="宋体"/>
                <w:color w:val="auto"/>
                <w:kern w:val="0"/>
                <w:sz w:val="24"/>
                <w:szCs w:val="24"/>
              </w:rPr>
              <w:t>DSP</w:t>
            </w:r>
            <w:r>
              <w:rPr>
                <w:rFonts w:hint="eastAsia" w:ascii="宋体" w:hAnsi="宋体" w:cs="宋体"/>
                <w:color w:val="auto"/>
                <w:kern w:val="0"/>
                <w:sz w:val="24"/>
                <w:szCs w:val="24"/>
              </w:rPr>
              <w:t>效果器，提供</w:t>
            </w:r>
            <w:r>
              <w:rPr>
                <w:rFonts w:ascii="宋体" w:hAnsi="宋体" w:cs="宋体"/>
                <w:color w:val="auto"/>
                <w:kern w:val="0"/>
                <w:sz w:val="24"/>
                <w:szCs w:val="24"/>
              </w:rPr>
              <w:t>100</w:t>
            </w:r>
            <w:r>
              <w:rPr>
                <w:rFonts w:hint="eastAsia" w:ascii="宋体" w:hAnsi="宋体" w:cs="宋体"/>
                <w:color w:val="auto"/>
                <w:kern w:val="0"/>
                <w:sz w:val="24"/>
                <w:szCs w:val="24"/>
              </w:rPr>
              <w:t>种预设效果；</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、具备</w:t>
            </w:r>
            <w:r>
              <w:rPr>
                <w:rFonts w:ascii="宋体" w:hAnsi="宋体" w:cs="宋体"/>
                <w:color w:val="auto"/>
                <w:kern w:val="0"/>
                <w:sz w:val="24"/>
                <w:szCs w:val="24"/>
              </w:rPr>
              <w:t>13</w:t>
            </w:r>
            <w:r>
              <w:rPr>
                <w:rFonts w:hint="eastAsia" w:ascii="宋体" w:hAnsi="宋体" w:cs="宋体"/>
                <w:color w:val="auto"/>
                <w:kern w:val="0"/>
                <w:sz w:val="24"/>
                <w:szCs w:val="24"/>
              </w:rPr>
              <w:t>个</w:t>
            </w:r>
            <w:r>
              <w:rPr>
                <w:rFonts w:ascii="宋体" w:hAnsi="宋体" w:cs="宋体"/>
                <w:color w:val="auto"/>
                <w:kern w:val="0"/>
                <w:sz w:val="24"/>
                <w:szCs w:val="24"/>
              </w:rPr>
              <w:t>60mm</w:t>
            </w:r>
            <w:r>
              <w:rPr>
                <w:rFonts w:hint="eastAsia" w:ascii="宋体" w:hAnsi="宋体" w:cs="宋体"/>
                <w:color w:val="auto"/>
                <w:kern w:val="0"/>
                <w:sz w:val="24"/>
                <w:szCs w:val="24"/>
              </w:rPr>
              <w:t>行程的高精密碳膜推子；</w:t>
            </w:r>
          </w:p>
          <w:p>
            <w:pPr>
              <w:widowControl/>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、内置</w:t>
            </w:r>
            <w:r>
              <w:rPr>
                <w:rFonts w:ascii="宋体" w:hAnsi="宋体" w:cs="宋体"/>
                <w:color w:val="auto"/>
                <w:kern w:val="0"/>
                <w:sz w:val="24"/>
                <w:szCs w:val="24"/>
              </w:rPr>
              <w:t>USB</w:t>
            </w:r>
            <w:r>
              <w:rPr>
                <w:rFonts w:hint="eastAsia" w:ascii="宋体" w:hAnsi="宋体" w:cs="宋体"/>
                <w:color w:val="auto"/>
                <w:kern w:val="0"/>
                <w:sz w:val="24"/>
                <w:szCs w:val="24"/>
              </w:rPr>
              <w:t>声卡模块，支持连接电脑进行音乐播放和声音录音；内置</w:t>
            </w:r>
            <w:r>
              <w:rPr>
                <w:rFonts w:ascii="宋体" w:hAnsi="宋体" w:cs="宋体"/>
                <w:color w:val="auto"/>
                <w:kern w:val="0"/>
                <w:sz w:val="24"/>
                <w:szCs w:val="24"/>
              </w:rPr>
              <w:t>MP3</w:t>
            </w:r>
            <w:r>
              <w:rPr>
                <w:rFonts w:hint="eastAsia" w:ascii="宋体" w:hAnsi="宋体" w:cs="宋体"/>
                <w:color w:val="auto"/>
                <w:kern w:val="0"/>
                <w:sz w:val="24"/>
                <w:szCs w:val="24"/>
              </w:rPr>
              <w:t>播放器，支持</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USB</w:t>
            </w:r>
            <w:r>
              <w:rPr>
                <w:rFonts w:hint="eastAsia" w:ascii="宋体" w:hAnsi="宋体" w:cs="宋体"/>
                <w:color w:val="auto"/>
                <w:kern w:val="0"/>
                <w:sz w:val="24"/>
                <w:szCs w:val="24"/>
              </w:rPr>
              <w:t>接口接</w:t>
            </w:r>
            <w:r>
              <w:rPr>
                <w:rFonts w:ascii="宋体" w:hAnsi="宋体" w:cs="宋体"/>
                <w:color w:val="auto"/>
                <w:kern w:val="0"/>
                <w:sz w:val="24"/>
                <w:szCs w:val="24"/>
              </w:rPr>
              <w:t>U</w:t>
            </w:r>
            <w:r>
              <w:rPr>
                <w:rFonts w:hint="eastAsia" w:ascii="宋体" w:hAnsi="宋体" w:cs="宋体"/>
                <w:color w:val="auto"/>
                <w:kern w:val="0"/>
                <w:sz w:val="24"/>
                <w:szCs w:val="24"/>
              </w:rPr>
              <w:t>盘播放音乐。</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17</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音频处理器</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、数字音频处理器支持≥</w:t>
            </w:r>
            <w:r>
              <w:rPr>
                <w:rFonts w:ascii="宋体" w:hAnsi="宋体" w:cs="宋体"/>
                <w:color w:val="auto"/>
                <w:kern w:val="0"/>
                <w:sz w:val="24"/>
                <w:szCs w:val="24"/>
              </w:rPr>
              <w:t>4</w:t>
            </w:r>
            <w:r>
              <w:rPr>
                <w:rFonts w:hint="eastAsia" w:ascii="宋体" w:hAnsi="宋体" w:cs="宋体"/>
                <w:color w:val="auto"/>
                <w:kern w:val="0"/>
                <w:sz w:val="24"/>
                <w:szCs w:val="24"/>
              </w:rPr>
              <w:t>路平衡式话筒</w:t>
            </w:r>
            <w:r>
              <w:rPr>
                <w:rFonts w:ascii="宋体" w:hAnsi="宋体" w:cs="宋体"/>
                <w:color w:val="auto"/>
                <w:kern w:val="0"/>
                <w:sz w:val="24"/>
                <w:szCs w:val="24"/>
              </w:rPr>
              <w:t>/</w:t>
            </w:r>
            <w:r>
              <w:rPr>
                <w:rFonts w:hint="eastAsia" w:ascii="宋体" w:hAnsi="宋体" w:cs="宋体"/>
                <w:color w:val="auto"/>
                <w:kern w:val="0"/>
                <w:sz w:val="24"/>
                <w:szCs w:val="24"/>
              </w:rPr>
              <w:t>线路输入通道，采用裸线接口端子，平衡接法；支持≥</w:t>
            </w:r>
            <w:r>
              <w:rPr>
                <w:rFonts w:ascii="宋体" w:hAnsi="宋体" w:cs="宋体"/>
                <w:color w:val="auto"/>
                <w:kern w:val="0"/>
                <w:sz w:val="24"/>
                <w:szCs w:val="24"/>
              </w:rPr>
              <w:t>4</w:t>
            </w:r>
            <w:r>
              <w:rPr>
                <w:rFonts w:hint="eastAsia" w:ascii="宋体" w:hAnsi="宋体" w:cs="宋体"/>
                <w:color w:val="auto"/>
                <w:kern w:val="0"/>
                <w:sz w:val="24"/>
                <w:szCs w:val="24"/>
              </w:rPr>
              <w:t>路平衡式线路输出，采用裸线接口端子，平衡接法；</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、输入通道支持前级放大、信号发生器、扩展器、压缩器、</w:t>
            </w:r>
            <w:r>
              <w:rPr>
                <w:rFonts w:ascii="宋体" w:hAnsi="宋体" w:cs="宋体"/>
                <w:color w:val="auto"/>
                <w:kern w:val="0"/>
                <w:sz w:val="24"/>
                <w:szCs w:val="24"/>
              </w:rPr>
              <w:t>5</w:t>
            </w:r>
            <w:r>
              <w:rPr>
                <w:rFonts w:hint="eastAsia" w:ascii="宋体" w:hAnsi="宋体" w:cs="宋体"/>
                <w:color w:val="auto"/>
                <w:kern w:val="0"/>
                <w:sz w:val="24"/>
                <w:szCs w:val="24"/>
              </w:rPr>
              <w:t>段参量均衡、</w:t>
            </w:r>
            <w:r>
              <w:rPr>
                <w:rFonts w:ascii="宋体" w:hAnsi="宋体" w:cs="宋体"/>
                <w:color w:val="auto"/>
                <w:kern w:val="0"/>
                <w:sz w:val="24"/>
                <w:szCs w:val="24"/>
              </w:rPr>
              <w:t>AM</w:t>
            </w:r>
            <w:r>
              <w:rPr>
                <w:rFonts w:hint="eastAsia" w:ascii="宋体" w:hAnsi="宋体" w:cs="宋体"/>
                <w:color w:val="auto"/>
                <w:kern w:val="0"/>
                <w:sz w:val="24"/>
                <w:szCs w:val="24"/>
              </w:rPr>
              <w:t>自动混音功能、</w:t>
            </w:r>
            <w:r>
              <w:rPr>
                <w:rFonts w:ascii="宋体" w:hAnsi="宋体" w:cs="宋体"/>
                <w:color w:val="auto"/>
                <w:kern w:val="0"/>
                <w:sz w:val="24"/>
                <w:szCs w:val="24"/>
              </w:rPr>
              <w:t>AFC</w:t>
            </w:r>
            <w:r>
              <w:rPr>
                <w:rFonts w:hint="eastAsia" w:ascii="宋体" w:hAnsi="宋体" w:cs="宋体"/>
                <w:color w:val="auto"/>
                <w:kern w:val="0"/>
                <w:sz w:val="24"/>
                <w:szCs w:val="24"/>
              </w:rPr>
              <w:t>自适应反馈消除、</w:t>
            </w:r>
            <w:r>
              <w:rPr>
                <w:rFonts w:ascii="宋体" w:hAnsi="宋体" w:cs="宋体"/>
                <w:color w:val="auto"/>
                <w:kern w:val="0"/>
                <w:sz w:val="24"/>
                <w:szCs w:val="24"/>
              </w:rPr>
              <w:t>AEC</w:t>
            </w:r>
            <w:r>
              <w:rPr>
                <w:rFonts w:hint="eastAsia" w:ascii="宋体" w:hAnsi="宋体" w:cs="宋体"/>
                <w:color w:val="auto"/>
                <w:kern w:val="0"/>
                <w:sz w:val="24"/>
                <w:szCs w:val="24"/>
              </w:rPr>
              <w:t>回声消除、</w:t>
            </w:r>
            <w:r>
              <w:rPr>
                <w:rFonts w:ascii="宋体" w:hAnsi="宋体" w:cs="宋体"/>
                <w:color w:val="auto"/>
                <w:kern w:val="0"/>
                <w:sz w:val="24"/>
                <w:szCs w:val="24"/>
              </w:rPr>
              <w:t>ANC</w:t>
            </w:r>
            <w:r>
              <w:rPr>
                <w:rFonts w:hint="eastAsia" w:ascii="宋体" w:hAnsi="宋体" w:cs="宋体"/>
                <w:color w:val="auto"/>
                <w:kern w:val="0"/>
                <w:sz w:val="24"/>
                <w:szCs w:val="24"/>
              </w:rPr>
              <w:t>噪声消除；</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、输出通道支持</w:t>
            </w:r>
            <w:r>
              <w:rPr>
                <w:rFonts w:ascii="宋体" w:hAnsi="宋体" w:cs="宋体"/>
                <w:color w:val="auto"/>
                <w:kern w:val="0"/>
                <w:sz w:val="24"/>
                <w:szCs w:val="24"/>
              </w:rPr>
              <w:t>31</w:t>
            </w:r>
            <w:r>
              <w:rPr>
                <w:rFonts w:hint="eastAsia" w:ascii="宋体" w:hAnsi="宋体" w:cs="宋体"/>
                <w:color w:val="auto"/>
                <w:kern w:val="0"/>
                <w:sz w:val="24"/>
                <w:szCs w:val="24"/>
              </w:rPr>
              <w:t>段参量均衡器、延时器、分频器、高低通滤波器、限幅器；</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w:t>
            </w:r>
            <w:r>
              <w:rPr>
                <w:rFonts w:ascii="宋体" w:hAnsi="宋体" w:cs="宋体"/>
                <w:color w:val="auto"/>
                <w:kern w:val="0"/>
                <w:sz w:val="24"/>
                <w:szCs w:val="24"/>
              </w:rPr>
              <w:t>24bit/48KHz</w:t>
            </w:r>
            <w:r>
              <w:rPr>
                <w:rFonts w:hint="eastAsia" w:ascii="宋体" w:hAnsi="宋体" w:cs="宋体"/>
                <w:color w:val="auto"/>
                <w:kern w:val="0"/>
                <w:sz w:val="24"/>
                <w:szCs w:val="24"/>
              </w:rPr>
              <w:t>的声音，支持输入通道</w:t>
            </w:r>
            <w:r>
              <w:rPr>
                <w:rFonts w:ascii="宋体" w:hAnsi="宋体" w:cs="宋体"/>
                <w:color w:val="auto"/>
                <w:kern w:val="0"/>
                <w:sz w:val="24"/>
                <w:szCs w:val="24"/>
              </w:rPr>
              <w:t>48V</w:t>
            </w:r>
            <w:r>
              <w:rPr>
                <w:rFonts w:hint="eastAsia" w:ascii="宋体" w:hAnsi="宋体" w:cs="宋体"/>
                <w:color w:val="auto"/>
                <w:kern w:val="0"/>
                <w:sz w:val="24"/>
                <w:szCs w:val="24"/>
              </w:rPr>
              <w:t>幻象供电；</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、支持通过</w:t>
            </w:r>
            <w:r>
              <w:rPr>
                <w:rFonts w:ascii="宋体" w:hAnsi="宋体" w:cs="宋体"/>
                <w:color w:val="auto"/>
                <w:kern w:val="0"/>
                <w:sz w:val="24"/>
                <w:szCs w:val="24"/>
              </w:rPr>
              <w:t>ipad</w:t>
            </w:r>
            <w:r>
              <w:rPr>
                <w:rFonts w:hint="eastAsia" w:ascii="宋体" w:hAnsi="宋体" w:cs="宋体"/>
                <w:color w:val="auto"/>
                <w:kern w:val="0"/>
                <w:sz w:val="24"/>
                <w:szCs w:val="24"/>
              </w:rPr>
              <w:t>或</w:t>
            </w:r>
            <w:r>
              <w:rPr>
                <w:rFonts w:ascii="宋体" w:hAnsi="宋体" w:cs="宋体"/>
                <w:color w:val="auto"/>
                <w:kern w:val="0"/>
                <w:sz w:val="24"/>
                <w:szCs w:val="24"/>
              </w:rPr>
              <w:t>iPhone</w:t>
            </w:r>
            <w:r>
              <w:rPr>
                <w:rFonts w:hint="eastAsia" w:ascii="宋体" w:hAnsi="宋体" w:cs="宋体"/>
                <w:color w:val="auto"/>
                <w:kern w:val="0"/>
                <w:sz w:val="24"/>
                <w:szCs w:val="24"/>
              </w:rPr>
              <w:t>或安卓手机</w:t>
            </w:r>
            <w:r>
              <w:rPr>
                <w:rFonts w:ascii="宋体" w:hAnsi="宋体" w:cs="宋体"/>
                <w:color w:val="auto"/>
                <w:kern w:val="0"/>
                <w:sz w:val="24"/>
                <w:szCs w:val="24"/>
              </w:rPr>
              <w:t>APP</w:t>
            </w:r>
            <w:r>
              <w:rPr>
                <w:rFonts w:hint="eastAsia" w:ascii="宋体" w:hAnsi="宋体" w:cs="宋体"/>
                <w:color w:val="auto"/>
                <w:kern w:val="0"/>
                <w:sz w:val="24"/>
                <w:szCs w:val="24"/>
              </w:rPr>
              <w:t>软件进行操作控制，面板具备</w:t>
            </w:r>
            <w:r>
              <w:rPr>
                <w:rFonts w:ascii="宋体" w:hAnsi="宋体" w:cs="宋体"/>
                <w:color w:val="auto"/>
                <w:kern w:val="0"/>
                <w:sz w:val="24"/>
                <w:szCs w:val="24"/>
              </w:rPr>
              <w:t>USB</w:t>
            </w:r>
            <w:r>
              <w:rPr>
                <w:rFonts w:hint="eastAsia" w:ascii="宋体" w:hAnsi="宋体" w:cs="宋体"/>
                <w:color w:val="auto"/>
                <w:kern w:val="0"/>
                <w:sz w:val="24"/>
                <w:szCs w:val="24"/>
              </w:rPr>
              <w:t>接口，支持多媒体存储，可进行播放或存储录播；</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、配置双向</w:t>
            </w:r>
            <w:r>
              <w:rPr>
                <w:rFonts w:ascii="宋体" w:hAnsi="宋体" w:cs="宋体"/>
                <w:color w:val="auto"/>
                <w:kern w:val="0"/>
                <w:sz w:val="24"/>
                <w:szCs w:val="24"/>
              </w:rPr>
              <w:t>RS-232</w:t>
            </w:r>
            <w:r>
              <w:rPr>
                <w:rFonts w:hint="eastAsia" w:ascii="宋体" w:hAnsi="宋体" w:cs="宋体"/>
                <w:color w:val="auto"/>
                <w:kern w:val="0"/>
                <w:sz w:val="24"/>
                <w:szCs w:val="24"/>
              </w:rPr>
              <w:t>接口，可用于控制外部设备；配置</w:t>
            </w:r>
            <w:r>
              <w:rPr>
                <w:rFonts w:ascii="宋体" w:hAnsi="宋体" w:cs="宋体"/>
                <w:color w:val="auto"/>
                <w:kern w:val="0"/>
                <w:sz w:val="24"/>
                <w:szCs w:val="24"/>
              </w:rPr>
              <w:t>RS-485</w:t>
            </w:r>
            <w:r>
              <w:rPr>
                <w:rFonts w:hint="eastAsia" w:ascii="宋体" w:hAnsi="宋体" w:cs="宋体"/>
                <w:color w:val="auto"/>
                <w:kern w:val="0"/>
                <w:sz w:val="24"/>
                <w:szCs w:val="24"/>
              </w:rPr>
              <w:t>接口，可实现自动摄像跟踪功能。配置</w:t>
            </w:r>
            <w:r>
              <w:rPr>
                <w:rFonts w:ascii="宋体" w:hAnsi="宋体" w:cs="宋体"/>
                <w:color w:val="auto"/>
                <w:kern w:val="0"/>
                <w:sz w:val="24"/>
                <w:szCs w:val="24"/>
              </w:rPr>
              <w:t>8</w:t>
            </w:r>
            <w:r>
              <w:rPr>
                <w:rFonts w:hint="eastAsia" w:ascii="宋体" w:hAnsi="宋体" w:cs="宋体"/>
                <w:color w:val="auto"/>
                <w:kern w:val="0"/>
                <w:sz w:val="24"/>
                <w:szCs w:val="24"/>
              </w:rPr>
              <w:t>通道可编程</w:t>
            </w:r>
            <w:r>
              <w:rPr>
                <w:rFonts w:ascii="宋体" w:hAnsi="宋体" w:cs="宋体"/>
                <w:color w:val="auto"/>
                <w:kern w:val="0"/>
                <w:sz w:val="24"/>
                <w:szCs w:val="24"/>
              </w:rPr>
              <w:t>GPIO</w:t>
            </w:r>
            <w:r>
              <w:rPr>
                <w:rFonts w:hint="eastAsia" w:ascii="宋体" w:hAnsi="宋体" w:cs="宋体"/>
                <w:color w:val="auto"/>
                <w:kern w:val="0"/>
                <w:sz w:val="24"/>
                <w:szCs w:val="24"/>
              </w:rPr>
              <w:t>控制接口（可自定义输入输出）；</w:t>
            </w:r>
          </w:p>
          <w:p>
            <w:pPr>
              <w:widowControl/>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、支持断电自动保护记忆功能。支持通道拷贝、粘贴、联控功能。支持通过浏览器访问设备，下载自带管理控制软件；可工作在</w:t>
            </w:r>
            <w:r>
              <w:rPr>
                <w:rFonts w:ascii="宋体" w:hAnsi="宋体" w:cs="宋体"/>
                <w:color w:val="auto"/>
                <w:kern w:val="0"/>
                <w:sz w:val="24"/>
                <w:szCs w:val="24"/>
              </w:rPr>
              <w:t>XP/Windows7.8.10</w:t>
            </w:r>
            <w:r>
              <w:rPr>
                <w:rFonts w:hint="eastAsia" w:ascii="宋体" w:hAnsi="宋体" w:cs="宋体"/>
                <w:color w:val="auto"/>
                <w:kern w:val="0"/>
                <w:sz w:val="24"/>
                <w:szCs w:val="24"/>
              </w:rPr>
              <w:t>等系统环境下。</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18</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电源时序器</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、支持</w:t>
            </w:r>
            <w:r>
              <w:rPr>
                <w:rFonts w:ascii="宋体" w:hAnsi="宋体" w:cs="宋体"/>
                <w:color w:val="auto"/>
                <w:kern w:val="0"/>
                <w:sz w:val="24"/>
                <w:szCs w:val="24"/>
              </w:rPr>
              <w:t>8</w:t>
            </w:r>
            <w:r>
              <w:rPr>
                <w:rFonts w:hint="eastAsia" w:ascii="宋体" w:hAnsi="宋体" w:cs="宋体"/>
                <w:color w:val="auto"/>
                <w:kern w:val="0"/>
                <w:sz w:val="24"/>
                <w:szCs w:val="24"/>
              </w:rPr>
              <w:t>通道电源时序打开</w:t>
            </w:r>
            <w:r>
              <w:rPr>
                <w:rFonts w:ascii="宋体" w:hAnsi="宋体" w:cs="宋体"/>
                <w:color w:val="auto"/>
                <w:kern w:val="0"/>
                <w:sz w:val="24"/>
                <w:szCs w:val="24"/>
              </w:rPr>
              <w:t>/</w:t>
            </w:r>
            <w:r>
              <w:rPr>
                <w:rFonts w:hint="eastAsia" w:ascii="宋体" w:hAnsi="宋体" w:cs="宋体"/>
                <w:color w:val="auto"/>
                <w:kern w:val="0"/>
                <w:sz w:val="24"/>
                <w:szCs w:val="24"/>
              </w:rPr>
              <w:t>关闭，每路动作延时时间：</w:t>
            </w:r>
            <w:r>
              <w:rPr>
                <w:rFonts w:ascii="宋体" w:hAnsi="宋体" w:cs="宋体"/>
                <w:color w:val="auto"/>
                <w:kern w:val="0"/>
                <w:sz w:val="24"/>
                <w:szCs w:val="24"/>
              </w:rPr>
              <w:t>1</w:t>
            </w:r>
            <w:r>
              <w:rPr>
                <w:rFonts w:hint="eastAsia" w:ascii="宋体" w:hAnsi="宋体" w:cs="宋体"/>
                <w:color w:val="auto"/>
                <w:kern w:val="0"/>
                <w:sz w:val="24"/>
                <w:szCs w:val="24"/>
              </w:rPr>
              <w:t>秒，支持远程控制（上电</w:t>
            </w:r>
            <w:r>
              <w:rPr>
                <w:rFonts w:ascii="宋体" w:hAnsi="宋体" w:cs="宋体"/>
                <w:color w:val="auto"/>
                <w:kern w:val="0"/>
                <w:sz w:val="24"/>
                <w:szCs w:val="24"/>
              </w:rPr>
              <w:t>+24V</w:t>
            </w:r>
            <w:r>
              <w:rPr>
                <w:rFonts w:hint="eastAsia" w:ascii="宋体" w:hAnsi="宋体" w:cs="宋体"/>
                <w:color w:val="auto"/>
                <w:kern w:val="0"/>
                <w:sz w:val="24"/>
                <w:szCs w:val="24"/>
              </w:rPr>
              <w:t>直流信号）</w:t>
            </w:r>
            <w:r>
              <w:rPr>
                <w:rFonts w:ascii="宋体" w:hAnsi="宋体" w:cs="宋体"/>
                <w:color w:val="auto"/>
                <w:kern w:val="0"/>
                <w:sz w:val="24"/>
                <w:szCs w:val="24"/>
              </w:rPr>
              <w:t>8</w:t>
            </w:r>
            <w:r>
              <w:rPr>
                <w:rFonts w:hint="eastAsia" w:ascii="宋体" w:hAnsi="宋体" w:cs="宋体"/>
                <w:color w:val="auto"/>
                <w:kern w:val="0"/>
                <w:sz w:val="24"/>
                <w:szCs w:val="24"/>
              </w:rPr>
              <w:t>通道电源时序打开</w:t>
            </w:r>
            <w:r>
              <w:rPr>
                <w:rFonts w:ascii="宋体" w:hAnsi="宋体" w:cs="宋体"/>
                <w:color w:val="auto"/>
                <w:kern w:val="0"/>
                <w:sz w:val="24"/>
                <w:szCs w:val="24"/>
              </w:rPr>
              <w:t>/</w:t>
            </w:r>
            <w:r>
              <w:rPr>
                <w:rFonts w:hint="eastAsia" w:ascii="宋体" w:hAnsi="宋体" w:cs="宋体"/>
                <w:color w:val="auto"/>
                <w:kern w:val="0"/>
                <w:sz w:val="24"/>
                <w:szCs w:val="24"/>
              </w:rPr>
              <w:t>关闭</w:t>
            </w:r>
            <w:r>
              <w:rPr>
                <w:rFonts w:ascii="宋体" w:hAnsi="宋体" w:cs="宋体"/>
                <w:color w:val="auto"/>
                <w:kern w:val="0"/>
                <w:sz w:val="24"/>
                <w:szCs w:val="24"/>
              </w:rPr>
              <w:t>—</w:t>
            </w:r>
            <w:r>
              <w:rPr>
                <w:rFonts w:hint="eastAsia" w:ascii="宋体" w:hAnsi="宋体" w:cs="宋体"/>
                <w:color w:val="auto"/>
                <w:kern w:val="0"/>
                <w:sz w:val="24"/>
                <w:szCs w:val="24"/>
              </w:rPr>
              <w:t>当电源开关锁处于</w:t>
            </w:r>
            <w:r>
              <w:rPr>
                <w:rFonts w:ascii="宋体" w:hAnsi="宋体" w:cs="宋体"/>
                <w:color w:val="auto"/>
                <w:kern w:val="0"/>
                <w:sz w:val="24"/>
                <w:szCs w:val="24"/>
              </w:rPr>
              <w:t>off</w:t>
            </w:r>
            <w:r>
              <w:rPr>
                <w:rFonts w:hint="eastAsia" w:ascii="宋体" w:hAnsi="宋体" w:cs="宋体"/>
                <w:color w:val="auto"/>
                <w:kern w:val="0"/>
                <w:sz w:val="24"/>
                <w:szCs w:val="24"/>
              </w:rPr>
              <w:t>位置时有效。支持配置</w:t>
            </w:r>
            <w:r>
              <w:rPr>
                <w:rFonts w:ascii="宋体" w:hAnsi="宋体" w:cs="宋体"/>
                <w:color w:val="auto"/>
                <w:kern w:val="0"/>
                <w:sz w:val="24"/>
                <w:szCs w:val="24"/>
              </w:rPr>
              <w:t>CH1</w:t>
            </w:r>
            <w:r>
              <w:rPr>
                <w:rFonts w:hint="eastAsia" w:ascii="宋体" w:hAnsi="宋体" w:cs="宋体"/>
                <w:color w:val="auto"/>
                <w:kern w:val="0"/>
                <w:sz w:val="24"/>
                <w:szCs w:val="24"/>
              </w:rPr>
              <w:t>和</w:t>
            </w:r>
            <w:r>
              <w:rPr>
                <w:rFonts w:ascii="宋体" w:hAnsi="宋体" w:cs="宋体"/>
                <w:color w:val="auto"/>
                <w:kern w:val="0"/>
                <w:sz w:val="24"/>
                <w:szCs w:val="24"/>
              </w:rPr>
              <w:t>CH2</w:t>
            </w:r>
            <w:r>
              <w:rPr>
                <w:rFonts w:hint="eastAsia" w:ascii="宋体" w:hAnsi="宋体" w:cs="宋体"/>
                <w:color w:val="auto"/>
                <w:kern w:val="0"/>
                <w:sz w:val="24"/>
                <w:szCs w:val="24"/>
              </w:rPr>
              <w:t>通道为受控或不受控状态；</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、当远程控制有效时同时控制后板</w:t>
            </w:r>
            <w:r>
              <w:rPr>
                <w:rFonts w:ascii="宋体" w:hAnsi="宋体" w:cs="宋体"/>
                <w:color w:val="auto"/>
                <w:kern w:val="0"/>
                <w:sz w:val="24"/>
                <w:szCs w:val="24"/>
              </w:rPr>
              <w:t>ALARM</w:t>
            </w:r>
            <w:r>
              <w:rPr>
                <w:rFonts w:hint="eastAsia" w:ascii="宋体" w:hAnsi="宋体" w:cs="宋体"/>
                <w:color w:val="auto"/>
                <w:kern w:val="0"/>
                <w:sz w:val="24"/>
                <w:szCs w:val="24"/>
              </w:rPr>
              <w:t>（报警）端口导通</w:t>
            </w:r>
            <w:r>
              <w:rPr>
                <w:rFonts w:ascii="宋体" w:hAnsi="宋体" w:cs="宋体"/>
                <w:color w:val="auto"/>
                <w:kern w:val="0"/>
                <w:sz w:val="24"/>
                <w:szCs w:val="24"/>
              </w:rPr>
              <w:t>—</w:t>
            </w:r>
            <w:r>
              <w:rPr>
                <w:rFonts w:hint="eastAsia" w:ascii="宋体" w:hAnsi="宋体" w:cs="宋体"/>
                <w:color w:val="auto"/>
                <w:kern w:val="0"/>
                <w:sz w:val="24"/>
                <w:szCs w:val="24"/>
              </w:rPr>
              <w:t>起到级联控制</w:t>
            </w:r>
            <w:r>
              <w:rPr>
                <w:rFonts w:ascii="宋体" w:hAnsi="宋体" w:cs="宋体"/>
                <w:color w:val="auto"/>
                <w:kern w:val="0"/>
                <w:sz w:val="24"/>
                <w:szCs w:val="24"/>
              </w:rPr>
              <w:t>ALARM</w:t>
            </w:r>
            <w:r>
              <w:rPr>
                <w:rFonts w:hint="eastAsia" w:ascii="宋体" w:hAnsi="宋体" w:cs="宋体"/>
                <w:color w:val="auto"/>
                <w:kern w:val="0"/>
                <w:sz w:val="24"/>
                <w:szCs w:val="24"/>
              </w:rPr>
              <w:t>（报警）功能；</w:t>
            </w:r>
          </w:p>
          <w:p>
            <w:pPr>
              <w:widowControl/>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、单个通道最大负载功率</w:t>
            </w:r>
            <w:r>
              <w:rPr>
                <w:rFonts w:ascii="宋体" w:hAnsi="宋体" w:cs="宋体"/>
                <w:color w:val="auto"/>
                <w:kern w:val="0"/>
                <w:sz w:val="24"/>
                <w:szCs w:val="24"/>
              </w:rPr>
              <w:t>2200W</w:t>
            </w:r>
            <w:r>
              <w:rPr>
                <w:rFonts w:hint="eastAsia" w:ascii="宋体" w:hAnsi="宋体" w:cs="宋体"/>
                <w:color w:val="auto"/>
                <w:kern w:val="0"/>
                <w:sz w:val="24"/>
                <w:szCs w:val="24"/>
              </w:rPr>
              <w:t>，所有通道负载总功率达</w:t>
            </w:r>
            <w:r>
              <w:rPr>
                <w:rFonts w:ascii="宋体" w:hAnsi="宋体" w:cs="宋体"/>
                <w:color w:val="auto"/>
                <w:kern w:val="0"/>
                <w:sz w:val="24"/>
                <w:szCs w:val="24"/>
              </w:rPr>
              <w:t>6000W</w:t>
            </w:r>
            <w:r>
              <w:rPr>
                <w:rFonts w:hint="eastAsia" w:ascii="宋体" w:hAnsi="宋体" w:cs="宋体"/>
                <w:color w:val="auto"/>
                <w:kern w:val="0"/>
                <w:sz w:val="24"/>
                <w:szCs w:val="24"/>
              </w:rPr>
              <w:t>。输出连接器：多用途电源插座。</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19</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设备机柜</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27U</w:t>
            </w:r>
            <w:r>
              <w:rPr>
                <w:rFonts w:hint="eastAsia" w:ascii="宋体" w:hAnsi="宋体" w:cs="宋体"/>
                <w:color w:val="auto"/>
                <w:kern w:val="0"/>
                <w:sz w:val="24"/>
                <w:szCs w:val="24"/>
              </w:rPr>
              <w:t>，</w:t>
            </w:r>
            <w:r>
              <w:rPr>
                <w:rFonts w:ascii="宋体" w:hAnsi="宋体" w:cs="宋体"/>
                <w:color w:val="auto"/>
                <w:kern w:val="0"/>
                <w:sz w:val="24"/>
                <w:szCs w:val="24"/>
              </w:rPr>
              <w:t>600*600*1388mm</w:t>
            </w:r>
            <w:r>
              <w:rPr>
                <w:rFonts w:hint="eastAsia" w:ascii="宋体" w:hAnsi="宋体" w:cs="宋体"/>
                <w:color w:val="auto"/>
                <w:kern w:val="0"/>
                <w:sz w:val="24"/>
                <w:szCs w:val="24"/>
              </w:rPr>
              <w:t>。</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20</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音频连接线</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1.8</w:t>
            </w:r>
            <w:r>
              <w:rPr>
                <w:rFonts w:hint="eastAsia" w:ascii="宋体" w:hAnsi="宋体" w:cs="宋体"/>
                <w:color w:val="auto"/>
                <w:kern w:val="0"/>
                <w:sz w:val="24"/>
                <w:szCs w:val="24"/>
              </w:rPr>
              <w:t>米音频连接线：卡侬头（母）</w:t>
            </w:r>
            <w:r>
              <w:rPr>
                <w:rFonts w:ascii="宋体" w:cs="宋体"/>
                <w:color w:val="auto"/>
                <w:kern w:val="0"/>
                <w:sz w:val="24"/>
                <w:szCs w:val="24"/>
              </w:rPr>
              <w:t>-</w:t>
            </w:r>
            <w:r>
              <w:rPr>
                <w:rFonts w:hint="eastAsia" w:ascii="宋体" w:hAnsi="宋体" w:cs="宋体"/>
                <w:color w:val="auto"/>
                <w:kern w:val="0"/>
                <w:sz w:val="24"/>
                <w:szCs w:val="24"/>
              </w:rPr>
              <w:t>卡侬头（公）。</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6</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条</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21</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音频连接线</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1.8</w:t>
            </w:r>
            <w:r>
              <w:rPr>
                <w:rFonts w:hint="eastAsia" w:ascii="宋体" w:hAnsi="宋体" w:cs="宋体"/>
                <w:color w:val="auto"/>
                <w:kern w:val="0"/>
                <w:sz w:val="24"/>
                <w:szCs w:val="24"/>
              </w:rPr>
              <w:t>米音频连接线：莲花（</w:t>
            </w:r>
            <w:r>
              <w:rPr>
                <w:rFonts w:ascii="宋体" w:hAnsi="宋体" w:cs="宋体"/>
                <w:color w:val="auto"/>
                <w:kern w:val="0"/>
                <w:sz w:val="24"/>
                <w:szCs w:val="24"/>
              </w:rPr>
              <w:t>RCA</w:t>
            </w:r>
            <w:r>
              <w:rPr>
                <w:rFonts w:hint="eastAsia" w:ascii="宋体" w:hAnsi="宋体" w:cs="宋体"/>
                <w:color w:val="auto"/>
                <w:kern w:val="0"/>
                <w:sz w:val="24"/>
                <w:szCs w:val="24"/>
              </w:rPr>
              <w:t>）</w:t>
            </w:r>
            <w:r>
              <w:rPr>
                <w:rFonts w:ascii="宋体" w:hAnsi="宋体" w:cs="宋体"/>
                <w:color w:val="auto"/>
                <w:kern w:val="0"/>
                <w:sz w:val="24"/>
                <w:szCs w:val="24"/>
              </w:rPr>
              <w:t>-6.35</w:t>
            </w:r>
            <w:r>
              <w:rPr>
                <w:rFonts w:hint="eastAsia" w:ascii="宋体" w:hAnsi="宋体" w:cs="宋体"/>
                <w:color w:val="auto"/>
                <w:kern w:val="0"/>
                <w:sz w:val="24"/>
                <w:szCs w:val="24"/>
              </w:rPr>
              <w:t>话筒插头。</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2</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条</w:t>
            </w:r>
          </w:p>
        </w:tc>
      </w:tr>
      <w:tr>
        <w:tblPrEx>
          <w:tblCellMar>
            <w:top w:w="0" w:type="dxa"/>
            <w:left w:w="10" w:type="dxa"/>
            <w:bottom w:w="0" w:type="dxa"/>
            <w:right w:w="10" w:type="dxa"/>
          </w:tblCellMar>
        </w:tblPrEx>
        <w:trPr>
          <w:trHeight w:val="1" w:hRule="atLeast"/>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ascii="宋体" w:hAnsi="宋体" w:cs="宋体"/>
                <w:color w:val="auto"/>
                <w:sz w:val="24"/>
                <w:szCs w:val="24"/>
              </w:rPr>
              <w:t>22</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left"/>
              <w:rPr>
                <w:rFonts w:ascii="宋体"/>
                <w:color w:val="auto"/>
                <w:kern w:val="0"/>
                <w:sz w:val="24"/>
                <w:szCs w:val="24"/>
              </w:rPr>
            </w:pPr>
            <w:r>
              <w:rPr>
                <w:rFonts w:hint="eastAsia" w:ascii="宋体" w:hAnsi="宋体" w:cs="宋体"/>
                <w:color w:val="auto"/>
                <w:sz w:val="24"/>
                <w:szCs w:val="24"/>
              </w:rPr>
              <w:t>音频连接线</w:t>
            </w:r>
          </w:p>
        </w:tc>
        <w:tc>
          <w:tcPr>
            <w:tcW w:w="6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1.8</w:t>
            </w:r>
            <w:r>
              <w:rPr>
                <w:rFonts w:hint="eastAsia" w:ascii="宋体" w:hAnsi="宋体" w:cs="宋体"/>
                <w:color w:val="auto"/>
                <w:kern w:val="0"/>
                <w:sz w:val="24"/>
                <w:szCs w:val="24"/>
              </w:rPr>
              <w:t>米音频连接线：</w:t>
            </w:r>
            <w:r>
              <w:rPr>
                <w:rFonts w:ascii="宋体" w:hAnsi="宋体" w:cs="宋体"/>
                <w:color w:val="auto"/>
                <w:kern w:val="0"/>
                <w:sz w:val="24"/>
                <w:szCs w:val="24"/>
              </w:rPr>
              <w:t>3.5</w:t>
            </w:r>
            <w:r>
              <w:rPr>
                <w:rFonts w:hint="eastAsia" w:ascii="宋体" w:hAnsi="宋体" w:cs="宋体"/>
                <w:color w:val="auto"/>
                <w:kern w:val="0"/>
                <w:sz w:val="24"/>
                <w:szCs w:val="24"/>
              </w:rPr>
              <w:t>（耳机插头）</w:t>
            </w:r>
            <w:r>
              <w:rPr>
                <w:rFonts w:ascii="宋体" w:cs="宋体"/>
                <w:color w:val="auto"/>
                <w:kern w:val="0"/>
                <w:sz w:val="24"/>
                <w:szCs w:val="24"/>
              </w:rPr>
              <w:t>-</w:t>
            </w:r>
            <w:r>
              <w:rPr>
                <w:rFonts w:hint="eastAsia" w:ascii="宋体" w:hAnsi="宋体" w:cs="宋体"/>
                <w:color w:val="auto"/>
                <w:kern w:val="0"/>
                <w:sz w:val="24"/>
                <w:szCs w:val="24"/>
              </w:rPr>
              <w:t>双</w:t>
            </w:r>
            <w:r>
              <w:rPr>
                <w:rFonts w:ascii="宋体" w:hAnsi="宋体" w:cs="宋体"/>
                <w:color w:val="auto"/>
                <w:kern w:val="0"/>
                <w:sz w:val="24"/>
                <w:szCs w:val="24"/>
              </w:rPr>
              <w:t>6.35</w:t>
            </w:r>
            <w:r>
              <w:rPr>
                <w:rFonts w:hint="eastAsia" w:ascii="宋体" w:hAnsi="宋体" w:cs="宋体"/>
                <w:color w:val="auto"/>
                <w:kern w:val="0"/>
                <w:sz w:val="24"/>
                <w:szCs w:val="24"/>
              </w:rPr>
              <w:t>话筒插头。</w:t>
            </w:r>
          </w:p>
        </w:tc>
        <w:tc>
          <w:tcPr>
            <w:tcW w:w="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2</w:t>
            </w:r>
          </w:p>
        </w:tc>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条</w:t>
            </w:r>
          </w:p>
        </w:tc>
      </w:tr>
    </w:tbl>
    <w:p>
      <w:pPr>
        <w:spacing w:line="400" w:lineRule="exact"/>
        <w:rPr>
          <w:rFonts w:ascii="宋体"/>
          <w:color w:val="auto"/>
          <w:sz w:val="24"/>
          <w:szCs w:val="24"/>
        </w:rPr>
      </w:pPr>
    </w:p>
    <w:p>
      <w:pPr>
        <w:keepNext/>
        <w:keepLines/>
        <w:numPr>
          <w:ilvl w:val="1"/>
          <w:numId w:val="17"/>
        </w:numPr>
        <w:spacing w:before="156" w:after="156" w:line="400" w:lineRule="exact"/>
        <w:ind w:left="1060"/>
        <w:outlineLvl w:val="1"/>
        <w:rPr>
          <w:rFonts w:ascii="宋体"/>
          <w:b/>
          <w:bCs/>
          <w:color w:val="auto"/>
          <w:sz w:val="24"/>
          <w:szCs w:val="24"/>
        </w:rPr>
      </w:pPr>
      <w:bookmarkStart w:id="900" w:name="_Toc15282"/>
      <w:bookmarkStart w:id="901" w:name="_Toc10310"/>
      <w:bookmarkStart w:id="902" w:name="_Toc82882798"/>
      <w:r>
        <w:rPr>
          <w:rFonts w:hint="eastAsia" w:ascii="宋体" w:hAnsi="宋体" w:cs="宋体"/>
          <w:b/>
          <w:bCs/>
          <w:color w:val="auto"/>
          <w:sz w:val="24"/>
          <w:szCs w:val="24"/>
        </w:rPr>
        <w:t>门禁系统（发热门诊楼、检验科、手术室、机房等）</w:t>
      </w:r>
      <w:bookmarkEnd w:id="900"/>
      <w:bookmarkEnd w:id="901"/>
      <w:bookmarkEnd w:id="902"/>
    </w:p>
    <w:tbl>
      <w:tblPr>
        <w:tblStyle w:val="21"/>
        <w:tblW w:w="10276" w:type="dxa"/>
        <w:tblInd w:w="-694" w:type="dxa"/>
        <w:tblLayout w:type="autofit"/>
        <w:tblCellMar>
          <w:top w:w="0" w:type="dxa"/>
          <w:left w:w="10" w:type="dxa"/>
          <w:bottom w:w="0" w:type="dxa"/>
          <w:right w:w="10" w:type="dxa"/>
        </w:tblCellMar>
      </w:tblPr>
      <w:tblGrid>
        <w:gridCol w:w="829"/>
        <w:gridCol w:w="1385"/>
        <w:gridCol w:w="6532"/>
        <w:gridCol w:w="770"/>
        <w:gridCol w:w="760"/>
      </w:tblGrid>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b/>
                <w:bCs/>
                <w:color w:val="auto"/>
                <w:sz w:val="24"/>
                <w:szCs w:val="24"/>
              </w:rPr>
              <w:t>序号</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b/>
                <w:bCs/>
                <w:color w:val="auto"/>
                <w:sz w:val="24"/>
                <w:szCs w:val="24"/>
              </w:rPr>
              <w:t>设备名称</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b/>
                <w:bCs/>
                <w:color w:val="auto"/>
                <w:sz w:val="24"/>
                <w:szCs w:val="24"/>
              </w:rPr>
              <w:t>规格配置要求</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b/>
                <w:bCs/>
                <w:color w:val="auto"/>
                <w:sz w:val="24"/>
                <w:szCs w:val="24"/>
              </w:rPr>
              <w:t>数量</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400" w:lineRule="exact"/>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门禁管理电脑</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7"/>
              </w:numPr>
              <w:spacing w:before="50" w:after="50" w:line="400" w:lineRule="exact"/>
              <w:jc w:val="left"/>
              <w:rPr>
                <w:rFonts w:ascii="宋体"/>
                <w:color w:val="auto"/>
                <w:sz w:val="24"/>
                <w:szCs w:val="24"/>
              </w:rPr>
            </w:pPr>
            <w:r>
              <w:rPr>
                <w:rFonts w:ascii="宋体" w:hAnsi="宋体" w:cs="宋体"/>
                <w:color w:val="auto"/>
                <w:sz w:val="24"/>
                <w:szCs w:val="24"/>
              </w:rPr>
              <w:t>CPU</w:t>
            </w:r>
            <w:r>
              <w:rPr>
                <w:rFonts w:hint="eastAsia" w:ascii="宋体" w:hAnsi="宋体" w:cs="宋体"/>
                <w:color w:val="auto"/>
                <w:sz w:val="24"/>
                <w:szCs w:val="24"/>
              </w:rPr>
              <w:t>型号：</w:t>
            </w:r>
            <w:r>
              <w:rPr>
                <w:rFonts w:ascii="宋体" w:hAnsi="宋体" w:cs="宋体"/>
                <w:color w:val="auto"/>
                <w:sz w:val="24"/>
                <w:szCs w:val="24"/>
              </w:rPr>
              <w:t>Intel</w:t>
            </w:r>
            <w:r>
              <w:rPr>
                <w:rFonts w:hint="eastAsia" w:ascii="宋体" w:hAnsi="宋体" w:cs="宋体"/>
                <w:color w:val="auto"/>
                <w:sz w:val="24"/>
                <w:szCs w:val="24"/>
              </w:rPr>
              <w:t>酷睿</w:t>
            </w:r>
            <w:r>
              <w:rPr>
                <w:rFonts w:ascii="宋体" w:hAnsi="宋体" w:cs="宋体"/>
                <w:color w:val="auto"/>
                <w:sz w:val="24"/>
                <w:szCs w:val="24"/>
              </w:rPr>
              <w:t>I3</w:t>
            </w:r>
            <w:r>
              <w:rPr>
                <w:rFonts w:hint="eastAsia" w:ascii="宋体" w:hAnsi="宋体" w:cs="宋体"/>
                <w:color w:val="auto"/>
                <w:sz w:val="24"/>
                <w:szCs w:val="24"/>
              </w:rPr>
              <w:t>及以上；</w:t>
            </w:r>
          </w:p>
          <w:p>
            <w:pPr>
              <w:numPr>
                <w:ilvl w:val="0"/>
                <w:numId w:val="27"/>
              </w:numPr>
              <w:spacing w:before="50" w:after="50" w:line="400" w:lineRule="exact"/>
              <w:jc w:val="left"/>
              <w:rPr>
                <w:rFonts w:ascii="宋体"/>
                <w:color w:val="auto"/>
                <w:sz w:val="24"/>
                <w:szCs w:val="24"/>
              </w:rPr>
            </w:pPr>
            <w:r>
              <w:rPr>
                <w:rFonts w:ascii="宋体" w:hAnsi="宋体" w:cs="宋体"/>
                <w:color w:val="auto"/>
                <w:sz w:val="24"/>
                <w:szCs w:val="24"/>
              </w:rPr>
              <w:t>CPU</w:t>
            </w:r>
            <w:r>
              <w:rPr>
                <w:rFonts w:hint="eastAsia" w:ascii="宋体" w:hAnsi="宋体" w:cs="宋体"/>
                <w:color w:val="auto"/>
                <w:sz w:val="24"/>
                <w:szCs w:val="24"/>
              </w:rPr>
              <w:t>频率：</w:t>
            </w:r>
            <w:r>
              <w:rPr>
                <w:rFonts w:ascii="宋体" w:hAnsi="宋体" w:cs="宋体"/>
                <w:color w:val="auto"/>
                <w:sz w:val="24"/>
                <w:szCs w:val="24"/>
              </w:rPr>
              <w:t>3060MHz</w:t>
            </w:r>
            <w:r>
              <w:rPr>
                <w:rFonts w:hint="eastAsia" w:ascii="宋体" w:hAnsi="宋体" w:cs="宋体"/>
                <w:color w:val="auto"/>
                <w:sz w:val="24"/>
                <w:szCs w:val="24"/>
              </w:rPr>
              <w:t>；</w:t>
            </w:r>
          </w:p>
          <w:p>
            <w:pPr>
              <w:numPr>
                <w:ilvl w:val="0"/>
                <w:numId w:val="27"/>
              </w:numPr>
              <w:spacing w:before="50" w:after="50" w:line="400" w:lineRule="exact"/>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、内存容量：</w:t>
            </w:r>
            <w:r>
              <w:rPr>
                <w:rFonts w:ascii="宋体" w:hAnsi="宋体" w:cs="宋体"/>
                <w:color w:val="auto"/>
                <w:sz w:val="24"/>
                <w:szCs w:val="24"/>
              </w:rPr>
              <w:t>4GB DDR4</w:t>
            </w:r>
            <w:r>
              <w:rPr>
                <w:rFonts w:hint="eastAsia" w:ascii="宋体" w:hAnsi="宋体" w:cs="宋体"/>
                <w:color w:val="auto"/>
                <w:sz w:val="24"/>
                <w:szCs w:val="24"/>
              </w:rPr>
              <w:t>；</w:t>
            </w:r>
          </w:p>
          <w:p>
            <w:pPr>
              <w:numPr>
                <w:ilvl w:val="0"/>
                <w:numId w:val="27"/>
              </w:numPr>
              <w:spacing w:before="50" w:after="50" w:line="400" w:lineRule="exact"/>
              <w:jc w:val="left"/>
              <w:rPr>
                <w:rFonts w:ascii="宋体"/>
                <w:color w:val="auto"/>
                <w:sz w:val="24"/>
                <w:szCs w:val="24"/>
              </w:rPr>
            </w:pPr>
            <w:r>
              <w:rPr>
                <w:rFonts w:hint="eastAsia" w:ascii="宋体" w:hAnsi="宋体" w:cs="宋体"/>
                <w:color w:val="auto"/>
                <w:sz w:val="24"/>
                <w:szCs w:val="24"/>
              </w:rPr>
              <w:t>硬盘容量：</w:t>
            </w:r>
            <w:r>
              <w:rPr>
                <w:rFonts w:ascii="宋体" w:hAnsi="宋体" w:cs="宋体"/>
                <w:color w:val="auto"/>
                <w:sz w:val="24"/>
                <w:szCs w:val="24"/>
              </w:rPr>
              <w:t>1T 7200</w:t>
            </w:r>
            <w:r>
              <w:rPr>
                <w:rFonts w:hint="eastAsia" w:ascii="宋体" w:hAnsi="宋体" w:cs="宋体"/>
                <w:color w:val="auto"/>
                <w:sz w:val="24"/>
                <w:szCs w:val="24"/>
              </w:rPr>
              <w:t>转，</w:t>
            </w:r>
            <w:r>
              <w:rPr>
                <w:rFonts w:ascii="宋体" w:hAnsi="宋体" w:cs="宋体"/>
                <w:color w:val="auto"/>
                <w:sz w:val="24"/>
                <w:szCs w:val="24"/>
              </w:rPr>
              <w:t>SATA2</w:t>
            </w:r>
            <w:r>
              <w:rPr>
                <w:rFonts w:hint="eastAsia" w:ascii="宋体" w:hAnsi="宋体" w:cs="宋体"/>
                <w:color w:val="auto"/>
                <w:sz w:val="24"/>
                <w:szCs w:val="24"/>
              </w:rPr>
              <w:t>；</w:t>
            </w:r>
          </w:p>
          <w:p>
            <w:pPr>
              <w:numPr>
                <w:ilvl w:val="0"/>
                <w:numId w:val="27"/>
              </w:numPr>
              <w:spacing w:before="50" w:after="50" w:line="400" w:lineRule="exact"/>
              <w:jc w:val="lef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、显卡芯片：高性能集成显卡</w:t>
            </w:r>
            <w:r>
              <w:rPr>
                <w:rFonts w:ascii="宋体" w:hAnsi="宋体" w:cs="宋体"/>
                <w:color w:val="auto"/>
                <w:sz w:val="24"/>
                <w:szCs w:val="24"/>
              </w:rPr>
              <w:t xml:space="preserve"> </w:t>
            </w:r>
            <w:r>
              <w:rPr>
                <w:rFonts w:hint="eastAsia" w:ascii="宋体" w:hAnsi="宋体" w:cs="宋体"/>
                <w:color w:val="auto"/>
                <w:sz w:val="24"/>
                <w:szCs w:val="24"/>
              </w:rPr>
              <w:t>共享内存容量；</w:t>
            </w:r>
          </w:p>
          <w:p>
            <w:pPr>
              <w:spacing w:before="50" w:after="50" w:line="400" w:lineRule="exact"/>
              <w:jc w:val="left"/>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、网卡描述：</w:t>
            </w:r>
            <w:r>
              <w:rPr>
                <w:rFonts w:ascii="宋体" w:hAnsi="宋体" w:cs="宋体"/>
                <w:color w:val="auto"/>
                <w:sz w:val="24"/>
                <w:szCs w:val="24"/>
              </w:rPr>
              <w:t>1000Mbps</w:t>
            </w:r>
            <w:r>
              <w:rPr>
                <w:rFonts w:hint="eastAsia" w:ascii="宋体" w:hAnsi="宋体" w:cs="宋体"/>
                <w:color w:val="auto"/>
                <w:sz w:val="24"/>
                <w:szCs w:val="24"/>
              </w:rPr>
              <w:t>以太网</w:t>
            </w:r>
            <w:r>
              <w:rPr>
                <w:rFonts w:ascii="宋体" w:hAnsi="宋体" w:cs="宋体"/>
                <w:color w:val="auto"/>
                <w:sz w:val="24"/>
                <w:szCs w:val="24"/>
              </w:rPr>
              <w:t>20</w:t>
            </w:r>
            <w:r>
              <w:rPr>
                <w:rFonts w:hint="eastAsia" w:ascii="宋体" w:hAnsi="宋体" w:cs="宋体"/>
                <w:color w:val="auto"/>
                <w:sz w:val="24"/>
                <w:szCs w:val="24"/>
              </w:rPr>
              <w:t>英寸显示器、键盘、鼠标。</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2</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指纹一体门禁机</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、内存≥</w:t>
            </w:r>
            <w:r>
              <w:rPr>
                <w:rFonts w:ascii="宋体" w:hAnsi="宋体" w:cs="宋体"/>
                <w:color w:val="auto"/>
                <w:sz w:val="24"/>
                <w:szCs w:val="24"/>
              </w:rPr>
              <w:t>128MB,Flsh:256M</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w:t>
            </w:r>
            <w:r>
              <w:rPr>
                <w:rFonts w:hint="eastAsia" w:ascii="宋体" w:hAnsi="宋体" w:cs="宋体"/>
                <w:color w:val="auto"/>
                <w:sz w:val="24"/>
                <w:szCs w:val="24"/>
              </w:rPr>
              <w:t>、显示屏≥</w:t>
            </w:r>
            <w:r>
              <w:rPr>
                <w:rFonts w:ascii="宋体" w:hAnsi="宋体" w:cs="宋体"/>
                <w:color w:val="auto"/>
                <w:sz w:val="24"/>
                <w:szCs w:val="24"/>
              </w:rPr>
              <w:t>2.4</w:t>
            </w:r>
            <w:r>
              <w:rPr>
                <w:rFonts w:hint="eastAsia" w:ascii="宋体" w:hAnsi="宋体" w:cs="宋体"/>
                <w:color w:val="auto"/>
                <w:sz w:val="24"/>
                <w:szCs w:val="24"/>
              </w:rPr>
              <w:t>寸彩屏；用户容量≥</w:t>
            </w:r>
            <w:r>
              <w:rPr>
                <w:rFonts w:ascii="宋体" w:hAnsi="宋体" w:cs="宋体"/>
                <w:color w:val="auto"/>
                <w:sz w:val="24"/>
                <w:szCs w:val="24"/>
              </w:rPr>
              <w:t>20,000</w:t>
            </w:r>
            <w:r>
              <w:rPr>
                <w:rFonts w:hint="eastAsia" w:ascii="宋体" w:hAnsi="宋体" w:cs="宋体"/>
                <w:color w:val="auto"/>
                <w:sz w:val="24"/>
                <w:szCs w:val="24"/>
              </w:rPr>
              <w:t>；指纹容量≥</w:t>
            </w:r>
            <w:r>
              <w:rPr>
                <w:rFonts w:ascii="宋体" w:hAnsi="宋体" w:cs="宋体"/>
                <w:color w:val="auto"/>
                <w:sz w:val="24"/>
                <w:szCs w:val="24"/>
              </w:rPr>
              <w:t>20,000</w:t>
            </w:r>
            <w:r>
              <w:rPr>
                <w:rFonts w:hint="eastAsia" w:ascii="宋体" w:hAnsi="宋体" w:cs="宋体"/>
                <w:color w:val="auto"/>
                <w:sz w:val="24"/>
                <w:szCs w:val="24"/>
              </w:rPr>
              <w:t>；</w:t>
            </w:r>
          </w:p>
          <w:p>
            <w:pPr>
              <w:spacing w:before="50" w:after="50" w:line="400" w:lineRule="exact"/>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、卡容量≥</w:t>
            </w:r>
            <w:r>
              <w:rPr>
                <w:rFonts w:ascii="宋体" w:hAnsi="宋体" w:cs="宋体"/>
                <w:color w:val="auto"/>
                <w:sz w:val="24"/>
                <w:szCs w:val="24"/>
              </w:rPr>
              <w:t>20,000</w:t>
            </w:r>
            <w:r>
              <w:rPr>
                <w:rFonts w:hint="eastAsia" w:ascii="宋体" w:hAnsi="宋体" w:cs="宋体"/>
                <w:color w:val="auto"/>
                <w:sz w:val="24"/>
                <w:szCs w:val="24"/>
              </w:rPr>
              <w:t>；记录容量≥</w:t>
            </w:r>
            <w:r>
              <w:rPr>
                <w:rFonts w:ascii="宋体" w:hAnsi="宋体" w:cs="宋体"/>
                <w:color w:val="auto"/>
                <w:sz w:val="24"/>
                <w:szCs w:val="24"/>
              </w:rPr>
              <w:t>10</w:t>
            </w:r>
            <w:r>
              <w:rPr>
                <w:rFonts w:hint="eastAsia" w:ascii="宋体" w:hAnsi="宋体" w:cs="宋体"/>
                <w:color w:val="auto"/>
                <w:sz w:val="24"/>
                <w:szCs w:val="24"/>
              </w:rPr>
              <w:t>万；考勤照片容量≥</w:t>
            </w:r>
            <w:r>
              <w:rPr>
                <w:rFonts w:ascii="宋体" w:hAnsi="宋体" w:cs="宋体"/>
                <w:color w:val="auto"/>
                <w:sz w:val="24"/>
                <w:szCs w:val="24"/>
              </w:rPr>
              <w:t>6000</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rPr>
              <w:t>、黑名单照片容量≥</w:t>
            </w:r>
            <w:r>
              <w:rPr>
                <w:rFonts w:ascii="宋体" w:hAnsi="宋体" w:cs="宋体"/>
                <w:color w:val="auto"/>
                <w:sz w:val="24"/>
                <w:szCs w:val="24"/>
              </w:rPr>
              <w:t>1000</w:t>
            </w:r>
            <w:r>
              <w:rPr>
                <w:rFonts w:hint="eastAsia" w:ascii="宋体" w:hAnsi="宋体" w:cs="宋体"/>
                <w:color w:val="auto"/>
                <w:sz w:val="24"/>
                <w:szCs w:val="24"/>
              </w:rPr>
              <w:t>；用户照片容量≥</w:t>
            </w:r>
            <w:r>
              <w:rPr>
                <w:rFonts w:ascii="宋体" w:hAnsi="宋体" w:cs="宋体"/>
                <w:color w:val="auto"/>
                <w:sz w:val="24"/>
                <w:szCs w:val="24"/>
              </w:rPr>
              <w:t>3000</w:t>
            </w:r>
            <w:r>
              <w:rPr>
                <w:rFonts w:hint="eastAsia" w:ascii="宋体" w:hAnsi="宋体" w:cs="宋体"/>
                <w:color w:val="auto"/>
                <w:sz w:val="24"/>
                <w:szCs w:val="24"/>
              </w:rPr>
              <w:t>；摄像头≥</w:t>
            </w:r>
            <w:r>
              <w:rPr>
                <w:rFonts w:ascii="宋体" w:hAnsi="宋体" w:cs="宋体"/>
                <w:color w:val="auto"/>
                <w:sz w:val="24"/>
                <w:szCs w:val="24"/>
              </w:rPr>
              <w:t>30</w:t>
            </w:r>
            <w:r>
              <w:rPr>
                <w:rFonts w:hint="eastAsia" w:ascii="宋体" w:hAnsi="宋体" w:cs="宋体"/>
                <w:color w:val="auto"/>
                <w:sz w:val="24"/>
                <w:szCs w:val="24"/>
              </w:rPr>
              <w:t>万；</w:t>
            </w:r>
          </w:p>
          <w:p>
            <w:pPr>
              <w:spacing w:before="50" w:after="50" w:line="400" w:lineRule="exact"/>
              <w:jc w:val="lef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、设备应符合《</w:t>
            </w:r>
            <w:r>
              <w:rPr>
                <w:rFonts w:ascii="宋体" w:hAnsi="宋体" w:cs="宋体"/>
                <w:color w:val="auto"/>
                <w:sz w:val="24"/>
                <w:szCs w:val="24"/>
              </w:rPr>
              <w:t xml:space="preserve">GB16796-2007 </w:t>
            </w:r>
            <w:r>
              <w:rPr>
                <w:rFonts w:hint="eastAsia" w:ascii="宋体" w:hAnsi="宋体" w:cs="宋体"/>
                <w:color w:val="auto"/>
                <w:sz w:val="24"/>
                <w:szCs w:val="24"/>
              </w:rPr>
              <w:t>安全防范报警设备</w:t>
            </w:r>
            <w:r>
              <w:rPr>
                <w:rFonts w:ascii="宋体" w:hAnsi="宋体" w:cs="宋体"/>
                <w:color w:val="auto"/>
                <w:sz w:val="24"/>
                <w:szCs w:val="24"/>
              </w:rPr>
              <w:t xml:space="preserve"> </w:t>
            </w:r>
            <w:r>
              <w:rPr>
                <w:rFonts w:hint="eastAsia" w:ascii="宋体" w:hAnsi="宋体" w:cs="宋体"/>
                <w:color w:val="auto"/>
                <w:sz w:val="24"/>
                <w:szCs w:val="24"/>
              </w:rPr>
              <w:t>安全要求和试验方法》中的有关规定；</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6</w:t>
            </w:r>
            <w:r>
              <w:rPr>
                <w:rFonts w:hint="eastAsia" w:ascii="宋体" w:hAnsi="宋体" w:cs="宋体"/>
                <w:color w:val="auto"/>
                <w:sz w:val="24"/>
                <w:szCs w:val="24"/>
              </w:rPr>
              <w:t>、应具有</w:t>
            </w:r>
            <w:r>
              <w:rPr>
                <w:rFonts w:ascii="宋体" w:hAnsi="宋体" w:cs="宋体"/>
                <w:color w:val="auto"/>
                <w:sz w:val="24"/>
                <w:szCs w:val="24"/>
              </w:rPr>
              <w:t>1</w:t>
            </w:r>
            <w:r>
              <w:rPr>
                <w:rFonts w:hint="eastAsia" w:ascii="宋体" w:hAnsi="宋体" w:cs="宋体"/>
                <w:color w:val="auto"/>
                <w:sz w:val="24"/>
                <w:szCs w:val="24"/>
              </w:rPr>
              <w:t>个</w:t>
            </w:r>
            <w:r>
              <w:rPr>
                <w:rFonts w:ascii="宋体" w:hAnsi="宋体" w:cs="宋体"/>
                <w:color w:val="auto"/>
                <w:sz w:val="24"/>
                <w:szCs w:val="24"/>
              </w:rPr>
              <w:t>USB</w:t>
            </w:r>
            <w:r>
              <w:rPr>
                <w:rFonts w:hint="eastAsia" w:ascii="宋体" w:hAnsi="宋体" w:cs="宋体"/>
                <w:color w:val="auto"/>
                <w:sz w:val="24"/>
                <w:szCs w:val="24"/>
              </w:rPr>
              <w:t>接口、</w:t>
            </w:r>
            <w:r>
              <w:rPr>
                <w:rFonts w:ascii="宋体" w:hAnsi="宋体" w:cs="宋体"/>
                <w:color w:val="auto"/>
                <w:sz w:val="24"/>
                <w:szCs w:val="24"/>
              </w:rPr>
              <w:t>1</w:t>
            </w:r>
            <w:r>
              <w:rPr>
                <w:rFonts w:hint="eastAsia" w:ascii="宋体" w:hAnsi="宋体" w:cs="宋体"/>
                <w:color w:val="auto"/>
                <w:sz w:val="24"/>
                <w:szCs w:val="24"/>
              </w:rPr>
              <w:t>路辅助输入、</w:t>
            </w:r>
            <w:r>
              <w:rPr>
                <w:rFonts w:ascii="宋体" w:hAnsi="宋体" w:cs="宋体"/>
                <w:color w:val="auto"/>
                <w:sz w:val="24"/>
                <w:szCs w:val="24"/>
              </w:rPr>
              <w:t xml:space="preserve">1 </w:t>
            </w:r>
            <w:r>
              <w:rPr>
                <w:rFonts w:hint="eastAsia" w:ascii="宋体" w:hAnsi="宋体" w:cs="宋体"/>
                <w:color w:val="auto"/>
                <w:sz w:val="24"/>
                <w:szCs w:val="24"/>
              </w:rPr>
              <w:t>路门铃输出、</w:t>
            </w:r>
            <w:r>
              <w:rPr>
                <w:rFonts w:ascii="宋体" w:hAnsi="宋体" w:cs="宋体"/>
                <w:color w:val="auto"/>
                <w:sz w:val="24"/>
                <w:szCs w:val="24"/>
              </w:rPr>
              <w:t>1</w:t>
            </w:r>
            <w:r>
              <w:rPr>
                <w:rFonts w:hint="eastAsia" w:ascii="宋体" w:hAnsi="宋体" w:cs="宋体"/>
                <w:color w:val="auto"/>
                <w:sz w:val="24"/>
                <w:szCs w:val="24"/>
              </w:rPr>
              <w:t>路门磁输入、</w:t>
            </w:r>
            <w:r>
              <w:rPr>
                <w:rFonts w:ascii="宋体" w:hAnsi="宋体" w:cs="宋体"/>
                <w:color w:val="auto"/>
                <w:sz w:val="24"/>
                <w:szCs w:val="24"/>
              </w:rPr>
              <w:t>1</w:t>
            </w:r>
            <w:r>
              <w:rPr>
                <w:rFonts w:hint="eastAsia" w:ascii="宋体" w:hAnsi="宋体" w:cs="宋体"/>
                <w:color w:val="auto"/>
                <w:sz w:val="24"/>
                <w:szCs w:val="24"/>
              </w:rPr>
              <w:t>个出门开关、</w:t>
            </w:r>
            <w:r>
              <w:rPr>
                <w:rFonts w:ascii="宋体" w:hAnsi="宋体" w:cs="宋体"/>
                <w:color w:val="auto"/>
                <w:sz w:val="24"/>
                <w:szCs w:val="24"/>
              </w:rPr>
              <w:t>1</w:t>
            </w:r>
            <w:r>
              <w:rPr>
                <w:rFonts w:hint="eastAsia" w:ascii="宋体" w:hAnsi="宋体" w:cs="宋体"/>
                <w:color w:val="auto"/>
                <w:sz w:val="24"/>
                <w:szCs w:val="24"/>
              </w:rPr>
              <w:t>路锁控输出、</w:t>
            </w:r>
            <w:r>
              <w:rPr>
                <w:rFonts w:ascii="宋体" w:hAnsi="宋体" w:cs="宋体"/>
                <w:color w:val="auto"/>
                <w:sz w:val="24"/>
                <w:szCs w:val="24"/>
              </w:rPr>
              <w:t>1</w:t>
            </w:r>
            <w:r>
              <w:rPr>
                <w:rFonts w:hint="eastAsia" w:ascii="宋体" w:hAnsi="宋体" w:cs="宋体"/>
                <w:color w:val="auto"/>
                <w:sz w:val="24"/>
                <w:szCs w:val="24"/>
              </w:rPr>
              <w:t>路报警输出、</w:t>
            </w:r>
            <w:r>
              <w:rPr>
                <w:rFonts w:ascii="宋体" w:hAnsi="宋体" w:cs="宋体"/>
                <w:color w:val="auto"/>
                <w:sz w:val="24"/>
                <w:szCs w:val="24"/>
              </w:rPr>
              <w:t>1</w:t>
            </w:r>
            <w:r>
              <w:rPr>
                <w:rFonts w:hint="eastAsia" w:ascii="宋体" w:hAnsi="宋体" w:cs="宋体"/>
                <w:color w:val="auto"/>
                <w:sz w:val="24"/>
                <w:szCs w:val="24"/>
              </w:rPr>
              <w:t>路韦根输出、</w:t>
            </w:r>
            <w:r>
              <w:rPr>
                <w:rFonts w:ascii="宋体" w:hAnsi="宋体" w:cs="宋体"/>
                <w:color w:val="auto"/>
                <w:sz w:val="24"/>
                <w:szCs w:val="24"/>
              </w:rPr>
              <w:t>1</w:t>
            </w:r>
            <w:r>
              <w:rPr>
                <w:rFonts w:hint="eastAsia" w:ascii="宋体" w:hAnsi="宋体" w:cs="宋体"/>
                <w:color w:val="auto"/>
                <w:sz w:val="24"/>
                <w:szCs w:val="24"/>
              </w:rPr>
              <w:t>个</w:t>
            </w:r>
            <w:r>
              <w:rPr>
                <w:rFonts w:ascii="宋体" w:hAnsi="宋体" w:cs="宋体"/>
                <w:color w:val="auto"/>
                <w:sz w:val="24"/>
                <w:szCs w:val="24"/>
              </w:rPr>
              <w:t>RS232</w:t>
            </w:r>
            <w:r>
              <w:rPr>
                <w:rFonts w:hint="eastAsia" w:ascii="宋体" w:hAnsi="宋体" w:cs="宋体"/>
                <w:color w:val="auto"/>
                <w:sz w:val="24"/>
                <w:szCs w:val="24"/>
              </w:rPr>
              <w:t>接口、</w:t>
            </w:r>
            <w:r>
              <w:rPr>
                <w:rFonts w:ascii="宋体" w:hAnsi="宋体" w:cs="宋体"/>
                <w:color w:val="auto"/>
                <w:sz w:val="24"/>
                <w:szCs w:val="24"/>
              </w:rPr>
              <w:t>1</w:t>
            </w:r>
            <w:r>
              <w:rPr>
                <w:rFonts w:hint="eastAsia" w:ascii="宋体" w:hAnsi="宋体" w:cs="宋体"/>
                <w:color w:val="auto"/>
                <w:sz w:val="24"/>
                <w:szCs w:val="24"/>
              </w:rPr>
              <w:t>个</w:t>
            </w:r>
            <w:r>
              <w:rPr>
                <w:rFonts w:ascii="宋体" w:hAnsi="宋体" w:cs="宋体"/>
                <w:color w:val="auto"/>
                <w:sz w:val="24"/>
                <w:szCs w:val="24"/>
              </w:rPr>
              <w:t>RS485</w:t>
            </w:r>
            <w:r>
              <w:rPr>
                <w:rFonts w:hint="eastAsia" w:ascii="宋体" w:hAnsi="宋体" w:cs="宋体"/>
                <w:color w:val="auto"/>
                <w:sz w:val="24"/>
                <w:szCs w:val="24"/>
              </w:rPr>
              <w:t>接口、</w:t>
            </w:r>
            <w:r>
              <w:rPr>
                <w:rFonts w:ascii="宋体" w:hAnsi="宋体" w:cs="宋体"/>
                <w:color w:val="auto"/>
                <w:sz w:val="24"/>
                <w:szCs w:val="24"/>
              </w:rPr>
              <w:t>1</w:t>
            </w:r>
            <w:r>
              <w:rPr>
                <w:rFonts w:hint="eastAsia" w:ascii="宋体" w:hAnsi="宋体" w:cs="宋体"/>
                <w:color w:val="auto"/>
                <w:sz w:val="24"/>
                <w:szCs w:val="24"/>
              </w:rPr>
              <w:t>路</w:t>
            </w:r>
            <w:r>
              <w:rPr>
                <w:rFonts w:ascii="宋体" w:hAnsi="宋体" w:cs="宋体"/>
                <w:color w:val="auto"/>
                <w:sz w:val="24"/>
                <w:szCs w:val="24"/>
              </w:rPr>
              <w:t>DC12V</w:t>
            </w:r>
            <w:r>
              <w:rPr>
                <w:rFonts w:hint="eastAsia" w:ascii="宋体" w:hAnsi="宋体" w:cs="宋体"/>
                <w:color w:val="auto"/>
                <w:sz w:val="24"/>
                <w:szCs w:val="24"/>
              </w:rPr>
              <w:t>电源输出、</w:t>
            </w:r>
            <w:r>
              <w:rPr>
                <w:rFonts w:ascii="宋体" w:hAnsi="宋体" w:cs="宋体"/>
                <w:color w:val="auto"/>
                <w:sz w:val="24"/>
                <w:szCs w:val="24"/>
              </w:rPr>
              <w:t>1</w:t>
            </w:r>
            <w:r>
              <w:rPr>
                <w:rFonts w:hint="eastAsia" w:ascii="宋体" w:hAnsi="宋体" w:cs="宋体"/>
                <w:color w:val="auto"/>
                <w:sz w:val="24"/>
                <w:szCs w:val="24"/>
              </w:rPr>
              <w:t>路韦根输入、</w:t>
            </w:r>
            <w:r>
              <w:rPr>
                <w:rFonts w:ascii="宋体" w:hAnsi="宋体" w:cs="宋体"/>
                <w:color w:val="auto"/>
                <w:sz w:val="24"/>
                <w:szCs w:val="24"/>
              </w:rPr>
              <w:t>1</w:t>
            </w:r>
            <w:r>
              <w:rPr>
                <w:rFonts w:hint="eastAsia" w:ascii="宋体" w:hAnsi="宋体" w:cs="宋体"/>
                <w:color w:val="auto"/>
                <w:sz w:val="24"/>
                <w:szCs w:val="24"/>
              </w:rPr>
              <w:t>路红灯输出、</w:t>
            </w:r>
            <w:r>
              <w:rPr>
                <w:rFonts w:ascii="宋体" w:hAnsi="宋体" w:cs="宋体"/>
                <w:color w:val="auto"/>
                <w:sz w:val="24"/>
                <w:szCs w:val="24"/>
              </w:rPr>
              <w:t>1</w:t>
            </w:r>
            <w:r>
              <w:rPr>
                <w:rFonts w:hint="eastAsia" w:ascii="宋体" w:hAnsi="宋体" w:cs="宋体"/>
                <w:color w:val="auto"/>
                <w:sz w:val="24"/>
                <w:szCs w:val="24"/>
              </w:rPr>
              <w:t>路绿灯输出、</w:t>
            </w:r>
            <w:r>
              <w:rPr>
                <w:rFonts w:ascii="宋体" w:hAnsi="宋体" w:cs="宋体"/>
                <w:color w:val="auto"/>
                <w:sz w:val="24"/>
                <w:szCs w:val="24"/>
              </w:rPr>
              <w:t>1</w:t>
            </w:r>
            <w:r>
              <w:rPr>
                <w:rFonts w:hint="eastAsia" w:ascii="宋体" w:hAnsi="宋体" w:cs="宋体"/>
                <w:color w:val="auto"/>
                <w:sz w:val="24"/>
                <w:szCs w:val="24"/>
              </w:rPr>
              <w:t>个蜂鸣器接口、</w:t>
            </w:r>
            <w:r>
              <w:rPr>
                <w:rFonts w:ascii="宋体" w:hAnsi="宋体" w:cs="宋体"/>
                <w:color w:val="auto"/>
                <w:sz w:val="24"/>
                <w:szCs w:val="24"/>
              </w:rPr>
              <w:t>1</w:t>
            </w:r>
            <w:r>
              <w:rPr>
                <w:rFonts w:hint="eastAsia" w:ascii="宋体" w:hAnsi="宋体" w:cs="宋体"/>
                <w:color w:val="auto"/>
                <w:sz w:val="24"/>
                <w:szCs w:val="24"/>
              </w:rPr>
              <w:t>个</w:t>
            </w:r>
            <w:r>
              <w:rPr>
                <w:rFonts w:ascii="宋体" w:hAnsi="宋体" w:cs="宋体"/>
                <w:color w:val="auto"/>
                <w:sz w:val="24"/>
                <w:szCs w:val="24"/>
              </w:rPr>
              <w:t>4</w:t>
            </w:r>
            <w:r>
              <w:rPr>
                <w:rFonts w:hint="eastAsia" w:ascii="宋体" w:hAnsi="宋体" w:cs="宋体"/>
                <w:color w:val="auto"/>
                <w:sz w:val="24"/>
                <w:szCs w:val="24"/>
              </w:rPr>
              <w:t>芯网络接口；</w:t>
            </w:r>
          </w:p>
          <w:p>
            <w:pPr>
              <w:spacing w:before="50" w:after="50" w:line="400" w:lineRule="exact"/>
              <w:jc w:val="left"/>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、应能登录活体指纹，应能删除已登录的用户信息；</w:t>
            </w:r>
          </w:p>
          <w:p>
            <w:pPr>
              <w:spacing w:before="50" w:after="50"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rPr>
              <w:t>在电源掉电时，已保存的信息不应丢失；</w:t>
            </w:r>
          </w:p>
          <w:p>
            <w:pPr>
              <w:spacing w:before="50" w:after="50" w:line="400" w:lineRule="exact"/>
              <w:jc w:val="left"/>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、应具有使用校限分级管理功能，在人脸或指级登，录、删除与产品功能操作过程中应具有授权机制；</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9</w:t>
            </w:r>
            <w:r>
              <w:rPr>
                <w:rFonts w:hint="eastAsia" w:ascii="宋体" w:hAnsi="宋体" w:cs="宋体"/>
                <w:color w:val="auto"/>
                <w:sz w:val="24"/>
                <w:szCs w:val="24"/>
              </w:rPr>
              <w:t>、可编辑修改用户信息，可查询用户信息，应具有用于上传下载功能的以太网、串口、</w:t>
            </w:r>
            <w:r>
              <w:rPr>
                <w:rFonts w:ascii="宋体" w:hAnsi="宋体" w:cs="宋体"/>
                <w:color w:val="auto"/>
                <w:sz w:val="24"/>
                <w:szCs w:val="24"/>
              </w:rPr>
              <w:t>XUSB</w:t>
            </w:r>
            <w:r>
              <w:rPr>
                <w:rFonts w:hint="eastAsia" w:ascii="宋体" w:hAnsi="宋体" w:cs="宋体"/>
                <w:color w:val="auto"/>
                <w:sz w:val="24"/>
                <w:szCs w:val="24"/>
              </w:rPr>
              <w:t>接口。应能使用配套软件通过计算机与通讯接口进行指令传输与控制；</w:t>
            </w:r>
          </w:p>
          <w:p>
            <w:pPr>
              <w:spacing w:before="50" w:after="50" w:line="400" w:lineRule="exact"/>
              <w:jc w:val="left"/>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、应具有实时时钟。可通过键盘或远程设置年，用日、时、分；</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11</w:t>
            </w:r>
            <w:r>
              <w:rPr>
                <w:rFonts w:hint="eastAsia" w:ascii="宋体" w:hAnsi="宋体" w:cs="宋体"/>
                <w:color w:val="auto"/>
                <w:sz w:val="24"/>
                <w:szCs w:val="24"/>
              </w:rPr>
              <w:t>、当防拆开关被触发时，应发出相应的提示；</w:t>
            </w:r>
          </w:p>
          <w:p>
            <w:pPr>
              <w:spacing w:before="50" w:after="50" w:line="400" w:lineRule="exact"/>
              <w:jc w:val="left"/>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、可设置门锁开启的持续时间，当设定的时间到达后，自动发出闭锁信号；</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13</w:t>
            </w:r>
            <w:r>
              <w:rPr>
                <w:rFonts w:hint="eastAsia" w:ascii="宋体" w:hAnsi="宋体" w:cs="宋体"/>
                <w:color w:val="auto"/>
                <w:sz w:val="24"/>
                <w:szCs w:val="24"/>
              </w:rPr>
              <w:t>、可设置门锁常开的时间段，在此时间段锁控输出处于常开状态；</w:t>
            </w:r>
          </w:p>
          <w:p>
            <w:pPr>
              <w:spacing w:before="50" w:after="50" w:line="400" w:lineRule="exact"/>
              <w:jc w:val="left"/>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、按键：触摸按键（</w:t>
            </w:r>
            <w:r>
              <w:rPr>
                <w:rFonts w:ascii="宋体" w:hAnsi="宋体" w:cs="宋体"/>
                <w:color w:val="auto"/>
                <w:sz w:val="24"/>
                <w:szCs w:val="24"/>
              </w:rPr>
              <w:t>16+1</w:t>
            </w:r>
            <w:r>
              <w:rPr>
                <w:rFonts w:hint="eastAsia" w:ascii="宋体" w:hAnsi="宋体" w:cs="宋体"/>
                <w:color w:val="auto"/>
                <w:sz w:val="24"/>
                <w:szCs w:val="24"/>
              </w:rPr>
              <w:t>门铃按键）；</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15</w:t>
            </w:r>
            <w:r>
              <w:rPr>
                <w:rFonts w:hint="eastAsia" w:ascii="宋体" w:hAnsi="宋体" w:cs="宋体"/>
                <w:color w:val="auto"/>
                <w:sz w:val="24"/>
                <w:szCs w:val="24"/>
              </w:rPr>
              <w:t>、电源规格：</w:t>
            </w:r>
            <w:r>
              <w:rPr>
                <w:rFonts w:ascii="宋体" w:hAnsi="宋体" w:cs="宋体"/>
                <w:color w:val="auto"/>
                <w:sz w:val="24"/>
                <w:szCs w:val="24"/>
              </w:rPr>
              <w:t>12V/3A</w:t>
            </w:r>
            <w:r>
              <w:rPr>
                <w:rFonts w:hint="eastAsia" w:ascii="宋体" w:hAnsi="宋体" w:cs="宋体"/>
                <w:color w:val="auto"/>
                <w:sz w:val="24"/>
                <w:szCs w:val="24"/>
              </w:rPr>
              <w:t>；</w:t>
            </w:r>
          </w:p>
          <w:p>
            <w:pPr>
              <w:spacing w:before="50" w:after="50" w:line="400" w:lineRule="exact"/>
              <w:jc w:val="left"/>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、应具有功能：</w:t>
            </w:r>
            <w:r>
              <w:rPr>
                <w:rFonts w:ascii="宋体" w:hAnsi="宋体" w:cs="宋体"/>
                <w:color w:val="auto"/>
                <w:sz w:val="24"/>
                <w:szCs w:val="24"/>
              </w:rPr>
              <w:t>IPUSH</w:t>
            </w:r>
            <w:r>
              <w:rPr>
                <w:rFonts w:hint="eastAsia" w:ascii="宋体" w:hAnsi="宋体" w:cs="宋体"/>
                <w:color w:val="auto"/>
                <w:sz w:val="24"/>
                <w:szCs w:val="24"/>
              </w:rPr>
              <w:t>一体机、</w:t>
            </w:r>
            <w:r>
              <w:rPr>
                <w:rFonts w:ascii="宋体" w:hAnsi="宋体" w:cs="宋体"/>
                <w:color w:val="auto"/>
                <w:sz w:val="24"/>
                <w:szCs w:val="24"/>
              </w:rPr>
              <w:t>9</w:t>
            </w:r>
            <w:r>
              <w:rPr>
                <w:rFonts w:hint="eastAsia" w:ascii="宋体" w:hAnsi="宋体" w:cs="宋体"/>
                <w:color w:val="auto"/>
                <w:sz w:val="24"/>
                <w:szCs w:val="24"/>
              </w:rPr>
              <w:t>位码、门磁、报警、开锁、出门开关、有线门铃、多种验证方式、组合验证方式、反潜、联动（辅助输入）、首人常开、</w:t>
            </w:r>
            <w:r>
              <w:rPr>
                <w:rFonts w:ascii="宋体" w:hAnsi="宋体" w:cs="宋体"/>
                <w:color w:val="auto"/>
                <w:sz w:val="24"/>
                <w:szCs w:val="24"/>
              </w:rPr>
              <w:t>Wiegand IN</w:t>
            </w:r>
            <w:r>
              <w:rPr>
                <w:rFonts w:hint="eastAsia" w:ascii="宋体" w:hAnsi="宋体" w:cs="宋体"/>
                <w:color w:val="auto"/>
                <w:sz w:val="24"/>
                <w:szCs w:val="24"/>
              </w:rPr>
              <w:t>、</w:t>
            </w:r>
            <w:r>
              <w:rPr>
                <w:rFonts w:ascii="宋体" w:hAnsi="宋体" w:cs="宋体"/>
                <w:color w:val="auto"/>
                <w:sz w:val="24"/>
                <w:szCs w:val="24"/>
              </w:rPr>
              <w:t>Wiegand Out</w:t>
            </w:r>
            <w:r>
              <w:rPr>
                <w:rFonts w:hint="eastAsia" w:ascii="宋体" w:hAnsi="宋体" w:cs="宋体"/>
                <w:color w:val="auto"/>
                <w:sz w:val="24"/>
                <w:szCs w:val="24"/>
              </w:rPr>
              <w:t>、</w:t>
            </w:r>
            <w:r>
              <w:rPr>
                <w:rFonts w:ascii="宋体" w:hAnsi="宋体" w:cs="宋体"/>
                <w:color w:val="auto"/>
                <w:sz w:val="24"/>
                <w:szCs w:val="24"/>
              </w:rPr>
              <w:t>USB host</w:t>
            </w:r>
            <w:r>
              <w:rPr>
                <w:rFonts w:hint="eastAsia" w:ascii="宋体" w:hAnsi="宋体" w:cs="宋体"/>
                <w:color w:val="auto"/>
                <w:sz w:val="24"/>
                <w:szCs w:val="24"/>
              </w:rPr>
              <w:t>、</w:t>
            </w:r>
            <w:r>
              <w:rPr>
                <w:rFonts w:ascii="宋体" w:hAnsi="宋体" w:cs="宋体"/>
                <w:color w:val="auto"/>
                <w:sz w:val="24"/>
                <w:szCs w:val="24"/>
              </w:rPr>
              <w:t>T9</w:t>
            </w:r>
            <w:r>
              <w:rPr>
                <w:rFonts w:hint="eastAsia" w:ascii="宋体" w:hAnsi="宋体" w:cs="宋体"/>
                <w:color w:val="auto"/>
                <w:sz w:val="24"/>
                <w:szCs w:val="24"/>
              </w:rPr>
              <w:t>输入法、记录查询、摄像头、有线门铃、响铃喇叭、</w:t>
            </w:r>
            <w:r>
              <w:rPr>
                <w:rFonts w:ascii="宋体" w:hAnsi="宋体" w:cs="宋体"/>
                <w:color w:val="auto"/>
                <w:sz w:val="24"/>
                <w:szCs w:val="24"/>
              </w:rPr>
              <w:t>SilkID</w:t>
            </w:r>
            <w:r>
              <w:rPr>
                <w:rFonts w:hint="eastAsia" w:ascii="宋体" w:hAnsi="宋体" w:cs="宋体"/>
                <w:color w:val="auto"/>
                <w:sz w:val="24"/>
                <w:szCs w:val="24"/>
              </w:rPr>
              <w:t>指纹头；</w:t>
            </w:r>
          </w:p>
          <w:p>
            <w:pPr>
              <w:spacing w:before="50" w:after="50" w:line="400" w:lineRule="exact"/>
              <w:jc w:val="left"/>
              <w:rPr>
                <w:rFonts w:ascii="宋体"/>
                <w:color w:val="auto"/>
                <w:sz w:val="24"/>
                <w:szCs w:val="24"/>
              </w:rPr>
            </w:pPr>
            <w:r>
              <w:rPr>
                <w:rFonts w:ascii="宋体" w:hAnsi="宋体" w:cs="宋体"/>
                <w:color w:val="auto"/>
                <w:sz w:val="24"/>
                <w:szCs w:val="24"/>
              </w:rPr>
              <w:t>17</w:t>
            </w:r>
            <w:r>
              <w:rPr>
                <w:rFonts w:hint="eastAsia" w:ascii="宋体" w:hAnsi="宋体" w:cs="宋体"/>
                <w:color w:val="auto"/>
                <w:sz w:val="24"/>
                <w:szCs w:val="24"/>
              </w:rPr>
              <w:t>、选配功能：支持选配</w:t>
            </w:r>
            <w:r>
              <w:rPr>
                <w:rFonts w:ascii="宋体" w:hAnsi="宋体" w:cs="宋体"/>
                <w:color w:val="auto"/>
                <w:sz w:val="24"/>
                <w:szCs w:val="24"/>
              </w:rPr>
              <w:t>ID</w:t>
            </w:r>
            <w:r>
              <w:rPr>
                <w:rFonts w:hint="eastAsia" w:ascii="宋体" w:hAnsi="宋体" w:cs="宋体"/>
                <w:color w:val="auto"/>
                <w:sz w:val="24"/>
                <w:szCs w:val="24"/>
              </w:rPr>
              <w:t>卡、</w:t>
            </w:r>
            <w:r>
              <w:rPr>
                <w:rFonts w:ascii="宋体" w:hAnsi="宋体" w:cs="宋体"/>
                <w:color w:val="auto"/>
                <w:sz w:val="24"/>
                <w:szCs w:val="24"/>
              </w:rPr>
              <w:t>Photo ID</w:t>
            </w:r>
            <w:r>
              <w:rPr>
                <w:rFonts w:hint="eastAsia" w:ascii="宋体" w:hAnsi="宋体" w:cs="宋体"/>
                <w:color w:val="auto"/>
                <w:sz w:val="24"/>
                <w:szCs w:val="24"/>
              </w:rPr>
              <w:t>、</w:t>
            </w:r>
            <w:r>
              <w:rPr>
                <w:rFonts w:ascii="宋体" w:hAnsi="宋体" w:cs="宋体"/>
                <w:color w:val="auto"/>
                <w:sz w:val="24"/>
                <w:szCs w:val="24"/>
              </w:rPr>
              <w:t>Mifare</w:t>
            </w:r>
            <w:r>
              <w:rPr>
                <w:rFonts w:hint="eastAsia" w:ascii="宋体" w:hAnsi="宋体" w:cs="宋体"/>
                <w:color w:val="auto"/>
                <w:sz w:val="24"/>
                <w:szCs w:val="24"/>
              </w:rPr>
              <w:t>卡、</w:t>
            </w:r>
            <w:r>
              <w:rPr>
                <w:rFonts w:ascii="宋体" w:hAnsi="宋体" w:cs="宋体"/>
                <w:color w:val="auto"/>
                <w:sz w:val="24"/>
                <w:szCs w:val="24"/>
              </w:rPr>
              <w:t>RS485</w:t>
            </w:r>
            <w:r>
              <w:rPr>
                <w:rFonts w:hint="eastAsia" w:ascii="宋体" w:hAnsi="宋体" w:cs="宋体"/>
                <w:color w:val="auto"/>
                <w:sz w:val="24"/>
                <w:szCs w:val="24"/>
              </w:rPr>
              <w:t>读头（指纹</w:t>
            </w:r>
            <w:r>
              <w:rPr>
                <w:rFonts w:ascii="宋体" w:hAnsi="宋体" w:cs="宋体"/>
                <w:color w:val="auto"/>
                <w:sz w:val="24"/>
                <w:szCs w:val="24"/>
              </w:rPr>
              <w:t>&amp;</w:t>
            </w:r>
            <w:r>
              <w:rPr>
                <w:rFonts w:hint="eastAsia" w:ascii="宋体" w:hAnsi="宋体" w:cs="宋体"/>
                <w:color w:val="auto"/>
                <w:sz w:val="24"/>
                <w:szCs w:val="24"/>
              </w:rPr>
              <w:t>卡）、</w:t>
            </w:r>
            <w:r>
              <w:rPr>
                <w:rFonts w:ascii="宋体" w:hAnsi="宋体" w:cs="宋体"/>
                <w:color w:val="auto"/>
                <w:sz w:val="24"/>
                <w:szCs w:val="24"/>
              </w:rPr>
              <w:t>SRB</w:t>
            </w:r>
            <w:r>
              <w:rPr>
                <w:rFonts w:hint="eastAsia" w:ascii="宋体" w:hAnsi="宋体" w:cs="宋体"/>
                <w:color w:val="auto"/>
                <w:sz w:val="24"/>
                <w:szCs w:val="24"/>
              </w:rPr>
              <w:t>。；</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3</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闭门器</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color w:val="auto"/>
                <w:sz w:val="24"/>
                <w:szCs w:val="24"/>
              </w:rPr>
            </w:pPr>
            <w:r>
              <w:rPr>
                <w:rFonts w:hint="eastAsia" w:hAnsi="宋体" w:cs="宋体"/>
                <w:color w:val="auto"/>
                <w:sz w:val="24"/>
                <w:szCs w:val="24"/>
              </w:rPr>
              <w:t>适用于</w:t>
            </w:r>
            <w:r>
              <w:rPr>
                <w:color w:val="auto"/>
                <w:sz w:val="24"/>
                <w:szCs w:val="24"/>
              </w:rPr>
              <w:t>55~75</w:t>
            </w:r>
            <w:r>
              <w:rPr>
                <w:rFonts w:hint="eastAsia" w:hAnsi="宋体" w:cs="宋体"/>
                <w:color w:val="auto"/>
                <w:sz w:val="24"/>
                <w:szCs w:val="24"/>
              </w:rPr>
              <w:t>公斤单扇门。</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4</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单门磁力锁</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、额定电压</w:t>
            </w:r>
            <w:r>
              <w:rPr>
                <w:rFonts w:ascii="宋体" w:hAnsi="宋体" w:cs="宋体"/>
                <w:color w:val="auto"/>
                <w:sz w:val="24"/>
                <w:szCs w:val="24"/>
              </w:rPr>
              <w:t xml:space="preserve"> "DC12V</w:t>
            </w:r>
            <w:r>
              <w:rPr>
                <w:rFonts w:hint="eastAsia" w:ascii="宋体" w:hAnsi="宋体" w:cs="宋体"/>
                <w:color w:val="auto"/>
                <w:sz w:val="24"/>
                <w:szCs w:val="24"/>
              </w:rPr>
              <w:t>输入；</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w:t>
            </w:r>
            <w:r>
              <w:rPr>
                <w:rFonts w:hint="eastAsia" w:ascii="宋体" w:hAnsi="宋体" w:cs="宋体"/>
                <w:color w:val="auto"/>
                <w:sz w:val="24"/>
                <w:szCs w:val="24"/>
              </w:rPr>
              <w:t>、工作电流</w:t>
            </w:r>
            <w:r>
              <w:rPr>
                <w:rFonts w:ascii="宋体" w:hAnsi="宋体" w:cs="宋体"/>
                <w:color w:val="auto"/>
                <w:sz w:val="24"/>
                <w:szCs w:val="24"/>
              </w:rPr>
              <w:t xml:space="preserve"> 450mA</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w:t>
            </w:r>
            <w:r>
              <w:rPr>
                <w:rFonts w:hint="eastAsia" w:ascii="宋体" w:hAnsi="宋体" w:cs="宋体"/>
                <w:color w:val="auto"/>
                <w:sz w:val="24"/>
                <w:szCs w:val="24"/>
              </w:rPr>
              <w:t>、持续电流</w:t>
            </w:r>
            <w:r>
              <w:rPr>
                <w:rFonts w:ascii="宋体" w:hAnsi="宋体" w:cs="宋体"/>
                <w:color w:val="auto"/>
                <w:sz w:val="24"/>
                <w:szCs w:val="24"/>
              </w:rPr>
              <w:t xml:space="preserve"> 450mA</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rPr>
              <w:t>、拉力</w:t>
            </w:r>
            <w:r>
              <w:rPr>
                <w:rFonts w:ascii="宋体" w:hAnsi="宋体" w:cs="宋体"/>
                <w:color w:val="auto"/>
                <w:sz w:val="24"/>
                <w:szCs w:val="24"/>
              </w:rPr>
              <w:t xml:space="preserve"> 280kg</w:t>
            </w:r>
            <w:r>
              <w:rPr>
                <w:rFonts w:hint="eastAsia" w:ascii="宋体" w:hAnsi="宋体" w:cs="宋体"/>
                <w:color w:val="auto"/>
                <w:sz w:val="24"/>
                <w:szCs w:val="24"/>
              </w:rPr>
              <w:t>级；</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5</w:t>
            </w:r>
            <w:r>
              <w:rPr>
                <w:rFonts w:hint="eastAsia" w:ascii="宋体" w:hAnsi="宋体" w:cs="宋体"/>
                <w:color w:val="auto"/>
                <w:sz w:val="24"/>
                <w:szCs w:val="24"/>
              </w:rPr>
              <w:t>、外形尺寸</w:t>
            </w:r>
            <w:r>
              <w:rPr>
                <w:rFonts w:ascii="宋体" w:hAnsi="宋体" w:cs="宋体"/>
                <w:color w:val="auto"/>
                <w:sz w:val="24"/>
                <w:szCs w:val="24"/>
              </w:rPr>
              <w:t xml:space="preserve"> 250X48X27mm</w:t>
            </w:r>
            <w:r>
              <w:rPr>
                <w:rFonts w:hint="eastAsia" w:ascii="宋体" w:hAnsi="宋体" w:cs="宋体"/>
                <w:color w:val="auto"/>
                <w:sz w:val="24"/>
                <w:szCs w:val="24"/>
              </w:rPr>
              <w:t>；</w:t>
            </w:r>
          </w:p>
          <w:p>
            <w:pPr>
              <w:spacing w:before="50" w:after="50" w:line="400" w:lineRule="exact"/>
              <w:jc w:val="left"/>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、工作环境</w:t>
            </w:r>
            <w:r>
              <w:rPr>
                <w:rFonts w:ascii="宋体" w:hAnsi="宋体" w:cs="宋体"/>
                <w:color w:val="auto"/>
                <w:sz w:val="24"/>
                <w:szCs w:val="24"/>
              </w:rPr>
              <w:t xml:space="preserve"> </w:t>
            </w:r>
            <w:r>
              <w:rPr>
                <w:rFonts w:hint="eastAsia" w:ascii="宋体" w:hAnsi="宋体" w:cs="宋体"/>
                <w:color w:val="auto"/>
                <w:sz w:val="24"/>
                <w:szCs w:val="24"/>
              </w:rPr>
              <w:t>工作温度：</w:t>
            </w:r>
            <w:r>
              <w:rPr>
                <w:rFonts w:ascii="宋体" w:hAnsi="宋体" w:cs="宋体"/>
                <w:color w:val="auto"/>
                <w:sz w:val="24"/>
                <w:szCs w:val="24"/>
              </w:rPr>
              <w:t>-30</w:t>
            </w:r>
            <w:r>
              <w:rPr>
                <w:rFonts w:hint="eastAsia" w:ascii="宋体" w:hAnsi="宋体" w:cs="宋体"/>
                <w:color w:val="auto"/>
                <w:sz w:val="24"/>
                <w:szCs w:val="24"/>
              </w:rPr>
              <w:t>℃</w:t>
            </w:r>
            <w:r>
              <w:rPr>
                <w:rFonts w:ascii="宋体" w:hAnsi="宋体" w:cs="宋体"/>
                <w:color w:val="auto"/>
                <w:sz w:val="24"/>
                <w:szCs w:val="24"/>
              </w:rPr>
              <w:t>-+60</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工作湿度：≤</w:t>
            </w:r>
            <w:r>
              <w:rPr>
                <w:rFonts w:ascii="宋体" w:hAnsi="宋体" w:cs="宋体"/>
                <w:color w:val="auto"/>
                <w:sz w:val="24"/>
                <w:szCs w:val="24"/>
              </w:rPr>
              <w:t>95%</w:t>
            </w:r>
            <w:r>
              <w:rPr>
                <w:rFonts w:hint="eastAsia" w:ascii="宋体" w:hAnsi="宋体" w:cs="宋体"/>
                <w:color w:val="auto"/>
                <w:sz w:val="24"/>
                <w:szCs w:val="24"/>
              </w:rPr>
              <w:t>；</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5</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单门磁力锁支架</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单门磁力锁支架。</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2624"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门禁专用电源</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rPr>
              <w:t>产品参数：</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a)DC12V5A</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b</w:t>
            </w:r>
            <w:r>
              <w:rPr>
                <w:rFonts w:hint="eastAsia" w:ascii="宋体" w:hAnsi="宋体" w:cs="宋体"/>
                <w:color w:val="auto"/>
                <w:sz w:val="24"/>
                <w:szCs w:val="24"/>
              </w:rPr>
              <w:t>）电压</w:t>
            </w:r>
            <w:r>
              <w:rPr>
                <w:rFonts w:ascii="宋体" w:hAnsi="宋体" w:cs="宋体"/>
                <w:color w:val="auto"/>
                <w:sz w:val="24"/>
                <w:szCs w:val="24"/>
              </w:rPr>
              <w:t>10.5-13.5</w:t>
            </w:r>
            <w:r>
              <w:rPr>
                <w:rFonts w:hint="eastAsia" w:ascii="宋体" w:hAnsi="宋体" w:cs="宋体"/>
                <w:color w:val="auto"/>
                <w:sz w:val="24"/>
                <w:szCs w:val="24"/>
              </w:rPr>
              <w:t>可调；</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c</w:t>
            </w:r>
            <w:r>
              <w:rPr>
                <w:rFonts w:hint="eastAsia" w:ascii="宋体" w:hAnsi="宋体" w:cs="宋体"/>
                <w:color w:val="auto"/>
                <w:sz w:val="24"/>
                <w:szCs w:val="24"/>
              </w:rPr>
              <w:t>）具有单独后备电池接口</w:t>
            </w:r>
            <w:r>
              <w:rPr>
                <w:rFonts w:ascii="宋体" w:hAnsi="宋体" w:cs="宋体"/>
                <w:color w:val="auto"/>
                <w:sz w:val="24"/>
                <w:szCs w:val="24"/>
              </w:rPr>
              <w:t>/</w:t>
            </w:r>
            <w:r>
              <w:rPr>
                <w:rFonts w:hint="eastAsia" w:ascii="宋体" w:hAnsi="宋体" w:cs="宋体"/>
                <w:color w:val="auto"/>
                <w:sz w:val="24"/>
                <w:szCs w:val="24"/>
              </w:rPr>
              <w:t>后备供电</w:t>
            </w:r>
            <w:r>
              <w:rPr>
                <w:rFonts w:ascii="宋体" w:hAnsi="宋体" w:cs="宋体"/>
                <w:color w:val="auto"/>
                <w:sz w:val="24"/>
                <w:szCs w:val="24"/>
              </w:rPr>
              <w:t>1</w:t>
            </w:r>
            <w:r>
              <w:rPr>
                <w:rFonts w:hint="eastAsia" w:ascii="宋体" w:hAnsi="宋体" w:cs="宋体"/>
                <w:color w:val="auto"/>
                <w:sz w:val="24"/>
                <w:szCs w:val="24"/>
              </w:rPr>
              <w:t>小时；</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d</w:t>
            </w:r>
            <w:r>
              <w:rPr>
                <w:rFonts w:hint="eastAsia" w:ascii="宋体" w:hAnsi="宋体" w:cs="宋体"/>
                <w:color w:val="auto"/>
                <w:sz w:val="24"/>
                <w:szCs w:val="24"/>
              </w:rPr>
              <w:t>）具有电源和负载后备指示灯；</w:t>
            </w:r>
          </w:p>
          <w:p>
            <w:pPr>
              <w:spacing w:before="50" w:after="50" w:line="400" w:lineRule="exact"/>
              <w:jc w:val="left"/>
              <w:rPr>
                <w:rFonts w:ascii="宋体"/>
                <w:color w:val="auto"/>
                <w:sz w:val="24"/>
                <w:szCs w:val="24"/>
              </w:rPr>
            </w:pPr>
            <w:r>
              <w:rPr>
                <w:rFonts w:ascii="宋体" w:hAnsi="宋体" w:cs="宋体"/>
                <w:color w:val="auto"/>
                <w:sz w:val="24"/>
                <w:szCs w:val="24"/>
              </w:rPr>
              <w:t>e</w:t>
            </w:r>
            <w:r>
              <w:rPr>
                <w:rFonts w:hint="eastAsia" w:ascii="宋体" w:hAnsi="宋体" w:cs="宋体"/>
                <w:color w:val="auto"/>
                <w:sz w:val="24"/>
                <w:szCs w:val="24"/>
              </w:rPr>
              <w:t>）开锁延时可调。</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7</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开门按钮</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白色：塑料，一般适用</w:t>
            </w:r>
            <w:r>
              <w:rPr>
                <w:rFonts w:ascii="宋体" w:hAnsi="宋体" w:cs="宋体"/>
                <w:color w:val="auto"/>
                <w:sz w:val="24"/>
                <w:szCs w:val="24"/>
              </w:rPr>
              <w:t>86</w:t>
            </w:r>
            <w:r>
              <w:rPr>
                <w:rFonts w:hint="eastAsia" w:ascii="宋体" w:hAnsi="宋体" w:cs="宋体"/>
                <w:color w:val="auto"/>
                <w:sz w:val="24"/>
                <w:szCs w:val="24"/>
              </w:rPr>
              <w:t>底盒。</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6</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8</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门禁管理软件</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、可通过系统管理设备、上传用户门禁数据、下载配置信息、输出各类报表，实现智能的数字化管理。</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w:t>
            </w:r>
            <w:r>
              <w:rPr>
                <w:rFonts w:hint="eastAsia" w:ascii="宋体" w:hAnsi="宋体" w:cs="宋体"/>
                <w:color w:val="auto"/>
                <w:sz w:val="24"/>
                <w:szCs w:val="24"/>
              </w:rPr>
              <w:t>、门禁设备</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2.1</w:t>
            </w:r>
            <w:r>
              <w:rPr>
                <w:rFonts w:hint="eastAsia" w:ascii="宋体" w:hAnsi="宋体" w:cs="宋体"/>
                <w:color w:val="auto"/>
                <w:sz w:val="24"/>
                <w:szCs w:val="24"/>
              </w:rPr>
              <w:t>可添加门禁设备，设置连接设备的通信参数，包括系统中的设置和门禁设备中的设置。通信成功后能查看已连接设备的信息并对机器进行远程视频网络、同步数据等操作；</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2.2</w:t>
            </w:r>
            <w:r>
              <w:rPr>
                <w:rFonts w:hint="eastAsia" w:ascii="宋体" w:hAnsi="宋体" w:cs="宋体"/>
                <w:color w:val="auto"/>
                <w:sz w:val="24"/>
                <w:szCs w:val="24"/>
              </w:rPr>
              <w:t>系统支持手动新增门禁设备，通过</w:t>
            </w:r>
            <w:r>
              <w:rPr>
                <w:rFonts w:ascii="宋体" w:hAnsi="宋体" w:cs="宋体"/>
                <w:color w:val="auto"/>
                <w:sz w:val="24"/>
                <w:szCs w:val="24"/>
              </w:rPr>
              <w:t>TCP/IP</w:t>
            </w:r>
            <w:r>
              <w:rPr>
                <w:rFonts w:hint="eastAsia" w:ascii="宋体" w:hAnsi="宋体" w:cs="宋体"/>
                <w:color w:val="auto"/>
                <w:sz w:val="24"/>
                <w:szCs w:val="24"/>
              </w:rPr>
              <w:t>或</w:t>
            </w:r>
            <w:r>
              <w:rPr>
                <w:rFonts w:ascii="宋体" w:hAnsi="宋体" w:cs="宋体"/>
                <w:color w:val="auto"/>
                <w:sz w:val="24"/>
                <w:szCs w:val="24"/>
              </w:rPr>
              <w:t>RS485</w:t>
            </w:r>
            <w:r>
              <w:rPr>
                <w:rFonts w:hint="eastAsia" w:ascii="宋体" w:hAnsi="宋体" w:cs="宋体"/>
                <w:color w:val="auto"/>
                <w:sz w:val="24"/>
                <w:szCs w:val="24"/>
              </w:rPr>
              <w:t>通讯；</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2.3</w:t>
            </w:r>
            <w:r>
              <w:rPr>
                <w:rFonts w:hint="eastAsia" w:ascii="宋体" w:hAnsi="宋体" w:cs="宋体"/>
                <w:color w:val="auto"/>
                <w:sz w:val="24"/>
                <w:szCs w:val="24"/>
              </w:rPr>
              <w:t>系统支持搜索门禁控制器新增设备</w:t>
            </w:r>
            <w:r>
              <w:rPr>
                <w:rFonts w:ascii="宋体" w:hAnsi="宋体" w:cs="宋体"/>
                <w:color w:val="auto"/>
                <w:sz w:val="24"/>
                <w:szCs w:val="24"/>
              </w:rPr>
              <w:t xml:space="preserve"> </w:t>
            </w:r>
            <w:r>
              <w:rPr>
                <w:rFonts w:hint="eastAsia" w:ascii="宋体" w:hAnsi="宋体" w:cs="宋体"/>
                <w:color w:val="auto"/>
                <w:sz w:val="24"/>
                <w:szCs w:val="24"/>
              </w:rPr>
              <w:t>搜索以太网中的门禁控制器。</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w:t>
            </w:r>
            <w:r>
              <w:rPr>
                <w:rFonts w:hint="eastAsia" w:ascii="宋体" w:hAnsi="宋体" w:cs="宋体"/>
                <w:color w:val="auto"/>
                <w:sz w:val="24"/>
                <w:szCs w:val="24"/>
              </w:rPr>
              <w:t>、设备操作</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3.1</w:t>
            </w:r>
            <w:r>
              <w:rPr>
                <w:rFonts w:hint="eastAsia" w:ascii="宋体" w:hAnsi="宋体" w:cs="宋体"/>
                <w:color w:val="auto"/>
                <w:sz w:val="24"/>
                <w:szCs w:val="24"/>
              </w:rPr>
              <w:t>用户可编辑当前系统中存在的所有权限范围内的门禁设备，如果需要添加或者删除设备，只能到设备管理中进行。</w:t>
            </w:r>
            <w:r>
              <w:rPr>
                <w:rFonts w:ascii="宋体" w:hAnsi="宋体" w:cs="宋体"/>
                <w:color w:val="auto"/>
                <w:sz w:val="24"/>
                <w:szCs w:val="24"/>
              </w:rPr>
              <w:t xml:space="preserve"> </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3.2</w:t>
            </w:r>
            <w:r>
              <w:rPr>
                <w:rFonts w:hint="eastAsia" w:ascii="宋体" w:hAnsi="宋体" w:cs="宋体"/>
                <w:color w:val="auto"/>
                <w:sz w:val="24"/>
                <w:szCs w:val="24"/>
              </w:rPr>
              <w:t>系统能对前端设备进行更详细地设置，具备对门禁设备控制（启用、禁用、同步所有数据、重启设备、同步时间）、设置（设置后台验证参数、设置设备时区、设置登记机、设置夏令时、修改指纹比对阈值）；需提供该功能软件截图证明文件。</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3.3</w:t>
            </w:r>
            <w:r>
              <w:rPr>
                <w:rFonts w:hint="eastAsia" w:ascii="宋体" w:hAnsi="宋体" w:cs="宋体"/>
                <w:color w:val="auto"/>
                <w:sz w:val="24"/>
                <w:szCs w:val="24"/>
              </w:rPr>
              <w:t>支持查看和获取信息（获取设备参数、获取人员信息、获取事件记录、查看设备中的门禁规则、查询设备容量）、通讯（修改</w:t>
            </w:r>
            <w:r>
              <w:rPr>
                <w:rFonts w:ascii="宋体" w:hAnsi="宋体" w:cs="宋体"/>
                <w:color w:val="auto"/>
                <w:sz w:val="24"/>
                <w:szCs w:val="24"/>
              </w:rPr>
              <w:t>IP</w:t>
            </w:r>
            <w:r>
              <w:rPr>
                <w:rFonts w:hint="eastAsia" w:ascii="宋体" w:hAnsi="宋体" w:cs="宋体"/>
                <w:color w:val="auto"/>
                <w:sz w:val="24"/>
                <w:szCs w:val="24"/>
              </w:rPr>
              <w:t>地址、修改通信密码、切换网络连接等）；需提供该功能软件截图证明文件。</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3.4</w:t>
            </w:r>
            <w:r>
              <w:rPr>
                <w:rFonts w:hint="eastAsia" w:ascii="宋体" w:hAnsi="宋体" w:cs="宋体"/>
                <w:color w:val="auto"/>
                <w:sz w:val="24"/>
                <w:szCs w:val="24"/>
              </w:rPr>
              <w:t>支持系统中的数据同步所有数据到设备中。</w:t>
            </w:r>
          </w:p>
          <w:p>
            <w:pPr>
              <w:spacing w:before="50" w:after="50"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rPr>
              <w:t>可获取设备常用参数；可获取人员的指纹、指静脉、面部数据或对应的数量；可获取事件记录，将设备中的事件记录获取到系统中。</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3.5</w:t>
            </w:r>
            <w:r>
              <w:rPr>
                <w:rFonts w:hint="eastAsia" w:ascii="宋体" w:hAnsi="宋体" w:cs="宋体"/>
                <w:color w:val="auto"/>
                <w:sz w:val="24"/>
                <w:szCs w:val="24"/>
              </w:rPr>
              <w:t>当网络状况良好且系统与设备通信状态正常时，系统支持实时地获取设备中的事件记录并保存到数据库中。当通信中断时，可手动获取设备中的事件记录。</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3.6</w:t>
            </w:r>
            <w:r>
              <w:rPr>
                <w:rFonts w:hint="eastAsia" w:ascii="宋体" w:hAnsi="宋体" w:cs="宋体"/>
                <w:color w:val="auto"/>
                <w:sz w:val="24"/>
                <w:szCs w:val="24"/>
              </w:rPr>
              <w:t>系统支持每天的</w:t>
            </w:r>
            <w:r>
              <w:rPr>
                <w:rFonts w:ascii="宋体" w:hAnsi="宋体" w:cs="宋体"/>
                <w:color w:val="auto"/>
                <w:sz w:val="24"/>
                <w:szCs w:val="24"/>
              </w:rPr>
              <w:t>00:00</w:t>
            </w:r>
            <w:r>
              <w:rPr>
                <w:rFonts w:hint="eastAsia" w:ascii="宋体" w:hAnsi="宋体" w:cs="宋体"/>
                <w:color w:val="auto"/>
                <w:sz w:val="24"/>
                <w:szCs w:val="24"/>
              </w:rPr>
              <w:t>自动获取设备中的事件记录。</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3.7</w:t>
            </w:r>
            <w:r>
              <w:rPr>
                <w:rFonts w:hint="eastAsia" w:ascii="宋体" w:hAnsi="宋体" w:cs="宋体"/>
                <w:color w:val="auto"/>
                <w:sz w:val="24"/>
                <w:szCs w:val="24"/>
              </w:rPr>
              <w:t>门禁设备存储≥</w:t>
            </w:r>
            <w:r>
              <w:rPr>
                <w:rFonts w:ascii="宋体" w:hAnsi="宋体" w:cs="宋体"/>
                <w:color w:val="auto"/>
                <w:sz w:val="24"/>
                <w:szCs w:val="24"/>
              </w:rPr>
              <w:t>10</w:t>
            </w:r>
            <w:r>
              <w:rPr>
                <w:rFonts w:hint="eastAsia" w:ascii="宋体" w:hAnsi="宋体" w:cs="宋体"/>
                <w:color w:val="auto"/>
                <w:sz w:val="24"/>
                <w:szCs w:val="24"/>
              </w:rPr>
              <w:t>万条事件记录，记录超过默认储存量，设备将自动删除最早保存的记录。</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3.8</w:t>
            </w:r>
            <w:r>
              <w:rPr>
                <w:rFonts w:hint="eastAsia" w:ascii="宋体" w:hAnsi="宋体" w:cs="宋体"/>
                <w:color w:val="auto"/>
                <w:sz w:val="24"/>
                <w:szCs w:val="24"/>
              </w:rPr>
              <w:t>可设置夏令时，根据不同地区的要求，设置设备所需要采用的夏令时规则。</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3.9</w:t>
            </w:r>
            <w:r>
              <w:rPr>
                <w:rFonts w:hint="eastAsia" w:ascii="宋体" w:hAnsi="宋体" w:cs="宋体"/>
                <w:color w:val="auto"/>
                <w:sz w:val="24"/>
                <w:szCs w:val="24"/>
              </w:rPr>
              <w:t>可修改设备中的指纹比对阈值，用户可通过设备列表查看当前指纹比对阈值大小。</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rPr>
              <w:t>、门禁管理</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w:t>
            </w:r>
            <w:r>
              <w:rPr>
                <w:rFonts w:hint="eastAsia" w:ascii="宋体" w:hAnsi="宋体" w:cs="宋体"/>
                <w:color w:val="auto"/>
                <w:sz w:val="24"/>
                <w:szCs w:val="24"/>
              </w:rPr>
              <w:t>系统可根据设备的门禁数量自动编号，与设备上的门禁编号保持一致。</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w:t>
            </w:r>
            <w:r>
              <w:rPr>
                <w:rFonts w:hint="eastAsia" w:ascii="宋体" w:hAnsi="宋体" w:cs="宋体"/>
                <w:color w:val="auto"/>
                <w:sz w:val="24"/>
                <w:szCs w:val="24"/>
              </w:rPr>
              <w:t>可设置门禁的有效时间段、门禁常开时间段；门禁常开状态下，具有该门门禁权限的人员连续</w:t>
            </w:r>
            <w:r>
              <w:rPr>
                <w:rFonts w:ascii="宋体" w:hAnsi="宋体" w:cs="宋体"/>
                <w:color w:val="auto"/>
                <w:sz w:val="24"/>
                <w:szCs w:val="24"/>
              </w:rPr>
              <w:t>5</w:t>
            </w:r>
            <w:r>
              <w:rPr>
                <w:rFonts w:hint="eastAsia" w:ascii="宋体" w:hAnsi="宋体" w:cs="宋体"/>
                <w:color w:val="auto"/>
                <w:sz w:val="24"/>
                <w:szCs w:val="24"/>
              </w:rPr>
              <w:t>次验证通过（验证间隔不超过</w:t>
            </w:r>
            <w:r>
              <w:rPr>
                <w:rFonts w:ascii="宋体" w:hAnsi="宋体" w:cs="宋体"/>
                <w:color w:val="auto"/>
                <w:sz w:val="24"/>
                <w:szCs w:val="24"/>
              </w:rPr>
              <w:t>5</w:t>
            </w:r>
            <w:r>
              <w:rPr>
                <w:rFonts w:hint="eastAsia" w:ascii="宋体" w:hAnsi="宋体" w:cs="宋体"/>
                <w:color w:val="auto"/>
                <w:sz w:val="24"/>
                <w:szCs w:val="24"/>
              </w:rPr>
              <w:t>秒），解除当前的常开状态，门禁关闭并变成正常验证。</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4.3</w:t>
            </w:r>
            <w:r>
              <w:rPr>
                <w:rFonts w:hint="eastAsia" w:ascii="宋体" w:hAnsi="宋体" w:cs="宋体"/>
                <w:color w:val="auto"/>
                <w:sz w:val="24"/>
                <w:szCs w:val="24"/>
              </w:rPr>
              <w:t>验证方式：支持人脸、指纹、密码、工号、卡等方式相互交叉的多种验证方式。</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4.4</w:t>
            </w:r>
            <w:r>
              <w:rPr>
                <w:rFonts w:hint="eastAsia" w:ascii="宋体" w:hAnsi="宋体" w:cs="宋体"/>
                <w:color w:val="auto"/>
                <w:sz w:val="24"/>
                <w:szCs w:val="24"/>
              </w:rPr>
              <w:t>可设置锁驱动时长：刷卡后开锁的延时时间，单位秒（控制器范围：</w:t>
            </w:r>
            <w:r>
              <w:rPr>
                <w:rFonts w:ascii="宋体" w:hAnsi="宋体" w:cs="宋体"/>
                <w:color w:val="auto"/>
                <w:sz w:val="24"/>
                <w:szCs w:val="24"/>
              </w:rPr>
              <w:t xml:space="preserve">0~254 </w:t>
            </w:r>
            <w:r>
              <w:rPr>
                <w:rFonts w:hint="eastAsia" w:ascii="宋体" w:hAnsi="宋体" w:cs="宋体"/>
                <w:color w:val="auto"/>
                <w:sz w:val="24"/>
                <w:szCs w:val="24"/>
              </w:rPr>
              <w:t>秒，一体机范围：</w:t>
            </w:r>
            <w:r>
              <w:rPr>
                <w:rFonts w:ascii="宋体" w:hAnsi="宋体" w:cs="宋体"/>
                <w:color w:val="auto"/>
                <w:sz w:val="24"/>
                <w:szCs w:val="24"/>
              </w:rPr>
              <w:t>1~254</w:t>
            </w:r>
            <w:r>
              <w:rPr>
                <w:rFonts w:hint="eastAsia" w:ascii="宋体" w:hAnsi="宋体" w:cs="宋体"/>
                <w:color w:val="auto"/>
                <w:sz w:val="24"/>
                <w:szCs w:val="24"/>
              </w:rPr>
              <w:t>）。</w:t>
            </w:r>
            <w:r>
              <w:rPr>
                <w:rFonts w:ascii="宋体" w:hAnsi="宋体" w:cs="宋体"/>
                <w:color w:val="auto"/>
                <w:sz w:val="24"/>
                <w:szCs w:val="24"/>
              </w:rPr>
              <w:t xml:space="preserve"> </w:t>
            </w:r>
          </w:p>
          <w:p>
            <w:pPr>
              <w:spacing w:before="50" w:after="50" w:line="400" w:lineRule="exact"/>
              <w:jc w:val="left"/>
              <w:rPr>
                <w:rFonts w:hint="eastAsia" w:eastAsia="宋体"/>
                <w:color w:val="auto"/>
                <w:sz w:val="24"/>
                <w:szCs w:val="24"/>
                <w:lang w:eastAsia="zh-CN"/>
              </w:rPr>
            </w:pPr>
            <w:r>
              <w:rPr>
                <w:rFonts w:ascii="宋体" w:hAnsi="宋体" w:cs="宋体"/>
                <w:color w:val="auto"/>
                <w:sz w:val="24"/>
                <w:szCs w:val="24"/>
              </w:rPr>
              <w:t>4.5</w:t>
            </w:r>
            <w:r>
              <w:rPr>
                <w:rFonts w:hint="eastAsia" w:ascii="宋体" w:hAnsi="宋体" w:cs="宋体"/>
                <w:color w:val="auto"/>
                <w:sz w:val="24"/>
                <w:szCs w:val="24"/>
              </w:rPr>
              <w:t>可设置出门按钮延时：出门按钮被锁定后延迟检查门禁报警的时间。强制开门之后过一段时间开始检测门的状态。当出门按钮状态为锁定时才可设置该选项。</w:t>
            </w:r>
            <w:r>
              <w:rPr>
                <w:rFonts w:ascii="宋体" w:hAnsi="宋体" w:cs="宋体"/>
                <w:color w:val="auto"/>
                <w:sz w:val="24"/>
                <w:szCs w:val="24"/>
              </w:rPr>
              <w:t xml:space="preserve"> </w:t>
            </w:r>
            <w:r>
              <w:rPr>
                <w:rFonts w:hint="eastAsia" w:ascii="宋体" w:hAnsi="宋体" w:cs="宋体"/>
                <w:color w:val="auto"/>
                <w:sz w:val="24"/>
                <w:szCs w:val="24"/>
              </w:rPr>
              <w:t>出门按钮时间段：出门按钮在设置的时间段内才可以使用</w:t>
            </w:r>
            <w:r>
              <w:rPr>
                <w:rFonts w:hint="eastAsia" w:hAnsi="宋体" w:cs="宋体"/>
                <w:color w:val="auto"/>
                <w:sz w:val="24"/>
                <w:szCs w:val="24"/>
              </w:rPr>
              <w:t>。</w:t>
            </w:r>
            <w:r>
              <w:rPr>
                <w:color w:val="auto"/>
                <w:sz w:val="24"/>
                <w:szCs w:val="24"/>
              </w:rPr>
              <w:t xml:space="preserve"> </w:t>
            </w:r>
          </w:p>
          <w:p>
            <w:pPr>
              <w:spacing w:before="50" w:after="50" w:line="400" w:lineRule="exact"/>
              <w:jc w:val="left"/>
              <w:rPr>
                <w:rFonts w:hint="eastAsia" w:hAnsi="宋体" w:eastAsia="宋体" w:cs="宋体"/>
                <w:color w:val="auto"/>
                <w:sz w:val="24"/>
                <w:szCs w:val="24"/>
                <w:lang w:eastAsia="zh-CN"/>
              </w:rPr>
            </w:pPr>
            <w:r>
              <w:rPr>
                <w:color w:val="auto"/>
                <w:sz w:val="24"/>
                <w:szCs w:val="24"/>
              </w:rPr>
              <w:t>4.6</w:t>
            </w:r>
            <w:r>
              <w:rPr>
                <w:rFonts w:hint="eastAsia" w:hAnsi="宋体" w:cs="宋体"/>
                <w:color w:val="auto"/>
                <w:sz w:val="24"/>
                <w:szCs w:val="24"/>
              </w:rPr>
              <w:t>操作间隔：两次操作之间的时间间隔，单位秒（范围：</w:t>
            </w:r>
            <w:r>
              <w:rPr>
                <w:color w:val="auto"/>
                <w:sz w:val="24"/>
                <w:szCs w:val="24"/>
              </w:rPr>
              <w:t>0~254</w:t>
            </w:r>
            <w:r>
              <w:rPr>
                <w:rFonts w:hint="eastAsia" w:hAnsi="宋体" w:cs="宋体"/>
                <w:color w:val="auto"/>
                <w:sz w:val="24"/>
                <w:szCs w:val="24"/>
              </w:rPr>
              <w:t>秒）。</w:t>
            </w:r>
          </w:p>
          <w:p>
            <w:pPr>
              <w:spacing w:before="50" w:after="50" w:line="400" w:lineRule="exact"/>
              <w:jc w:val="left"/>
              <w:rPr>
                <w:rFonts w:hint="eastAsia" w:ascii="宋体" w:hAnsi="宋体" w:eastAsia="宋体" w:cs="宋体"/>
                <w:color w:val="auto"/>
                <w:sz w:val="24"/>
                <w:szCs w:val="24"/>
                <w:lang w:eastAsia="zh-CN"/>
              </w:rPr>
            </w:pPr>
            <w:r>
              <w:rPr>
                <w:color w:val="auto"/>
                <w:sz w:val="24"/>
                <w:szCs w:val="24"/>
              </w:rPr>
              <w:t>4.7</w:t>
            </w:r>
            <w:r>
              <w:rPr>
                <w:rFonts w:hint="eastAsia" w:hAnsi="宋体" w:cs="宋体"/>
                <w:color w:val="auto"/>
                <w:sz w:val="24"/>
                <w:szCs w:val="24"/>
              </w:rPr>
              <w:t>门磁类型：无（不检测门磁）</w:t>
            </w:r>
            <w:r>
              <w:rPr>
                <w:rFonts w:hint="eastAsia" w:ascii="宋体" w:hAnsi="宋体" w:cs="宋体"/>
                <w:color w:val="auto"/>
                <w:sz w:val="24"/>
                <w:szCs w:val="24"/>
              </w:rPr>
              <w:t>、常开、常闭，默认无。设置常开或常闭，需先选择门磁延时和是否需要闭门回</w:t>
            </w:r>
            <w:r>
              <w:rPr>
                <w:rFonts w:ascii="宋体" w:hAnsi="宋体" w:cs="宋体"/>
                <w:color w:val="auto"/>
                <w:sz w:val="24"/>
                <w:szCs w:val="24"/>
              </w:rPr>
              <w:t xml:space="preserve"> </w:t>
            </w:r>
            <w:r>
              <w:rPr>
                <w:rFonts w:hint="eastAsia" w:ascii="宋体" w:hAnsi="宋体" w:cs="宋体"/>
                <w:color w:val="auto"/>
                <w:sz w:val="24"/>
                <w:szCs w:val="24"/>
              </w:rPr>
              <w:t>锁；门磁类型为“常开”或“常闭”时，默认门磁延时为</w:t>
            </w:r>
            <w:r>
              <w:rPr>
                <w:rFonts w:ascii="宋体" w:hAnsi="宋体" w:cs="宋体"/>
                <w:color w:val="auto"/>
                <w:sz w:val="24"/>
                <w:szCs w:val="24"/>
              </w:rPr>
              <w:t>15</w:t>
            </w:r>
            <w:r>
              <w:rPr>
                <w:rFonts w:hint="eastAsia" w:ascii="宋体" w:hAnsi="宋体" w:cs="宋体"/>
                <w:color w:val="auto"/>
                <w:sz w:val="24"/>
                <w:szCs w:val="24"/>
              </w:rPr>
              <w:t>秒，并启动闭门回锁。</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4.8</w:t>
            </w:r>
            <w:r>
              <w:rPr>
                <w:rFonts w:hint="eastAsia" w:ascii="宋体" w:hAnsi="宋体" w:cs="宋体"/>
                <w:color w:val="auto"/>
                <w:sz w:val="24"/>
                <w:szCs w:val="24"/>
              </w:rPr>
              <w:t>入反潜时长：限制单位时间内只能进入一次（只限于入读头），单位分钟（范围：</w:t>
            </w:r>
            <w:r>
              <w:rPr>
                <w:rFonts w:ascii="宋体" w:hAnsi="宋体" w:cs="宋体"/>
                <w:color w:val="auto"/>
                <w:sz w:val="24"/>
                <w:szCs w:val="24"/>
              </w:rPr>
              <w:t>0~120</w:t>
            </w:r>
            <w:r>
              <w:rPr>
                <w:rFonts w:hint="eastAsia" w:ascii="宋体" w:hAnsi="宋体" w:cs="宋体"/>
                <w:color w:val="auto"/>
                <w:sz w:val="24"/>
                <w:szCs w:val="24"/>
              </w:rPr>
              <w:t>分钟）。</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4.9</w:t>
            </w:r>
            <w:r>
              <w:rPr>
                <w:rFonts w:hint="eastAsia" w:ascii="宋体" w:hAnsi="宋体" w:cs="宋体"/>
                <w:color w:val="auto"/>
                <w:sz w:val="24"/>
                <w:szCs w:val="24"/>
              </w:rPr>
              <w:t>门磁延时：门禁被打开后延迟检查门磁的时间。门禁在非“常开”时段，如果是打开的，则开始计时，过了门磁延</w:t>
            </w:r>
            <w:r>
              <w:rPr>
                <w:rFonts w:ascii="宋体" w:hAnsi="宋体" w:cs="宋体"/>
                <w:color w:val="auto"/>
                <w:sz w:val="24"/>
                <w:szCs w:val="24"/>
              </w:rPr>
              <w:t xml:space="preserve"> </w:t>
            </w:r>
            <w:r>
              <w:rPr>
                <w:rFonts w:hint="eastAsia" w:ascii="宋体" w:hAnsi="宋体" w:cs="宋体"/>
                <w:color w:val="auto"/>
                <w:sz w:val="24"/>
                <w:szCs w:val="24"/>
              </w:rPr>
              <w:t>时时间开始报警，门禁关闭时报警取消。门磁延时需大于锁驱动时长（范围：</w:t>
            </w:r>
            <w:r>
              <w:rPr>
                <w:rFonts w:ascii="宋体" w:hAnsi="宋体" w:cs="宋体"/>
                <w:color w:val="auto"/>
                <w:sz w:val="24"/>
                <w:szCs w:val="24"/>
              </w:rPr>
              <w:t>1~254</w:t>
            </w:r>
            <w:r>
              <w:rPr>
                <w:rFonts w:hint="eastAsia" w:ascii="宋体" w:hAnsi="宋体" w:cs="宋体"/>
                <w:color w:val="auto"/>
                <w:sz w:val="24"/>
                <w:szCs w:val="24"/>
              </w:rPr>
              <w:t>秒）。</w:t>
            </w:r>
          </w:p>
          <w:p>
            <w:pPr>
              <w:spacing w:before="50" w:after="50" w:line="400" w:lineRule="exact"/>
              <w:jc w:val="left"/>
              <w:rPr>
                <w:rFonts w:hint="eastAsia" w:hAnsi="宋体" w:eastAsia="宋体" w:cs="宋体"/>
                <w:color w:val="auto"/>
                <w:sz w:val="24"/>
                <w:szCs w:val="24"/>
                <w:lang w:eastAsia="zh-CN"/>
              </w:rPr>
            </w:pPr>
            <w:r>
              <w:rPr>
                <w:rFonts w:ascii="宋体" w:hAnsi="宋体" w:cs="宋体"/>
                <w:color w:val="auto"/>
                <w:sz w:val="24"/>
                <w:szCs w:val="24"/>
              </w:rPr>
              <w:t>4.10</w:t>
            </w:r>
            <w:r>
              <w:rPr>
                <w:rFonts w:hint="eastAsia" w:ascii="宋体" w:hAnsi="宋体" w:cs="宋体"/>
                <w:color w:val="auto"/>
                <w:sz w:val="24"/>
                <w:szCs w:val="24"/>
              </w:rPr>
              <w:t>闭门回锁：设置闭门之后是否回锁。延长通行时间：在原有锁驱动时长及门开超时、出门按钮延时基础上，额外</w:t>
            </w:r>
            <w:r>
              <w:rPr>
                <w:rFonts w:hint="eastAsia" w:hAnsi="宋体" w:cs="宋体"/>
                <w:color w:val="auto"/>
                <w:sz w:val="24"/>
                <w:szCs w:val="24"/>
              </w:rPr>
              <w:t>增加的限制时间（范围</w:t>
            </w:r>
            <w:r>
              <w:rPr>
                <w:color w:val="auto"/>
                <w:sz w:val="24"/>
                <w:szCs w:val="24"/>
              </w:rPr>
              <w:t>0~60</w:t>
            </w:r>
            <w:r>
              <w:rPr>
                <w:rFonts w:hint="eastAsia" w:hAnsi="宋体" w:cs="宋体"/>
                <w:color w:val="auto"/>
                <w:sz w:val="24"/>
                <w:szCs w:val="24"/>
              </w:rPr>
              <w:t>秒）。</w:t>
            </w:r>
          </w:p>
          <w:p>
            <w:pPr>
              <w:spacing w:before="50" w:after="50" w:line="400" w:lineRule="exact"/>
              <w:jc w:val="left"/>
              <w:rPr>
                <w:rFonts w:hint="eastAsia" w:hAnsi="宋体" w:eastAsia="宋体" w:cs="宋体"/>
                <w:color w:val="auto"/>
                <w:sz w:val="24"/>
                <w:szCs w:val="24"/>
                <w:lang w:eastAsia="zh-CN"/>
              </w:rPr>
            </w:pPr>
            <w:r>
              <w:rPr>
                <w:color w:val="auto"/>
                <w:sz w:val="24"/>
                <w:szCs w:val="24"/>
              </w:rPr>
              <w:t>4.11</w:t>
            </w:r>
            <w:r>
              <w:rPr>
                <w:rFonts w:hint="eastAsia" w:hAnsi="宋体" w:cs="宋体"/>
                <w:color w:val="auto"/>
                <w:sz w:val="24"/>
                <w:szCs w:val="24"/>
              </w:rPr>
              <w:t>开门延时：验证通过后，需要等待该延时后门才会打开，范围</w:t>
            </w:r>
            <w:r>
              <w:rPr>
                <w:color w:val="auto"/>
                <w:sz w:val="24"/>
                <w:szCs w:val="24"/>
              </w:rPr>
              <w:t xml:space="preserve"> 0~60 </w:t>
            </w:r>
            <w:r>
              <w:rPr>
                <w:rFonts w:hint="eastAsia" w:hAnsi="宋体" w:cs="宋体"/>
                <w:color w:val="auto"/>
                <w:sz w:val="24"/>
                <w:szCs w:val="24"/>
              </w:rPr>
              <w:t>秒。多人开门操作间隔：设置多人开门时，不同人刷卡或按指纹的时间间隔，范围</w:t>
            </w:r>
            <w:r>
              <w:rPr>
                <w:color w:val="auto"/>
                <w:sz w:val="24"/>
                <w:szCs w:val="24"/>
              </w:rPr>
              <w:t xml:space="preserve"> 0~60 </w:t>
            </w:r>
            <w:r>
              <w:rPr>
                <w:rFonts w:hint="eastAsia" w:hAnsi="宋体" w:cs="宋体"/>
                <w:color w:val="auto"/>
                <w:sz w:val="24"/>
                <w:szCs w:val="24"/>
              </w:rPr>
              <w:t>秒。</w:t>
            </w:r>
          </w:p>
          <w:p>
            <w:pPr>
              <w:spacing w:before="50" w:after="50" w:line="400" w:lineRule="exact"/>
              <w:jc w:val="left"/>
              <w:rPr>
                <w:rFonts w:hint="eastAsia" w:hAnsi="宋体" w:eastAsia="宋体" w:cs="宋体"/>
                <w:color w:val="auto"/>
                <w:sz w:val="24"/>
                <w:szCs w:val="24"/>
                <w:lang w:eastAsia="zh-CN"/>
              </w:rPr>
            </w:pPr>
            <w:r>
              <w:rPr>
                <w:color w:val="auto"/>
                <w:sz w:val="24"/>
                <w:szCs w:val="24"/>
              </w:rPr>
              <w:t>4.12</w:t>
            </w:r>
            <w:r>
              <w:rPr>
                <w:rFonts w:hint="eastAsia" w:hAnsi="宋体" w:cs="宋体"/>
                <w:color w:val="auto"/>
                <w:sz w:val="24"/>
                <w:szCs w:val="24"/>
              </w:rPr>
              <w:t>胁迫密码、紧急状态密码：在受胁迫时用胁迫密码（与合法卡配合使用）可以开门，胁迫密码开门时会报警；</w:t>
            </w:r>
          </w:p>
          <w:p>
            <w:pPr>
              <w:spacing w:before="50" w:after="50" w:line="400" w:lineRule="exact"/>
              <w:jc w:val="left"/>
              <w:rPr>
                <w:rFonts w:hint="eastAsia" w:ascii="宋体" w:hAnsi="宋体" w:eastAsia="宋体" w:cs="宋体"/>
                <w:color w:val="auto"/>
                <w:sz w:val="24"/>
                <w:szCs w:val="24"/>
                <w:lang w:eastAsia="zh-CN"/>
              </w:rPr>
            </w:pPr>
            <w:r>
              <w:rPr>
                <w:color w:val="auto"/>
                <w:sz w:val="24"/>
                <w:szCs w:val="24"/>
              </w:rPr>
              <w:t>4.13</w:t>
            </w:r>
            <w:r>
              <w:rPr>
                <w:rFonts w:hint="eastAsia" w:hAnsi="宋体" w:cs="宋体"/>
                <w:color w:val="auto"/>
                <w:sz w:val="24"/>
                <w:szCs w:val="24"/>
              </w:rPr>
              <w:t>在紧急状态下，用户可以使用</w:t>
            </w:r>
            <w:r>
              <w:rPr>
                <w:rFonts w:hint="eastAsia" w:ascii="宋体" w:hAnsi="宋体" w:cs="宋体"/>
                <w:color w:val="auto"/>
                <w:sz w:val="24"/>
                <w:szCs w:val="24"/>
              </w:rPr>
              <w:t>紧急状态密码（也可称为超级密码）开门，且在任何时间段、任何验证方式下都有效，可供管理员使用。</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4.14</w:t>
            </w:r>
            <w:r>
              <w:rPr>
                <w:rFonts w:hint="eastAsia" w:ascii="宋体" w:hAnsi="宋体" w:cs="宋体"/>
                <w:color w:val="auto"/>
                <w:sz w:val="24"/>
                <w:szCs w:val="24"/>
              </w:rPr>
              <w:t>读头通讯类型：可选择韦根、</w:t>
            </w:r>
            <w:r>
              <w:rPr>
                <w:rFonts w:ascii="宋体" w:hAnsi="宋体" w:cs="宋体"/>
                <w:color w:val="auto"/>
                <w:sz w:val="24"/>
                <w:szCs w:val="24"/>
              </w:rPr>
              <w:t>RS485</w:t>
            </w:r>
            <w:r>
              <w:rPr>
                <w:rFonts w:hint="eastAsia" w:ascii="宋体" w:hAnsi="宋体" w:cs="宋体"/>
                <w:color w:val="auto"/>
                <w:sz w:val="24"/>
                <w:szCs w:val="24"/>
              </w:rPr>
              <w:t>、</w:t>
            </w:r>
            <w:r>
              <w:rPr>
                <w:rFonts w:ascii="宋体" w:hAnsi="宋体" w:cs="宋体"/>
                <w:color w:val="auto"/>
                <w:sz w:val="24"/>
                <w:szCs w:val="24"/>
              </w:rPr>
              <w:t xml:space="preserve">TCP/IP </w:t>
            </w:r>
            <w:r>
              <w:rPr>
                <w:rFonts w:hint="eastAsia" w:ascii="宋体" w:hAnsi="宋体" w:cs="宋体"/>
                <w:color w:val="auto"/>
                <w:sz w:val="24"/>
                <w:szCs w:val="24"/>
              </w:rPr>
              <w:t>方式通讯。</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4.15</w:t>
            </w:r>
            <w:r>
              <w:rPr>
                <w:rFonts w:hint="eastAsia" w:ascii="宋体" w:hAnsi="宋体" w:cs="宋体"/>
                <w:color w:val="auto"/>
                <w:sz w:val="24"/>
                <w:szCs w:val="24"/>
              </w:rPr>
              <w:t>支持绑定</w:t>
            </w:r>
            <w:r>
              <w:rPr>
                <w:rFonts w:ascii="宋体" w:hAnsi="宋体" w:cs="宋体"/>
                <w:color w:val="auto"/>
                <w:sz w:val="24"/>
                <w:szCs w:val="24"/>
              </w:rPr>
              <w:t>/</w:t>
            </w:r>
            <w:r>
              <w:rPr>
                <w:rFonts w:hint="eastAsia" w:ascii="宋体" w:hAnsi="宋体" w:cs="宋体"/>
                <w:color w:val="auto"/>
                <w:sz w:val="24"/>
                <w:szCs w:val="24"/>
              </w:rPr>
              <w:t>解绑摄像头，可进行视频联动（弹出视频、录像、抓拍）。</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4.16</w:t>
            </w:r>
            <w:r>
              <w:rPr>
                <w:rFonts w:hint="eastAsia" w:ascii="宋体" w:hAnsi="宋体" w:cs="宋体"/>
                <w:color w:val="auto"/>
                <w:sz w:val="24"/>
                <w:szCs w:val="24"/>
              </w:rPr>
              <w:t>支持辅助输入输出如红外感应器，烟雾感应器报警器等设备。</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4.17</w:t>
            </w:r>
            <w:r>
              <w:rPr>
                <w:rFonts w:hint="eastAsia" w:ascii="宋体" w:hAnsi="宋体" w:cs="宋体"/>
                <w:color w:val="auto"/>
                <w:sz w:val="24"/>
                <w:szCs w:val="24"/>
              </w:rPr>
              <w:t>支持夏令时功能设置。</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4.18</w:t>
            </w:r>
            <w:r>
              <w:rPr>
                <w:rFonts w:hint="eastAsia" w:ascii="宋体" w:hAnsi="宋体" w:cs="宋体"/>
                <w:color w:val="auto"/>
                <w:sz w:val="24"/>
                <w:szCs w:val="24"/>
              </w:rPr>
              <w:t>设备视频网络可查询设备名称、序列号、区域、操作状态、当前状态。</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4.19</w:t>
            </w:r>
            <w:r>
              <w:rPr>
                <w:rFonts w:hint="eastAsia" w:ascii="宋体" w:hAnsi="宋体" w:cs="宋体"/>
                <w:color w:val="auto"/>
                <w:sz w:val="24"/>
                <w:szCs w:val="24"/>
              </w:rPr>
              <w:t>支持实时视频网络系统内的门禁控制器所包含的门的状态及实时事件，包括正常事件及异常事件（含报警事件）等。</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4.20</w:t>
            </w:r>
            <w:r>
              <w:rPr>
                <w:rFonts w:hint="eastAsia" w:ascii="宋体" w:hAnsi="宋体" w:cs="宋体"/>
                <w:color w:val="auto"/>
                <w:sz w:val="24"/>
                <w:szCs w:val="24"/>
              </w:rPr>
              <w:t>可远程开</w:t>
            </w:r>
            <w:r>
              <w:rPr>
                <w:rFonts w:ascii="宋体" w:hAnsi="宋体" w:cs="宋体"/>
                <w:color w:val="auto"/>
                <w:sz w:val="24"/>
                <w:szCs w:val="24"/>
              </w:rPr>
              <w:t>/</w:t>
            </w:r>
            <w:r>
              <w:rPr>
                <w:rFonts w:hint="eastAsia" w:ascii="宋体" w:hAnsi="宋体" w:cs="宋体"/>
                <w:color w:val="auto"/>
                <w:sz w:val="24"/>
                <w:szCs w:val="24"/>
              </w:rPr>
              <w:t>关门：对单个门的控制和对所有门的控制。</w:t>
            </w:r>
            <w:r>
              <w:rPr>
                <w:rFonts w:ascii="宋体" w:hAnsi="宋体" w:cs="宋体"/>
                <w:color w:val="auto"/>
                <w:sz w:val="24"/>
                <w:szCs w:val="24"/>
              </w:rPr>
              <w:t xml:space="preserve"> </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4.21</w:t>
            </w:r>
            <w:r>
              <w:rPr>
                <w:rFonts w:hint="eastAsia" w:ascii="宋体" w:hAnsi="宋体" w:cs="宋体"/>
                <w:color w:val="auto"/>
                <w:sz w:val="24"/>
                <w:szCs w:val="24"/>
              </w:rPr>
              <w:t>系统需支持自动获取视频网络到的设备的事件记录（≥显示</w:t>
            </w:r>
            <w:r>
              <w:rPr>
                <w:rFonts w:ascii="宋体" w:hAnsi="宋体" w:cs="宋体"/>
                <w:color w:val="auto"/>
                <w:sz w:val="24"/>
                <w:szCs w:val="24"/>
              </w:rPr>
              <w:t>200</w:t>
            </w:r>
            <w:r>
              <w:rPr>
                <w:rFonts w:hint="eastAsia" w:ascii="宋体" w:hAnsi="宋体" w:cs="宋体"/>
                <w:color w:val="auto"/>
                <w:sz w:val="24"/>
                <w:szCs w:val="24"/>
              </w:rPr>
              <w:t>条记录），包括正常门禁事件和异常门禁事件（含报警事件）。</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4.22</w:t>
            </w:r>
            <w:r>
              <w:rPr>
                <w:rFonts w:hint="eastAsia" w:ascii="宋体" w:hAnsi="宋体" w:cs="宋体"/>
                <w:color w:val="auto"/>
                <w:sz w:val="24"/>
                <w:szCs w:val="24"/>
              </w:rPr>
              <w:t>系统支持电子地图，添加门，放大、缩小地图，用户可以看到地图上包含门的实时事件。</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4.23</w:t>
            </w:r>
            <w:r>
              <w:rPr>
                <w:rFonts w:hint="eastAsia" w:ascii="宋体" w:hAnsi="宋体" w:cs="宋体"/>
                <w:color w:val="auto"/>
                <w:sz w:val="24"/>
                <w:szCs w:val="24"/>
              </w:rPr>
              <w:t>支持设置门的使用时间，指定门禁在有效时间段可用；也可设置门的常开时间段；设置门禁权限，指定人员只能在指定时间段访问指定门（含门禁权限组和首人常开设置）。系统支持对节假日单独设置门禁时间。</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4.24</w:t>
            </w:r>
            <w:r>
              <w:rPr>
                <w:rFonts w:hint="eastAsia" w:ascii="宋体" w:hAnsi="宋体" w:cs="宋体"/>
                <w:color w:val="auto"/>
                <w:sz w:val="24"/>
                <w:szCs w:val="24"/>
              </w:rPr>
              <w:t>可在在特定的时间段内，指定门或门的组合可以通过人员组合验证打开。人员组合在人员门禁权限中设置。</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4.25</w:t>
            </w:r>
            <w:r>
              <w:rPr>
                <w:rFonts w:hint="eastAsia" w:ascii="宋体" w:hAnsi="宋体" w:cs="宋体"/>
                <w:color w:val="auto"/>
                <w:sz w:val="24"/>
                <w:szCs w:val="24"/>
              </w:rPr>
              <w:t>系统支持门禁互锁设置，要打开一个门，必须保证其他对应的门都关闭，否则无法开门。</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4.26</w:t>
            </w:r>
            <w:r>
              <w:rPr>
                <w:rFonts w:hint="eastAsia" w:ascii="宋体" w:hAnsi="宋体" w:cs="宋体"/>
                <w:color w:val="auto"/>
                <w:sz w:val="24"/>
                <w:szCs w:val="24"/>
              </w:rPr>
              <w:t>支持视频抓拍联动、报警联动等联动。视频联动：可弹出视频、可录像、可抓拍图像。并可设置延时：范围</w:t>
            </w:r>
            <w:r>
              <w:rPr>
                <w:rFonts w:ascii="宋体" w:hAnsi="宋体" w:cs="宋体"/>
                <w:color w:val="auto"/>
                <w:sz w:val="24"/>
                <w:szCs w:val="24"/>
              </w:rPr>
              <w:t xml:space="preserve">1~254 </w:t>
            </w:r>
            <w:r>
              <w:rPr>
                <w:rFonts w:hint="eastAsia" w:ascii="宋体" w:hAnsi="宋体" w:cs="宋体"/>
                <w:color w:val="auto"/>
                <w:sz w:val="24"/>
                <w:szCs w:val="24"/>
              </w:rPr>
              <w:t>秒。</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4.27</w:t>
            </w:r>
            <w:r>
              <w:rPr>
                <w:rFonts w:hint="eastAsia" w:ascii="宋体" w:hAnsi="宋体" w:cs="宋体"/>
                <w:color w:val="auto"/>
                <w:sz w:val="24"/>
                <w:szCs w:val="24"/>
              </w:rPr>
              <w:t>支持设置门的常开时间段；设置门禁权限，指定人员只能在指定时间段访问指定门（含门禁权限组和首人常开设置）、反潜、互锁、联动、多人开门、人员验证方式规则。</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4.28</w:t>
            </w:r>
            <w:r>
              <w:rPr>
                <w:rFonts w:hint="eastAsia" w:ascii="宋体" w:hAnsi="宋体" w:cs="宋体"/>
                <w:color w:val="auto"/>
                <w:sz w:val="24"/>
                <w:szCs w:val="24"/>
              </w:rPr>
              <w:t>支持高级门禁规则：包含设置门禁区域、读头定义、查着区域内人员、全局反潜、全局联动、全局互锁组、全局互锁、大员有效性。</w:t>
            </w:r>
          </w:p>
          <w:p>
            <w:pPr>
              <w:spacing w:before="50" w:after="50" w:line="400" w:lineRule="exact"/>
              <w:jc w:val="left"/>
              <w:rPr>
                <w:rFonts w:ascii="宋体"/>
                <w:color w:val="auto"/>
                <w:sz w:val="24"/>
                <w:szCs w:val="24"/>
              </w:rPr>
            </w:pPr>
            <w:r>
              <w:rPr>
                <w:rFonts w:ascii="宋体" w:hAnsi="宋体" w:cs="宋体"/>
                <w:color w:val="auto"/>
                <w:sz w:val="24"/>
                <w:szCs w:val="24"/>
              </w:rPr>
              <w:t>4.29</w:t>
            </w:r>
            <w:r>
              <w:rPr>
                <w:rFonts w:hint="eastAsia" w:ascii="宋体" w:hAnsi="宋体" w:cs="宋体"/>
                <w:color w:val="auto"/>
                <w:sz w:val="24"/>
                <w:szCs w:val="24"/>
              </w:rPr>
              <w:t>门禁报表具有显示全部记录、今日访问记录、人员最后访构位置、全部异常记录、查询通行权限（人和门）。</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9</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指纹采集器</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、可指纹采集与</w:t>
            </w:r>
            <w:r>
              <w:rPr>
                <w:rFonts w:ascii="宋体" w:hAnsi="宋体" w:cs="宋体"/>
                <w:color w:val="auto"/>
                <w:sz w:val="24"/>
                <w:szCs w:val="24"/>
              </w:rPr>
              <w:t>Mifare</w:t>
            </w:r>
            <w:r>
              <w:rPr>
                <w:rFonts w:hint="eastAsia" w:ascii="宋体" w:hAnsi="宋体" w:cs="宋体"/>
                <w:color w:val="auto"/>
                <w:sz w:val="24"/>
                <w:szCs w:val="24"/>
              </w:rPr>
              <w:t>读写功能与于一体；</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2</w:t>
            </w:r>
            <w:r>
              <w:rPr>
                <w:rFonts w:hint="eastAsia" w:ascii="宋体" w:hAnsi="宋体" w:cs="宋体"/>
                <w:color w:val="auto"/>
                <w:sz w:val="24"/>
                <w:szCs w:val="24"/>
              </w:rPr>
              <w:t>、具备卓越的图像质量、支持旋转指纹，干燥或粗糙指纹可识别；</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3</w:t>
            </w:r>
            <w:r>
              <w:rPr>
                <w:rFonts w:hint="eastAsia" w:ascii="宋体" w:hAnsi="宋体" w:cs="宋体"/>
                <w:color w:val="auto"/>
                <w:sz w:val="24"/>
                <w:szCs w:val="24"/>
              </w:rPr>
              <w:t>、驱动支持</w:t>
            </w:r>
            <w:r>
              <w:rPr>
                <w:rFonts w:ascii="宋体" w:hAnsi="宋体" w:cs="宋体"/>
                <w:color w:val="auto"/>
                <w:sz w:val="24"/>
                <w:szCs w:val="24"/>
              </w:rPr>
              <w:t>Windows2000</w:t>
            </w:r>
            <w:r>
              <w:rPr>
                <w:rFonts w:hint="eastAsia" w:ascii="宋体" w:hAnsi="宋体" w:cs="宋体"/>
                <w:color w:val="auto"/>
                <w:sz w:val="24"/>
                <w:szCs w:val="24"/>
              </w:rPr>
              <w:t>、</w:t>
            </w:r>
            <w:r>
              <w:rPr>
                <w:rFonts w:ascii="宋体" w:hAnsi="宋体" w:cs="宋体"/>
                <w:color w:val="auto"/>
                <w:sz w:val="24"/>
                <w:szCs w:val="24"/>
              </w:rPr>
              <w:t>2003</w:t>
            </w:r>
            <w:r>
              <w:rPr>
                <w:rFonts w:hint="eastAsia" w:ascii="宋体" w:hAnsi="宋体" w:cs="宋体"/>
                <w:color w:val="auto"/>
                <w:sz w:val="24"/>
                <w:szCs w:val="24"/>
              </w:rPr>
              <w:t>、</w:t>
            </w:r>
            <w:r>
              <w:rPr>
                <w:rFonts w:ascii="宋体" w:hAnsi="宋体" w:cs="宋体"/>
                <w:color w:val="auto"/>
                <w:sz w:val="24"/>
                <w:szCs w:val="24"/>
              </w:rPr>
              <w:t xml:space="preserve"> XP</w:t>
            </w:r>
            <w:r>
              <w:rPr>
                <w:rFonts w:hint="eastAsia" w:ascii="宋体" w:hAnsi="宋体" w:cs="宋体"/>
                <w:color w:val="auto"/>
                <w:sz w:val="24"/>
                <w:szCs w:val="24"/>
              </w:rPr>
              <w:t>、</w:t>
            </w:r>
            <w:r>
              <w:rPr>
                <w:rFonts w:ascii="宋体" w:hAnsi="宋体" w:cs="宋体"/>
                <w:color w:val="auto"/>
                <w:sz w:val="24"/>
                <w:szCs w:val="24"/>
              </w:rPr>
              <w:t>Vista</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rPr>
              <w:t>、图像抓取区域：</w:t>
            </w:r>
            <w:r>
              <w:rPr>
                <w:rFonts w:ascii="宋体" w:hAnsi="宋体" w:cs="宋体"/>
                <w:color w:val="auto"/>
                <w:sz w:val="24"/>
                <w:szCs w:val="24"/>
              </w:rPr>
              <w:t>15.0mm</w:t>
            </w:r>
            <w:r>
              <w:rPr>
                <w:rFonts w:hint="eastAsia" w:ascii="宋体" w:hAnsi="宋体" w:cs="宋体"/>
                <w:color w:val="auto"/>
                <w:sz w:val="24"/>
                <w:szCs w:val="24"/>
              </w:rPr>
              <w:t>（中心标准宽度）</w:t>
            </w:r>
            <w:r>
              <w:rPr>
                <w:rFonts w:ascii="宋体" w:hAnsi="宋体" w:cs="宋体"/>
                <w:color w:val="auto"/>
                <w:sz w:val="24"/>
                <w:szCs w:val="24"/>
              </w:rPr>
              <w:t xml:space="preserve"> </w:t>
            </w:r>
            <w:r>
              <w:rPr>
                <w:rFonts w:hint="eastAsia" w:ascii="宋体" w:hAnsi="宋体" w:cs="宋体"/>
                <w:color w:val="auto"/>
                <w:sz w:val="24"/>
                <w:szCs w:val="24"/>
              </w:rPr>
              <w:t>，</w:t>
            </w:r>
            <w:r>
              <w:rPr>
                <w:rFonts w:ascii="宋体" w:hAnsi="宋体" w:cs="宋体"/>
                <w:color w:val="auto"/>
                <w:sz w:val="24"/>
                <w:szCs w:val="24"/>
              </w:rPr>
              <w:t>18.4mm</w:t>
            </w:r>
            <w:r>
              <w:rPr>
                <w:rFonts w:hint="eastAsia" w:ascii="宋体" w:hAnsi="宋体" w:cs="宋体"/>
                <w:color w:val="auto"/>
                <w:sz w:val="24"/>
                <w:szCs w:val="24"/>
              </w:rPr>
              <w:t>（标准长度）；</w:t>
            </w:r>
            <w:r>
              <w:rPr>
                <w:rFonts w:ascii="宋体" w:hAnsi="宋体" w:cs="宋体"/>
                <w:color w:val="auto"/>
                <w:sz w:val="24"/>
                <w:szCs w:val="24"/>
              </w:rPr>
              <w:t xml:space="preserve"> </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5</w:t>
            </w:r>
            <w:r>
              <w:rPr>
                <w:rFonts w:hint="eastAsia" w:ascii="宋体" w:hAnsi="宋体" w:cs="宋体"/>
                <w:color w:val="auto"/>
                <w:sz w:val="24"/>
                <w:szCs w:val="24"/>
              </w:rPr>
              <w:t>、灰度</w:t>
            </w:r>
            <w:r>
              <w:rPr>
                <w:rFonts w:ascii="宋体" w:hAnsi="宋体" w:cs="宋体"/>
                <w:color w:val="auto"/>
                <w:sz w:val="24"/>
                <w:szCs w:val="24"/>
              </w:rPr>
              <w:t>8bit</w:t>
            </w:r>
            <w:r>
              <w:rPr>
                <w:rFonts w:hint="eastAsia" w:ascii="宋体" w:hAnsi="宋体" w:cs="宋体"/>
                <w:color w:val="auto"/>
                <w:sz w:val="24"/>
                <w:szCs w:val="24"/>
              </w:rPr>
              <w:t>、兼容</w:t>
            </w:r>
            <w:r>
              <w:rPr>
                <w:rFonts w:ascii="宋体" w:hAnsi="宋体" w:cs="宋体"/>
                <w:color w:val="auto"/>
                <w:sz w:val="24"/>
                <w:szCs w:val="24"/>
              </w:rPr>
              <w:t>USB1.0</w:t>
            </w: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w:t>
            </w:r>
            <w:r>
              <w:rPr>
                <w:rFonts w:ascii="宋体" w:hAnsi="宋体" w:cs="宋体"/>
                <w:color w:val="auto"/>
                <w:sz w:val="24"/>
                <w:szCs w:val="24"/>
              </w:rPr>
              <w:t>2.0</w:t>
            </w:r>
            <w:r>
              <w:rPr>
                <w:rFonts w:hint="eastAsia" w:ascii="宋体" w:hAnsi="宋体" w:cs="宋体"/>
                <w:color w:val="auto"/>
                <w:sz w:val="24"/>
                <w:szCs w:val="24"/>
              </w:rPr>
              <w:t>；</w:t>
            </w:r>
          </w:p>
          <w:p>
            <w:pPr>
              <w:spacing w:before="50" w:after="50" w:line="400" w:lineRule="exact"/>
              <w:jc w:val="left"/>
              <w:rPr>
                <w:rFonts w:hint="eastAsia" w:ascii="宋体" w:hAnsi="宋体" w:eastAsia="宋体" w:cs="宋体"/>
                <w:color w:val="auto"/>
                <w:sz w:val="24"/>
                <w:szCs w:val="24"/>
                <w:lang w:eastAsia="zh-CN"/>
              </w:rPr>
            </w:pPr>
            <w:r>
              <w:rPr>
                <w:rFonts w:ascii="宋体" w:hAnsi="宋体" w:cs="宋体"/>
                <w:color w:val="auto"/>
                <w:sz w:val="24"/>
                <w:szCs w:val="24"/>
              </w:rPr>
              <w:t>6</w:t>
            </w:r>
            <w:r>
              <w:rPr>
                <w:rFonts w:hint="eastAsia" w:ascii="宋体" w:hAnsi="宋体" w:cs="宋体"/>
                <w:color w:val="auto"/>
                <w:sz w:val="24"/>
                <w:szCs w:val="24"/>
              </w:rPr>
              <w:t>、通讯接口：支持</w:t>
            </w:r>
            <w:r>
              <w:rPr>
                <w:rFonts w:ascii="宋体" w:hAnsi="宋体" w:cs="宋体"/>
                <w:color w:val="auto"/>
                <w:sz w:val="24"/>
                <w:szCs w:val="24"/>
              </w:rPr>
              <w:t xml:space="preserve">USB1.0 </w:t>
            </w: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w:t>
            </w:r>
            <w:r>
              <w:rPr>
                <w:rFonts w:ascii="宋体" w:hAnsi="宋体" w:cs="宋体"/>
                <w:color w:val="auto"/>
                <w:sz w:val="24"/>
                <w:szCs w:val="24"/>
              </w:rPr>
              <w:t>2.0</w:t>
            </w:r>
            <w:r>
              <w:rPr>
                <w:rFonts w:hint="eastAsia" w:ascii="宋体" w:hAnsi="宋体" w:cs="宋体"/>
                <w:color w:val="auto"/>
                <w:sz w:val="24"/>
                <w:szCs w:val="24"/>
              </w:rPr>
              <w:t>；</w:t>
            </w:r>
          </w:p>
          <w:p>
            <w:pPr>
              <w:spacing w:before="50" w:after="50" w:line="400" w:lineRule="exact"/>
              <w:jc w:val="left"/>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、操作系统：</w:t>
            </w:r>
            <w:r>
              <w:rPr>
                <w:rFonts w:ascii="宋体" w:hAnsi="宋体" w:cs="宋体"/>
                <w:color w:val="auto"/>
                <w:sz w:val="24"/>
                <w:szCs w:val="24"/>
              </w:rPr>
              <w:t>Windows XP</w:t>
            </w:r>
            <w:r>
              <w:rPr>
                <w:rFonts w:hint="eastAsia" w:ascii="宋体" w:hAnsi="宋体" w:cs="宋体"/>
                <w:color w:val="auto"/>
                <w:sz w:val="24"/>
                <w:szCs w:val="24"/>
              </w:rPr>
              <w:t>、</w:t>
            </w:r>
            <w:r>
              <w:rPr>
                <w:rFonts w:ascii="宋体" w:hAnsi="宋体" w:cs="宋体"/>
                <w:color w:val="auto"/>
                <w:sz w:val="24"/>
                <w:szCs w:val="24"/>
              </w:rPr>
              <w:t>Vista</w:t>
            </w:r>
            <w:r>
              <w:rPr>
                <w:rFonts w:hint="eastAsia" w:ascii="宋体" w:hAnsi="宋体" w:cs="宋体"/>
                <w:color w:val="auto"/>
                <w:sz w:val="24"/>
                <w:szCs w:val="24"/>
              </w:rPr>
              <w:t>、</w:t>
            </w:r>
            <w:r>
              <w:rPr>
                <w:rFonts w:ascii="宋体" w:hAnsi="宋体" w:cs="宋体"/>
                <w:color w:val="auto"/>
                <w:sz w:val="24"/>
                <w:szCs w:val="24"/>
              </w:rPr>
              <w:t>Windoes7</w:t>
            </w:r>
            <w:r>
              <w:rPr>
                <w:rFonts w:hint="eastAsia" w:ascii="宋体" w:hAnsi="宋体" w:cs="宋体"/>
                <w:color w:val="auto"/>
                <w:sz w:val="24"/>
                <w:szCs w:val="24"/>
              </w:rPr>
              <w:t>。</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10</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IC</w:t>
            </w:r>
            <w:r>
              <w:rPr>
                <w:rFonts w:hint="eastAsia" w:ascii="宋体" w:hAnsi="宋体" w:cs="宋体"/>
                <w:color w:val="auto"/>
                <w:sz w:val="24"/>
                <w:szCs w:val="24"/>
              </w:rPr>
              <w:t>卡</w:t>
            </w:r>
          </w:p>
        </w:tc>
        <w:tc>
          <w:tcPr>
            <w:tcW w:w="65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白色，表面光滑，</w:t>
            </w:r>
            <w:r>
              <w:rPr>
                <w:rFonts w:ascii="宋体" w:hAnsi="宋体" w:cs="宋体"/>
                <w:color w:val="auto"/>
                <w:sz w:val="24"/>
                <w:szCs w:val="24"/>
              </w:rPr>
              <w:t>55*85*1mm</w:t>
            </w:r>
            <w:r>
              <w:rPr>
                <w:rFonts w:hint="eastAsia" w:ascii="宋体" w:hAnsi="宋体" w:cs="宋体"/>
                <w:color w:val="auto"/>
                <w:sz w:val="24"/>
                <w:szCs w:val="24"/>
              </w:rPr>
              <w:t>。</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ascii="宋体" w:hAnsi="宋体" w:cs="宋体"/>
                <w:color w:val="auto"/>
                <w:sz w:val="24"/>
                <w:szCs w:val="24"/>
              </w:rPr>
              <w:t>100</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left"/>
              <w:rPr>
                <w:rFonts w:ascii="宋体"/>
                <w:color w:val="auto"/>
                <w:sz w:val="24"/>
                <w:szCs w:val="24"/>
              </w:rPr>
            </w:pPr>
            <w:r>
              <w:rPr>
                <w:rFonts w:hint="eastAsia" w:ascii="宋体" w:hAnsi="宋体" w:cs="宋体"/>
                <w:color w:val="auto"/>
                <w:sz w:val="24"/>
                <w:szCs w:val="24"/>
              </w:rPr>
              <w:t>张</w:t>
            </w:r>
          </w:p>
        </w:tc>
      </w:tr>
    </w:tbl>
    <w:p>
      <w:pPr>
        <w:keepNext/>
        <w:keepLines/>
        <w:numPr>
          <w:ilvl w:val="1"/>
          <w:numId w:val="17"/>
        </w:numPr>
        <w:spacing w:before="156" w:after="156" w:line="400" w:lineRule="exact"/>
        <w:ind w:left="1060" w:hanging="880"/>
        <w:outlineLvl w:val="1"/>
        <w:rPr>
          <w:rFonts w:ascii="宋体"/>
          <w:b/>
          <w:bCs/>
          <w:color w:val="auto"/>
          <w:sz w:val="24"/>
          <w:szCs w:val="24"/>
        </w:rPr>
      </w:pPr>
      <w:bookmarkStart w:id="903" w:name="_Toc15316"/>
      <w:bookmarkStart w:id="904" w:name="_Toc82882799"/>
      <w:bookmarkStart w:id="905" w:name="_Toc31460"/>
      <w:r>
        <w:rPr>
          <w:rFonts w:hint="eastAsia" w:ascii="宋体" w:hAnsi="宋体" w:cs="宋体"/>
          <w:b/>
          <w:bCs/>
          <w:color w:val="auto"/>
          <w:sz w:val="24"/>
          <w:szCs w:val="24"/>
        </w:rPr>
        <w:t>视频网络清单</w:t>
      </w:r>
      <w:bookmarkEnd w:id="903"/>
      <w:bookmarkEnd w:id="904"/>
      <w:bookmarkEnd w:id="905"/>
    </w:p>
    <w:p>
      <w:pPr>
        <w:keepNext/>
        <w:keepLines/>
        <w:spacing w:before="156" w:after="156" w:line="400" w:lineRule="exact"/>
        <w:outlineLvl w:val="3"/>
        <w:rPr>
          <w:rFonts w:ascii="宋体"/>
          <w:b/>
          <w:bCs/>
          <w:color w:val="auto"/>
          <w:sz w:val="24"/>
          <w:szCs w:val="24"/>
        </w:rPr>
      </w:pPr>
      <w:r>
        <w:rPr>
          <w:rFonts w:ascii="宋体" w:hAnsi="宋体" w:cs="宋体"/>
          <w:b/>
          <w:bCs/>
          <w:color w:val="auto"/>
          <w:sz w:val="24"/>
          <w:szCs w:val="24"/>
        </w:rPr>
        <w:t>4.6.1</w:t>
      </w:r>
      <w:r>
        <w:rPr>
          <w:rFonts w:hint="eastAsia" w:ascii="宋体" w:hAnsi="宋体" w:cs="宋体"/>
          <w:b/>
          <w:bCs/>
          <w:color w:val="auto"/>
          <w:sz w:val="24"/>
          <w:szCs w:val="24"/>
        </w:rPr>
        <w:t>、视频网络室装修</w:t>
      </w:r>
    </w:p>
    <w:p>
      <w:pPr>
        <w:spacing w:line="400" w:lineRule="exact"/>
        <w:rPr>
          <w:rFonts w:ascii="宋体"/>
          <w:color w:val="auto"/>
          <w:sz w:val="24"/>
          <w:szCs w:val="24"/>
        </w:rPr>
      </w:pPr>
    </w:p>
    <w:tbl>
      <w:tblPr>
        <w:tblStyle w:val="21"/>
        <w:tblW w:w="10286" w:type="dxa"/>
        <w:tblInd w:w="-684" w:type="dxa"/>
        <w:tblLayout w:type="autofit"/>
        <w:tblCellMar>
          <w:top w:w="0" w:type="dxa"/>
          <w:left w:w="10" w:type="dxa"/>
          <w:bottom w:w="0" w:type="dxa"/>
          <w:right w:w="10" w:type="dxa"/>
        </w:tblCellMar>
      </w:tblPr>
      <w:tblGrid>
        <w:gridCol w:w="720"/>
        <w:gridCol w:w="1451"/>
        <w:gridCol w:w="6568"/>
        <w:gridCol w:w="777"/>
        <w:gridCol w:w="770"/>
      </w:tblGrid>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序号</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设备名称</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规格配置要求</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数量</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接地引线</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 xml:space="preserve">135 </w:t>
            </w:r>
            <w:r>
              <w:rPr>
                <w:rFonts w:hint="eastAsia" w:ascii="宋体" w:hAnsi="宋体" w:cs="宋体"/>
                <w:color w:val="auto"/>
                <w:kern w:val="0"/>
                <w:sz w:val="24"/>
                <w:szCs w:val="24"/>
              </w:rPr>
              <w:t>平方铜</w:t>
            </w:r>
            <w:r>
              <w:rPr>
                <w:rFonts w:ascii="宋体" w:hAnsi="宋体" w:cs="宋体"/>
                <w:color w:val="auto"/>
                <w:kern w:val="0"/>
                <w:sz w:val="24"/>
                <w:szCs w:val="24"/>
              </w:rPr>
              <w:t xml:space="preserve"> BW35 </w:t>
            </w:r>
            <w:r>
              <w:rPr>
                <w:rFonts w:hint="eastAsia" w:ascii="宋体" w:hAnsi="宋体" w:cs="宋体"/>
                <w:color w:val="auto"/>
                <w:kern w:val="0"/>
                <w:sz w:val="24"/>
                <w:szCs w:val="24"/>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90</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米</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接地汇流排</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室内静电滑露网制作</w:t>
            </w:r>
            <w:r>
              <w:rPr>
                <w:rFonts w:ascii="宋体" w:hAnsi="宋体" w:cs="宋体"/>
                <w:color w:val="auto"/>
                <w:kern w:val="0"/>
                <w:sz w:val="24"/>
                <w:szCs w:val="24"/>
              </w:rPr>
              <w:t xml:space="preserve"> 40m0.1m </w:t>
            </w:r>
            <w:r>
              <w:rPr>
                <w:rFonts w:hint="eastAsia" w:ascii="宋体" w:hAnsi="宋体" w:cs="宋体"/>
                <w:color w:val="auto"/>
                <w:kern w:val="0"/>
                <w:sz w:val="24"/>
                <w:szCs w:val="24"/>
              </w:rPr>
              <w:t>铜皮</w:t>
            </w:r>
            <w:r>
              <w:rPr>
                <w:rFonts w:ascii="宋体" w:hAnsi="宋体" w:cs="宋体"/>
                <w:color w:val="auto"/>
                <w:kern w:val="0"/>
                <w:sz w:val="24"/>
                <w:szCs w:val="24"/>
              </w:rPr>
              <w:t xml:space="preserve">400 </w:t>
            </w:r>
            <w:r>
              <w:rPr>
                <w:rFonts w:hint="eastAsia" w:ascii="宋体" w:hAnsi="宋体" w:cs="宋体"/>
                <w:color w:val="auto"/>
                <w:kern w:val="0"/>
                <w:sz w:val="24"/>
                <w:szCs w:val="24"/>
              </w:rPr>
              <w:t>㎜</w:t>
            </w:r>
            <w:r>
              <w:rPr>
                <w:rFonts w:ascii="宋体" w:hAnsi="宋体" w:cs="宋体"/>
                <w:color w:val="auto"/>
                <w:kern w:val="0"/>
                <w:sz w:val="24"/>
                <w:szCs w:val="24"/>
              </w:rPr>
              <w:t xml:space="preserve">*500 </w:t>
            </w:r>
            <w:r>
              <w:rPr>
                <w:rFonts w:hint="eastAsia" w:ascii="宋体" w:hAnsi="宋体" w:cs="宋体"/>
                <w:color w:val="auto"/>
                <w:kern w:val="0"/>
                <w:sz w:val="24"/>
                <w:szCs w:val="24"/>
              </w:rPr>
              <w:t>㎜</w:t>
            </w:r>
            <w:r>
              <w:rPr>
                <w:rFonts w:ascii="宋体" w:hAnsi="宋体" w:cs="宋体"/>
                <w:color w:val="auto"/>
                <w:kern w:val="0"/>
                <w:sz w:val="24"/>
                <w:szCs w:val="24"/>
              </w:rPr>
              <w:t xml:space="preserve">*80 </w:t>
            </w:r>
            <w:r>
              <w:rPr>
                <w:rFonts w:hint="eastAsia" w:ascii="宋体" w:hAnsi="宋体" w:cs="宋体"/>
                <w:color w:val="auto"/>
                <w:kern w:val="0"/>
                <w:sz w:val="24"/>
                <w:szCs w:val="24"/>
              </w:rPr>
              <w:t>㎜接地专用模块：室温下电阻率≤</w:t>
            </w:r>
            <w:r>
              <w:rPr>
                <w:rFonts w:ascii="宋体" w:hAnsi="宋体" w:cs="宋体"/>
                <w:color w:val="auto"/>
                <w:kern w:val="0"/>
                <w:sz w:val="24"/>
                <w:szCs w:val="24"/>
              </w:rPr>
              <w:t>0.5</w:t>
            </w:r>
            <w:r>
              <w:rPr>
                <w:rFonts w:hint="eastAsia" w:ascii="宋体" w:hAnsi="宋体" w:cs="宋体"/>
                <w:color w:val="auto"/>
                <w:kern w:val="0"/>
                <w:sz w:val="24"/>
                <w:szCs w:val="24"/>
              </w:rPr>
              <w:t>：功率接地电阻</w:t>
            </w:r>
            <w:r>
              <w:rPr>
                <w:rFonts w:ascii="宋体" w:hAnsi="宋体" w:cs="宋体"/>
                <w:color w:val="auto"/>
                <w:kern w:val="0"/>
                <w:sz w:val="24"/>
                <w:szCs w:val="24"/>
              </w:rPr>
              <w:t xml:space="preserve"> 6</w:t>
            </w:r>
            <w:r>
              <w:rPr>
                <w:rFonts w:hint="eastAsia" w:ascii="宋体" w:hAnsi="宋体" w:cs="宋体"/>
                <w:color w:val="auto"/>
                <w:kern w:val="0"/>
                <w:sz w:val="24"/>
                <w:szCs w:val="24"/>
              </w:rPr>
              <w:t>：功率接【块【</w:t>
            </w:r>
            <w:r>
              <w:rPr>
                <w:rFonts w:ascii="宋体" w:hAnsi="宋体" w:cs="宋体"/>
                <w:color w:val="auto"/>
                <w:kern w:val="0"/>
                <w:sz w:val="24"/>
                <w:szCs w:val="24"/>
              </w:rPr>
              <w:t xml:space="preserve">8 </w:t>
            </w:r>
            <w:r>
              <w:rPr>
                <w:rFonts w:hint="eastAsia" w:ascii="宋体" w:hAnsi="宋体" w:cs="宋体"/>
                <w:color w:val="auto"/>
                <w:kern w:val="0"/>
                <w:sz w:val="24"/>
                <w:szCs w:val="24"/>
              </w:rPr>
              <w:t>阻等效式</w:t>
            </w:r>
            <w:r>
              <w:rPr>
                <w:rFonts w:ascii="宋体" w:hAnsi="宋体" w:cs="宋体"/>
                <w:color w:val="auto"/>
                <w:kern w:val="0"/>
                <w:sz w:val="24"/>
                <w:szCs w:val="24"/>
              </w:rPr>
              <w:t xml:space="preserve"> Ri0.16P:</w:t>
            </w:r>
            <w:r>
              <w:rPr>
                <w:rFonts w:hint="eastAsia" w:ascii="宋体" w:hAnsi="宋体" w:cs="宋体"/>
                <w:color w:val="auto"/>
                <w:kern w:val="0"/>
                <w:sz w:val="24"/>
                <w:szCs w:val="24"/>
              </w:rPr>
              <w:t>质量（</w:t>
            </w:r>
            <w:r>
              <w:rPr>
                <w:rFonts w:ascii="宋体" w:hAnsi="宋体" w:cs="宋体"/>
                <w:color w:val="auto"/>
                <w:kern w:val="0"/>
                <w:sz w:val="24"/>
                <w:szCs w:val="24"/>
              </w:rPr>
              <w:t>KG</w:t>
            </w:r>
            <w:r>
              <w:rPr>
                <w:rFonts w:hint="eastAsia" w:ascii="宋体" w:hAnsi="宋体" w:cs="宋体"/>
                <w:color w:val="auto"/>
                <w:kern w:val="0"/>
                <w:sz w:val="24"/>
                <w:szCs w:val="24"/>
              </w:rPr>
              <w:t>）</w:t>
            </w:r>
            <w:r>
              <w:rPr>
                <w:rFonts w:ascii="宋体" w:hAnsi="宋体" w:cs="宋体"/>
                <w:color w:val="auto"/>
                <w:kern w:val="0"/>
                <w:sz w:val="24"/>
                <w:szCs w:val="24"/>
              </w:rPr>
              <w:t>=23</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接地模块</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电阻率≤</w:t>
            </w:r>
            <w:r>
              <w:rPr>
                <w:rFonts w:ascii="宋体" w:hAnsi="宋体" w:cs="宋体"/>
                <w:color w:val="auto"/>
                <w:kern w:val="0"/>
                <w:sz w:val="24"/>
                <w:szCs w:val="24"/>
              </w:rPr>
              <w:t>3.09</w:t>
            </w:r>
            <w:r>
              <w:rPr>
                <w:rFonts w:hint="eastAsia" w:ascii="宋体" w:hAnsi="宋体" w:cs="宋体"/>
                <w:color w:val="auto"/>
                <w:kern w:val="0"/>
                <w:sz w:val="24"/>
                <w:szCs w:val="24"/>
              </w:rPr>
              <w:t>：酸碱度</w:t>
            </w:r>
            <w:r>
              <w:rPr>
                <w:rFonts w:ascii="宋体" w:hAnsi="宋体" w:cs="宋体"/>
                <w:color w:val="auto"/>
                <w:kern w:val="0"/>
                <w:sz w:val="24"/>
                <w:szCs w:val="24"/>
              </w:rPr>
              <w:t xml:space="preserve"> 7</w:t>
            </w:r>
            <w:r>
              <w:rPr>
                <w:rFonts w:hint="eastAsia" w:ascii="宋体" w:hAnsi="宋体" w:cs="宋体"/>
                <w:color w:val="auto"/>
                <w:kern w:val="0"/>
                <w:sz w:val="24"/>
                <w:szCs w:val="24"/>
              </w:rPr>
              <w:t>≤</w:t>
            </w:r>
            <w:r>
              <w:rPr>
                <w:rFonts w:ascii="宋体" w:hAnsi="宋体" w:cs="宋体"/>
                <w:color w:val="auto"/>
                <w:kern w:val="0"/>
                <w:sz w:val="24"/>
                <w:szCs w:val="24"/>
              </w:rPr>
              <w:t>PH</w:t>
            </w:r>
            <w:r>
              <w:rPr>
                <w:rFonts w:hint="eastAsia" w:ascii="宋体" w:hAnsi="宋体" w:cs="宋体"/>
                <w:color w:val="auto"/>
                <w:kern w:val="0"/>
                <w:sz w:val="24"/>
                <w:szCs w:val="24"/>
              </w:rPr>
              <w:t>≤</w:t>
            </w:r>
            <w:r>
              <w:rPr>
                <w:rFonts w:ascii="宋体" w:hAnsi="宋体" w:cs="宋体"/>
                <w:color w:val="auto"/>
                <w:kern w:val="0"/>
                <w:sz w:val="24"/>
                <w:szCs w:val="24"/>
              </w:rPr>
              <w:t>12</w:t>
            </w:r>
            <w:r>
              <w:rPr>
                <w:rFonts w:hint="eastAsia" w:ascii="宋体" w:hAnsi="宋体" w:cs="宋体"/>
                <w:color w:val="auto"/>
                <w:kern w:val="0"/>
                <w:sz w:val="24"/>
                <w:szCs w:val="24"/>
              </w:rPr>
              <w:t>：降阻剂对钢接地体表面年平均蚀率≤接地模块表面防腐处理</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8</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块</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铝板吊顶</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吊顶防尘微孔铝板吊顶规格</w:t>
            </w:r>
            <w:r>
              <w:rPr>
                <w:rFonts w:ascii="宋体" w:hAnsi="宋体" w:cs="宋体"/>
                <w:color w:val="auto"/>
                <w:kern w:val="0"/>
                <w:sz w:val="24"/>
                <w:szCs w:val="24"/>
              </w:rPr>
              <w:t xml:space="preserve"> 600*600 </w:t>
            </w:r>
            <w:r>
              <w:rPr>
                <w:rFonts w:hint="eastAsia" w:ascii="宋体" w:hAnsi="宋体" w:cs="宋体"/>
                <w:color w:val="auto"/>
                <w:kern w:val="0"/>
                <w:sz w:val="24"/>
                <w:szCs w:val="24"/>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55</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平米</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防尘漆</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防尘漆、固化剂、稀料</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55</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平米</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6</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踢脚线</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不锈钢拉线踢脚线</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40</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米</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7</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石膏板装修</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石膏板装修</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55</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平米</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8</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 xml:space="preserve">LED </w:t>
            </w:r>
            <w:r>
              <w:rPr>
                <w:rFonts w:hint="eastAsia" w:ascii="宋体" w:hAnsi="宋体" w:cs="宋体"/>
                <w:color w:val="auto"/>
                <w:sz w:val="24"/>
                <w:szCs w:val="24"/>
              </w:rPr>
              <w:t>灯</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格栅灯</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6</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支</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9</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电源线</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BVV2.5</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卷</w:t>
            </w:r>
          </w:p>
        </w:tc>
      </w:tr>
      <w:tr>
        <w:tblPrEx>
          <w:tblCellMar>
            <w:top w:w="0" w:type="dxa"/>
            <w:left w:w="10" w:type="dxa"/>
            <w:bottom w:w="0" w:type="dxa"/>
            <w:right w:w="10" w:type="dxa"/>
          </w:tblCellMar>
        </w:tblPrEx>
        <w:trPr>
          <w:trHeight w:val="1" w:hRule="atLeast"/>
        </w:trPr>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墙面处理</w:t>
            </w:r>
          </w:p>
        </w:tc>
        <w:tc>
          <w:tcPr>
            <w:tcW w:w="65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墙面乳胶漆喷漆</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55</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平米</w:t>
            </w:r>
          </w:p>
        </w:tc>
      </w:tr>
    </w:tbl>
    <w:p>
      <w:pPr>
        <w:spacing w:line="400" w:lineRule="exact"/>
        <w:rPr>
          <w:rFonts w:ascii="宋体"/>
          <w:color w:val="auto"/>
          <w:sz w:val="24"/>
          <w:szCs w:val="24"/>
        </w:rPr>
      </w:pPr>
    </w:p>
    <w:p>
      <w:pPr>
        <w:keepNext/>
        <w:keepLines/>
        <w:spacing w:before="156" w:after="156" w:line="400" w:lineRule="exact"/>
        <w:outlineLvl w:val="3"/>
        <w:rPr>
          <w:rFonts w:ascii="宋体"/>
          <w:b/>
          <w:bCs/>
          <w:color w:val="auto"/>
          <w:sz w:val="24"/>
          <w:szCs w:val="24"/>
        </w:rPr>
      </w:pPr>
      <w:r>
        <w:rPr>
          <w:rFonts w:ascii="宋体" w:hAnsi="宋体" w:cs="宋体"/>
          <w:b/>
          <w:bCs/>
          <w:color w:val="auto"/>
          <w:sz w:val="24"/>
          <w:szCs w:val="24"/>
        </w:rPr>
        <w:t>4.6.2</w:t>
      </w:r>
      <w:r>
        <w:rPr>
          <w:rFonts w:hint="eastAsia" w:ascii="宋体" w:hAnsi="宋体" w:cs="宋体"/>
          <w:b/>
          <w:bCs/>
          <w:color w:val="auto"/>
          <w:sz w:val="24"/>
          <w:szCs w:val="24"/>
        </w:rPr>
        <w:t>、视频网络系统</w:t>
      </w:r>
    </w:p>
    <w:p>
      <w:pPr>
        <w:spacing w:line="400" w:lineRule="exact"/>
        <w:rPr>
          <w:rFonts w:ascii="宋体"/>
          <w:color w:val="auto"/>
          <w:sz w:val="24"/>
          <w:szCs w:val="24"/>
        </w:rPr>
      </w:pPr>
    </w:p>
    <w:tbl>
      <w:tblPr>
        <w:tblStyle w:val="21"/>
        <w:tblW w:w="10281" w:type="dxa"/>
        <w:tblInd w:w="-684" w:type="dxa"/>
        <w:tblLayout w:type="fixed"/>
        <w:tblCellMar>
          <w:top w:w="0" w:type="dxa"/>
          <w:left w:w="10" w:type="dxa"/>
          <w:bottom w:w="0" w:type="dxa"/>
          <w:right w:w="10" w:type="dxa"/>
        </w:tblCellMar>
      </w:tblPr>
      <w:tblGrid>
        <w:gridCol w:w="731"/>
        <w:gridCol w:w="1451"/>
        <w:gridCol w:w="7003"/>
        <w:gridCol w:w="639"/>
        <w:gridCol w:w="457"/>
      </w:tblGrid>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序号</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设备名称</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规格配置要求</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数量</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指挥作业桌</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长度</w:t>
            </w:r>
            <w:r>
              <w:rPr>
                <w:rFonts w:ascii="宋体" w:hAnsi="宋体" w:cs="宋体"/>
                <w:color w:val="auto"/>
                <w:kern w:val="0"/>
                <w:sz w:val="24"/>
                <w:szCs w:val="24"/>
              </w:rPr>
              <w:t>1400mm,</w:t>
            </w:r>
            <w:r>
              <w:rPr>
                <w:rFonts w:hint="eastAsia" w:ascii="宋体" w:hAnsi="宋体" w:cs="宋体"/>
                <w:color w:val="auto"/>
                <w:kern w:val="0"/>
                <w:sz w:val="24"/>
                <w:szCs w:val="24"/>
              </w:rPr>
              <w:t>宽度</w:t>
            </w:r>
            <w:r>
              <w:rPr>
                <w:rFonts w:ascii="宋体" w:hAnsi="宋体" w:cs="宋体"/>
                <w:color w:val="auto"/>
                <w:kern w:val="0"/>
                <w:sz w:val="24"/>
                <w:szCs w:val="24"/>
              </w:rPr>
              <w:t>500mm,</w:t>
            </w:r>
            <w:r>
              <w:rPr>
                <w:rFonts w:hint="eastAsia" w:ascii="宋体" w:hAnsi="宋体" w:cs="宋体"/>
                <w:color w:val="auto"/>
                <w:kern w:val="0"/>
                <w:sz w:val="24"/>
                <w:szCs w:val="24"/>
              </w:rPr>
              <w:t>距地面高</w:t>
            </w:r>
            <w:r>
              <w:rPr>
                <w:rFonts w:ascii="宋体" w:hAnsi="宋体" w:cs="宋体"/>
                <w:color w:val="auto"/>
                <w:kern w:val="0"/>
                <w:sz w:val="24"/>
                <w:szCs w:val="24"/>
              </w:rPr>
              <w:t>750mm</w:t>
            </w:r>
            <w:r>
              <w:rPr>
                <w:rFonts w:hint="eastAsia" w:ascii="宋体" w:hAnsi="宋体" w:cs="宋体"/>
                <w:color w:val="auto"/>
                <w:kern w:val="0"/>
                <w:sz w:val="24"/>
                <w:szCs w:val="24"/>
              </w:rPr>
              <w:t>；双框架结构：内部主框架为钢架防静电喷塑处理，承重部件采用不低于</w:t>
            </w:r>
            <w:r>
              <w:rPr>
                <w:rFonts w:ascii="宋体" w:hAnsi="宋体" w:cs="宋体"/>
                <w:color w:val="auto"/>
                <w:kern w:val="0"/>
                <w:sz w:val="24"/>
                <w:szCs w:val="24"/>
              </w:rPr>
              <w:t>2.0mm</w:t>
            </w:r>
            <w:r>
              <w:rPr>
                <w:rFonts w:hint="eastAsia" w:ascii="宋体" w:hAnsi="宋体" w:cs="宋体"/>
                <w:color w:val="auto"/>
                <w:kern w:val="0"/>
                <w:sz w:val="24"/>
                <w:szCs w:val="24"/>
              </w:rPr>
              <w:t>厚优质冷轧钢；台面板：</w:t>
            </w:r>
            <w:r>
              <w:rPr>
                <w:rFonts w:ascii="宋体" w:hAnsi="宋体" w:cs="宋体"/>
                <w:color w:val="auto"/>
                <w:kern w:val="0"/>
                <w:sz w:val="24"/>
                <w:szCs w:val="24"/>
              </w:rPr>
              <w:t>25mm</w:t>
            </w:r>
            <w:r>
              <w:rPr>
                <w:rFonts w:hint="eastAsia" w:ascii="宋体" w:hAnsi="宋体" w:cs="宋体"/>
                <w:color w:val="auto"/>
                <w:kern w:val="0"/>
                <w:sz w:val="24"/>
                <w:szCs w:val="24"/>
              </w:rPr>
              <w:t>密度板双面粘贴</w:t>
            </w:r>
            <w:r>
              <w:rPr>
                <w:rFonts w:ascii="宋体" w:hAnsi="宋体" w:cs="宋体"/>
                <w:color w:val="auto"/>
                <w:kern w:val="0"/>
                <w:sz w:val="24"/>
                <w:szCs w:val="24"/>
              </w:rPr>
              <w:t>1.0mm</w:t>
            </w:r>
            <w:r>
              <w:rPr>
                <w:rFonts w:hint="eastAsia" w:ascii="宋体" w:hAnsi="宋体" w:cs="宋体"/>
                <w:color w:val="auto"/>
                <w:kern w:val="0"/>
                <w:sz w:val="24"/>
                <w:szCs w:val="24"/>
              </w:rPr>
              <w:t>高压耐磨防火板，整体厚度不低于</w:t>
            </w:r>
            <w:r>
              <w:rPr>
                <w:rFonts w:ascii="宋体" w:hAnsi="宋体" w:cs="宋体"/>
                <w:color w:val="auto"/>
                <w:kern w:val="0"/>
                <w:sz w:val="24"/>
                <w:szCs w:val="24"/>
              </w:rPr>
              <w:t>27mm</w:t>
            </w:r>
            <w:r>
              <w:rPr>
                <w:rFonts w:hint="eastAsia" w:ascii="宋体" w:hAnsi="宋体" w:cs="宋体"/>
                <w:color w:val="auto"/>
                <w:kern w:val="0"/>
                <w:sz w:val="24"/>
                <w:szCs w:val="24"/>
              </w:rPr>
              <w:t>，大面板之间需做隐藏式箭头所链接，整体连接后必须平整光滑无缝隙；台面边缘操作台手枕边：操作台面前端采用聚氨酯加模压铸成型的手枕边，宽度不小于</w:t>
            </w:r>
            <w:r>
              <w:rPr>
                <w:rFonts w:ascii="宋体" w:hAnsi="宋体" w:cs="宋体"/>
                <w:color w:val="auto"/>
                <w:kern w:val="0"/>
                <w:sz w:val="24"/>
                <w:szCs w:val="24"/>
              </w:rPr>
              <w:t>30mm</w:t>
            </w:r>
            <w:r>
              <w:rPr>
                <w:rFonts w:hint="eastAsia" w:ascii="宋体" w:hAnsi="宋体" w:cs="宋体"/>
                <w:color w:val="auto"/>
                <w:kern w:val="0"/>
                <w:sz w:val="24"/>
                <w:szCs w:val="24"/>
              </w:rPr>
              <w:t>，保证手臂工作时舒适性，具有良好的抗刮，耐磨及耐腐蚀效果，满足人员长期</w:t>
            </w:r>
            <w:r>
              <w:rPr>
                <w:rFonts w:ascii="宋体" w:hAnsi="宋体" w:cs="宋体"/>
                <w:color w:val="auto"/>
                <w:kern w:val="0"/>
                <w:sz w:val="24"/>
                <w:szCs w:val="24"/>
              </w:rPr>
              <w:t>24</w:t>
            </w:r>
            <w:r>
              <w:rPr>
                <w:rFonts w:hint="eastAsia" w:ascii="宋体" w:hAnsi="宋体" w:cs="宋体"/>
                <w:color w:val="auto"/>
                <w:kern w:val="0"/>
                <w:sz w:val="24"/>
                <w:szCs w:val="24"/>
              </w:rPr>
              <w:t>小时工作带来的相关磨损；含皮质弓形椅</w:t>
            </w:r>
            <w:r>
              <w:rPr>
                <w:rFonts w:ascii="宋体" w:hAnsi="宋体" w:cs="宋体"/>
                <w:color w:val="auto"/>
                <w:kern w:val="0"/>
                <w:sz w:val="24"/>
                <w:szCs w:val="24"/>
              </w:rPr>
              <w:t>2</w:t>
            </w:r>
            <w:r>
              <w:rPr>
                <w:rFonts w:hint="eastAsia" w:ascii="宋体" w:hAnsi="宋体" w:cs="宋体"/>
                <w:color w:val="auto"/>
                <w:kern w:val="0"/>
                <w:sz w:val="24"/>
                <w:szCs w:val="24"/>
              </w:rPr>
              <w:t>把（黑色）坐席及座椅供货前提供实物样品或照片，由发包人确认。</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控制电脑</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CPU</w:t>
            </w:r>
            <w:r>
              <w:rPr>
                <w:rFonts w:hint="eastAsia" w:ascii="宋体" w:hAnsi="宋体" w:cs="宋体"/>
                <w:color w:val="auto"/>
                <w:kern w:val="0"/>
                <w:sz w:val="24"/>
                <w:szCs w:val="24"/>
              </w:rPr>
              <w:t>：英特尔酷睿</w:t>
            </w:r>
            <w:r>
              <w:rPr>
                <w:rFonts w:ascii="宋体" w:hAnsi="宋体" w:cs="宋体"/>
                <w:color w:val="auto"/>
                <w:kern w:val="0"/>
                <w:sz w:val="24"/>
                <w:szCs w:val="24"/>
              </w:rPr>
              <w:t>I3</w:t>
            </w:r>
            <w:r>
              <w:rPr>
                <w:rFonts w:hint="eastAsia" w:ascii="宋体" w:hAnsi="宋体" w:cs="宋体"/>
                <w:color w:val="auto"/>
                <w:kern w:val="0"/>
                <w:sz w:val="24"/>
                <w:szCs w:val="24"/>
              </w:rPr>
              <w:t>处理器；内存：</w:t>
            </w:r>
            <w:r>
              <w:rPr>
                <w:rFonts w:ascii="宋体" w:hAnsi="宋体" w:cs="宋体"/>
                <w:color w:val="auto"/>
                <w:kern w:val="0"/>
                <w:sz w:val="24"/>
                <w:szCs w:val="24"/>
              </w:rPr>
              <w:t>4G</w:t>
            </w:r>
            <w:r>
              <w:rPr>
                <w:rFonts w:hint="eastAsia" w:ascii="宋体" w:hAnsi="宋体" w:cs="宋体"/>
                <w:color w:val="auto"/>
                <w:kern w:val="0"/>
                <w:sz w:val="24"/>
                <w:szCs w:val="24"/>
              </w:rPr>
              <w:t>；硬盘：</w:t>
            </w:r>
            <w:r>
              <w:rPr>
                <w:rFonts w:ascii="宋体" w:hAnsi="宋体" w:cs="宋体"/>
                <w:color w:val="auto"/>
                <w:kern w:val="0"/>
                <w:sz w:val="24"/>
                <w:szCs w:val="24"/>
              </w:rPr>
              <w:t>1TB SATA</w:t>
            </w:r>
            <w:r>
              <w:rPr>
                <w:rFonts w:hint="eastAsia" w:ascii="宋体" w:hAnsi="宋体" w:cs="宋体"/>
                <w:color w:val="auto"/>
                <w:kern w:val="0"/>
                <w:sz w:val="24"/>
                <w:szCs w:val="24"/>
              </w:rPr>
              <w:t>；集成显卡；光电鼠标、键盘；</w:t>
            </w:r>
            <w:r>
              <w:rPr>
                <w:rFonts w:ascii="宋体" w:hAnsi="宋体" w:cs="宋体"/>
                <w:color w:val="auto"/>
                <w:kern w:val="0"/>
                <w:sz w:val="24"/>
                <w:szCs w:val="24"/>
              </w:rPr>
              <w:t>20</w:t>
            </w:r>
            <w:r>
              <w:rPr>
                <w:rFonts w:hint="eastAsia" w:ascii="宋体" w:hAnsi="宋体" w:cs="宋体"/>
                <w:color w:val="auto"/>
                <w:kern w:val="0"/>
                <w:sz w:val="24"/>
                <w:szCs w:val="24"/>
              </w:rPr>
              <w:t>英寸液晶显示器。</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显示终端设备</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numPr>
                <w:ilvl w:val="0"/>
                <w:numId w:val="28"/>
              </w:numPr>
              <w:jc w:val="left"/>
              <w:textAlignment w:val="center"/>
              <w:rPr>
                <w:rFonts w:ascii="宋体"/>
                <w:color w:val="auto"/>
                <w:kern w:val="0"/>
                <w:sz w:val="24"/>
                <w:szCs w:val="24"/>
              </w:rPr>
            </w:pPr>
            <w:r>
              <w:rPr>
                <w:rFonts w:hint="eastAsia" w:ascii="宋体" w:hAnsi="宋体" w:cs="宋体"/>
                <w:color w:val="auto"/>
                <w:kern w:val="0"/>
                <w:sz w:val="24"/>
                <w:szCs w:val="24"/>
              </w:rPr>
              <w:t>自带嵌入式固件管理软件，可脱离电脑操作；</w:t>
            </w:r>
          </w:p>
          <w:p>
            <w:pPr>
              <w:widowControl/>
              <w:numPr>
                <w:ilvl w:val="0"/>
                <w:numId w:val="28"/>
              </w:numPr>
              <w:jc w:val="left"/>
              <w:textAlignment w:val="center"/>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支持视频图像任意拼接，组合多拼接；</w:t>
            </w:r>
          </w:p>
          <w:p>
            <w:pPr>
              <w:widowControl/>
              <w:numPr>
                <w:ilvl w:val="0"/>
                <w:numId w:val="28"/>
              </w:numPr>
              <w:jc w:val="left"/>
              <w:textAlignment w:val="center"/>
              <w:rPr>
                <w:rFonts w:ascii="宋体"/>
                <w:color w:val="auto"/>
                <w:kern w:val="0"/>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最大单屏支持</w:t>
            </w:r>
            <w:r>
              <w:rPr>
                <w:rFonts w:ascii="宋体" w:hAnsi="宋体" w:cs="宋体"/>
                <w:color w:val="auto"/>
                <w:kern w:val="0"/>
                <w:sz w:val="24"/>
                <w:szCs w:val="24"/>
              </w:rPr>
              <w:t>1/4/6/8/9/10/16/25/36</w:t>
            </w:r>
            <w:r>
              <w:rPr>
                <w:rFonts w:hint="eastAsia" w:ascii="宋体" w:hAnsi="宋体" w:cs="宋体"/>
                <w:color w:val="auto"/>
                <w:kern w:val="0"/>
                <w:sz w:val="24"/>
                <w:szCs w:val="24"/>
              </w:rPr>
              <w:t>分割，支持拼接、分割、开窗等功能，单卡支持解码</w:t>
            </w:r>
            <w:r>
              <w:rPr>
                <w:rFonts w:ascii="宋体" w:hAnsi="宋体" w:cs="宋体"/>
                <w:color w:val="auto"/>
                <w:kern w:val="0"/>
                <w:sz w:val="24"/>
                <w:szCs w:val="24"/>
              </w:rPr>
              <w:t>72</w:t>
            </w:r>
            <w:r>
              <w:rPr>
                <w:rFonts w:hint="eastAsia" w:ascii="宋体" w:hAnsi="宋体" w:cs="宋体"/>
                <w:color w:val="auto"/>
                <w:kern w:val="0"/>
                <w:sz w:val="24"/>
                <w:szCs w:val="24"/>
              </w:rPr>
              <w:t>个通道；</w:t>
            </w:r>
          </w:p>
          <w:p>
            <w:pPr>
              <w:widowControl/>
              <w:numPr>
                <w:ilvl w:val="0"/>
                <w:numId w:val="27"/>
              </w:numPr>
              <w:jc w:val="left"/>
              <w:textAlignment w:val="center"/>
              <w:rPr>
                <w:rFonts w:ascii="宋体"/>
                <w:color w:val="auto"/>
                <w:kern w:val="0"/>
                <w:sz w:val="24"/>
                <w:szCs w:val="24"/>
              </w:rPr>
            </w:pPr>
            <w:r>
              <w:rPr>
                <w:rFonts w:ascii="宋体" w:hAnsi="宋体" w:cs="宋体"/>
                <w:color w:val="auto"/>
                <w:kern w:val="0"/>
                <w:sz w:val="24"/>
                <w:szCs w:val="24"/>
              </w:rPr>
              <w:t>IPC</w:t>
            </w:r>
            <w:r>
              <w:rPr>
                <w:rFonts w:hint="eastAsia" w:ascii="宋体" w:hAnsi="宋体" w:cs="宋体"/>
                <w:color w:val="auto"/>
                <w:kern w:val="0"/>
                <w:sz w:val="24"/>
                <w:szCs w:val="24"/>
              </w:rPr>
              <w:t>；</w:t>
            </w:r>
            <w:r>
              <w:rPr>
                <w:rFonts w:ascii="宋体" w:hAnsi="宋体" w:cs="宋体"/>
                <w:color w:val="auto"/>
                <w:kern w:val="0"/>
                <w:sz w:val="24"/>
                <w:szCs w:val="24"/>
              </w:rPr>
              <w:t>.PC</w:t>
            </w:r>
            <w:r>
              <w:rPr>
                <w:rFonts w:hint="eastAsia" w:ascii="宋体" w:hAnsi="宋体" w:cs="宋体"/>
                <w:color w:val="auto"/>
                <w:kern w:val="0"/>
                <w:sz w:val="24"/>
                <w:szCs w:val="24"/>
              </w:rPr>
              <w:t>客户端操作支持可视化预览电视墙；最大单卡支持</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HDMI</w:t>
            </w:r>
            <w:r>
              <w:rPr>
                <w:rFonts w:hint="eastAsia" w:ascii="宋体" w:hAnsi="宋体" w:cs="宋体"/>
                <w:color w:val="auto"/>
                <w:kern w:val="0"/>
                <w:sz w:val="24"/>
                <w:szCs w:val="24"/>
              </w:rPr>
              <w:t>输出的</w:t>
            </w:r>
            <w:r>
              <w:rPr>
                <w:rFonts w:ascii="宋体" w:hAnsi="宋体" w:cs="宋体"/>
                <w:color w:val="auto"/>
                <w:kern w:val="0"/>
                <w:sz w:val="24"/>
                <w:szCs w:val="24"/>
              </w:rPr>
              <w:t>36</w:t>
            </w:r>
            <w:r>
              <w:rPr>
                <w:rFonts w:hint="eastAsia" w:ascii="宋体" w:hAnsi="宋体" w:cs="宋体"/>
                <w:color w:val="auto"/>
                <w:kern w:val="0"/>
                <w:sz w:val="24"/>
                <w:szCs w:val="24"/>
              </w:rPr>
              <w:t>分割；</w:t>
            </w:r>
          </w:p>
          <w:p>
            <w:pPr>
              <w:widowControl/>
              <w:numPr>
                <w:ilvl w:val="0"/>
                <w:numId w:val="27"/>
              </w:numPr>
              <w:jc w:val="left"/>
              <w:textAlignment w:val="center"/>
              <w:rPr>
                <w:rFonts w:ascii="宋体"/>
                <w:color w:val="auto"/>
                <w:kern w:val="0"/>
                <w:sz w:val="24"/>
                <w:szCs w:val="24"/>
              </w:rPr>
            </w:pP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支持外部</w:t>
            </w:r>
            <w:r>
              <w:rPr>
                <w:rFonts w:ascii="宋体" w:hAnsi="宋体" w:cs="宋体"/>
                <w:color w:val="auto"/>
                <w:kern w:val="0"/>
                <w:sz w:val="24"/>
                <w:szCs w:val="24"/>
              </w:rPr>
              <w:t>HDMI,VGA,TVI,CVI,SDI,BNC</w:t>
            </w:r>
            <w:r>
              <w:rPr>
                <w:rFonts w:hint="eastAsia" w:ascii="宋体" w:hAnsi="宋体" w:cs="宋体"/>
                <w:color w:val="auto"/>
                <w:kern w:val="0"/>
                <w:sz w:val="24"/>
                <w:szCs w:val="24"/>
              </w:rPr>
              <w:t>上墙解码及拼接，或视屏会议视频接入；支持海康、大华、宇视、雄迈、中维、美电恩智、美电贝尔、科达、同为等主流</w:t>
            </w:r>
            <w:r>
              <w:rPr>
                <w:rFonts w:ascii="宋体" w:hAnsi="宋体" w:cs="宋体"/>
                <w:color w:val="auto"/>
                <w:kern w:val="0"/>
                <w:sz w:val="24"/>
                <w:szCs w:val="24"/>
              </w:rPr>
              <w:t>NVR</w:t>
            </w:r>
            <w:r>
              <w:rPr>
                <w:rFonts w:hint="eastAsia" w:ascii="宋体" w:hAnsi="宋体" w:cs="宋体"/>
                <w:color w:val="auto"/>
                <w:kern w:val="0"/>
                <w:sz w:val="24"/>
                <w:szCs w:val="24"/>
              </w:rPr>
              <w:t>，</w:t>
            </w:r>
            <w:r>
              <w:rPr>
                <w:rFonts w:ascii="宋体" w:hAnsi="宋体" w:cs="宋体"/>
                <w:color w:val="auto"/>
                <w:kern w:val="0"/>
                <w:sz w:val="24"/>
                <w:szCs w:val="24"/>
              </w:rPr>
              <w:t>DVR</w:t>
            </w:r>
            <w:r>
              <w:rPr>
                <w:rFonts w:hint="eastAsia" w:ascii="宋体" w:hAnsi="宋体" w:cs="宋体"/>
                <w:color w:val="auto"/>
                <w:kern w:val="0"/>
                <w:sz w:val="24"/>
                <w:szCs w:val="24"/>
              </w:rPr>
              <w:t>预览图像上墙预览和调录像上墙回放；支持广域网视频取云端取流解码外网跨区域视频；支持地域名，</w:t>
            </w:r>
            <w:r>
              <w:rPr>
                <w:rFonts w:ascii="宋体" w:hAnsi="宋体" w:cs="宋体"/>
                <w:color w:val="auto"/>
                <w:kern w:val="0"/>
                <w:sz w:val="24"/>
                <w:szCs w:val="24"/>
              </w:rPr>
              <w:t>IP</w:t>
            </w:r>
            <w:r>
              <w:rPr>
                <w:rFonts w:hint="eastAsia" w:ascii="宋体" w:hAnsi="宋体" w:cs="宋体"/>
                <w:color w:val="auto"/>
                <w:kern w:val="0"/>
                <w:sz w:val="24"/>
                <w:szCs w:val="24"/>
              </w:rPr>
              <w:t>地址等解码通道的字符叠加；支持</w:t>
            </w:r>
            <w:r>
              <w:rPr>
                <w:rFonts w:ascii="宋体" w:hAnsi="宋体" w:cs="宋体"/>
                <w:color w:val="auto"/>
                <w:kern w:val="0"/>
                <w:sz w:val="24"/>
                <w:szCs w:val="24"/>
              </w:rPr>
              <w:t>USB</w:t>
            </w:r>
            <w:r>
              <w:rPr>
                <w:rFonts w:hint="eastAsia" w:ascii="宋体" w:hAnsi="宋体" w:cs="宋体"/>
                <w:color w:val="auto"/>
                <w:kern w:val="0"/>
                <w:sz w:val="24"/>
                <w:szCs w:val="24"/>
              </w:rPr>
              <w:t>鼠标，大屏可视化网络键盘控制；内嵌数据库，对用户设置好的参数和视频可导出和导入；</w:t>
            </w:r>
            <w:r>
              <w:rPr>
                <w:rFonts w:ascii="宋体" w:hAnsi="宋体" w:cs="宋体"/>
                <w:color w:val="auto"/>
                <w:kern w:val="0"/>
                <w:sz w:val="24"/>
                <w:szCs w:val="24"/>
              </w:rPr>
              <w:t>PC</w:t>
            </w:r>
            <w:r>
              <w:rPr>
                <w:rFonts w:hint="eastAsia" w:ascii="宋体" w:hAnsi="宋体" w:cs="宋体"/>
                <w:color w:val="auto"/>
                <w:kern w:val="0"/>
                <w:sz w:val="24"/>
                <w:szCs w:val="24"/>
              </w:rPr>
              <w:t>客户端支持部分可视化（</w:t>
            </w:r>
            <w:r>
              <w:rPr>
                <w:rFonts w:ascii="宋体" w:hAnsi="宋体" w:cs="宋体"/>
                <w:color w:val="auto"/>
                <w:kern w:val="0"/>
                <w:sz w:val="24"/>
                <w:szCs w:val="24"/>
              </w:rPr>
              <w:t>4-20</w:t>
            </w:r>
            <w:r>
              <w:rPr>
                <w:rFonts w:hint="eastAsia" w:ascii="宋体" w:hAnsi="宋体" w:cs="宋体"/>
                <w:color w:val="auto"/>
                <w:kern w:val="0"/>
                <w:sz w:val="24"/>
                <w:szCs w:val="24"/>
              </w:rPr>
              <w:t>个）实时解码，并与视频网络上实时显示的视频画面同步</w:t>
            </w:r>
            <w:r>
              <w:rPr>
                <w:rFonts w:ascii="宋体" w:hAnsi="宋体" w:cs="宋体"/>
                <w:color w:val="auto"/>
                <w:kern w:val="0"/>
                <w:sz w:val="24"/>
                <w:szCs w:val="24"/>
              </w:rPr>
              <w:t>13.</w:t>
            </w:r>
            <w:r>
              <w:rPr>
                <w:rFonts w:hint="eastAsia" w:ascii="宋体" w:hAnsi="宋体" w:cs="宋体"/>
                <w:color w:val="auto"/>
                <w:kern w:val="0"/>
                <w:sz w:val="24"/>
                <w:szCs w:val="24"/>
              </w:rPr>
              <w:t>解码像素：支持</w:t>
            </w:r>
            <w:r>
              <w:rPr>
                <w:rFonts w:ascii="宋体" w:hAnsi="宋体" w:cs="宋体"/>
                <w:color w:val="auto"/>
                <w:kern w:val="0"/>
                <w:sz w:val="24"/>
                <w:szCs w:val="24"/>
              </w:rPr>
              <w:t>4K</w:t>
            </w:r>
            <w:r>
              <w:rPr>
                <w:rFonts w:hint="eastAsia" w:ascii="宋体" w:hAnsi="宋体" w:cs="宋体"/>
                <w:color w:val="auto"/>
                <w:kern w:val="0"/>
                <w:sz w:val="24"/>
                <w:szCs w:val="24"/>
              </w:rPr>
              <w:t>、</w:t>
            </w:r>
            <w:r>
              <w:rPr>
                <w:rFonts w:ascii="宋体" w:hAnsi="宋体" w:cs="宋体"/>
                <w:color w:val="auto"/>
                <w:kern w:val="0"/>
                <w:sz w:val="24"/>
                <w:szCs w:val="24"/>
              </w:rPr>
              <w:t>500W</w:t>
            </w:r>
            <w:r>
              <w:rPr>
                <w:rFonts w:hint="eastAsia" w:ascii="宋体" w:hAnsi="宋体" w:cs="宋体"/>
                <w:color w:val="auto"/>
                <w:kern w:val="0"/>
                <w:sz w:val="24"/>
                <w:szCs w:val="24"/>
              </w:rPr>
              <w:t>、</w:t>
            </w:r>
            <w:r>
              <w:rPr>
                <w:rFonts w:ascii="宋体" w:hAnsi="宋体" w:cs="宋体"/>
                <w:color w:val="auto"/>
                <w:kern w:val="0"/>
                <w:sz w:val="24"/>
                <w:szCs w:val="24"/>
              </w:rPr>
              <w:t>300W</w:t>
            </w:r>
            <w:r>
              <w:rPr>
                <w:rFonts w:hint="eastAsia" w:ascii="宋体" w:hAnsi="宋体" w:cs="宋体"/>
                <w:color w:val="auto"/>
                <w:kern w:val="0"/>
                <w:sz w:val="24"/>
                <w:szCs w:val="24"/>
              </w:rPr>
              <w:t>、</w:t>
            </w:r>
            <w:r>
              <w:rPr>
                <w:rFonts w:ascii="宋体" w:hAnsi="宋体" w:cs="宋体"/>
                <w:color w:val="auto"/>
                <w:kern w:val="0"/>
                <w:sz w:val="24"/>
                <w:szCs w:val="24"/>
              </w:rPr>
              <w:t>200W</w:t>
            </w:r>
            <w:r>
              <w:rPr>
                <w:rFonts w:hint="eastAsia" w:ascii="宋体" w:hAnsi="宋体" w:cs="宋体"/>
                <w:color w:val="auto"/>
                <w:kern w:val="0"/>
                <w:sz w:val="24"/>
                <w:szCs w:val="24"/>
              </w:rPr>
              <w:t>、</w:t>
            </w:r>
            <w:r>
              <w:rPr>
                <w:rFonts w:ascii="宋体" w:hAnsi="宋体" w:cs="宋体"/>
                <w:color w:val="auto"/>
                <w:kern w:val="0"/>
                <w:sz w:val="24"/>
                <w:szCs w:val="24"/>
              </w:rPr>
              <w:t>130W</w:t>
            </w:r>
            <w:r>
              <w:rPr>
                <w:rFonts w:hint="eastAsia" w:ascii="宋体" w:hAnsi="宋体" w:cs="宋体"/>
                <w:color w:val="auto"/>
                <w:kern w:val="0"/>
                <w:sz w:val="24"/>
                <w:szCs w:val="24"/>
              </w:rPr>
              <w:t>等标准视频解码</w:t>
            </w:r>
            <w:r>
              <w:rPr>
                <w:rFonts w:ascii="宋体" w:hAnsi="宋体" w:cs="宋体"/>
                <w:color w:val="auto"/>
                <w:kern w:val="0"/>
                <w:sz w:val="24"/>
                <w:szCs w:val="24"/>
              </w:rPr>
              <w:t xml:space="preserve"> </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kern w:val="0"/>
                <w:sz w:val="24"/>
                <w:szCs w:val="24"/>
              </w:rPr>
              <w:t>单卡解码性能：</w:t>
            </w:r>
            <w:r>
              <w:rPr>
                <w:rFonts w:ascii="宋体" w:hAnsi="宋体" w:cs="宋体"/>
                <w:color w:val="auto"/>
                <w:kern w:val="0"/>
                <w:sz w:val="24"/>
                <w:szCs w:val="24"/>
              </w:rPr>
              <w:t>2</w:t>
            </w:r>
            <w:r>
              <w:rPr>
                <w:rFonts w:hint="eastAsia" w:ascii="宋体" w:hAnsi="宋体" w:cs="宋体"/>
                <w:color w:val="auto"/>
                <w:kern w:val="0"/>
                <w:sz w:val="24"/>
                <w:szCs w:val="24"/>
              </w:rPr>
              <w:t>路</w:t>
            </w:r>
            <w:r>
              <w:rPr>
                <w:rFonts w:ascii="宋体" w:hAnsi="宋体" w:cs="宋体"/>
                <w:color w:val="auto"/>
                <w:kern w:val="0"/>
                <w:sz w:val="24"/>
                <w:szCs w:val="24"/>
              </w:rPr>
              <w:t>=4K</w:t>
            </w:r>
            <w:r>
              <w:rPr>
                <w:rFonts w:hint="eastAsia" w:ascii="宋体" w:hAnsi="宋体" w:cs="宋体"/>
                <w:color w:val="auto"/>
                <w:kern w:val="0"/>
                <w:sz w:val="24"/>
                <w:szCs w:val="24"/>
              </w:rPr>
              <w:t>；</w:t>
            </w:r>
            <w:r>
              <w:rPr>
                <w:rFonts w:ascii="宋体" w:hAnsi="宋体" w:cs="宋体"/>
                <w:color w:val="auto"/>
                <w:kern w:val="0"/>
                <w:sz w:val="24"/>
                <w:szCs w:val="24"/>
              </w:rPr>
              <w:t>18</w:t>
            </w:r>
            <w:r>
              <w:rPr>
                <w:rFonts w:hint="eastAsia" w:ascii="宋体" w:hAnsi="宋体" w:cs="宋体"/>
                <w:color w:val="auto"/>
                <w:kern w:val="0"/>
                <w:sz w:val="24"/>
                <w:szCs w:val="24"/>
              </w:rPr>
              <w:t>路</w:t>
            </w:r>
            <w:r>
              <w:rPr>
                <w:rFonts w:ascii="宋体" w:hAnsi="宋体" w:cs="宋体"/>
                <w:color w:val="auto"/>
                <w:kern w:val="0"/>
                <w:sz w:val="24"/>
                <w:szCs w:val="24"/>
              </w:rPr>
              <w:t>=1080P</w:t>
            </w:r>
            <w:r>
              <w:rPr>
                <w:rFonts w:hint="eastAsia" w:ascii="宋体" w:hAnsi="宋体" w:cs="宋体"/>
                <w:color w:val="auto"/>
                <w:kern w:val="0"/>
                <w:sz w:val="24"/>
                <w:szCs w:val="24"/>
              </w:rPr>
              <w:t>；</w:t>
            </w:r>
            <w:r>
              <w:rPr>
                <w:rFonts w:ascii="宋体" w:hAnsi="宋体" w:cs="宋体"/>
                <w:color w:val="auto"/>
                <w:kern w:val="0"/>
                <w:sz w:val="24"/>
                <w:szCs w:val="24"/>
              </w:rPr>
              <w:t>32</w:t>
            </w:r>
            <w:r>
              <w:rPr>
                <w:rFonts w:hint="eastAsia" w:ascii="宋体" w:hAnsi="宋体" w:cs="宋体"/>
                <w:color w:val="auto"/>
                <w:kern w:val="0"/>
                <w:sz w:val="24"/>
                <w:szCs w:val="24"/>
              </w:rPr>
              <w:t>路</w:t>
            </w:r>
            <w:r>
              <w:rPr>
                <w:rFonts w:ascii="宋体" w:hAnsi="宋体" w:cs="宋体"/>
                <w:color w:val="auto"/>
                <w:kern w:val="0"/>
                <w:sz w:val="24"/>
                <w:szCs w:val="24"/>
              </w:rPr>
              <w:t>=720P</w:t>
            </w:r>
            <w:r>
              <w:rPr>
                <w:rFonts w:hint="eastAsia" w:ascii="宋体" w:hAnsi="宋体" w:cs="宋体"/>
                <w:color w:val="auto"/>
                <w:kern w:val="0"/>
                <w:sz w:val="24"/>
                <w:szCs w:val="24"/>
              </w:rPr>
              <w:t>；</w:t>
            </w:r>
            <w:r>
              <w:rPr>
                <w:rFonts w:ascii="宋体" w:hAnsi="宋体" w:cs="宋体"/>
                <w:color w:val="auto"/>
                <w:kern w:val="0"/>
                <w:sz w:val="24"/>
                <w:szCs w:val="24"/>
              </w:rPr>
              <w:t>72</w:t>
            </w:r>
            <w:r>
              <w:rPr>
                <w:rFonts w:hint="eastAsia" w:ascii="宋体" w:hAnsi="宋体" w:cs="宋体"/>
                <w:color w:val="auto"/>
                <w:kern w:val="0"/>
                <w:sz w:val="24"/>
                <w:szCs w:val="24"/>
              </w:rPr>
              <w:t>路</w:t>
            </w:r>
            <w:r>
              <w:rPr>
                <w:rFonts w:ascii="宋体" w:hAnsi="宋体" w:cs="宋体"/>
                <w:color w:val="auto"/>
                <w:kern w:val="0"/>
                <w:sz w:val="24"/>
                <w:szCs w:val="24"/>
              </w:rPr>
              <w:t>=D1</w:t>
            </w:r>
            <w:r>
              <w:rPr>
                <w:rFonts w:hint="eastAsia" w:ascii="宋体" w:hAnsi="宋体" w:cs="宋体"/>
                <w:color w:val="auto"/>
                <w:kern w:val="0"/>
                <w:sz w:val="24"/>
                <w:szCs w:val="24"/>
              </w:rPr>
              <w:t>视频解码，支持</w:t>
            </w:r>
            <w:r>
              <w:rPr>
                <w:rFonts w:ascii="宋体" w:hAnsi="宋体" w:cs="宋体"/>
                <w:color w:val="auto"/>
                <w:kern w:val="0"/>
                <w:sz w:val="24"/>
                <w:szCs w:val="24"/>
              </w:rPr>
              <w:t>LED</w:t>
            </w:r>
            <w:r>
              <w:rPr>
                <w:rFonts w:hint="eastAsia" w:ascii="宋体" w:hAnsi="宋体" w:cs="宋体"/>
                <w:color w:val="auto"/>
                <w:kern w:val="0"/>
                <w:sz w:val="24"/>
                <w:szCs w:val="24"/>
              </w:rPr>
              <w:t>字幕显示功能，支持公安网，交通网等国标</w:t>
            </w:r>
            <w:r>
              <w:rPr>
                <w:rFonts w:ascii="宋体" w:hAnsi="宋体" w:cs="宋体"/>
                <w:color w:val="auto"/>
                <w:kern w:val="0"/>
                <w:sz w:val="24"/>
                <w:szCs w:val="24"/>
              </w:rPr>
              <w:t>GB28181</w:t>
            </w:r>
            <w:r>
              <w:rPr>
                <w:rFonts w:hint="eastAsia" w:ascii="宋体" w:hAnsi="宋体" w:cs="宋体"/>
                <w:color w:val="auto"/>
                <w:kern w:val="0"/>
                <w:sz w:val="24"/>
                <w:szCs w:val="24"/>
              </w:rPr>
              <w:t>协议，无缝兼容平台及协议的</w:t>
            </w:r>
            <w:r>
              <w:rPr>
                <w:rFonts w:ascii="宋体" w:hAnsi="宋体" w:cs="宋体"/>
                <w:color w:val="auto"/>
                <w:kern w:val="0"/>
                <w:sz w:val="24"/>
                <w:szCs w:val="24"/>
              </w:rPr>
              <w:t>NVR</w:t>
            </w:r>
            <w:r>
              <w:rPr>
                <w:rFonts w:hint="eastAsia" w:ascii="宋体" w:hAnsi="宋体" w:cs="宋体"/>
                <w:color w:val="auto"/>
                <w:kern w:val="0"/>
                <w:sz w:val="24"/>
                <w:szCs w:val="24"/>
              </w:rPr>
              <w:t>和</w:t>
            </w:r>
            <w:r>
              <w:rPr>
                <w:rFonts w:ascii="宋体" w:hAnsi="宋体" w:cs="宋体"/>
                <w:color w:val="auto"/>
                <w:kern w:val="0"/>
                <w:sz w:val="24"/>
                <w:szCs w:val="24"/>
              </w:rPr>
              <w:t>IPCu</w:t>
            </w:r>
            <w:r>
              <w:rPr>
                <w:rFonts w:hint="eastAsia" w:ascii="宋体" w:hAnsi="宋体" w:cs="宋体"/>
                <w:color w:val="auto"/>
                <w:kern w:val="0"/>
                <w:sz w:val="24"/>
                <w:szCs w:val="24"/>
              </w:rPr>
              <w:t>支持</w:t>
            </w:r>
            <w:r>
              <w:rPr>
                <w:rFonts w:ascii="宋体" w:hAnsi="宋体" w:cs="宋体"/>
                <w:color w:val="auto"/>
                <w:kern w:val="0"/>
                <w:sz w:val="24"/>
                <w:szCs w:val="24"/>
              </w:rPr>
              <w:t>HDMI</w:t>
            </w:r>
            <w:r>
              <w:rPr>
                <w:rFonts w:hint="eastAsia" w:ascii="宋体" w:hAnsi="宋体" w:cs="宋体"/>
                <w:color w:val="auto"/>
                <w:kern w:val="0"/>
                <w:sz w:val="24"/>
                <w:szCs w:val="24"/>
              </w:rPr>
              <w:t>信号接入；</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7</w:t>
            </w:r>
            <w:r>
              <w:rPr>
                <w:rFonts w:hint="eastAsia" w:ascii="宋体" w:hAnsi="宋体" w:cs="宋体"/>
                <w:color w:val="auto"/>
                <w:sz w:val="24"/>
                <w:szCs w:val="24"/>
              </w:rPr>
              <w:t>、</w:t>
            </w:r>
            <w:r>
              <w:rPr>
                <w:rFonts w:ascii="宋体" w:hAnsi="宋体" w:cs="宋体"/>
                <w:color w:val="auto"/>
                <w:kern w:val="0"/>
                <w:sz w:val="24"/>
                <w:szCs w:val="24"/>
              </w:rPr>
              <w:t>u</w:t>
            </w:r>
            <w:r>
              <w:rPr>
                <w:rFonts w:hint="eastAsia" w:ascii="宋体" w:hAnsi="宋体" w:cs="宋体"/>
                <w:color w:val="auto"/>
                <w:kern w:val="0"/>
                <w:sz w:val="24"/>
                <w:szCs w:val="24"/>
              </w:rPr>
              <w:t>支持输入信号</w:t>
            </w:r>
            <w:r>
              <w:rPr>
                <w:rFonts w:ascii="宋体" w:hAnsi="宋体" w:cs="宋体"/>
                <w:color w:val="auto"/>
                <w:kern w:val="0"/>
                <w:sz w:val="24"/>
                <w:szCs w:val="24"/>
              </w:rPr>
              <w:t>H.265/H.264 Baseline/Main/High Profile Level5.1</w:t>
            </w:r>
            <w:r>
              <w:rPr>
                <w:rFonts w:hint="eastAsia" w:ascii="宋体" w:hAnsi="宋体" w:cs="宋体"/>
                <w:color w:val="auto"/>
                <w:kern w:val="0"/>
                <w:sz w:val="24"/>
                <w:szCs w:val="24"/>
              </w:rPr>
              <w:t>标准编码；</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8</w:t>
            </w:r>
            <w:r>
              <w:rPr>
                <w:rFonts w:hint="eastAsia" w:ascii="宋体" w:hAnsi="宋体" w:cs="宋体"/>
                <w:color w:val="auto"/>
                <w:sz w:val="24"/>
                <w:szCs w:val="24"/>
              </w:rPr>
              <w:t>、</w:t>
            </w:r>
            <w:r>
              <w:rPr>
                <w:rFonts w:ascii="宋体" w:hAnsi="宋体" w:cs="宋体"/>
                <w:color w:val="auto"/>
                <w:kern w:val="0"/>
                <w:sz w:val="24"/>
                <w:szCs w:val="24"/>
              </w:rPr>
              <w:t>u</w:t>
            </w:r>
            <w:r>
              <w:rPr>
                <w:rFonts w:hint="eastAsia" w:ascii="宋体" w:hAnsi="宋体" w:cs="宋体"/>
                <w:color w:val="auto"/>
                <w:kern w:val="0"/>
                <w:sz w:val="24"/>
                <w:szCs w:val="24"/>
              </w:rPr>
              <w:t>支持主次码流同时编码上墙支持</w:t>
            </w:r>
            <w:r>
              <w:rPr>
                <w:rFonts w:ascii="宋体" w:hAnsi="宋体" w:cs="宋体"/>
                <w:color w:val="auto"/>
                <w:kern w:val="0"/>
                <w:sz w:val="24"/>
                <w:szCs w:val="24"/>
              </w:rPr>
              <w:t>1080P</w:t>
            </w:r>
            <w:r>
              <w:rPr>
                <w:rFonts w:hint="eastAsia" w:ascii="宋体" w:hAnsi="宋体" w:cs="宋体"/>
                <w:color w:val="auto"/>
                <w:kern w:val="0"/>
                <w:sz w:val="24"/>
                <w:szCs w:val="24"/>
              </w:rPr>
              <w:t>、</w:t>
            </w:r>
            <w:r>
              <w:rPr>
                <w:rFonts w:ascii="宋体" w:hAnsi="宋体" w:cs="宋体"/>
                <w:color w:val="auto"/>
                <w:kern w:val="0"/>
                <w:sz w:val="24"/>
                <w:szCs w:val="24"/>
              </w:rPr>
              <w:t>1366X768</w:t>
            </w:r>
            <w:r>
              <w:rPr>
                <w:rFonts w:hint="eastAsia" w:ascii="宋体" w:hAnsi="宋体" w:cs="宋体"/>
                <w:color w:val="auto"/>
                <w:kern w:val="0"/>
                <w:sz w:val="24"/>
                <w:szCs w:val="24"/>
              </w:rPr>
              <w:t>、</w:t>
            </w:r>
            <w:r>
              <w:rPr>
                <w:rFonts w:ascii="宋体" w:hAnsi="宋体" w:cs="宋体"/>
                <w:color w:val="auto"/>
                <w:kern w:val="0"/>
                <w:sz w:val="24"/>
                <w:szCs w:val="24"/>
              </w:rPr>
              <w:t>720P</w:t>
            </w:r>
            <w:r>
              <w:rPr>
                <w:rFonts w:hint="eastAsia" w:ascii="宋体" w:hAnsi="宋体" w:cs="宋体"/>
                <w:color w:val="auto"/>
                <w:kern w:val="0"/>
                <w:sz w:val="24"/>
                <w:szCs w:val="24"/>
              </w:rPr>
              <w:t>等电脑输出信号；</w:t>
            </w:r>
          </w:p>
          <w:p>
            <w:pPr>
              <w:widowControl/>
              <w:jc w:val="left"/>
              <w:textAlignment w:val="center"/>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w:t>
            </w:r>
            <w:r>
              <w:rPr>
                <w:rFonts w:hint="eastAsia" w:ascii="宋体" w:hAnsi="宋体" w:cs="宋体"/>
                <w:color w:val="auto"/>
                <w:kern w:val="0"/>
                <w:sz w:val="24"/>
                <w:szCs w:val="24"/>
              </w:rPr>
              <w:t>支持编码自动重连和断电记忆保存功能支持输入编码分辨率自动适应调节</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15</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信号处理控制设备</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高清</w:t>
            </w:r>
            <w:r>
              <w:rPr>
                <w:rFonts w:ascii="宋体" w:hAnsi="宋体" w:cs="宋体"/>
                <w:color w:val="auto"/>
                <w:kern w:val="0"/>
                <w:sz w:val="24"/>
                <w:szCs w:val="24"/>
              </w:rPr>
              <w:t>HDMI</w:t>
            </w:r>
            <w:r>
              <w:rPr>
                <w:rFonts w:hint="eastAsia" w:ascii="宋体" w:hAnsi="宋体" w:cs="宋体"/>
                <w:color w:val="auto"/>
                <w:kern w:val="0"/>
                <w:sz w:val="24"/>
                <w:szCs w:val="24"/>
              </w:rPr>
              <w:t>解码矩阵，</w:t>
            </w:r>
            <w:r>
              <w:rPr>
                <w:rFonts w:ascii="宋体" w:hAnsi="宋体" w:cs="宋体"/>
                <w:color w:val="auto"/>
                <w:kern w:val="0"/>
                <w:sz w:val="24"/>
                <w:szCs w:val="24"/>
              </w:rPr>
              <w:t>6.5G</w:t>
            </w:r>
            <w:r>
              <w:rPr>
                <w:rFonts w:hint="eastAsia" w:ascii="宋体" w:hAnsi="宋体" w:cs="宋体"/>
                <w:color w:val="auto"/>
                <w:kern w:val="0"/>
                <w:sz w:val="24"/>
                <w:szCs w:val="24"/>
              </w:rPr>
              <w:t>带宽，</w:t>
            </w:r>
            <w:r>
              <w:rPr>
                <w:rFonts w:ascii="宋体" w:hAnsi="宋体" w:cs="宋体"/>
                <w:color w:val="auto"/>
                <w:kern w:val="0"/>
                <w:sz w:val="24"/>
                <w:szCs w:val="24"/>
              </w:rPr>
              <w:t>EDID</w:t>
            </w:r>
            <w:r>
              <w:rPr>
                <w:rFonts w:hint="eastAsia" w:ascii="宋体" w:hAnsi="宋体" w:cs="宋体"/>
                <w:color w:val="auto"/>
                <w:kern w:val="0"/>
                <w:sz w:val="24"/>
                <w:szCs w:val="24"/>
              </w:rPr>
              <w:t>处理，面板</w:t>
            </w:r>
            <w:r>
              <w:rPr>
                <w:rFonts w:ascii="宋体" w:hAnsi="宋体" w:cs="宋体"/>
                <w:color w:val="auto"/>
                <w:kern w:val="0"/>
                <w:sz w:val="24"/>
                <w:szCs w:val="24"/>
              </w:rPr>
              <w:t>/</w:t>
            </w:r>
            <w:r>
              <w:rPr>
                <w:rFonts w:hint="eastAsia" w:ascii="宋体" w:hAnsi="宋体" w:cs="宋体"/>
                <w:color w:val="auto"/>
                <w:kern w:val="0"/>
                <w:sz w:val="24"/>
                <w:szCs w:val="24"/>
              </w:rPr>
              <w:t>红外</w:t>
            </w:r>
            <w:r>
              <w:rPr>
                <w:rFonts w:ascii="宋体" w:hAnsi="宋体" w:cs="宋体"/>
                <w:color w:val="auto"/>
                <w:kern w:val="0"/>
                <w:sz w:val="24"/>
                <w:szCs w:val="24"/>
              </w:rPr>
              <w:t>/RS-232</w:t>
            </w:r>
            <w:r>
              <w:rPr>
                <w:rFonts w:hint="eastAsia" w:ascii="宋体" w:hAnsi="宋体" w:cs="宋体"/>
                <w:color w:val="auto"/>
                <w:kern w:val="0"/>
                <w:sz w:val="24"/>
                <w:szCs w:val="24"/>
              </w:rPr>
              <w:t>控制</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15</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拼接屏支架</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拼接屏支架</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15</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6</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3P</w:t>
            </w:r>
            <w:r>
              <w:rPr>
                <w:rFonts w:hint="eastAsia" w:ascii="宋体" w:hAnsi="宋体" w:cs="宋体"/>
                <w:color w:val="auto"/>
                <w:sz w:val="24"/>
                <w:szCs w:val="24"/>
              </w:rPr>
              <w:t>空调</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3</w:t>
            </w:r>
            <w:r>
              <w:rPr>
                <w:rFonts w:hint="eastAsia" w:ascii="宋体" w:hAnsi="宋体" w:cs="宋体"/>
                <w:color w:val="auto"/>
                <w:kern w:val="0"/>
                <w:sz w:val="24"/>
                <w:szCs w:val="24"/>
              </w:rPr>
              <w:t>匹</w:t>
            </w:r>
            <w:r>
              <w:rPr>
                <w:rFonts w:ascii="宋体" w:hAnsi="宋体" w:cs="宋体"/>
                <w:color w:val="auto"/>
                <w:kern w:val="0"/>
                <w:sz w:val="24"/>
                <w:szCs w:val="24"/>
              </w:rPr>
              <w:t xml:space="preserve">  </w:t>
            </w:r>
            <w:r>
              <w:rPr>
                <w:rFonts w:hint="eastAsia" w:ascii="宋体" w:hAnsi="宋体" w:cs="宋体"/>
                <w:color w:val="auto"/>
                <w:kern w:val="0"/>
                <w:sz w:val="24"/>
                <w:szCs w:val="24"/>
              </w:rPr>
              <w:t>新能效</w:t>
            </w:r>
            <w:r>
              <w:rPr>
                <w:rFonts w:ascii="宋体" w:hAnsi="宋体" w:cs="宋体"/>
                <w:color w:val="auto"/>
                <w:kern w:val="0"/>
                <w:sz w:val="24"/>
                <w:szCs w:val="24"/>
              </w:rPr>
              <w:t xml:space="preserve"> </w:t>
            </w:r>
            <w:r>
              <w:rPr>
                <w:rFonts w:hint="eastAsia" w:ascii="宋体" w:hAnsi="宋体" w:cs="宋体"/>
                <w:color w:val="auto"/>
                <w:kern w:val="0"/>
                <w:sz w:val="24"/>
                <w:szCs w:val="24"/>
              </w:rPr>
              <w:t>变频</w:t>
            </w:r>
            <w:r>
              <w:rPr>
                <w:rFonts w:ascii="宋体" w:hAnsi="宋体" w:cs="宋体"/>
                <w:color w:val="auto"/>
                <w:kern w:val="0"/>
                <w:sz w:val="24"/>
                <w:szCs w:val="24"/>
              </w:rPr>
              <w:t xml:space="preserve"> </w:t>
            </w:r>
            <w:r>
              <w:rPr>
                <w:rFonts w:hint="eastAsia" w:ascii="宋体" w:hAnsi="宋体" w:cs="宋体"/>
                <w:color w:val="auto"/>
                <w:kern w:val="0"/>
                <w:sz w:val="24"/>
                <w:szCs w:val="24"/>
              </w:rPr>
              <w:t>快速冷暖</w:t>
            </w:r>
            <w:r>
              <w:rPr>
                <w:rFonts w:ascii="宋体" w:hAnsi="宋体" w:cs="宋体"/>
                <w:color w:val="auto"/>
                <w:kern w:val="0"/>
                <w:sz w:val="24"/>
                <w:szCs w:val="24"/>
              </w:rPr>
              <w:t xml:space="preserve"> </w:t>
            </w:r>
            <w:r>
              <w:rPr>
                <w:rFonts w:hint="eastAsia" w:ascii="宋体" w:hAnsi="宋体" w:cs="宋体"/>
                <w:color w:val="auto"/>
                <w:kern w:val="0"/>
                <w:sz w:val="24"/>
                <w:szCs w:val="24"/>
              </w:rPr>
              <w:t>自清洁</w:t>
            </w:r>
            <w:r>
              <w:rPr>
                <w:rFonts w:ascii="宋体" w:hAnsi="宋体" w:cs="宋体"/>
                <w:color w:val="auto"/>
                <w:kern w:val="0"/>
                <w:sz w:val="24"/>
                <w:szCs w:val="24"/>
              </w:rPr>
              <w:t xml:space="preserve"> </w:t>
            </w:r>
            <w:r>
              <w:rPr>
                <w:rFonts w:hint="eastAsia" w:ascii="宋体" w:hAnsi="宋体" w:cs="宋体"/>
                <w:color w:val="auto"/>
                <w:kern w:val="0"/>
                <w:sz w:val="24"/>
                <w:szCs w:val="24"/>
              </w:rPr>
              <w:t>制冷功率不小于</w:t>
            </w:r>
            <w:r>
              <w:rPr>
                <w:rFonts w:ascii="宋体" w:hAnsi="宋体" w:cs="宋体"/>
                <w:color w:val="auto"/>
                <w:kern w:val="0"/>
                <w:sz w:val="24"/>
                <w:szCs w:val="24"/>
              </w:rPr>
              <w:t>2350W</w:t>
            </w:r>
            <w:r>
              <w:rPr>
                <w:rFonts w:hint="eastAsia" w:ascii="宋体" w:hAnsi="宋体" w:cs="宋体"/>
                <w:color w:val="auto"/>
                <w:kern w:val="0"/>
                <w:sz w:val="24"/>
                <w:szCs w:val="24"/>
              </w:rPr>
              <w:t>，制热功率不小于</w:t>
            </w:r>
            <w:r>
              <w:rPr>
                <w:rFonts w:ascii="宋体" w:hAnsi="宋体" w:cs="宋体"/>
                <w:color w:val="auto"/>
                <w:kern w:val="0"/>
                <w:sz w:val="24"/>
                <w:szCs w:val="24"/>
              </w:rPr>
              <w:t>3080w</w:t>
            </w:r>
            <w:r>
              <w:rPr>
                <w:rFonts w:hint="eastAsia" w:ascii="宋体" w:hAnsi="宋体" w:cs="宋体"/>
                <w:color w:val="auto"/>
                <w:kern w:val="0"/>
                <w:sz w:val="24"/>
                <w:szCs w:val="24"/>
              </w:rPr>
              <w:t>，制冷量不小于</w:t>
            </w:r>
            <w:r>
              <w:rPr>
                <w:rFonts w:ascii="宋体" w:hAnsi="宋体" w:cs="宋体"/>
                <w:color w:val="auto"/>
                <w:kern w:val="0"/>
                <w:sz w:val="24"/>
                <w:szCs w:val="24"/>
              </w:rPr>
              <w:t>7210W,</w:t>
            </w:r>
            <w:r>
              <w:rPr>
                <w:rFonts w:hint="eastAsia" w:ascii="宋体" w:hAnsi="宋体" w:cs="宋体"/>
                <w:color w:val="auto"/>
                <w:kern w:val="0"/>
                <w:sz w:val="24"/>
                <w:szCs w:val="24"/>
              </w:rPr>
              <w:t>制热量不小于</w:t>
            </w:r>
            <w:r>
              <w:rPr>
                <w:rFonts w:ascii="宋体" w:hAnsi="宋体" w:cs="宋体"/>
                <w:color w:val="auto"/>
                <w:kern w:val="0"/>
                <w:sz w:val="24"/>
                <w:szCs w:val="24"/>
              </w:rPr>
              <w:t>9110W</w:t>
            </w:r>
            <w:r>
              <w:rPr>
                <w:rFonts w:hint="eastAsia" w:ascii="宋体" w:hAnsi="宋体" w:cs="宋体"/>
                <w:color w:val="auto"/>
                <w:kern w:val="0"/>
                <w:sz w:val="24"/>
                <w:szCs w:val="24"/>
              </w:rPr>
              <w:t>，循环风量不小于</w:t>
            </w:r>
            <w:r>
              <w:rPr>
                <w:rFonts w:ascii="宋体" w:hAnsi="宋体" w:cs="宋体"/>
                <w:color w:val="auto"/>
                <w:kern w:val="0"/>
                <w:sz w:val="24"/>
                <w:szCs w:val="24"/>
              </w:rPr>
              <w:t>1210m3/h</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7</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硬盘</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3.5 HDD,8TB,7200RPM, 256MB, SATA 6Gb/s</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64</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8</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网络视频一体机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、需支持≥</w:t>
            </w:r>
            <w:r>
              <w:rPr>
                <w:rFonts w:ascii="宋体" w:hAnsi="宋体" w:cs="宋体"/>
                <w:color w:val="auto"/>
                <w:kern w:val="0"/>
                <w:sz w:val="24"/>
                <w:szCs w:val="24"/>
              </w:rPr>
              <w:t>64</w:t>
            </w:r>
            <w:r>
              <w:rPr>
                <w:rFonts w:hint="eastAsia" w:ascii="宋体" w:hAnsi="宋体" w:cs="宋体"/>
                <w:color w:val="auto"/>
                <w:kern w:val="0"/>
                <w:sz w:val="24"/>
                <w:szCs w:val="24"/>
              </w:rPr>
              <w:t>路</w:t>
            </w:r>
            <w:r>
              <w:rPr>
                <w:rFonts w:ascii="宋体" w:hAnsi="宋体" w:cs="宋体"/>
                <w:color w:val="auto"/>
                <w:kern w:val="0"/>
                <w:sz w:val="24"/>
                <w:szCs w:val="24"/>
              </w:rPr>
              <w:t>H.264</w:t>
            </w:r>
            <w:r>
              <w:rPr>
                <w:rFonts w:hint="eastAsia" w:ascii="宋体" w:hAnsi="宋体" w:cs="宋体"/>
                <w:color w:val="auto"/>
                <w:kern w:val="0"/>
                <w:sz w:val="24"/>
                <w:szCs w:val="24"/>
              </w:rPr>
              <w:t>、</w:t>
            </w:r>
            <w:r>
              <w:rPr>
                <w:rFonts w:ascii="宋体" w:hAnsi="宋体" w:cs="宋体"/>
                <w:color w:val="auto"/>
                <w:kern w:val="0"/>
                <w:sz w:val="24"/>
                <w:szCs w:val="24"/>
              </w:rPr>
              <w:t>H.265</w:t>
            </w:r>
            <w:r>
              <w:rPr>
                <w:rFonts w:hint="eastAsia" w:ascii="宋体" w:hAnsi="宋体" w:cs="宋体"/>
                <w:color w:val="auto"/>
                <w:kern w:val="0"/>
                <w:sz w:val="24"/>
                <w:szCs w:val="24"/>
              </w:rPr>
              <w:t>混合接入，输入带宽≥</w:t>
            </w:r>
            <w:r>
              <w:rPr>
                <w:rFonts w:ascii="宋体" w:hAnsi="宋体" w:cs="宋体"/>
                <w:color w:val="auto"/>
                <w:kern w:val="0"/>
                <w:sz w:val="24"/>
                <w:szCs w:val="24"/>
              </w:rPr>
              <w:t>320M</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、内置≥</w:t>
            </w:r>
            <w:r>
              <w:rPr>
                <w:rFonts w:ascii="宋体" w:hAnsi="宋体" w:cs="宋体"/>
                <w:color w:val="auto"/>
                <w:kern w:val="0"/>
                <w:sz w:val="24"/>
                <w:szCs w:val="24"/>
              </w:rPr>
              <w:t>16</w:t>
            </w:r>
            <w:r>
              <w:rPr>
                <w:rFonts w:hint="eastAsia" w:ascii="宋体" w:hAnsi="宋体" w:cs="宋体"/>
                <w:color w:val="auto"/>
                <w:kern w:val="0"/>
                <w:sz w:val="24"/>
                <w:szCs w:val="24"/>
              </w:rPr>
              <w:t>个硬盘槽位，可满配≥</w:t>
            </w:r>
            <w:r>
              <w:rPr>
                <w:rFonts w:ascii="宋体" w:hAnsi="宋体" w:cs="宋体"/>
                <w:color w:val="auto"/>
                <w:kern w:val="0"/>
                <w:sz w:val="24"/>
                <w:szCs w:val="24"/>
              </w:rPr>
              <w:t>10TB</w:t>
            </w:r>
            <w:r>
              <w:rPr>
                <w:rFonts w:hint="eastAsia" w:ascii="宋体" w:hAnsi="宋体" w:cs="宋体"/>
                <w:color w:val="auto"/>
                <w:kern w:val="0"/>
                <w:sz w:val="24"/>
                <w:szCs w:val="24"/>
              </w:rPr>
              <w:t>硬盘，支持</w:t>
            </w:r>
            <w:r>
              <w:rPr>
                <w:rFonts w:ascii="宋体" w:hAnsi="宋体" w:cs="宋体"/>
                <w:color w:val="auto"/>
                <w:kern w:val="0"/>
                <w:sz w:val="24"/>
                <w:szCs w:val="24"/>
              </w:rPr>
              <w:t>RAID0</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 xml:space="preserve">  5</w:t>
            </w:r>
            <w:r>
              <w:rPr>
                <w:rFonts w:hint="eastAsia" w:ascii="宋体" w:hAnsi="宋体" w:cs="宋体"/>
                <w:color w:val="auto"/>
                <w:kern w:val="0"/>
                <w:sz w:val="24"/>
                <w:szCs w:val="24"/>
              </w:rPr>
              <w:t>、</w:t>
            </w:r>
            <w:r>
              <w:rPr>
                <w:rFonts w:ascii="宋体" w:hAnsi="宋体" w:cs="宋体"/>
                <w:color w:val="auto"/>
                <w:kern w:val="0"/>
                <w:sz w:val="24"/>
                <w:szCs w:val="24"/>
              </w:rPr>
              <w:t>10</w:t>
            </w:r>
            <w:r>
              <w:rPr>
                <w:rFonts w:hint="eastAsia" w:ascii="宋体" w:hAnsi="宋体" w:cs="宋体"/>
                <w:color w:val="auto"/>
                <w:kern w:val="0"/>
                <w:sz w:val="24"/>
                <w:szCs w:val="24"/>
              </w:rPr>
              <w:t>，支持全局热备盘；</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16</w:t>
            </w:r>
            <w:r>
              <w:rPr>
                <w:rFonts w:hint="eastAsia" w:ascii="宋体" w:hAnsi="宋体" w:cs="宋体"/>
                <w:color w:val="auto"/>
                <w:kern w:val="0"/>
                <w:sz w:val="24"/>
                <w:szCs w:val="24"/>
              </w:rPr>
              <w:t>路</w:t>
            </w:r>
            <w:r>
              <w:rPr>
                <w:rFonts w:ascii="宋体" w:hAnsi="宋体" w:cs="宋体"/>
                <w:color w:val="auto"/>
                <w:kern w:val="0"/>
                <w:sz w:val="24"/>
                <w:szCs w:val="24"/>
              </w:rPr>
              <w:t>1080P</w:t>
            </w:r>
            <w:r>
              <w:rPr>
                <w:rFonts w:hint="eastAsia" w:ascii="宋体" w:hAnsi="宋体" w:cs="宋体"/>
                <w:color w:val="auto"/>
                <w:kern w:val="0"/>
                <w:sz w:val="24"/>
                <w:szCs w:val="24"/>
              </w:rPr>
              <w:t>解码，支持</w:t>
            </w:r>
            <w:r>
              <w:rPr>
                <w:rFonts w:ascii="宋体" w:hAnsi="宋体" w:cs="宋体"/>
                <w:color w:val="auto"/>
                <w:kern w:val="0"/>
                <w:sz w:val="24"/>
                <w:szCs w:val="24"/>
              </w:rPr>
              <w:t>1/8</w:t>
            </w:r>
            <w:r>
              <w:rPr>
                <w:rFonts w:hint="eastAsia" w:ascii="宋体" w:hAnsi="宋体" w:cs="宋体"/>
                <w:color w:val="auto"/>
                <w:kern w:val="0"/>
                <w:sz w:val="24"/>
                <w:szCs w:val="24"/>
              </w:rPr>
              <w:t>、</w:t>
            </w:r>
            <w:r>
              <w:rPr>
                <w:rFonts w:ascii="宋体" w:hAnsi="宋体" w:cs="宋体"/>
                <w:color w:val="auto"/>
                <w:kern w:val="0"/>
                <w:sz w:val="24"/>
                <w:szCs w:val="24"/>
              </w:rPr>
              <w:t>1/4</w:t>
            </w:r>
            <w:r>
              <w:rPr>
                <w:rFonts w:hint="eastAsia" w:ascii="宋体" w:hAnsi="宋体" w:cs="宋体"/>
                <w:color w:val="auto"/>
                <w:kern w:val="0"/>
                <w:sz w:val="24"/>
                <w:szCs w:val="24"/>
              </w:rPr>
              <w:t>、</w:t>
            </w:r>
            <w:r>
              <w:rPr>
                <w:rFonts w:ascii="宋体" w:hAnsi="宋体" w:cs="宋体"/>
                <w:color w:val="auto"/>
                <w:kern w:val="0"/>
                <w:sz w:val="24"/>
                <w:szCs w:val="24"/>
              </w:rPr>
              <w:t>1/2</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w:t>
            </w:r>
            <w:r>
              <w:rPr>
                <w:rFonts w:ascii="宋体" w:hAnsi="宋体" w:cs="宋体"/>
                <w:color w:val="auto"/>
                <w:kern w:val="0"/>
                <w:sz w:val="24"/>
                <w:szCs w:val="24"/>
              </w:rPr>
              <w:t>16</w:t>
            </w:r>
            <w:r>
              <w:rPr>
                <w:rFonts w:hint="eastAsia" w:ascii="宋体" w:hAnsi="宋体" w:cs="宋体"/>
                <w:color w:val="auto"/>
                <w:kern w:val="0"/>
                <w:sz w:val="24"/>
                <w:szCs w:val="24"/>
              </w:rPr>
              <w:t>、</w:t>
            </w:r>
            <w:r>
              <w:rPr>
                <w:rFonts w:ascii="宋体" w:hAnsi="宋体" w:cs="宋体"/>
                <w:color w:val="auto"/>
                <w:kern w:val="0"/>
                <w:sz w:val="24"/>
                <w:szCs w:val="24"/>
              </w:rPr>
              <w:t>32</w:t>
            </w:r>
            <w:r>
              <w:rPr>
                <w:rFonts w:hint="eastAsia" w:ascii="宋体" w:hAnsi="宋体" w:cs="宋体"/>
                <w:color w:val="auto"/>
                <w:kern w:val="0"/>
                <w:sz w:val="24"/>
                <w:szCs w:val="24"/>
              </w:rPr>
              <w:t>、</w:t>
            </w:r>
            <w:r>
              <w:rPr>
                <w:rFonts w:ascii="宋体" w:hAnsi="宋体" w:cs="宋体"/>
                <w:color w:val="auto"/>
                <w:kern w:val="0"/>
                <w:sz w:val="24"/>
                <w:szCs w:val="24"/>
              </w:rPr>
              <w:t>64</w:t>
            </w:r>
            <w:r>
              <w:rPr>
                <w:rFonts w:hint="eastAsia" w:ascii="宋体" w:hAnsi="宋体" w:cs="宋体"/>
                <w:color w:val="auto"/>
                <w:kern w:val="0"/>
                <w:sz w:val="24"/>
                <w:szCs w:val="24"/>
              </w:rPr>
              <w:t>、</w:t>
            </w:r>
            <w:r>
              <w:rPr>
                <w:rFonts w:ascii="宋体" w:hAnsi="宋体" w:cs="宋体"/>
                <w:color w:val="auto"/>
                <w:kern w:val="0"/>
                <w:sz w:val="24"/>
                <w:szCs w:val="24"/>
              </w:rPr>
              <w:t>128</w:t>
            </w:r>
            <w:r>
              <w:rPr>
                <w:rFonts w:hint="eastAsia" w:ascii="宋体" w:hAnsi="宋体" w:cs="宋体"/>
                <w:color w:val="auto"/>
                <w:kern w:val="0"/>
                <w:sz w:val="24"/>
                <w:szCs w:val="24"/>
              </w:rPr>
              <w:t>、</w:t>
            </w:r>
            <w:r>
              <w:rPr>
                <w:rFonts w:ascii="宋体" w:hAnsi="宋体" w:cs="宋体"/>
                <w:color w:val="auto"/>
                <w:kern w:val="0"/>
                <w:sz w:val="24"/>
                <w:szCs w:val="24"/>
              </w:rPr>
              <w:t>256</w:t>
            </w:r>
            <w:r>
              <w:rPr>
                <w:rFonts w:hint="eastAsia" w:ascii="宋体" w:hAnsi="宋体" w:cs="宋体"/>
                <w:color w:val="auto"/>
                <w:kern w:val="0"/>
                <w:sz w:val="24"/>
                <w:szCs w:val="24"/>
              </w:rPr>
              <w:t>等倍速回放录像，支持录像回放的剪辑和回放截图功能；</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、支持接入云台，并可以通过本地图形用户界面或者客户端软件实现云台的</w:t>
            </w:r>
            <w:r>
              <w:rPr>
                <w:rFonts w:ascii="宋体" w:hAnsi="宋体" w:cs="宋体"/>
                <w:color w:val="auto"/>
                <w:kern w:val="0"/>
                <w:sz w:val="24"/>
                <w:szCs w:val="24"/>
              </w:rPr>
              <w:t>8</w:t>
            </w:r>
            <w:r>
              <w:rPr>
                <w:rFonts w:hint="eastAsia" w:ascii="宋体" w:hAnsi="宋体" w:cs="宋体"/>
                <w:color w:val="auto"/>
                <w:kern w:val="0"/>
                <w:sz w:val="24"/>
                <w:szCs w:val="24"/>
              </w:rPr>
              <w:t>个方向的转动、变倍、聚焦、巡航功能、预置点的设置与调用等功能；</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、支持秒级检索查看硬盘中录像文件，秒级检索录像文件中的人员、车辆、人体等活动目标，并以弹窗形式来展示活动目标关联的录像片段；</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、支持组合报警模式，可设置将</w:t>
            </w:r>
            <w:r>
              <w:rPr>
                <w:rFonts w:ascii="宋体" w:hAnsi="宋体" w:cs="宋体"/>
                <w:color w:val="auto"/>
                <w:kern w:val="0"/>
                <w:sz w:val="24"/>
                <w:szCs w:val="24"/>
              </w:rPr>
              <w:t>NVR</w:t>
            </w:r>
            <w:r>
              <w:rPr>
                <w:rFonts w:hint="eastAsia" w:ascii="宋体" w:hAnsi="宋体" w:cs="宋体"/>
                <w:color w:val="auto"/>
                <w:kern w:val="0"/>
                <w:sz w:val="24"/>
                <w:szCs w:val="24"/>
              </w:rPr>
              <w:t>的报警输入口关联</w:t>
            </w:r>
            <w:r>
              <w:rPr>
                <w:rFonts w:ascii="宋体" w:hAnsi="宋体" w:cs="宋体"/>
                <w:color w:val="auto"/>
                <w:kern w:val="0"/>
                <w:sz w:val="24"/>
                <w:szCs w:val="24"/>
              </w:rPr>
              <w:t>IPC</w:t>
            </w:r>
            <w:r>
              <w:rPr>
                <w:rFonts w:hint="eastAsia" w:ascii="宋体" w:hAnsi="宋体" w:cs="宋体"/>
                <w:color w:val="auto"/>
                <w:kern w:val="0"/>
                <w:sz w:val="24"/>
                <w:szCs w:val="24"/>
              </w:rPr>
              <w:t>的报警事件，只有当两个报警事件同时触发才能产生报警，组合报警模式支持遮挡报警、移动侦测、人脸抓拍、人脸侦测、车辆检测、越界侦测、区域入侵侦测、进入</w:t>
            </w:r>
            <w:r>
              <w:rPr>
                <w:rFonts w:ascii="宋体" w:hAnsi="宋体" w:cs="宋体"/>
                <w:color w:val="auto"/>
                <w:kern w:val="0"/>
                <w:sz w:val="24"/>
                <w:szCs w:val="24"/>
              </w:rPr>
              <w:t>/</w:t>
            </w:r>
            <w:r>
              <w:rPr>
                <w:rFonts w:hint="eastAsia" w:ascii="宋体" w:hAnsi="宋体" w:cs="宋体"/>
                <w:color w:val="auto"/>
                <w:kern w:val="0"/>
                <w:sz w:val="24"/>
                <w:szCs w:val="24"/>
              </w:rPr>
              <w:t>离开区域侦测、人员聚集侦测、快速移动侦测、物品遗留侦测、物品拿取侦测、停车侦测、徘徊侦测、场景变更侦测、虚焦侦测、音频异常侦测报警事件；（公安部检验报告证明）</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、支持设备级联，</w:t>
            </w:r>
            <w:r>
              <w:rPr>
                <w:rFonts w:ascii="宋体" w:hAnsi="宋体" w:cs="宋体"/>
                <w:color w:val="auto"/>
                <w:kern w:val="0"/>
                <w:sz w:val="24"/>
                <w:szCs w:val="24"/>
              </w:rPr>
              <w:t>NVR</w:t>
            </w:r>
            <w:r>
              <w:rPr>
                <w:rFonts w:hint="eastAsia" w:ascii="宋体" w:hAnsi="宋体" w:cs="宋体"/>
                <w:color w:val="auto"/>
                <w:kern w:val="0"/>
                <w:sz w:val="24"/>
                <w:szCs w:val="24"/>
              </w:rPr>
              <w:t>接入</w:t>
            </w:r>
            <w:r>
              <w:rPr>
                <w:rFonts w:ascii="宋体" w:hAnsi="宋体" w:cs="宋体"/>
                <w:color w:val="auto"/>
                <w:kern w:val="0"/>
                <w:sz w:val="24"/>
                <w:szCs w:val="24"/>
              </w:rPr>
              <w:t>NVR</w:t>
            </w:r>
            <w:r>
              <w:rPr>
                <w:rFonts w:hint="eastAsia" w:ascii="宋体" w:hAnsi="宋体" w:cs="宋体"/>
                <w:color w:val="auto"/>
                <w:kern w:val="0"/>
                <w:sz w:val="24"/>
                <w:szCs w:val="24"/>
              </w:rPr>
              <w:t>、</w:t>
            </w:r>
            <w:r>
              <w:rPr>
                <w:rFonts w:ascii="宋体" w:hAnsi="宋体" w:cs="宋体"/>
                <w:color w:val="auto"/>
                <w:kern w:val="0"/>
                <w:sz w:val="24"/>
                <w:szCs w:val="24"/>
              </w:rPr>
              <w:t>DVR</w:t>
            </w:r>
            <w:r>
              <w:rPr>
                <w:rFonts w:hint="eastAsia" w:ascii="宋体" w:hAnsi="宋体" w:cs="宋体"/>
                <w:color w:val="auto"/>
                <w:kern w:val="0"/>
                <w:sz w:val="24"/>
                <w:szCs w:val="24"/>
              </w:rPr>
              <w:t>设备，选择通道添加；（公安部检验报告证明）</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、支持本地预览权限的配置，设置权限后的通道只有登录后才会出现预览画面；需支持远程预览加密，只有输入密钥才能解开视频。需支持码流加密；</w:t>
            </w:r>
            <w:r>
              <w:rPr>
                <w:rFonts w:ascii="宋体" w:hAnsi="宋体" w:cs="宋体"/>
                <w:color w:val="auto"/>
                <w:kern w:val="0"/>
                <w:sz w:val="24"/>
                <w:szCs w:val="24"/>
              </w:rPr>
              <w:t>WEB</w:t>
            </w:r>
            <w:r>
              <w:rPr>
                <w:rFonts w:hint="eastAsia" w:ascii="宋体" w:hAnsi="宋体" w:cs="宋体"/>
                <w:color w:val="auto"/>
                <w:kern w:val="0"/>
                <w:sz w:val="24"/>
                <w:szCs w:val="24"/>
              </w:rPr>
              <w:t>界面远程登录设备，</w:t>
            </w:r>
            <w:r>
              <w:rPr>
                <w:rFonts w:ascii="宋体" w:hAnsi="宋体" w:cs="宋体"/>
                <w:color w:val="auto"/>
                <w:kern w:val="0"/>
                <w:sz w:val="24"/>
                <w:szCs w:val="24"/>
              </w:rPr>
              <w:t>30</w:t>
            </w:r>
            <w:r>
              <w:rPr>
                <w:rFonts w:hint="eastAsia" w:ascii="宋体" w:hAnsi="宋体" w:cs="宋体"/>
                <w:color w:val="auto"/>
                <w:kern w:val="0"/>
                <w:sz w:val="24"/>
                <w:szCs w:val="24"/>
              </w:rPr>
              <w:t>分钟无操作，设备需支持自动退出登录；需支持设置远程访问</w:t>
            </w:r>
            <w:r>
              <w:rPr>
                <w:rFonts w:ascii="宋体" w:hAnsi="宋体" w:cs="宋体"/>
                <w:color w:val="auto"/>
                <w:kern w:val="0"/>
                <w:sz w:val="24"/>
                <w:szCs w:val="24"/>
              </w:rPr>
              <w:t>IP</w:t>
            </w:r>
            <w:r>
              <w:rPr>
                <w:rFonts w:hint="eastAsia" w:ascii="宋体" w:hAnsi="宋体" w:cs="宋体"/>
                <w:color w:val="auto"/>
                <w:kern w:val="0"/>
                <w:sz w:val="24"/>
                <w:szCs w:val="24"/>
              </w:rPr>
              <w:t>地址和</w:t>
            </w:r>
            <w:r>
              <w:rPr>
                <w:rFonts w:ascii="宋体" w:hAnsi="宋体" w:cs="宋体"/>
                <w:color w:val="auto"/>
                <w:kern w:val="0"/>
                <w:sz w:val="24"/>
                <w:szCs w:val="24"/>
              </w:rPr>
              <w:t>MAC</w:t>
            </w:r>
            <w:r>
              <w:rPr>
                <w:rFonts w:hint="eastAsia" w:ascii="宋体" w:hAnsi="宋体" w:cs="宋体"/>
                <w:color w:val="auto"/>
                <w:kern w:val="0"/>
                <w:sz w:val="24"/>
                <w:szCs w:val="24"/>
              </w:rPr>
              <w:t>地址黑白名单；</w:t>
            </w:r>
            <w:r>
              <w:rPr>
                <w:rFonts w:ascii="宋体" w:hAnsi="宋体" w:cs="宋体"/>
                <w:color w:val="auto"/>
                <w:kern w:val="0"/>
                <w:sz w:val="24"/>
                <w:szCs w:val="24"/>
              </w:rPr>
              <w:t>WEB</w:t>
            </w:r>
            <w:r>
              <w:rPr>
                <w:rFonts w:hint="eastAsia" w:ascii="宋体" w:hAnsi="宋体" w:cs="宋体"/>
                <w:color w:val="auto"/>
                <w:kern w:val="0"/>
                <w:sz w:val="24"/>
                <w:szCs w:val="24"/>
              </w:rPr>
              <w:t>端需支持设置开启</w:t>
            </w:r>
            <w:r>
              <w:rPr>
                <w:rFonts w:ascii="宋体" w:hAnsi="宋体" w:cs="宋体"/>
                <w:color w:val="auto"/>
                <w:kern w:val="0"/>
                <w:sz w:val="24"/>
                <w:szCs w:val="24"/>
              </w:rPr>
              <w:t>HTTPS</w:t>
            </w:r>
            <w:r>
              <w:rPr>
                <w:rFonts w:hint="eastAsia" w:ascii="宋体" w:hAnsi="宋体" w:cs="宋体"/>
                <w:color w:val="auto"/>
                <w:kern w:val="0"/>
                <w:sz w:val="24"/>
                <w:szCs w:val="24"/>
              </w:rPr>
              <w:t>安全链接、</w:t>
            </w:r>
            <w:r>
              <w:rPr>
                <w:rFonts w:ascii="宋体" w:hAnsi="宋体" w:cs="宋体"/>
                <w:color w:val="auto"/>
                <w:kern w:val="0"/>
                <w:sz w:val="24"/>
                <w:szCs w:val="24"/>
              </w:rPr>
              <w:t>SSH</w:t>
            </w:r>
            <w:r>
              <w:rPr>
                <w:rFonts w:hint="eastAsia" w:ascii="宋体" w:hAnsi="宋体" w:cs="宋体"/>
                <w:color w:val="auto"/>
                <w:kern w:val="0"/>
                <w:sz w:val="24"/>
                <w:szCs w:val="24"/>
              </w:rPr>
              <w:t>；（公安部检验报告证明）</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9</w:t>
            </w:r>
            <w:r>
              <w:rPr>
                <w:rFonts w:hint="eastAsia" w:ascii="宋体" w:hAnsi="宋体" w:cs="宋体"/>
                <w:color w:val="auto"/>
                <w:kern w:val="0"/>
                <w:sz w:val="24"/>
                <w:szCs w:val="24"/>
              </w:rPr>
              <w:t>、支持报警事件、异常事件实时计数提醒，并以图标形式在视频网络界面上提醒用户。用户可以点击报警图标，查看报警详情列表，可在列表中快速查看报警关联的录像。当有新事件发生时计数自动累加，当用户查看后计数自动清零；（公安部检验报告证明）</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10</w:t>
            </w:r>
            <w:r>
              <w:rPr>
                <w:rFonts w:hint="eastAsia" w:ascii="宋体" w:hAnsi="宋体" w:cs="宋体"/>
                <w:color w:val="auto"/>
                <w:kern w:val="0"/>
                <w:sz w:val="24"/>
                <w:szCs w:val="24"/>
              </w:rPr>
              <w:t>、具有≥</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HDMI</w:t>
            </w:r>
            <w:r>
              <w:rPr>
                <w:rFonts w:hint="eastAsia" w:ascii="宋体" w:hAnsi="宋体" w:cs="宋体"/>
                <w:color w:val="auto"/>
                <w:kern w:val="0"/>
                <w:sz w:val="24"/>
                <w:szCs w:val="24"/>
              </w:rPr>
              <w:t>输出接口、≥</w:t>
            </w:r>
            <w:r>
              <w:rPr>
                <w:rFonts w:ascii="宋体" w:hAnsi="宋体" w:cs="宋体"/>
                <w:color w:val="auto"/>
                <w:kern w:val="0"/>
                <w:sz w:val="24"/>
                <w:szCs w:val="24"/>
              </w:rPr>
              <w:t>2</w:t>
            </w:r>
            <w:r>
              <w:rPr>
                <w:rFonts w:hint="eastAsia" w:ascii="宋体" w:hAnsi="宋体" w:cs="宋体"/>
                <w:color w:val="auto"/>
                <w:kern w:val="0"/>
                <w:sz w:val="24"/>
                <w:szCs w:val="24"/>
              </w:rPr>
              <w:t>个</w:t>
            </w:r>
            <w:r>
              <w:rPr>
                <w:rFonts w:ascii="宋体" w:hAnsi="宋体" w:cs="宋体"/>
                <w:color w:val="auto"/>
                <w:kern w:val="0"/>
                <w:sz w:val="24"/>
                <w:szCs w:val="24"/>
              </w:rPr>
              <w:t>VGA</w:t>
            </w:r>
            <w:r>
              <w:rPr>
                <w:rFonts w:hint="eastAsia" w:ascii="宋体" w:hAnsi="宋体" w:cs="宋体"/>
                <w:color w:val="auto"/>
                <w:kern w:val="0"/>
                <w:sz w:val="24"/>
                <w:szCs w:val="24"/>
              </w:rPr>
              <w:t>输出接口，支持多屏输出功能，可设置≥</w:t>
            </w:r>
            <w:r>
              <w:rPr>
                <w:rFonts w:ascii="宋体" w:hAnsi="宋体" w:cs="宋体"/>
                <w:color w:val="auto"/>
                <w:kern w:val="0"/>
                <w:sz w:val="24"/>
                <w:szCs w:val="24"/>
              </w:rPr>
              <w:t>4</w:t>
            </w:r>
            <w:r>
              <w:rPr>
                <w:rFonts w:hint="eastAsia" w:ascii="宋体" w:hAnsi="宋体" w:cs="宋体"/>
                <w:color w:val="auto"/>
                <w:kern w:val="0"/>
                <w:sz w:val="24"/>
                <w:szCs w:val="24"/>
              </w:rPr>
              <w:t>屏显示输出视频图像，其中</w:t>
            </w:r>
            <w:r>
              <w:rPr>
                <w:rFonts w:ascii="宋体" w:hAnsi="宋体" w:cs="宋体"/>
                <w:color w:val="auto"/>
                <w:kern w:val="0"/>
                <w:sz w:val="24"/>
                <w:szCs w:val="24"/>
              </w:rPr>
              <w:t>HDMI</w:t>
            </w:r>
            <w:r>
              <w:rPr>
                <w:rFonts w:hint="eastAsia" w:ascii="宋体" w:hAnsi="宋体" w:cs="宋体"/>
                <w:color w:val="auto"/>
                <w:kern w:val="0"/>
                <w:sz w:val="24"/>
                <w:szCs w:val="24"/>
              </w:rPr>
              <w:t>和</w:t>
            </w:r>
            <w:r>
              <w:rPr>
                <w:rFonts w:ascii="宋体" w:hAnsi="宋体" w:cs="宋体"/>
                <w:color w:val="auto"/>
                <w:kern w:val="0"/>
                <w:sz w:val="24"/>
                <w:szCs w:val="24"/>
              </w:rPr>
              <w:t>VGA</w:t>
            </w:r>
            <w:r>
              <w:rPr>
                <w:rFonts w:hint="eastAsia" w:ascii="宋体" w:hAnsi="宋体" w:cs="宋体"/>
                <w:color w:val="auto"/>
                <w:kern w:val="0"/>
                <w:sz w:val="24"/>
                <w:szCs w:val="24"/>
              </w:rPr>
              <w:t>接口可同源输出视频图像，不同</w:t>
            </w:r>
            <w:r>
              <w:rPr>
                <w:rFonts w:ascii="宋体" w:hAnsi="宋体" w:cs="宋体"/>
                <w:color w:val="auto"/>
                <w:kern w:val="0"/>
                <w:sz w:val="24"/>
                <w:szCs w:val="24"/>
              </w:rPr>
              <w:t>HDMI</w:t>
            </w:r>
            <w:r>
              <w:rPr>
                <w:rFonts w:hint="eastAsia" w:ascii="宋体" w:hAnsi="宋体" w:cs="宋体"/>
                <w:color w:val="auto"/>
                <w:kern w:val="0"/>
                <w:sz w:val="24"/>
                <w:szCs w:val="24"/>
              </w:rPr>
              <w:t>或</w:t>
            </w:r>
            <w:r>
              <w:rPr>
                <w:rFonts w:ascii="宋体" w:hAnsi="宋体" w:cs="宋体"/>
                <w:color w:val="auto"/>
                <w:kern w:val="0"/>
                <w:sz w:val="24"/>
                <w:szCs w:val="24"/>
              </w:rPr>
              <w:t>VGA</w:t>
            </w:r>
            <w:r>
              <w:rPr>
                <w:rFonts w:hint="eastAsia" w:ascii="宋体" w:hAnsi="宋体" w:cs="宋体"/>
                <w:color w:val="auto"/>
                <w:kern w:val="0"/>
                <w:sz w:val="24"/>
                <w:szCs w:val="24"/>
              </w:rPr>
              <w:t>接口之间可异源输出视频图像；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11</w:t>
            </w:r>
            <w:r>
              <w:rPr>
                <w:rFonts w:hint="eastAsia" w:ascii="宋体" w:hAnsi="宋体" w:cs="宋体"/>
                <w:color w:val="auto"/>
                <w:kern w:val="0"/>
                <w:sz w:val="24"/>
                <w:szCs w:val="24"/>
              </w:rPr>
              <w:t>、具有≥</w:t>
            </w:r>
            <w:r>
              <w:rPr>
                <w:rFonts w:ascii="宋体" w:hAnsi="宋体" w:cs="宋体"/>
                <w:color w:val="auto"/>
                <w:kern w:val="0"/>
                <w:sz w:val="24"/>
                <w:szCs w:val="24"/>
              </w:rPr>
              <w:t>2</w:t>
            </w:r>
            <w:r>
              <w:rPr>
                <w:rFonts w:hint="eastAsia" w:ascii="宋体" w:hAnsi="宋体" w:cs="宋体"/>
                <w:color w:val="auto"/>
                <w:kern w:val="0"/>
                <w:sz w:val="24"/>
                <w:szCs w:val="24"/>
              </w:rPr>
              <w:t>个千兆网口、≥</w:t>
            </w:r>
            <w:r>
              <w:rPr>
                <w:rFonts w:ascii="宋体" w:hAnsi="宋体" w:cs="宋体"/>
                <w:color w:val="auto"/>
                <w:kern w:val="0"/>
                <w:sz w:val="24"/>
                <w:szCs w:val="24"/>
              </w:rPr>
              <w:t>3</w:t>
            </w:r>
            <w:r>
              <w:rPr>
                <w:rFonts w:hint="eastAsia" w:ascii="宋体" w:hAnsi="宋体" w:cs="宋体"/>
                <w:color w:val="auto"/>
                <w:kern w:val="0"/>
                <w:sz w:val="24"/>
                <w:szCs w:val="24"/>
              </w:rPr>
              <w:t>个</w:t>
            </w:r>
            <w:r>
              <w:rPr>
                <w:rFonts w:ascii="宋体" w:hAnsi="宋体" w:cs="宋体"/>
                <w:color w:val="auto"/>
                <w:kern w:val="0"/>
                <w:sz w:val="24"/>
                <w:szCs w:val="24"/>
              </w:rPr>
              <w:t>USB</w:t>
            </w:r>
            <w:r>
              <w:rPr>
                <w:rFonts w:hint="eastAsia" w:ascii="宋体" w:hAnsi="宋体" w:cs="宋体"/>
                <w:color w:val="auto"/>
                <w:kern w:val="0"/>
                <w:sz w:val="24"/>
                <w:szCs w:val="24"/>
              </w:rPr>
              <w:t>接口（其中≥</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USB3.0</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eSATA</w:t>
            </w:r>
            <w:r>
              <w:rPr>
                <w:rFonts w:hint="eastAsia" w:ascii="宋体" w:hAnsi="宋体" w:cs="宋体"/>
                <w:color w:val="auto"/>
                <w:kern w:val="0"/>
                <w:sz w:val="24"/>
                <w:szCs w:val="24"/>
              </w:rPr>
              <w:t>接口、≥</w:t>
            </w:r>
            <w:r>
              <w:rPr>
                <w:rFonts w:ascii="宋体" w:hAnsi="宋体" w:cs="宋体"/>
                <w:color w:val="auto"/>
                <w:kern w:val="0"/>
                <w:sz w:val="24"/>
                <w:szCs w:val="24"/>
              </w:rPr>
              <w:t>16</w:t>
            </w:r>
            <w:r>
              <w:rPr>
                <w:rFonts w:hint="eastAsia" w:ascii="宋体" w:hAnsi="宋体" w:cs="宋体"/>
                <w:color w:val="auto"/>
                <w:kern w:val="0"/>
                <w:sz w:val="24"/>
                <w:szCs w:val="24"/>
              </w:rPr>
              <w:t>路报警输入、≥</w:t>
            </w:r>
            <w:r>
              <w:rPr>
                <w:rFonts w:ascii="宋体" w:hAnsi="宋体" w:cs="宋体"/>
                <w:color w:val="auto"/>
                <w:kern w:val="0"/>
                <w:sz w:val="24"/>
                <w:szCs w:val="24"/>
              </w:rPr>
              <w:t>4</w:t>
            </w:r>
            <w:r>
              <w:rPr>
                <w:rFonts w:hint="eastAsia" w:ascii="宋体" w:hAnsi="宋体" w:cs="宋体"/>
                <w:color w:val="auto"/>
                <w:kern w:val="0"/>
                <w:sz w:val="24"/>
                <w:szCs w:val="24"/>
              </w:rPr>
              <w:t>路报警输出；</w:t>
            </w:r>
            <w:r>
              <w:rPr>
                <w:rFonts w:ascii="宋体" w:hAnsi="宋体" w:cs="宋体"/>
                <w:color w:val="auto"/>
                <w:kern w:val="0"/>
                <w:sz w:val="24"/>
                <w:szCs w:val="24"/>
              </w:rPr>
              <w:t xml:space="preserve"> </w:t>
            </w:r>
          </w:p>
          <w:p>
            <w:pPr>
              <w:widowControl/>
              <w:jc w:val="left"/>
              <w:textAlignment w:val="center"/>
              <w:rPr>
                <w:rFonts w:ascii="宋体"/>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、支持标准机架式安装，安装高度≤</w:t>
            </w:r>
            <w:r>
              <w:rPr>
                <w:rFonts w:ascii="宋体" w:hAnsi="宋体" w:cs="宋体"/>
                <w:color w:val="auto"/>
                <w:kern w:val="0"/>
                <w:sz w:val="24"/>
                <w:szCs w:val="24"/>
              </w:rPr>
              <w:t>3U</w:t>
            </w:r>
            <w:r>
              <w:rPr>
                <w:rFonts w:hint="eastAsia" w:ascii="宋体" w:hAnsi="宋体" w:cs="宋体"/>
                <w:color w:val="auto"/>
                <w:kern w:val="0"/>
                <w:sz w:val="24"/>
                <w:szCs w:val="24"/>
              </w:rPr>
              <w:t>，工作温度范围不低于</w:t>
            </w:r>
            <w:r>
              <w:rPr>
                <w:rFonts w:ascii="宋体" w:hAnsi="宋体" w:cs="宋体"/>
                <w:color w:val="auto"/>
                <w:kern w:val="0"/>
                <w:sz w:val="24"/>
                <w:szCs w:val="24"/>
              </w:rPr>
              <w:t>-10</w:t>
            </w:r>
            <w:r>
              <w:rPr>
                <w:rFonts w:hint="eastAsia" w:ascii="宋体" w:hAnsi="宋体" w:cs="宋体"/>
                <w:color w:val="auto"/>
                <w:kern w:val="0"/>
                <w:sz w:val="24"/>
                <w:szCs w:val="24"/>
              </w:rPr>
              <w:t>℃</w:t>
            </w: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kern w:val="0"/>
                <w:sz w:val="24"/>
                <w:szCs w:val="24"/>
              </w:rPr>
              <w:t>55</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9</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网络摄像机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200</w:t>
            </w:r>
            <w:r>
              <w:rPr>
                <w:rFonts w:hint="eastAsia" w:ascii="宋体" w:hAnsi="宋体" w:cs="宋体"/>
                <w:color w:val="auto"/>
                <w:kern w:val="0"/>
                <w:sz w:val="24"/>
                <w:szCs w:val="24"/>
              </w:rPr>
              <w:t>万红外阵列筒型网络摄像机；</w:t>
            </w:r>
          </w:p>
          <w:p>
            <w:pPr>
              <w:widowControl/>
              <w:jc w:val="left"/>
              <w:textAlignment w:val="center"/>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最低照度</w:t>
            </w:r>
            <w:r>
              <w:rPr>
                <w:rFonts w:ascii="宋体" w:hAnsi="宋体" w:cs="宋体"/>
                <w:color w:val="auto"/>
                <w:kern w:val="0"/>
                <w:sz w:val="24"/>
                <w:szCs w:val="24"/>
              </w:rPr>
              <w:t xml:space="preserve">: </w:t>
            </w:r>
            <w:r>
              <w:rPr>
                <w:rFonts w:hint="eastAsia" w:ascii="宋体" w:hAnsi="宋体" w:cs="宋体"/>
                <w:color w:val="auto"/>
                <w:kern w:val="0"/>
                <w:sz w:val="24"/>
                <w:szCs w:val="24"/>
              </w:rPr>
              <w:t>彩色：</w:t>
            </w:r>
            <w:r>
              <w:rPr>
                <w:rFonts w:ascii="宋体" w:hAnsi="宋体" w:cs="宋体"/>
                <w:color w:val="auto"/>
                <w:kern w:val="0"/>
                <w:sz w:val="24"/>
                <w:szCs w:val="24"/>
              </w:rPr>
              <w:t>0.01 Lux @</w:t>
            </w:r>
            <w:r>
              <w:rPr>
                <w:rFonts w:hint="eastAsia" w:ascii="宋体" w:hAnsi="宋体" w:cs="宋体"/>
                <w:color w:val="auto"/>
                <w:kern w:val="0"/>
                <w:sz w:val="24"/>
                <w:szCs w:val="24"/>
              </w:rPr>
              <w:t>（</w:t>
            </w:r>
            <w:r>
              <w:rPr>
                <w:rFonts w:ascii="宋体" w:hAnsi="宋体" w:cs="宋体"/>
                <w:color w:val="auto"/>
                <w:kern w:val="0"/>
                <w:sz w:val="24"/>
                <w:szCs w:val="24"/>
              </w:rPr>
              <w:t>F1.2, AGC ON</w:t>
            </w:r>
            <w:r>
              <w:rPr>
                <w:rFonts w:hint="eastAsia" w:ascii="宋体" w:hAnsi="宋体" w:cs="宋体"/>
                <w:color w:val="auto"/>
                <w:kern w:val="0"/>
                <w:sz w:val="24"/>
                <w:szCs w:val="24"/>
              </w:rPr>
              <w:t>），</w:t>
            </w:r>
            <w:r>
              <w:rPr>
                <w:rFonts w:ascii="宋体" w:hAnsi="宋体" w:cs="宋体"/>
                <w:color w:val="auto"/>
                <w:kern w:val="0"/>
                <w:sz w:val="24"/>
                <w:szCs w:val="24"/>
              </w:rPr>
              <w:t>0 Lux with IR</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宽动态</w:t>
            </w:r>
            <w:r>
              <w:rPr>
                <w:rFonts w:ascii="宋体" w:hAnsi="宋体" w:cs="宋体"/>
                <w:color w:val="auto"/>
                <w:kern w:val="0"/>
                <w:sz w:val="24"/>
                <w:szCs w:val="24"/>
              </w:rPr>
              <w:t xml:space="preserve">: </w:t>
            </w:r>
            <w:r>
              <w:rPr>
                <w:rFonts w:hint="eastAsia" w:ascii="宋体" w:hAnsi="宋体" w:cs="宋体"/>
                <w:color w:val="auto"/>
                <w:kern w:val="0"/>
                <w:sz w:val="24"/>
                <w:szCs w:val="24"/>
              </w:rPr>
              <w:t>数字宽动态；</w:t>
            </w:r>
          </w:p>
          <w:p>
            <w:pPr>
              <w:widowControl/>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、焦距</w:t>
            </w:r>
            <w:r>
              <w:rPr>
                <w:rFonts w:ascii="宋体" w:hAnsi="宋体" w:cs="宋体"/>
                <w:color w:val="auto"/>
                <w:kern w:val="0"/>
                <w:sz w:val="24"/>
                <w:szCs w:val="24"/>
              </w:rPr>
              <w:t>&amp;</w:t>
            </w:r>
            <w:r>
              <w:rPr>
                <w:rFonts w:hint="eastAsia" w:ascii="宋体" w:hAnsi="宋体" w:cs="宋体"/>
                <w:color w:val="auto"/>
                <w:kern w:val="0"/>
                <w:sz w:val="24"/>
                <w:szCs w:val="24"/>
              </w:rPr>
              <w:t>视场角</w:t>
            </w:r>
            <w:r>
              <w:rPr>
                <w:rFonts w:ascii="宋体" w:hAnsi="宋体" w:cs="宋体"/>
                <w:color w:val="auto"/>
                <w:kern w:val="0"/>
                <w:sz w:val="24"/>
                <w:szCs w:val="24"/>
              </w:rPr>
              <w:t xml:space="preserve">: </w:t>
            </w:r>
          </w:p>
          <w:p>
            <w:pPr>
              <w:widowControl/>
              <w:jc w:val="left"/>
              <w:textAlignment w:val="center"/>
              <w:rPr>
                <w:rFonts w:ascii="宋体"/>
                <w:color w:val="auto"/>
                <w:kern w:val="0"/>
                <w:sz w:val="24"/>
                <w:szCs w:val="24"/>
              </w:rPr>
            </w:pPr>
            <w:r>
              <w:rPr>
                <w:rFonts w:ascii="宋体" w:hAnsi="宋体" w:cs="宋体"/>
                <w:color w:val="auto"/>
                <w:kern w:val="0"/>
                <w:sz w:val="24"/>
                <w:szCs w:val="24"/>
              </w:rPr>
              <w:t>4 mm</w:t>
            </w:r>
            <w:r>
              <w:rPr>
                <w:rFonts w:hint="eastAsia" w:ascii="宋体" w:hAnsi="宋体" w:cs="宋体"/>
                <w:color w:val="auto"/>
                <w:kern w:val="0"/>
                <w:sz w:val="24"/>
                <w:szCs w:val="24"/>
              </w:rPr>
              <w:t>，水平视场角：</w:t>
            </w:r>
            <w:r>
              <w:rPr>
                <w:rFonts w:ascii="宋体" w:hAnsi="宋体" w:cs="宋体"/>
                <w:color w:val="auto"/>
                <w:kern w:val="0"/>
                <w:sz w:val="24"/>
                <w:szCs w:val="24"/>
              </w:rPr>
              <w:t>89</w:t>
            </w:r>
            <w:r>
              <w:rPr>
                <w:rFonts w:hint="eastAsia" w:ascii="宋体" w:hAnsi="宋体" w:cs="宋体"/>
                <w:color w:val="auto"/>
                <w:kern w:val="0"/>
                <w:sz w:val="24"/>
                <w:szCs w:val="24"/>
              </w:rPr>
              <w:t>°，垂直视场角：</w:t>
            </w:r>
            <w:r>
              <w:rPr>
                <w:rFonts w:ascii="宋体" w:hAnsi="宋体" w:cs="宋体"/>
                <w:color w:val="auto"/>
                <w:kern w:val="0"/>
                <w:sz w:val="24"/>
                <w:szCs w:val="24"/>
              </w:rPr>
              <w:t>47</w:t>
            </w:r>
            <w:r>
              <w:rPr>
                <w:rFonts w:hint="eastAsia" w:ascii="宋体" w:hAnsi="宋体" w:cs="宋体"/>
                <w:color w:val="auto"/>
                <w:kern w:val="0"/>
                <w:sz w:val="24"/>
                <w:szCs w:val="24"/>
              </w:rPr>
              <w:t>°，对角线视场角：</w:t>
            </w:r>
            <w:r>
              <w:rPr>
                <w:rFonts w:ascii="宋体" w:hAnsi="宋体" w:cs="宋体"/>
                <w:color w:val="auto"/>
                <w:kern w:val="0"/>
                <w:sz w:val="24"/>
                <w:szCs w:val="24"/>
              </w:rPr>
              <w:t>107</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6 mm</w:t>
            </w:r>
            <w:r>
              <w:rPr>
                <w:rFonts w:hint="eastAsia" w:ascii="宋体" w:hAnsi="宋体" w:cs="宋体"/>
                <w:color w:val="auto"/>
                <w:kern w:val="0"/>
                <w:sz w:val="24"/>
                <w:szCs w:val="24"/>
              </w:rPr>
              <w:t>，水平视场角：</w:t>
            </w:r>
            <w:r>
              <w:rPr>
                <w:rFonts w:ascii="宋体" w:hAnsi="宋体" w:cs="宋体"/>
                <w:color w:val="auto"/>
                <w:kern w:val="0"/>
                <w:sz w:val="24"/>
                <w:szCs w:val="24"/>
              </w:rPr>
              <w:t>54</w:t>
            </w:r>
            <w:r>
              <w:rPr>
                <w:rFonts w:hint="eastAsia" w:ascii="宋体" w:hAnsi="宋体" w:cs="宋体"/>
                <w:color w:val="auto"/>
                <w:kern w:val="0"/>
                <w:sz w:val="24"/>
                <w:szCs w:val="24"/>
              </w:rPr>
              <w:t>°，垂直视场角：</w:t>
            </w:r>
            <w:r>
              <w:rPr>
                <w:rFonts w:ascii="宋体" w:hAnsi="宋体" w:cs="宋体"/>
                <w:color w:val="auto"/>
                <w:kern w:val="0"/>
                <w:sz w:val="24"/>
                <w:szCs w:val="24"/>
              </w:rPr>
              <w:t>31</w:t>
            </w:r>
            <w:r>
              <w:rPr>
                <w:rFonts w:hint="eastAsia" w:ascii="宋体" w:hAnsi="宋体" w:cs="宋体"/>
                <w:color w:val="auto"/>
                <w:kern w:val="0"/>
                <w:sz w:val="24"/>
                <w:szCs w:val="24"/>
              </w:rPr>
              <w:t>°，对角线视场角：</w:t>
            </w:r>
            <w:r>
              <w:rPr>
                <w:rFonts w:ascii="宋体" w:hAnsi="宋体" w:cs="宋体"/>
                <w:color w:val="auto"/>
                <w:kern w:val="0"/>
                <w:sz w:val="24"/>
                <w:szCs w:val="24"/>
              </w:rPr>
              <w:t>62</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8 mm</w:t>
            </w:r>
            <w:r>
              <w:rPr>
                <w:rFonts w:hint="eastAsia" w:ascii="宋体" w:hAnsi="宋体" w:cs="宋体"/>
                <w:color w:val="auto"/>
                <w:kern w:val="0"/>
                <w:sz w:val="24"/>
                <w:szCs w:val="24"/>
              </w:rPr>
              <w:t>，水平视场角：</w:t>
            </w:r>
            <w:r>
              <w:rPr>
                <w:rFonts w:ascii="宋体" w:hAnsi="宋体" w:cs="宋体"/>
                <w:color w:val="auto"/>
                <w:kern w:val="0"/>
                <w:sz w:val="24"/>
                <w:szCs w:val="24"/>
              </w:rPr>
              <w:t>42</w:t>
            </w:r>
            <w:r>
              <w:rPr>
                <w:rFonts w:hint="eastAsia" w:ascii="宋体" w:hAnsi="宋体" w:cs="宋体"/>
                <w:color w:val="auto"/>
                <w:kern w:val="0"/>
                <w:sz w:val="24"/>
                <w:szCs w:val="24"/>
              </w:rPr>
              <w:t>°，垂直视场角：</w:t>
            </w:r>
            <w:r>
              <w:rPr>
                <w:rFonts w:ascii="宋体" w:hAnsi="宋体" w:cs="宋体"/>
                <w:color w:val="auto"/>
                <w:kern w:val="0"/>
                <w:sz w:val="24"/>
                <w:szCs w:val="24"/>
              </w:rPr>
              <w:t>23</w:t>
            </w:r>
            <w:r>
              <w:rPr>
                <w:rFonts w:hint="eastAsia" w:ascii="宋体" w:hAnsi="宋体" w:cs="宋体"/>
                <w:color w:val="auto"/>
                <w:kern w:val="0"/>
                <w:sz w:val="24"/>
                <w:szCs w:val="24"/>
              </w:rPr>
              <w:t>°，对角线视场角：</w:t>
            </w:r>
            <w:r>
              <w:rPr>
                <w:rFonts w:ascii="宋体" w:hAnsi="宋体" w:cs="宋体"/>
                <w:color w:val="auto"/>
                <w:kern w:val="0"/>
                <w:sz w:val="24"/>
                <w:szCs w:val="24"/>
              </w:rPr>
              <w:t>49</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12 mm</w:t>
            </w:r>
            <w:r>
              <w:rPr>
                <w:rFonts w:hint="eastAsia" w:ascii="宋体" w:hAnsi="宋体" w:cs="宋体"/>
                <w:color w:val="auto"/>
                <w:kern w:val="0"/>
                <w:sz w:val="24"/>
                <w:szCs w:val="24"/>
              </w:rPr>
              <w:t>，水平视场角：</w:t>
            </w:r>
            <w:r>
              <w:rPr>
                <w:rFonts w:ascii="宋体" w:hAnsi="宋体" w:cs="宋体"/>
                <w:color w:val="auto"/>
                <w:kern w:val="0"/>
                <w:sz w:val="24"/>
                <w:szCs w:val="24"/>
              </w:rPr>
              <w:t>26</w:t>
            </w:r>
            <w:r>
              <w:rPr>
                <w:rFonts w:hint="eastAsia" w:ascii="宋体" w:hAnsi="宋体" w:cs="宋体"/>
                <w:color w:val="auto"/>
                <w:kern w:val="0"/>
                <w:sz w:val="24"/>
                <w:szCs w:val="24"/>
              </w:rPr>
              <w:t>°，垂直视场角：</w:t>
            </w:r>
            <w:r>
              <w:rPr>
                <w:rFonts w:ascii="宋体" w:hAnsi="宋体" w:cs="宋体"/>
                <w:color w:val="auto"/>
                <w:kern w:val="0"/>
                <w:sz w:val="24"/>
                <w:szCs w:val="24"/>
              </w:rPr>
              <w:t>15</w:t>
            </w:r>
            <w:r>
              <w:rPr>
                <w:rFonts w:hint="eastAsia" w:ascii="宋体" w:hAnsi="宋体" w:cs="宋体"/>
                <w:color w:val="auto"/>
                <w:kern w:val="0"/>
                <w:sz w:val="24"/>
                <w:szCs w:val="24"/>
              </w:rPr>
              <w:t>°，对角线视场角：</w:t>
            </w:r>
            <w:r>
              <w:rPr>
                <w:rFonts w:ascii="宋体" w:hAnsi="宋体" w:cs="宋体"/>
                <w:color w:val="auto"/>
                <w:kern w:val="0"/>
                <w:sz w:val="24"/>
                <w:szCs w:val="24"/>
              </w:rPr>
              <w:t>30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补光灯类型</w:t>
            </w:r>
            <w:r>
              <w:rPr>
                <w:rFonts w:ascii="宋体" w:hAnsi="宋体" w:cs="宋体"/>
                <w:color w:val="auto"/>
                <w:kern w:val="0"/>
                <w:sz w:val="24"/>
                <w:szCs w:val="24"/>
              </w:rPr>
              <w:t xml:space="preserve">: </w:t>
            </w:r>
            <w:r>
              <w:rPr>
                <w:rFonts w:hint="eastAsia" w:ascii="宋体" w:hAnsi="宋体" w:cs="宋体"/>
                <w:color w:val="auto"/>
                <w:kern w:val="0"/>
                <w:sz w:val="24"/>
                <w:szCs w:val="24"/>
              </w:rPr>
              <w:t>红外光，最远可达</w:t>
            </w:r>
            <w:r>
              <w:rPr>
                <w:rFonts w:ascii="宋体" w:hAnsi="宋体" w:cs="宋体"/>
                <w:color w:val="auto"/>
                <w:kern w:val="0"/>
                <w:sz w:val="24"/>
                <w:szCs w:val="24"/>
              </w:rPr>
              <w:t>30 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kern w:val="0"/>
                <w:sz w:val="24"/>
                <w:szCs w:val="24"/>
              </w:rPr>
              <w:t>波长范围</w:t>
            </w:r>
            <w:r>
              <w:rPr>
                <w:rFonts w:ascii="宋体" w:hAnsi="宋体" w:cs="宋体"/>
                <w:color w:val="auto"/>
                <w:kern w:val="0"/>
                <w:sz w:val="24"/>
                <w:szCs w:val="24"/>
              </w:rPr>
              <w:t>: 850 nm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kern w:val="0"/>
                <w:sz w:val="24"/>
                <w:szCs w:val="24"/>
              </w:rPr>
              <w:t>最大图像尺寸</w:t>
            </w:r>
            <w:r>
              <w:rPr>
                <w:rFonts w:ascii="宋体" w:hAnsi="宋体" w:cs="宋体"/>
                <w:color w:val="auto"/>
                <w:kern w:val="0"/>
                <w:sz w:val="24"/>
                <w:szCs w:val="24"/>
              </w:rPr>
              <w:t xml:space="preserve">: 1920 </w:t>
            </w:r>
            <w:r>
              <w:rPr>
                <w:rFonts w:hint="eastAsia" w:ascii="宋体" w:hAnsi="宋体" w:cs="宋体"/>
                <w:color w:val="auto"/>
                <w:kern w:val="0"/>
                <w:sz w:val="24"/>
                <w:szCs w:val="24"/>
              </w:rPr>
              <w:t>×</w:t>
            </w:r>
            <w:r>
              <w:rPr>
                <w:rFonts w:ascii="宋体" w:hAnsi="宋体" w:cs="宋体"/>
                <w:color w:val="auto"/>
                <w:kern w:val="0"/>
                <w:sz w:val="24"/>
                <w:szCs w:val="24"/>
              </w:rPr>
              <w:t xml:space="preserve"> 1080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8</w:t>
            </w:r>
            <w:r>
              <w:rPr>
                <w:rFonts w:hint="eastAsia" w:ascii="宋体" w:hAnsi="宋体" w:cs="宋体"/>
                <w:color w:val="auto"/>
                <w:sz w:val="24"/>
                <w:szCs w:val="24"/>
              </w:rPr>
              <w:t>、</w:t>
            </w:r>
            <w:r>
              <w:rPr>
                <w:rFonts w:hint="eastAsia" w:ascii="宋体" w:hAnsi="宋体" w:cs="宋体"/>
                <w:color w:val="auto"/>
                <w:kern w:val="0"/>
                <w:sz w:val="24"/>
                <w:szCs w:val="24"/>
              </w:rPr>
              <w:t>视频压缩标准</w:t>
            </w:r>
            <w:r>
              <w:rPr>
                <w:rFonts w:ascii="宋体" w:hAnsi="宋体" w:cs="宋体"/>
                <w:color w:val="auto"/>
                <w:kern w:val="0"/>
                <w:sz w:val="24"/>
                <w:szCs w:val="24"/>
              </w:rPr>
              <w:t xml:space="preserve">: </w:t>
            </w:r>
          </w:p>
          <w:p>
            <w:pPr>
              <w:widowControl/>
              <w:ind w:firstLine="240" w:firstLineChars="100"/>
              <w:jc w:val="left"/>
              <w:textAlignment w:val="center"/>
              <w:rPr>
                <w:rFonts w:ascii="宋体"/>
                <w:color w:val="auto"/>
                <w:kern w:val="0"/>
                <w:sz w:val="24"/>
                <w:szCs w:val="24"/>
              </w:rPr>
            </w:pPr>
            <w:r>
              <w:rPr>
                <w:rFonts w:hint="eastAsia" w:ascii="宋体" w:hAnsi="宋体" w:cs="宋体"/>
                <w:color w:val="auto"/>
                <w:kern w:val="0"/>
                <w:sz w:val="24"/>
                <w:szCs w:val="24"/>
              </w:rPr>
              <w:t>主码流：</w:t>
            </w:r>
            <w:r>
              <w:rPr>
                <w:rFonts w:ascii="宋体" w:hAnsi="宋体" w:cs="宋体"/>
                <w:color w:val="auto"/>
                <w:kern w:val="0"/>
                <w:sz w:val="24"/>
                <w:szCs w:val="24"/>
              </w:rPr>
              <w:t>H.265/H.264</w:t>
            </w:r>
          </w:p>
          <w:p>
            <w:pPr>
              <w:widowControl/>
              <w:ind w:firstLine="240" w:firstLineChars="100"/>
              <w:jc w:val="left"/>
              <w:textAlignment w:val="center"/>
              <w:rPr>
                <w:rFonts w:ascii="宋体"/>
                <w:color w:val="auto"/>
                <w:kern w:val="0"/>
                <w:sz w:val="24"/>
                <w:szCs w:val="24"/>
              </w:rPr>
            </w:pPr>
            <w:r>
              <w:rPr>
                <w:rFonts w:hint="eastAsia" w:ascii="宋体" w:hAnsi="宋体" w:cs="宋体"/>
                <w:color w:val="auto"/>
                <w:kern w:val="0"/>
                <w:sz w:val="24"/>
                <w:szCs w:val="24"/>
              </w:rPr>
              <w:t>子码流：</w:t>
            </w:r>
            <w:r>
              <w:rPr>
                <w:rFonts w:ascii="宋体" w:hAnsi="宋体" w:cs="宋体"/>
                <w:color w:val="auto"/>
                <w:kern w:val="0"/>
                <w:sz w:val="24"/>
                <w:szCs w:val="24"/>
              </w:rPr>
              <w:t>H.265/H.264/MJPEG</w:t>
            </w:r>
          </w:p>
          <w:p>
            <w:pPr>
              <w:widowControl/>
              <w:jc w:val="left"/>
              <w:textAlignment w:val="center"/>
              <w:rPr>
                <w:rFonts w:ascii="宋体"/>
                <w:color w:val="auto"/>
                <w:kern w:val="0"/>
                <w:sz w:val="24"/>
                <w:szCs w:val="24"/>
              </w:rPr>
            </w:pPr>
            <w:r>
              <w:rPr>
                <w:rFonts w:ascii="宋体" w:hAnsi="宋体" w:cs="宋体"/>
                <w:color w:val="auto"/>
                <w:kern w:val="0"/>
                <w:sz w:val="24"/>
                <w:szCs w:val="24"/>
              </w:rPr>
              <w:t>9</w:t>
            </w:r>
            <w:r>
              <w:rPr>
                <w:rFonts w:hint="eastAsia" w:ascii="宋体" w:hAnsi="宋体" w:cs="宋体"/>
                <w:color w:val="auto"/>
                <w:kern w:val="0"/>
                <w:sz w:val="24"/>
                <w:szCs w:val="24"/>
              </w:rPr>
              <w:t>、网络</w:t>
            </w:r>
            <w:r>
              <w:rPr>
                <w:rFonts w:ascii="宋体" w:hAnsi="宋体" w:cs="宋体"/>
                <w:color w:val="auto"/>
                <w:kern w:val="0"/>
                <w:sz w:val="24"/>
                <w:szCs w:val="24"/>
              </w:rPr>
              <w:t xml:space="preserve">: 1 </w:t>
            </w:r>
            <w:r>
              <w:rPr>
                <w:rFonts w:hint="eastAsia" w:ascii="宋体" w:hAnsi="宋体" w:cs="宋体"/>
                <w:color w:val="auto"/>
                <w:kern w:val="0"/>
                <w:sz w:val="24"/>
                <w:szCs w:val="24"/>
              </w:rPr>
              <w:t>个</w:t>
            </w:r>
            <w:r>
              <w:rPr>
                <w:rFonts w:ascii="宋体" w:hAnsi="宋体" w:cs="宋体"/>
                <w:color w:val="auto"/>
                <w:kern w:val="0"/>
                <w:sz w:val="24"/>
                <w:szCs w:val="24"/>
              </w:rPr>
              <w:t xml:space="preserve">RJ45 10 M/100 M </w:t>
            </w:r>
            <w:r>
              <w:rPr>
                <w:rFonts w:hint="eastAsia" w:ascii="宋体" w:hAnsi="宋体" w:cs="宋体"/>
                <w:color w:val="auto"/>
                <w:kern w:val="0"/>
                <w:sz w:val="24"/>
                <w:szCs w:val="24"/>
              </w:rPr>
              <w:t>自适应以太网口</w:t>
            </w:r>
          </w:p>
          <w:p>
            <w:pPr>
              <w:widowControl/>
              <w:ind w:firstLine="240" w:firstLineChars="100"/>
              <w:jc w:val="left"/>
              <w:textAlignment w:val="center"/>
              <w:rPr>
                <w:rFonts w:ascii="宋体"/>
                <w:color w:val="auto"/>
                <w:kern w:val="0"/>
                <w:sz w:val="24"/>
                <w:szCs w:val="24"/>
              </w:rPr>
            </w:pPr>
            <w:r>
              <w:rPr>
                <w:rFonts w:hint="eastAsia" w:ascii="宋体" w:hAnsi="宋体" w:cs="宋体"/>
                <w:color w:val="auto"/>
                <w:kern w:val="0"/>
                <w:sz w:val="24"/>
                <w:szCs w:val="24"/>
              </w:rPr>
              <w:t>存储温湿度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kern w:val="0"/>
                <w:sz w:val="24"/>
                <w:szCs w:val="24"/>
              </w:rPr>
              <w:t>10</w:t>
            </w:r>
            <w:r>
              <w:rPr>
                <w:rFonts w:hint="eastAsia" w:ascii="宋体" w:hAnsi="宋体" w:cs="宋体"/>
                <w:color w:val="auto"/>
                <w:kern w:val="0"/>
                <w:sz w:val="24"/>
                <w:szCs w:val="24"/>
              </w:rPr>
              <w:t>、启动及工作温湿度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sz w:val="24"/>
                <w:szCs w:val="24"/>
              </w:rPr>
              <w:t>11</w:t>
            </w:r>
            <w:r>
              <w:rPr>
                <w:rFonts w:hint="eastAsia" w:ascii="宋体" w:hAnsi="宋体" w:cs="宋体"/>
                <w:color w:val="auto"/>
                <w:sz w:val="24"/>
                <w:szCs w:val="24"/>
              </w:rPr>
              <w:t>、</w:t>
            </w:r>
            <w:r>
              <w:rPr>
                <w:rFonts w:hint="eastAsia" w:ascii="宋体" w:hAnsi="宋体" w:cs="宋体"/>
                <w:color w:val="auto"/>
                <w:kern w:val="0"/>
                <w:sz w:val="24"/>
                <w:szCs w:val="24"/>
              </w:rPr>
              <w:t>供电方式</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 xml:space="preserve">12 V </w:t>
            </w:r>
            <w:r>
              <w:rPr>
                <w:rFonts w:hint="eastAsia" w:ascii="宋体" w:hAnsi="宋体" w:cs="宋体"/>
                <w:color w:val="auto"/>
                <w:kern w:val="0"/>
                <w:sz w:val="24"/>
                <w:szCs w:val="24"/>
              </w:rPr>
              <w:t>±</w:t>
            </w:r>
            <w:r>
              <w:rPr>
                <w:rFonts w:ascii="宋体" w:hAnsi="宋体" w:cs="宋体"/>
                <w:color w:val="auto"/>
                <w:kern w:val="0"/>
                <w:sz w:val="24"/>
                <w:szCs w:val="24"/>
              </w:rPr>
              <w:t xml:space="preserve"> 25%</w:t>
            </w:r>
            <w:r>
              <w:rPr>
                <w:rFonts w:hint="eastAsia" w:ascii="宋体" w:hAnsi="宋体" w:cs="宋体"/>
                <w:color w:val="auto"/>
                <w:kern w:val="0"/>
                <w:sz w:val="24"/>
                <w:szCs w:val="24"/>
              </w:rPr>
              <w:t>，支持防反接保护；</w:t>
            </w:r>
            <w:r>
              <w:rPr>
                <w:rFonts w:ascii="宋体" w:hAnsi="宋体" w:cs="宋体"/>
                <w:color w:val="auto"/>
                <w:kern w:val="0"/>
                <w:sz w:val="24"/>
                <w:szCs w:val="24"/>
              </w:rPr>
              <w:t xml:space="preserve"> </w:t>
            </w:r>
          </w:p>
          <w:p>
            <w:pPr>
              <w:widowControl/>
              <w:jc w:val="left"/>
              <w:textAlignment w:val="center"/>
              <w:rPr>
                <w:rFonts w:ascii="宋体"/>
                <w:color w:val="auto"/>
                <w:kern w:val="0"/>
                <w:sz w:val="24"/>
                <w:szCs w:val="24"/>
              </w:rPr>
            </w:pPr>
            <w:r>
              <w:rPr>
                <w:rFonts w:ascii="宋体" w:hAnsi="宋体" w:cs="宋体"/>
                <w:color w:val="auto"/>
                <w:sz w:val="24"/>
                <w:szCs w:val="24"/>
              </w:rPr>
              <w:t>12</w:t>
            </w:r>
            <w:r>
              <w:rPr>
                <w:rFonts w:hint="eastAsia" w:ascii="宋体" w:hAnsi="宋体" w:cs="宋体"/>
                <w:color w:val="auto"/>
                <w:sz w:val="24"/>
                <w:szCs w:val="24"/>
              </w:rPr>
              <w:t>、</w:t>
            </w:r>
            <w:r>
              <w:rPr>
                <w:rFonts w:hint="eastAsia" w:ascii="宋体" w:hAnsi="宋体" w:cs="宋体"/>
                <w:color w:val="auto"/>
                <w:kern w:val="0"/>
                <w:sz w:val="24"/>
                <w:szCs w:val="24"/>
              </w:rPr>
              <w:t>电流及功耗</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12 V</w:t>
            </w:r>
            <w:r>
              <w:rPr>
                <w:rFonts w:hint="eastAsia" w:ascii="宋体" w:hAnsi="宋体" w:cs="宋体"/>
                <w:color w:val="auto"/>
                <w:kern w:val="0"/>
                <w:sz w:val="24"/>
                <w:szCs w:val="24"/>
              </w:rPr>
              <w:t>，</w:t>
            </w:r>
            <w:r>
              <w:rPr>
                <w:rFonts w:ascii="宋体" w:hAnsi="宋体" w:cs="宋体"/>
                <w:color w:val="auto"/>
                <w:kern w:val="0"/>
                <w:sz w:val="24"/>
                <w:szCs w:val="24"/>
              </w:rPr>
              <w:t>0.34 A</w:t>
            </w:r>
            <w:r>
              <w:rPr>
                <w:rFonts w:hint="eastAsia" w:ascii="宋体" w:hAnsi="宋体" w:cs="宋体"/>
                <w:color w:val="auto"/>
                <w:kern w:val="0"/>
                <w:sz w:val="24"/>
                <w:szCs w:val="24"/>
              </w:rPr>
              <w:t>，最大功耗：</w:t>
            </w:r>
            <w:r>
              <w:rPr>
                <w:rFonts w:ascii="宋体" w:hAnsi="宋体" w:cs="宋体"/>
                <w:color w:val="auto"/>
                <w:kern w:val="0"/>
                <w:sz w:val="24"/>
                <w:szCs w:val="24"/>
              </w:rPr>
              <w:t>4 W</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13</w:t>
            </w:r>
            <w:r>
              <w:rPr>
                <w:rFonts w:hint="eastAsia" w:ascii="宋体" w:hAnsi="宋体" w:cs="宋体"/>
                <w:color w:val="auto"/>
                <w:sz w:val="24"/>
                <w:szCs w:val="24"/>
              </w:rPr>
              <w:t>、</w:t>
            </w:r>
            <w:r>
              <w:rPr>
                <w:rFonts w:hint="eastAsia" w:ascii="宋体" w:hAnsi="宋体" w:cs="宋体"/>
                <w:color w:val="auto"/>
                <w:kern w:val="0"/>
                <w:sz w:val="24"/>
                <w:szCs w:val="24"/>
              </w:rPr>
              <w:t>电源接口类型</w:t>
            </w:r>
            <w:r>
              <w:rPr>
                <w:rFonts w:ascii="宋体" w:hAnsi="宋体" w:cs="宋体"/>
                <w:color w:val="auto"/>
                <w:kern w:val="0"/>
                <w:sz w:val="24"/>
                <w:szCs w:val="24"/>
              </w:rPr>
              <w:t>: ?5.5 mm</w:t>
            </w:r>
            <w:r>
              <w:rPr>
                <w:rFonts w:hint="eastAsia" w:ascii="宋体" w:hAnsi="宋体" w:cs="宋体"/>
                <w:color w:val="auto"/>
                <w:kern w:val="0"/>
                <w:sz w:val="24"/>
                <w:szCs w:val="24"/>
              </w:rPr>
              <w:t>圆口；</w:t>
            </w:r>
          </w:p>
          <w:p>
            <w:pPr>
              <w:widowControl/>
              <w:jc w:val="left"/>
              <w:textAlignment w:val="center"/>
              <w:rPr>
                <w:rFonts w:ascii="宋体"/>
                <w:color w:val="auto"/>
                <w:kern w:val="0"/>
                <w:sz w:val="24"/>
                <w:szCs w:val="24"/>
              </w:rPr>
            </w:pPr>
            <w:r>
              <w:rPr>
                <w:rFonts w:ascii="宋体" w:hAnsi="宋体" w:cs="宋体"/>
                <w:color w:val="auto"/>
                <w:sz w:val="24"/>
                <w:szCs w:val="24"/>
              </w:rPr>
              <w:t>14</w:t>
            </w:r>
            <w:r>
              <w:rPr>
                <w:rFonts w:hint="eastAsia" w:ascii="宋体" w:hAnsi="宋体" w:cs="宋体"/>
                <w:color w:val="auto"/>
                <w:sz w:val="24"/>
                <w:szCs w:val="24"/>
              </w:rPr>
              <w:t>、</w:t>
            </w:r>
            <w:r>
              <w:rPr>
                <w:rFonts w:hint="eastAsia" w:ascii="宋体" w:hAnsi="宋体" w:cs="宋体"/>
                <w:color w:val="auto"/>
                <w:kern w:val="0"/>
                <w:sz w:val="24"/>
                <w:szCs w:val="24"/>
              </w:rPr>
              <w:t>产品尺寸</w:t>
            </w:r>
            <w:r>
              <w:rPr>
                <w:rFonts w:ascii="宋体" w:hAnsi="宋体" w:cs="宋体"/>
                <w:color w:val="auto"/>
                <w:kern w:val="0"/>
                <w:sz w:val="24"/>
                <w:szCs w:val="24"/>
              </w:rPr>
              <w:t xml:space="preserve">: 147.5 </w:t>
            </w:r>
            <w:r>
              <w:rPr>
                <w:rFonts w:hint="eastAsia" w:ascii="宋体" w:hAnsi="宋体" w:cs="宋体"/>
                <w:color w:val="auto"/>
                <w:kern w:val="0"/>
                <w:sz w:val="24"/>
                <w:szCs w:val="24"/>
              </w:rPr>
              <w:t>×</w:t>
            </w:r>
            <w:r>
              <w:rPr>
                <w:rFonts w:ascii="宋体" w:hAnsi="宋体" w:cs="宋体"/>
                <w:color w:val="auto"/>
                <w:kern w:val="0"/>
                <w:sz w:val="24"/>
                <w:szCs w:val="24"/>
              </w:rPr>
              <w:t xml:space="preserve"> 92.9 </w:t>
            </w:r>
            <w:r>
              <w:rPr>
                <w:rFonts w:hint="eastAsia" w:ascii="宋体" w:hAnsi="宋体" w:cs="宋体"/>
                <w:color w:val="auto"/>
                <w:kern w:val="0"/>
                <w:sz w:val="24"/>
                <w:szCs w:val="24"/>
              </w:rPr>
              <w:t>×</w:t>
            </w:r>
            <w:r>
              <w:rPr>
                <w:rFonts w:ascii="宋体" w:hAnsi="宋体" w:cs="宋体"/>
                <w:color w:val="auto"/>
                <w:kern w:val="0"/>
                <w:sz w:val="24"/>
                <w:szCs w:val="24"/>
              </w:rPr>
              <w:t xml:space="preserve"> 78.2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15</w:t>
            </w:r>
            <w:r>
              <w:rPr>
                <w:rFonts w:hint="eastAsia" w:ascii="宋体" w:hAnsi="宋体" w:cs="宋体"/>
                <w:color w:val="auto"/>
                <w:sz w:val="24"/>
                <w:szCs w:val="24"/>
              </w:rPr>
              <w:t>、</w:t>
            </w:r>
            <w:r>
              <w:rPr>
                <w:rFonts w:hint="eastAsia" w:ascii="宋体" w:hAnsi="宋体" w:cs="宋体"/>
                <w:color w:val="auto"/>
                <w:kern w:val="0"/>
                <w:sz w:val="24"/>
                <w:szCs w:val="24"/>
              </w:rPr>
              <w:t>包装尺寸</w:t>
            </w:r>
            <w:r>
              <w:rPr>
                <w:rFonts w:ascii="宋体" w:hAnsi="宋体" w:cs="宋体"/>
                <w:color w:val="auto"/>
                <w:kern w:val="0"/>
                <w:sz w:val="24"/>
                <w:szCs w:val="24"/>
              </w:rPr>
              <w:t xml:space="preserve">: 190 </w:t>
            </w:r>
            <w:r>
              <w:rPr>
                <w:rFonts w:hint="eastAsia" w:ascii="宋体" w:hAnsi="宋体" w:cs="宋体"/>
                <w:color w:val="auto"/>
                <w:kern w:val="0"/>
                <w:sz w:val="24"/>
                <w:szCs w:val="24"/>
              </w:rPr>
              <w:t>×</w:t>
            </w:r>
            <w:r>
              <w:rPr>
                <w:rFonts w:ascii="宋体" w:hAnsi="宋体" w:cs="宋体"/>
                <w:color w:val="auto"/>
                <w:kern w:val="0"/>
                <w:sz w:val="24"/>
                <w:szCs w:val="24"/>
              </w:rPr>
              <w:t xml:space="preserve"> 110 </w:t>
            </w:r>
            <w:r>
              <w:rPr>
                <w:rFonts w:hint="eastAsia" w:ascii="宋体" w:hAnsi="宋体" w:cs="宋体"/>
                <w:color w:val="auto"/>
                <w:kern w:val="0"/>
                <w:sz w:val="24"/>
                <w:szCs w:val="24"/>
              </w:rPr>
              <w:t>×</w:t>
            </w:r>
            <w:r>
              <w:rPr>
                <w:rFonts w:ascii="宋体" w:hAnsi="宋体" w:cs="宋体"/>
                <w:color w:val="auto"/>
                <w:kern w:val="0"/>
                <w:sz w:val="24"/>
                <w:szCs w:val="24"/>
              </w:rPr>
              <w:t xml:space="preserve"> 95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16</w:t>
            </w:r>
            <w:r>
              <w:rPr>
                <w:rFonts w:hint="eastAsia" w:ascii="宋体" w:hAnsi="宋体" w:cs="宋体"/>
                <w:color w:val="auto"/>
                <w:sz w:val="24"/>
                <w:szCs w:val="24"/>
              </w:rPr>
              <w:t>、</w:t>
            </w:r>
            <w:r>
              <w:rPr>
                <w:rFonts w:hint="eastAsia" w:ascii="宋体" w:hAnsi="宋体" w:cs="宋体"/>
                <w:color w:val="auto"/>
                <w:kern w:val="0"/>
                <w:sz w:val="24"/>
                <w:szCs w:val="24"/>
              </w:rPr>
              <w:t>设备重量</w:t>
            </w:r>
            <w:r>
              <w:rPr>
                <w:rFonts w:ascii="宋体" w:hAnsi="宋体" w:cs="宋体"/>
                <w:color w:val="auto"/>
                <w:kern w:val="0"/>
                <w:sz w:val="24"/>
                <w:szCs w:val="24"/>
              </w:rPr>
              <w:t>: 370 g</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17</w:t>
            </w:r>
            <w:r>
              <w:rPr>
                <w:rFonts w:hint="eastAsia" w:ascii="宋体" w:hAnsi="宋体" w:cs="宋体"/>
                <w:color w:val="auto"/>
                <w:sz w:val="24"/>
                <w:szCs w:val="24"/>
              </w:rPr>
              <w:t>、</w:t>
            </w:r>
            <w:r>
              <w:rPr>
                <w:rFonts w:hint="eastAsia" w:ascii="宋体" w:hAnsi="宋体" w:cs="宋体"/>
                <w:color w:val="auto"/>
                <w:kern w:val="0"/>
                <w:sz w:val="24"/>
                <w:szCs w:val="24"/>
              </w:rPr>
              <w:t>带包装重量</w:t>
            </w:r>
            <w:r>
              <w:rPr>
                <w:rFonts w:ascii="宋体" w:hAnsi="宋体" w:cs="宋体"/>
                <w:color w:val="auto"/>
                <w:kern w:val="0"/>
                <w:sz w:val="24"/>
                <w:szCs w:val="24"/>
              </w:rPr>
              <w:t>: 530 g</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sz w:val="24"/>
                <w:szCs w:val="24"/>
              </w:rPr>
              <w:t>18</w:t>
            </w:r>
            <w:r>
              <w:rPr>
                <w:rFonts w:hint="eastAsia" w:ascii="宋体" w:hAnsi="宋体" w:cs="宋体"/>
                <w:color w:val="auto"/>
                <w:sz w:val="24"/>
                <w:szCs w:val="24"/>
              </w:rPr>
              <w:t>、</w:t>
            </w:r>
            <w:r>
              <w:rPr>
                <w:rFonts w:hint="eastAsia" w:ascii="宋体" w:hAnsi="宋体" w:cs="宋体"/>
                <w:color w:val="auto"/>
                <w:kern w:val="0"/>
                <w:sz w:val="24"/>
                <w:szCs w:val="24"/>
              </w:rPr>
              <w:t>防护</w:t>
            </w:r>
            <w:r>
              <w:rPr>
                <w:rFonts w:ascii="宋体" w:hAnsi="宋体" w:cs="宋体"/>
                <w:color w:val="auto"/>
                <w:kern w:val="0"/>
                <w:sz w:val="24"/>
                <w:szCs w:val="24"/>
              </w:rPr>
              <w:t>: IP67</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104</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网络摄像机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200</w:t>
            </w:r>
            <w:r>
              <w:rPr>
                <w:rFonts w:hint="eastAsia" w:ascii="宋体" w:hAnsi="宋体" w:cs="宋体"/>
                <w:color w:val="auto"/>
                <w:kern w:val="0"/>
                <w:sz w:val="24"/>
                <w:szCs w:val="24"/>
              </w:rPr>
              <w:t>万</w:t>
            </w:r>
            <w:r>
              <w:rPr>
                <w:rFonts w:ascii="宋体" w:hAnsi="宋体" w:cs="宋体"/>
                <w:color w:val="auto"/>
                <w:kern w:val="0"/>
                <w:sz w:val="24"/>
                <w:szCs w:val="24"/>
              </w:rPr>
              <w:t xml:space="preserve"> </w:t>
            </w:r>
            <w:r>
              <w:rPr>
                <w:rFonts w:hint="eastAsia" w:ascii="宋体" w:hAnsi="宋体" w:cs="宋体"/>
                <w:color w:val="auto"/>
                <w:kern w:val="0"/>
                <w:sz w:val="24"/>
                <w:szCs w:val="24"/>
              </w:rPr>
              <w:t>红外阵列半球型网络摄像机；</w:t>
            </w:r>
          </w:p>
          <w:p>
            <w:pPr>
              <w:widowControl/>
              <w:jc w:val="left"/>
              <w:textAlignment w:val="center"/>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最低照度</w:t>
            </w:r>
            <w:r>
              <w:rPr>
                <w:rFonts w:ascii="宋体" w:hAnsi="宋体" w:cs="宋体"/>
                <w:color w:val="auto"/>
                <w:kern w:val="0"/>
                <w:sz w:val="24"/>
                <w:szCs w:val="24"/>
              </w:rPr>
              <w:t xml:space="preserve">: </w:t>
            </w:r>
            <w:r>
              <w:rPr>
                <w:rFonts w:hint="eastAsia" w:ascii="宋体" w:hAnsi="宋体" w:cs="宋体"/>
                <w:color w:val="auto"/>
                <w:kern w:val="0"/>
                <w:sz w:val="24"/>
                <w:szCs w:val="24"/>
              </w:rPr>
              <w:t>彩色：</w:t>
            </w:r>
            <w:r>
              <w:rPr>
                <w:rFonts w:ascii="宋体" w:hAnsi="宋体" w:cs="宋体"/>
                <w:color w:val="auto"/>
                <w:kern w:val="0"/>
                <w:sz w:val="24"/>
                <w:szCs w:val="24"/>
              </w:rPr>
              <w:t>0.01 Lux @</w:t>
            </w:r>
            <w:r>
              <w:rPr>
                <w:rFonts w:hint="eastAsia" w:ascii="宋体" w:hAnsi="宋体" w:cs="宋体"/>
                <w:color w:val="auto"/>
                <w:kern w:val="0"/>
                <w:sz w:val="24"/>
                <w:szCs w:val="24"/>
              </w:rPr>
              <w:t>（</w:t>
            </w:r>
            <w:r>
              <w:rPr>
                <w:rFonts w:ascii="宋体" w:hAnsi="宋体" w:cs="宋体"/>
                <w:color w:val="auto"/>
                <w:kern w:val="0"/>
                <w:sz w:val="24"/>
                <w:szCs w:val="24"/>
              </w:rPr>
              <w:t>F1.2</w:t>
            </w:r>
            <w:r>
              <w:rPr>
                <w:rFonts w:hint="eastAsia" w:ascii="宋体" w:hAnsi="宋体" w:cs="宋体"/>
                <w:color w:val="auto"/>
                <w:kern w:val="0"/>
                <w:sz w:val="24"/>
                <w:szCs w:val="24"/>
              </w:rPr>
              <w:t>，</w:t>
            </w:r>
            <w:r>
              <w:rPr>
                <w:rFonts w:ascii="宋体" w:hAnsi="宋体" w:cs="宋体"/>
                <w:color w:val="auto"/>
                <w:kern w:val="0"/>
                <w:sz w:val="24"/>
                <w:szCs w:val="24"/>
              </w:rPr>
              <w:t>AGC ON</w:t>
            </w:r>
            <w:r>
              <w:rPr>
                <w:rFonts w:hint="eastAsia" w:ascii="宋体" w:hAnsi="宋体" w:cs="宋体"/>
                <w:color w:val="auto"/>
                <w:kern w:val="0"/>
                <w:sz w:val="24"/>
                <w:szCs w:val="24"/>
              </w:rPr>
              <w:t>），</w:t>
            </w:r>
            <w:r>
              <w:rPr>
                <w:rFonts w:ascii="宋体" w:hAnsi="宋体" w:cs="宋体"/>
                <w:color w:val="auto"/>
                <w:kern w:val="0"/>
                <w:sz w:val="24"/>
                <w:szCs w:val="24"/>
              </w:rPr>
              <w:t>0 Lux with IR</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宽动态</w:t>
            </w:r>
            <w:r>
              <w:rPr>
                <w:rFonts w:ascii="宋体" w:hAnsi="宋体" w:cs="宋体"/>
                <w:color w:val="auto"/>
                <w:kern w:val="0"/>
                <w:sz w:val="24"/>
                <w:szCs w:val="24"/>
              </w:rPr>
              <w:t xml:space="preserve">: </w:t>
            </w:r>
            <w:r>
              <w:rPr>
                <w:rFonts w:hint="eastAsia" w:ascii="宋体" w:hAnsi="宋体" w:cs="宋体"/>
                <w:color w:val="auto"/>
                <w:kern w:val="0"/>
                <w:sz w:val="24"/>
                <w:szCs w:val="24"/>
              </w:rPr>
              <w:t>数字宽动态；</w:t>
            </w:r>
          </w:p>
          <w:p>
            <w:pPr>
              <w:widowControl/>
              <w:jc w:val="left"/>
              <w:textAlignment w:val="center"/>
              <w:rPr>
                <w:rFonts w:ascii="宋体"/>
                <w:color w:val="auto"/>
                <w:kern w:val="0"/>
                <w:sz w:val="24"/>
                <w:szCs w:val="24"/>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调节角度</w:t>
            </w:r>
            <w:r>
              <w:rPr>
                <w:rFonts w:ascii="宋体" w:hAnsi="宋体" w:cs="宋体"/>
                <w:color w:val="auto"/>
                <w:kern w:val="0"/>
                <w:sz w:val="24"/>
                <w:szCs w:val="24"/>
              </w:rPr>
              <w:t xml:space="preserve">: </w:t>
            </w:r>
            <w:r>
              <w:rPr>
                <w:rFonts w:hint="eastAsia" w:ascii="宋体" w:hAnsi="宋体" w:cs="宋体"/>
                <w:color w:val="auto"/>
                <w:kern w:val="0"/>
                <w:sz w:val="24"/>
                <w:szCs w:val="24"/>
              </w:rPr>
              <w:t>水平：</w:t>
            </w: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~360</w:t>
            </w:r>
            <w:r>
              <w:rPr>
                <w:rFonts w:hint="eastAsia" w:ascii="宋体" w:hAnsi="宋体" w:cs="宋体"/>
                <w:color w:val="auto"/>
                <w:kern w:val="0"/>
                <w:sz w:val="24"/>
                <w:szCs w:val="24"/>
              </w:rPr>
              <w:t>°，垂直：</w:t>
            </w: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~75</w:t>
            </w:r>
            <w:r>
              <w:rPr>
                <w:rFonts w:hint="eastAsia" w:ascii="宋体" w:hAnsi="宋体" w:cs="宋体"/>
                <w:color w:val="auto"/>
                <w:kern w:val="0"/>
                <w:sz w:val="24"/>
                <w:szCs w:val="24"/>
              </w:rPr>
              <w:t>°，旋转：</w:t>
            </w: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~360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焦距</w:t>
            </w:r>
            <w:r>
              <w:rPr>
                <w:rFonts w:ascii="宋体" w:hAnsi="宋体" w:cs="宋体"/>
                <w:color w:val="auto"/>
                <w:kern w:val="0"/>
                <w:sz w:val="24"/>
                <w:szCs w:val="24"/>
              </w:rPr>
              <w:t>&amp;</w:t>
            </w:r>
            <w:r>
              <w:rPr>
                <w:rFonts w:hint="eastAsia" w:ascii="宋体" w:hAnsi="宋体" w:cs="宋体"/>
                <w:color w:val="auto"/>
                <w:kern w:val="0"/>
                <w:sz w:val="24"/>
                <w:szCs w:val="24"/>
              </w:rPr>
              <w:t>视场角</w:t>
            </w:r>
            <w:r>
              <w:rPr>
                <w:rFonts w:ascii="宋体" w:hAnsi="宋体" w:cs="宋体"/>
                <w:color w:val="auto"/>
                <w:kern w:val="0"/>
                <w:sz w:val="24"/>
                <w:szCs w:val="24"/>
              </w:rPr>
              <w:t xml:space="preserve">: </w:t>
            </w:r>
          </w:p>
          <w:p>
            <w:pPr>
              <w:widowControl/>
              <w:jc w:val="left"/>
              <w:textAlignment w:val="center"/>
              <w:rPr>
                <w:rFonts w:ascii="宋体"/>
                <w:color w:val="auto"/>
                <w:kern w:val="0"/>
                <w:sz w:val="24"/>
                <w:szCs w:val="24"/>
              </w:rPr>
            </w:pPr>
            <w:r>
              <w:rPr>
                <w:rFonts w:ascii="宋体" w:hAnsi="宋体" w:cs="宋体"/>
                <w:color w:val="auto"/>
                <w:kern w:val="0"/>
                <w:sz w:val="24"/>
                <w:szCs w:val="24"/>
              </w:rPr>
              <w:t>2.8 mm</w:t>
            </w:r>
            <w:r>
              <w:rPr>
                <w:rFonts w:hint="eastAsia" w:ascii="宋体" w:hAnsi="宋体" w:cs="宋体"/>
                <w:color w:val="auto"/>
                <w:kern w:val="0"/>
                <w:sz w:val="24"/>
                <w:szCs w:val="24"/>
              </w:rPr>
              <w:t>，水平视场角：</w:t>
            </w:r>
            <w:r>
              <w:rPr>
                <w:rFonts w:ascii="宋体" w:hAnsi="宋体" w:cs="宋体"/>
                <w:color w:val="auto"/>
                <w:kern w:val="0"/>
                <w:sz w:val="24"/>
                <w:szCs w:val="24"/>
              </w:rPr>
              <w:t>112</w:t>
            </w:r>
            <w:r>
              <w:rPr>
                <w:rFonts w:hint="eastAsia" w:ascii="宋体" w:hAnsi="宋体" w:cs="宋体"/>
                <w:color w:val="auto"/>
                <w:kern w:val="0"/>
                <w:sz w:val="24"/>
                <w:szCs w:val="24"/>
              </w:rPr>
              <w:t>°，垂直视场角：</w:t>
            </w:r>
            <w:r>
              <w:rPr>
                <w:rFonts w:ascii="宋体" w:hAnsi="宋体" w:cs="宋体"/>
                <w:color w:val="auto"/>
                <w:kern w:val="0"/>
                <w:sz w:val="24"/>
                <w:szCs w:val="24"/>
              </w:rPr>
              <w:t>60</w:t>
            </w:r>
            <w:r>
              <w:rPr>
                <w:rFonts w:hint="eastAsia" w:ascii="宋体" w:hAnsi="宋体" w:cs="宋体"/>
                <w:color w:val="auto"/>
                <w:kern w:val="0"/>
                <w:sz w:val="24"/>
                <w:szCs w:val="24"/>
              </w:rPr>
              <w:t>°，对角线视场角：</w:t>
            </w:r>
            <w:r>
              <w:rPr>
                <w:rFonts w:ascii="宋体" w:hAnsi="宋体" w:cs="宋体"/>
                <w:color w:val="auto"/>
                <w:kern w:val="0"/>
                <w:sz w:val="24"/>
                <w:szCs w:val="24"/>
              </w:rPr>
              <w:t>132</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4 mm</w:t>
            </w:r>
            <w:r>
              <w:rPr>
                <w:rFonts w:hint="eastAsia" w:ascii="宋体" w:hAnsi="宋体" w:cs="宋体"/>
                <w:color w:val="auto"/>
                <w:kern w:val="0"/>
                <w:sz w:val="24"/>
                <w:szCs w:val="24"/>
              </w:rPr>
              <w:t>，水平视场角：</w:t>
            </w:r>
            <w:r>
              <w:rPr>
                <w:rFonts w:ascii="宋体" w:hAnsi="宋体" w:cs="宋体"/>
                <w:color w:val="auto"/>
                <w:kern w:val="0"/>
                <w:sz w:val="24"/>
                <w:szCs w:val="24"/>
              </w:rPr>
              <w:t>89</w:t>
            </w:r>
            <w:r>
              <w:rPr>
                <w:rFonts w:hint="eastAsia" w:ascii="宋体" w:hAnsi="宋体" w:cs="宋体"/>
                <w:color w:val="auto"/>
                <w:kern w:val="0"/>
                <w:sz w:val="24"/>
                <w:szCs w:val="24"/>
              </w:rPr>
              <w:t>°，垂直视场角：</w:t>
            </w:r>
            <w:r>
              <w:rPr>
                <w:rFonts w:ascii="宋体" w:hAnsi="宋体" w:cs="宋体"/>
                <w:color w:val="auto"/>
                <w:kern w:val="0"/>
                <w:sz w:val="24"/>
                <w:szCs w:val="24"/>
              </w:rPr>
              <w:t>47</w:t>
            </w:r>
            <w:r>
              <w:rPr>
                <w:rFonts w:hint="eastAsia" w:ascii="宋体" w:hAnsi="宋体" w:cs="宋体"/>
                <w:color w:val="auto"/>
                <w:kern w:val="0"/>
                <w:sz w:val="24"/>
                <w:szCs w:val="24"/>
              </w:rPr>
              <w:t>°，对角线视场角：</w:t>
            </w:r>
            <w:r>
              <w:rPr>
                <w:rFonts w:ascii="宋体" w:hAnsi="宋体" w:cs="宋体"/>
                <w:color w:val="auto"/>
                <w:kern w:val="0"/>
                <w:sz w:val="24"/>
                <w:szCs w:val="24"/>
              </w:rPr>
              <w:t>107</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6 mm</w:t>
            </w:r>
            <w:r>
              <w:rPr>
                <w:rFonts w:hint="eastAsia" w:ascii="宋体" w:hAnsi="宋体" w:cs="宋体"/>
                <w:color w:val="auto"/>
                <w:kern w:val="0"/>
                <w:sz w:val="24"/>
                <w:szCs w:val="24"/>
              </w:rPr>
              <w:t>，水平视场角：</w:t>
            </w:r>
            <w:r>
              <w:rPr>
                <w:rFonts w:ascii="宋体" w:hAnsi="宋体" w:cs="宋体"/>
                <w:color w:val="auto"/>
                <w:kern w:val="0"/>
                <w:sz w:val="24"/>
                <w:szCs w:val="24"/>
              </w:rPr>
              <w:t>54</w:t>
            </w:r>
            <w:r>
              <w:rPr>
                <w:rFonts w:hint="eastAsia" w:ascii="宋体" w:hAnsi="宋体" w:cs="宋体"/>
                <w:color w:val="auto"/>
                <w:kern w:val="0"/>
                <w:sz w:val="24"/>
                <w:szCs w:val="24"/>
              </w:rPr>
              <w:t>°，垂直视场角：</w:t>
            </w:r>
            <w:r>
              <w:rPr>
                <w:rFonts w:ascii="宋体" w:hAnsi="宋体" w:cs="宋体"/>
                <w:color w:val="auto"/>
                <w:kern w:val="0"/>
                <w:sz w:val="24"/>
                <w:szCs w:val="24"/>
              </w:rPr>
              <w:t>31</w:t>
            </w:r>
            <w:r>
              <w:rPr>
                <w:rFonts w:hint="eastAsia" w:ascii="宋体" w:hAnsi="宋体" w:cs="宋体"/>
                <w:color w:val="auto"/>
                <w:kern w:val="0"/>
                <w:sz w:val="24"/>
                <w:szCs w:val="24"/>
              </w:rPr>
              <w:t>°，对角线视场角：</w:t>
            </w:r>
            <w:r>
              <w:rPr>
                <w:rFonts w:ascii="宋体" w:hAnsi="宋体" w:cs="宋体"/>
                <w:color w:val="auto"/>
                <w:kern w:val="0"/>
                <w:sz w:val="24"/>
                <w:szCs w:val="24"/>
              </w:rPr>
              <w:t>62</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8 mm</w:t>
            </w:r>
            <w:r>
              <w:rPr>
                <w:rFonts w:hint="eastAsia" w:ascii="宋体" w:hAnsi="宋体" w:cs="宋体"/>
                <w:color w:val="auto"/>
                <w:kern w:val="0"/>
                <w:sz w:val="24"/>
                <w:szCs w:val="24"/>
              </w:rPr>
              <w:t>，水平视场角：</w:t>
            </w:r>
            <w:r>
              <w:rPr>
                <w:rFonts w:ascii="宋体" w:hAnsi="宋体" w:cs="宋体"/>
                <w:color w:val="auto"/>
                <w:kern w:val="0"/>
                <w:sz w:val="24"/>
                <w:szCs w:val="24"/>
              </w:rPr>
              <w:t>42</w:t>
            </w:r>
            <w:r>
              <w:rPr>
                <w:rFonts w:hint="eastAsia" w:ascii="宋体" w:hAnsi="宋体" w:cs="宋体"/>
                <w:color w:val="auto"/>
                <w:kern w:val="0"/>
                <w:sz w:val="24"/>
                <w:szCs w:val="24"/>
              </w:rPr>
              <w:t>°，垂直视场角：</w:t>
            </w:r>
            <w:r>
              <w:rPr>
                <w:rFonts w:ascii="宋体" w:hAnsi="宋体" w:cs="宋体"/>
                <w:color w:val="auto"/>
                <w:kern w:val="0"/>
                <w:sz w:val="24"/>
                <w:szCs w:val="24"/>
              </w:rPr>
              <w:t>23</w:t>
            </w:r>
            <w:r>
              <w:rPr>
                <w:rFonts w:hint="eastAsia" w:ascii="宋体" w:hAnsi="宋体" w:cs="宋体"/>
                <w:color w:val="auto"/>
                <w:kern w:val="0"/>
                <w:sz w:val="24"/>
                <w:szCs w:val="24"/>
              </w:rPr>
              <w:t>°，对角线视场角：</w:t>
            </w:r>
            <w:r>
              <w:rPr>
                <w:rFonts w:ascii="宋体" w:hAnsi="宋体" w:cs="宋体"/>
                <w:color w:val="auto"/>
                <w:kern w:val="0"/>
                <w:sz w:val="24"/>
                <w:szCs w:val="24"/>
              </w:rPr>
              <w:t>49</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kern w:val="0"/>
                <w:sz w:val="24"/>
                <w:szCs w:val="24"/>
              </w:rPr>
              <w:t>补光灯类型</w:t>
            </w:r>
            <w:r>
              <w:rPr>
                <w:rFonts w:ascii="宋体" w:hAnsi="宋体" w:cs="宋体"/>
                <w:color w:val="auto"/>
                <w:kern w:val="0"/>
                <w:sz w:val="24"/>
                <w:szCs w:val="24"/>
              </w:rPr>
              <w:t xml:space="preserve">: </w:t>
            </w:r>
            <w:r>
              <w:rPr>
                <w:rFonts w:hint="eastAsia" w:ascii="宋体" w:hAnsi="宋体" w:cs="宋体"/>
                <w:color w:val="auto"/>
                <w:kern w:val="0"/>
                <w:sz w:val="24"/>
                <w:szCs w:val="24"/>
              </w:rPr>
              <w:t>红外光，最远可达</w:t>
            </w:r>
            <w:r>
              <w:rPr>
                <w:rFonts w:ascii="宋体" w:hAnsi="宋体" w:cs="宋体"/>
                <w:color w:val="auto"/>
                <w:kern w:val="0"/>
                <w:sz w:val="24"/>
                <w:szCs w:val="24"/>
              </w:rPr>
              <w:t>30 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kern w:val="0"/>
                <w:sz w:val="24"/>
                <w:szCs w:val="24"/>
              </w:rPr>
              <w:t>波长范围</w:t>
            </w:r>
            <w:r>
              <w:rPr>
                <w:rFonts w:ascii="宋体" w:hAnsi="宋体" w:cs="宋体"/>
                <w:color w:val="auto"/>
                <w:kern w:val="0"/>
                <w:sz w:val="24"/>
                <w:szCs w:val="24"/>
              </w:rPr>
              <w:t>: 850 nm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8</w:t>
            </w:r>
            <w:r>
              <w:rPr>
                <w:rFonts w:hint="eastAsia" w:ascii="宋体" w:hAnsi="宋体" w:cs="宋体"/>
                <w:color w:val="auto"/>
                <w:sz w:val="24"/>
                <w:szCs w:val="24"/>
              </w:rPr>
              <w:t>、</w:t>
            </w:r>
            <w:r>
              <w:rPr>
                <w:rFonts w:hint="eastAsia" w:ascii="宋体" w:hAnsi="宋体" w:cs="宋体"/>
                <w:color w:val="auto"/>
                <w:kern w:val="0"/>
                <w:sz w:val="24"/>
                <w:szCs w:val="24"/>
              </w:rPr>
              <w:t>最大图像尺寸</w:t>
            </w:r>
            <w:r>
              <w:rPr>
                <w:rFonts w:ascii="宋体" w:hAnsi="宋体" w:cs="宋体"/>
                <w:color w:val="auto"/>
                <w:kern w:val="0"/>
                <w:sz w:val="24"/>
                <w:szCs w:val="24"/>
              </w:rPr>
              <w:t xml:space="preserve">: 1920 </w:t>
            </w:r>
            <w:r>
              <w:rPr>
                <w:rFonts w:hint="eastAsia" w:ascii="宋体" w:hAnsi="宋体" w:cs="宋体"/>
                <w:color w:val="auto"/>
                <w:kern w:val="0"/>
                <w:sz w:val="24"/>
                <w:szCs w:val="24"/>
              </w:rPr>
              <w:t>×</w:t>
            </w:r>
            <w:r>
              <w:rPr>
                <w:rFonts w:ascii="宋体" w:hAnsi="宋体" w:cs="宋体"/>
                <w:color w:val="auto"/>
                <w:kern w:val="0"/>
                <w:sz w:val="24"/>
                <w:szCs w:val="24"/>
              </w:rPr>
              <w:t xml:space="preserve"> 1080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9</w:t>
            </w:r>
            <w:r>
              <w:rPr>
                <w:rFonts w:hint="eastAsia" w:ascii="宋体" w:hAnsi="宋体" w:cs="宋体"/>
                <w:color w:val="auto"/>
                <w:sz w:val="24"/>
                <w:szCs w:val="24"/>
              </w:rPr>
              <w:t>、</w:t>
            </w:r>
            <w:r>
              <w:rPr>
                <w:rFonts w:hint="eastAsia" w:ascii="宋体" w:hAnsi="宋体" w:cs="宋体"/>
                <w:color w:val="auto"/>
                <w:kern w:val="0"/>
                <w:sz w:val="24"/>
                <w:szCs w:val="24"/>
              </w:rPr>
              <w:t>视频压缩标准；</w:t>
            </w:r>
            <w:r>
              <w:rPr>
                <w:rFonts w:ascii="宋体" w:hAnsi="宋体" w:cs="宋体"/>
                <w:color w:val="auto"/>
                <w:kern w:val="0"/>
                <w:sz w:val="24"/>
                <w:szCs w:val="24"/>
              </w:rPr>
              <w:t xml:space="preserve"> </w:t>
            </w:r>
          </w:p>
          <w:p>
            <w:pPr>
              <w:widowControl/>
              <w:jc w:val="left"/>
              <w:textAlignment w:val="center"/>
              <w:rPr>
                <w:rFonts w:ascii="宋体"/>
                <w:color w:val="auto"/>
                <w:kern w:val="0"/>
                <w:sz w:val="24"/>
                <w:szCs w:val="24"/>
              </w:rPr>
            </w:pPr>
            <w:r>
              <w:rPr>
                <w:rFonts w:ascii="宋体" w:hAnsi="宋体" w:cs="宋体"/>
                <w:color w:val="auto"/>
                <w:sz w:val="24"/>
                <w:szCs w:val="24"/>
              </w:rPr>
              <w:t>10</w:t>
            </w:r>
            <w:r>
              <w:rPr>
                <w:rFonts w:hint="eastAsia" w:ascii="宋体" w:hAnsi="宋体" w:cs="宋体"/>
                <w:color w:val="auto"/>
                <w:sz w:val="24"/>
                <w:szCs w:val="24"/>
              </w:rPr>
              <w:t>、</w:t>
            </w:r>
            <w:r>
              <w:rPr>
                <w:rFonts w:hint="eastAsia" w:ascii="宋体" w:hAnsi="宋体" w:cs="宋体"/>
                <w:color w:val="auto"/>
                <w:kern w:val="0"/>
                <w:sz w:val="24"/>
                <w:szCs w:val="24"/>
              </w:rPr>
              <w:t>主码流：</w:t>
            </w:r>
            <w:r>
              <w:rPr>
                <w:rFonts w:ascii="宋体" w:hAnsi="宋体" w:cs="宋体"/>
                <w:color w:val="auto"/>
                <w:kern w:val="0"/>
                <w:sz w:val="24"/>
                <w:szCs w:val="24"/>
              </w:rPr>
              <w:t>H.265/H.264</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11</w:t>
            </w:r>
            <w:r>
              <w:rPr>
                <w:rFonts w:hint="eastAsia" w:ascii="宋体" w:hAnsi="宋体" w:cs="宋体"/>
                <w:color w:val="auto"/>
                <w:sz w:val="24"/>
                <w:szCs w:val="24"/>
              </w:rPr>
              <w:t>、</w:t>
            </w:r>
            <w:r>
              <w:rPr>
                <w:rFonts w:hint="eastAsia" w:ascii="宋体" w:hAnsi="宋体" w:cs="宋体"/>
                <w:color w:val="auto"/>
                <w:kern w:val="0"/>
                <w:sz w:val="24"/>
                <w:szCs w:val="24"/>
              </w:rPr>
              <w:t>子码流：</w:t>
            </w:r>
            <w:r>
              <w:rPr>
                <w:rFonts w:ascii="宋体" w:hAnsi="宋体" w:cs="宋体"/>
                <w:color w:val="auto"/>
                <w:kern w:val="0"/>
                <w:sz w:val="24"/>
                <w:szCs w:val="24"/>
              </w:rPr>
              <w:t>H.265/H.264/MJPEG</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12</w:t>
            </w:r>
            <w:r>
              <w:rPr>
                <w:rFonts w:hint="eastAsia" w:ascii="宋体" w:hAnsi="宋体" w:cs="宋体"/>
                <w:color w:val="auto"/>
                <w:sz w:val="24"/>
                <w:szCs w:val="24"/>
              </w:rPr>
              <w:t>、</w:t>
            </w:r>
            <w:r>
              <w:rPr>
                <w:rFonts w:hint="eastAsia" w:ascii="宋体" w:hAnsi="宋体" w:cs="宋体"/>
                <w:color w:val="auto"/>
                <w:kern w:val="0"/>
                <w:sz w:val="24"/>
                <w:szCs w:val="24"/>
              </w:rPr>
              <w:t>网络</w:t>
            </w:r>
            <w:r>
              <w:rPr>
                <w:rFonts w:ascii="宋体" w:hAnsi="宋体" w:cs="宋体"/>
                <w:color w:val="auto"/>
                <w:kern w:val="0"/>
                <w:sz w:val="24"/>
                <w:szCs w:val="24"/>
              </w:rPr>
              <w:t>: 1</w:t>
            </w:r>
            <w:r>
              <w:rPr>
                <w:rFonts w:hint="eastAsia" w:ascii="宋体" w:hAnsi="宋体" w:cs="宋体"/>
                <w:color w:val="auto"/>
                <w:kern w:val="0"/>
                <w:sz w:val="24"/>
                <w:szCs w:val="24"/>
              </w:rPr>
              <w:t>个</w:t>
            </w:r>
            <w:r>
              <w:rPr>
                <w:rFonts w:ascii="宋体" w:hAnsi="宋体" w:cs="宋体"/>
                <w:color w:val="auto"/>
                <w:kern w:val="0"/>
                <w:sz w:val="24"/>
                <w:szCs w:val="24"/>
              </w:rPr>
              <w:t>RJ45 10 M/100 M</w:t>
            </w:r>
            <w:r>
              <w:rPr>
                <w:rFonts w:hint="eastAsia" w:ascii="宋体" w:hAnsi="宋体" w:cs="宋体"/>
                <w:color w:val="auto"/>
                <w:kern w:val="0"/>
                <w:sz w:val="24"/>
                <w:szCs w:val="24"/>
              </w:rPr>
              <w:t>自适应以太网口</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存储温湿度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hint="eastAsia" w:ascii="宋体" w:hAnsi="宋体" w:cs="宋体"/>
                <w:color w:val="auto"/>
                <w:kern w:val="0"/>
                <w:sz w:val="24"/>
                <w:szCs w:val="24"/>
              </w:rPr>
              <w:t>启动及工作温湿度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sz w:val="24"/>
                <w:szCs w:val="24"/>
              </w:rPr>
              <w:t>13</w:t>
            </w:r>
            <w:r>
              <w:rPr>
                <w:rFonts w:hint="eastAsia" w:ascii="宋体" w:hAnsi="宋体" w:cs="宋体"/>
                <w:color w:val="auto"/>
                <w:sz w:val="24"/>
                <w:szCs w:val="24"/>
              </w:rPr>
              <w:t>、</w:t>
            </w:r>
            <w:r>
              <w:rPr>
                <w:rFonts w:hint="eastAsia" w:ascii="宋体" w:hAnsi="宋体" w:cs="宋体"/>
                <w:color w:val="auto"/>
                <w:kern w:val="0"/>
                <w:sz w:val="24"/>
                <w:szCs w:val="24"/>
              </w:rPr>
              <w:t>供电方式</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 xml:space="preserve">12 V </w:t>
            </w:r>
            <w:r>
              <w:rPr>
                <w:rFonts w:hint="eastAsia" w:ascii="宋体" w:hAnsi="宋体" w:cs="宋体"/>
                <w:color w:val="auto"/>
                <w:kern w:val="0"/>
                <w:sz w:val="24"/>
                <w:szCs w:val="24"/>
              </w:rPr>
              <w:t>±</w:t>
            </w:r>
            <w:r>
              <w:rPr>
                <w:rFonts w:ascii="宋体" w:hAnsi="宋体" w:cs="宋体"/>
                <w:color w:val="auto"/>
                <w:kern w:val="0"/>
                <w:sz w:val="24"/>
                <w:szCs w:val="24"/>
              </w:rPr>
              <w:t xml:space="preserve"> 25%</w:t>
            </w:r>
            <w:r>
              <w:rPr>
                <w:rFonts w:hint="eastAsia" w:ascii="宋体" w:hAnsi="宋体" w:cs="宋体"/>
                <w:color w:val="auto"/>
                <w:kern w:val="0"/>
                <w:sz w:val="24"/>
                <w:szCs w:val="24"/>
              </w:rPr>
              <w:t>，支持防反接保护；</w:t>
            </w:r>
          </w:p>
          <w:p>
            <w:pPr>
              <w:widowControl/>
              <w:jc w:val="left"/>
              <w:textAlignment w:val="center"/>
              <w:rPr>
                <w:rFonts w:ascii="宋体"/>
                <w:color w:val="auto"/>
                <w:kern w:val="0"/>
                <w:sz w:val="24"/>
                <w:szCs w:val="24"/>
              </w:rPr>
            </w:pPr>
            <w:r>
              <w:rPr>
                <w:rFonts w:ascii="宋体" w:hAnsi="宋体" w:cs="宋体"/>
                <w:color w:val="auto"/>
                <w:sz w:val="24"/>
                <w:szCs w:val="24"/>
              </w:rPr>
              <w:t>14</w:t>
            </w:r>
            <w:r>
              <w:rPr>
                <w:rFonts w:hint="eastAsia" w:ascii="宋体" w:hAnsi="宋体" w:cs="宋体"/>
                <w:color w:val="auto"/>
                <w:sz w:val="24"/>
                <w:szCs w:val="24"/>
              </w:rPr>
              <w:t>、</w:t>
            </w:r>
            <w:r>
              <w:rPr>
                <w:rFonts w:hint="eastAsia" w:ascii="宋体" w:hAnsi="宋体" w:cs="宋体"/>
                <w:color w:val="auto"/>
                <w:kern w:val="0"/>
                <w:sz w:val="24"/>
                <w:szCs w:val="24"/>
              </w:rPr>
              <w:t>电流及功耗</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12 V</w:t>
            </w:r>
            <w:r>
              <w:rPr>
                <w:rFonts w:hint="eastAsia" w:ascii="宋体" w:hAnsi="宋体" w:cs="宋体"/>
                <w:color w:val="auto"/>
                <w:kern w:val="0"/>
                <w:sz w:val="24"/>
                <w:szCs w:val="24"/>
              </w:rPr>
              <w:t>，</w:t>
            </w:r>
            <w:r>
              <w:rPr>
                <w:rFonts w:ascii="宋体" w:hAnsi="宋体" w:cs="宋体"/>
                <w:color w:val="auto"/>
                <w:kern w:val="0"/>
                <w:sz w:val="24"/>
                <w:szCs w:val="24"/>
              </w:rPr>
              <w:t>0.34 A</w:t>
            </w:r>
            <w:r>
              <w:rPr>
                <w:rFonts w:hint="eastAsia" w:ascii="宋体" w:hAnsi="宋体" w:cs="宋体"/>
                <w:color w:val="auto"/>
                <w:kern w:val="0"/>
                <w:sz w:val="24"/>
                <w:szCs w:val="24"/>
              </w:rPr>
              <w:t>，最大功耗</w:t>
            </w:r>
            <w:r>
              <w:rPr>
                <w:rFonts w:ascii="宋体" w:hAnsi="宋体" w:cs="宋体"/>
                <w:color w:val="auto"/>
                <w:kern w:val="0"/>
                <w:sz w:val="24"/>
                <w:szCs w:val="24"/>
              </w:rPr>
              <w:t>4 W</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15</w:t>
            </w:r>
            <w:r>
              <w:rPr>
                <w:rFonts w:hint="eastAsia" w:ascii="宋体" w:hAnsi="宋体" w:cs="宋体"/>
                <w:color w:val="auto"/>
                <w:sz w:val="24"/>
                <w:szCs w:val="24"/>
              </w:rPr>
              <w:t>、</w:t>
            </w:r>
            <w:r>
              <w:rPr>
                <w:rFonts w:hint="eastAsia" w:ascii="宋体" w:hAnsi="宋体" w:cs="宋体"/>
                <w:color w:val="auto"/>
                <w:kern w:val="0"/>
                <w:sz w:val="24"/>
                <w:szCs w:val="24"/>
              </w:rPr>
              <w:t>电源接口类型</w:t>
            </w:r>
            <w:r>
              <w:rPr>
                <w:rFonts w:ascii="宋体" w:hAnsi="宋体" w:cs="宋体"/>
                <w:color w:val="auto"/>
                <w:kern w:val="0"/>
                <w:sz w:val="24"/>
                <w:szCs w:val="24"/>
              </w:rPr>
              <w:t>: ?5.5 mm</w:t>
            </w:r>
            <w:r>
              <w:rPr>
                <w:rFonts w:hint="eastAsia" w:ascii="宋体" w:hAnsi="宋体" w:cs="宋体"/>
                <w:color w:val="auto"/>
                <w:kern w:val="0"/>
                <w:sz w:val="24"/>
                <w:szCs w:val="24"/>
              </w:rPr>
              <w:t>圆口；</w:t>
            </w:r>
          </w:p>
          <w:p>
            <w:pPr>
              <w:widowControl/>
              <w:jc w:val="left"/>
              <w:textAlignment w:val="center"/>
              <w:rPr>
                <w:rFonts w:ascii="宋体"/>
                <w:color w:val="auto"/>
                <w:kern w:val="0"/>
                <w:sz w:val="24"/>
                <w:szCs w:val="24"/>
              </w:rPr>
            </w:pPr>
            <w:r>
              <w:rPr>
                <w:rFonts w:ascii="宋体" w:hAnsi="宋体" w:cs="宋体"/>
                <w:color w:val="auto"/>
                <w:sz w:val="24"/>
                <w:szCs w:val="24"/>
              </w:rPr>
              <w:t>16</w:t>
            </w:r>
            <w:r>
              <w:rPr>
                <w:rFonts w:hint="eastAsia" w:ascii="宋体" w:hAnsi="宋体" w:cs="宋体"/>
                <w:color w:val="auto"/>
                <w:sz w:val="24"/>
                <w:szCs w:val="24"/>
              </w:rPr>
              <w:t>、</w:t>
            </w:r>
            <w:r>
              <w:rPr>
                <w:rFonts w:hint="eastAsia" w:ascii="宋体" w:hAnsi="宋体" w:cs="宋体"/>
                <w:color w:val="auto"/>
                <w:kern w:val="0"/>
                <w:sz w:val="24"/>
                <w:szCs w:val="24"/>
              </w:rPr>
              <w:t>产品尺寸</w:t>
            </w:r>
            <w:r>
              <w:rPr>
                <w:rFonts w:ascii="宋体" w:hAnsi="宋体" w:cs="宋体"/>
                <w:color w:val="auto"/>
                <w:kern w:val="0"/>
                <w:sz w:val="24"/>
                <w:szCs w:val="24"/>
              </w:rPr>
              <w:t xml:space="preserve">: ?110 </w:t>
            </w:r>
            <w:r>
              <w:rPr>
                <w:rFonts w:hint="eastAsia" w:ascii="宋体" w:hAnsi="宋体" w:cs="宋体"/>
                <w:color w:val="auto"/>
                <w:kern w:val="0"/>
                <w:sz w:val="24"/>
                <w:szCs w:val="24"/>
              </w:rPr>
              <w:t>×</w:t>
            </w:r>
            <w:r>
              <w:rPr>
                <w:rFonts w:ascii="宋体" w:hAnsi="宋体" w:cs="宋体"/>
                <w:color w:val="auto"/>
                <w:kern w:val="0"/>
                <w:sz w:val="24"/>
                <w:szCs w:val="24"/>
              </w:rPr>
              <w:t xml:space="preserve"> 94.7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17</w:t>
            </w:r>
            <w:r>
              <w:rPr>
                <w:rFonts w:hint="eastAsia" w:ascii="宋体" w:hAnsi="宋体" w:cs="宋体"/>
                <w:color w:val="auto"/>
                <w:sz w:val="24"/>
                <w:szCs w:val="24"/>
              </w:rPr>
              <w:t>、</w:t>
            </w:r>
            <w:r>
              <w:rPr>
                <w:rFonts w:hint="eastAsia" w:ascii="宋体" w:hAnsi="宋体" w:cs="宋体"/>
                <w:color w:val="auto"/>
                <w:kern w:val="0"/>
                <w:sz w:val="24"/>
                <w:szCs w:val="24"/>
              </w:rPr>
              <w:t>包装尺寸</w:t>
            </w:r>
            <w:r>
              <w:rPr>
                <w:rFonts w:ascii="宋体" w:hAnsi="宋体" w:cs="宋体"/>
                <w:color w:val="auto"/>
                <w:kern w:val="0"/>
                <w:sz w:val="24"/>
                <w:szCs w:val="24"/>
              </w:rPr>
              <w:t xml:space="preserve">: 150 </w:t>
            </w:r>
            <w:r>
              <w:rPr>
                <w:rFonts w:hint="eastAsia" w:ascii="宋体" w:hAnsi="宋体" w:cs="宋体"/>
                <w:color w:val="auto"/>
                <w:kern w:val="0"/>
                <w:sz w:val="24"/>
                <w:szCs w:val="24"/>
              </w:rPr>
              <w:t>×</w:t>
            </w:r>
            <w:r>
              <w:rPr>
                <w:rFonts w:ascii="宋体" w:hAnsi="宋体" w:cs="宋体"/>
                <w:color w:val="auto"/>
                <w:kern w:val="0"/>
                <w:sz w:val="24"/>
                <w:szCs w:val="24"/>
              </w:rPr>
              <w:t xml:space="preserve"> 150 </w:t>
            </w:r>
            <w:r>
              <w:rPr>
                <w:rFonts w:hint="eastAsia" w:ascii="宋体" w:hAnsi="宋体" w:cs="宋体"/>
                <w:color w:val="auto"/>
                <w:kern w:val="0"/>
                <w:sz w:val="24"/>
                <w:szCs w:val="24"/>
              </w:rPr>
              <w:t>×</w:t>
            </w:r>
            <w:r>
              <w:rPr>
                <w:rFonts w:ascii="宋体" w:hAnsi="宋体" w:cs="宋体"/>
                <w:color w:val="auto"/>
                <w:kern w:val="0"/>
                <w:sz w:val="24"/>
                <w:szCs w:val="24"/>
              </w:rPr>
              <w:t xml:space="preserve"> 141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18</w:t>
            </w:r>
            <w:r>
              <w:rPr>
                <w:rFonts w:hint="eastAsia" w:ascii="宋体" w:hAnsi="宋体" w:cs="宋体"/>
                <w:color w:val="auto"/>
                <w:sz w:val="24"/>
                <w:szCs w:val="24"/>
              </w:rPr>
              <w:t>、</w:t>
            </w:r>
            <w:r>
              <w:rPr>
                <w:rFonts w:hint="eastAsia" w:ascii="宋体" w:hAnsi="宋体" w:cs="宋体"/>
                <w:color w:val="auto"/>
                <w:kern w:val="0"/>
                <w:sz w:val="24"/>
                <w:szCs w:val="24"/>
              </w:rPr>
              <w:t>设备重量</w:t>
            </w:r>
            <w:r>
              <w:rPr>
                <w:rFonts w:ascii="宋体" w:hAnsi="宋体" w:cs="宋体"/>
                <w:color w:val="auto"/>
                <w:kern w:val="0"/>
                <w:sz w:val="24"/>
                <w:szCs w:val="24"/>
              </w:rPr>
              <w:t>: 310 g</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19</w:t>
            </w:r>
            <w:r>
              <w:rPr>
                <w:rFonts w:hint="eastAsia" w:ascii="宋体" w:hAnsi="宋体" w:cs="宋体"/>
                <w:color w:val="auto"/>
                <w:sz w:val="24"/>
                <w:szCs w:val="24"/>
              </w:rPr>
              <w:t>、</w:t>
            </w:r>
            <w:r>
              <w:rPr>
                <w:rFonts w:hint="eastAsia" w:ascii="宋体" w:hAnsi="宋体" w:cs="宋体"/>
                <w:color w:val="auto"/>
                <w:kern w:val="0"/>
                <w:sz w:val="24"/>
                <w:szCs w:val="24"/>
              </w:rPr>
              <w:t>带包装重量</w:t>
            </w:r>
            <w:r>
              <w:rPr>
                <w:rFonts w:ascii="宋体" w:hAnsi="宋体" w:cs="宋体"/>
                <w:color w:val="auto"/>
                <w:kern w:val="0"/>
                <w:sz w:val="24"/>
                <w:szCs w:val="24"/>
              </w:rPr>
              <w:t>: 476 g</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sz w:val="24"/>
                <w:szCs w:val="24"/>
              </w:rPr>
              <w:t>20</w:t>
            </w:r>
            <w:r>
              <w:rPr>
                <w:rFonts w:hint="eastAsia" w:ascii="宋体" w:hAnsi="宋体" w:cs="宋体"/>
                <w:color w:val="auto"/>
                <w:sz w:val="24"/>
                <w:szCs w:val="24"/>
              </w:rPr>
              <w:t>、</w:t>
            </w:r>
            <w:r>
              <w:rPr>
                <w:rFonts w:hint="eastAsia" w:ascii="宋体" w:hAnsi="宋体" w:cs="宋体"/>
                <w:color w:val="auto"/>
                <w:kern w:val="0"/>
                <w:sz w:val="24"/>
                <w:szCs w:val="24"/>
              </w:rPr>
              <w:t>防护</w:t>
            </w:r>
            <w:r>
              <w:rPr>
                <w:rFonts w:ascii="宋体" w:hAnsi="宋体" w:cs="宋体"/>
                <w:color w:val="auto"/>
                <w:kern w:val="0"/>
                <w:sz w:val="24"/>
                <w:szCs w:val="24"/>
              </w:rPr>
              <w:t>: IP67</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75</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11</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摄像机支架</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jc w:val="left"/>
              <w:textAlignment w:val="top"/>
              <w:rPr>
                <w:rFonts w:hint="eastAsia"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hint="eastAsia" w:hAnsi="宋体" w:cs="宋体"/>
                <w:color w:val="auto"/>
                <w:kern w:val="0"/>
                <w:sz w:val="24"/>
                <w:szCs w:val="24"/>
              </w:rPr>
              <w:t>壁装支架；</w:t>
            </w:r>
          </w:p>
          <w:p>
            <w:pPr>
              <w:widowControl/>
              <w:jc w:val="left"/>
              <w:textAlignment w:val="top"/>
              <w:rPr>
                <w:rFonts w:hint="eastAsia" w:hAnsi="宋体" w:eastAsia="宋体" w:cs="宋体"/>
                <w:color w:val="auto"/>
                <w:kern w:val="0"/>
                <w:sz w:val="24"/>
                <w:szCs w:val="24"/>
                <w:lang w:eastAsia="zh-CN"/>
              </w:rPr>
            </w:pPr>
            <w:r>
              <w:rPr>
                <w:color w:val="auto"/>
                <w:kern w:val="0"/>
                <w:sz w:val="24"/>
                <w:szCs w:val="24"/>
              </w:rPr>
              <w:t>2</w:t>
            </w:r>
            <w:r>
              <w:rPr>
                <w:rFonts w:hint="eastAsia" w:hAnsi="宋体" w:cs="宋体"/>
                <w:color w:val="auto"/>
                <w:sz w:val="24"/>
                <w:szCs w:val="24"/>
              </w:rPr>
              <w:t>、</w:t>
            </w:r>
            <w:r>
              <w:rPr>
                <w:rFonts w:hint="eastAsia" w:hAnsi="宋体" w:cs="宋体"/>
                <w:color w:val="auto"/>
                <w:kern w:val="0"/>
                <w:sz w:val="24"/>
                <w:szCs w:val="24"/>
              </w:rPr>
              <w:t>外观白；</w:t>
            </w:r>
          </w:p>
          <w:p>
            <w:pPr>
              <w:widowControl/>
              <w:jc w:val="left"/>
              <w:textAlignment w:val="top"/>
              <w:rPr>
                <w:rFonts w:hint="eastAsia" w:hAnsi="宋体" w:eastAsia="宋体" w:cs="宋体"/>
                <w:color w:val="auto"/>
                <w:kern w:val="0"/>
                <w:sz w:val="24"/>
                <w:szCs w:val="24"/>
                <w:lang w:eastAsia="zh-CN"/>
              </w:rPr>
            </w:pPr>
            <w:r>
              <w:rPr>
                <w:color w:val="auto"/>
                <w:sz w:val="24"/>
                <w:szCs w:val="24"/>
              </w:rPr>
              <w:t>3</w:t>
            </w:r>
            <w:r>
              <w:rPr>
                <w:rFonts w:hint="eastAsia" w:hAnsi="宋体" w:cs="宋体"/>
                <w:color w:val="auto"/>
                <w:sz w:val="24"/>
                <w:szCs w:val="24"/>
              </w:rPr>
              <w:t>、</w:t>
            </w:r>
            <w:r>
              <w:rPr>
                <w:rFonts w:hint="eastAsia" w:hAnsi="宋体" w:cs="宋体"/>
                <w:color w:val="auto"/>
                <w:kern w:val="0"/>
                <w:sz w:val="24"/>
                <w:szCs w:val="24"/>
              </w:rPr>
              <w:t>适用范围</w:t>
            </w:r>
            <w:r>
              <w:rPr>
                <w:color w:val="auto"/>
                <w:kern w:val="0"/>
                <w:sz w:val="24"/>
                <w:szCs w:val="24"/>
              </w:rPr>
              <w:t xml:space="preserve"> </w:t>
            </w:r>
            <w:r>
              <w:rPr>
                <w:rFonts w:hint="eastAsia" w:hAnsi="宋体" w:cs="宋体"/>
                <w:color w:val="auto"/>
                <w:kern w:val="0"/>
                <w:sz w:val="24"/>
                <w:szCs w:val="24"/>
              </w:rPr>
              <w:t>适合枪型、筒型、一体型摄像机壁装</w:t>
            </w:r>
          </w:p>
          <w:p>
            <w:pPr>
              <w:widowControl/>
              <w:jc w:val="left"/>
              <w:textAlignment w:val="top"/>
              <w:rPr>
                <w:rFonts w:hint="eastAsia" w:hAnsi="宋体" w:eastAsia="宋体" w:cs="宋体"/>
                <w:color w:val="auto"/>
                <w:kern w:val="0"/>
                <w:sz w:val="24"/>
                <w:szCs w:val="24"/>
                <w:lang w:eastAsia="zh-CN"/>
              </w:rPr>
            </w:pPr>
            <w:r>
              <w:rPr>
                <w:color w:val="auto"/>
                <w:sz w:val="24"/>
                <w:szCs w:val="24"/>
              </w:rPr>
              <w:t>4</w:t>
            </w:r>
            <w:r>
              <w:rPr>
                <w:rFonts w:hint="eastAsia" w:hAnsi="宋体" w:cs="宋体"/>
                <w:color w:val="auto"/>
                <w:sz w:val="24"/>
                <w:szCs w:val="24"/>
              </w:rPr>
              <w:t>、</w:t>
            </w:r>
            <w:r>
              <w:rPr>
                <w:rFonts w:hint="eastAsia" w:hAnsi="宋体" w:cs="宋体"/>
                <w:color w:val="auto"/>
                <w:kern w:val="0"/>
                <w:sz w:val="24"/>
                <w:szCs w:val="24"/>
              </w:rPr>
              <w:t>材料：铝合金；</w:t>
            </w:r>
          </w:p>
          <w:p>
            <w:pPr>
              <w:widowControl/>
              <w:jc w:val="left"/>
              <w:textAlignment w:val="top"/>
              <w:rPr>
                <w:rFonts w:ascii="宋体"/>
                <w:color w:val="auto"/>
                <w:sz w:val="24"/>
                <w:szCs w:val="24"/>
              </w:rPr>
            </w:pPr>
            <w:r>
              <w:rPr>
                <w:color w:val="auto"/>
                <w:sz w:val="24"/>
                <w:szCs w:val="24"/>
              </w:rPr>
              <w:t>5</w:t>
            </w:r>
            <w:r>
              <w:rPr>
                <w:rFonts w:hint="eastAsia" w:hAnsi="宋体" w:cs="宋体"/>
                <w:color w:val="auto"/>
                <w:sz w:val="24"/>
                <w:szCs w:val="24"/>
              </w:rPr>
              <w:t>、</w:t>
            </w:r>
            <w:r>
              <w:rPr>
                <w:rFonts w:hint="eastAsia" w:hAnsi="宋体" w:cs="宋体"/>
                <w:color w:val="auto"/>
                <w:kern w:val="0"/>
                <w:sz w:val="24"/>
                <w:szCs w:val="24"/>
              </w:rPr>
              <w:t>调整角度</w:t>
            </w:r>
            <w:r>
              <w:rPr>
                <w:color w:val="auto"/>
                <w:kern w:val="0"/>
                <w:sz w:val="24"/>
                <w:szCs w:val="24"/>
              </w:rPr>
              <w:t xml:space="preserve"> </w:t>
            </w:r>
            <w:r>
              <w:rPr>
                <w:rFonts w:hint="eastAsia" w:hAnsi="宋体" w:cs="宋体"/>
                <w:color w:val="auto"/>
                <w:kern w:val="0"/>
                <w:sz w:val="24"/>
                <w:szCs w:val="24"/>
              </w:rPr>
              <w:t>水平：</w:t>
            </w:r>
            <w:r>
              <w:rPr>
                <w:color w:val="auto"/>
                <w:kern w:val="0"/>
                <w:sz w:val="24"/>
                <w:szCs w:val="24"/>
              </w:rPr>
              <w:t>360°</w:t>
            </w:r>
            <w:r>
              <w:rPr>
                <w:rFonts w:hint="eastAsia" w:hAnsi="宋体" w:cs="宋体"/>
                <w:color w:val="auto"/>
                <w:kern w:val="0"/>
                <w:sz w:val="24"/>
                <w:szCs w:val="24"/>
              </w:rPr>
              <w:t>，垂直：</w:t>
            </w:r>
            <w:r>
              <w:rPr>
                <w:color w:val="auto"/>
                <w:kern w:val="0"/>
                <w:sz w:val="24"/>
                <w:szCs w:val="24"/>
              </w:rPr>
              <w:t>-45°~45°</w:t>
            </w:r>
            <w:r>
              <w:rPr>
                <w:rFonts w:hint="eastAsia"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104</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12</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电源适配器</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color w:val="auto"/>
                <w:kern w:val="0"/>
                <w:sz w:val="24"/>
                <w:szCs w:val="24"/>
              </w:rPr>
            </w:pPr>
            <w:r>
              <w:rPr>
                <w:color w:val="auto"/>
                <w:sz w:val="24"/>
                <w:szCs w:val="24"/>
              </w:rPr>
              <w:t>1</w:t>
            </w:r>
            <w:r>
              <w:rPr>
                <w:rFonts w:hint="eastAsia" w:hAnsi="宋体" w:cs="宋体"/>
                <w:color w:val="auto"/>
                <w:sz w:val="24"/>
                <w:szCs w:val="24"/>
              </w:rPr>
              <w:t>、</w:t>
            </w:r>
            <w:r>
              <w:rPr>
                <w:rFonts w:hint="eastAsia" w:hAnsi="宋体" w:cs="宋体"/>
                <w:color w:val="auto"/>
                <w:kern w:val="0"/>
                <w:sz w:val="24"/>
                <w:szCs w:val="24"/>
              </w:rPr>
              <w:t>国标</w:t>
            </w:r>
            <w:r>
              <w:rPr>
                <w:color w:val="auto"/>
                <w:kern w:val="0"/>
                <w:sz w:val="24"/>
                <w:szCs w:val="24"/>
              </w:rPr>
              <w:t>,12V1A</w:t>
            </w:r>
            <w:r>
              <w:rPr>
                <w:rFonts w:hint="eastAsia" w:hAnsi="宋体" w:cs="宋体"/>
                <w:color w:val="auto"/>
                <w:kern w:val="0"/>
                <w:sz w:val="24"/>
                <w:szCs w:val="24"/>
              </w:rPr>
              <w:t>输出</w:t>
            </w:r>
            <w:r>
              <w:rPr>
                <w:rFonts w:hint="eastAsia" w:cs="宋体"/>
                <w:color w:val="auto"/>
                <w:kern w:val="0"/>
                <w:sz w:val="24"/>
                <w:szCs w:val="24"/>
              </w:rPr>
              <w:t>，</w:t>
            </w:r>
            <w:r>
              <w:rPr>
                <w:color w:val="auto"/>
                <w:kern w:val="0"/>
                <w:sz w:val="24"/>
                <w:szCs w:val="24"/>
              </w:rPr>
              <w:t>Φ2.1</w:t>
            </w:r>
            <w:r>
              <w:rPr>
                <w:rFonts w:hint="eastAsia" w:hAnsi="宋体" w:cs="宋体"/>
                <w:color w:val="auto"/>
                <w:kern w:val="0"/>
                <w:sz w:val="24"/>
                <w:szCs w:val="24"/>
              </w:rPr>
              <w:t>圆头，桌面式，输入</w:t>
            </w:r>
            <w:r>
              <w:rPr>
                <w:color w:val="auto"/>
                <w:kern w:val="0"/>
                <w:sz w:val="24"/>
                <w:szCs w:val="24"/>
              </w:rPr>
              <w:t>350mm,</w:t>
            </w:r>
            <w:r>
              <w:rPr>
                <w:rFonts w:hint="eastAsia" w:hAnsi="宋体" w:cs="宋体"/>
                <w:color w:val="auto"/>
                <w:kern w:val="0"/>
                <w:sz w:val="24"/>
                <w:szCs w:val="24"/>
              </w:rPr>
              <w:t>输出</w:t>
            </w:r>
            <w:r>
              <w:rPr>
                <w:color w:val="auto"/>
                <w:kern w:val="0"/>
                <w:sz w:val="24"/>
                <w:szCs w:val="24"/>
              </w:rPr>
              <w:t>800mm</w:t>
            </w:r>
            <w:r>
              <w:rPr>
                <w:rFonts w:hint="eastAsia" w:hAnsi="宋体" w:cs="宋体"/>
                <w:color w:val="auto"/>
                <w:kern w:val="0"/>
                <w:sz w:val="24"/>
                <w:szCs w:val="24"/>
              </w:rPr>
              <w:t>；</w:t>
            </w:r>
          </w:p>
          <w:p>
            <w:pPr>
              <w:widowControl/>
              <w:jc w:val="left"/>
              <w:textAlignment w:val="center"/>
              <w:rPr>
                <w:color w:val="auto"/>
                <w:sz w:val="24"/>
                <w:szCs w:val="24"/>
              </w:rPr>
            </w:pPr>
            <w:r>
              <w:rPr>
                <w:color w:val="auto"/>
                <w:sz w:val="24"/>
                <w:szCs w:val="24"/>
              </w:rPr>
              <w:t>2</w:t>
            </w:r>
            <w:r>
              <w:rPr>
                <w:rFonts w:hint="eastAsia" w:hAnsi="宋体" w:cs="宋体"/>
                <w:color w:val="auto"/>
                <w:sz w:val="24"/>
                <w:szCs w:val="24"/>
              </w:rPr>
              <w:t>、</w:t>
            </w:r>
            <w:r>
              <w:rPr>
                <w:rFonts w:hint="eastAsia" w:hAnsi="宋体" w:cs="宋体"/>
                <w:color w:val="auto"/>
                <w:kern w:val="0"/>
                <w:sz w:val="24"/>
                <w:szCs w:val="24"/>
              </w:rPr>
              <w:t>输入电压：</w:t>
            </w:r>
            <w:r>
              <w:rPr>
                <w:color w:val="auto"/>
                <w:kern w:val="0"/>
                <w:sz w:val="24"/>
                <w:szCs w:val="24"/>
              </w:rPr>
              <w:t>AC170V~240V</w:t>
            </w:r>
            <w:r>
              <w:rPr>
                <w:rFonts w:hint="eastAsia"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205</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13</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电梯半球</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 xml:space="preserve">200 </w:t>
            </w:r>
            <w:r>
              <w:rPr>
                <w:rFonts w:hint="eastAsia" w:ascii="宋体" w:hAnsi="宋体" w:cs="宋体"/>
                <w:color w:val="auto"/>
                <w:kern w:val="0"/>
                <w:sz w:val="24"/>
                <w:szCs w:val="24"/>
              </w:rPr>
              <w:t>万</w:t>
            </w:r>
            <w:r>
              <w:rPr>
                <w:rFonts w:ascii="宋体" w:hAnsi="宋体" w:cs="宋体"/>
                <w:color w:val="auto"/>
                <w:kern w:val="0"/>
                <w:sz w:val="24"/>
                <w:szCs w:val="24"/>
              </w:rPr>
              <w:t xml:space="preserve"> </w:t>
            </w:r>
            <w:r>
              <w:rPr>
                <w:rFonts w:hint="eastAsia" w:ascii="宋体" w:hAnsi="宋体" w:cs="宋体"/>
                <w:color w:val="auto"/>
                <w:kern w:val="0"/>
                <w:sz w:val="24"/>
                <w:szCs w:val="24"/>
              </w:rPr>
              <w:t>日夜型半球型网络摄像机；</w:t>
            </w:r>
          </w:p>
          <w:p>
            <w:pPr>
              <w:widowControl/>
              <w:jc w:val="left"/>
              <w:textAlignment w:val="center"/>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最低照度</w:t>
            </w:r>
            <w:r>
              <w:rPr>
                <w:rFonts w:ascii="宋体" w:hAnsi="宋体" w:cs="宋体"/>
                <w:color w:val="auto"/>
                <w:kern w:val="0"/>
                <w:sz w:val="24"/>
                <w:szCs w:val="24"/>
              </w:rPr>
              <w:t xml:space="preserve">: </w:t>
            </w:r>
            <w:r>
              <w:rPr>
                <w:rFonts w:hint="eastAsia" w:ascii="宋体" w:hAnsi="宋体" w:cs="宋体"/>
                <w:color w:val="auto"/>
                <w:kern w:val="0"/>
                <w:sz w:val="24"/>
                <w:szCs w:val="24"/>
              </w:rPr>
              <w:t>彩色：</w:t>
            </w:r>
            <w:r>
              <w:rPr>
                <w:rFonts w:ascii="宋体" w:hAnsi="宋体" w:cs="宋体"/>
                <w:color w:val="auto"/>
                <w:kern w:val="0"/>
                <w:sz w:val="24"/>
                <w:szCs w:val="24"/>
              </w:rPr>
              <w:t>0.01 Lux @</w:t>
            </w:r>
            <w:r>
              <w:rPr>
                <w:rFonts w:hint="eastAsia" w:ascii="宋体" w:hAnsi="宋体" w:cs="宋体"/>
                <w:color w:val="auto"/>
                <w:kern w:val="0"/>
                <w:sz w:val="24"/>
                <w:szCs w:val="24"/>
              </w:rPr>
              <w:t>（</w:t>
            </w:r>
            <w:r>
              <w:rPr>
                <w:rFonts w:ascii="宋体" w:hAnsi="宋体" w:cs="宋体"/>
                <w:color w:val="auto"/>
                <w:kern w:val="0"/>
                <w:sz w:val="24"/>
                <w:szCs w:val="24"/>
              </w:rPr>
              <w:t>F1.2</w:t>
            </w:r>
            <w:r>
              <w:rPr>
                <w:rFonts w:hint="eastAsia" w:ascii="宋体" w:hAnsi="宋体" w:cs="宋体"/>
                <w:color w:val="auto"/>
                <w:kern w:val="0"/>
                <w:sz w:val="24"/>
                <w:szCs w:val="24"/>
              </w:rPr>
              <w:t>，</w:t>
            </w:r>
            <w:r>
              <w:rPr>
                <w:rFonts w:ascii="宋体" w:hAnsi="宋体" w:cs="宋体"/>
                <w:color w:val="auto"/>
                <w:kern w:val="0"/>
                <w:sz w:val="24"/>
                <w:szCs w:val="24"/>
              </w:rPr>
              <w:t>AGC ON</w:t>
            </w:r>
            <w:r>
              <w:rPr>
                <w:rFonts w:hint="eastAsia" w:ascii="宋体" w:hAnsi="宋体" w:cs="宋体"/>
                <w:color w:val="auto"/>
                <w:kern w:val="0"/>
                <w:sz w:val="24"/>
                <w:szCs w:val="24"/>
              </w:rPr>
              <w:t>），</w:t>
            </w:r>
            <w:r>
              <w:rPr>
                <w:rFonts w:ascii="宋体" w:hAnsi="宋体" w:cs="宋体"/>
                <w:color w:val="auto"/>
                <w:kern w:val="0"/>
                <w:sz w:val="24"/>
                <w:szCs w:val="24"/>
              </w:rPr>
              <w:t>0 Lux with IR</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宽动态</w:t>
            </w:r>
            <w:r>
              <w:rPr>
                <w:rFonts w:ascii="宋体" w:hAnsi="宋体" w:cs="宋体"/>
                <w:color w:val="auto"/>
                <w:kern w:val="0"/>
                <w:sz w:val="24"/>
                <w:szCs w:val="24"/>
              </w:rPr>
              <w:t>: 120 dB</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调节角度</w:t>
            </w:r>
            <w:r>
              <w:rPr>
                <w:rFonts w:ascii="宋体" w:hAnsi="宋体" w:cs="宋体"/>
                <w:color w:val="auto"/>
                <w:kern w:val="0"/>
                <w:sz w:val="24"/>
                <w:szCs w:val="24"/>
              </w:rPr>
              <w:t xml:space="preserve">: </w:t>
            </w:r>
            <w:r>
              <w:rPr>
                <w:rFonts w:hint="eastAsia" w:ascii="宋体" w:hAnsi="宋体" w:cs="宋体"/>
                <w:color w:val="auto"/>
                <w:kern w:val="0"/>
                <w:sz w:val="24"/>
                <w:szCs w:val="24"/>
              </w:rPr>
              <w:t>水平：</w:t>
            </w: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~360</w:t>
            </w:r>
            <w:r>
              <w:rPr>
                <w:rFonts w:hint="eastAsia" w:ascii="宋体" w:hAnsi="宋体" w:cs="宋体"/>
                <w:color w:val="auto"/>
                <w:kern w:val="0"/>
                <w:sz w:val="24"/>
                <w:szCs w:val="24"/>
              </w:rPr>
              <w:t>°，垂直：</w:t>
            </w: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~75</w:t>
            </w:r>
            <w:r>
              <w:rPr>
                <w:rFonts w:hint="eastAsia" w:ascii="宋体" w:hAnsi="宋体" w:cs="宋体"/>
                <w:color w:val="auto"/>
                <w:kern w:val="0"/>
                <w:sz w:val="24"/>
                <w:szCs w:val="24"/>
              </w:rPr>
              <w:t>°，旋转：</w:t>
            </w: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~360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焦距</w:t>
            </w:r>
            <w:r>
              <w:rPr>
                <w:rFonts w:ascii="宋体" w:hAnsi="宋体" w:cs="宋体"/>
                <w:color w:val="auto"/>
                <w:kern w:val="0"/>
                <w:sz w:val="24"/>
                <w:szCs w:val="24"/>
              </w:rPr>
              <w:t>&amp;</w:t>
            </w:r>
            <w:r>
              <w:rPr>
                <w:rFonts w:hint="eastAsia" w:ascii="宋体" w:hAnsi="宋体" w:cs="宋体"/>
                <w:color w:val="auto"/>
                <w:kern w:val="0"/>
                <w:sz w:val="24"/>
                <w:szCs w:val="24"/>
              </w:rPr>
              <w:t>视场角</w:t>
            </w:r>
            <w:r>
              <w:rPr>
                <w:rFonts w:ascii="宋体" w:hAnsi="宋体" w:cs="宋体"/>
                <w:color w:val="auto"/>
                <w:kern w:val="0"/>
                <w:sz w:val="24"/>
                <w:szCs w:val="24"/>
              </w:rPr>
              <w:t>: 2.8 mm</w:t>
            </w:r>
            <w:r>
              <w:rPr>
                <w:rFonts w:hint="eastAsia" w:ascii="宋体" w:hAnsi="宋体" w:cs="宋体"/>
                <w:color w:val="auto"/>
                <w:kern w:val="0"/>
                <w:sz w:val="24"/>
                <w:szCs w:val="24"/>
              </w:rPr>
              <w:t>，水平视场角：</w:t>
            </w:r>
            <w:r>
              <w:rPr>
                <w:rFonts w:ascii="宋体" w:hAnsi="宋体" w:cs="宋体"/>
                <w:color w:val="auto"/>
                <w:kern w:val="0"/>
                <w:sz w:val="24"/>
                <w:szCs w:val="24"/>
              </w:rPr>
              <w:t>107.1</w:t>
            </w:r>
            <w:r>
              <w:rPr>
                <w:rFonts w:hint="eastAsia" w:ascii="宋体" w:hAnsi="宋体" w:cs="宋体"/>
                <w:color w:val="auto"/>
                <w:kern w:val="0"/>
                <w:sz w:val="24"/>
                <w:szCs w:val="24"/>
              </w:rPr>
              <w:t>°【</w:t>
            </w:r>
            <w:r>
              <w:rPr>
                <w:rFonts w:ascii="宋体" w:hAnsi="宋体" w:cs="宋体"/>
                <w:color w:val="auto"/>
                <w:kern w:val="0"/>
                <w:sz w:val="24"/>
                <w:szCs w:val="24"/>
              </w:rPr>
              <w:t>4 mm</w:t>
            </w:r>
            <w:r>
              <w:rPr>
                <w:rFonts w:hint="eastAsia" w:ascii="宋体" w:hAnsi="宋体" w:cs="宋体"/>
                <w:color w:val="auto"/>
                <w:kern w:val="0"/>
                <w:sz w:val="24"/>
                <w:szCs w:val="24"/>
              </w:rPr>
              <w:t>（</w:t>
            </w:r>
            <w:r>
              <w:rPr>
                <w:rFonts w:ascii="宋体" w:hAnsi="宋体" w:cs="宋体"/>
                <w:color w:val="auto"/>
                <w:kern w:val="0"/>
                <w:sz w:val="24"/>
                <w:szCs w:val="24"/>
              </w:rPr>
              <w:t>87.3</w:t>
            </w:r>
            <w:r>
              <w:rPr>
                <w:rFonts w:hint="eastAsia" w:ascii="宋体" w:hAnsi="宋体" w:cs="宋体"/>
                <w:color w:val="auto"/>
                <w:kern w:val="0"/>
                <w:sz w:val="24"/>
                <w:szCs w:val="24"/>
              </w:rPr>
              <w:t>°），</w:t>
            </w:r>
            <w:r>
              <w:rPr>
                <w:rFonts w:ascii="宋体" w:hAnsi="宋体" w:cs="宋体"/>
                <w:color w:val="auto"/>
                <w:kern w:val="0"/>
                <w:sz w:val="24"/>
                <w:szCs w:val="24"/>
              </w:rPr>
              <w:t>6 mm</w:t>
            </w:r>
            <w:r>
              <w:rPr>
                <w:rFonts w:hint="eastAsia" w:ascii="宋体" w:hAnsi="宋体" w:cs="宋体"/>
                <w:color w:val="auto"/>
                <w:kern w:val="0"/>
                <w:sz w:val="24"/>
                <w:szCs w:val="24"/>
              </w:rPr>
              <w:t>（</w:t>
            </w:r>
            <w:r>
              <w:rPr>
                <w:rFonts w:ascii="宋体" w:hAnsi="宋体" w:cs="宋体"/>
                <w:color w:val="auto"/>
                <w:kern w:val="0"/>
                <w:sz w:val="24"/>
                <w:szCs w:val="24"/>
              </w:rPr>
              <w:t>53.9</w:t>
            </w:r>
            <w:r>
              <w:rPr>
                <w:rFonts w:hint="eastAsia" w:ascii="宋体" w:hAnsi="宋体" w:cs="宋体"/>
                <w:color w:val="auto"/>
                <w:kern w:val="0"/>
                <w:sz w:val="24"/>
                <w:szCs w:val="24"/>
              </w:rPr>
              <w:t>°），</w:t>
            </w:r>
            <w:r>
              <w:rPr>
                <w:rFonts w:ascii="宋体" w:hAnsi="宋体" w:cs="宋体"/>
                <w:color w:val="auto"/>
                <w:kern w:val="0"/>
                <w:sz w:val="24"/>
                <w:szCs w:val="24"/>
              </w:rPr>
              <w:t>8 mm</w:t>
            </w:r>
            <w:r>
              <w:rPr>
                <w:rFonts w:hint="eastAsia" w:ascii="宋体" w:hAnsi="宋体" w:cs="宋体"/>
                <w:color w:val="auto"/>
                <w:kern w:val="0"/>
                <w:sz w:val="24"/>
                <w:szCs w:val="24"/>
              </w:rPr>
              <w:t>（</w:t>
            </w:r>
            <w:r>
              <w:rPr>
                <w:rFonts w:ascii="宋体" w:hAnsi="宋体" w:cs="宋体"/>
                <w:color w:val="auto"/>
                <w:kern w:val="0"/>
                <w:sz w:val="24"/>
                <w:szCs w:val="24"/>
              </w:rPr>
              <w:t>40.9</w:t>
            </w:r>
            <w:r>
              <w:rPr>
                <w:rFonts w:hint="eastAsia" w:ascii="宋体" w:hAnsi="宋体" w:cs="宋体"/>
                <w:color w:val="auto"/>
                <w:kern w:val="0"/>
                <w:sz w:val="24"/>
                <w:szCs w:val="24"/>
              </w:rPr>
              <w:t>°）可选】</w:t>
            </w:r>
          </w:p>
          <w:p>
            <w:pPr>
              <w:widowControl/>
              <w:jc w:val="left"/>
              <w:textAlignment w:val="center"/>
              <w:rPr>
                <w:rFonts w:ascii="宋体"/>
                <w:color w:val="auto"/>
                <w:kern w:val="0"/>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kern w:val="0"/>
                <w:sz w:val="24"/>
                <w:szCs w:val="24"/>
              </w:rPr>
              <w:t>防补光过曝</w:t>
            </w:r>
            <w:r>
              <w:rPr>
                <w:rFonts w:ascii="宋体" w:hAnsi="宋体" w:cs="宋体"/>
                <w:color w:val="auto"/>
                <w:kern w:val="0"/>
                <w:sz w:val="24"/>
                <w:szCs w:val="24"/>
              </w:rPr>
              <w:t xml:space="preserve">: </w:t>
            </w:r>
            <w:r>
              <w:rPr>
                <w:rFonts w:hint="eastAsia" w:ascii="宋体" w:hAnsi="宋体" w:cs="宋体"/>
                <w:color w:val="auto"/>
                <w:kern w:val="0"/>
                <w:sz w:val="24"/>
                <w:szCs w:val="24"/>
              </w:rPr>
              <w:t>支持；</w:t>
            </w:r>
          </w:p>
          <w:p>
            <w:pPr>
              <w:widowControl/>
              <w:jc w:val="left"/>
              <w:textAlignment w:val="center"/>
              <w:rPr>
                <w:rFonts w:ascii="宋体"/>
                <w:color w:val="auto"/>
                <w:kern w:val="0"/>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kern w:val="0"/>
                <w:sz w:val="24"/>
                <w:szCs w:val="24"/>
              </w:rPr>
              <w:t>红外波长范围</w:t>
            </w:r>
            <w:r>
              <w:rPr>
                <w:rFonts w:ascii="宋体" w:hAnsi="宋体" w:cs="宋体"/>
                <w:color w:val="auto"/>
                <w:kern w:val="0"/>
                <w:sz w:val="24"/>
                <w:szCs w:val="24"/>
              </w:rPr>
              <w:t>: 850 nm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8</w:t>
            </w:r>
            <w:r>
              <w:rPr>
                <w:rFonts w:hint="eastAsia" w:ascii="宋体" w:hAnsi="宋体" w:cs="宋体"/>
                <w:color w:val="auto"/>
                <w:sz w:val="24"/>
                <w:szCs w:val="24"/>
              </w:rPr>
              <w:t>、</w:t>
            </w:r>
            <w:r>
              <w:rPr>
                <w:rFonts w:hint="eastAsia" w:ascii="宋体" w:hAnsi="宋体" w:cs="宋体"/>
                <w:color w:val="auto"/>
                <w:kern w:val="0"/>
                <w:sz w:val="24"/>
                <w:szCs w:val="24"/>
              </w:rPr>
              <w:t>补光灯类型</w:t>
            </w:r>
            <w:r>
              <w:rPr>
                <w:rFonts w:ascii="宋体" w:hAnsi="宋体" w:cs="宋体"/>
                <w:color w:val="auto"/>
                <w:kern w:val="0"/>
                <w:sz w:val="24"/>
                <w:szCs w:val="24"/>
              </w:rPr>
              <w:t xml:space="preserve">: </w:t>
            </w:r>
            <w:r>
              <w:rPr>
                <w:rFonts w:hint="eastAsia" w:ascii="宋体" w:hAnsi="宋体" w:cs="宋体"/>
                <w:color w:val="auto"/>
                <w:kern w:val="0"/>
                <w:sz w:val="24"/>
                <w:szCs w:val="24"/>
              </w:rPr>
              <w:t>红外灯；</w:t>
            </w:r>
          </w:p>
          <w:p>
            <w:pPr>
              <w:widowControl/>
              <w:jc w:val="left"/>
              <w:textAlignment w:val="center"/>
              <w:rPr>
                <w:rFonts w:ascii="宋体"/>
                <w:color w:val="auto"/>
                <w:kern w:val="0"/>
                <w:sz w:val="24"/>
                <w:szCs w:val="24"/>
              </w:rPr>
            </w:pPr>
            <w:r>
              <w:rPr>
                <w:rFonts w:ascii="宋体" w:hAnsi="宋体" w:cs="宋体"/>
                <w:color w:val="auto"/>
                <w:sz w:val="24"/>
                <w:szCs w:val="24"/>
              </w:rPr>
              <w:t>9</w:t>
            </w:r>
            <w:r>
              <w:rPr>
                <w:rFonts w:hint="eastAsia" w:ascii="宋体" w:hAnsi="宋体" w:cs="宋体"/>
                <w:color w:val="auto"/>
                <w:sz w:val="24"/>
                <w:szCs w:val="24"/>
              </w:rPr>
              <w:t>、</w:t>
            </w:r>
            <w:r>
              <w:rPr>
                <w:rFonts w:hint="eastAsia" w:ascii="宋体" w:hAnsi="宋体" w:cs="宋体"/>
                <w:color w:val="auto"/>
                <w:kern w:val="0"/>
                <w:sz w:val="24"/>
                <w:szCs w:val="24"/>
              </w:rPr>
              <w:t>补光距离</w:t>
            </w:r>
            <w:r>
              <w:rPr>
                <w:rFonts w:ascii="宋体" w:hAnsi="宋体" w:cs="宋体"/>
                <w:color w:val="auto"/>
                <w:kern w:val="0"/>
                <w:sz w:val="24"/>
                <w:szCs w:val="24"/>
              </w:rPr>
              <w:t xml:space="preserve">: </w:t>
            </w:r>
            <w:r>
              <w:rPr>
                <w:rFonts w:hint="eastAsia" w:ascii="宋体" w:hAnsi="宋体" w:cs="宋体"/>
                <w:color w:val="auto"/>
                <w:kern w:val="0"/>
                <w:sz w:val="24"/>
                <w:szCs w:val="24"/>
              </w:rPr>
              <w:t>最远可达</w:t>
            </w:r>
            <w:r>
              <w:rPr>
                <w:rFonts w:ascii="宋体" w:hAnsi="宋体" w:cs="宋体"/>
                <w:color w:val="auto"/>
                <w:kern w:val="0"/>
                <w:sz w:val="24"/>
                <w:szCs w:val="24"/>
              </w:rPr>
              <w:t>30 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10</w:t>
            </w:r>
            <w:r>
              <w:rPr>
                <w:rFonts w:hint="eastAsia" w:ascii="宋体" w:hAnsi="宋体" w:cs="宋体"/>
                <w:color w:val="auto"/>
                <w:sz w:val="24"/>
                <w:szCs w:val="24"/>
              </w:rPr>
              <w:t>、</w:t>
            </w:r>
            <w:r>
              <w:rPr>
                <w:rFonts w:hint="eastAsia" w:ascii="宋体" w:hAnsi="宋体" w:cs="宋体"/>
                <w:color w:val="auto"/>
                <w:kern w:val="0"/>
                <w:sz w:val="24"/>
                <w:szCs w:val="24"/>
              </w:rPr>
              <w:t>最大图像尺寸</w:t>
            </w:r>
            <w:r>
              <w:rPr>
                <w:rFonts w:ascii="宋体" w:hAnsi="宋体" w:cs="宋体"/>
                <w:color w:val="auto"/>
                <w:kern w:val="0"/>
                <w:sz w:val="24"/>
                <w:szCs w:val="24"/>
              </w:rPr>
              <w:t xml:space="preserve">: 1920 </w:t>
            </w:r>
            <w:r>
              <w:rPr>
                <w:rFonts w:hint="eastAsia" w:ascii="宋体" w:hAnsi="宋体" w:cs="宋体"/>
                <w:color w:val="auto"/>
                <w:kern w:val="0"/>
                <w:sz w:val="24"/>
                <w:szCs w:val="24"/>
              </w:rPr>
              <w:t>×</w:t>
            </w:r>
            <w:r>
              <w:rPr>
                <w:rFonts w:ascii="宋体" w:hAnsi="宋体" w:cs="宋体"/>
                <w:color w:val="auto"/>
                <w:kern w:val="0"/>
                <w:sz w:val="24"/>
                <w:szCs w:val="24"/>
              </w:rPr>
              <w:t xml:space="preserve"> 1080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11</w:t>
            </w:r>
            <w:r>
              <w:rPr>
                <w:rFonts w:hint="eastAsia" w:ascii="宋体" w:hAnsi="宋体" w:cs="宋体"/>
                <w:color w:val="auto"/>
                <w:sz w:val="24"/>
                <w:szCs w:val="24"/>
              </w:rPr>
              <w:t>、</w:t>
            </w:r>
            <w:r>
              <w:rPr>
                <w:rFonts w:hint="eastAsia" w:ascii="宋体" w:hAnsi="宋体" w:cs="宋体"/>
                <w:color w:val="auto"/>
                <w:kern w:val="0"/>
                <w:sz w:val="24"/>
                <w:szCs w:val="24"/>
              </w:rPr>
              <w:t>视频压缩标准</w:t>
            </w:r>
            <w:r>
              <w:rPr>
                <w:rFonts w:ascii="宋体" w:hAnsi="宋体" w:cs="宋体"/>
                <w:color w:val="auto"/>
                <w:kern w:val="0"/>
                <w:sz w:val="24"/>
                <w:szCs w:val="24"/>
              </w:rPr>
              <w:t xml:space="preserve">: </w:t>
            </w:r>
            <w:r>
              <w:rPr>
                <w:rFonts w:hint="eastAsia" w:ascii="宋体" w:hAnsi="宋体" w:cs="宋体"/>
                <w:color w:val="auto"/>
                <w:kern w:val="0"/>
                <w:sz w:val="24"/>
                <w:szCs w:val="24"/>
              </w:rPr>
              <w:t>主码流：</w:t>
            </w:r>
            <w:r>
              <w:rPr>
                <w:rFonts w:ascii="宋体" w:hAnsi="宋体" w:cs="宋体"/>
                <w:color w:val="auto"/>
                <w:kern w:val="0"/>
                <w:sz w:val="24"/>
                <w:szCs w:val="24"/>
              </w:rPr>
              <w:t>H.265/H.264</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12</w:t>
            </w:r>
            <w:r>
              <w:rPr>
                <w:rFonts w:hint="eastAsia" w:ascii="宋体" w:hAnsi="宋体" w:cs="宋体"/>
                <w:color w:val="auto"/>
                <w:sz w:val="24"/>
                <w:szCs w:val="24"/>
              </w:rPr>
              <w:t>、</w:t>
            </w:r>
            <w:r>
              <w:rPr>
                <w:rFonts w:hint="eastAsia" w:ascii="宋体" w:hAnsi="宋体" w:cs="宋体"/>
                <w:color w:val="auto"/>
                <w:kern w:val="0"/>
                <w:sz w:val="24"/>
                <w:szCs w:val="24"/>
              </w:rPr>
              <w:t>音频</w:t>
            </w:r>
            <w:r>
              <w:rPr>
                <w:rFonts w:ascii="宋体" w:hAnsi="宋体" w:cs="宋体"/>
                <w:color w:val="auto"/>
                <w:kern w:val="0"/>
                <w:sz w:val="24"/>
                <w:szCs w:val="24"/>
              </w:rPr>
              <w:t xml:space="preserve">: </w:t>
            </w:r>
            <w:r>
              <w:rPr>
                <w:rFonts w:hint="eastAsia" w:ascii="宋体" w:hAnsi="宋体" w:cs="宋体"/>
                <w:color w:val="auto"/>
                <w:kern w:val="0"/>
                <w:sz w:val="24"/>
                <w:szCs w:val="24"/>
              </w:rPr>
              <w:t>内置</w:t>
            </w:r>
            <w:r>
              <w:rPr>
                <w:rFonts w:ascii="宋体" w:hAnsi="宋体" w:cs="宋体"/>
                <w:color w:val="auto"/>
                <w:kern w:val="0"/>
                <w:sz w:val="24"/>
                <w:szCs w:val="24"/>
              </w:rPr>
              <w:t>1</w:t>
            </w:r>
            <w:r>
              <w:rPr>
                <w:rFonts w:hint="eastAsia" w:ascii="宋体" w:hAnsi="宋体" w:cs="宋体"/>
                <w:color w:val="auto"/>
                <w:kern w:val="0"/>
                <w:sz w:val="24"/>
                <w:szCs w:val="24"/>
              </w:rPr>
              <w:t>个麦克风；</w:t>
            </w:r>
          </w:p>
          <w:p>
            <w:pPr>
              <w:widowControl/>
              <w:jc w:val="left"/>
              <w:textAlignment w:val="center"/>
              <w:rPr>
                <w:rFonts w:ascii="宋体"/>
                <w:color w:val="auto"/>
                <w:kern w:val="0"/>
                <w:sz w:val="24"/>
                <w:szCs w:val="24"/>
              </w:rPr>
            </w:pPr>
            <w:r>
              <w:rPr>
                <w:rFonts w:ascii="宋体" w:hAnsi="宋体" w:cs="宋体"/>
                <w:color w:val="auto"/>
                <w:sz w:val="24"/>
                <w:szCs w:val="24"/>
              </w:rPr>
              <w:t>13</w:t>
            </w:r>
            <w:r>
              <w:rPr>
                <w:rFonts w:hint="eastAsia" w:ascii="宋体" w:hAnsi="宋体" w:cs="宋体"/>
                <w:color w:val="auto"/>
                <w:sz w:val="24"/>
                <w:szCs w:val="24"/>
              </w:rPr>
              <w:t>、</w:t>
            </w:r>
            <w:r>
              <w:rPr>
                <w:rFonts w:hint="eastAsia" w:ascii="宋体" w:hAnsi="宋体" w:cs="宋体"/>
                <w:color w:val="auto"/>
                <w:kern w:val="0"/>
                <w:sz w:val="24"/>
                <w:szCs w:val="24"/>
              </w:rPr>
              <w:t>网络</w:t>
            </w:r>
            <w:r>
              <w:rPr>
                <w:rFonts w:ascii="宋体" w:hAnsi="宋体" w:cs="宋体"/>
                <w:color w:val="auto"/>
                <w:kern w:val="0"/>
                <w:sz w:val="24"/>
                <w:szCs w:val="24"/>
              </w:rPr>
              <w:t>: 1</w:t>
            </w:r>
            <w:r>
              <w:rPr>
                <w:rFonts w:hint="eastAsia" w:ascii="宋体" w:hAnsi="宋体" w:cs="宋体"/>
                <w:color w:val="auto"/>
                <w:kern w:val="0"/>
                <w:sz w:val="24"/>
                <w:szCs w:val="24"/>
              </w:rPr>
              <w:t>个</w:t>
            </w:r>
            <w:r>
              <w:rPr>
                <w:rFonts w:ascii="宋体" w:hAnsi="宋体" w:cs="宋体"/>
                <w:color w:val="auto"/>
                <w:kern w:val="0"/>
                <w:sz w:val="24"/>
                <w:szCs w:val="24"/>
              </w:rPr>
              <w:t>RJ45 10 M/100 M</w:t>
            </w:r>
            <w:r>
              <w:rPr>
                <w:rFonts w:hint="eastAsia" w:ascii="宋体" w:hAnsi="宋体" w:cs="宋体"/>
                <w:color w:val="auto"/>
                <w:kern w:val="0"/>
                <w:sz w:val="24"/>
                <w:szCs w:val="24"/>
              </w:rPr>
              <w:t>（无</w:t>
            </w:r>
            <w:r>
              <w:rPr>
                <w:rFonts w:ascii="宋体" w:hAnsi="宋体" w:cs="宋体"/>
                <w:color w:val="auto"/>
                <w:kern w:val="0"/>
                <w:sz w:val="24"/>
                <w:szCs w:val="24"/>
              </w:rPr>
              <w:t>link</w:t>
            </w:r>
            <w:r>
              <w:rPr>
                <w:rFonts w:hint="eastAsia" w:ascii="宋体" w:hAnsi="宋体" w:cs="宋体"/>
                <w:color w:val="auto"/>
                <w:kern w:val="0"/>
                <w:sz w:val="24"/>
                <w:szCs w:val="24"/>
              </w:rPr>
              <w:t>灯），自适应以太网口；</w:t>
            </w:r>
          </w:p>
          <w:p>
            <w:pPr>
              <w:widowControl/>
              <w:jc w:val="left"/>
              <w:textAlignment w:val="center"/>
              <w:rPr>
                <w:rFonts w:ascii="宋体"/>
                <w:color w:val="auto"/>
                <w:kern w:val="0"/>
                <w:sz w:val="24"/>
                <w:szCs w:val="24"/>
              </w:rPr>
            </w:pPr>
            <w:r>
              <w:rPr>
                <w:rFonts w:ascii="宋体" w:hAnsi="宋体" w:cs="宋体"/>
                <w:color w:val="auto"/>
                <w:sz w:val="24"/>
                <w:szCs w:val="24"/>
              </w:rPr>
              <w:t>14</w:t>
            </w:r>
            <w:r>
              <w:rPr>
                <w:rFonts w:hint="eastAsia" w:ascii="宋体" w:hAnsi="宋体" w:cs="宋体"/>
                <w:color w:val="auto"/>
                <w:sz w:val="24"/>
                <w:szCs w:val="24"/>
              </w:rPr>
              <w:t>、</w:t>
            </w:r>
            <w:r>
              <w:rPr>
                <w:rFonts w:hint="eastAsia" w:ascii="宋体" w:hAnsi="宋体" w:cs="宋体"/>
                <w:color w:val="auto"/>
                <w:kern w:val="0"/>
                <w:sz w:val="24"/>
                <w:szCs w:val="24"/>
              </w:rPr>
              <w:t>存储温湿度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sz w:val="24"/>
                <w:szCs w:val="24"/>
              </w:rPr>
              <w:t>15</w:t>
            </w:r>
            <w:r>
              <w:rPr>
                <w:rFonts w:hint="eastAsia" w:ascii="宋体" w:hAnsi="宋体" w:cs="宋体"/>
                <w:color w:val="auto"/>
                <w:sz w:val="24"/>
                <w:szCs w:val="24"/>
              </w:rPr>
              <w:t>、</w:t>
            </w:r>
            <w:r>
              <w:rPr>
                <w:rFonts w:hint="eastAsia" w:ascii="宋体" w:hAnsi="宋体" w:cs="宋体"/>
                <w:color w:val="auto"/>
                <w:kern w:val="0"/>
                <w:sz w:val="24"/>
                <w:szCs w:val="24"/>
              </w:rPr>
              <w:t>启动及工作温湿度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sz w:val="24"/>
                <w:szCs w:val="24"/>
              </w:rPr>
              <w:t>16</w:t>
            </w:r>
            <w:r>
              <w:rPr>
                <w:rFonts w:hint="eastAsia" w:ascii="宋体" w:hAnsi="宋体" w:cs="宋体"/>
                <w:color w:val="auto"/>
                <w:sz w:val="24"/>
                <w:szCs w:val="24"/>
              </w:rPr>
              <w:t>、</w:t>
            </w:r>
            <w:r>
              <w:rPr>
                <w:rFonts w:hint="eastAsia" w:ascii="宋体" w:hAnsi="宋体" w:cs="宋体"/>
                <w:color w:val="auto"/>
                <w:kern w:val="0"/>
                <w:sz w:val="24"/>
                <w:szCs w:val="24"/>
              </w:rPr>
              <w:t>供电方式</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 xml:space="preserve">12 V </w:t>
            </w:r>
            <w:r>
              <w:rPr>
                <w:rFonts w:hint="eastAsia" w:ascii="宋体" w:hAnsi="宋体" w:cs="宋体"/>
                <w:color w:val="auto"/>
                <w:kern w:val="0"/>
                <w:sz w:val="24"/>
                <w:szCs w:val="24"/>
              </w:rPr>
              <w:t>±</w:t>
            </w:r>
            <w:r>
              <w:rPr>
                <w:rFonts w:ascii="宋体" w:hAnsi="宋体" w:cs="宋体"/>
                <w:color w:val="auto"/>
                <w:kern w:val="0"/>
                <w:sz w:val="24"/>
                <w:szCs w:val="24"/>
              </w:rPr>
              <w:t xml:space="preserve"> 25%</w:t>
            </w:r>
            <w:r>
              <w:rPr>
                <w:rFonts w:hint="eastAsia" w:ascii="宋体" w:hAnsi="宋体" w:cs="宋体"/>
                <w:color w:val="auto"/>
                <w:kern w:val="0"/>
                <w:sz w:val="24"/>
                <w:szCs w:val="24"/>
              </w:rPr>
              <w:t>，支持防反接保护；</w:t>
            </w:r>
          </w:p>
          <w:p>
            <w:pPr>
              <w:widowControl/>
              <w:jc w:val="left"/>
              <w:textAlignment w:val="center"/>
              <w:rPr>
                <w:rFonts w:ascii="宋体"/>
                <w:color w:val="auto"/>
                <w:kern w:val="0"/>
                <w:sz w:val="24"/>
                <w:szCs w:val="24"/>
              </w:rPr>
            </w:pPr>
            <w:r>
              <w:rPr>
                <w:rFonts w:ascii="宋体" w:hAnsi="宋体" w:cs="宋体"/>
                <w:color w:val="auto"/>
                <w:sz w:val="24"/>
                <w:szCs w:val="24"/>
              </w:rPr>
              <w:t>17</w:t>
            </w:r>
            <w:r>
              <w:rPr>
                <w:rFonts w:hint="eastAsia" w:ascii="宋体" w:hAnsi="宋体" w:cs="宋体"/>
                <w:color w:val="auto"/>
                <w:sz w:val="24"/>
                <w:szCs w:val="24"/>
              </w:rPr>
              <w:t>、</w:t>
            </w:r>
            <w:r>
              <w:rPr>
                <w:rFonts w:hint="eastAsia" w:ascii="宋体" w:hAnsi="宋体" w:cs="宋体"/>
                <w:color w:val="auto"/>
                <w:kern w:val="0"/>
                <w:sz w:val="24"/>
                <w:szCs w:val="24"/>
              </w:rPr>
              <w:t>电流及功耗</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12 V</w:t>
            </w:r>
            <w:r>
              <w:rPr>
                <w:rFonts w:hint="eastAsia" w:ascii="宋体" w:hAnsi="宋体" w:cs="宋体"/>
                <w:color w:val="auto"/>
                <w:kern w:val="0"/>
                <w:sz w:val="24"/>
                <w:szCs w:val="24"/>
              </w:rPr>
              <w:t>，</w:t>
            </w:r>
            <w:r>
              <w:rPr>
                <w:rFonts w:ascii="宋体" w:hAnsi="宋体" w:cs="宋体"/>
                <w:color w:val="auto"/>
                <w:kern w:val="0"/>
                <w:sz w:val="24"/>
                <w:szCs w:val="24"/>
              </w:rPr>
              <w:t>0.50 A</w:t>
            </w:r>
            <w:r>
              <w:rPr>
                <w:rFonts w:hint="eastAsia" w:ascii="宋体" w:hAnsi="宋体" w:cs="宋体"/>
                <w:color w:val="auto"/>
                <w:kern w:val="0"/>
                <w:sz w:val="24"/>
                <w:szCs w:val="24"/>
              </w:rPr>
              <w:t>，最大功耗：</w:t>
            </w:r>
            <w:r>
              <w:rPr>
                <w:rFonts w:ascii="宋体" w:hAnsi="宋体" w:cs="宋体"/>
                <w:color w:val="auto"/>
                <w:kern w:val="0"/>
                <w:sz w:val="24"/>
                <w:szCs w:val="24"/>
              </w:rPr>
              <w:t>6 W</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18</w:t>
            </w:r>
            <w:r>
              <w:rPr>
                <w:rFonts w:hint="eastAsia" w:ascii="宋体" w:hAnsi="宋体" w:cs="宋体"/>
                <w:color w:val="auto"/>
                <w:sz w:val="24"/>
                <w:szCs w:val="24"/>
              </w:rPr>
              <w:t>、</w:t>
            </w:r>
            <w:r>
              <w:rPr>
                <w:rFonts w:hint="eastAsia" w:ascii="宋体" w:hAnsi="宋体" w:cs="宋体"/>
                <w:color w:val="auto"/>
                <w:kern w:val="0"/>
                <w:sz w:val="24"/>
                <w:szCs w:val="24"/>
              </w:rPr>
              <w:t>电源接口类型</w:t>
            </w:r>
            <w:r>
              <w:rPr>
                <w:rFonts w:ascii="宋体" w:hAnsi="宋体" w:cs="宋体"/>
                <w:color w:val="auto"/>
                <w:kern w:val="0"/>
                <w:sz w:val="24"/>
                <w:szCs w:val="24"/>
              </w:rPr>
              <w:t>: ?5.5 mm</w:t>
            </w:r>
            <w:r>
              <w:rPr>
                <w:rFonts w:hint="eastAsia" w:ascii="宋体" w:hAnsi="宋体" w:cs="宋体"/>
                <w:color w:val="auto"/>
                <w:kern w:val="0"/>
                <w:sz w:val="24"/>
                <w:szCs w:val="24"/>
              </w:rPr>
              <w:t>圆口；</w:t>
            </w:r>
          </w:p>
          <w:p>
            <w:pPr>
              <w:widowControl/>
              <w:jc w:val="left"/>
              <w:textAlignment w:val="center"/>
              <w:rPr>
                <w:rFonts w:ascii="宋体"/>
                <w:color w:val="auto"/>
                <w:kern w:val="0"/>
                <w:sz w:val="24"/>
                <w:szCs w:val="24"/>
              </w:rPr>
            </w:pPr>
            <w:r>
              <w:rPr>
                <w:rFonts w:ascii="宋体" w:hAnsi="宋体" w:cs="宋体"/>
                <w:color w:val="auto"/>
                <w:sz w:val="24"/>
                <w:szCs w:val="24"/>
              </w:rPr>
              <w:t>19</w:t>
            </w:r>
            <w:r>
              <w:rPr>
                <w:rFonts w:hint="eastAsia" w:ascii="宋体" w:hAnsi="宋体" w:cs="宋体"/>
                <w:color w:val="auto"/>
                <w:sz w:val="24"/>
                <w:szCs w:val="24"/>
              </w:rPr>
              <w:t>、</w:t>
            </w:r>
            <w:r>
              <w:rPr>
                <w:rFonts w:hint="eastAsia" w:ascii="宋体" w:hAnsi="宋体" w:cs="宋体"/>
                <w:color w:val="auto"/>
                <w:kern w:val="0"/>
                <w:sz w:val="24"/>
                <w:szCs w:val="24"/>
              </w:rPr>
              <w:t>产品尺寸</w:t>
            </w:r>
            <w:r>
              <w:rPr>
                <w:rFonts w:ascii="宋体" w:hAnsi="宋体" w:cs="宋体"/>
                <w:color w:val="auto"/>
                <w:kern w:val="0"/>
                <w:sz w:val="24"/>
                <w:szCs w:val="24"/>
              </w:rPr>
              <w:t xml:space="preserve">: ?127.3 </w:t>
            </w:r>
            <w:r>
              <w:rPr>
                <w:rFonts w:hint="eastAsia" w:ascii="宋体" w:hAnsi="宋体" w:cs="宋体"/>
                <w:color w:val="auto"/>
                <w:kern w:val="0"/>
                <w:sz w:val="24"/>
                <w:szCs w:val="24"/>
              </w:rPr>
              <w:t>×</w:t>
            </w:r>
            <w:r>
              <w:rPr>
                <w:rFonts w:ascii="宋体" w:hAnsi="宋体" w:cs="宋体"/>
                <w:color w:val="auto"/>
                <w:kern w:val="0"/>
                <w:sz w:val="24"/>
                <w:szCs w:val="24"/>
              </w:rPr>
              <w:t xml:space="preserve"> 95.9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20</w:t>
            </w:r>
            <w:r>
              <w:rPr>
                <w:rFonts w:hint="eastAsia" w:ascii="宋体" w:hAnsi="宋体" w:cs="宋体"/>
                <w:color w:val="auto"/>
                <w:sz w:val="24"/>
                <w:szCs w:val="24"/>
              </w:rPr>
              <w:t>、</w:t>
            </w:r>
            <w:r>
              <w:rPr>
                <w:rFonts w:hint="eastAsia" w:ascii="宋体" w:hAnsi="宋体" w:cs="宋体"/>
                <w:color w:val="auto"/>
                <w:kern w:val="0"/>
                <w:sz w:val="24"/>
                <w:szCs w:val="24"/>
              </w:rPr>
              <w:t>包装尺寸</w:t>
            </w:r>
            <w:r>
              <w:rPr>
                <w:rFonts w:ascii="宋体" w:hAnsi="宋体" w:cs="宋体"/>
                <w:color w:val="auto"/>
                <w:kern w:val="0"/>
                <w:sz w:val="24"/>
                <w:szCs w:val="24"/>
              </w:rPr>
              <w:t xml:space="preserve">: 145 </w:t>
            </w:r>
            <w:r>
              <w:rPr>
                <w:rFonts w:hint="eastAsia" w:ascii="宋体" w:hAnsi="宋体" w:cs="宋体"/>
                <w:color w:val="auto"/>
                <w:kern w:val="0"/>
                <w:sz w:val="24"/>
                <w:szCs w:val="24"/>
              </w:rPr>
              <w:t>×</w:t>
            </w:r>
            <w:r>
              <w:rPr>
                <w:rFonts w:ascii="宋体" w:hAnsi="宋体" w:cs="宋体"/>
                <w:color w:val="auto"/>
                <w:kern w:val="0"/>
                <w:sz w:val="24"/>
                <w:szCs w:val="24"/>
              </w:rPr>
              <w:t xml:space="preserve"> 145 </w:t>
            </w:r>
            <w:r>
              <w:rPr>
                <w:rFonts w:hint="eastAsia" w:ascii="宋体" w:hAnsi="宋体" w:cs="宋体"/>
                <w:color w:val="auto"/>
                <w:kern w:val="0"/>
                <w:sz w:val="24"/>
                <w:szCs w:val="24"/>
              </w:rPr>
              <w:t>×</w:t>
            </w:r>
            <w:r>
              <w:rPr>
                <w:rFonts w:ascii="宋体" w:hAnsi="宋体" w:cs="宋体"/>
                <w:color w:val="auto"/>
                <w:kern w:val="0"/>
                <w:sz w:val="24"/>
                <w:szCs w:val="24"/>
              </w:rPr>
              <w:t xml:space="preserve"> 120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21</w:t>
            </w:r>
            <w:r>
              <w:rPr>
                <w:rFonts w:hint="eastAsia" w:ascii="宋体" w:hAnsi="宋体" w:cs="宋体"/>
                <w:color w:val="auto"/>
                <w:sz w:val="24"/>
                <w:szCs w:val="24"/>
              </w:rPr>
              <w:t>、</w:t>
            </w:r>
            <w:r>
              <w:rPr>
                <w:rFonts w:hint="eastAsia" w:ascii="宋体" w:hAnsi="宋体" w:cs="宋体"/>
                <w:color w:val="auto"/>
                <w:kern w:val="0"/>
                <w:sz w:val="24"/>
                <w:szCs w:val="24"/>
              </w:rPr>
              <w:t>设备重量</w:t>
            </w:r>
            <w:r>
              <w:rPr>
                <w:rFonts w:ascii="宋体" w:hAnsi="宋体" w:cs="宋体"/>
                <w:color w:val="auto"/>
                <w:kern w:val="0"/>
                <w:sz w:val="24"/>
                <w:szCs w:val="24"/>
              </w:rPr>
              <w:t>: 400 g</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w:t>
            </w:r>
            <w:r>
              <w:rPr>
                <w:rFonts w:hint="eastAsia" w:ascii="宋体" w:hAnsi="宋体" w:cs="宋体"/>
                <w:color w:val="auto"/>
                <w:kern w:val="0"/>
                <w:sz w:val="24"/>
                <w:szCs w:val="24"/>
              </w:rPr>
              <w:t>防护</w:t>
            </w:r>
            <w:r>
              <w:rPr>
                <w:rFonts w:ascii="宋体" w:hAnsi="宋体" w:cs="宋体"/>
                <w:color w:val="auto"/>
                <w:kern w:val="0"/>
                <w:sz w:val="24"/>
                <w:szCs w:val="24"/>
              </w:rPr>
              <w:t>: IP66</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14</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视频网络立杆</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米立杆</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7</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15</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枪机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200</w:t>
            </w:r>
            <w:r>
              <w:rPr>
                <w:rFonts w:hint="eastAsia" w:ascii="宋体" w:hAnsi="宋体" w:cs="宋体"/>
                <w:color w:val="auto"/>
                <w:kern w:val="0"/>
                <w:sz w:val="24"/>
                <w:szCs w:val="24"/>
              </w:rPr>
              <w:t>万红外阵列筒型网络摄像机；</w:t>
            </w:r>
          </w:p>
          <w:p>
            <w:pPr>
              <w:widowControl/>
              <w:jc w:val="left"/>
              <w:textAlignment w:val="center"/>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最低照度</w:t>
            </w:r>
            <w:r>
              <w:rPr>
                <w:rFonts w:ascii="宋体" w:hAnsi="宋体" w:cs="宋体"/>
                <w:color w:val="auto"/>
                <w:kern w:val="0"/>
                <w:sz w:val="24"/>
                <w:szCs w:val="24"/>
              </w:rPr>
              <w:t xml:space="preserve">: </w:t>
            </w:r>
            <w:r>
              <w:rPr>
                <w:rFonts w:hint="eastAsia" w:ascii="宋体" w:hAnsi="宋体" w:cs="宋体"/>
                <w:color w:val="auto"/>
                <w:kern w:val="0"/>
                <w:sz w:val="24"/>
                <w:szCs w:val="24"/>
              </w:rPr>
              <w:t>彩色：</w:t>
            </w:r>
            <w:r>
              <w:rPr>
                <w:rFonts w:ascii="宋体" w:hAnsi="宋体" w:cs="宋体"/>
                <w:color w:val="auto"/>
                <w:kern w:val="0"/>
                <w:sz w:val="24"/>
                <w:szCs w:val="24"/>
              </w:rPr>
              <w:t>0.01 Lux @</w:t>
            </w:r>
            <w:r>
              <w:rPr>
                <w:rFonts w:hint="eastAsia" w:ascii="宋体" w:hAnsi="宋体" w:cs="宋体"/>
                <w:color w:val="auto"/>
                <w:kern w:val="0"/>
                <w:sz w:val="24"/>
                <w:szCs w:val="24"/>
              </w:rPr>
              <w:t>（</w:t>
            </w:r>
            <w:r>
              <w:rPr>
                <w:rFonts w:ascii="宋体" w:hAnsi="宋体" w:cs="宋体"/>
                <w:color w:val="auto"/>
                <w:kern w:val="0"/>
                <w:sz w:val="24"/>
                <w:szCs w:val="24"/>
              </w:rPr>
              <w:t>F1.2, AGC ON</w:t>
            </w:r>
            <w:r>
              <w:rPr>
                <w:rFonts w:hint="eastAsia" w:ascii="宋体" w:hAnsi="宋体" w:cs="宋体"/>
                <w:color w:val="auto"/>
                <w:kern w:val="0"/>
                <w:sz w:val="24"/>
                <w:szCs w:val="24"/>
              </w:rPr>
              <w:t>），</w:t>
            </w:r>
            <w:r>
              <w:rPr>
                <w:rFonts w:ascii="宋体" w:hAnsi="宋体" w:cs="宋体"/>
                <w:color w:val="auto"/>
                <w:kern w:val="0"/>
                <w:sz w:val="24"/>
                <w:szCs w:val="24"/>
              </w:rPr>
              <w:t>0 Lux with IR</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宽动态</w:t>
            </w:r>
            <w:r>
              <w:rPr>
                <w:rFonts w:ascii="宋体" w:hAnsi="宋体" w:cs="宋体"/>
                <w:color w:val="auto"/>
                <w:kern w:val="0"/>
                <w:sz w:val="24"/>
                <w:szCs w:val="24"/>
              </w:rPr>
              <w:t xml:space="preserve">: </w:t>
            </w:r>
            <w:r>
              <w:rPr>
                <w:rFonts w:hint="eastAsia" w:ascii="宋体" w:hAnsi="宋体" w:cs="宋体"/>
                <w:color w:val="auto"/>
                <w:kern w:val="0"/>
                <w:sz w:val="24"/>
                <w:szCs w:val="24"/>
              </w:rPr>
              <w:t>数字宽动态；</w:t>
            </w:r>
          </w:p>
          <w:p>
            <w:pPr>
              <w:widowControl/>
              <w:jc w:val="left"/>
              <w:textAlignment w:val="center"/>
              <w:rPr>
                <w:rFonts w:ascii="宋体"/>
                <w:color w:val="auto"/>
                <w:kern w:val="0"/>
                <w:sz w:val="24"/>
                <w:szCs w:val="24"/>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焦距</w:t>
            </w:r>
            <w:r>
              <w:rPr>
                <w:rFonts w:ascii="宋体" w:hAnsi="宋体" w:cs="宋体"/>
                <w:color w:val="auto"/>
                <w:kern w:val="0"/>
                <w:sz w:val="24"/>
                <w:szCs w:val="24"/>
              </w:rPr>
              <w:t>&amp;</w:t>
            </w:r>
            <w:r>
              <w:rPr>
                <w:rFonts w:hint="eastAsia" w:ascii="宋体" w:hAnsi="宋体" w:cs="宋体"/>
                <w:color w:val="auto"/>
                <w:kern w:val="0"/>
                <w:sz w:val="24"/>
                <w:szCs w:val="24"/>
              </w:rPr>
              <w:t>视场角：</w:t>
            </w:r>
          </w:p>
          <w:p>
            <w:pPr>
              <w:widowControl/>
              <w:jc w:val="left"/>
              <w:textAlignment w:val="center"/>
              <w:rPr>
                <w:rFonts w:ascii="宋体"/>
                <w:color w:val="auto"/>
                <w:kern w:val="0"/>
                <w:sz w:val="24"/>
                <w:szCs w:val="24"/>
              </w:rPr>
            </w:pPr>
            <w:r>
              <w:rPr>
                <w:rFonts w:ascii="宋体" w:hAnsi="宋体" w:cs="宋体"/>
                <w:color w:val="auto"/>
                <w:kern w:val="0"/>
                <w:sz w:val="24"/>
                <w:szCs w:val="24"/>
              </w:rPr>
              <w:t>4 mm</w:t>
            </w:r>
            <w:r>
              <w:rPr>
                <w:rFonts w:hint="eastAsia" w:ascii="宋体" w:hAnsi="宋体" w:cs="宋体"/>
                <w:color w:val="auto"/>
                <w:kern w:val="0"/>
                <w:sz w:val="24"/>
                <w:szCs w:val="24"/>
              </w:rPr>
              <w:t>，水平视场角：</w:t>
            </w:r>
            <w:r>
              <w:rPr>
                <w:rFonts w:ascii="宋体" w:hAnsi="宋体" w:cs="宋体"/>
                <w:color w:val="auto"/>
                <w:kern w:val="0"/>
                <w:sz w:val="24"/>
                <w:szCs w:val="24"/>
              </w:rPr>
              <w:t>89</w:t>
            </w:r>
            <w:r>
              <w:rPr>
                <w:rFonts w:hint="eastAsia" w:ascii="宋体" w:hAnsi="宋体" w:cs="宋体"/>
                <w:color w:val="auto"/>
                <w:kern w:val="0"/>
                <w:sz w:val="24"/>
                <w:szCs w:val="24"/>
              </w:rPr>
              <w:t>°，垂直视场角：</w:t>
            </w:r>
            <w:r>
              <w:rPr>
                <w:rFonts w:ascii="宋体" w:hAnsi="宋体" w:cs="宋体"/>
                <w:color w:val="auto"/>
                <w:kern w:val="0"/>
                <w:sz w:val="24"/>
                <w:szCs w:val="24"/>
              </w:rPr>
              <w:t>47</w:t>
            </w:r>
            <w:r>
              <w:rPr>
                <w:rFonts w:hint="eastAsia" w:ascii="宋体" w:hAnsi="宋体" w:cs="宋体"/>
                <w:color w:val="auto"/>
                <w:kern w:val="0"/>
                <w:sz w:val="24"/>
                <w:szCs w:val="24"/>
              </w:rPr>
              <w:t>°，对角线视场角：</w:t>
            </w:r>
            <w:r>
              <w:rPr>
                <w:rFonts w:ascii="宋体" w:hAnsi="宋体" w:cs="宋体"/>
                <w:color w:val="auto"/>
                <w:kern w:val="0"/>
                <w:sz w:val="24"/>
                <w:szCs w:val="24"/>
              </w:rPr>
              <w:t>107</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6 mm</w:t>
            </w:r>
            <w:r>
              <w:rPr>
                <w:rFonts w:hint="eastAsia" w:ascii="宋体" w:hAnsi="宋体" w:cs="宋体"/>
                <w:color w:val="auto"/>
                <w:kern w:val="0"/>
                <w:sz w:val="24"/>
                <w:szCs w:val="24"/>
              </w:rPr>
              <w:t>，水平视场角：</w:t>
            </w:r>
            <w:r>
              <w:rPr>
                <w:rFonts w:ascii="宋体" w:hAnsi="宋体" w:cs="宋体"/>
                <w:color w:val="auto"/>
                <w:kern w:val="0"/>
                <w:sz w:val="24"/>
                <w:szCs w:val="24"/>
              </w:rPr>
              <w:t>54</w:t>
            </w:r>
            <w:r>
              <w:rPr>
                <w:rFonts w:hint="eastAsia" w:ascii="宋体" w:hAnsi="宋体" w:cs="宋体"/>
                <w:color w:val="auto"/>
                <w:kern w:val="0"/>
                <w:sz w:val="24"/>
                <w:szCs w:val="24"/>
              </w:rPr>
              <w:t>°，垂直视场角：</w:t>
            </w:r>
            <w:r>
              <w:rPr>
                <w:rFonts w:ascii="宋体" w:hAnsi="宋体" w:cs="宋体"/>
                <w:color w:val="auto"/>
                <w:kern w:val="0"/>
                <w:sz w:val="24"/>
                <w:szCs w:val="24"/>
              </w:rPr>
              <w:t>31</w:t>
            </w:r>
            <w:r>
              <w:rPr>
                <w:rFonts w:hint="eastAsia" w:ascii="宋体" w:hAnsi="宋体" w:cs="宋体"/>
                <w:color w:val="auto"/>
                <w:kern w:val="0"/>
                <w:sz w:val="24"/>
                <w:szCs w:val="24"/>
              </w:rPr>
              <w:t>°，对角线视场角：</w:t>
            </w:r>
            <w:r>
              <w:rPr>
                <w:rFonts w:ascii="宋体" w:hAnsi="宋体" w:cs="宋体"/>
                <w:color w:val="auto"/>
                <w:kern w:val="0"/>
                <w:sz w:val="24"/>
                <w:szCs w:val="24"/>
              </w:rPr>
              <w:t>62</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8 mm</w:t>
            </w:r>
            <w:r>
              <w:rPr>
                <w:rFonts w:hint="eastAsia" w:ascii="宋体" w:hAnsi="宋体" w:cs="宋体"/>
                <w:color w:val="auto"/>
                <w:kern w:val="0"/>
                <w:sz w:val="24"/>
                <w:szCs w:val="24"/>
              </w:rPr>
              <w:t>，水平视场角：</w:t>
            </w:r>
            <w:r>
              <w:rPr>
                <w:rFonts w:ascii="宋体" w:hAnsi="宋体" w:cs="宋体"/>
                <w:color w:val="auto"/>
                <w:kern w:val="0"/>
                <w:sz w:val="24"/>
                <w:szCs w:val="24"/>
              </w:rPr>
              <w:t>42</w:t>
            </w:r>
            <w:r>
              <w:rPr>
                <w:rFonts w:hint="eastAsia" w:ascii="宋体" w:hAnsi="宋体" w:cs="宋体"/>
                <w:color w:val="auto"/>
                <w:kern w:val="0"/>
                <w:sz w:val="24"/>
                <w:szCs w:val="24"/>
              </w:rPr>
              <w:t>°，垂直视场角：</w:t>
            </w:r>
            <w:r>
              <w:rPr>
                <w:rFonts w:ascii="宋体" w:hAnsi="宋体" w:cs="宋体"/>
                <w:color w:val="auto"/>
                <w:kern w:val="0"/>
                <w:sz w:val="24"/>
                <w:szCs w:val="24"/>
              </w:rPr>
              <w:t>23</w:t>
            </w:r>
            <w:r>
              <w:rPr>
                <w:rFonts w:hint="eastAsia" w:ascii="宋体" w:hAnsi="宋体" w:cs="宋体"/>
                <w:color w:val="auto"/>
                <w:kern w:val="0"/>
                <w:sz w:val="24"/>
                <w:szCs w:val="24"/>
              </w:rPr>
              <w:t>°，对角线视场角：</w:t>
            </w:r>
            <w:r>
              <w:rPr>
                <w:rFonts w:ascii="宋体" w:hAnsi="宋体" w:cs="宋体"/>
                <w:color w:val="auto"/>
                <w:kern w:val="0"/>
                <w:sz w:val="24"/>
                <w:szCs w:val="24"/>
              </w:rPr>
              <w:t>49</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kern w:val="0"/>
                <w:sz w:val="24"/>
                <w:szCs w:val="24"/>
              </w:rPr>
              <w:t>12 mm</w:t>
            </w:r>
            <w:r>
              <w:rPr>
                <w:rFonts w:hint="eastAsia" w:ascii="宋体" w:hAnsi="宋体" w:cs="宋体"/>
                <w:color w:val="auto"/>
                <w:kern w:val="0"/>
                <w:sz w:val="24"/>
                <w:szCs w:val="24"/>
              </w:rPr>
              <w:t>，水平视场角：</w:t>
            </w:r>
            <w:r>
              <w:rPr>
                <w:rFonts w:ascii="宋体" w:hAnsi="宋体" w:cs="宋体"/>
                <w:color w:val="auto"/>
                <w:kern w:val="0"/>
                <w:sz w:val="24"/>
                <w:szCs w:val="24"/>
              </w:rPr>
              <w:t>26</w:t>
            </w:r>
            <w:r>
              <w:rPr>
                <w:rFonts w:hint="eastAsia" w:ascii="宋体" w:hAnsi="宋体" w:cs="宋体"/>
                <w:color w:val="auto"/>
                <w:kern w:val="0"/>
                <w:sz w:val="24"/>
                <w:szCs w:val="24"/>
              </w:rPr>
              <w:t>°，垂直视场角：</w:t>
            </w:r>
            <w:r>
              <w:rPr>
                <w:rFonts w:ascii="宋体" w:hAnsi="宋体" w:cs="宋体"/>
                <w:color w:val="auto"/>
                <w:kern w:val="0"/>
                <w:sz w:val="24"/>
                <w:szCs w:val="24"/>
              </w:rPr>
              <w:t>15</w:t>
            </w:r>
            <w:r>
              <w:rPr>
                <w:rFonts w:hint="eastAsia" w:ascii="宋体" w:hAnsi="宋体" w:cs="宋体"/>
                <w:color w:val="auto"/>
                <w:kern w:val="0"/>
                <w:sz w:val="24"/>
                <w:szCs w:val="24"/>
              </w:rPr>
              <w:t>°，对角线视场角：</w:t>
            </w:r>
            <w:r>
              <w:rPr>
                <w:rFonts w:ascii="宋体" w:hAnsi="宋体" w:cs="宋体"/>
                <w:color w:val="auto"/>
                <w:kern w:val="0"/>
                <w:sz w:val="24"/>
                <w:szCs w:val="24"/>
              </w:rPr>
              <w:t>30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补光灯类型</w:t>
            </w:r>
            <w:r>
              <w:rPr>
                <w:rFonts w:ascii="宋体" w:hAnsi="宋体" w:cs="宋体"/>
                <w:color w:val="auto"/>
                <w:kern w:val="0"/>
                <w:sz w:val="24"/>
                <w:szCs w:val="24"/>
              </w:rPr>
              <w:t xml:space="preserve">: </w:t>
            </w:r>
            <w:r>
              <w:rPr>
                <w:rFonts w:hint="eastAsia" w:ascii="宋体" w:hAnsi="宋体" w:cs="宋体"/>
                <w:color w:val="auto"/>
                <w:kern w:val="0"/>
                <w:sz w:val="24"/>
                <w:szCs w:val="24"/>
              </w:rPr>
              <w:t>红外光，最远可达</w:t>
            </w:r>
            <w:r>
              <w:rPr>
                <w:rFonts w:ascii="宋体" w:hAnsi="宋体" w:cs="宋体"/>
                <w:color w:val="auto"/>
                <w:kern w:val="0"/>
                <w:sz w:val="24"/>
                <w:szCs w:val="24"/>
              </w:rPr>
              <w:t>30 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kern w:val="0"/>
                <w:sz w:val="24"/>
                <w:szCs w:val="24"/>
              </w:rPr>
              <w:t>波长范围</w:t>
            </w:r>
            <w:r>
              <w:rPr>
                <w:rFonts w:ascii="宋体" w:hAnsi="宋体" w:cs="宋体"/>
                <w:color w:val="auto"/>
                <w:kern w:val="0"/>
                <w:sz w:val="24"/>
                <w:szCs w:val="24"/>
              </w:rPr>
              <w:t>: 850 nm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kern w:val="0"/>
                <w:sz w:val="24"/>
                <w:szCs w:val="24"/>
              </w:rPr>
              <w:t>最大图像尺寸</w:t>
            </w:r>
            <w:r>
              <w:rPr>
                <w:rFonts w:ascii="宋体" w:hAnsi="宋体" w:cs="宋体"/>
                <w:color w:val="auto"/>
                <w:kern w:val="0"/>
                <w:sz w:val="24"/>
                <w:szCs w:val="24"/>
              </w:rPr>
              <w:t xml:space="preserve">: 1920 </w:t>
            </w:r>
            <w:r>
              <w:rPr>
                <w:rFonts w:hint="eastAsia" w:ascii="宋体" w:hAnsi="宋体" w:cs="宋体"/>
                <w:color w:val="auto"/>
                <w:kern w:val="0"/>
                <w:sz w:val="24"/>
                <w:szCs w:val="24"/>
              </w:rPr>
              <w:t>×</w:t>
            </w:r>
            <w:r>
              <w:rPr>
                <w:rFonts w:ascii="宋体" w:hAnsi="宋体" w:cs="宋体"/>
                <w:color w:val="auto"/>
                <w:kern w:val="0"/>
                <w:sz w:val="24"/>
                <w:szCs w:val="24"/>
              </w:rPr>
              <w:t xml:space="preserve"> 1080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8</w:t>
            </w:r>
            <w:r>
              <w:rPr>
                <w:rFonts w:hint="eastAsia" w:ascii="宋体" w:hAnsi="宋体" w:cs="宋体"/>
                <w:color w:val="auto"/>
                <w:sz w:val="24"/>
                <w:szCs w:val="24"/>
              </w:rPr>
              <w:t>、</w:t>
            </w:r>
            <w:r>
              <w:rPr>
                <w:rFonts w:hint="eastAsia" w:ascii="宋体" w:hAnsi="宋体" w:cs="宋体"/>
                <w:color w:val="auto"/>
                <w:kern w:val="0"/>
                <w:sz w:val="24"/>
                <w:szCs w:val="24"/>
              </w:rPr>
              <w:t>视频压缩标准</w:t>
            </w:r>
            <w:r>
              <w:rPr>
                <w:rFonts w:ascii="宋体" w:hAnsi="宋体" w:cs="宋体"/>
                <w:color w:val="auto"/>
                <w:kern w:val="0"/>
                <w:sz w:val="24"/>
                <w:szCs w:val="24"/>
              </w:rPr>
              <w:t xml:space="preserve">: </w:t>
            </w:r>
          </w:p>
          <w:p>
            <w:pPr>
              <w:widowControl/>
              <w:ind w:firstLine="360" w:firstLineChars="150"/>
              <w:jc w:val="left"/>
              <w:textAlignment w:val="center"/>
              <w:rPr>
                <w:rFonts w:ascii="宋体"/>
                <w:color w:val="auto"/>
                <w:kern w:val="0"/>
                <w:sz w:val="24"/>
                <w:szCs w:val="24"/>
              </w:rPr>
            </w:pPr>
            <w:r>
              <w:rPr>
                <w:rFonts w:hint="eastAsia" w:ascii="宋体" w:hAnsi="宋体" w:cs="宋体"/>
                <w:color w:val="auto"/>
                <w:kern w:val="0"/>
                <w:sz w:val="24"/>
                <w:szCs w:val="24"/>
              </w:rPr>
              <w:t>主码流：</w:t>
            </w:r>
            <w:r>
              <w:rPr>
                <w:rFonts w:ascii="宋体" w:hAnsi="宋体" w:cs="宋体"/>
                <w:color w:val="auto"/>
                <w:kern w:val="0"/>
                <w:sz w:val="24"/>
                <w:szCs w:val="24"/>
              </w:rPr>
              <w:t>H.265/H.264</w:t>
            </w:r>
            <w:r>
              <w:rPr>
                <w:rFonts w:hint="eastAsia" w:ascii="宋体" w:hAnsi="宋体" w:cs="宋体"/>
                <w:color w:val="auto"/>
                <w:kern w:val="0"/>
                <w:sz w:val="24"/>
                <w:szCs w:val="24"/>
              </w:rPr>
              <w:t>，子码流：</w:t>
            </w:r>
            <w:r>
              <w:rPr>
                <w:rFonts w:ascii="宋体" w:hAnsi="宋体" w:cs="宋体"/>
                <w:color w:val="auto"/>
                <w:kern w:val="0"/>
                <w:sz w:val="24"/>
                <w:szCs w:val="24"/>
              </w:rPr>
              <w:t>H.265/H.264/MJPEG</w:t>
            </w:r>
          </w:p>
          <w:p>
            <w:pPr>
              <w:widowControl/>
              <w:jc w:val="left"/>
              <w:textAlignment w:val="center"/>
              <w:rPr>
                <w:rFonts w:ascii="宋体"/>
                <w:color w:val="auto"/>
                <w:kern w:val="0"/>
                <w:sz w:val="24"/>
                <w:szCs w:val="24"/>
              </w:rPr>
            </w:pPr>
            <w:r>
              <w:rPr>
                <w:rFonts w:ascii="宋体" w:hAnsi="宋体" w:cs="宋体"/>
                <w:color w:val="auto"/>
                <w:sz w:val="24"/>
                <w:szCs w:val="24"/>
              </w:rPr>
              <w:t>9</w:t>
            </w:r>
            <w:r>
              <w:rPr>
                <w:rFonts w:hint="eastAsia" w:ascii="宋体" w:hAnsi="宋体" w:cs="宋体"/>
                <w:color w:val="auto"/>
                <w:sz w:val="24"/>
                <w:szCs w:val="24"/>
              </w:rPr>
              <w:t>、</w:t>
            </w:r>
            <w:r>
              <w:rPr>
                <w:rFonts w:hint="eastAsia" w:ascii="宋体" w:hAnsi="宋体" w:cs="宋体"/>
                <w:color w:val="auto"/>
                <w:kern w:val="0"/>
                <w:sz w:val="24"/>
                <w:szCs w:val="24"/>
              </w:rPr>
              <w:t>网络</w:t>
            </w:r>
            <w:r>
              <w:rPr>
                <w:rFonts w:ascii="宋体" w:hAnsi="宋体" w:cs="宋体"/>
                <w:color w:val="auto"/>
                <w:kern w:val="0"/>
                <w:sz w:val="24"/>
                <w:szCs w:val="24"/>
              </w:rPr>
              <w:t xml:space="preserve">: 1 </w:t>
            </w:r>
            <w:r>
              <w:rPr>
                <w:rFonts w:hint="eastAsia" w:ascii="宋体" w:hAnsi="宋体" w:cs="宋体"/>
                <w:color w:val="auto"/>
                <w:kern w:val="0"/>
                <w:sz w:val="24"/>
                <w:szCs w:val="24"/>
              </w:rPr>
              <w:t>个</w:t>
            </w:r>
            <w:r>
              <w:rPr>
                <w:rFonts w:ascii="宋体" w:hAnsi="宋体" w:cs="宋体"/>
                <w:color w:val="auto"/>
                <w:kern w:val="0"/>
                <w:sz w:val="24"/>
                <w:szCs w:val="24"/>
              </w:rPr>
              <w:t xml:space="preserve">RJ45 10 M/100 M </w:t>
            </w:r>
            <w:r>
              <w:rPr>
                <w:rFonts w:hint="eastAsia" w:ascii="宋体" w:hAnsi="宋体" w:cs="宋体"/>
                <w:color w:val="auto"/>
                <w:kern w:val="0"/>
                <w:sz w:val="24"/>
                <w:szCs w:val="24"/>
              </w:rPr>
              <w:t>自适应以太网口；</w:t>
            </w:r>
          </w:p>
          <w:p>
            <w:pPr>
              <w:widowControl/>
              <w:jc w:val="left"/>
              <w:textAlignment w:val="center"/>
              <w:rPr>
                <w:rFonts w:ascii="宋体"/>
                <w:color w:val="auto"/>
                <w:kern w:val="0"/>
                <w:sz w:val="24"/>
                <w:szCs w:val="24"/>
              </w:rPr>
            </w:pPr>
            <w:r>
              <w:rPr>
                <w:rFonts w:ascii="宋体" w:hAnsi="宋体" w:cs="宋体"/>
                <w:color w:val="auto"/>
                <w:sz w:val="24"/>
                <w:szCs w:val="24"/>
              </w:rPr>
              <w:t>10</w:t>
            </w:r>
            <w:r>
              <w:rPr>
                <w:rFonts w:hint="eastAsia" w:ascii="宋体" w:hAnsi="宋体" w:cs="宋体"/>
                <w:color w:val="auto"/>
                <w:sz w:val="24"/>
                <w:szCs w:val="24"/>
              </w:rPr>
              <w:t>、</w:t>
            </w:r>
            <w:r>
              <w:rPr>
                <w:rFonts w:hint="eastAsia" w:ascii="宋体" w:hAnsi="宋体" w:cs="宋体"/>
                <w:color w:val="auto"/>
                <w:kern w:val="0"/>
                <w:sz w:val="24"/>
                <w:szCs w:val="24"/>
              </w:rPr>
              <w:t>存储温湿度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sz w:val="24"/>
                <w:szCs w:val="24"/>
              </w:rPr>
              <w:t>11</w:t>
            </w:r>
            <w:r>
              <w:rPr>
                <w:rFonts w:hint="eastAsia" w:ascii="宋体" w:hAnsi="宋体" w:cs="宋体"/>
                <w:color w:val="auto"/>
                <w:sz w:val="24"/>
                <w:szCs w:val="24"/>
              </w:rPr>
              <w:t>、</w:t>
            </w:r>
            <w:r>
              <w:rPr>
                <w:rFonts w:hint="eastAsia" w:ascii="宋体" w:hAnsi="宋体" w:cs="宋体"/>
                <w:color w:val="auto"/>
                <w:kern w:val="0"/>
                <w:sz w:val="24"/>
                <w:szCs w:val="24"/>
              </w:rPr>
              <w:t>启动及工作温湿度</w:t>
            </w:r>
            <w:r>
              <w:rPr>
                <w:rFonts w:ascii="宋体" w:hAnsi="宋体" w:cs="宋体"/>
                <w:color w:val="auto"/>
                <w:kern w:val="0"/>
                <w:sz w:val="24"/>
                <w:szCs w:val="24"/>
              </w:rPr>
              <w:t xml:space="preserve">: -30 </w:t>
            </w:r>
            <w:r>
              <w:rPr>
                <w:rFonts w:hint="eastAsia" w:ascii="宋体" w:hAnsi="宋体" w:cs="宋体"/>
                <w:color w:val="auto"/>
                <w:kern w:val="0"/>
                <w:sz w:val="24"/>
                <w:szCs w:val="24"/>
              </w:rPr>
              <w:t>℃</w:t>
            </w:r>
            <w:r>
              <w:rPr>
                <w:rFonts w:ascii="宋体" w:hAnsi="宋体" w:cs="宋体"/>
                <w:color w:val="auto"/>
                <w:kern w:val="0"/>
                <w:sz w:val="24"/>
                <w:szCs w:val="24"/>
              </w:rPr>
              <w:t xml:space="preserve">~60 </w:t>
            </w:r>
            <w:r>
              <w:rPr>
                <w:rFonts w:hint="eastAsia" w:ascii="宋体" w:hAnsi="宋体" w:cs="宋体"/>
                <w:color w:val="auto"/>
                <w:kern w:val="0"/>
                <w:sz w:val="24"/>
                <w:szCs w:val="24"/>
              </w:rPr>
              <w:t>℃，湿度小于</w:t>
            </w:r>
            <w:r>
              <w:rPr>
                <w:rFonts w:ascii="宋体" w:hAnsi="宋体" w:cs="宋体"/>
                <w:color w:val="auto"/>
                <w:kern w:val="0"/>
                <w:sz w:val="24"/>
                <w:szCs w:val="24"/>
              </w:rPr>
              <w:t>95%</w:t>
            </w:r>
            <w:r>
              <w:rPr>
                <w:rFonts w:hint="eastAsia" w:ascii="宋体" w:hAnsi="宋体" w:cs="宋体"/>
                <w:color w:val="auto"/>
                <w:kern w:val="0"/>
                <w:sz w:val="24"/>
                <w:szCs w:val="24"/>
              </w:rPr>
              <w:t>（无凝结）；</w:t>
            </w:r>
          </w:p>
          <w:p>
            <w:pPr>
              <w:widowControl/>
              <w:jc w:val="left"/>
              <w:textAlignment w:val="center"/>
              <w:rPr>
                <w:rFonts w:ascii="宋体"/>
                <w:color w:val="auto"/>
                <w:kern w:val="0"/>
                <w:sz w:val="24"/>
                <w:szCs w:val="24"/>
              </w:rPr>
            </w:pPr>
            <w:r>
              <w:rPr>
                <w:rFonts w:ascii="宋体" w:hAnsi="宋体" w:cs="宋体"/>
                <w:color w:val="auto"/>
                <w:sz w:val="24"/>
                <w:szCs w:val="24"/>
              </w:rPr>
              <w:t>12</w:t>
            </w:r>
            <w:r>
              <w:rPr>
                <w:rFonts w:hint="eastAsia" w:ascii="宋体" w:hAnsi="宋体" w:cs="宋体"/>
                <w:color w:val="auto"/>
                <w:sz w:val="24"/>
                <w:szCs w:val="24"/>
              </w:rPr>
              <w:t>、</w:t>
            </w:r>
            <w:r>
              <w:rPr>
                <w:rFonts w:hint="eastAsia" w:ascii="宋体" w:hAnsi="宋体" w:cs="宋体"/>
                <w:color w:val="auto"/>
                <w:kern w:val="0"/>
                <w:sz w:val="24"/>
                <w:szCs w:val="24"/>
              </w:rPr>
              <w:t>供电方式</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 xml:space="preserve">12 V </w:t>
            </w:r>
            <w:r>
              <w:rPr>
                <w:rFonts w:hint="eastAsia" w:ascii="宋体" w:hAnsi="宋体" w:cs="宋体"/>
                <w:color w:val="auto"/>
                <w:kern w:val="0"/>
                <w:sz w:val="24"/>
                <w:szCs w:val="24"/>
              </w:rPr>
              <w:t>±</w:t>
            </w:r>
            <w:r>
              <w:rPr>
                <w:rFonts w:ascii="宋体" w:hAnsi="宋体" w:cs="宋体"/>
                <w:color w:val="auto"/>
                <w:kern w:val="0"/>
                <w:sz w:val="24"/>
                <w:szCs w:val="24"/>
              </w:rPr>
              <w:t xml:space="preserve"> 25%</w:t>
            </w:r>
            <w:r>
              <w:rPr>
                <w:rFonts w:hint="eastAsia" w:ascii="宋体" w:hAnsi="宋体" w:cs="宋体"/>
                <w:color w:val="auto"/>
                <w:kern w:val="0"/>
                <w:sz w:val="24"/>
                <w:szCs w:val="24"/>
              </w:rPr>
              <w:t>，支持防反接保护；</w:t>
            </w:r>
            <w:r>
              <w:rPr>
                <w:rFonts w:ascii="宋体" w:hAnsi="宋体" w:cs="宋体"/>
                <w:color w:val="auto"/>
                <w:kern w:val="0"/>
                <w:sz w:val="24"/>
                <w:szCs w:val="24"/>
              </w:rPr>
              <w:t xml:space="preserve"> </w:t>
            </w:r>
          </w:p>
          <w:p>
            <w:pPr>
              <w:widowControl/>
              <w:jc w:val="left"/>
              <w:textAlignment w:val="center"/>
              <w:rPr>
                <w:rFonts w:ascii="宋体"/>
                <w:color w:val="auto"/>
                <w:kern w:val="0"/>
                <w:sz w:val="24"/>
                <w:szCs w:val="24"/>
              </w:rPr>
            </w:pPr>
            <w:r>
              <w:rPr>
                <w:rFonts w:ascii="宋体" w:hAnsi="宋体" w:cs="宋体"/>
                <w:color w:val="auto"/>
                <w:sz w:val="24"/>
                <w:szCs w:val="24"/>
              </w:rPr>
              <w:t>13</w:t>
            </w:r>
            <w:r>
              <w:rPr>
                <w:rFonts w:hint="eastAsia" w:ascii="宋体" w:hAnsi="宋体" w:cs="宋体"/>
                <w:color w:val="auto"/>
                <w:sz w:val="24"/>
                <w:szCs w:val="24"/>
              </w:rPr>
              <w:t>、</w:t>
            </w:r>
            <w:r>
              <w:rPr>
                <w:rFonts w:hint="eastAsia" w:ascii="宋体" w:hAnsi="宋体" w:cs="宋体"/>
                <w:color w:val="auto"/>
                <w:kern w:val="0"/>
                <w:sz w:val="24"/>
                <w:szCs w:val="24"/>
              </w:rPr>
              <w:t>电流及功耗</w:t>
            </w:r>
            <w:r>
              <w:rPr>
                <w:rFonts w:ascii="宋体" w:hAnsi="宋体" w:cs="宋体"/>
                <w:color w:val="auto"/>
                <w:kern w:val="0"/>
                <w:sz w:val="24"/>
                <w:szCs w:val="24"/>
              </w:rPr>
              <w:t>: DC</w:t>
            </w:r>
            <w:r>
              <w:rPr>
                <w:rFonts w:hint="eastAsia" w:ascii="宋体" w:hAnsi="宋体" w:cs="宋体"/>
                <w:color w:val="auto"/>
                <w:kern w:val="0"/>
                <w:sz w:val="24"/>
                <w:szCs w:val="24"/>
              </w:rPr>
              <w:t>：</w:t>
            </w:r>
            <w:r>
              <w:rPr>
                <w:rFonts w:ascii="宋体" w:hAnsi="宋体" w:cs="宋体"/>
                <w:color w:val="auto"/>
                <w:kern w:val="0"/>
                <w:sz w:val="24"/>
                <w:szCs w:val="24"/>
              </w:rPr>
              <w:t>12 V</w:t>
            </w:r>
            <w:r>
              <w:rPr>
                <w:rFonts w:hint="eastAsia" w:ascii="宋体" w:hAnsi="宋体" w:cs="宋体"/>
                <w:color w:val="auto"/>
                <w:kern w:val="0"/>
                <w:sz w:val="24"/>
                <w:szCs w:val="24"/>
              </w:rPr>
              <w:t>，</w:t>
            </w:r>
            <w:r>
              <w:rPr>
                <w:rFonts w:ascii="宋体" w:hAnsi="宋体" w:cs="宋体"/>
                <w:color w:val="auto"/>
                <w:kern w:val="0"/>
                <w:sz w:val="24"/>
                <w:szCs w:val="24"/>
              </w:rPr>
              <w:t>0.34 A</w:t>
            </w:r>
            <w:r>
              <w:rPr>
                <w:rFonts w:hint="eastAsia" w:ascii="宋体" w:hAnsi="宋体" w:cs="宋体"/>
                <w:color w:val="auto"/>
                <w:kern w:val="0"/>
                <w:sz w:val="24"/>
                <w:szCs w:val="24"/>
              </w:rPr>
              <w:t>，最大功耗：</w:t>
            </w:r>
            <w:r>
              <w:rPr>
                <w:rFonts w:ascii="宋体" w:hAnsi="宋体" w:cs="宋体"/>
                <w:color w:val="auto"/>
                <w:kern w:val="0"/>
                <w:sz w:val="24"/>
                <w:szCs w:val="24"/>
              </w:rPr>
              <w:t>4 W</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14</w:t>
            </w:r>
            <w:r>
              <w:rPr>
                <w:rFonts w:hint="eastAsia" w:ascii="宋体" w:hAnsi="宋体" w:cs="宋体"/>
                <w:color w:val="auto"/>
                <w:sz w:val="24"/>
                <w:szCs w:val="24"/>
              </w:rPr>
              <w:t>、</w:t>
            </w:r>
            <w:r>
              <w:rPr>
                <w:rFonts w:hint="eastAsia" w:ascii="宋体" w:hAnsi="宋体" w:cs="宋体"/>
                <w:color w:val="auto"/>
                <w:kern w:val="0"/>
                <w:sz w:val="24"/>
                <w:szCs w:val="24"/>
              </w:rPr>
              <w:t>电源接口类型</w:t>
            </w:r>
            <w:r>
              <w:rPr>
                <w:rFonts w:ascii="宋体" w:hAnsi="宋体" w:cs="宋体"/>
                <w:color w:val="auto"/>
                <w:kern w:val="0"/>
                <w:sz w:val="24"/>
                <w:szCs w:val="24"/>
              </w:rPr>
              <w:t>: ?5.5 mm</w:t>
            </w:r>
            <w:r>
              <w:rPr>
                <w:rFonts w:hint="eastAsia" w:ascii="宋体" w:hAnsi="宋体" w:cs="宋体"/>
                <w:color w:val="auto"/>
                <w:kern w:val="0"/>
                <w:sz w:val="24"/>
                <w:szCs w:val="24"/>
              </w:rPr>
              <w:t>圆口；</w:t>
            </w:r>
          </w:p>
          <w:p>
            <w:pPr>
              <w:widowControl/>
              <w:jc w:val="left"/>
              <w:textAlignment w:val="center"/>
              <w:rPr>
                <w:rFonts w:ascii="宋体"/>
                <w:color w:val="auto"/>
                <w:kern w:val="0"/>
                <w:sz w:val="24"/>
                <w:szCs w:val="24"/>
              </w:rPr>
            </w:pPr>
            <w:r>
              <w:rPr>
                <w:rFonts w:ascii="宋体" w:hAnsi="宋体" w:cs="宋体"/>
                <w:color w:val="auto"/>
                <w:sz w:val="24"/>
                <w:szCs w:val="24"/>
              </w:rPr>
              <w:t>15</w:t>
            </w:r>
            <w:r>
              <w:rPr>
                <w:rFonts w:hint="eastAsia" w:ascii="宋体" w:hAnsi="宋体" w:cs="宋体"/>
                <w:color w:val="auto"/>
                <w:sz w:val="24"/>
                <w:szCs w:val="24"/>
              </w:rPr>
              <w:t>、</w:t>
            </w:r>
            <w:r>
              <w:rPr>
                <w:rFonts w:hint="eastAsia" w:ascii="宋体" w:hAnsi="宋体" w:cs="宋体"/>
                <w:color w:val="auto"/>
                <w:kern w:val="0"/>
                <w:sz w:val="24"/>
                <w:szCs w:val="24"/>
              </w:rPr>
              <w:t>产品尺寸</w:t>
            </w:r>
            <w:r>
              <w:rPr>
                <w:rFonts w:ascii="宋体" w:hAnsi="宋体" w:cs="宋体"/>
                <w:color w:val="auto"/>
                <w:kern w:val="0"/>
                <w:sz w:val="24"/>
                <w:szCs w:val="24"/>
              </w:rPr>
              <w:t xml:space="preserve">: 147.5 </w:t>
            </w:r>
            <w:r>
              <w:rPr>
                <w:rFonts w:hint="eastAsia" w:ascii="宋体" w:hAnsi="宋体" w:cs="宋体"/>
                <w:color w:val="auto"/>
                <w:kern w:val="0"/>
                <w:sz w:val="24"/>
                <w:szCs w:val="24"/>
              </w:rPr>
              <w:t>×</w:t>
            </w:r>
            <w:r>
              <w:rPr>
                <w:rFonts w:ascii="宋体" w:hAnsi="宋体" w:cs="宋体"/>
                <w:color w:val="auto"/>
                <w:kern w:val="0"/>
                <w:sz w:val="24"/>
                <w:szCs w:val="24"/>
              </w:rPr>
              <w:t xml:space="preserve"> 92.9 </w:t>
            </w:r>
            <w:r>
              <w:rPr>
                <w:rFonts w:hint="eastAsia" w:ascii="宋体" w:hAnsi="宋体" w:cs="宋体"/>
                <w:color w:val="auto"/>
                <w:kern w:val="0"/>
                <w:sz w:val="24"/>
                <w:szCs w:val="24"/>
              </w:rPr>
              <w:t>×</w:t>
            </w:r>
            <w:r>
              <w:rPr>
                <w:rFonts w:ascii="宋体" w:hAnsi="宋体" w:cs="宋体"/>
                <w:color w:val="auto"/>
                <w:kern w:val="0"/>
                <w:sz w:val="24"/>
                <w:szCs w:val="24"/>
              </w:rPr>
              <w:t xml:space="preserve"> 78.2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16</w:t>
            </w:r>
            <w:r>
              <w:rPr>
                <w:rFonts w:hint="eastAsia" w:ascii="宋体" w:hAnsi="宋体" w:cs="宋体"/>
                <w:color w:val="auto"/>
                <w:sz w:val="24"/>
                <w:szCs w:val="24"/>
              </w:rPr>
              <w:t>、</w:t>
            </w:r>
            <w:r>
              <w:rPr>
                <w:rFonts w:hint="eastAsia" w:ascii="宋体" w:hAnsi="宋体" w:cs="宋体"/>
                <w:color w:val="auto"/>
                <w:kern w:val="0"/>
                <w:sz w:val="24"/>
                <w:szCs w:val="24"/>
              </w:rPr>
              <w:t>包装尺寸</w:t>
            </w:r>
            <w:r>
              <w:rPr>
                <w:rFonts w:ascii="宋体" w:hAnsi="宋体" w:cs="宋体"/>
                <w:color w:val="auto"/>
                <w:kern w:val="0"/>
                <w:sz w:val="24"/>
                <w:szCs w:val="24"/>
              </w:rPr>
              <w:t xml:space="preserve">: 190 </w:t>
            </w:r>
            <w:r>
              <w:rPr>
                <w:rFonts w:hint="eastAsia" w:ascii="宋体" w:hAnsi="宋体" w:cs="宋体"/>
                <w:color w:val="auto"/>
                <w:kern w:val="0"/>
                <w:sz w:val="24"/>
                <w:szCs w:val="24"/>
              </w:rPr>
              <w:t>×</w:t>
            </w:r>
            <w:r>
              <w:rPr>
                <w:rFonts w:ascii="宋体" w:hAnsi="宋体" w:cs="宋体"/>
                <w:color w:val="auto"/>
                <w:kern w:val="0"/>
                <w:sz w:val="24"/>
                <w:szCs w:val="24"/>
              </w:rPr>
              <w:t xml:space="preserve"> 110 </w:t>
            </w:r>
            <w:r>
              <w:rPr>
                <w:rFonts w:hint="eastAsia" w:ascii="宋体" w:hAnsi="宋体" w:cs="宋体"/>
                <w:color w:val="auto"/>
                <w:kern w:val="0"/>
                <w:sz w:val="24"/>
                <w:szCs w:val="24"/>
              </w:rPr>
              <w:t>×</w:t>
            </w:r>
            <w:r>
              <w:rPr>
                <w:rFonts w:ascii="宋体" w:hAnsi="宋体" w:cs="宋体"/>
                <w:color w:val="auto"/>
                <w:kern w:val="0"/>
                <w:sz w:val="24"/>
                <w:szCs w:val="24"/>
              </w:rPr>
              <w:t xml:space="preserve"> 95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17</w:t>
            </w:r>
            <w:r>
              <w:rPr>
                <w:rFonts w:hint="eastAsia" w:ascii="宋体" w:hAnsi="宋体" w:cs="宋体"/>
                <w:color w:val="auto"/>
                <w:sz w:val="24"/>
                <w:szCs w:val="24"/>
              </w:rPr>
              <w:t>、</w:t>
            </w:r>
            <w:r>
              <w:rPr>
                <w:rFonts w:hint="eastAsia" w:ascii="宋体" w:hAnsi="宋体" w:cs="宋体"/>
                <w:color w:val="auto"/>
                <w:kern w:val="0"/>
                <w:sz w:val="24"/>
                <w:szCs w:val="24"/>
              </w:rPr>
              <w:t>设备重量</w:t>
            </w:r>
            <w:r>
              <w:rPr>
                <w:rFonts w:ascii="宋体" w:hAnsi="宋体" w:cs="宋体"/>
                <w:color w:val="auto"/>
                <w:kern w:val="0"/>
                <w:sz w:val="24"/>
                <w:szCs w:val="24"/>
              </w:rPr>
              <w:t>: 370 g</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18</w:t>
            </w:r>
            <w:r>
              <w:rPr>
                <w:rFonts w:hint="eastAsia" w:ascii="宋体" w:hAnsi="宋体" w:cs="宋体"/>
                <w:color w:val="auto"/>
                <w:sz w:val="24"/>
                <w:szCs w:val="24"/>
              </w:rPr>
              <w:t>、</w:t>
            </w:r>
            <w:r>
              <w:rPr>
                <w:rFonts w:hint="eastAsia" w:ascii="宋体" w:hAnsi="宋体" w:cs="宋体"/>
                <w:color w:val="auto"/>
                <w:kern w:val="0"/>
                <w:sz w:val="24"/>
                <w:szCs w:val="24"/>
              </w:rPr>
              <w:t>带包装重量</w:t>
            </w:r>
            <w:r>
              <w:rPr>
                <w:rFonts w:ascii="宋体" w:hAnsi="宋体" w:cs="宋体"/>
                <w:color w:val="auto"/>
                <w:kern w:val="0"/>
                <w:sz w:val="24"/>
                <w:szCs w:val="24"/>
              </w:rPr>
              <w:t>: 530 g</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sz w:val="24"/>
                <w:szCs w:val="24"/>
              </w:rPr>
              <w:t>19</w:t>
            </w:r>
            <w:r>
              <w:rPr>
                <w:rFonts w:hint="eastAsia" w:ascii="宋体" w:hAnsi="宋体" w:cs="宋体"/>
                <w:color w:val="auto"/>
                <w:sz w:val="24"/>
                <w:szCs w:val="24"/>
              </w:rPr>
              <w:t>、</w:t>
            </w:r>
            <w:r>
              <w:rPr>
                <w:rFonts w:hint="eastAsia" w:ascii="宋体" w:hAnsi="宋体" w:cs="宋体"/>
                <w:color w:val="auto"/>
                <w:kern w:val="0"/>
                <w:sz w:val="24"/>
                <w:szCs w:val="24"/>
              </w:rPr>
              <w:t>防护</w:t>
            </w:r>
            <w:r>
              <w:rPr>
                <w:rFonts w:ascii="宋体" w:hAnsi="宋体" w:cs="宋体"/>
                <w:color w:val="auto"/>
                <w:kern w:val="0"/>
                <w:sz w:val="24"/>
                <w:szCs w:val="24"/>
              </w:rPr>
              <w:t>: IP67</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16</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16</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球机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E</w:t>
            </w:r>
            <w:r>
              <w:rPr>
                <w:rFonts w:hint="eastAsia" w:ascii="宋体" w:hAnsi="宋体" w:cs="宋体"/>
                <w:color w:val="auto"/>
                <w:kern w:val="0"/>
                <w:sz w:val="24"/>
                <w:szCs w:val="24"/>
              </w:rPr>
              <w:t>系列</w:t>
            </w:r>
            <w:r>
              <w:rPr>
                <w:rFonts w:ascii="宋体" w:hAnsi="宋体" w:cs="宋体"/>
                <w:color w:val="auto"/>
                <w:kern w:val="0"/>
                <w:sz w:val="24"/>
                <w:szCs w:val="24"/>
              </w:rPr>
              <w:t>200</w:t>
            </w:r>
            <w:r>
              <w:rPr>
                <w:rFonts w:hint="eastAsia" w:ascii="宋体" w:hAnsi="宋体" w:cs="宋体"/>
                <w:color w:val="auto"/>
                <w:kern w:val="0"/>
                <w:sz w:val="24"/>
                <w:szCs w:val="24"/>
              </w:rPr>
              <w:t>万</w:t>
            </w:r>
            <w:r>
              <w:rPr>
                <w:rFonts w:ascii="宋体" w:hAnsi="宋体" w:cs="宋体"/>
                <w:color w:val="auto"/>
                <w:kern w:val="0"/>
                <w:sz w:val="24"/>
                <w:szCs w:val="24"/>
              </w:rPr>
              <w:t>7</w:t>
            </w:r>
            <w:r>
              <w:rPr>
                <w:rFonts w:hint="eastAsia" w:ascii="宋体" w:hAnsi="宋体" w:cs="宋体"/>
                <w:color w:val="auto"/>
                <w:kern w:val="0"/>
                <w:sz w:val="24"/>
                <w:szCs w:val="24"/>
              </w:rPr>
              <w:t>寸</w:t>
            </w:r>
            <w:r>
              <w:rPr>
                <w:rFonts w:ascii="宋体" w:hAnsi="宋体" w:cs="宋体"/>
                <w:color w:val="auto"/>
                <w:kern w:val="0"/>
                <w:sz w:val="24"/>
                <w:szCs w:val="24"/>
              </w:rPr>
              <w:t>23</w:t>
            </w:r>
            <w:r>
              <w:rPr>
                <w:rFonts w:hint="eastAsia" w:ascii="宋体" w:hAnsi="宋体" w:cs="宋体"/>
                <w:color w:val="auto"/>
                <w:kern w:val="0"/>
                <w:sz w:val="24"/>
                <w:szCs w:val="24"/>
              </w:rPr>
              <w:t>倍红外网络球机；</w:t>
            </w:r>
          </w:p>
          <w:p>
            <w:pPr>
              <w:widowControl/>
              <w:jc w:val="left"/>
              <w:textAlignment w:val="center"/>
              <w:rPr>
                <w:rFonts w:ascii="宋体"/>
                <w:color w:val="auto"/>
                <w:kern w:val="0"/>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支持区域入侵侦测，越界侦测，进入区域侦测和离开区域侦等智能侦测并联动跟踪；</w:t>
            </w:r>
          </w:p>
          <w:p>
            <w:pPr>
              <w:widowControl/>
              <w:jc w:val="left"/>
              <w:textAlignment w:val="center"/>
              <w:rPr>
                <w:rFonts w:ascii="宋体"/>
                <w:color w:val="auto"/>
                <w:kern w:val="0"/>
                <w:sz w:val="24"/>
                <w:szCs w:val="24"/>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传感器；</w:t>
            </w:r>
          </w:p>
          <w:p>
            <w:pPr>
              <w:widowControl/>
              <w:jc w:val="left"/>
              <w:textAlignment w:val="center"/>
              <w:rPr>
                <w:rFonts w:ascii="宋体"/>
                <w:color w:val="auto"/>
                <w:kern w:val="0"/>
                <w:sz w:val="24"/>
                <w:szCs w:val="24"/>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最低照度</w:t>
            </w:r>
            <w:r>
              <w:rPr>
                <w:rFonts w:ascii="宋体" w:hAnsi="宋体" w:cs="宋体"/>
                <w:color w:val="auto"/>
                <w:kern w:val="0"/>
                <w:sz w:val="24"/>
                <w:szCs w:val="24"/>
              </w:rPr>
              <w:t xml:space="preserve">: </w:t>
            </w:r>
            <w:r>
              <w:rPr>
                <w:rFonts w:hint="eastAsia" w:ascii="宋体" w:hAnsi="宋体" w:cs="宋体"/>
                <w:color w:val="auto"/>
                <w:kern w:val="0"/>
                <w:sz w:val="24"/>
                <w:szCs w:val="24"/>
              </w:rPr>
              <w:t>彩色：</w:t>
            </w:r>
            <w:r>
              <w:rPr>
                <w:rFonts w:ascii="宋体" w:hAnsi="宋体" w:cs="宋体"/>
                <w:color w:val="auto"/>
                <w:kern w:val="0"/>
                <w:sz w:val="24"/>
                <w:szCs w:val="24"/>
              </w:rPr>
              <w:t>0.005 Lux @</w:t>
            </w:r>
            <w:r>
              <w:rPr>
                <w:rFonts w:hint="eastAsia" w:ascii="宋体" w:hAnsi="宋体" w:cs="宋体"/>
                <w:color w:val="auto"/>
                <w:kern w:val="0"/>
                <w:sz w:val="24"/>
                <w:szCs w:val="24"/>
              </w:rPr>
              <w:t>（</w:t>
            </w:r>
            <w:r>
              <w:rPr>
                <w:rFonts w:ascii="宋体" w:hAnsi="宋体" w:cs="宋体"/>
                <w:color w:val="auto"/>
                <w:kern w:val="0"/>
                <w:sz w:val="24"/>
                <w:szCs w:val="24"/>
              </w:rPr>
              <w:t>F1.6</w:t>
            </w:r>
            <w:r>
              <w:rPr>
                <w:rFonts w:hint="eastAsia" w:ascii="宋体" w:hAnsi="宋体" w:cs="宋体"/>
                <w:color w:val="auto"/>
                <w:kern w:val="0"/>
                <w:sz w:val="24"/>
                <w:szCs w:val="24"/>
              </w:rPr>
              <w:t>，</w:t>
            </w:r>
            <w:r>
              <w:rPr>
                <w:rFonts w:ascii="宋体" w:hAnsi="宋体" w:cs="宋体"/>
                <w:color w:val="auto"/>
                <w:kern w:val="0"/>
                <w:sz w:val="24"/>
                <w:szCs w:val="24"/>
              </w:rPr>
              <w:t>AGC ON</w:t>
            </w:r>
            <w:r>
              <w:rPr>
                <w:rFonts w:hint="eastAsia" w:ascii="宋体" w:hAnsi="宋体" w:cs="宋体"/>
                <w:color w:val="auto"/>
                <w:kern w:val="0"/>
                <w:sz w:val="24"/>
                <w:szCs w:val="24"/>
              </w:rPr>
              <w:t>）；</w:t>
            </w: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黑白：</w:t>
            </w:r>
            <w:r>
              <w:rPr>
                <w:rFonts w:ascii="宋体" w:hAnsi="宋体" w:cs="宋体"/>
                <w:color w:val="auto"/>
                <w:kern w:val="0"/>
                <w:sz w:val="24"/>
                <w:szCs w:val="24"/>
              </w:rPr>
              <w:t>0.001 Lux @</w:t>
            </w:r>
            <w:r>
              <w:rPr>
                <w:rFonts w:hint="eastAsia" w:ascii="宋体" w:hAnsi="宋体" w:cs="宋体"/>
                <w:color w:val="auto"/>
                <w:kern w:val="0"/>
                <w:sz w:val="24"/>
                <w:szCs w:val="24"/>
              </w:rPr>
              <w:t>（</w:t>
            </w:r>
            <w:r>
              <w:rPr>
                <w:rFonts w:ascii="宋体" w:hAnsi="宋体" w:cs="宋体"/>
                <w:color w:val="auto"/>
                <w:kern w:val="0"/>
                <w:sz w:val="24"/>
                <w:szCs w:val="24"/>
              </w:rPr>
              <w:t>F1.6</w:t>
            </w:r>
            <w:r>
              <w:rPr>
                <w:rFonts w:hint="eastAsia" w:ascii="宋体" w:hAnsi="宋体" w:cs="宋体"/>
                <w:color w:val="auto"/>
                <w:kern w:val="0"/>
                <w:sz w:val="24"/>
                <w:szCs w:val="24"/>
              </w:rPr>
              <w:t>，</w:t>
            </w:r>
            <w:r>
              <w:rPr>
                <w:rFonts w:ascii="宋体" w:hAnsi="宋体" w:cs="宋体"/>
                <w:color w:val="auto"/>
                <w:kern w:val="0"/>
                <w:sz w:val="24"/>
                <w:szCs w:val="24"/>
              </w:rPr>
              <w:t>AGC ON</w:t>
            </w:r>
            <w:r>
              <w:rPr>
                <w:rFonts w:hint="eastAsia" w:ascii="宋体" w:hAnsi="宋体" w:cs="宋体"/>
                <w:color w:val="auto"/>
                <w:kern w:val="0"/>
                <w:sz w:val="24"/>
                <w:szCs w:val="24"/>
              </w:rPr>
              <w:t>）；</w:t>
            </w:r>
            <w:r>
              <w:rPr>
                <w:rFonts w:ascii="宋体" w:hAnsi="宋体" w:cs="宋体"/>
                <w:color w:val="auto"/>
                <w:kern w:val="0"/>
                <w:sz w:val="24"/>
                <w:szCs w:val="24"/>
              </w:rPr>
              <w:t>0 Lux with IR</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color w:val="auto"/>
                <w:kern w:val="0"/>
                <w:sz w:val="24"/>
                <w:szCs w:val="24"/>
              </w:rPr>
              <w:t>宽动态</w:t>
            </w:r>
            <w:r>
              <w:rPr>
                <w:rFonts w:ascii="宋体" w:hAnsi="宋体" w:cs="宋体"/>
                <w:color w:val="auto"/>
                <w:kern w:val="0"/>
                <w:sz w:val="24"/>
                <w:szCs w:val="24"/>
              </w:rPr>
              <w:t>: 120 dB</w:t>
            </w:r>
            <w:r>
              <w:rPr>
                <w:rFonts w:hint="eastAsia" w:ascii="宋体" w:hAnsi="宋体" w:cs="宋体"/>
                <w:color w:val="auto"/>
                <w:kern w:val="0"/>
                <w:sz w:val="24"/>
                <w:szCs w:val="24"/>
              </w:rPr>
              <w:t>超宽动态；</w:t>
            </w:r>
          </w:p>
          <w:p>
            <w:pPr>
              <w:widowControl/>
              <w:jc w:val="left"/>
              <w:textAlignment w:val="center"/>
              <w:rPr>
                <w:rFonts w:ascii="宋体"/>
                <w:color w:val="auto"/>
                <w:kern w:val="0"/>
                <w:sz w:val="24"/>
                <w:szCs w:val="24"/>
              </w:rPr>
            </w:pPr>
            <w:r>
              <w:rPr>
                <w:rFonts w:ascii="宋体" w:hAnsi="宋体" w:cs="宋体"/>
                <w:color w:val="auto"/>
                <w:sz w:val="24"/>
                <w:szCs w:val="24"/>
              </w:rPr>
              <w:t>7</w:t>
            </w:r>
            <w:r>
              <w:rPr>
                <w:rFonts w:hint="eastAsia" w:ascii="宋体" w:hAnsi="宋体" w:cs="宋体"/>
                <w:color w:val="auto"/>
                <w:sz w:val="24"/>
                <w:szCs w:val="24"/>
              </w:rPr>
              <w:t>、</w:t>
            </w:r>
            <w:r>
              <w:rPr>
                <w:rFonts w:hint="eastAsia" w:ascii="宋体" w:hAnsi="宋体" w:cs="宋体"/>
                <w:color w:val="auto"/>
                <w:kern w:val="0"/>
                <w:sz w:val="24"/>
                <w:szCs w:val="24"/>
              </w:rPr>
              <w:t>焦距</w:t>
            </w:r>
            <w:r>
              <w:rPr>
                <w:rFonts w:ascii="宋体" w:hAnsi="宋体" w:cs="宋体"/>
                <w:color w:val="auto"/>
                <w:kern w:val="0"/>
                <w:sz w:val="24"/>
                <w:szCs w:val="24"/>
              </w:rPr>
              <w:t>: 4.8 mm~110 mm</w:t>
            </w:r>
            <w:r>
              <w:rPr>
                <w:rFonts w:hint="eastAsia" w:ascii="宋体" w:hAnsi="宋体" w:cs="宋体"/>
                <w:color w:val="auto"/>
                <w:kern w:val="0"/>
                <w:sz w:val="24"/>
                <w:szCs w:val="24"/>
              </w:rPr>
              <w:t>，</w:t>
            </w:r>
            <w:r>
              <w:rPr>
                <w:rFonts w:ascii="宋体" w:hAnsi="宋体" w:cs="宋体"/>
                <w:color w:val="auto"/>
                <w:kern w:val="0"/>
                <w:sz w:val="24"/>
                <w:szCs w:val="24"/>
              </w:rPr>
              <w:t>23</w:t>
            </w:r>
            <w:r>
              <w:rPr>
                <w:rFonts w:hint="eastAsia" w:ascii="宋体" w:hAnsi="宋体" w:cs="宋体"/>
                <w:color w:val="auto"/>
                <w:kern w:val="0"/>
                <w:sz w:val="24"/>
                <w:szCs w:val="24"/>
              </w:rPr>
              <w:t>倍光学变倍；</w:t>
            </w:r>
          </w:p>
          <w:p>
            <w:pPr>
              <w:widowControl/>
              <w:jc w:val="left"/>
              <w:textAlignment w:val="center"/>
              <w:rPr>
                <w:rFonts w:ascii="宋体"/>
                <w:color w:val="auto"/>
                <w:kern w:val="0"/>
                <w:sz w:val="24"/>
                <w:szCs w:val="24"/>
              </w:rPr>
            </w:pPr>
            <w:r>
              <w:rPr>
                <w:rFonts w:ascii="宋体" w:hAnsi="宋体" w:cs="宋体"/>
                <w:color w:val="auto"/>
                <w:sz w:val="24"/>
                <w:szCs w:val="24"/>
              </w:rPr>
              <w:t>8</w:t>
            </w:r>
            <w:r>
              <w:rPr>
                <w:rFonts w:hint="eastAsia" w:ascii="宋体" w:hAnsi="宋体" w:cs="宋体"/>
                <w:color w:val="auto"/>
                <w:sz w:val="24"/>
                <w:szCs w:val="24"/>
              </w:rPr>
              <w:t>、</w:t>
            </w:r>
            <w:r>
              <w:rPr>
                <w:rFonts w:hint="eastAsia" w:ascii="宋体" w:hAnsi="宋体" w:cs="宋体"/>
                <w:color w:val="auto"/>
                <w:kern w:val="0"/>
                <w:sz w:val="24"/>
                <w:szCs w:val="24"/>
              </w:rPr>
              <w:t>视场角</w:t>
            </w:r>
            <w:r>
              <w:rPr>
                <w:rFonts w:ascii="宋体" w:hAnsi="宋体" w:cs="宋体"/>
                <w:color w:val="auto"/>
                <w:kern w:val="0"/>
                <w:sz w:val="24"/>
                <w:szCs w:val="24"/>
              </w:rPr>
              <w:t>: 57.6</w:t>
            </w:r>
            <w:r>
              <w:rPr>
                <w:rFonts w:hint="eastAsia" w:ascii="宋体" w:hAnsi="宋体" w:cs="宋体"/>
                <w:color w:val="auto"/>
                <w:kern w:val="0"/>
                <w:sz w:val="24"/>
                <w:szCs w:val="24"/>
              </w:rPr>
              <w:t>°</w:t>
            </w:r>
            <w:r>
              <w:rPr>
                <w:rFonts w:ascii="宋体" w:hAnsi="宋体" w:cs="宋体"/>
                <w:color w:val="auto"/>
                <w:kern w:val="0"/>
                <w:sz w:val="24"/>
                <w:szCs w:val="24"/>
              </w:rPr>
              <w:t>~2.7</w:t>
            </w:r>
            <w:r>
              <w:rPr>
                <w:rFonts w:hint="eastAsia" w:ascii="宋体" w:hAnsi="宋体" w:cs="宋体"/>
                <w:color w:val="auto"/>
                <w:kern w:val="0"/>
                <w:sz w:val="24"/>
                <w:szCs w:val="24"/>
              </w:rPr>
              <w:t>°（广角</w:t>
            </w:r>
            <w:r>
              <w:rPr>
                <w:rFonts w:ascii="宋体" w:hAnsi="宋体" w:cs="宋体"/>
                <w:color w:val="auto"/>
                <w:kern w:val="0"/>
                <w:sz w:val="24"/>
                <w:szCs w:val="24"/>
              </w:rPr>
              <w:t>~</w:t>
            </w:r>
            <w:r>
              <w:rPr>
                <w:rFonts w:hint="eastAsia" w:ascii="宋体" w:hAnsi="宋体" w:cs="宋体"/>
                <w:color w:val="auto"/>
                <w:kern w:val="0"/>
                <w:sz w:val="24"/>
                <w:szCs w:val="24"/>
              </w:rPr>
              <w:t>望远）；</w:t>
            </w:r>
          </w:p>
          <w:p>
            <w:pPr>
              <w:widowControl/>
              <w:jc w:val="left"/>
              <w:textAlignment w:val="center"/>
              <w:rPr>
                <w:rFonts w:ascii="宋体"/>
                <w:color w:val="auto"/>
                <w:kern w:val="0"/>
                <w:sz w:val="24"/>
                <w:szCs w:val="24"/>
              </w:rPr>
            </w:pPr>
            <w:r>
              <w:rPr>
                <w:rFonts w:ascii="宋体" w:hAnsi="宋体" w:cs="宋体"/>
                <w:color w:val="auto"/>
                <w:sz w:val="24"/>
                <w:szCs w:val="24"/>
              </w:rPr>
              <w:t>9</w:t>
            </w:r>
            <w:r>
              <w:rPr>
                <w:rFonts w:hint="eastAsia" w:ascii="宋体" w:hAnsi="宋体" w:cs="宋体"/>
                <w:color w:val="auto"/>
                <w:sz w:val="24"/>
                <w:szCs w:val="24"/>
              </w:rPr>
              <w:t>、</w:t>
            </w:r>
            <w:r>
              <w:rPr>
                <w:rFonts w:hint="eastAsia" w:ascii="宋体" w:hAnsi="宋体" w:cs="宋体"/>
                <w:color w:val="auto"/>
                <w:kern w:val="0"/>
                <w:sz w:val="24"/>
                <w:szCs w:val="24"/>
              </w:rPr>
              <w:t>红外照射距离</w:t>
            </w:r>
            <w:r>
              <w:rPr>
                <w:rFonts w:ascii="宋体" w:hAnsi="宋体" w:cs="宋体"/>
                <w:color w:val="auto"/>
                <w:kern w:val="0"/>
                <w:sz w:val="24"/>
                <w:szCs w:val="24"/>
              </w:rPr>
              <w:t>: 150 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10</w:t>
            </w:r>
            <w:r>
              <w:rPr>
                <w:rFonts w:hint="eastAsia" w:ascii="宋体" w:hAnsi="宋体" w:cs="宋体"/>
                <w:color w:val="auto"/>
                <w:sz w:val="24"/>
                <w:szCs w:val="24"/>
              </w:rPr>
              <w:t>、</w:t>
            </w:r>
            <w:r>
              <w:rPr>
                <w:rFonts w:hint="eastAsia" w:ascii="宋体" w:hAnsi="宋体" w:cs="宋体"/>
                <w:color w:val="auto"/>
                <w:kern w:val="0"/>
                <w:sz w:val="24"/>
                <w:szCs w:val="24"/>
              </w:rPr>
              <w:t>水平范围</w:t>
            </w:r>
            <w:r>
              <w:rPr>
                <w:rFonts w:ascii="宋体" w:hAnsi="宋体" w:cs="宋体"/>
                <w:color w:val="auto"/>
                <w:kern w:val="0"/>
                <w:sz w:val="24"/>
                <w:szCs w:val="24"/>
              </w:rPr>
              <w:t>: 360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11</w:t>
            </w:r>
            <w:r>
              <w:rPr>
                <w:rFonts w:hint="eastAsia" w:ascii="宋体" w:hAnsi="宋体" w:cs="宋体"/>
                <w:color w:val="auto"/>
                <w:sz w:val="24"/>
                <w:szCs w:val="24"/>
              </w:rPr>
              <w:t>、</w:t>
            </w:r>
            <w:r>
              <w:rPr>
                <w:rFonts w:hint="eastAsia" w:ascii="宋体" w:hAnsi="宋体" w:cs="宋体"/>
                <w:color w:val="auto"/>
                <w:kern w:val="0"/>
                <w:sz w:val="24"/>
                <w:szCs w:val="24"/>
              </w:rPr>
              <w:t>垂直范围</w:t>
            </w:r>
            <w:r>
              <w:rPr>
                <w:rFonts w:ascii="宋体" w:hAnsi="宋体" w:cs="宋体"/>
                <w:color w:val="auto"/>
                <w:kern w:val="0"/>
                <w:sz w:val="24"/>
                <w:szCs w:val="24"/>
              </w:rPr>
              <w:t>: -15</w:t>
            </w:r>
            <w:r>
              <w:rPr>
                <w:rFonts w:hint="eastAsia" w:ascii="宋体" w:hAnsi="宋体" w:cs="宋体"/>
                <w:color w:val="auto"/>
                <w:kern w:val="0"/>
                <w:sz w:val="24"/>
                <w:szCs w:val="24"/>
              </w:rPr>
              <w:t>°</w:t>
            </w:r>
            <w:r>
              <w:rPr>
                <w:rFonts w:ascii="宋体" w:hAnsi="宋体" w:cs="宋体"/>
                <w:color w:val="auto"/>
                <w:kern w:val="0"/>
                <w:sz w:val="24"/>
                <w:szCs w:val="24"/>
              </w:rPr>
              <w:t>~90</w:t>
            </w:r>
            <w:r>
              <w:rPr>
                <w:rFonts w:hint="eastAsia" w:ascii="宋体" w:hAnsi="宋体" w:cs="宋体"/>
                <w:color w:val="auto"/>
                <w:kern w:val="0"/>
                <w:sz w:val="24"/>
                <w:szCs w:val="24"/>
              </w:rPr>
              <w:t>°（自动翻转）；</w:t>
            </w:r>
          </w:p>
          <w:p>
            <w:pPr>
              <w:widowControl/>
              <w:jc w:val="left"/>
              <w:textAlignment w:val="center"/>
              <w:rPr>
                <w:rFonts w:ascii="宋体"/>
                <w:color w:val="auto"/>
                <w:kern w:val="0"/>
                <w:sz w:val="24"/>
                <w:szCs w:val="24"/>
              </w:rPr>
            </w:pPr>
            <w:r>
              <w:rPr>
                <w:rFonts w:ascii="宋体" w:hAnsi="宋体" w:cs="宋体"/>
                <w:color w:val="auto"/>
                <w:sz w:val="24"/>
                <w:szCs w:val="24"/>
              </w:rPr>
              <w:t>12</w:t>
            </w:r>
            <w:r>
              <w:rPr>
                <w:rFonts w:hint="eastAsia" w:ascii="宋体" w:hAnsi="宋体" w:cs="宋体"/>
                <w:color w:val="auto"/>
                <w:sz w:val="24"/>
                <w:szCs w:val="24"/>
              </w:rPr>
              <w:t>、</w:t>
            </w:r>
            <w:r>
              <w:rPr>
                <w:rFonts w:hint="eastAsia" w:ascii="宋体" w:hAnsi="宋体" w:cs="宋体"/>
                <w:color w:val="auto"/>
                <w:kern w:val="0"/>
                <w:sz w:val="24"/>
                <w:szCs w:val="24"/>
              </w:rPr>
              <w:t>水平速度</w:t>
            </w:r>
            <w:r>
              <w:rPr>
                <w:rFonts w:ascii="宋体" w:hAnsi="宋体" w:cs="宋体"/>
                <w:color w:val="auto"/>
                <w:kern w:val="0"/>
                <w:sz w:val="24"/>
                <w:szCs w:val="24"/>
              </w:rPr>
              <w:t xml:space="preserve">: </w:t>
            </w:r>
            <w:r>
              <w:rPr>
                <w:rFonts w:hint="eastAsia" w:ascii="宋体" w:hAnsi="宋体" w:cs="宋体"/>
                <w:color w:val="auto"/>
                <w:kern w:val="0"/>
                <w:sz w:val="24"/>
                <w:szCs w:val="24"/>
              </w:rPr>
              <w:t>水平键控速度：</w:t>
            </w:r>
            <w:r>
              <w:rPr>
                <w:rFonts w:ascii="宋体" w:hAnsi="宋体" w:cs="宋体"/>
                <w:color w:val="auto"/>
                <w:kern w:val="0"/>
                <w:sz w:val="24"/>
                <w:szCs w:val="24"/>
              </w:rPr>
              <w:t>0.1</w:t>
            </w:r>
            <w:r>
              <w:rPr>
                <w:rFonts w:hint="eastAsia" w:ascii="宋体" w:hAnsi="宋体" w:cs="宋体"/>
                <w:color w:val="auto"/>
                <w:kern w:val="0"/>
                <w:sz w:val="24"/>
                <w:szCs w:val="24"/>
              </w:rPr>
              <w:t>°</w:t>
            </w:r>
            <w:r>
              <w:rPr>
                <w:rFonts w:ascii="宋体" w:hAnsi="宋体" w:cs="宋体"/>
                <w:color w:val="auto"/>
                <w:kern w:val="0"/>
                <w:sz w:val="24"/>
                <w:szCs w:val="24"/>
              </w:rPr>
              <w:t>~160</w:t>
            </w:r>
            <w:r>
              <w:rPr>
                <w:rFonts w:hint="eastAsia" w:ascii="宋体" w:hAnsi="宋体" w:cs="宋体"/>
                <w:color w:val="auto"/>
                <w:kern w:val="0"/>
                <w:sz w:val="24"/>
                <w:szCs w:val="24"/>
              </w:rPr>
              <w:t>°</w:t>
            </w:r>
            <w:r>
              <w:rPr>
                <w:rFonts w:ascii="宋体" w:hAnsi="宋体" w:cs="宋体"/>
                <w:color w:val="auto"/>
                <w:kern w:val="0"/>
                <w:sz w:val="24"/>
                <w:szCs w:val="24"/>
              </w:rPr>
              <w:t>/s</w:t>
            </w:r>
            <w:r>
              <w:rPr>
                <w:rFonts w:hint="eastAsia" w:ascii="宋体" w:hAnsi="宋体" w:cs="宋体"/>
                <w:color w:val="auto"/>
                <w:kern w:val="0"/>
                <w:sz w:val="24"/>
                <w:szCs w:val="24"/>
              </w:rPr>
              <w:t>，速度可设；水平预置点速度：</w:t>
            </w:r>
            <w:r>
              <w:rPr>
                <w:rFonts w:ascii="宋体" w:hAnsi="宋体" w:cs="宋体"/>
                <w:color w:val="auto"/>
                <w:kern w:val="0"/>
                <w:sz w:val="24"/>
                <w:szCs w:val="24"/>
              </w:rPr>
              <w:t>240</w:t>
            </w:r>
            <w:r>
              <w:rPr>
                <w:rFonts w:hint="eastAsia" w:ascii="宋体" w:hAnsi="宋体" w:cs="宋体"/>
                <w:color w:val="auto"/>
                <w:kern w:val="0"/>
                <w:sz w:val="24"/>
                <w:szCs w:val="24"/>
              </w:rPr>
              <w:t>°</w:t>
            </w:r>
            <w:r>
              <w:rPr>
                <w:rFonts w:ascii="宋体" w:hAnsi="宋体" w:cs="宋体"/>
                <w:color w:val="auto"/>
                <w:kern w:val="0"/>
                <w:sz w:val="24"/>
                <w:szCs w:val="24"/>
              </w:rPr>
              <w:t>/s</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13</w:t>
            </w:r>
            <w:r>
              <w:rPr>
                <w:rFonts w:hint="eastAsia" w:ascii="宋体" w:hAnsi="宋体" w:cs="宋体"/>
                <w:color w:val="auto"/>
                <w:sz w:val="24"/>
                <w:szCs w:val="24"/>
              </w:rPr>
              <w:t>、</w:t>
            </w:r>
            <w:r>
              <w:rPr>
                <w:rFonts w:hint="eastAsia" w:ascii="宋体" w:hAnsi="宋体" w:cs="宋体"/>
                <w:color w:val="auto"/>
                <w:kern w:val="0"/>
                <w:sz w:val="24"/>
                <w:szCs w:val="24"/>
              </w:rPr>
              <w:t>垂直速度</w:t>
            </w:r>
            <w:r>
              <w:rPr>
                <w:rFonts w:ascii="宋体" w:hAnsi="宋体" w:cs="宋体"/>
                <w:color w:val="auto"/>
                <w:kern w:val="0"/>
                <w:sz w:val="24"/>
                <w:szCs w:val="24"/>
              </w:rPr>
              <w:t xml:space="preserve">: </w:t>
            </w:r>
            <w:r>
              <w:rPr>
                <w:rFonts w:hint="eastAsia" w:ascii="宋体" w:hAnsi="宋体" w:cs="宋体"/>
                <w:color w:val="auto"/>
                <w:kern w:val="0"/>
                <w:sz w:val="24"/>
                <w:szCs w:val="24"/>
              </w:rPr>
              <w:t>垂直键控速度：</w:t>
            </w:r>
            <w:r>
              <w:rPr>
                <w:rFonts w:ascii="宋体" w:hAnsi="宋体" w:cs="宋体"/>
                <w:color w:val="auto"/>
                <w:kern w:val="0"/>
                <w:sz w:val="24"/>
                <w:szCs w:val="24"/>
              </w:rPr>
              <w:t>0.1</w:t>
            </w:r>
            <w:r>
              <w:rPr>
                <w:rFonts w:hint="eastAsia" w:ascii="宋体" w:hAnsi="宋体" w:cs="宋体"/>
                <w:color w:val="auto"/>
                <w:kern w:val="0"/>
                <w:sz w:val="24"/>
                <w:szCs w:val="24"/>
              </w:rPr>
              <w:t>°</w:t>
            </w:r>
            <w:r>
              <w:rPr>
                <w:rFonts w:ascii="宋体" w:hAnsi="宋体" w:cs="宋体"/>
                <w:color w:val="auto"/>
                <w:kern w:val="0"/>
                <w:sz w:val="24"/>
                <w:szCs w:val="24"/>
              </w:rPr>
              <w:t>~120</w:t>
            </w:r>
            <w:r>
              <w:rPr>
                <w:rFonts w:hint="eastAsia" w:ascii="宋体" w:hAnsi="宋体" w:cs="宋体"/>
                <w:color w:val="auto"/>
                <w:kern w:val="0"/>
                <w:sz w:val="24"/>
                <w:szCs w:val="24"/>
              </w:rPr>
              <w:t>°</w:t>
            </w:r>
            <w:r>
              <w:rPr>
                <w:rFonts w:ascii="宋体" w:hAnsi="宋体" w:cs="宋体"/>
                <w:color w:val="auto"/>
                <w:kern w:val="0"/>
                <w:sz w:val="24"/>
                <w:szCs w:val="24"/>
              </w:rPr>
              <w:t>/s</w:t>
            </w:r>
            <w:r>
              <w:rPr>
                <w:rFonts w:hint="eastAsia" w:ascii="宋体" w:hAnsi="宋体" w:cs="宋体"/>
                <w:color w:val="auto"/>
                <w:kern w:val="0"/>
                <w:sz w:val="24"/>
                <w:szCs w:val="24"/>
              </w:rPr>
              <w:t>，速度可设；垂直预置点速度：</w:t>
            </w:r>
            <w:r>
              <w:rPr>
                <w:rFonts w:ascii="宋体" w:hAnsi="宋体" w:cs="宋体"/>
                <w:color w:val="auto"/>
                <w:kern w:val="0"/>
                <w:sz w:val="24"/>
                <w:szCs w:val="24"/>
              </w:rPr>
              <w:t>200</w:t>
            </w:r>
            <w:r>
              <w:rPr>
                <w:rFonts w:hint="eastAsia" w:ascii="宋体" w:hAnsi="宋体" w:cs="宋体"/>
                <w:color w:val="auto"/>
                <w:kern w:val="0"/>
                <w:sz w:val="24"/>
                <w:szCs w:val="24"/>
              </w:rPr>
              <w:t>°</w:t>
            </w:r>
            <w:r>
              <w:rPr>
                <w:rFonts w:ascii="宋体" w:hAnsi="宋体" w:cs="宋体"/>
                <w:color w:val="auto"/>
                <w:kern w:val="0"/>
                <w:sz w:val="24"/>
                <w:szCs w:val="24"/>
              </w:rPr>
              <w:t>/s</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14</w:t>
            </w:r>
            <w:r>
              <w:rPr>
                <w:rFonts w:hint="eastAsia" w:ascii="宋体" w:hAnsi="宋体" w:cs="宋体"/>
                <w:color w:val="auto"/>
                <w:sz w:val="24"/>
                <w:szCs w:val="24"/>
              </w:rPr>
              <w:t>、</w:t>
            </w:r>
            <w:r>
              <w:rPr>
                <w:rFonts w:hint="eastAsia" w:ascii="宋体" w:hAnsi="宋体" w:cs="宋体"/>
                <w:color w:val="auto"/>
                <w:kern w:val="0"/>
                <w:sz w:val="24"/>
                <w:szCs w:val="24"/>
              </w:rPr>
              <w:t>主码流帧率分辨率</w:t>
            </w:r>
            <w:r>
              <w:rPr>
                <w:rFonts w:ascii="宋体" w:hAnsi="宋体" w:cs="宋体"/>
                <w:color w:val="auto"/>
                <w:kern w:val="0"/>
                <w:sz w:val="24"/>
                <w:szCs w:val="24"/>
              </w:rPr>
              <w:t>: 50 Hz</w:t>
            </w:r>
            <w:r>
              <w:rPr>
                <w:rFonts w:hint="eastAsia" w:ascii="宋体" w:hAnsi="宋体" w:cs="宋体"/>
                <w:color w:val="auto"/>
                <w:kern w:val="0"/>
                <w:sz w:val="24"/>
                <w:szCs w:val="24"/>
              </w:rPr>
              <w:t>：</w:t>
            </w:r>
            <w:r>
              <w:rPr>
                <w:rFonts w:ascii="宋体" w:hAnsi="宋体" w:cs="宋体"/>
                <w:color w:val="auto"/>
                <w:kern w:val="0"/>
                <w:sz w:val="24"/>
                <w:szCs w:val="24"/>
              </w:rPr>
              <w:t>25 fps</w:t>
            </w:r>
            <w:r>
              <w:rPr>
                <w:rFonts w:hint="eastAsia" w:ascii="宋体" w:hAnsi="宋体" w:cs="宋体"/>
                <w:color w:val="auto"/>
                <w:kern w:val="0"/>
                <w:sz w:val="24"/>
                <w:szCs w:val="24"/>
              </w:rPr>
              <w:t>（</w:t>
            </w:r>
            <w:r>
              <w:rPr>
                <w:rFonts w:ascii="宋体" w:hAnsi="宋体" w:cs="宋体"/>
                <w:color w:val="auto"/>
                <w:kern w:val="0"/>
                <w:sz w:val="24"/>
                <w:szCs w:val="24"/>
              </w:rPr>
              <w:t xml:space="preserve">1920 </w:t>
            </w:r>
            <w:r>
              <w:rPr>
                <w:rFonts w:hint="eastAsia" w:ascii="宋体" w:hAnsi="宋体" w:cs="宋体"/>
                <w:color w:val="auto"/>
                <w:kern w:val="0"/>
                <w:sz w:val="24"/>
                <w:szCs w:val="24"/>
              </w:rPr>
              <w:t>×</w:t>
            </w:r>
            <w:r>
              <w:rPr>
                <w:rFonts w:ascii="宋体" w:hAnsi="宋体" w:cs="宋体"/>
                <w:color w:val="auto"/>
                <w:kern w:val="0"/>
                <w:sz w:val="24"/>
                <w:szCs w:val="24"/>
              </w:rPr>
              <w:t xml:space="preserve"> 1080</w:t>
            </w:r>
            <w:r>
              <w:rPr>
                <w:rFonts w:hint="eastAsia" w:ascii="宋体" w:hAnsi="宋体" w:cs="宋体"/>
                <w:color w:val="auto"/>
                <w:kern w:val="0"/>
                <w:sz w:val="24"/>
                <w:szCs w:val="24"/>
              </w:rPr>
              <w:t>）</w:t>
            </w:r>
            <w:r>
              <w:rPr>
                <w:rFonts w:ascii="宋体" w:hAnsi="宋体" w:cs="宋体"/>
                <w:color w:val="auto"/>
                <w:kern w:val="0"/>
                <w:sz w:val="24"/>
                <w:szCs w:val="24"/>
              </w:rPr>
              <w:t>; 60 Hz</w:t>
            </w:r>
            <w:r>
              <w:rPr>
                <w:rFonts w:hint="eastAsia" w:ascii="宋体" w:hAnsi="宋体" w:cs="宋体"/>
                <w:color w:val="auto"/>
                <w:kern w:val="0"/>
                <w:sz w:val="24"/>
                <w:szCs w:val="24"/>
              </w:rPr>
              <w:t>：</w:t>
            </w:r>
            <w:r>
              <w:rPr>
                <w:rFonts w:ascii="宋体" w:hAnsi="宋体" w:cs="宋体"/>
                <w:color w:val="auto"/>
                <w:kern w:val="0"/>
                <w:sz w:val="24"/>
                <w:szCs w:val="24"/>
              </w:rPr>
              <w:t>30 fps</w:t>
            </w:r>
            <w:r>
              <w:rPr>
                <w:rFonts w:hint="eastAsia" w:ascii="宋体" w:hAnsi="宋体" w:cs="宋体"/>
                <w:color w:val="auto"/>
                <w:kern w:val="0"/>
                <w:sz w:val="24"/>
                <w:szCs w:val="24"/>
              </w:rPr>
              <w:t>（</w:t>
            </w:r>
            <w:r>
              <w:rPr>
                <w:rFonts w:ascii="宋体" w:hAnsi="宋体" w:cs="宋体"/>
                <w:color w:val="auto"/>
                <w:kern w:val="0"/>
                <w:sz w:val="24"/>
                <w:szCs w:val="24"/>
              </w:rPr>
              <w:t xml:space="preserve">1920 </w:t>
            </w:r>
            <w:r>
              <w:rPr>
                <w:rFonts w:hint="eastAsia" w:ascii="宋体" w:hAnsi="宋体" w:cs="宋体"/>
                <w:color w:val="auto"/>
                <w:kern w:val="0"/>
                <w:sz w:val="24"/>
                <w:szCs w:val="24"/>
              </w:rPr>
              <w:t>×</w:t>
            </w:r>
            <w:r>
              <w:rPr>
                <w:rFonts w:ascii="宋体" w:hAnsi="宋体" w:cs="宋体"/>
                <w:color w:val="auto"/>
                <w:kern w:val="0"/>
                <w:sz w:val="24"/>
                <w:szCs w:val="24"/>
              </w:rPr>
              <w:t xml:space="preserve"> 1080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15</w:t>
            </w:r>
            <w:r>
              <w:rPr>
                <w:rFonts w:hint="eastAsia" w:ascii="宋体" w:hAnsi="宋体" w:cs="宋体"/>
                <w:color w:val="auto"/>
                <w:sz w:val="24"/>
                <w:szCs w:val="24"/>
              </w:rPr>
              <w:t>、</w:t>
            </w:r>
            <w:r>
              <w:rPr>
                <w:rFonts w:hint="eastAsia" w:ascii="宋体" w:hAnsi="宋体" w:cs="宋体"/>
                <w:color w:val="auto"/>
                <w:kern w:val="0"/>
                <w:sz w:val="24"/>
                <w:szCs w:val="24"/>
              </w:rPr>
              <w:t>视频压缩标准</w:t>
            </w:r>
            <w:r>
              <w:rPr>
                <w:rFonts w:ascii="宋体" w:hAnsi="宋体" w:cs="宋体"/>
                <w:color w:val="auto"/>
                <w:kern w:val="0"/>
                <w:sz w:val="24"/>
                <w:szCs w:val="24"/>
              </w:rPr>
              <w:t>: H.265</w:t>
            </w:r>
            <w:r>
              <w:rPr>
                <w:rFonts w:hint="eastAsia" w:ascii="宋体" w:hAnsi="宋体" w:cs="宋体"/>
                <w:color w:val="auto"/>
                <w:kern w:val="0"/>
                <w:sz w:val="24"/>
                <w:szCs w:val="24"/>
              </w:rPr>
              <w:t>，</w:t>
            </w:r>
            <w:r>
              <w:rPr>
                <w:rFonts w:ascii="宋体" w:hAnsi="宋体" w:cs="宋体"/>
                <w:color w:val="auto"/>
                <w:kern w:val="0"/>
                <w:sz w:val="24"/>
                <w:szCs w:val="24"/>
              </w:rPr>
              <w:t>H.264</w:t>
            </w:r>
            <w:r>
              <w:rPr>
                <w:rFonts w:hint="eastAsia" w:ascii="宋体" w:hAnsi="宋体" w:cs="宋体"/>
                <w:color w:val="auto"/>
                <w:kern w:val="0"/>
                <w:sz w:val="24"/>
                <w:szCs w:val="24"/>
              </w:rPr>
              <w:t>，</w:t>
            </w:r>
            <w:r>
              <w:rPr>
                <w:rFonts w:ascii="宋体" w:hAnsi="宋体" w:cs="宋体"/>
                <w:color w:val="auto"/>
                <w:kern w:val="0"/>
                <w:sz w:val="24"/>
                <w:szCs w:val="24"/>
              </w:rPr>
              <w:t>MJPEG</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16</w:t>
            </w:r>
            <w:r>
              <w:rPr>
                <w:rFonts w:hint="eastAsia" w:ascii="宋体" w:hAnsi="宋体" w:cs="宋体"/>
                <w:color w:val="auto"/>
                <w:sz w:val="24"/>
                <w:szCs w:val="24"/>
              </w:rPr>
              <w:t>、</w:t>
            </w:r>
            <w:r>
              <w:rPr>
                <w:rFonts w:hint="eastAsia" w:ascii="宋体" w:hAnsi="宋体" w:cs="宋体"/>
                <w:color w:val="auto"/>
                <w:kern w:val="0"/>
                <w:sz w:val="24"/>
                <w:szCs w:val="24"/>
              </w:rPr>
              <w:t>网络存储</w:t>
            </w:r>
            <w:r>
              <w:rPr>
                <w:rFonts w:ascii="宋体" w:hAnsi="宋体" w:cs="宋体"/>
                <w:color w:val="auto"/>
                <w:kern w:val="0"/>
                <w:sz w:val="24"/>
                <w:szCs w:val="24"/>
              </w:rPr>
              <w:t>: NAS</w:t>
            </w:r>
            <w:r>
              <w:rPr>
                <w:rFonts w:hint="eastAsia" w:ascii="宋体" w:hAnsi="宋体" w:cs="宋体"/>
                <w:color w:val="auto"/>
                <w:kern w:val="0"/>
                <w:sz w:val="24"/>
                <w:szCs w:val="24"/>
              </w:rPr>
              <w:t>（</w:t>
            </w:r>
            <w:r>
              <w:rPr>
                <w:rFonts w:ascii="宋体" w:hAnsi="宋体" w:cs="宋体"/>
                <w:color w:val="auto"/>
                <w:kern w:val="0"/>
                <w:sz w:val="24"/>
                <w:szCs w:val="24"/>
              </w:rPr>
              <w:t>NFS</w:t>
            </w:r>
            <w:r>
              <w:rPr>
                <w:rFonts w:hint="eastAsia" w:ascii="宋体" w:hAnsi="宋体" w:cs="宋体"/>
                <w:color w:val="auto"/>
                <w:kern w:val="0"/>
                <w:sz w:val="24"/>
                <w:szCs w:val="24"/>
              </w:rPr>
              <w:t>，</w:t>
            </w:r>
            <w:r>
              <w:rPr>
                <w:rFonts w:ascii="宋体" w:hAnsi="宋体" w:cs="宋体"/>
                <w:color w:val="auto"/>
                <w:kern w:val="0"/>
                <w:sz w:val="24"/>
                <w:szCs w:val="24"/>
              </w:rPr>
              <w:t>SMB/CIFS</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17</w:t>
            </w:r>
            <w:r>
              <w:rPr>
                <w:rFonts w:hint="eastAsia" w:ascii="宋体" w:hAnsi="宋体" w:cs="宋体"/>
                <w:color w:val="auto"/>
                <w:sz w:val="24"/>
                <w:szCs w:val="24"/>
              </w:rPr>
              <w:t>、</w:t>
            </w:r>
            <w:r>
              <w:rPr>
                <w:rFonts w:hint="eastAsia" w:ascii="宋体" w:hAnsi="宋体" w:cs="宋体"/>
                <w:color w:val="auto"/>
                <w:kern w:val="0"/>
                <w:sz w:val="24"/>
                <w:szCs w:val="24"/>
              </w:rPr>
              <w:t>支持萤石接入；</w:t>
            </w:r>
          </w:p>
          <w:p>
            <w:pPr>
              <w:widowControl/>
              <w:jc w:val="left"/>
              <w:textAlignment w:val="center"/>
              <w:rPr>
                <w:rFonts w:ascii="宋体"/>
                <w:color w:val="auto"/>
                <w:kern w:val="0"/>
                <w:sz w:val="24"/>
                <w:szCs w:val="24"/>
              </w:rPr>
            </w:pPr>
            <w:r>
              <w:rPr>
                <w:rFonts w:ascii="宋体" w:hAnsi="宋体" w:cs="宋体"/>
                <w:color w:val="auto"/>
                <w:sz w:val="24"/>
                <w:szCs w:val="24"/>
              </w:rPr>
              <w:t>18</w:t>
            </w:r>
            <w:r>
              <w:rPr>
                <w:rFonts w:hint="eastAsia" w:ascii="宋体" w:hAnsi="宋体" w:cs="宋体"/>
                <w:color w:val="auto"/>
                <w:sz w:val="24"/>
                <w:szCs w:val="24"/>
              </w:rPr>
              <w:t>、</w:t>
            </w:r>
            <w:r>
              <w:rPr>
                <w:rFonts w:hint="eastAsia" w:ascii="宋体" w:hAnsi="宋体" w:cs="宋体"/>
                <w:color w:val="auto"/>
                <w:kern w:val="0"/>
                <w:sz w:val="24"/>
                <w:szCs w:val="24"/>
              </w:rPr>
              <w:t>网络接口</w:t>
            </w:r>
            <w:r>
              <w:rPr>
                <w:rFonts w:ascii="宋体" w:hAnsi="宋体" w:cs="宋体"/>
                <w:color w:val="auto"/>
                <w:kern w:val="0"/>
                <w:sz w:val="24"/>
                <w:szCs w:val="24"/>
              </w:rPr>
              <w:t>: RJ45</w:t>
            </w:r>
            <w:r>
              <w:rPr>
                <w:rFonts w:hint="eastAsia" w:ascii="宋体" w:hAnsi="宋体" w:cs="宋体"/>
                <w:color w:val="auto"/>
                <w:kern w:val="0"/>
                <w:sz w:val="24"/>
                <w:szCs w:val="24"/>
              </w:rPr>
              <w:t>网口，自适应</w:t>
            </w:r>
            <w:r>
              <w:rPr>
                <w:rFonts w:ascii="宋体" w:hAnsi="宋体" w:cs="宋体"/>
                <w:color w:val="auto"/>
                <w:kern w:val="0"/>
                <w:sz w:val="24"/>
                <w:szCs w:val="24"/>
              </w:rPr>
              <w:t>10 M/100 M</w:t>
            </w:r>
            <w:r>
              <w:rPr>
                <w:rFonts w:hint="eastAsia" w:ascii="宋体" w:hAnsi="宋体" w:cs="宋体"/>
                <w:color w:val="auto"/>
                <w:kern w:val="0"/>
                <w:sz w:val="24"/>
                <w:szCs w:val="24"/>
              </w:rPr>
              <w:t>网络数据；</w:t>
            </w:r>
          </w:p>
          <w:p>
            <w:pPr>
              <w:widowControl/>
              <w:jc w:val="left"/>
              <w:textAlignment w:val="center"/>
              <w:rPr>
                <w:rFonts w:ascii="宋体"/>
                <w:color w:val="auto"/>
                <w:kern w:val="0"/>
                <w:sz w:val="24"/>
                <w:szCs w:val="24"/>
              </w:rPr>
            </w:pPr>
            <w:r>
              <w:rPr>
                <w:rFonts w:ascii="宋体" w:hAnsi="宋体" w:cs="宋体"/>
                <w:color w:val="auto"/>
                <w:sz w:val="24"/>
                <w:szCs w:val="24"/>
              </w:rPr>
              <w:t>19</w:t>
            </w:r>
            <w:r>
              <w:rPr>
                <w:rFonts w:hint="eastAsia" w:ascii="宋体" w:hAnsi="宋体" w:cs="宋体"/>
                <w:color w:val="auto"/>
                <w:sz w:val="24"/>
                <w:szCs w:val="24"/>
              </w:rPr>
              <w:t>、</w:t>
            </w:r>
            <w:r>
              <w:rPr>
                <w:rFonts w:ascii="宋体" w:hAnsi="宋体" w:cs="宋体"/>
                <w:color w:val="auto"/>
                <w:kern w:val="0"/>
                <w:sz w:val="24"/>
                <w:szCs w:val="24"/>
              </w:rPr>
              <w:t>SD</w:t>
            </w:r>
            <w:r>
              <w:rPr>
                <w:rFonts w:hint="eastAsia" w:ascii="宋体" w:hAnsi="宋体" w:cs="宋体"/>
                <w:color w:val="auto"/>
                <w:kern w:val="0"/>
                <w:sz w:val="24"/>
                <w:szCs w:val="24"/>
              </w:rPr>
              <w:t>卡扩展</w:t>
            </w:r>
            <w:r>
              <w:rPr>
                <w:rFonts w:ascii="宋体" w:hAnsi="宋体" w:cs="宋体"/>
                <w:color w:val="auto"/>
                <w:kern w:val="0"/>
                <w:sz w:val="24"/>
                <w:szCs w:val="24"/>
              </w:rPr>
              <w:t xml:space="preserve">: </w:t>
            </w:r>
            <w:r>
              <w:rPr>
                <w:rFonts w:hint="eastAsia" w:ascii="宋体" w:hAnsi="宋体" w:cs="宋体"/>
                <w:color w:val="auto"/>
                <w:kern w:val="0"/>
                <w:sz w:val="24"/>
                <w:szCs w:val="24"/>
              </w:rPr>
              <w:t>支持</w:t>
            </w:r>
            <w:r>
              <w:rPr>
                <w:rFonts w:ascii="宋体" w:hAnsi="宋体" w:cs="宋体"/>
                <w:color w:val="auto"/>
                <w:kern w:val="0"/>
                <w:sz w:val="24"/>
                <w:szCs w:val="24"/>
              </w:rPr>
              <w:t>MicroSD(</w:t>
            </w:r>
            <w:r>
              <w:rPr>
                <w:rFonts w:hint="eastAsia" w:ascii="宋体" w:hAnsi="宋体" w:cs="宋体"/>
                <w:color w:val="auto"/>
                <w:kern w:val="0"/>
                <w:sz w:val="24"/>
                <w:szCs w:val="24"/>
              </w:rPr>
              <w:t>即</w:t>
            </w:r>
            <w:r>
              <w:rPr>
                <w:rFonts w:ascii="宋体" w:hAnsi="宋体" w:cs="宋体"/>
                <w:color w:val="auto"/>
                <w:kern w:val="0"/>
                <w:sz w:val="24"/>
                <w:szCs w:val="24"/>
              </w:rPr>
              <w:t>TF</w:t>
            </w:r>
            <w:r>
              <w:rPr>
                <w:rFonts w:hint="eastAsia" w:ascii="宋体" w:hAnsi="宋体" w:cs="宋体"/>
                <w:color w:val="auto"/>
                <w:kern w:val="0"/>
                <w:sz w:val="24"/>
                <w:szCs w:val="24"/>
              </w:rPr>
              <w:t>卡</w:t>
            </w:r>
            <w:r>
              <w:rPr>
                <w:rFonts w:ascii="宋体" w:hAnsi="宋体" w:cs="宋体"/>
                <w:color w:val="auto"/>
                <w:kern w:val="0"/>
                <w:sz w:val="24"/>
                <w:szCs w:val="24"/>
              </w:rPr>
              <w:t>)/MicroSDHC/MicroSDXC</w:t>
            </w:r>
            <w:r>
              <w:rPr>
                <w:rFonts w:hint="eastAsia" w:ascii="宋体" w:hAnsi="宋体" w:cs="宋体"/>
                <w:color w:val="auto"/>
                <w:kern w:val="0"/>
                <w:sz w:val="24"/>
                <w:szCs w:val="24"/>
              </w:rPr>
              <w:t>卡，最大支持</w:t>
            </w:r>
            <w:r>
              <w:rPr>
                <w:rFonts w:ascii="宋体" w:hAnsi="宋体" w:cs="宋体"/>
                <w:color w:val="auto"/>
                <w:kern w:val="0"/>
                <w:sz w:val="24"/>
                <w:szCs w:val="24"/>
              </w:rPr>
              <w:t>256 GB</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20</w:t>
            </w:r>
            <w:r>
              <w:rPr>
                <w:rFonts w:hint="eastAsia" w:ascii="宋体" w:hAnsi="宋体" w:cs="宋体"/>
                <w:color w:val="auto"/>
                <w:sz w:val="24"/>
                <w:szCs w:val="24"/>
              </w:rPr>
              <w:t>、</w:t>
            </w:r>
            <w:r>
              <w:rPr>
                <w:rFonts w:hint="eastAsia" w:ascii="宋体" w:hAnsi="宋体" w:cs="宋体"/>
                <w:color w:val="auto"/>
                <w:kern w:val="0"/>
                <w:sz w:val="24"/>
                <w:szCs w:val="24"/>
              </w:rPr>
              <w:t>报警输入</w:t>
            </w:r>
            <w:r>
              <w:rPr>
                <w:rFonts w:ascii="宋体" w:hAnsi="宋体" w:cs="宋体"/>
                <w:color w:val="auto"/>
                <w:kern w:val="0"/>
                <w:sz w:val="24"/>
                <w:szCs w:val="24"/>
              </w:rPr>
              <w:t>: 2</w:t>
            </w:r>
            <w:r>
              <w:rPr>
                <w:rFonts w:hint="eastAsia" w:ascii="宋体" w:hAnsi="宋体" w:cs="宋体"/>
                <w:color w:val="auto"/>
                <w:kern w:val="0"/>
                <w:sz w:val="24"/>
                <w:szCs w:val="24"/>
              </w:rPr>
              <w:t>路报警输入；</w:t>
            </w:r>
          </w:p>
          <w:p>
            <w:pPr>
              <w:widowControl/>
              <w:jc w:val="left"/>
              <w:textAlignment w:val="center"/>
              <w:rPr>
                <w:rFonts w:ascii="宋体"/>
                <w:color w:val="auto"/>
                <w:kern w:val="0"/>
                <w:sz w:val="24"/>
                <w:szCs w:val="24"/>
              </w:rPr>
            </w:pPr>
            <w:r>
              <w:rPr>
                <w:rFonts w:ascii="宋体" w:hAnsi="宋体" w:cs="宋体"/>
                <w:color w:val="auto"/>
                <w:sz w:val="24"/>
                <w:szCs w:val="24"/>
              </w:rPr>
              <w:t>21</w:t>
            </w:r>
            <w:r>
              <w:rPr>
                <w:rFonts w:hint="eastAsia" w:ascii="宋体" w:hAnsi="宋体" w:cs="宋体"/>
                <w:color w:val="auto"/>
                <w:sz w:val="24"/>
                <w:szCs w:val="24"/>
              </w:rPr>
              <w:t>、</w:t>
            </w:r>
            <w:r>
              <w:rPr>
                <w:rFonts w:hint="eastAsia" w:ascii="宋体" w:hAnsi="宋体" w:cs="宋体"/>
                <w:color w:val="auto"/>
                <w:kern w:val="0"/>
                <w:sz w:val="24"/>
                <w:szCs w:val="24"/>
              </w:rPr>
              <w:t>报警输出</w:t>
            </w:r>
            <w:r>
              <w:rPr>
                <w:rFonts w:ascii="宋体" w:hAnsi="宋体" w:cs="宋体"/>
                <w:color w:val="auto"/>
                <w:kern w:val="0"/>
                <w:sz w:val="24"/>
                <w:szCs w:val="24"/>
              </w:rPr>
              <w:t>: 1</w:t>
            </w:r>
            <w:r>
              <w:rPr>
                <w:rFonts w:hint="eastAsia" w:ascii="宋体" w:hAnsi="宋体" w:cs="宋体"/>
                <w:color w:val="auto"/>
                <w:kern w:val="0"/>
                <w:sz w:val="24"/>
                <w:szCs w:val="24"/>
              </w:rPr>
              <w:t>路报警输出；</w:t>
            </w:r>
          </w:p>
          <w:p>
            <w:pPr>
              <w:widowControl/>
              <w:jc w:val="left"/>
              <w:textAlignment w:val="center"/>
              <w:rPr>
                <w:rFonts w:ascii="宋体"/>
                <w:color w:val="auto"/>
                <w:kern w:val="0"/>
                <w:sz w:val="24"/>
                <w:szCs w:val="24"/>
              </w:rPr>
            </w:pPr>
            <w:r>
              <w:rPr>
                <w:rFonts w:ascii="宋体" w:hAnsi="宋体" w:cs="宋体"/>
                <w:color w:val="auto"/>
                <w:sz w:val="24"/>
                <w:szCs w:val="24"/>
              </w:rPr>
              <w:t>22</w:t>
            </w:r>
            <w:r>
              <w:rPr>
                <w:rFonts w:hint="eastAsia" w:ascii="宋体" w:hAnsi="宋体" w:cs="宋体"/>
                <w:color w:val="auto"/>
                <w:sz w:val="24"/>
                <w:szCs w:val="24"/>
              </w:rPr>
              <w:t>、</w:t>
            </w:r>
            <w:r>
              <w:rPr>
                <w:rFonts w:hint="eastAsia" w:ascii="宋体" w:hAnsi="宋体" w:cs="宋体"/>
                <w:color w:val="auto"/>
                <w:kern w:val="0"/>
                <w:sz w:val="24"/>
                <w:szCs w:val="24"/>
              </w:rPr>
              <w:t>音频输入</w:t>
            </w:r>
            <w:r>
              <w:rPr>
                <w:rFonts w:ascii="宋体" w:hAnsi="宋体" w:cs="宋体"/>
                <w:color w:val="auto"/>
                <w:kern w:val="0"/>
                <w:sz w:val="24"/>
                <w:szCs w:val="24"/>
              </w:rPr>
              <w:t>: 1</w:t>
            </w:r>
            <w:r>
              <w:rPr>
                <w:rFonts w:hint="eastAsia" w:ascii="宋体" w:hAnsi="宋体" w:cs="宋体"/>
                <w:color w:val="auto"/>
                <w:kern w:val="0"/>
                <w:sz w:val="24"/>
                <w:szCs w:val="24"/>
              </w:rPr>
              <w:t>路音频输入；</w:t>
            </w:r>
          </w:p>
          <w:p>
            <w:pPr>
              <w:widowControl/>
              <w:jc w:val="left"/>
              <w:textAlignment w:val="center"/>
              <w:rPr>
                <w:rFonts w:ascii="宋体"/>
                <w:color w:val="auto"/>
                <w:kern w:val="0"/>
                <w:sz w:val="24"/>
                <w:szCs w:val="24"/>
              </w:rPr>
            </w:pPr>
            <w:r>
              <w:rPr>
                <w:rFonts w:ascii="宋体" w:hAnsi="宋体" w:cs="宋体"/>
                <w:color w:val="auto"/>
                <w:sz w:val="24"/>
                <w:szCs w:val="24"/>
              </w:rPr>
              <w:t>23</w:t>
            </w:r>
            <w:r>
              <w:rPr>
                <w:rFonts w:hint="eastAsia" w:ascii="宋体" w:hAnsi="宋体" w:cs="宋体"/>
                <w:color w:val="auto"/>
                <w:sz w:val="24"/>
                <w:szCs w:val="24"/>
              </w:rPr>
              <w:t>、</w:t>
            </w:r>
            <w:r>
              <w:rPr>
                <w:rFonts w:hint="eastAsia" w:ascii="宋体" w:hAnsi="宋体" w:cs="宋体"/>
                <w:color w:val="auto"/>
                <w:kern w:val="0"/>
                <w:sz w:val="24"/>
                <w:szCs w:val="24"/>
              </w:rPr>
              <w:t>音频输出</w:t>
            </w:r>
            <w:r>
              <w:rPr>
                <w:rFonts w:ascii="宋体" w:hAnsi="宋体" w:cs="宋体"/>
                <w:color w:val="auto"/>
                <w:kern w:val="0"/>
                <w:sz w:val="24"/>
                <w:szCs w:val="24"/>
              </w:rPr>
              <w:t>: 1</w:t>
            </w:r>
            <w:r>
              <w:rPr>
                <w:rFonts w:hint="eastAsia" w:ascii="宋体" w:hAnsi="宋体" w:cs="宋体"/>
                <w:color w:val="auto"/>
                <w:kern w:val="0"/>
                <w:sz w:val="24"/>
                <w:szCs w:val="24"/>
              </w:rPr>
              <w:t>路音频输出；</w:t>
            </w:r>
          </w:p>
          <w:p>
            <w:pPr>
              <w:widowControl/>
              <w:jc w:val="left"/>
              <w:textAlignment w:val="center"/>
              <w:rPr>
                <w:rFonts w:ascii="宋体"/>
                <w:color w:val="auto"/>
                <w:kern w:val="0"/>
                <w:sz w:val="24"/>
                <w:szCs w:val="24"/>
              </w:rPr>
            </w:pPr>
            <w:r>
              <w:rPr>
                <w:rFonts w:ascii="宋体" w:hAnsi="宋体" w:cs="宋体"/>
                <w:color w:val="auto"/>
                <w:sz w:val="24"/>
                <w:szCs w:val="24"/>
              </w:rPr>
              <w:t>24</w:t>
            </w:r>
            <w:r>
              <w:rPr>
                <w:rFonts w:hint="eastAsia" w:ascii="宋体" w:hAnsi="宋体" w:cs="宋体"/>
                <w:color w:val="auto"/>
                <w:sz w:val="24"/>
                <w:szCs w:val="24"/>
              </w:rPr>
              <w:t>、</w:t>
            </w:r>
            <w:r>
              <w:rPr>
                <w:rFonts w:hint="eastAsia" w:ascii="宋体" w:hAnsi="宋体" w:cs="宋体"/>
                <w:color w:val="auto"/>
                <w:kern w:val="0"/>
                <w:sz w:val="24"/>
                <w:szCs w:val="24"/>
              </w:rPr>
              <w:t>供电方式</w:t>
            </w:r>
            <w:r>
              <w:rPr>
                <w:rFonts w:ascii="宋体" w:hAnsi="宋体" w:cs="宋体"/>
                <w:color w:val="auto"/>
                <w:kern w:val="0"/>
                <w:sz w:val="24"/>
                <w:szCs w:val="24"/>
              </w:rPr>
              <w:t>: AC24 V</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25</w:t>
            </w:r>
            <w:r>
              <w:rPr>
                <w:rFonts w:hint="eastAsia" w:ascii="宋体" w:hAnsi="宋体" w:cs="宋体"/>
                <w:color w:val="auto"/>
                <w:sz w:val="24"/>
                <w:szCs w:val="24"/>
              </w:rPr>
              <w:t>、</w:t>
            </w:r>
            <w:r>
              <w:rPr>
                <w:rFonts w:hint="eastAsia" w:ascii="宋体" w:hAnsi="宋体" w:cs="宋体"/>
                <w:color w:val="auto"/>
                <w:kern w:val="0"/>
                <w:sz w:val="24"/>
                <w:szCs w:val="24"/>
              </w:rPr>
              <w:t>电源接口类型</w:t>
            </w:r>
            <w:r>
              <w:rPr>
                <w:rFonts w:ascii="宋体" w:hAnsi="宋体" w:cs="宋体"/>
                <w:color w:val="auto"/>
                <w:kern w:val="0"/>
                <w:sz w:val="24"/>
                <w:szCs w:val="24"/>
              </w:rPr>
              <w:t xml:space="preserve">: </w:t>
            </w:r>
            <w:r>
              <w:rPr>
                <w:rFonts w:hint="eastAsia" w:ascii="宋体" w:hAnsi="宋体" w:cs="宋体"/>
                <w:color w:val="auto"/>
                <w:kern w:val="0"/>
                <w:sz w:val="24"/>
                <w:szCs w:val="24"/>
              </w:rPr>
              <w:t>两线式；</w:t>
            </w:r>
          </w:p>
          <w:p>
            <w:pPr>
              <w:widowControl/>
              <w:jc w:val="left"/>
              <w:textAlignment w:val="center"/>
              <w:rPr>
                <w:rFonts w:ascii="宋体"/>
                <w:color w:val="auto"/>
                <w:kern w:val="0"/>
                <w:sz w:val="24"/>
                <w:szCs w:val="24"/>
              </w:rPr>
            </w:pPr>
            <w:r>
              <w:rPr>
                <w:rFonts w:ascii="宋体" w:hAnsi="宋体" w:cs="宋体"/>
                <w:color w:val="auto"/>
                <w:sz w:val="24"/>
                <w:szCs w:val="24"/>
              </w:rPr>
              <w:t>26</w:t>
            </w:r>
            <w:r>
              <w:rPr>
                <w:rFonts w:hint="eastAsia" w:ascii="宋体" w:hAnsi="宋体" w:cs="宋体"/>
                <w:color w:val="auto"/>
                <w:sz w:val="24"/>
                <w:szCs w:val="24"/>
              </w:rPr>
              <w:t>、</w:t>
            </w:r>
            <w:r>
              <w:rPr>
                <w:rFonts w:hint="eastAsia" w:ascii="宋体" w:hAnsi="宋体" w:cs="宋体"/>
                <w:color w:val="auto"/>
                <w:kern w:val="0"/>
                <w:sz w:val="24"/>
                <w:szCs w:val="24"/>
              </w:rPr>
              <w:t>电流及功耗</w:t>
            </w:r>
            <w:r>
              <w:rPr>
                <w:rFonts w:ascii="宋体" w:hAnsi="宋体" w:cs="宋体"/>
                <w:color w:val="auto"/>
                <w:kern w:val="0"/>
                <w:sz w:val="24"/>
                <w:szCs w:val="24"/>
              </w:rPr>
              <w:t xml:space="preserve">: </w:t>
            </w:r>
            <w:r>
              <w:rPr>
                <w:rFonts w:hint="eastAsia" w:ascii="宋体" w:hAnsi="宋体" w:cs="宋体"/>
                <w:color w:val="auto"/>
                <w:kern w:val="0"/>
                <w:sz w:val="24"/>
                <w:szCs w:val="24"/>
              </w:rPr>
              <w:t>最大功耗：</w:t>
            </w:r>
            <w:r>
              <w:rPr>
                <w:rFonts w:ascii="宋体" w:hAnsi="宋体" w:cs="宋体"/>
                <w:color w:val="auto"/>
                <w:kern w:val="0"/>
                <w:sz w:val="24"/>
                <w:szCs w:val="24"/>
              </w:rPr>
              <w:t>24 W</w:t>
            </w:r>
            <w:r>
              <w:rPr>
                <w:rFonts w:hint="eastAsia" w:ascii="宋体" w:hAnsi="宋体" w:cs="宋体"/>
                <w:color w:val="auto"/>
                <w:kern w:val="0"/>
                <w:sz w:val="24"/>
                <w:szCs w:val="24"/>
              </w:rPr>
              <w:t>（其中除雾加热</w:t>
            </w:r>
            <w:r>
              <w:rPr>
                <w:rFonts w:ascii="宋体" w:hAnsi="宋体" w:cs="宋体"/>
                <w:color w:val="auto"/>
                <w:kern w:val="0"/>
                <w:sz w:val="24"/>
                <w:szCs w:val="24"/>
              </w:rPr>
              <w:t>1.6 W</w:t>
            </w:r>
            <w:r>
              <w:rPr>
                <w:rFonts w:hint="eastAsia" w:ascii="宋体" w:hAnsi="宋体" w:cs="宋体"/>
                <w:color w:val="auto"/>
                <w:kern w:val="0"/>
                <w:sz w:val="24"/>
                <w:szCs w:val="24"/>
              </w:rPr>
              <w:t>，补光灯</w:t>
            </w:r>
            <w:r>
              <w:rPr>
                <w:rFonts w:ascii="宋体" w:hAnsi="宋体" w:cs="宋体"/>
                <w:color w:val="auto"/>
                <w:kern w:val="0"/>
                <w:sz w:val="24"/>
                <w:szCs w:val="24"/>
              </w:rPr>
              <w:t>12 W</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27</w:t>
            </w:r>
            <w:r>
              <w:rPr>
                <w:rFonts w:hint="eastAsia" w:ascii="宋体" w:hAnsi="宋体" w:cs="宋体"/>
                <w:color w:val="auto"/>
                <w:sz w:val="24"/>
                <w:szCs w:val="24"/>
              </w:rPr>
              <w:t>、</w:t>
            </w:r>
            <w:r>
              <w:rPr>
                <w:rFonts w:hint="eastAsia" w:ascii="宋体" w:hAnsi="宋体" w:cs="宋体"/>
                <w:color w:val="auto"/>
                <w:kern w:val="0"/>
                <w:sz w:val="24"/>
                <w:szCs w:val="24"/>
              </w:rPr>
              <w:t>工作温湿度</w:t>
            </w:r>
            <w:r>
              <w:rPr>
                <w:rFonts w:ascii="宋体" w:hAnsi="宋体" w:cs="宋体"/>
                <w:color w:val="auto"/>
                <w:kern w:val="0"/>
                <w:sz w:val="24"/>
                <w:szCs w:val="24"/>
              </w:rPr>
              <w:t>: -30</w:t>
            </w:r>
            <w:r>
              <w:rPr>
                <w:rFonts w:hint="eastAsia" w:ascii="宋体" w:hAnsi="宋体" w:cs="宋体"/>
                <w:color w:val="auto"/>
                <w:kern w:val="0"/>
                <w:sz w:val="24"/>
                <w:szCs w:val="24"/>
              </w:rPr>
              <w:t>℃</w:t>
            </w:r>
            <w:r>
              <w:rPr>
                <w:rFonts w:ascii="宋体" w:hAnsi="宋体" w:cs="宋体"/>
                <w:color w:val="auto"/>
                <w:kern w:val="0"/>
                <w:sz w:val="24"/>
                <w:szCs w:val="24"/>
              </w:rPr>
              <w:t>~65</w:t>
            </w:r>
            <w:r>
              <w:rPr>
                <w:rFonts w:hint="eastAsia" w:ascii="宋体" w:hAnsi="宋体" w:cs="宋体"/>
                <w:color w:val="auto"/>
                <w:kern w:val="0"/>
                <w:sz w:val="24"/>
                <w:szCs w:val="24"/>
              </w:rPr>
              <w:t>℃，湿度小于</w:t>
            </w:r>
            <w:r>
              <w:rPr>
                <w:rFonts w:ascii="宋体" w:hAnsi="宋体" w:cs="宋体"/>
                <w:color w:val="auto"/>
                <w:kern w:val="0"/>
                <w:sz w:val="24"/>
                <w:szCs w:val="24"/>
              </w:rPr>
              <w:t>90%</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28</w:t>
            </w:r>
            <w:r>
              <w:rPr>
                <w:rFonts w:hint="eastAsia" w:ascii="宋体" w:hAnsi="宋体" w:cs="宋体"/>
                <w:color w:val="auto"/>
                <w:sz w:val="24"/>
                <w:szCs w:val="24"/>
              </w:rPr>
              <w:t>、</w:t>
            </w:r>
            <w:r>
              <w:rPr>
                <w:rFonts w:hint="eastAsia" w:ascii="宋体" w:hAnsi="宋体" w:cs="宋体"/>
                <w:color w:val="auto"/>
                <w:kern w:val="0"/>
                <w:sz w:val="24"/>
                <w:szCs w:val="24"/>
              </w:rPr>
              <w:t>恢复出厂设置</w:t>
            </w:r>
            <w:r>
              <w:rPr>
                <w:rFonts w:ascii="宋体" w:hAnsi="宋体" w:cs="宋体"/>
                <w:color w:val="auto"/>
                <w:kern w:val="0"/>
                <w:sz w:val="24"/>
                <w:szCs w:val="24"/>
              </w:rPr>
              <w:t xml:space="preserve">: </w:t>
            </w:r>
            <w:r>
              <w:rPr>
                <w:rFonts w:hint="eastAsia" w:ascii="宋体" w:hAnsi="宋体" w:cs="宋体"/>
                <w:color w:val="auto"/>
                <w:kern w:val="0"/>
                <w:sz w:val="24"/>
                <w:szCs w:val="24"/>
              </w:rPr>
              <w:t>支持；</w:t>
            </w:r>
          </w:p>
          <w:p>
            <w:pPr>
              <w:widowControl/>
              <w:jc w:val="left"/>
              <w:textAlignment w:val="center"/>
              <w:rPr>
                <w:rFonts w:ascii="宋体"/>
                <w:color w:val="auto"/>
                <w:kern w:val="0"/>
                <w:sz w:val="24"/>
                <w:szCs w:val="24"/>
              </w:rPr>
            </w:pPr>
            <w:r>
              <w:rPr>
                <w:rFonts w:ascii="宋体" w:hAnsi="宋体" w:cs="宋体"/>
                <w:color w:val="auto"/>
                <w:sz w:val="24"/>
                <w:szCs w:val="24"/>
              </w:rPr>
              <w:t>29</w:t>
            </w:r>
            <w:r>
              <w:rPr>
                <w:rFonts w:hint="eastAsia" w:ascii="宋体" w:hAnsi="宋体" w:cs="宋体"/>
                <w:color w:val="auto"/>
                <w:sz w:val="24"/>
                <w:szCs w:val="24"/>
              </w:rPr>
              <w:t>、</w:t>
            </w:r>
            <w:r>
              <w:rPr>
                <w:rFonts w:hint="eastAsia" w:ascii="宋体" w:hAnsi="宋体" w:cs="宋体"/>
                <w:color w:val="auto"/>
                <w:kern w:val="0"/>
                <w:sz w:val="24"/>
                <w:szCs w:val="24"/>
              </w:rPr>
              <w:t>除雾</w:t>
            </w:r>
            <w:r>
              <w:rPr>
                <w:rFonts w:ascii="宋体" w:hAnsi="宋体" w:cs="宋体"/>
                <w:color w:val="auto"/>
                <w:kern w:val="0"/>
                <w:sz w:val="24"/>
                <w:szCs w:val="24"/>
              </w:rPr>
              <w:t xml:space="preserve">: </w:t>
            </w:r>
            <w:r>
              <w:rPr>
                <w:rFonts w:hint="eastAsia" w:ascii="宋体" w:hAnsi="宋体" w:cs="宋体"/>
                <w:color w:val="auto"/>
                <w:kern w:val="0"/>
                <w:sz w:val="24"/>
                <w:szCs w:val="24"/>
              </w:rPr>
              <w:t>加热玻璃除雾；</w:t>
            </w:r>
          </w:p>
          <w:p>
            <w:pPr>
              <w:widowControl/>
              <w:jc w:val="left"/>
              <w:textAlignment w:val="center"/>
              <w:rPr>
                <w:rFonts w:ascii="宋体"/>
                <w:color w:val="auto"/>
                <w:kern w:val="0"/>
                <w:sz w:val="24"/>
                <w:szCs w:val="24"/>
              </w:rPr>
            </w:pPr>
            <w:r>
              <w:rPr>
                <w:rFonts w:ascii="宋体" w:hAnsi="宋体" w:cs="宋体"/>
                <w:color w:val="auto"/>
                <w:sz w:val="24"/>
                <w:szCs w:val="24"/>
              </w:rPr>
              <w:t>30</w:t>
            </w:r>
            <w:r>
              <w:rPr>
                <w:rFonts w:hint="eastAsia" w:ascii="宋体" w:hAnsi="宋体" w:cs="宋体"/>
                <w:color w:val="auto"/>
                <w:sz w:val="24"/>
                <w:szCs w:val="24"/>
              </w:rPr>
              <w:t>、</w:t>
            </w:r>
            <w:r>
              <w:rPr>
                <w:rFonts w:hint="eastAsia" w:ascii="宋体" w:hAnsi="宋体" w:cs="宋体"/>
                <w:color w:val="auto"/>
                <w:kern w:val="0"/>
                <w:sz w:val="24"/>
                <w:szCs w:val="24"/>
              </w:rPr>
              <w:t>尺寸</w:t>
            </w:r>
            <w:r>
              <w:rPr>
                <w:rFonts w:ascii="宋体" w:hAnsi="宋体" w:cs="宋体"/>
                <w:color w:val="auto"/>
                <w:kern w:val="0"/>
                <w:sz w:val="24"/>
                <w:szCs w:val="24"/>
              </w:rPr>
              <w:t xml:space="preserve">: ?220 mm </w:t>
            </w:r>
            <w:r>
              <w:rPr>
                <w:rFonts w:hint="eastAsia" w:ascii="宋体" w:hAnsi="宋体" w:cs="宋体"/>
                <w:color w:val="auto"/>
                <w:kern w:val="0"/>
                <w:sz w:val="24"/>
                <w:szCs w:val="24"/>
              </w:rPr>
              <w:t>×</w:t>
            </w:r>
            <w:r>
              <w:rPr>
                <w:rFonts w:ascii="宋体" w:hAnsi="宋体" w:cs="宋体"/>
                <w:color w:val="auto"/>
                <w:kern w:val="0"/>
                <w:sz w:val="24"/>
                <w:szCs w:val="24"/>
              </w:rPr>
              <w:t xml:space="preserve"> 353.4 mm</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31</w:t>
            </w:r>
            <w:r>
              <w:rPr>
                <w:rFonts w:hint="eastAsia" w:ascii="宋体" w:hAnsi="宋体" w:cs="宋体"/>
                <w:color w:val="auto"/>
                <w:sz w:val="24"/>
                <w:szCs w:val="24"/>
              </w:rPr>
              <w:t>、</w:t>
            </w:r>
            <w:r>
              <w:rPr>
                <w:rFonts w:hint="eastAsia" w:ascii="宋体" w:hAnsi="宋体" w:cs="宋体"/>
                <w:color w:val="auto"/>
                <w:kern w:val="0"/>
                <w:sz w:val="24"/>
                <w:szCs w:val="24"/>
              </w:rPr>
              <w:t>重量</w:t>
            </w:r>
            <w:r>
              <w:rPr>
                <w:rFonts w:ascii="宋体" w:hAnsi="宋体" w:cs="宋体"/>
                <w:color w:val="auto"/>
                <w:kern w:val="0"/>
                <w:sz w:val="24"/>
                <w:szCs w:val="24"/>
              </w:rPr>
              <w:t>: 4.5 kg</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sz w:val="24"/>
                <w:szCs w:val="24"/>
              </w:rPr>
              <w:t>32</w:t>
            </w:r>
            <w:r>
              <w:rPr>
                <w:rFonts w:hint="eastAsia" w:ascii="宋体" w:hAnsi="宋体" w:cs="宋体"/>
                <w:color w:val="auto"/>
                <w:sz w:val="24"/>
                <w:szCs w:val="24"/>
              </w:rPr>
              <w:t>、</w:t>
            </w:r>
            <w:r>
              <w:rPr>
                <w:rFonts w:hint="eastAsia" w:ascii="宋体" w:hAnsi="宋体" w:cs="宋体"/>
                <w:color w:val="auto"/>
                <w:kern w:val="0"/>
                <w:sz w:val="24"/>
                <w:szCs w:val="24"/>
              </w:rPr>
              <w:t>防护</w:t>
            </w:r>
            <w:r>
              <w:rPr>
                <w:rFonts w:ascii="宋体" w:hAnsi="宋体" w:cs="宋体"/>
                <w:color w:val="auto"/>
                <w:kern w:val="0"/>
                <w:sz w:val="24"/>
                <w:szCs w:val="24"/>
              </w:rPr>
              <w:t>: IP66</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17</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光纤收发器</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A</w:t>
            </w:r>
            <w:r>
              <w:rPr>
                <w:rFonts w:hint="eastAsia" w:ascii="宋体" w:hAnsi="宋体" w:cs="宋体"/>
                <w:color w:val="auto"/>
                <w:kern w:val="0"/>
                <w:sz w:val="24"/>
                <w:szCs w:val="24"/>
              </w:rPr>
              <w:t>端</w:t>
            </w:r>
            <w:r>
              <w:rPr>
                <w:rFonts w:ascii="宋体" w:hAnsi="宋体" w:cs="宋体"/>
                <w:color w:val="auto"/>
                <w:kern w:val="0"/>
                <w:sz w:val="24"/>
                <w:szCs w:val="24"/>
              </w:rPr>
              <w:t xml:space="preserve"> 1</w:t>
            </w:r>
            <w:r>
              <w:rPr>
                <w:rFonts w:hint="eastAsia" w:ascii="宋体" w:hAnsi="宋体" w:cs="宋体"/>
                <w:color w:val="auto"/>
                <w:kern w:val="0"/>
                <w:sz w:val="24"/>
                <w:szCs w:val="24"/>
              </w:rPr>
              <w:t>光</w:t>
            </w:r>
            <w:r>
              <w:rPr>
                <w:rFonts w:ascii="宋体" w:hAnsi="宋体" w:cs="宋体"/>
                <w:color w:val="auto"/>
                <w:kern w:val="0"/>
                <w:sz w:val="24"/>
                <w:szCs w:val="24"/>
              </w:rPr>
              <w:t>1</w:t>
            </w:r>
            <w:r>
              <w:rPr>
                <w:rFonts w:hint="eastAsia" w:ascii="宋体" w:hAnsi="宋体" w:cs="宋体"/>
                <w:color w:val="auto"/>
                <w:kern w:val="0"/>
                <w:sz w:val="24"/>
                <w:szCs w:val="24"/>
              </w:rPr>
              <w:t>电</w:t>
            </w:r>
            <w:r>
              <w:rPr>
                <w:rFonts w:ascii="宋体" w:hAnsi="宋体" w:cs="宋体"/>
                <w:color w:val="auto"/>
                <w:kern w:val="0"/>
                <w:sz w:val="24"/>
                <w:szCs w:val="24"/>
              </w:rPr>
              <w:t xml:space="preserve">   B </w:t>
            </w:r>
            <w:r>
              <w:rPr>
                <w:rFonts w:hint="eastAsia" w:ascii="宋体" w:hAnsi="宋体" w:cs="宋体"/>
                <w:color w:val="auto"/>
                <w:kern w:val="0"/>
                <w:sz w:val="24"/>
                <w:szCs w:val="24"/>
              </w:rPr>
              <w:t>端</w:t>
            </w:r>
            <w:r>
              <w:rPr>
                <w:rFonts w:ascii="宋体" w:hAnsi="宋体" w:cs="宋体"/>
                <w:color w:val="auto"/>
                <w:kern w:val="0"/>
                <w:sz w:val="24"/>
                <w:szCs w:val="24"/>
              </w:rPr>
              <w:t>1</w:t>
            </w:r>
            <w:r>
              <w:rPr>
                <w:rFonts w:hint="eastAsia" w:ascii="宋体" w:hAnsi="宋体" w:cs="宋体"/>
                <w:color w:val="auto"/>
                <w:kern w:val="0"/>
                <w:sz w:val="24"/>
                <w:szCs w:val="24"/>
              </w:rPr>
              <w:t>光</w:t>
            </w:r>
            <w:r>
              <w:rPr>
                <w:rFonts w:ascii="宋体" w:hAnsi="宋体" w:cs="宋体"/>
                <w:color w:val="auto"/>
                <w:kern w:val="0"/>
                <w:sz w:val="24"/>
                <w:szCs w:val="24"/>
              </w:rPr>
              <w:t>8</w:t>
            </w:r>
            <w:r>
              <w:rPr>
                <w:rFonts w:hint="eastAsia" w:ascii="宋体" w:hAnsi="宋体" w:cs="宋体"/>
                <w:color w:val="auto"/>
                <w:kern w:val="0"/>
                <w:sz w:val="24"/>
                <w:szCs w:val="24"/>
              </w:rPr>
              <w:t>电</w:t>
            </w:r>
            <w:r>
              <w:rPr>
                <w:rFonts w:ascii="宋体" w:hAnsi="宋体" w:cs="宋体"/>
                <w:color w:val="auto"/>
                <w:kern w:val="0"/>
                <w:sz w:val="24"/>
                <w:szCs w:val="24"/>
              </w:rPr>
              <w:t xml:space="preserve">  </w:t>
            </w:r>
            <w:r>
              <w:rPr>
                <w:rFonts w:hint="eastAsia" w:ascii="宋体" w:hAnsi="宋体" w:cs="宋体"/>
                <w:color w:val="auto"/>
                <w:kern w:val="0"/>
                <w:sz w:val="24"/>
                <w:szCs w:val="24"/>
              </w:rPr>
              <w:t>传输距离；</w:t>
            </w:r>
            <w:r>
              <w:rPr>
                <w:rFonts w:ascii="宋体" w:hAnsi="宋体" w:cs="宋体"/>
                <w:color w:val="auto"/>
                <w:kern w:val="0"/>
                <w:sz w:val="24"/>
                <w:szCs w:val="24"/>
              </w:rPr>
              <w:t>1KM</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7</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对</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18</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电梯网桥</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200</w:t>
            </w:r>
            <w:r>
              <w:rPr>
                <w:rFonts w:hint="eastAsia" w:ascii="宋体" w:hAnsi="宋体" w:cs="宋体"/>
                <w:color w:val="auto"/>
                <w:kern w:val="0"/>
                <w:sz w:val="24"/>
                <w:szCs w:val="24"/>
              </w:rPr>
              <w:t>米电梯专用无线网桥</w:t>
            </w:r>
            <w:r>
              <w:rPr>
                <w:rFonts w:ascii="宋体" w:hAnsi="宋体" w:cs="宋体"/>
                <w:color w:val="auto"/>
                <w:kern w:val="0"/>
                <w:sz w:val="24"/>
                <w:szCs w:val="24"/>
              </w:rPr>
              <w:t xml:space="preserve"> (</w:t>
            </w:r>
            <w:r>
              <w:rPr>
                <w:rFonts w:hint="eastAsia" w:ascii="宋体" w:hAnsi="宋体" w:cs="宋体"/>
                <w:color w:val="auto"/>
                <w:kern w:val="0"/>
                <w:sz w:val="24"/>
                <w:szCs w:val="24"/>
              </w:rPr>
              <w:t>单位为套内含摄像机端和机房端</w:t>
            </w:r>
            <w:r>
              <w:rPr>
                <w:rFonts w:ascii="宋体" w:hAnsi="宋体" w:cs="宋体"/>
                <w:color w:val="auto"/>
                <w:kern w:val="0"/>
                <w:sz w:val="24"/>
                <w:szCs w:val="24"/>
              </w:rPr>
              <w:t>)</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黑白配设计；</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实际有效带宽</w:t>
            </w:r>
            <w:r>
              <w:rPr>
                <w:rFonts w:ascii="宋体" w:hAnsi="宋体" w:cs="宋体"/>
                <w:color w:val="auto"/>
                <w:kern w:val="0"/>
                <w:sz w:val="24"/>
                <w:szCs w:val="24"/>
              </w:rPr>
              <w:t>40Mbps</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4</w:t>
            </w:r>
            <w:r>
              <w:rPr>
                <w:rFonts w:hint="eastAsia" w:ascii="宋体" w:hAnsi="宋体" w:cs="宋体"/>
                <w:color w:val="auto"/>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个百兆电口；</w:t>
            </w:r>
          </w:p>
          <w:p>
            <w:pPr>
              <w:widowControl/>
              <w:jc w:val="left"/>
              <w:textAlignment w:val="center"/>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w:t>
            </w:r>
            <w:r>
              <w:rPr>
                <w:rFonts w:hint="eastAsia" w:ascii="宋体" w:hAnsi="宋体" w:cs="宋体"/>
                <w:color w:val="auto"/>
                <w:kern w:val="0"/>
                <w:sz w:val="24"/>
                <w:szCs w:val="24"/>
              </w:rPr>
              <w:t>适用于</w:t>
            </w:r>
            <w:r>
              <w:rPr>
                <w:rFonts w:ascii="宋体" w:hAnsi="宋体" w:cs="宋体"/>
                <w:color w:val="auto"/>
                <w:kern w:val="0"/>
                <w:sz w:val="24"/>
                <w:szCs w:val="24"/>
              </w:rPr>
              <w:t>200</w:t>
            </w:r>
            <w:r>
              <w:rPr>
                <w:rFonts w:hint="eastAsia" w:ascii="宋体" w:hAnsi="宋体" w:cs="宋体"/>
                <w:color w:val="auto"/>
                <w:kern w:val="0"/>
                <w:sz w:val="24"/>
                <w:szCs w:val="24"/>
              </w:rPr>
              <w:t>米。</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对</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19</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口交换机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w:t>
            </w:r>
            <w:r>
              <w:rPr>
                <w:rFonts w:hint="eastAsia" w:ascii="宋体" w:hAnsi="宋体" w:cs="宋体"/>
                <w:color w:val="auto"/>
                <w:kern w:val="0"/>
                <w:sz w:val="24"/>
                <w:szCs w:val="24"/>
              </w:rPr>
              <w:t>、交换容量≥</w:t>
            </w:r>
            <w:r>
              <w:rPr>
                <w:rFonts w:ascii="宋体" w:hAnsi="宋体" w:cs="宋体"/>
                <w:color w:val="auto"/>
                <w:kern w:val="0"/>
                <w:sz w:val="24"/>
                <w:szCs w:val="24"/>
              </w:rPr>
              <w:t>336Gbps</w:t>
            </w:r>
            <w:r>
              <w:rPr>
                <w:rFonts w:hint="eastAsia" w:ascii="宋体" w:hAnsi="宋体" w:cs="宋体"/>
                <w:color w:val="auto"/>
                <w:kern w:val="0"/>
                <w:sz w:val="24"/>
                <w:szCs w:val="24"/>
              </w:rPr>
              <w:t>，包转发率≥</w:t>
            </w:r>
            <w:r>
              <w:rPr>
                <w:rFonts w:ascii="宋体" w:hAnsi="宋体" w:cs="宋体"/>
                <w:color w:val="auto"/>
                <w:kern w:val="0"/>
                <w:sz w:val="24"/>
                <w:szCs w:val="24"/>
              </w:rPr>
              <w:t>50Mpps</w:t>
            </w:r>
            <w:r>
              <w:rPr>
                <w:rFonts w:hint="eastAsia" w:ascii="宋体" w:hAnsi="宋体" w:cs="宋体"/>
                <w:color w:val="auto"/>
                <w:kern w:val="0"/>
                <w:sz w:val="24"/>
                <w:szCs w:val="24"/>
              </w:rPr>
              <w:t>，以官网最小值为准；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、整机实配：</w:t>
            </w:r>
            <w:r>
              <w:rPr>
                <w:rFonts w:ascii="宋体" w:hAnsi="宋体" w:cs="宋体"/>
                <w:color w:val="auto"/>
                <w:kern w:val="0"/>
                <w:sz w:val="24"/>
                <w:szCs w:val="24"/>
              </w:rPr>
              <w:t>24</w:t>
            </w:r>
            <w:r>
              <w:rPr>
                <w:rFonts w:hint="eastAsia" w:ascii="宋体" w:hAnsi="宋体" w:cs="宋体"/>
                <w:color w:val="auto"/>
                <w:kern w:val="0"/>
                <w:sz w:val="24"/>
                <w:szCs w:val="24"/>
              </w:rPr>
              <w:t>个千兆电口，</w:t>
            </w:r>
            <w:r>
              <w:rPr>
                <w:rFonts w:ascii="宋体" w:hAnsi="宋体" w:cs="宋体"/>
                <w:color w:val="auto"/>
                <w:kern w:val="0"/>
                <w:sz w:val="24"/>
                <w:szCs w:val="24"/>
              </w:rPr>
              <w:t>4</w:t>
            </w:r>
            <w:r>
              <w:rPr>
                <w:rFonts w:hint="eastAsia" w:ascii="宋体" w:hAnsi="宋体" w:cs="宋体"/>
                <w:color w:val="auto"/>
                <w:kern w:val="0"/>
                <w:sz w:val="24"/>
                <w:szCs w:val="24"/>
              </w:rPr>
              <w:t>个千兆</w:t>
            </w:r>
            <w:r>
              <w:rPr>
                <w:rFonts w:ascii="宋体" w:hAnsi="宋体" w:cs="宋体"/>
                <w:color w:val="auto"/>
                <w:kern w:val="0"/>
                <w:sz w:val="24"/>
                <w:szCs w:val="24"/>
              </w:rPr>
              <w:t>SFP</w:t>
            </w:r>
            <w:r>
              <w:rPr>
                <w:rFonts w:hint="eastAsia" w:ascii="宋体" w:hAnsi="宋体" w:cs="宋体"/>
                <w:color w:val="auto"/>
                <w:kern w:val="0"/>
                <w:sz w:val="24"/>
                <w:szCs w:val="24"/>
              </w:rPr>
              <w:t>，配置标准</w:t>
            </w:r>
            <w:r>
              <w:rPr>
                <w:rFonts w:ascii="宋体" w:hAnsi="宋体" w:cs="宋体"/>
                <w:color w:val="auto"/>
                <w:kern w:val="0"/>
                <w:sz w:val="24"/>
                <w:szCs w:val="24"/>
              </w:rPr>
              <w:t>USB</w:t>
            </w:r>
            <w:r>
              <w:rPr>
                <w:rFonts w:hint="eastAsia" w:ascii="宋体" w:hAnsi="宋体" w:cs="宋体"/>
                <w:color w:val="auto"/>
                <w:kern w:val="0"/>
                <w:sz w:val="24"/>
                <w:szCs w:val="24"/>
              </w:rPr>
              <w:t>接口，支持</w:t>
            </w:r>
            <w:r>
              <w:rPr>
                <w:rFonts w:ascii="宋体" w:hAnsi="宋体" w:cs="宋体"/>
                <w:color w:val="auto"/>
                <w:kern w:val="0"/>
                <w:sz w:val="24"/>
                <w:szCs w:val="24"/>
              </w:rPr>
              <w:t>U</w:t>
            </w:r>
            <w:r>
              <w:rPr>
                <w:rFonts w:hint="eastAsia" w:ascii="宋体" w:hAnsi="宋体" w:cs="宋体"/>
                <w:color w:val="auto"/>
                <w:kern w:val="0"/>
                <w:sz w:val="24"/>
                <w:szCs w:val="24"/>
              </w:rPr>
              <w:t>盘快速开局；</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MAC</w:t>
            </w:r>
            <w:r>
              <w:rPr>
                <w:rFonts w:hint="eastAsia" w:ascii="宋体" w:hAnsi="宋体" w:cs="宋体"/>
                <w:color w:val="auto"/>
                <w:kern w:val="0"/>
                <w:sz w:val="24"/>
                <w:szCs w:val="24"/>
              </w:rPr>
              <w:t>地址≥</w:t>
            </w:r>
            <w:r>
              <w:rPr>
                <w:rFonts w:ascii="宋体" w:hAnsi="宋体" w:cs="宋体"/>
                <w:color w:val="auto"/>
                <w:kern w:val="0"/>
                <w:sz w:val="24"/>
                <w:szCs w:val="24"/>
              </w:rPr>
              <w:t>16K</w:t>
            </w:r>
            <w:r>
              <w:rPr>
                <w:rFonts w:hint="eastAsia" w:ascii="宋体" w:hAnsi="宋体" w:cs="宋体"/>
                <w:color w:val="auto"/>
                <w:kern w:val="0"/>
                <w:sz w:val="24"/>
                <w:szCs w:val="24"/>
              </w:rPr>
              <w:t>，支持</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4K</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、支持二层和</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等三层特性，支持完善的以太</w:t>
            </w:r>
            <w:r>
              <w:rPr>
                <w:rFonts w:ascii="宋体" w:hAnsi="宋体" w:cs="宋体"/>
                <w:color w:val="auto"/>
                <w:kern w:val="0"/>
                <w:sz w:val="24"/>
                <w:szCs w:val="24"/>
              </w:rPr>
              <w:t xml:space="preserve"> OAM</w:t>
            </w:r>
            <w:r>
              <w:rPr>
                <w:rFonts w:hint="eastAsia" w:ascii="宋体" w:hAnsi="宋体" w:cs="宋体"/>
                <w:color w:val="auto"/>
                <w:kern w:val="0"/>
                <w:sz w:val="24"/>
                <w:szCs w:val="24"/>
              </w:rPr>
              <w:t>（</w:t>
            </w:r>
            <w:r>
              <w:rPr>
                <w:rFonts w:ascii="宋体" w:hAnsi="宋体" w:cs="宋体"/>
                <w:color w:val="auto"/>
                <w:kern w:val="0"/>
                <w:sz w:val="24"/>
                <w:szCs w:val="24"/>
              </w:rPr>
              <w:t>IEEE 802.3ah/802.1ag</w:t>
            </w:r>
            <w:r>
              <w:rPr>
                <w:rFonts w:hint="eastAsia" w:ascii="宋体" w:hAnsi="宋体" w:cs="宋体"/>
                <w:color w:val="auto"/>
                <w:kern w:val="0"/>
                <w:sz w:val="24"/>
                <w:szCs w:val="24"/>
              </w:rPr>
              <w:t>），用于快速检测链路故障；</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SNMP v1/v2c/v3</w:t>
            </w:r>
            <w:r>
              <w:rPr>
                <w:rFonts w:hint="eastAsia" w:ascii="宋体" w:hAnsi="宋体" w:cs="宋体"/>
                <w:color w:val="auto"/>
                <w:kern w:val="0"/>
                <w:sz w:val="24"/>
                <w:szCs w:val="24"/>
              </w:rPr>
              <w:t>、</w:t>
            </w:r>
            <w:r>
              <w:rPr>
                <w:rFonts w:ascii="宋体" w:hAnsi="宋体" w:cs="宋体"/>
                <w:color w:val="auto"/>
                <w:kern w:val="0"/>
                <w:sz w:val="24"/>
                <w:szCs w:val="24"/>
              </w:rPr>
              <w:t>CLI</w:t>
            </w:r>
            <w:r>
              <w:rPr>
                <w:rFonts w:hint="eastAsia" w:ascii="宋体" w:hAnsi="宋体" w:cs="宋体"/>
                <w:color w:val="auto"/>
                <w:kern w:val="0"/>
                <w:sz w:val="24"/>
                <w:szCs w:val="24"/>
              </w:rPr>
              <w:t>（命令行）、</w:t>
            </w:r>
            <w:r>
              <w:rPr>
                <w:rFonts w:ascii="宋体" w:hAnsi="宋体" w:cs="宋体"/>
                <w:color w:val="auto"/>
                <w:kern w:val="0"/>
                <w:sz w:val="24"/>
                <w:szCs w:val="24"/>
              </w:rPr>
              <w:t xml:space="preserve">Web </w:t>
            </w:r>
            <w:r>
              <w:rPr>
                <w:rFonts w:hint="eastAsia" w:ascii="宋体" w:hAnsi="宋体" w:cs="宋体"/>
                <w:color w:val="auto"/>
                <w:kern w:val="0"/>
                <w:sz w:val="24"/>
                <w:szCs w:val="24"/>
              </w:rPr>
              <w:t>网管、</w:t>
            </w:r>
            <w:r>
              <w:rPr>
                <w:rFonts w:ascii="宋体" w:hAnsi="宋体" w:cs="宋体"/>
                <w:color w:val="auto"/>
                <w:kern w:val="0"/>
                <w:sz w:val="24"/>
                <w:szCs w:val="24"/>
              </w:rPr>
              <w:t xml:space="preserve">SSHv2.0 </w:t>
            </w:r>
            <w:r>
              <w:rPr>
                <w:rFonts w:hint="eastAsia" w:ascii="宋体" w:hAnsi="宋体" w:cs="宋体"/>
                <w:color w:val="auto"/>
                <w:kern w:val="0"/>
                <w:sz w:val="24"/>
                <w:szCs w:val="24"/>
              </w:rPr>
              <w:t>等多样化的管理和维护方式；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w:t>
            </w:r>
            <w:r>
              <w:rPr>
                <w:rFonts w:ascii="宋体" w:hAnsi="宋体" w:cs="宋体"/>
                <w:color w:val="auto"/>
                <w:kern w:val="0"/>
                <w:sz w:val="24"/>
                <w:szCs w:val="24"/>
              </w:rPr>
              <w:t>Telemetry</w:t>
            </w:r>
            <w:r>
              <w:rPr>
                <w:rFonts w:hint="eastAsia" w:ascii="宋体" w:hAnsi="宋体" w:cs="宋体"/>
                <w:color w:val="auto"/>
                <w:kern w:val="0"/>
                <w:sz w:val="24"/>
                <w:szCs w:val="24"/>
              </w:rPr>
              <w:t>技术；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w:t>
            </w:r>
            <w:r>
              <w:rPr>
                <w:rFonts w:ascii="宋体" w:hAnsi="宋体" w:cs="宋体"/>
                <w:color w:val="auto"/>
                <w:kern w:val="0"/>
                <w:sz w:val="24"/>
                <w:szCs w:val="24"/>
              </w:rPr>
              <w:t>IPv4 FIB</w:t>
            </w:r>
            <w:r>
              <w:rPr>
                <w:rFonts w:hint="eastAsia" w:ascii="宋体" w:hAnsi="宋体" w:cs="宋体"/>
                <w:color w:val="auto"/>
                <w:kern w:val="0"/>
                <w:sz w:val="24"/>
                <w:szCs w:val="24"/>
              </w:rPr>
              <w:t>表项≥</w:t>
            </w:r>
            <w:r>
              <w:rPr>
                <w:rFonts w:ascii="宋体" w:hAnsi="宋体" w:cs="宋体"/>
                <w:color w:val="auto"/>
                <w:kern w:val="0"/>
                <w:sz w:val="24"/>
                <w:szCs w:val="24"/>
              </w:rPr>
              <w:t>4K</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kern w:val="0"/>
                <w:sz w:val="24"/>
                <w:szCs w:val="24"/>
              </w:rPr>
              <w:t>8</w:t>
            </w:r>
            <w:r>
              <w:rPr>
                <w:rFonts w:hint="eastAsia" w:ascii="宋体" w:hAnsi="宋体" w:cs="宋体"/>
                <w:color w:val="auto"/>
                <w:kern w:val="0"/>
                <w:sz w:val="24"/>
                <w:szCs w:val="24"/>
              </w:rPr>
              <w:t>、实配：硬件</w:t>
            </w:r>
            <w:r>
              <w:rPr>
                <w:rFonts w:ascii="宋体" w:hAnsi="宋体" w:cs="宋体"/>
                <w:color w:val="auto"/>
                <w:kern w:val="0"/>
                <w:sz w:val="24"/>
                <w:szCs w:val="24"/>
              </w:rPr>
              <w:t>3</w:t>
            </w:r>
            <w:r>
              <w:rPr>
                <w:rFonts w:hint="eastAsia" w:ascii="宋体" w:hAnsi="宋体" w:cs="宋体"/>
                <w:color w:val="auto"/>
                <w:kern w:val="0"/>
                <w:sz w:val="24"/>
                <w:szCs w:val="24"/>
              </w:rPr>
              <w:t>年质保。</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20</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智慧医院综合管理平台</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智慧管理平台是整个医院物联网系统的核心和中枢系统，本次系统建设要求提供一套医院管理平台统一管理视频网络、门禁、入侵报警、紧急报警、动环视频网络、人体测温、一卡通、停车场、园区卡口、访客、医患管理等应用。实现医院系统的智能化应用及统一集成化管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、要求支持对用户、角色、组织、区域、人员、车辆、卡片、设备等基础资源进行管理调配。</w:t>
            </w:r>
          </w:p>
          <w:p>
            <w:pPr>
              <w:widowControl/>
              <w:jc w:val="left"/>
              <w:textAlignment w:val="center"/>
              <w:rPr>
                <w:rFonts w:ascii="宋体"/>
                <w:color w:val="auto"/>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、要求最大支持</w:t>
            </w:r>
            <w:r>
              <w:rPr>
                <w:rFonts w:ascii="宋体" w:hAnsi="宋体" w:cs="宋体"/>
                <w:color w:val="auto"/>
                <w:kern w:val="0"/>
                <w:sz w:val="24"/>
                <w:szCs w:val="24"/>
              </w:rPr>
              <w:t>200000</w:t>
            </w:r>
            <w:r>
              <w:rPr>
                <w:rFonts w:hint="eastAsia" w:ascii="宋体" w:hAnsi="宋体" w:cs="宋体"/>
                <w:color w:val="auto"/>
                <w:kern w:val="0"/>
                <w:sz w:val="24"/>
                <w:szCs w:val="24"/>
              </w:rPr>
              <w:t>个用户管理，最大支持</w:t>
            </w:r>
            <w:r>
              <w:rPr>
                <w:rFonts w:ascii="宋体" w:hAnsi="宋体" w:cs="宋体"/>
                <w:color w:val="auto"/>
                <w:kern w:val="0"/>
                <w:sz w:val="24"/>
                <w:szCs w:val="24"/>
              </w:rPr>
              <w:t>500</w:t>
            </w:r>
            <w:r>
              <w:rPr>
                <w:rFonts w:hint="eastAsia" w:ascii="宋体" w:hAnsi="宋体" w:cs="宋体"/>
                <w:color w:val="auto"/>
                <w:kern w:val="0"/>
                <w:sz w:val="24"/>
                <w:szCs w:val="24"/>
              </w:rPr>
              <w:t>个用户并发登录请求以及</w:t>
            </w:r>
            <w:r>
              <w:rPr>
                <w:rFonts w:ascii="宋体" w:hAnsi="宋体" w:cs="宋体"/>
                <w:color w:val="auto"/>
                <w:kern w:val="0"/>
                <w:sz w:val="24"/>
                <w:szCs w:val="24"/>
              </w:rPr>
              <w:t>5000</w:t>
            </w:r>
            <w:r>
              <w:rPr>
                <w:rFonts w:hint="eastAsia" w:ascii="宋体" w:hAnsi="宋体" w:cs="宋体"/>
                <w:color w:val="auto"/>
                <w:kern w:val="0"/>
                <w:sz w:val="24"/>
                <w:szCs w:val="24"/>
              </w:rPr>
              <w:t>个用户同时在线</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、要求支持用户权限管理。</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、要求支持用户密码有效时间段进行设置管理，支持用户</w:t>
            </w:r>
            <w:r>
              <w:rPr>
                <w:rFonts w:ascii="宋体" w:hAnsi="宋体" w:cs="宋体"/>
                <w:color w:val="auto"/>
                <w:kern w:val="0"/>
                <w:sz w:val="24"/>
                <w:szCs w:val="24"/>
              </w:rPr>
              <w:t>IP</w:t>
            </w:r>
            <w:r>
              <w:rPr>
                <w:rFonts w:hint="eastAsia" w:ascii="宋体" w:hAnsi="宋体" w:cs="宋体"/>
                <w:color w:val="auto"/>
                <w:kern w:val="0"/>
                <w:sz w:val="24"/>
                <w:szCs w:val="24"/>
              </w:rPr>
              <w:t>绑定，指定</w:t>
            </w:r>
            <w:r>
              <w:rPr>
                <w:rFonts w:ascii="宋体" w:hAnsi="宋体" w:cs="宋体"/>
                <w:color w:val="auto"/>
                <w:kern w:val="0"/>
                <w:sz w:val="24"/>
                <w:szCs w:val="24"/>
              </w:rPr>
              <w:t>IP</w:t>
            </w:r>
            <w:r>
              <w:rPr>
                <w:rFonts w:hint="eastAsia" w:ascii="宋体" w:hAnsi="宋体" w:cs="宋体"/>
                <w:color w:val="auto"/>
                <w:kern w:val="0"/>
                <w:sz w:val="24"/>
                <w:szCs w:val="24"/>
              </w:rPr>
              <w:t>地址用户才能登陆平台。</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、要求最大支持管控</w:t>
            </w:r>
            <w:r>
              <w:rPr>
                <w:rFonts w:ascii="宋体" w:hAnsi="宋体" w:cs="宋体"/>
                <w:color w:val="auto"/>
                <w:kern w:val="0"/>
                <w:sz w:val="24"/>
                <w:szCs w:val="24"/>
              </w:rPr>
              <w:t>1000000</w:t>
            </w:r>
            <w:r>
              <w:rPr>
                <w:rFonts w:hint="eastAsia" w:ascii="宋体" w:hAnsi="宋体" w:cs="宋体"/>
                <w:color w:val="auto"/>
                <w:kern w:val="0"/>
                <w:sz w:val="24"/>
                <w:szCs w:val="24"/>
              </w:rPr>
              <w:t>个人员，每个人员可涉及人脸、指纹、卡。</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、要求支持通过资源包方式扩展区域、人员、组织、车辆字段属性。</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、系统要求支持软授权方式，支持部署在服务器或虚拟机上。</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9</w:t>
            </w:r>
            <w:r>
              <w:rPr>
                <w:rFonts w:hint="eastAsia" w:ascii="宋体" w:hAnsi="宋体" w:cs="宋体"/>
                <w:color w:val="auto"/>
                <w:kern w:val="0"/>
                <w:sz w:val="24"/>
                <w:szCs w:val="24"/>
              </w:rPr>
              <w:t>、系统要求支持</w:t>
            </w:r>
            <w:r>
              <w:rPr>
                <w:rFonts w:ascii="宋体" w:hAnsi="宋体" w:cs="宋体"/>
                <w:color w:val="auto"/>
                <w:kern w:val="0"/>
                <w:sz w:val="24"/>
                <w:szCs w:val="24"/>
              </w:rPr>
              <w:t>BS</w:t>
            </w:r>
            <w:r>
              <w:rPr>
                <w:rFonts w:hint="eastAsia" w:ascii="宋体" w:hAnsi="宋体" w:cs="宋体"/>
                <w:color w:val="auto"/>
                <w:kern w:val="0"/>
                <w:sz w:val="24"/>
                <w:szCs w:val="24"/>
              </w:rPr>
              <w:t>、</w:t>
            </w:r>
            <w:r>
              <w:rPr>
                <w:rFonts w:ascii="宋体" w:hAnsi="宋体" w:cs="宋体"/>
                <w:color w:val="auto"/>
                <w:kern w:val="0"/>
                <w:sz w:val="24"/>
                <w:szCs w:val="24"/>
              </w:rPr>
              <w:t>CS</w:t>
            </w:r>
            <w:r>
              <w:rPr>
                <w:rFonts w:hint="eastAsia" w:ascii="宋体" w:hAnsi="宋体" w:cs="宋体"/>
                <w:color w:val="auto"/>
                <w:kern w:val="0"/>
                <w:sz w:val="24"/>
                <w:szCs w:val="24"/>
              </w:rPr>
              <w:t>客户端以及</w:t>
            </w:r>
            <w:r>
              <w:rPr>
                <w:rFonts w:ascii="宋体" w:hAnsi="宋体" w:cs="宋体"/>
                <w:color w:val="auto"/>
                <w:kern w:val="0"/>
                <w:sz w:val="24"/>
                <w:szCs w:val="24"/>
              </w:rPr>
              <w:t>IOS</w:t>
            </w:r>
            <w:r>
              <w:rPr>
                <w:rFonts w:hint="eastAsia" w:ascii="宋体" w:hAnsi="宋体" w:cs="宋体"/>
                <w:color w:val="auto"/>
                <w:kern w:val="0"/>
                <w:sz w:val="24"/>
                <w:szCs w:val="24"/>
              </w:rPr>
              <w:t>、</w:t>
            </w:r>
            <w:r>
              <w:rPr>
                <w:rFonts w:ascii="宋体" w:hAnsi="宋体" w:cs="宋体"/>
                <w:color w:val="auto"/>
                <w:kern w:val="0"/>
                <w:sz w:val="24"/>
                <w:szCs w:val="24"/>
              </w:rPr>
              <w:t>Android</w:t>
            </w:r>
            <w:r>
              <w:rPr>
                <w:rFonts w:hint="eastAsia" w:ascii="宋体" w:hAnsi="宋体" w:cs="宋体"/>
                <w:color w:val="auto"/>
                <w:kern w:val="0"/>
                <w:sz w:val="24"/>
                <w:szCs w:val="24"/>
              </w:rPr>
              <w:t>移动端应用。</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10</w:t>
            </w:r>
            <w:r>
              <w:rPr>
                <w:rFonts w:hint="eastAsia" w:ascii="宋体" w:hAnsi="宋体" w:cs="宋体"/>
                <w:color w:val="auto"/>
                <w:kern w:val="0"/>
                <w:sz w:val="24"/>
                <w:szCs w:val="24"/>
              </w:rPr>
              <w:t>、系统要求支持校时功能，支持对设备和平台服务校时，保证时间一致。</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11</w:t>
            </w:r>
            <w:r>
              <w:rPr>
                <w:rFonts w:hint="eastAsia" w:ascii="宋体" w:hAnsi="宋体" w:cs="宋体"/>
                <w:color w:val="auto"/>
                <w:kern w:val="0"/>
                <w:sz w:val="24"/>
                <w:szCs w:val="24"/>
              </w:rPr>
              <w:t>、要求支持多网域访问。</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12</w:t>
            </w:r>
            <w:r>
              <w:rPr>
                <w:rFonts w:hint="eastAsia" w:ascii="宋体" w:hAnsi="宋体" w:cs="宋体"/>
                <w:color w:val="auto"/>
                <w:kern w:val="0"/>
                <w:sz w:val="24"/>
                <w:szCs w:val="24"/>
              </w:rPr>
              <w:t>、要求支持全景摄像机，实现</w:t>
            </w:r>
            <w:r>
              <w:rPr>
                <w:rFonts w:ascii="宋体" w:hAnsi="宋体" w:cs="宋体"/>
                <w:color w:val="auto"/>
                <w:kern w:val="0"/>
                <w:sz w:val="24"/>
                <w:szCs w:val="24"/>
              </w:rPr>
              <w:t>360</w:t>
            </w:r>
            <w:r>
              <w:rPr>
                <w:rFonts w:hint="eastAsia" w:ascii="宋体" w:hAnsi="宋体" w:cs="宋体"/>
                <w:color w:val="auto"/>
                <w:kern w:val="0"/>
                <w:sz w:val="24"/>
                <w:szCs w:val="24"/>
              </w:rPr>
              <w:t>度的全景视频网络，可以对全景区域内的多个目标进行穿越警戒面、区域入侵、进入区域、离开区域行为的检测。</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13</w:t>
            </w:r>
            <w:r>
              <w:rPr>
                <w:rFonts w:hint="eastAsia" w:ascii="宋体" w:hAnsi="宋体" w:cs="宋体"/>
                <w:color w:val="auto"/>
                <w:kern w:val="0"/>
                <w:sz w:val="24"/>
                <w:szCs w:val="24"/>
              </w:rPr>
              <w:t>、要求最大支持管理电视墙</w:t>
            </w:r>
            <w:r>
              <w:rPr>
                <w:rFonts w:ascii="宋体" w:hAnsi="宋体" w:cs="宋体"/>
                <w:color w:val="auto"/>
                <w:kern w:val="0"/>
                <w:sz w:val="24"/>
                <w:szCs w:val="24"/>
              </w:rPr>
              <w:t>100</w:t>
            </w:r>
            <w:r>
              <w:rPr>
                <w:rFonts w:hint="eastAsia" w:ascii="宋体" w:hAnsi="宋体" w:cs="宋体"/>
                <w:color w:val="auto"/>
                <w:kern w:val="0"/>
                <w:sz w:val="24"/>
                <w:szCs w:val="24"/>
              </w:rPr>
              <w:t>个，视频网络点上墙出图像耗时小于</w:t>
            </w:r>
            <w:r>
              <w:rPr>
                <w:rFonts w:ascii="宋体" w:hAnsi="宋体" w:cs="宋体"/>
                <w:color w:val="auto"/>
                <w:kern w:val="0"/>
                <w:sz w:val="24"/>
                <w:szCs w:val="24"/>
              </w:rPr>
              <w:t>3</w:t>
            </w:r>
            <w:r>
              <w:rPr>
                <w:rFonts w:hint="eastAsia" w:ascii="宋体" w:hAnsi="宋体" w:cs="宋体"/>
                <w:color w:val="auto"/>
                <w:kern w:val="0"/>
                <w:sz w:val="24"/>
                <w:szCs w:val="24"/>
              </w:rPr>
              <w:t>秒。</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14</w:t>
            </w:r>
            <w:r>
              <w:rPr>
                <w:rFonts w:hint="eastAsia" w:ascii="宋体" w:hAnsi="宋体" w:cs="宋体"/>
                <w:color w:val="auto"/>
                <w:kern w:val="0"/>
                <w:sz w:val="24"/>
                <w:szCs w:val="24"/>
              </w:rPr>
              <w:t>、要求支持人员一键报警。</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15</w:t>
            </w:r>
            <w:r>
              <w:rPr>
                <w:rFonts w:hint="eastAsia" w:ascii="宋体" w:hAnsi="宋体" w:cs="宋体"/>
                <w:color w:val="auto"/>
                <w:kern w:val="0"/>
                <w:sz w:val="24"/>
                <w:szCs w:val="24"/>
              </w:rPr>
              <w:t>、要求支持人员定位位置查看和轨迹回放。</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16</w:t>
            </w:r>
            <w:r>
              <w:rPr>
                <w:rFonts w:hint="eastAsia" w:ascii="宋体" w:hAnsi="宋体" w:cs="宋体"/>
                <w:color w:val="auto"/>
                <w:kern w:val="0"/>
                <w:sz w:val="24"/>
                <w:szCs w:val="24"/>
              </w:rPr>
              <w:t>、要求支持导出健康码核验记录。</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17</w:t>
            </w:r>
            <w:r>
              <w:rPr>
                <w:rFonts w:hint="eastAsia" w:ascii="宋体" w:hAnsi="宋体" w:cs="宋体"/>
                <w:color w:val="auto"/>
                <w:kern w:val="0"/>
                <w:sz w:val="24"/>
                <w:szCs w:val="24"/>
              </w:rPr>
              <w:t>、要求支持配置测温点温度阈值；视频、门禁、安检门均需配置测温阈值和报警阈值，且门禁设备可以配置体温异常是否允许开门。</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18</w:t>
            </w:r>
            <w:r>
              <w:rPr>
                <w:rFonts w:hint="eastAsia" w:ascii="宋体" w:hAnsi="宋体" w:cs="宋体"/>
                <w:color w:val="auto"/>
                <w:kern w:val="0"/>
                <w:sz w:val="24"/>
                <w:szCs w:val="24"/>
              </w:rPr>
              <w:t>、要求客户端支持展示测温事件实时抓拍图片，包括可见光和热成像图片；同时展示该事件温度值、是否为异常事件、设备分组信息。</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19</w:t>
            </w:r>
            <w:r>
              <w:rPr>
                <w:rFonts w:hint="eastAsia" w:ascii="宋体" w:hAnsi="宋体" w:cs="宋体"/>
                <w:color w:val="auto"/>
                <w:kern w:val="0"/>
                <w:sz w:val="24"/>
                <w:szCs w:val="24"/>
              </w:rPr>
              <w:t>、要求支持展示测温告警事件，包括测温点、抓拍图（可见光）、温度值、测温分组、测温时间，且每个告警事件都可查看测温信息（包括可见光和热成像抓拍图）填写登记信息。</w:t>
            </w:r>
          </w:p>
          <w:p>
            <w:pPr>
              <w:widowControl/>
              <w:jc w:val="left"/>
              <w:textAlignment w:val="center"/>
              <w:rPr>
                <w:rFonts w:ascii="宋体"/>
                <w:color w:val="auto"/>
                <w:sz w:val="24"/>
                <w:szCs w:val="24"/>
              </w:rPr>
            </w:pPr>
            <w:r>
              <w:rPr>
                <w:rFonts w:ascii="宋体" w:hAnsi="宋体" w:cs="宋体"/>
                <w:color w:val="auto"/>
                <w:kern w:val="0"/>
                <w:sz w:val="24"/>
                <w:szCs w:val="24"/>
              </w:rPr>
              <w:t>20</w:t>
            </w:r>
            <w:r>
              <w:rPr>
                <w:rFonts w:hint="eastAsia" w:ascii="宋体" w:hAnsi="宋体" w:cs="宋体"/>
                <w:color w:val="auto"/>
                <w:kern w:val="0"/>
                <w:sz w:val="24"/>
                <w:szCs w:val="24"/>
              </w:rPr>
              <w:t>、要求支持按照正常、异常、全部进行筛选并展示测温登记记录，且登记信息支持导出，展示和导出的信息包括：测温时间、姓名、身份证号码、性别、联系电话、所属组织、体温、体温状态、来自疫区、核实体温、描述、测温点名称、测温点分组、登记人。</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21</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综合管理服务器</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HG7163(16</w:t>
            </w:r>
            <w:r>
              <w:rPr>
                <w:rFonts w:hint="eastAsia" w:ascii="宋体" w:hAnsi="宋体" w:cs="宋体"/>
                <w:color w:val="auto"/>
                <w:kern w:val="0"/>
                <w:sz w:val="24"/>
                <w:szCs w:val="24"/>
              </w:rPr>
              <w:t>核</w:t>
            </w:r>
            <w:r>
              <w:rPr>
                <w:rFonts w:ascii="宋体" w:hAnsi="宋体" w:cs="宋体"/>
                <w:color w:val="auto"/>
                <w:kern w:val="0"/>
                <w:sz w:val="24"/>
                <w:szCs w:val="24"/>
              </w:rPr>
              <w:t>2.4GHz)</w:t>
            </w:r>
            <w:r>
              <w:rPr>
                <w:rFonts w:hint="eastAsia" w:ascii="宋体" w:hAnsi="宋体" w:cs="宋体"/>
                <w:color w:val="auto"/>
                <w:kern w:val="0"/>
                <w:sz w:val="24"/>
                <w:szCs w:val="24"/>
              </w:rPr>
              <w:t>×</w:t>
            </w:r>
            <w:r>
              <w:rPr>
                <w:rFonts w:ascii="宋体" w:hAnsi="宋体" w:cs="宋体"/>
                <w:color w:val="auto"/>
                <w:kern w:val="0"/>
                <w:sz w:val="24"/>
                <w:szCs w:val="24"/>
              </w:rPr>
              <w:t>1/64G DDR4/600GB 10K SAS</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RAID_1</w:t>
            </w:r>
            <w:r>
              <w:rPr>
                <w:rFonts w:hint="eastAsia" w:ascii="宋体" w:hAnsi="宋体" w:cs="宋体"/>
                <w:color w:val="auto"/>
                <w:kern w:val="0"/>
                <w:sz w:val="24"/>
                <w:szCs w:val="24"/>
              </w:rPr>
              <w:t>）</w:t>
            </w:r>
            <w:r>
              <w:rPr>
                <w:rFonts w:ascii="宋体" w:hAnsi="宋体" w:cs="宋体"/>
                <w:color w:val="auto"/>
                <w:kern w:val="0"/>
                <w:sz w:val="24"/>
                <w:szCs w:val="24"/>
              </w:rPr>
              <w:t>/SAS_HBA/1GbE</w:t>
            </w:r>
            <w:r>
              <w:rPr>
                <w:rFonts w:hint="eastAsia" w:ascii="宋体" w:hAnsi="宋体" w:cs="宋体"/>
                <w:color w:val="auto"/>
                <w:kern w:val="0"/>
                <w:sz w:val="24"/>
                <w:szCs w:val="24"/>
              </w:rPr>
              <w:t>×</w:t>
            </w:r>
            <w:r>
              <w:rPr>
                <w:rFonts w:ascii="宋体" w:hAnsi="宋体" w:cs="宋体"/>
                <w:color w:val="auto"/>
                <w:kern w:val="0"/>
                <w:sz w:val="24"/>
                <w:szCs w:val="24"/>
              </w:rPr>
              <w:t>4/550W(1+1)/2U/16DIMM/USB-DVD</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套</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22</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机柜</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 xml:space="preserve">42U </w:t>
            </w:r>
            <w:r>
              <w:rPr>
                <w:rFonts w:hint="eastAsia" w:ascii="宋体" w:hAnsi="宋体" w:cs="宋体"/>
                <w:color w:val="auto"/>
                <w:kern w:val="0"/>
                <w:sz w:val="24"/>
                <w:szCs w:val="24"/>
              </w:rPr>
              <w:t>加厚机柜，</w:t>
            </w:r>
            <w:r>
              <w:rPr>
                <w:rFonts w:ascii="宋体" w:hAnsi="宋体" w:cs="宋体"/>
                <w:color w:val="auto"/>
                <w:kern w:val="0"/>
                <w:sz w:val="24"/>
                <w:szCs w:val="24"/>
              </w:rPr>
              <w:t>600*800*2055</w:t>
            </w:r>
            <w:r>
              <w:rPr>
                <w:rFonts w:hint="eastAsia" w:ascii="宋体" w:hAnsi="宋体" w:cs="宋体"/>
                <w:color w:val="auto"/>
                <w:kern w:val="0"/>
                <w:sz w:val="24"/>
                <w:szCs w:val="24"/>
              </w:rPr>
              <w:t>。</w:t>
            </w:r>
          </w:p>
          <w:p>
            <w:pPr>
              <w:widowControl/>
              <w:jc w:val="left"/>
              <w:textAlignment w:val="center"/>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w:t>
            </w:r>
            <w:r>
              <w:rPr>
                <w:rFonts w:ascii="宋体" w:hAnsi="宋体" w:cs="宋体"/>
                <w:color w:val="auto"/>
                <w:kern w:val="0"/>
                <w:sz w:val="24"/>
                <w:szCs w:val="24"/>
              </w:rPr>
              <w:t xml:space="preserve">8 </w:t>
            </w:r>
            <w:r>
              <w:rPr>
                <w:rFonts w:hint="eastAsia" w:ascii="宋体" w:hAnsi="宋体" w:cs="宋体"/>
                <w:color w:val="auto"/>
                <w:kern w:val="0"/>
                <w:sz w:val="24"/>
                <w:szCs w:val="24"/>
              </w:rPr>
              <w:t>口</w:t>
            </w:r>
            <w:r>
              <w:rPr>
                <w:rFonts w:ascii="宋体" w:hAnsi="宋体" w:cs="宋体"/>
                <w:color w:val="auto"/>
                <w:kern w:val="0"/>
                <w:sz w:val="24"/>
                <w:szCs w:val="24"/>
              </w:rPr>
              <w:t xml:space="preserve"> 10A PDU </w:t>
            </w:r>
            <w:r>
              <w:rPr>
                <w:rFonts w:hint="eastAsia" w:ascii="宋体" w:hAnsi="宋体" w:cs="宋体"/>
                <w:color w:val="auto"/>
                <w:kern w:val="0"/>
                <w:sz w:val="24"/>
                <w:szCs w:val="24"/>
              </w:rPr>
              <w:t>国标电源插排×</w:t>
            </w:r>
            <w:r>
              <w:rPr>
                <w:rFonts w:ascii="宋体" w:hAnsi="宋体" w:cs="宋体"/>
                <w:color w:val="auto"/>
                <w:kern w:val="0"/>
                <w:sz w:val="24"/>
                <w:szCs w:val="24"/>
              </w:rPr>
              <w:t>1</w:t>
            </w:r>
            <w:r>
              <w:rPr>
                <w:rFonts w:hint="eastAsia" w:ascii="宋体" w:hAnsi="宋体" w:cs="宋体"/>
                <w:color w:val="auto"/>
                <w:kern w:val="0"/>
                <w:sz w:val="24"/>
                <w:szCs w:val="24"/>
              </w:rPr>
              <w:t>，固定板部件×</w:t>
            </w:r>
            <w:r>
              <w:rPr>
                <w:rFonts w:ascii="宋体" w:hAnsi="宋体" w:cs="宋体"/>
                <w:color w:val="auto"/>
                <w:kern w:val="0"/>
                <w:sz w:val="24"/>
                <w:szCs w:val="24"/>
              </w:rPr>
              <w:t>1,</w:t>
            </w:r>
            <w:r>
              <w:rPr>
                <w:rFonts w:hint="eastAsia" w:ascii="宋体" w:hAnsi="宋体" w:cs="宋体"/>
                <w:color w:val="auto"/>
                <w:kern w:val="0"/>
                <w:sz w:val="24"/>
                <w:szCs w:val="24"/>
              </w:rPr>
              <w:t>风扇×</w:t>
            </w:r>
            <w:r>
              <w:rPr>
                <w:rFonts w:ascii="宋体" w:hAnsi="宋体" w:cs="宋体"/>
                <w:color w:val="auto"/>
                <w:kern w:val="0"/>
                <w:sz w:val="24"/>
                <w:szCs w:val="24"/>
              </w:rPr>
              <w:t>1,2"</w:t>
            </w:r>
            <w:r>
              <w:rPr>
                <w:rFonts w:hint="eastAsia" w:ascii="宋体" w:hAnsi="宋体" w:cs="宋体"/>
                <w:color w:val="auto"/>
                <w:kern w:val="0"/>
                <w:sz w:val="24"/>
                <w:szCs w:val="24"/>
              </w:rPr>
              <w:t>重型脚轮×</w:t>
            </w: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 xml:space="preserve">M12 </w:t>
            </w:r>
            <w:r>
              <w:rPr>
                <w:rFonts w:hint="eastAsia" w:ascii="宋体" w:hAnsi="宋体" w:cs="宋体"/>
                <w:color w:val="auto"/>
                <w:kern w:val="0"/>
                <w:sz w:val="24"/>
                <w:szCs w:val="24"/>
              </w:rPr>
              <w:t>支脚×</w:t>
            </w: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 xml:space="preserve">M6 </w:t>
            </w:r>
            <w:r>
              <w:rPr>
                <w:rFonts w:hint="eastAsia" w:ascii="宋体" w:hAnsi="宋体" w:cs="宋体"/>
                <w:color w:val="auto"/>
                <w:kern w:val="0"/>
                <w:sz w:val="24"/>
                <w:szCs w:val="24"/>
              </w:rPr>
              <w:t>方螺母螺钉×</w:t>
            </w:r>
            <w:r>
              <w:rPr>
                <w:rFonts w:ascii="宋体" w:hAnsi="宋体" w:cs="宋体"/>
                <w:color w:val="auto"/>
                <w:kern w:val="0"/>
                <w:sz w:val="24"/>
                <w:szCs w:val="24"/>
              </w:rPr>
              <w:t>20</w:t>
            </w:r>
            <w:r>
              <w:rPr>
                <w:rFonts w:hint="eastAsia" w:ascii="宋体" w:hAnsi="宋体" w:cs="宋体"/>
                <w:color w:val="auto"/>
                <w:kern w:val="0"/>
                <w:sz w:val="24"/>
                <w:szCs w:val="24"/>
              </w:rPr>
              <w:t>，内六角扳手×</w:t>
            </w:r>
            <w:r>
              <w:rPr>
                <w:rFonts w:ascii="宋体" w:hAnsi="宋体" w:cs="宋体"/>
                <w:color w:val="auto"/>
                <w:kern w:val="0"/>
                <w:sz w:val="24"/>
                <w:szCs w:val="24"/>
              </w:rPr>
              <w:t>1</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23</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解码器</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解码设备采用嵌入式架构，专用</w:t>
            </w:r>
            <w:r>
              <w:rPr>
                <w:rFonts w:ascii="宋体" w:hAnsi="宋体" w:cs="宋体"/>
                <w:color w:val="auto"/>
                <w:kern w:val="0"/>
                <w:sz w:val="24"/>
                <w:szCs w:val="24"/>
              </w:rPr>
              <w:t>Linux</w:t>
            </w:r>
            <w:r>
              <w:rPr>
                <w:rFonts w:hint="eastAsia" w:ascii="宋体" w:hAnsi="宋体" w:cs="宋体"/>
                <w:color w:val="auto"/>
                <w:kern w:val="0"/>
                <w:sz w:val="24"/>
                <w:szCs w:val="24"/>
              </w:rPr>
              <w:t>系统，机架式设计，高度≤</w:t>
            </w:r>
            <w:r>
              <w:rPr>
                <w:rFonts w:ascii="宋体" w:hAnsi="宋体" w:cs="宋体"/>
                <w:color w:val="auto"/>
                <w:kern w:val="0"/>
                <w:sz w:val="24"/>
                <w:szCs w:val="24"/>
              </w:rPr>
              <w:t>2U</w:t>
            </w:r>
            <w:r>
              <w:rPr>
                <w:rFonts w:hint="eastAsia" w:ascii="宋体" w:hAnsi="宋体" w:cs="宋体"/>
                <w:color w:val="auto"/>
                <w:kern w:val="0"/>
                <w:sz w:val="24"/>
                <w:szCs w:val="24"/>
              </w:rPr>
              <w:t>；具有≥</w:t>
            </w:r>
            <w:r>
              <w:rPr>
                <w:rFonts w:ascii="宋体" w:hAnsi="宋体" w:cs="宋体"/>
                <w:color w:val="auto"/>
                <w:kern w:val="0"/>
                <w:sz w:val="24"/>
                <w:szCs w:val="24"/>
              </w:rPr>
              <w:t>16</w:t>
            </w:r>
            <w:r>
              <w:rPr>
                <w:rFonts w:hint="eastAsia" w:ascii="宋体" w:hAnsi="宋体" w:cs="宋体"/>
                <w:color w:val="auto"/>
                <w:kern w:val="0"/>
                <w:sz w:val="24"/>
                <w:szCs w:val="24"/>
              </w:rPr>
              <w:t>个</w:t>
            </w:r>
            <w:r>
              <w:rPr>
                <w:rFonts w:ascii="宋体" w:hAnsi="宋体" w:cs="宋体"/>
                <w:color w:val="auto"/>
                <w:kern w:val="0"/>
                <w:sz w:val="24"/>
                <w:szCs w:val="24"/>
              </w:rPr>
              <w:t>HDMI</w:t>
            </w:r>
            <w:r>
              <w:rPr>
                <w:rFonts w:hint="eastAsia" w:ascii="宋体" w:hAnsi="宋体" w:cs="宋体"/>
                <w:color w:val="auto"/>
                <w:kern w:val="0"/>
                <w:sz w:val="24"/>
                <w:szCs w:val="24"/>
              </w:rPr>
              <w:t>输出接口、≥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VGA</w:t>
            </w:r>
            <w:r>
              <w:rPr>
                <w:rFonts w:hint="eastAsia" w:ascii="宋体" w:hAnsi="宋体" w:cs="宋体"/>
                <w:color w:val="auto"/>
                <w:kern w:val="0"/>
                <w:sz w:val="24"/>
                <w:szCs w:val="24"/>
              </w:rPr>
              <w:t>输入接口、≥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DVI-I</w:t>
            </w:r>
            <w:r>
              <w:rPr>
                <w:rFonts w:hint="eastAsia" w:ascii="宋体" w:hAnsi="宋体" w:cs="宋体"/>
                <w:color w:val="auto"/>
                <w:kern w:val="0"/>
                <w:sz w:val="24"/>
                <w:szCs w:val="24"/>
              </w:rPr>
              <w:t>输入接口、≥</w:t>
            </w:r>
            <w:r>
              <w:rPr>
                <w:rFonts w:ascii="宋体" w:hAnsi="宋体" w:cs="宋体"/>
                <w:color w:val="auto"/>
                <w:kern w:val="0"/>
                <w:sz w:val="24"/>
                <w:szCs w:val="24"/>
              </w:rPr>
              <w:t>2</w:t>
            </w:r>
            <w:r>
              <w:rPr>
                <w:rFonts w:hint="eastAsia" w:ascii="宋体" w:hAnsi="宋体" w:cs="宋体"/>
                <w:color w:val="auto"/>
                <w:kern w:val="0"/>
                <w:sz w:val="24"/>
                <w:szCs w:val="24"/>
              </w:rPr>
              <w:t>个千兆网口、≥</w:t>
            </w:r>
            <w:r>
              <w:rPr>
                <w:rFonts w:ascii="宋体" w:hAnsi="宋体" w:cs="宋体"/>
                <w:color w:val="auto"/>
                <w:kern w:val="0"/>
                <w:sz w:val="24"/>
                <w:szCs w:val="24"/>
              </w:rPr>
              <w:t>2</w:t>
            </w:r>
            <w:r>
              <w:rPr>
                <w:rFonts w:hint="eastAsia" w:ascii="宋体" w:hAnsi="宋体" w:cs="宋体"/>
                <w:color w:val="auto"/>
                <w:kern w:val="0"/>
                <w:sz w:val="24"/>
                <w:szCs w:val="24"/>
              </w:rPr>
              <w:t>个光口、≥</w:t>
            </w:r>
            <w:r>
              <w:rPr>
                <w:rFonts w:ascii="宋体" w:hAnsi="宋体" w:cs="宋体"/>
                <w:color w:val="auto"/>
                <w:kern w:val="0"/>
                <w:sz w:val="24"/>
                <w:szCs w:val="24"/>
              </w:rPr>
              <w:t>1</w:t>
            </w:r>
            <w:r>
              <w:rPr>
                <w:rFonts w:hint="eastAsia" w:ascii="宋体" w:hAnsi="宋体" w:cs="宋体"/>
                <w:color w:val="auto"/>
                <w:kern w:val="0"/>
                <w:sz w:val="24"/>
                <w:szCs w:val="24"/>
              </w:rPr>
              <w:t>路语音输入、≥</w:t>
            </w:r>
            <w:r>
              <w:rPr>
                <w:rFonts w:ascii="宋体" w:hAnsi="宋体" w:cs="宋体"/>
                <w:color w:val="auto"/>
                <w:kern w:val="0"/>
                <w:sz w:val="24"/>
                <w:szCs w:val="24"/>
              </w:rPr>
              <w:t>1</w:t>
            </w:r>
            <w:r>
              <w:rPr>
                <w:rFonts w:hint="eastAsia" w:ascii="宋体" w:hAnsi="宋体" w:cs="宋体"/>
                <w:color w:val="auto"/>
                <w:kern w:val="0"/>
                <w:sz w:val="24"/>
                <w:szCs w:val="24"/>
              </w:rPr>
              <w:t>路语音输出接口，≥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RS232</w:t>
            </w:r>
            <w:r>
              <w:rPr>
                <w:rFonts w:hint="eastAsia" w:ascii="宋体" w:hAnsi="宋体" w:cs="宋体"/>
                <w:color w:val="auto"/>
                <w:kern w:val="0"/>
                <w:sz w:val="24"/>
                <w:szCs w:val="24"/>
              </w:rPr>
              <w:t>接口，≥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RS485</w:t>
            </w:r>
            <w:r>
              <w:rPr>
                <w:rFonts w:hint="eastAsia" w:ascii="宋体" w:hAnsi="宋体" w:cs="宋体"/>
                <w:color w:val="auto"/>
                <w:kern w:val="0"/>
                <w:sz w:val="24"/>
                <w:szCs w:val="24"/>
              </w:rPr>
              <w:t>接口，≥</w:t>
            </w:r>
            <w:r>
              <w:rPr>
                <w:rFonts w:ascii="宋体" w:hAnsi="宋体" w:cs="宋体"/>
                <w:color w:val="auto"/>
                <w:kern w:val="0"/>
                <w:sz w:val="24"/>
                <w:szCs w:val="24"/>
              </w:rPr>
              <w:t>6</w:t>
            </w:r>
            <w:r>
              <w:rPr>
                <w:rFonts w:hint="eastAsia" w:ascii="宋体" w:hAnsi="宋体" w:cs="宋体"/>
                <w:color w:val="auto"/>
                <w:kern w:val="0"/>
                <w:sz w:val="24"/>
                <w:szCs w:val="24"/>
              </w:rPr>
              <w:t>路报警输入、≥</w:t>
            </w:r>
            <w:r>
              <w:rPr>
                <w:rFonts w:ascii="宋体" w:hAnsi="宋体" w:cs="宋体"/>
                <w:color w:val="auto"/>
                <w:kern w:val="0"/>
                <w:sz w:val="24"/>
                <w:szCs w:val="24"/>
              </w:rPr>
              <w:t>6</w:t>
            </w:r>
            <w:r>
              <w:rPr>
                <w:rFonts w:hint="eastAsia" w:ascii="宋体" w:hAnsi="宋体" w:cs="宋体"/>
                <w:color w:val="auto"/>
                <w:kern w:val="0"/>
                <w:sz w:val="24"/>
                <w:szCs w:val="24"/>
              </w:rPr>
              <w:t>路报警输出接口。</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2</w:t>
            </w:r>
            <w:r>
              <w:rPr>
                <w:rFonts w:hint="eastAsia" w:ascii="宋体" w:hAnsi="宋体" w:cs="宋体"/>
                <w:color w:val="auto"/>
                <w:kern w:val="0"/>
                <w:sz w:val="24"/>
                <w:szCs w:val="24"/>
              </w:rPr>
              <w:t>、输出分辨率支持</w:t>
            </w:r>
            <w:r>
              <w:rPr>
                <w:rFonts w:ascii="宋体" w:hAnsi="宋体" w:cs="宋体"/>
                <w:color w:val="auto"/>
                <w:kern w:val="0"/>
                <w:sz w:val="24"/>
                <w:szCs w:val="24"/>
              </w:rPr>
              <w:t>1920</w:t>
            </w:r>
            <w:r>
              <w:rPr>
                <w:rFonts w:hint="eastAsia" w:ascii="宋体" w:hAnsi="宋体" w:cs="宋体"/>
                <w:color w:val="auto"/>
                <w:kern w:val="0"/>
                <w:sz w:val="24"/>
                <w:szCs w:val="24"/>
              </w:rPr>
              <w:t>×</w:t>
            </w:r>
            <w:r>
              <w:rPr>
                <w:rFonts w:ascii="宋体" w:hAnsi="宋体" w:cs="宋体"/>
                <w:color w:val="auto"/>
                <w:kern w:val="0"/>
                <w:sz w:val="24"/>
                <w:szCs w:val="24"/>
              </w:rPr>
              <w:t>1080</w:t>
            </w:r>
            <w:r>
              <w:rPr>
                <w:rFonts w:hint="eastAsia" w:ascii="宋体" w:hAnsi="宋体" w:cs="宋体"/>
                <w:color w:val="auto"/>
                <w:kern w:val="0"/>
                <w:sz w:val="24"/>
                <w:szCs w:val="24"/>
              </w:rPr>
              <w:t>、</w:t>
            </w:r>
            <w:r>
              <w:rPr>
                <w:rFonts w:ascii="宋体" w:hAnsi="宋体" w:cs="宋体"/>
                <w:color w:val="auto"/>
                <w:kern w:val="0"/>
                <w:sz w:val="24"/>
                <w:szCs w:val="24"/>
              </w:rPr>
              <w:t>3840</w:t>
            </w:r>
            <w:r>
              <w:rPr>
                <w:rFonts w:hint="eastAsia" w:ascii="宋体" w:hAnsi="宋体" w:cs="宋体"/>
                <w:color w:val="auto"/>
                <w:kern w:val="0"/>
                <w:sz w:val="24"/>
                <w:szCs w:val="24"/>
              </w:rPr>
              <w:t>×</w:t>
            </w:r>
            <w:r>
              <w:rPr>
                <w:rFonts w:ascii="宋体" w:hAnsi="宋体" w:cs="宋体"/>
                <w:color w:val="auto"/>
                <w:kern w:val="0"/>
                <w:sz w:val="24"/>
                <w:szCs w:val="24"/>
              </w:rPr>
              <w:t>2160</w:t>
            </w:r>
            <w:r>
              <w:rPr>
                <w:rFonts w:hint="eastAsia" w:ascii="宋体" w:hAnsi="宋体" w:cs="宋体"/>
                <w:color w:val="auto"/>
                <w:kern w:val="0"/>
                <w:sz w:val="24"/>
                <w:szCs w:val="24"/>
              </w:rPr>
              <w:t>；支持画面分割、拼接、开窗漫游功能，支持</w:t>
            </w:r>
            <w:r>
              <w:rPr>
                <w:rFonts w:ascii="宋体" w:hAnsi="宋体" w:cs="宋体"/>
                <w:color w:val="auto"/>
                <w:kern w:val="0"/>
                <w:sz w:val="24"/>
                <w:szCs w:val="24"/>
              </w:rPr>
              <w:t>1</w:t>
            </w: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w:t>
            </w:r>
            <w:r>
              <w:rPr>
                <w:rFonts w:ascii="宋体" w:hAnsi="宋体" w:cs="宋体"/>
                <w:color w:val="auto"/>
                <w:kern w:val="0"/>
                <w:sz w:val="24"/>
                <w:szCs w:val="24"/>
              </w:rPr>
              <w:t>8</w:t>
            </w:r>
            <w:r>
              <w:rPr>
                <w:rFonts w:hint="eastAsia" w:ascii="宋体" w:hAnsi="宋体" w:cs="宋体"/>
                <w:color w:val="auto"/>
                <w:kern w:val="0"/>
                <w:sz w:val="24"/>
                <w:szCs w:val="24"/>
              </w:rPr>
              <w:t>、</w:t>
            </w:r>
            <w:r>
              <w:rPr>
                <w:rFonts w:ascii="宋体" w:hAnsi="宋体" w:cs="宋体"/>
                <w:color w:val="auto"/>
                <w:kern w:val="0"/>
                <w:sz w:val="24"/>
                <w:szCs w:val="24"/>
              </w:rPr>
              <w:t>9</w:t>
            </w:r>
            <w:r>
              <w:rPr>
                <w:rFonts w:hint="eastAsia" w:ascii="宋体" w:hAnsi="宋体" w:cs="宋体"/>
                <w:color w:val="auto"/>
                <w:kern w:val="0"/>
                <w:sz w:val="24"/>
                <w:szCs w:val="24"/>
              </w:rPr>
              <w:t>、</w:t>
            </w:r>
            <w:r>
              <w:rPr>
                <w:rFonts w:ascii="宋体" w:hAnsi="宋体" w:cs="宋体"/>
                <w:color w:val="auto"/>
                <w:kern w:val="0"/>
                <w:sz w:val="24"/>
                <w:szCs w:val="24"/>
              </w:rPr>
              <w:t>10</w:t>
            </w:r>
            <w:r>
              <w:rPr>
                <w:rFonts w:hint="eastAsia" w:ascii="宋体" w:hAnsi="宋体" w:cs="宋体"/>
                <w:color w:val="auto"/>
                <w:kern w:val="0"/>
                <w:sz w:val="24"/>
                <w:szCs w:val="24"/>
              </w:rPr>
              <w:t>、</w:t>
            </w:r>
            <w:r>
              <w:rPr>
                <w:rFonts w:ascii="宋体" w:hAnsi="宋体" w:cs="宋体"/>
                <w:color w:val="auto"/>
                <w:kern w:val="0"/>
                <w:sz w:val="24"/>
                <w:szCs w:val="24"/>
              </w:rPr>
              <w:t>12</w:t>
            </w:r>
            <w:r>
              <w:rPr>
                <w:rFonts w:hint="eastAsia" w:ascii="宋体" w:hAnsi="宋体" w:cs="宋体"/>
                <w:color w:val="auto"/>
                <w:kern w:val="0"/>
                <w:sz w:val="24"/>
                <w:szCs w:val="24"/>
              </w:rPr>
              <w:t>、</w:t>
            </w:r>
            <w:r>
              <w:rPr>
                <w:rFonts w:ascii="宋体" w:hAnsi="宋体" w:cs="宋体"/>
                <w:color w:val="auto"/>
                <w:kern w:val="0"/>
                <w:sz w:val="24"/>
                <w:szCs w:val="24"/>
              </w:rPr>
              <w:t>16</w:t>
            </w:r>
            <w:r>
              <w:rPr>
                <w:rFonts w:hint="eastAsia" w:ascii="宋体" w:hAnsi="宋体" w:cs="宋体"/>
                <w:color w:val="auto"/>
                <w:kern w:val="0"/>
                <w:sz w:val="24"/>
                <w:szCs w:val="24"/>
              </w:rPr>
              <w:t>、</w:t>
            </w:r>
            <w:r>
              <w:rPr>
                <w:rFonts w:ascii="宋体" w:hAnsi="宋体" w:cs="宋体"/>
                <w:color w:val="auto"/>
                <w:kern w:val="0"/>
                <w:sz w:val="24"/>
                <w:szCs w:val="24"/>
              </w:rPr>
              <w:t>25</w:t>
            </w:r>
            <w:r>
              <w:rPr>
                <w:rFonts w:hint="eastAsia" w:ascii="宋体" w:hAnsi="宋体" w:cs="宋体"/>
                <w:color w:val="auto"/>
                <w:kern w:val="0"/>
                <w:sz w:val="24"/>
                <w:szCs w:val="24"/>
              </w:rPr>
              <w:t>、</w:t>
            </w:r>
            <w:r>
              <w:rPr>
                <w:rFonts w:ascii="宋体" w:hAnsi="宋体" w:cs="宋体"/>
                <w:color w:val="auto"/>
                <w:kern w:val="0"/>
                <w:sz w:val="24"/>
                <w:szCs w:val="24"/>
              </w:rPr>
              <w:t>36</w:t>
            </w:r>
            <w:r>
              <w:rPr>
                <w:rFonts w:hint="eastAsia" w:ascii="宋体" w:hAnsi="宋体" w:cs="宋体"/>
                <w:color w:val="auto"/>
                <w:kern w:val="0"/>
                <w:sz w:val="24"/>
                <w:szCs w:val="24"/>
              </w:rPr>
              <w:t>等画面分割显示，支持将显示窗口在多个显示屏间进行拖动或跨屏显示，支持调节显示窗口大小。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3</w:t>
            </w:r>
            <w:r>
              <w:rPr>
                <w:rFonts w:hint="eastAsia" w:ascii="宋体" w:hAnsi="宋体" w:cs="宋体"/>
                <w:color w:val="auto"/>
                <w:kern w:val="0"/>
                <w:sz w:val="24"/>
                <w:szCs w:val="24"/>
              </w:rPr>
              <w:t>、支持</w:t>
            </w:r>
            <w:r>
              <w:rPr>
                <w:rFonts w:ascii="宋体" w:hAnsi="宋体" w:cs="宋体"/>
                <w:color w:val="auto"/>
                <w:kern w:val="0"/>
                <w:sz w:val="24"/>
                <w:szCs w:val="24"/>
              </w:rPr>
              <w:t>ONVIF</w:t>
            </w:r>
            <w:r>
              <w:rPr>
                <w:rFonts w:hint="eastAsia" w:ascii="宋体" w:hAnsi="宋体" w:cs="宋体"/>
                <w:color w:val="auto"/>
                <w:kern w:val="0"/>
                <w:sz w:val="24"/>
                <w:szCs w:val="24"/>
              </w:rPr>
              <w:t>、</w:t>
            </w:r>
            <w:r>
              <w:rPr>
                <w:rFonts w:ascii="宋体" w:hAnsi="宋体" w:cs="宋体"/>
                <w:color w:val="auto"/>
                <w:kern w:val="0"/>
                <w:sz w:val="24"/>
                <w:szCs w:val="24"/>
              </w:rPr>
              <w:t>GB28181</w:t>
            </w:r>
            <w:r>
              <w:rPr>
                <w:rFonts w:hint="eastAsia" w:ascii="宋体" w:hAnsi="宋体" w:cs="宋体"/>
                <w:color w:val="auto"/>
                <w:kern w:val="0"/>
                <w:sz w:val="24"/>
                <w:szCs w:val="24"/>
              </w:rPr>
              <w:t>协议接入设备，支持</w:t>
            </w:r>
            <w:r>
              <w:rPr>
                <w:rFonts w:ascii="宋体" w:hAnsi="宋体" w:cs="宋体"/>
                <w:color w:val="auto"/>
                <w:kern w:val="0"/>
                <w:sz w:val="24"/>
                <w:szCs w:val="24"/>
              </w:rPr>
              <w:t>RTP\RTSP</w:t>
            </w:r>
            <w:r>
              <w:rPr>
                <w:rFonts w:hint="eastAsia" w:ascii="宋体" w:hAnsi="宋体" w:cs="宋体"/>
                <w:color w:val="auto"/>
                <w:kern w:val="0"/>
                <w:sz w:val="24"/>
                <w:szCs w:val="24"/>
              </w:rPr>
              <w:t>协议进行预览；支持</w:t>
            </w:r>
            <w:r>
              <w:rPr>
                <w:rFonts w:ascii="宋体" w:hAnsi="宋体" w:cs="宋体"/>
                <w:color w:val="auto"/>
                <w:kern w:val="0"/>
                <w:sz w:val="24"/>
                <w:szCs w:val="24"/>
              </w:rPr>
              <w:t>H.265</w:t>
            </w:r>
            <w:r>
              <w:rPr>
                <w:rFonts w:hint="eastAsia" w:ascii="宋体" w:hAnsi="宋体" w:cs="宋体"/>
                <w:color w:val="auto"/>
                <w:kern w:val="0"/>
                <w:sz w:val="24"/>
                <w:szCs w:val="24"/>
              </w:rPr>
              <w:t>、</w:t>
            </w:r>
            <w:r>
              <w:rPr>
                <w:rFonts w:ascii="宋体" w:hAnsi="宋体" w:cs="宋体"/>
                <w:color w:val="auto"/>
                <w:kern w:val="0"/>
                <w:sz w:val="24"/>
                <w:szCs w:val="24"/>
              </w:rPr>
              <w:t>H.264</w:t>
            </w:r>
            <w:r>
              <w:rPr>
                <w:rFonts w:hint="eastAsia" w:ascii="宋体" w:hAnsi="宋体" w:cs="宋体"/>
                <w:color w:val="auto"/>
                <w:kern w:val="0"/>
                <w:sz w:val="24"/>
                <w:szCs w:val="24"/>
              </w:rPr>
              <w:t>、</w:t>
            </w:r>
            <w:r>
              <w:rPr>
                <w:rFonts w:ascii="宋体" w:hAnsi="宋体" w:cs="宋体"/>
                <w:color w:val="auto"/>
                <w:kern w:val="0"/>
                <w:sz w:val="24"/>
                <w:szCs w:val="24"/>
              </w:rPr>
              <w:t>MPEG4</w:t>
            </w:r>
            <w:r>
              <w:rPr>
                <w:rFonts w:hint="eastAsia" w:ascii="宋体" w:hAnsi="宋体" w:cs="宋体"/>
                <w:color w:val="auto"/>
                <w:kern w:val="0"/>
                <w:sz w:val="24"/>
                <w:szCs w:val="24"/>
              </w:rPr>
              <w:t>、</w:t>
            </w:r>
            <w:r>
              <w:rPr>
                <w:rFonts w:ascii="宋体" w:hAnsi="宋体" w:cs="宋体"/>
                <w:color w:val="auto"/>
                <w:kern w:val="0"/>
                <w:sz w:val="24"/>
                <w:szCs w:val="24"/>
              </w:rPr>
              <w:t>MJPEG</w:t>
            </w:r>
            <w:r>
              <w:rPr>
                <w:rFonts w:hint="eastAsia" w:ascii="宋体" w:hAnsi="宋体" w:cs="宋体"/>
                <w:color w:val="auto"/>
                <w:kern w:val="0"/>
                <w:sz w:val="24"/>
                <w:szCs w:val="24"/>
              </w:rPr>
              <w:t>等视频编码格式，支持</w:t>
            </w:r>
            <w:r>
              <w:rPr>
                <w:rFonts w:ascii="宋体" w:hAnsi="宋体" w:cs="宋体"/>
                <w:color w:val="auto"/>
                <w:kern w:val="0"/>
                <w:sz w:val="24"/>
                <w:szCs w:val="24"/>
              </w:rPr>
              <w:t>TS</w:t>
            </w:r>
            <w:r>
              <w:rPr>
                <w:rFonts w:hint="eastAsia" w:ascii="宋体" w:hAnsi="宋体" w:cs="宋体"/>
                <w:color w:val="auto"/>
                <w:kern w:val="0"/>
                <w:sz w:val="24"/>
                <w:szCs w:val="24"/>
              </w:rPr>
              <w:t>、</w:t>
            </w:r>
            <w:r>
              <w:rPr>
                <w:rFonts w:ascii="宋体" w:hAnsi="宋体" w:cs="宋体"/>
                <w:color w:val="auto"/>
                <w:kern w:val="0"/>
                <w:sz w:val="24"/>
                <w:szCs w:val="24"/>
              </w:rPr>
              <w:t>PS</w:t>
            </w:r>
            <w:r>
              <w:rPr>
                <w:rFonts w:hint="eastAsia" w:ascii="宋体" w:hAnsi="宋体" w:cs="宋体"/>
                <w:color w:val="auto"/>
                <w:kern w:val="0"/>
                <w:sz w:val="24"/>
                <w:szCs w:val="24"/>
              </w:rPr>
              <w:t>、</w:t>
            </w:r>
            <w:r>
              <w:rPr>
                <w:rFonts w:ascii="宋体" w:hAnsi="宋体" w:cs="宋体"/>
                <w:color w:val="auto"/>
                <w:kern w:val="0"/>
                <w:sz w:val="24"/>
                <w:szCs w:val="24"/>
              </w:rPr>
              <w:t>RTPTS</w:t>
            </w:r>
            <w:r>
              <w:rPr>
                <w:rFonts w:hint="eastAsia" w:ascii="宋体" w:hAnsi="宋体" w:cs="宋体"/>
                <w:color w:val="auto"/>
                <w:kern w:val="0"/>
                <w:sz w:val="24"/>
                <w:szCs w:val="24"/>
              </w:rPr>
              <w:t>等封装格式，支持</w:t>
            </w:r>
            <w:r>
              <w:rPr>
                <w:rFonts w:ascii="宋体" w:hAnsi="宋体" w:cs="宋体"/>
                <w:color w:val="auto"/>
                <w:kern w:val="0"/>
                <w:sz w:val="24"/>
                <w:szCs w:val="24"/>
              </w:rPr>
              <w:t>AAC</w:t>
            </w:r>
            <w:r>
              <w:rPr>
                <w:rFonts w:hint="eastAsia" w:ascii="宋体" w:hAnsi="宋体" w:cs="宋体"/>
                <w:color w:val="auto"/>
                <w:kern w:val="0"/>
                <w:sz w:val="24"/>
                <w:szCs w:val="24"/>
              </w:rPr>
              <w:t>、</w:t>
            </w:r>
            <w:r>
              <w:rPr>
                <w:rFonts w:ascii="宋体" w:hAnsi="宋体" w:cs="宋体"/>
                <w:color w:val="auto"/>
                <w:kern w:val="0"/>
                <w:sz w:val="24"/>
                <w:szCs w:val="24"/>
              </w:rPr>
              <w:t>G.722</w:t>
            </w:r>
            <w:r>
              <w:rPr>
                <w:rFonts w:hint="eastAsia" w:ascii="宋体" w:hAnsi="宋体" w:cs="宋体"/>
                <w:color w:val="auto"/>
                <w:kern w:val="0"/>
                <w:sz w:val="24"/>
                <w:szCs w:val="24"/>
              </w:rPr>
              <w:t>、</w:t>
            </w:r>
            <w:r>
              <w:rPr>
                <w:rFonts w:ascii="宋体" w:hAnsi="宋体" w:cs="宋体"/>
                <w:color w:val="auto"/>
                <w:kern w:val="0"/>
                <w:sz w:val="24"/>
                <w:szCs w:val="24"/>
              </w:rPr>
              <w:t>G.711A</w:t>
            </w:r>
            <w:r>
              <w:rPr>
                <w:rFonts w:hint="eastAsia" w:ascii="宋体" w:hAnsi="宋体" w:cs="宋体"/>
                <w:color w:val="auto"/>
                <w:kern w:val="0"/>
                <w:sz w:val="24"/>
                <w:szCs w:val="24"/>
              </w:rPr>
              <w:t>、</w:t>
            </w:r>
            <w:r>
              <w:rPr>
                <w:rFonts w:ascii="宋体" w:hAnsi="宋体" w:cs="宋体"/>
                <w:color w:val="auto"/>
                <w:kern w:val="0"/>
                <w:sz w:val="24"/>
                <w:szCs w:val="24"/>
              </w:rPr>
              <w:t>G.726</w:t>
            </w:r>
            <w:r>
              <w:rPr>
                <w:rFonts w:hint="eastAsia" w:ascii="宋体" w:hAnsi="宋体" w:cs="宋体"/>
                <w:color w:val="auto"/>
                <w:kern w:val="0"/>
                <w:sz w:val="24"/>
                <w:szCs w:val="24"/>
              </w:rPr>
              <w:t>、</w:t>
            </w:r>
            <w:r>
              <w:rPr>
                <w:rFonts w:ascii="宋体" w:hAnsi="宋体" w:cs="宋体"/>
                <w:color w:val="auto"/>
                <w:kern w:val="0"/>
                <w:sz w:val="24"/>
                <w:szCs w:val="24"/>
              </w:rPr>
              <w:t>G.711U</w:t>
            </w:r>
            <w:r>
              <w:rPr>
                <w:rFonts w:hint="eastAsia" w:ascii="宋体" w:hAnsi="宋体" w:cs="宋体"/>
                <w:color w:val="auto"/>
                <w:kern w:val="0"/>
                <w:sz w:val="24"/>
                <w:szCs w:val="24"/>
              </w:rPr>
              <w:t>等音频格式。</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4</w:t>
            </w:r>
            <w:r>
              <w:rPr>
                <w:rFonts w:hint="eastAsia" w:ascii="宋体" w:hAnsi="宋体" w:cs="宋体"/>
                <w:color w:val="auto"/>
                <w:kern w:val="0"/>
                <w:sz w:val="24"/>
                <w:szCs w:val="24"/>
              </w:rPr>
              <w:t>、解码能力支持≥</w:t>
            </w:r>
            <w:r>
              <w:rPr>
                <w:rFonts w:ascii="宋体" w:hAnsi="宋体" w:cs="宋体"/>
                <w:color w:val="auto"/>
                <w:kern w:val="0"/>
                <w:sz w:val="24"/>
                <w:szCs w:val="24"/>
              </w:rPr>
              <w:t>16</w:t>
            </w:r>
            <w:r>
              <w:rPr>
                <w:rFonts w:hint="eastAsia" w:ascii="宋体" w:hAnsi="宋体" w:cs="宋体"/>
                <w:color w:val="auto"/>
                <w:kern w:val="0"/>
                <w:sz w:val="24"/>
                <w:szCs w:val="24"/>
              </w:rPr>
              <w:t>路</w:t>
            </w:r>
            <w:r>
              <w:rPr>
                <w:rFonts w:ascii="宋体" w:hAnsi="宋体" w:cs="宋体"/>
                <w:color w:val="auto"/>
                <w:kern w:val="0"/>
                <w:sz w:val="24"/>
                <w:szCs w:val="24"/>
              </w:rPr>
              <w:t>4000</w:t>
            </w:r>
            <w:r>
              <w:rPr>
                <w:rFonts w:hint="eastAsia" w:ascii="宋体" w:hAnsi="宋体" w:cs="宋体"/>
                <w:color w:val="auto"/>
                <w:kern w:val="0"/>
                <w:sz w:val="24"/>
                <w:szCs w:val="24"/>
              </w:rPr>
              <w:t>×</w:t>
            </w:r>
            <w:r>
              <w:rPr>
                <w:rFonts w:ascii="宋体" w:hAnsi="宋体" w:cs="宋体"/>
                <w:color w:val="auto"/>
                <w:kern w:val="0"/>
                <w:sz w:val="24"/>
                <w:szCs w:val="24"/>
              </w:rPr>
              <w:t>3000</w:t>
            </w:r>
            <w:r>
              <w:rPr>
                <w:rFonts w:hint="eastAsia" w:ascii="宋体" w:hAnsi="宋体" w:cs="宋体"/>
                <w:color w:val="auto"/>
                <w:kern w:val="0"/>
                <w:sz w:val="24"/>
                <w:szCs w:val="24"/>
              </w:rPr>
              <w:t>（</w:t>
            </w:r>
            <w:r>
              <w:rPr>
                <w:rFonts w:ascii="宋体" w:hAnsi="宋体" w:cs="宋体"/>
                <w:color w:val="auto"/>
                <w:kern w:val="0"/>
                <w:sz w:val="24"/>
                <w:szCs w:val="24"/>
              </w:rPr>
              <w:t>20fps</w:t>
            </w:r>
            <w:r>
              <w:rPr>
                <w:rFonts w:hint="eastAsia" w:ascii="宋体" w:hAnsi="宋体" w:cs="宋体"/>
                <w:color w:val="auto"/>
                <w:kern w:val="0"/>
                <w:sz w:val="24"/>
                <w:szCs w:val="24"/>
              </w:rPr>
              <w:t>）、或≥</w:t>
            </w:r>
            <w:r>
              <w:rPr>
                <w:rFonts w:ascii="宋体" w:hAnsi="宋体" w:cs="宋体"/>
                <w:color w:val="auto"/>
                <w:kern w:val="0"/>
                <w:sz w:val="24"/>
                <w:szCs w:val="24"/>
              </w:rPr>
              <w:t>32</w:t>
            </w:r>
            <w:r>
              <w:rPr>
                <w:rFonts w:hint="eastAsia" w:ascii="宋体" w:hAnsi="宋体" w:cs="宋体"/>
                <w:color w:val="auto"/>
                <w:kern w:val="0"/>
                <w:sz w:val="24"/>
                <w:szCs w:val="24"/>
              </w:rPr>
              <w:t>路</w:t>
            </w:r>
            <w:r>
              <w:rPr>
                <w:rFonts w:ascii="宋体" w:hAnsi="宋体" w:cs="宋体"/>
                <w:color w:val="auto"/>
                <w:kern w:val="0"/>
                <w:sz w:val="24"/>
                <w:szCs w:val="24"/>
              </w:rPr>
              <w:t>4096</w:t>
            </w:r>
            <w:r>
              <w:rPr>
                <w:rFonts w:hint="eastAsia" w:ascii="宋体" w:hAnsi="宋体" w:cs="宋体"/>
                <w:color w:val="auto"/>
                <w:kern w:val="0"/>
                <w:sz w:val="24"/>
                <w:szCs w:val="24"/>
              </w:rPr>
              <w:t>×</w:t>
            </w:r>
            <w:r>
              <w:rPr>
                <w:rFonts w:ascii="宋体" w:hAnsi="宋体" w:cs="宋体"/>
                <w:color w:val="auto"/>
                <w:kern w:val="0"/>
                <w:sz w:val="24"/>
                <w:szCs w:val="24"/>
              </w:rPr>
              <w:t>2160</w:t>
            </w:r>
            <w:r>
              <w:rPr>
                <w:rFonts w:hint="eastAsia" w:ascii="宋体" w:hAnsi="宋体" w:cs="宋体"/>
                <w:color w:val="auto"/>
                <w:kern w:val="0"/>
                <w:sz w:val="24"/>
                <w:szCs w:val="24"/>
              </w:rPr>
              <w:t>（</w:t>
            </w:r>
            <w:r>
              <w:rPr>
                <w:rFonts w:ascii="宋体" w:hAnsi="宋体" w:cs="宋体"/>
                <w:color w:val="auto"/>
                <w:kern w:val="0"/>
                <w:sz w:val="24"/>
                <w:szCs w:val="24"/>
              </w:rPr>
              <w:t>25fps</w:t>
            </w:r>
            <w:r>
              <w:rPr>
                <w:rFonts w:hint="eastAsia" w:ascii="宋体" w:hAnsi="宋体" w:cs="宋体"/>
                <w:color w:val="auto"/>
                <w:kern w:val="0"/>
                <w:sz w:val="24"/>
                <w:szCs w:val="24"/>
              </w:rPr>
              <w:t>）、或≥</w:t>
            </w:r>
            <w:r>
              <w:rPr>
                <w:rFonts w:ascii="宋体" w:hAnsi="宋体" w:cs="宋体"/>
                <w:color w:val="auto"/>
                <w:kern w:val="0"/>
                <w:sz w:val="24"/>
                <w:szCs w:val="24"/>
              </w:rPr>
              <w:t>32</w:t>
            </w:r>
            <w:r>
              <w:rPr>
                <w:rFonts w:hint="eastAsia" w:ascii="宋体" w:hAnsi="宋体" w:cs="宋体"/>
                <w:color w:val="auto"/>
                <w:kern w:val="0"/>
                <w:sz w:val="24"/>
                <w:szCs w:val="24"/>
              </w:rPr>
              <w:t>路</w:t>
            </w:r>
            <w:r>
              <w:rPr>
                <w:rFonts w:ascii="宋体" w:hAnsi="宋体" w:cs="宋体"/>
                <w:color w:val="auto"/>
                <w:kern w:val="0"/>
                <w:sz w:val="24"/>
                <w:szCs w:val="24"/>
              </w:rPr>
              <w:t>3840</w:t>
            </w:r>
            <w:r>
              <w:rPr>
                <w:rFonts w:hint="eastAsia" w:ascii="宋体" w:hAnsi="宋体" w:cs="宋体"/>
                <w:color w:val="auto"/>
                <w:kern w:val="0"/>
                <w:sz w:val="24"/>
                <w:szCs w:val="24"/>
              </w:rPr>
              <w:t>×</w:t>
            </w:r>
            <w:r>
              <w:rPr>
                <w:rFonts w:ascii="宋体" w:hAnsi="宋体" w:cs="宋体"/>
                <w:color w:val="auto"/>
                <w:kern w:val="0"/>
                <w:sz w:val="24"/>
                <w:szCs w:val="24"/>
              </w:rPr>
              <w:t>2160</w:t>
            </w:r>
            <w:r>
              <w:rPr>
                <w:rFonts w:hint="eastAsia" w:ascii="宋体" w:hAnsi="宋体" w:cs="宋体"/>
                <w:color w:val="auto"/>
                <w:kern w:val="0"/>
                <w:sz w:val="24"/>
                <w:szCs w:val="24"/>
              </w:rPr>
              <w:t>（</w:t>
            </w:r>
            <w:r>
              <w:rPr>
                <w:rFonts w:ascii="宋体" w:hAnsi="宋体" w:cs="宋体"/>
                <w:color w:val="auto"/>
                <w:kern w:val="0"/>
                <w:sz w:val="24"/>
                <w:szCs w:val="24"/>
              </w:rPr>
              <w:t>25fps</w:t>
            </w:r>
            <w:r>
              <w:rPr>
                <w:rFonts w:hint="eastAsia" w:ascii="宋体" w:hAnsi="宋体" w:cs="宋体"/>
                <w:color w:val="auto"/>
                <w:kern w:val="0"/>
                <w:sz w:val="24"/>
                <w:szCs w:val="24"/>
              </w:rPr>
              <w:t>）、或≥</w:t>
            </w:r>
            <w:r>
              <w:rPr>
                <w:rFonts w:ascii="宋体" w:hAnsi="宋体" w:cs="宋体"/>
                <w:color w:val="auto"/>
                <w:kern w:val="0"/>
                <w:sz w:val="24"/>
                <w:szCs w:val="24"/>
              </w:rPr>
              <w:t>48</w:t>
            </w:r>
            <w:r>
              <w:rPr>
                <w:rFonts w:hint="eastAsia" w:ascii="宋体" w:hAnsi="宋体" w:cs="宋体"/>
                <w:color w:val="auto"/>
                <w:kern w:val="0"/>
                <w:sz w:val="24"/>
                <w:szCs w:val="24"/>
              </w:rPr>
              <w:t>路为</w:t>
            </w:r>
            <w:r>
              <w:rPr>
                <w:rFonts w:ascii="宋体" w:hAnsi="宋体" w:cs="宋体"/>
                <w:color w:val="auto"/>
                <w:kern w:val="0"/>
                <w:sz w:val="24"/>
                <w:szCs w:val="24"/>
              </w:rPr>
              <w:t>2592</w:t>
            </w:r>
            <w:r>
              <w:rPr>
                <w:rFonts w:hint="eastAsia" w:ascii="宋体" w:hAnsi="宋体" w:cs="宋体"/>
                <w:color w:val="auto"/>
                <w:kern w:val="0"/>
                <w:sz w:val="24"/>
                <w:szCs w:val="24"/>
              </w:rPr>
              <w:t>×</w:t>
            </w:r>
            <w:r>
              <w:rPr>
                <w:rFonts w:ascii="宋体" w:hAnsi="宋体" w:cs="宋体"/>
                <w:color w:val="auto"/>
                <w:kern w:val="0"/>
                <w:sz w:val="24"/>
                <w:szCs w:val="24"/>
              </w:rPr>
              <w:t>1944</w:t>
            </w:r>
            <w:r>
              <w:rPr>
                <w:rFonts w:hint="eastAsia" w:ascii="宋体" w:hAnsi="宋体" w:cs="宋体"/>
                <w:color w:val="auto"/>
                <w:kern w:val="0"/>
                <w:sz w:val="24"/>
                <w:szCs w:val="24"/>
              </w:rPr>
              <w:t>（</w:t>
            </w:r>
            <w:r>
              <w:rPr>
                <w:rFonts w:ascii="宋体" w:hAnsi="宋体" w:cs="宋体"/>
                <w:color w:val="auto"/>
                <w:kern w:val="0"/>
                <w:sz w:val="24"/>
                <w:szCs w:val="24"/>
              </w:rPr>
              <w:t>30fps</w:t>
            </w:r>
            <w:r>
              <w:rPr>
                <w:rFonts w:hint="eastAsia" w:ascii="宋体" w:hAnsi="宋体" w:cs="宋体"/>
                <w:color w:val="auto"/>
                <w:kern w:val="0"/>
                <w:sz w:val="24"/>
                <w:szCs w:val="24"/>
              </w:rPr>
              <w:t>）、或≥</w:t>
            </w:r>
            <w:r>
              <w:rPr>
                <w:rFonts w:ascii="宋体" w:hAnsi="宋体" w:cs="宋体"/>
                <w:color w:val="auto"/>
                <w:kern w:val="0"/>
                <w:sz w:val="24"/>
                <w:szCs w:val="24"/>
              </w:rPr>
              <w:t>128</w:t>
            </w:r>
            <w:r>
              <w:rPr>
                <w:rFonts w:hint="eastAsia" w:ascii="宋体" w:hAnsi="宋体" w:cs="宋体"/>
                <w:color w:val="auto"/>
                <w:kern w:val="0"/>
                <w:sz w:val="24"/>
                <w:szCs w:val="24"/>
              </w:rPr>
              <w:t>路</w:t>
            </w:r>
            <w:r>
              <w:rPr>
                <w:rFonts w:ascii="宋体" w:hAnsi="宋体" w:cs="宋体"/>
                <w:color w:val="auto"/>
                <w:kern w:val="0"/>
                <w:sz w:val="24"/>
                <w:szCs w:val="24"/>
              </w:rPr>
              <w:t>1920</w:t>
            </w:r>
            <w:r>
              <w:rPr>
                <w:rFonts w:hint="eastAsia" w:ascii="宋体" w:hAnsi="宋体" w:cs="宋体"/>
                <w:color w:val="auto"/>
                <w:kern w:val="0"/>
                <w:sz w:val="24"/>
                <w:szCs w:val="24"/>
              </w:rPr>
              <w:t>×</w:t>
            </w:r>
            <w:r>
              <w:rPr>
                <w:rFonts w:ascii="宋体" w:hAnsi="宋体" w:cs="宋体"/>
                <w:color w:val="auto"/>
                <w:kern w:val="0"/>
                <w:sz w:val="24"/>
                <w:szCs w:val="24"/>
              </w:rPr>
              <w:t>1080</w:t>
            </w:r>
            <w:r>
              <w:rPr>
                <w:rFonts w:hint="eastAsia" w:ascii="宋体" w:hAnsi="宋体" w:cs="宋体"/>
                <w:color w:val="auto"/>
                <w:kern w:val="0"/>
                <w:sz w:val="24"/>
                <w:szCs w:val="24"/>
              </w:rPr>
              <w:t>（</w:t>
            </w:r>
            <w:r>
              <w:rPr>
                <w:rFonts w:ascii="宋体" w:hAnsi="宋体" w:cs="宋体"/>
                <w:color w:val="auto"/>
                <w:kern w:val="0"/>
                <w:sz w:val="24"/>
                <w:szCs w:val="24"/>
              </w:rPr>
              <w:t>30fps</w:t>
            </w:r>
            <w:r>
              <w:rPr>
                <w:rFonts w:hint="eastAsia" w:ascii="宋体" w:hAnsi="宋体" w:cs="宋体"/>
                <w:color w:val="auto"/>
                <w:kern w:val="0"/>
                <w:sz w:val="24"/>
                <w:szCs w:val="24"/>
              </w:rPr>
              <w:t>）、或≥</w:t>
            </w:r>
            <w:r>
              <w:rPr>
                <w:rFonts w:ascii="宋体" w:hAnsi="宋体" w:cs="宋体"/>
                <w:color w:val="auto"/>
                <w:kern w:val="0"/>
                <w:sz w:val="24"/>
                <w:szCs w:val="24"/>
              </w:rPr>
              <w:t>256</w:t>
            </w:r>
            <w:r>
              <w:rPr>
                <w:rFonts w:hint="eastAsia" w:ascii="宋体" w:hAnsi="宋体" w:cs="宋体"/>
                <w:color w:val="auto"/>
                <w:kern w:val="0"/>
                <w:sz w:val="24"/>
                <w:szCs w:val="24"/>
              </w:rPr>
              <w:t>路</w:t>
            </w:r>
            <w:r>
              <w:rPr>
                <w:rFonts w:ascii="宋体" w:hAnsi="宋体" w:cs="宋体"/>
                <w:color w:val="auto"/>
                <w:kern w:val="0"/>
                <w:sz w:val="24"/>
                <w:szCs w:val="24"/>
              </w:rPr>
              <w:t>1280</w:t>
            </w:r>
            <w:r>
              <w:rPr>
                <w:rFonts w:hint="eastAsia" w:ascii="宋体" w:hAnsi="宋体" w:cs="宋体"/>
                <w:color w:val="auto"/>
                <w:kern w:val="0"/>
                <w:sz w:val="24"/>
                <w:szCs w:val="24"/>
              </w:rPr>
              <w:t>×</w:t>
            </w:r>
            <w:r>
              <w:rPr>
                <w:rFonts w:ascii="宋体" w:hAnsi="宋体" w:cs="宋体"/>
                <w:color w:val="auto"/>
                <w:kern w:val="0"/>
                <w:sz w:val="24"/>
                <w:szCs w:val="24"/>
              </w:rPr>
              <w:t>720</w:t>
            </w:r>
            <w:r>
              <w:rPr>
                <w:rFonts w:hint="eastAsia" w:ascii="宋体" w:hAnsi="宋体" w:cs="宋体"/>
                <w:color w:val="auto"/>
                <w:kern w:val="0"/>
                <w:sz w:val="24"/>
                <w:szCs w:val="24"/>
              </w:rPr>
              <w:t>（</w:t>
            </w:r>
            <w:r>
              <w:rPr>
                <w:rFonts w:ascii="宋体" w:hAnsi="宋体" w:cs="宋体"/>
                <w:color w:val="auto"/>
                <w:kern w:val="0"/>
                <w:sz w:val="24"/>
                <w:szCs w:val="24"/>
              </w:rPr>
              <w:t>30fps</w:t>
            </w:r>
            <w:r>
              <w:rPr>
                <w:rFonts w:hint="eastAsia" w:ascii="宋体" w:hAnsi="宋体" w:cs="宋体"/>
                <w:color w:val="auto"/>
                <w:kern w:val="0"/>
                <w:sz w:val="24"/>
                <w:szCs w:val="24"/>
              </w:rPr>
              <w:t>）分辨率的</w:t>
            </w:r>
            <w:r>
              <w:rPr>
                <w:rFonts w:ascii="宋体" w:hAnsi="宋体" w:cs="宋体"/>
                <w:color w:val="auto"/>
                <w:kern w:val="0"/>
                <w:sz w:val="24"/>
                <w:szCs w:val="24"/>
              </w:rPr>
              <w:t>H.264</w:t>
            </w:r>
            <w:r>
              <w:rPr>
                <w:rFonts w:hint="eastAsia" w:ascii="宋体" w:hAnsi="宋体" w:cs="宋体"/>
                <w:color w:val="auto"/>
                <w:kern w:val="0"/>
                <w:sz w:val="24"/>
                <w:szCs w:val="24"/>
              </w:rPr>
              <w:t>、</w:t>
            </w:r>
            <w:r>
              <w:rPr>
                <w:rFonts w:ascii="宋体" w:hAnsi="宋体" w:cs="宋体"/>
                <w:color w:val="auto"/>
                <w:kern w:val="0"/>
                <w:sz w:val="24"/>
                <w:szCs w:val="24"/>
              </w:rPr>
              <w:t>H.265</w:t>
            </w:r>
            <w:r>
              <w:rPr>
                <w:rFonts w:hint="eastAsia" w:ascii="宋体" w:hAnsi="宋体" w:cs="宋体"/>
                <w:color w:val="auto"/>
                <w:kern w:val="0"/>
                <w:sz w:val="24"/>
                <w:szCs w:val="24"/>
              </w:rPr>
              <w:t>、</w:t>
            </w:r>
            <w:r>
              <w:rPr>
                <w:rFonts w:ascii="宋体" w:hAnsi="宋体" w:cs="宋体"/>
                <w:color w:val="auto"/>
                <w:kern w:val="0"/>
                <w:sz w:val="24"/>
                <w:szCs w:val="24"/>
              </w:rPr>
              <w:t>MPEG4</w:t>
            </w:r>
            <w:r>
              <w:rPr>
                <w:rFonts w:hint="eastAsia" w:ascii="宋体" w:hAnsi="宋体" w:cs="宋体"/>
                <w:color w:val="auto"/>
                <w:kern w:val="0"/>
                <w:sz w:val="24"/>
                <w:szCs w:val="24"/>
              </w:rPr>
              <w:t>视频图像解码输出。</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5</w:t>
            </w:r>
            <w:r>
              <w:rPr>
                <w:rFonts w:hint="eastAsia" w:ascii="宋体" w:hAnsi="宋体" w:cs="宋体"/>
                <w:color w:val="auto"/>
                <w:kern w:val="0"/>
                <w:sz w:val="24"/>
                <w:szCs w:val="24"/>
              </w:rPr>
              <w:t>、支持通过设备抓屏软件，将远程电脑桌面实时解码上墙显示，画面帧率应支持≥</w:t>
            </w:r>
            <w:r>
              <w:rPr>
                <w:rFonts w:ascii="宋体" w:hAnsi="宋体" w:cs="宋体"/>
                <w:color w:val="auto"/>
                <w:kern w:val="0"/>
                <w:sz w:val="24"/>
                <w:szCs w:val="24"/>
              </w:rPr>
              <w:t>30fps</w:t>
            </w:r>
            <w:r>
              <w:rPr>
                <w:rFonts w:hint="eastAsia" w:ascii="宋体" w:hAnsi="宋体" w:cs="宋体"/>
                <w:color w:val="auto"/>
                <w:kern w:val="0"/>
                <w:sz w:val="24"/>
                <w:szCs w:val="24"/>
              </w:rPr>
              <w:t>，支持同时抓取≥</w:t>
            </w:r>
            <w:r>
              <w:rPr>
                <w:rFonts w:ascii="宋体" w:hAnsi="宋体" w:cs="宋体"/>
                <w:color w:val="auto"/>
                <w:kern w:val="0"/>
                <w:sz w:val="24"/>
                <w:szCs w:val="24"/>
              </w:rPr>
              <w:t>8</w:t>
            </w:r>
            <w:r>
              <w:rPr>
                <w:rFonts w:hint="eastAsia" w:ascii="宋体" w:hAnsi="宋体" w:cs="宋体"/>
                <w:color w:val="auto"/>
                <w:kern w:val="0"/>
                <w:sz w:val="24"/>
                <w:szCs w:val="24"/>
              </w:rPr>
              <w:t>个任务上墙、≥</w:t>
            </w:r>
            <w:r>
              <w:rPr>
                <w:rFonts w:ascii="宋体" w:hAnsi="宋体" w:cs="宋体"/>
                <w:color w:val="auto"/>
                <w:kern w:val="0"/>
                <w:sz w:val="24"/>
                <w:szCs w:val="24"/>
              </w:rPr>
              <w:t>8</w:t>
            </w:r>
            <w:r>
              <w:rPr>
                <w:rFonts w:hint="eastAsia" w:ascii="宋体" w:hAnsi="宋体" w:cs="宋体"/>
                <w:color w:val="auto"/>
                <w:kern w:val="0"/>
                <w:sz w:val="24"/>
                <w:szCs w:val="24"/>
              </w:rPr>
              <w:t>个</w:t>
            </w:r>
            <w:r>
              <w:rPr>
                <w:rFonts w:ascii="宋体" w:hAnsi="宋体" w:cs="宋体"/>
                <w:color w:val="auto"/>
                <w:kern w:val="0"/>
                <w:sz w:val="24"/>
                <w:szCs w:val="24"/>
              </w:rPr>
              <w:t>4K</w:t>
            </w:r>
            <w:r>
              <w:rPr>
                <w:rFonts w:hint="eastAsia" w:ascii="宋体" w:hAnsi="宋体" w:cs="宋体"/>
                <w:color w:val="auto"/>
                <w:kern w:val="0"/>
                <w:sz w:val="24"/>
                <w:szCs w:val="24"/>
              </w:rPr>
              <w:t>信号，不消耗</w:t>
            </w:r>
            <w:r>
              <w:rPr>
                <w:rFonts w:ascii="宋体" w:hAnsi="宋体" w:cs="宋体"/>
                <w:color w:val="auto"/>
                <w:kern w:val="0"/>
                <w:sz w:val="24"/>
                <w:szCs w:val="24"/>
              </w:rPr>
              <w:t>CPU</w:t>
            </w:r>
            <w:r>
              <w:rPr>
                <w:rFonts w:hint="eastAsia" w:ascii="宋体" w:hAnsi="宋体" w:cs="宋体"/>
                <w:color w:val="auto"/>
                <w:kern w:val="0"/>
                <w:sz w:val="24"/>
                <w:szCs w:val="24"/>
              </w:rPr>
              <w:t>性能，支持在电视墙进行</w:t>
            </w:r>
            <w:r>
              <w:rPr>
                <w:rFonts w:ascii="宋体" w:hAnsi="宋体" w:cs="宋体"/>
                <w:color w:val="auto"/>
                <w:kern w:val="0"/>
                <w:sz w:val="24"/>
                <w:szCs w:val="24"/>
              </w:rPr>
              <w:t>8</w:t>
            </w:r>
            <w:r>
              <w:rPr>
                <w:rFonts w:hint="eastAsia" w:ascii="宋体" w:hAnsi="宋体" w:cs="宋体"/>
                <w:color w:val="auto"/>
                <w:kern w:val="0"/>
                <w:sz w:val="24"/>
                <w:szCs w:val="24"/>
              </w:rPr>
              <w:t>画面分割同时显示，支持对桌面进行整屏、单窗口、自定义区域抓屏上墙。</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6</w:t>
            </w:r>
            <w:r>
              <w:rPr>
                <w:rFonts w:hint="eastAsia" w:ascii="宋体" w:hAnsi="宋体" w:cs="宋体"/>
                <w:color w:val="auto"/>
                <w:kern w:val="0"/>
                <w:sz w:val="24"/>
                <w:szCs w:val="24"/>
              </w:rPr>
              <w:t>、支持黑白名单功能，可设置≥</w:t>
            </w:r>
            <w:r>
              <w:rPr>
                <w:rFonts w:ascii="宋体" w:hAnsi="宋体" w:cs="宋体"/>
                <w:color w:val="auto"/>
                <w:kern w:val="0"/>
                <w:sz w:val="24"/>
                <w:szCs w:val="24"/>
              </w:rPr>
              <w:t>256</w:t>
            </w:r>
            <w:r>
              <w:rPr>
                <w:rFonts w:hint="eastAsia" w:ascii="宋体" w:hAnsi="宋体" w:cs="宋体"/>
                <w:color w:val="auto"/>
                <w:kern w:val="0"/>
                <w:sz w:val="24"/>
                <w:szCs w:val="24"/>
              </w:rPr>
              <w:t>个黑白名单；当设置白名单时，只允许白名单</w:t>
            </w:r>
            <w:r>
              <w:rPr>
                <w:rFonts w:ascii="宋体" w:hAnsi="宋体" w:cs="宋体"/>
                <w:color w:val="auto"/>
                <w:kern w:val="0"/>
                <w:sz w:val="24"/>
                <w:szCs w:val="24"/>
              </w:rPr>
              <w:t>IP</w:t>
            </w:r>
            <w:r>
              <w:rPr>
                <w:rFonts w:hint="eastAsia" w:ascii="宋体" w:hAnsi="宋体" w:cs="宋体"/>
                <w:color w:val="auto"/>
                <w:kern w:val="0"/>
                <w:sz w:val="24"/>
                <w:szCs w:val="24"/>
              </w:rPr>
              <w:t>访问设备；当设置黑名单时，黑名单内</w:t>
            </w:r>
            <w:r>
              <w:rPr>
                <w:rFonts w:ascii="宋体" w:hAnsi="宋体" w:cs="宋体"/>
                <w:color w:val="auto"/>
                <w:kern w:val="0"/>
                <w:sz w:val="24"/>
                <w:szCs w:val="24"/>
              </w:rPr>
              <w:t>IP</w:t>
            </w:r>
            <w:r>
              <w:rPr>
                <w:rFonts w:hint="eastAsia" w:ascii="宋体" w:hAnsi="宋体" w:cs="宋体"/>
                <w:color w:val="auto"/>
                <w:kern w:val="0"/>
                <w:sz w:val="24"/>
                <w:szCs w:val="24"/>
              </w:rPr>
              <w:t>无法访问设备。</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7</w:t>
            </w:r>
            <w:r>
              <w:rPr>
                <w:rFonts w:hint="eastAsia" w:ascii="宋体" w:hAnsi="宋体" w:cs="宋体"/>
                <w:color w:val="auto"/>
                <w:kern w:val="0"/>
                <w:sz w:val="24"/>
                <w:szCs w:val="24"/>
              </w:rPr>
              <w:t>、支持对输入的视频画面进行</w:t>
            </w:r>
            <w:r>
              <w:rPr>
                <w:rFonts w:ascii="宋体" w:hAnsi="宋体" w:cs="宋体"/>
                <w:color w:val="auto"/>
                <w:kern w:val="0"/>
                <w:sz w:val="24"/>
                <w:szCs w:val="24"/>
              </w:rPr>
              <w:t>90</w:t>
            </w:r>
            <w:r>
              <w:rPr>
                <w:rFonts w:hint="eastAsia" w:ascii="宋体" w:hAnsi="宋体" w:cs="宋体"/>
                <w:color w:val="auto"/>
                <w:kern w:val="0"/>
                <w:sz w:val="24"/>
                <w:szCs w:val="24"/>
              </w:rPr>
              <w:t>°、</w:t>
            </w:r>
            <w:r>
              <w:rPr>
                <w:rFonts w:ascii="宋体" w:hAnsi="宋体" w:cs="宋体"/>
                <w:color w:val="auto"/>
                <w:kern w:val="0"/>
                <w:sz w:val="24"/>
                <w:szCs w:val="24"/>
              </w:rPr>
              <w:t>180</w:t>
            </w:r>
            <w:r>
              <w:rPr>
                <w:rFonts w:hint="eastAsia" w:ascii="宋体" w:hAnsi="宋体" w:cs="宋体"/>
                <w:color w:val="auto"/>
                <w:kern w:val="0"/>
                <w:sz w:val="24"/>
                <w:szCs w:val="24"/>
              </w:rPr>
              <w:t>°、</w:t>
            </w:r>
            <w:r>
              <w:rPr>
                <w:rFonts w:ascii="宋体" w:hAnsi="宋体" w:cs="宋体"/>
                <w:color w:val="auto"/>
                <w:kern w:val="0"/>
                <w:sz w:val="24"/>
                <w:szCs w:val="24"/>
              </w:rPr>
              <w:t>270</w:t>
            </w:r>
            <w:r>
              <w:rPr>
                <w:rFonts w:hint="eastAsia" w:ascii="宋体" w:hAnsi="宋体" w:cs="宋体"/>
                <w:color w:val="auto"/>
                <w:kern w:val="0"/>
                <w:sz w:val="24"/>
                <w:szCs w:val="24"/>
              </w:rPr>
              <w:t>°旋转显示；支持回字形拼接，支持对解码的</w:t>
            </w:r>
            <w:r>
              <w:rPr>
                <w:rFonts w:ascii="宋体" w:hAnsi="宋体" w:cs="宋体"/>
                <w:color w:val="auto"/>
                <w:kern w:val="0"/>
                <w:sz w:val="24"/>
                <w:szCs w:val="24"/>
              </w:rPr>
              <w:t>IPC</w:t>
            </w:r>
            <w:r>
              <w:rPr>
                <w:rFonts w:hint="eastAsia" w:ascii="宋体" w:hAnsi="宋体" w:cs="宋体"/>
                <w:color w:val="auto"/>
                <w:kern w:val="0"/>
                <w:sz w:val="24"/>
                <w:szCs w:val="24"/>
              </w:rPr>
              <w:t>输出的画面进行旋转，支持</w:t>
            </w:r>
            <w:r>
              <w:rPr>
                <w:rFonts w:ascii="宋体" w:hAnsi="宋体" w:cs="宋体"/>
                <w:color w:val="auto"/>
                <w:kern w:val="0"/>
                <w:sz w:val="24"/>
                <w:szCs w:val="24"/>
              </w:rPr>
              <w:t>90</w:t>
            </w:r>
            <w:r>
              <w:rPr>
                <w:rFonts w:hint="eastAsia" w:ascii="宋体" w:hAnsi="宋体" w:cs="宋体"/>
                <w:color w:val="auto"/>
                <w:kern w:val="0"/>
                <w:sz w:val="24"/>
                <w:szCs w:val="24"/>
              </w:rPr>
              <w:t>°、</w:t>
            </w:r>
            <w:r>
              <w:rPr>
                <w:rFonts w:ascii="宋体" w:hAnsi="宋体" w:cs="宋体"/>
                <w:color w:val="auto"/>
                <w:kern w:val="0"/>
                <w:sz w:val="24"/>
                <w:szCs w:val="24"/>
              </w:rPr>
              <w:t>180</w:t>
            </w:r>
            <w:r>
              <w:rPr>
                <w:rFonts w:hint="eastAsia" w:ascii="宋体" w:hAnsi="宋体" w:cs="宋体"/>
                <w:color w:val="auto"/>
                <w:kern w:val="0"/>
                <w:sz w:val="24"/>
                <w:szCs w:val="24"/>
              </w:rPr>
              <w:t>°左旋和</w:t>
            </w:r>
            <w:r>
              <w:rPr>
                <w:rFonts w:ascii="宋体" w:hAnsi="宋体" w:cs="宋体"/>
                <w:color w:val="auto"/>
                <w:kern w:val="0"/>
                <w:sz w:val="24"/>
                <w:szCs w:val="24"/>
              </w:rPr>
              <w:t>90</w:t>
            </w:r>
            <w:r>
              <w:rPr>
                <w:rFonts w:hint="eastAsia" w:ascii="宋体" w:hAnsi="宋体" w:cs="宋体"/>
                <w:color w:val="auto"/>
                <w:kern w:val="0"/>
                <w:sz w:val="24"/>
                <w:szCs w:val="24"/>
              </w:rPr>
              <w:t>°、</w:t>
            </w:r>
            <w:r>
              <w:rPr>
                <w:rFonts w:ascii="宋体" w:hAnsi="宋体" w:cs="宋体"/>
                <w:color w:val="auto"/>
                <w:kern w:val="0"/>
                <w:sz w:val="24"/>
                <w:szCs w:val="24"/>
              </w:rPr>
              <w:t>180</w:t>
            </w:r>
            <w:r>
              <w:rPr>
                <w:rFonts w:hint="eastAsia" w:ascii="宋体" w:hAnsi="宋体" w:cs="宋体"/>
                <w:color w:val="auto"/>
                <w:kern w:val="0"/>
                <w:sz w:val="24"/>
                <w:szCs w:val="24"/>
              </w:rPr>
              <w:t>°右旋。</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kern w:val="0"/>
                <w:sz w:val="24"/>
                <w:szCs w:val="24"/>
              </w:rPr>
              <w:t>8</w:t>
            </w:r>
            <w:r>
              <w:rPr>
                <w:rFonts w:hint="eastAsia" w:ascii="宋体" w:hAnsi="宋体" w:cs="宋体"/>
                <w:color w:val="auto"/>
                <w:kern w:val="0"/>
                <w:sz w:val="24"/>
                <w:szCs w:val="24"/>
              </w:rPr>
              <w:t>、支持前端接入智能摄像机，直连前端人脸检测设备，可实时展示人脸检测结果，包括年龄、性别、是否戴眼镜等人脸属性信息，属性可直接叠加画面显示。</w:t>
            </w:r>
          </w:p>
          <w:p>
            <w:pPr>
              <w:widowControl/>
              <w:jc w:val="left"/>
              <w:textAlignment w:val="center"/>
              <w:rPr>
                <w:rFonts w:ascii="宋体"/>
                <w:color w:val="auto"/>
                <w:sz w:val="24"/>
                <w:szCs w:val="24"/>
              </w:rPr>
            </w:pPr>
            <w:r>
              <w:rPr>
                <w:rFonts w:ascii="宋体" w:hAnsi="宋体" w:cs="宋体"/>
                <w:color w:val="auto"/>
                <w:kern w:val="0"/>
                <w:sz w:val="24"/>
                <w:szCs w:val="24"/>
              </w:rPr>
              <w:t>9</w:t>
            </w:r>
            <w:r>
              <w:rPr>
                <w:rFonts w:hint="eastAsia" w:ascii="宋体" w:hAnsi="宋体" w:cs="宋体"/>
                <w:color w:val="auto"/>
                <w:kern w:val="0"/>
                <w:sz w:val="24"/>
                <w:szCs w:val="24"/>
              </w:rPr>
              <w:t>、支持</w:t>
            </w:r>
            <w:r>
              <w:rPr>
                <w:rFonts w:ascii="宋体" w:hAnsi="宋体" w:cs="宋体"/>
                <w:color w:val="auto"/>
                <w:kern w:val="0"/>
                <w:sz w:val="24"/>
                <w:szCs w:val="24"/>
              </w:rPr>
              <w:t>PC</w:t>
            </w:r>
            <w:r>
              <w:rPr>
                <w:rFonts w:hint="eastAsia" w:ascii="宋体" w:hAnsi="宋体" w:cs="宋体"/>
                <w:color w:val="auto"/>
                <w:kern w:val="0"/>
                <w:sz w:val="24"/>
                <w:szCs w:val="24"/>
              </w:rPr>
              <w:t>软件客户端、</w:t>
            </w:r>
            <w:r>
              <w:rPr>
                <w:rFonts w:ascii="宋体" w:hAnsi="宋体" w:cs="宋体"/>
                <w:color w:val="auto"/>
                <w:kern w:val="0"/>
                <w:sz w:val="24"/>
                <w:szCs w:val="24"/>
              </w:rPr>
              <w:t xml:space="preserve">WEB </w:t>
            </w:r>
            <w:r>
              <w:rPr>
                <w:rFonts w:hint="eastAsia" w:ascii="宋体" w:hAnsi="宋体" w:cs="宋体"/>
                <w:color w:val="auto"/>
                <w:kern w:val="0"/>
                <w:sz w:val="24"/>
                <w:szCs w:val="24"/>
              </w:rPr>
              <w:t>浏览器客户端、平台客户端、</w:t>
            </w:r>
            <w:r>
              <w:rPr>
                <w:rFonts w:ascii="宋体" w:hAnsi="宋体" w:cs="宋体"/>
                <w:color w:val="auto"/>
                <w:kern w:val="0"/>
                <w:sz w:val="24"/>
                <w:szCs w:val="24"/>
              </w:rPr>
              <w:t>IPAD</w:t>
            </w:r>
            <w:r>
              <w:rPr>
                <w:rFonts w:hint="eastAsia" w:ascii="宋体" w:hAnsi="宋体" w:cs="宋体"/>
                <w:color w:val="auto"/>
                <w:kern w:val="0"/>
                <w:sz w:val="24"/>
                <w:szCs w:val="24"/>
              </w:rPr>
              <w:t>、可视化触控平台方式访问管理。</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24</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道闸</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电源电压：</w:t>
            </w:r>
            <w:r>
              <w:rPr>
                <w:rFonts w:ascii="宋体" w:hAnsi="宋体" w:cs="宋体"/>
                <w:color w:val="auto"/>
                <w:kern w:val="0"/>
                <w:sz w:val="24"/>
                <w:szCs w:val="24"/>
              </w:rPr>
              <w:t>AC 220V</w:t>
            </w:r>
            <w:r>
              <w:rPr>
                <w:rFonts w:hint="eastAsia" w:ascii="宋体" w:hAnsi="宋体" w:cs="宋体"/>
                <w:color w:val="auto"/>
                <w:kern w:val="0"/>
                <w:sz w:val="24"/>
                <w:szCs w:val="24"/>
              </w:rPr>
              <w:t>电机功率：</w:t>
            </w:r>
            <w:r>
              <w:rPr>
                <w:rFonts w:ascii="宋体" w:hAnsi="宋体" w:cs="宋体"/>
                <w:color w:val="auto"/>
                <w:kern w:val="0"/>
                <w:sz w:val="24"/>
                <w:szCs w:val="24"/>
              </w:rPr>
              <w:t>DC 120W</w:t>
            </w:r>
            <w:r>
              <w:rPr>
                <w:rFonts w:hint="eastAsia" w:ascii="宋体" w:hAnsi="宋体" w:cs="宋体"/>
                <w:color w:val="auto"/>
                <w:kern w:val="0"/>
                <w:sz w:val="24"/>
                <w:szCs w:val="24"/>
              </w:rPr>
              <w:t>闸杆起落时间：</w:t>
            </w: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秒使用环境温度：</w:t>
            </w:r>
            <w:r>
              <w:rPr>
                <w:rFonts w:ascii="宋体" w:hAnsi="宋体" w:cs="宋体"/>
                <w:color w:val="auto"/>
                <w:kern w:val="0"/>
                <w:sz w:val="24"/>
                <w:szCs w:val="24"/>
              </w:rPr>
              <w:t>-25</w:t>
            </w:r>
            <w:r>
              <w:rPr>
                <w:rFonts w:hint="eastAsia" w:ascii="宋体" w:hAnsi="宋体" w:cs="宋体"/>
                <w:color w:val="auto"/>
                <w:kern w:val="0"/>
                <w:sz w:val="24"/>
                <w:szCs w:val="24"/>
              </w:rPr>
              <w:t>℃－</w:t>
            </w:r>
            <w:r>
              <w:rPr>
                <w:rFonts w:ascii="宋体" w:hAnsi="宋体" w:cs="宋体"/>
                <w:color w:val="auto"/>
                <w:kern w:val="0"/>
                <w:sz w:val="24"/>
                <w:szCs w:val="24"/>
              </w:rPr>
              <w:t>+65</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栅栏杆</w:t>
            </w:r>
            <w:r>
              <w:rPr>
                <w:rFonts w:ascii="宋体" w:hAnsi="宋体" w:cs="宋体"/>
                <w:color w:val="auto"/>
                <w:kern w:val="0"/>
                <w:sz w:val="24"/>
                <w:szCs w:val="24"/>
              </w:rPr>
              <w:t>4</w:t>
            </w:r>
            <w:r>
              <w:rPr>
                <w:rFonts w:hint="eastAsia" w:ascii="宋体" w:hAnsi="宋体" w:cs="宋体"/>
                <w:color w:val="auto"/>
                <w:kern w:val="0"/>
                <w:sz w:val="24"/>
                <w:szCs w:val="24"/>
              </w:rPr>
              <w:t>米</w:t>
            </w:r>
            <w:r>
              <w:rPr>
                <w:rFonts w:ascii="宋体" w:hAnsi="宋体" w:cs="宋体"/>
                <w:color w:val="auto"/>
                <w:kern w:val="0"/>
                <w:sz w:val="24"/>
                <w:szCs w:val="24"/>
              </w:rPr>
              <w:t>/</w:t>
            </w:r>
            <w:r>
              <w:rPr>
                <w:rFonts w:hint="eastAsia" w:ascii="宋体" w:hAnsi="宋体" w:cs="宋体"/>
                <w:color w:val="auto"/>
                <w:kern w:val="0"/>
                <w:sz w:val="24"/>
                <w:szCs w:val="24"/>
              </w:rPr>
              <w:t>直杆</w:t>
            </w:r>
            <w:r>
              <w:rPr>
                <w:rFonts w:ascii="宋体" w:hAnsi="宋体" w:cs="宋体"/>
                <w:color w:val="auto"/>
                <w:kern w:val="0"/>
                <w:sz w:val="24"/>
                <w:szCs w:val="24"/>
              </w:rPr>
              <w:t>3-5</w:t>
            </w:r>
            <w:r>
              <w:rPr>
                <w:rFonts w:hint="eastAsia" w:ascii="宋体" w:hAnsi="宋体" w:cs="宋体"/>
                <w:color w:val="auto"/>
                <w:kern w:val="0"/>
                <w:sz w:val="24"/>
                <w:szCs w:val="24"/>
              </w:rPr>
              <w:t>米，每台道闸配</w:t>
            </w:r>
            <w:r>
              <w:rPr>
                <w:rFonts w:ascii="宋体" w:hAnsi="宋体" w:cs="宋体"/>
                <w:color w:val="auto"/>
                <w:kern w:val="0"/>
                <w:sz w:val="24"/>
                <w:szCs w:val="24"/>
              </w:rPr>
              <w:t>2</w:t>
            </w:r>
            <w:r>
              <w:rPr>
                <w:rFonts w:hint="eastAsia" w:ascii="宋体" w:hAnsi="宋体" w:cs="宋体"/>
                <w:color w:val="auto"/>
                <w:kern w:val="0"/>
                <w:sz w:val="24"/>
                <w:szCs w:val="24"/>
              </w:rPr>
              <w:t>个遥控器、</w:t>
            </w:r>
            <w:r>
              <w:rPr>
                <w:rFonts w:ascii="宋体" w:hAnsi="宋体" w:cs="宋体"/>
                <w:color w:val="auto"/>
                <w:kern w:val="0"/>
                <w:sz w:val="24"/>
                <w:szCs w:val="24"/>
              </w:rPr>
              <w:t>1</w:t>
            </w:r>
            <w:r>
              <w:rPr>
                <w:rFonts w:hint="eastAsia" w:ascii="宋体" w:hAnsi="宋体" w:cs="宋体"/>
                <w:color w:val="auto"/>
                <w:kern w:val="0"/>
                <w:sz w:val="24"/>
                <w:szCs w:val="24"/>
              </w:rPr>
              <w:t>个手动按钮。道闸起落杆时间</w:t>
            </w: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″可选。三级减速</w:t>
            </w:r>
            <w:r>
              <w:rPr>
                <w:rFonts w:ascii="宋体" w:hAnsi="宋体" w:cs="宋体"/>
                <w:color w:val="auto"/>
                <w:kern w:val="0"/>
                <w:sz w:val="24"/>
                <w:szCs w:val="24"/>
              </w:rPr>
              <w:t>(</w:t>
            </w:r>
            <w:r>
              <w:rPr>
                <w:rFonts w:hint="eastAsia" w:ascii="宋体" w:hAnsi="宋体" w:cs="宋体"/>
                <w:color w:val="auto"/>
                <w:kern w:val="0"/>
                <w:sz w:val="24"/>
                <w:szCs w:val="24"/>
              </w:rPr>
              <w:t>行程减速、限位减速、程序减速</w:t>
            </w:r>
            <w:r>
              <w:rPr>
                <w:rFonts w:ascii="宋体" w:hAnsi="宋体" w:cs="宋体"/>
                <w:color w:val="auto"/>
                <w:kern w:val="0"/>
                <w:sz w:val="24"/>
                <w:szCs w:val="24"/>
              </w:rPr>
              <w:t>)</w:t>
            </w:r>
            <w:r>
              <w:rPr>
                <w:rFonts w:hint="eastAsia" w:ascii="宋体" w:hAnsi="宋体" w:cs="宋体"/>
                <w:color w:val="auto"/>
                <w:kern w:val="0"/>
                <w:sz w:val="24"/>
                <w:szCs w:val="24"/>
              </w:rPr>
              <w:t>，云停车级别设计，带箭头指示，道闸打开时“显示绿色箭头”表示通行，道闸关闭时“显示红色叉”表示停止通行，自助研发领先设计。</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25</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道闸</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电源电压：</w:t>
            </w:r>
            <w:r>
              <w:rPr>
                <w:rFonts w:ascii="宋体" w:hAnsi="宋体" w:cs="宋体"/>
                <w:color w:val="auto"/>
                <w:kern w:val="0"/>
                <w:sz w:val="24"/>
                <w:szCs w:val="24"/>
              </w:rPr>
              <w:t>AC 220V</w:t>
            </w:r>
            <w:r>
              <w:rPr>
                <w:rFonts w:hint="eastAsia" w:ascii="宋体" w:hAnsi="宋体" w:cs="宋体"/>
                <w:color w:val="auto"/>
                <w:kern w:val="0"/>
                <w:sz w:val="24"/>
                <w:szCs w:val="24"/>
              </w:rPr>
              <w:t>电机功率：</w:t>
            </w:r>
            <w:r>
              <w:rPr>
                <w:rFonts w:ascii="宋体" w:hAnsi="宋体" w:cs="宋体"/>
                <w:color w:val="auto"/>
                <w:kern w:val="0"/>
                <w:sz w:val="24"/>
                <w:szCs w:val="24"/>
              </w:rPr>
              <w:t>DC 120W</w:t>
            </w:r>
            <w:r>
              <w:rPr>
                <w:rFonts w:hint="eastAsia" w:ascii="宋体" w:hAnsi="宋体" w:cs="宋体"/>
                <w:color w:val="auto"/>
                <w:kern w:val="0"/>
                <w:sz w:val="24"/>
                <w:szCs w:val="24"/>
              </w:rPr>
              <w:t>闸杆起落时间：</w:t>
            </w: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秒使用环境温度：</w:t>
            </w:r>
            <w:r>
              <w:rPr>
                <w:rFonts w:ascii="宋体" w:hAnsi="宋体" w:cs="宋体"/>
                <w:color w:val="auto"/>
                <w:kern w:val="0"/>
                <w:sz w:val="24"/>
                <w:szCs w:val="24"/>
              </w:rPr>
              <w:t>-25</w:t>
            </w:r>
            <w:r>
              <w:rPr>
                <w:rFonts w:hint="eastAsia" w:ascii="宋体" w:hAnsi="宋体" w:cs="宋体"/>
                <w:color w:val="auto"/>
                <w:kern w:val="0"/>
                <w:sz w:val="24"/>
                <w:szCs w:val="24"/>
              </w:rPr>
              <w:t>℃－</w:t>
            </w:r>
            <w:r>
              <w:rPr>
                <w:rFonts w:ascii="宋体" w:hAnsi="宋体" w:cs="宋体"/>
                <w:color w:val="auto"/>
                <w:kern w:val="0"/>
                <w:sz w:val="24"/>
                <w:szCs w:val="24"/>
              </w:rPr>
              <w:t>+65</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栅栏杆</w:t>
            </w:r>
            <w:r>
              <w:rPr>
                <w:rFonts w:ascii="宋体" w:hAnsi="宋体" w:cs="宋体"/>
                <w:color w:val="auto"/>
                <w:kern w:val="0"/>
                <w:sz w:val="24"/>
                <w:szCs w:val="24"/>
              </w:rPr>
              <w:t>4</w:t>
            </w:r>
            <w:r>
              <w:rPr>
                <w:rFonts w:hint="eastAsia" w:ascii="宋体" w:hAnsi="宋体" w:cs="宋体"/>
                <w:color w:val="auto"/>
                <w:kern w:val="0"/>
                <w:sz w:val="24"/>
                <w:szCs w:val="24"/>
              </w:rPr>
              <w:t>米</w:t>
            </w:r>
            <w:r>
              <w:rPr>
                <w:rFonts w:ascii="宋体" w:hAnsi="宋体" w:cs="宋体"/>
                <w:color w:val="auto"/>
                <w:kern w:val="0"/>
                <w:sz w:val="24"/>
                <w:szCs w:val="24"/>
              </w:rPr>
              <w:t>/</w:t>
            </w:r>
            <w:r>
              <w:rPr>
                <w:rFonts w:hint="eastAsia" w:ascii="宋体" w:hAnsi="宋体" w:cs="宋体"/>
                <w:color w:val="auto"/>
                <w:kern w:val="0"/>
                <w:sz w:val="24"/>
                <w:szCs w:val="24"/>
              </w:rPr>
              <w:t>直杆</w:t>
            </w:r>
            <w:r>
              <w:rPr>
                <w:rFonts w:ascii="宋体" w:hAnsi="宋体" w:cs="宋体"/>
                <w:color w:val="auto"/>
                <w:kern w:val="0"/>
                <w:sz w:val="24"/>
                <w:szCs w:val="24"/>
              </w:rPr>
              <w:t>3-5</w:t>
            </w:r>
            <w:r>
              <w:rPr>
                <w:rFonts w:hint="eastAsia" w:ascii="宋体" w:hAnsi="宋体" w:cs="宋体"/>
                <w:color w:val="auto"/>
                <w:kern w:val="0"/>
                <w:sz w:val="24"/>
                <w:szCs w:val="24"/>
              </w:rPr>
              <w:t>米，每台道闸配</w:t>
            </w:r>
            <w:r>
              <w:rPr>
                <w:rFonts w:ascii="宋体" w:hAnsi="宋体" w:cs="宋体"/>
                <w:color w:val="auto"/>
                <w:kern w:val="0"/>
                <w:sz w:val="24"/>
                <w:szCs w:val="24"/>
              </w:rPr>
              <w:t>2</w:t>
            </w:r>
            <w:r>
              <w:rPr>
                <w:rFonts w:hint="eastAsia" w:ascii="宋体" w:hAnsi="宋体" w:cs="宋体"/>
                <w:color w:val="auto"/>
                <w:kern w:val="0"/>
                <w:sz w:val="24"/>
                <w:szCs w:val="24"/>
              </w:rPr>
              <w:t>个遥控器、</w:t>
            </w:r>
            <w:r>
              <w:rPr>
                <w:rFonts w:ascii="宋体" w:hAnsi="宋体" w:cs="宋体"/>
                <w:color w:val="auto"/>
                <w:kern w:val="0"/>
                <w:sz w:val="24"/>
                <w:szCs w:val="24"/>
              </w:rPr>
              <w:t>1</w:t>
            </w:r>
            <w:r>
              <w:rPr>
                <w:rFonts w:hint="eastAsia" w:ascii="宋体" w:hAnsi="宋体" w:cs="宋体"/>
                <w:color w:val="auto"/>
                <w:kern w:val="0"/>
                <w:sz w:val="24"/>
                <w:szCs w:val="24"/>
              </w:rPr>
              <w:t>个手动按钮。道闸起落杆时间</w:t>
            </w: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″可选。三级减速</w:t>
            </w:r>
            <w:r>
              <w:rPr>
                <w:rFonts w:ascii="宋体" w:hAnsi="宋体" w:cs="宋体"/>
                <w:color w:val="auto"/>
                <w:kern w:val="0"/>
                <w:sz w:val="24"/>
                <w:szCs w:val="24"/>
              </w:rPr>
              <w:t>(</w:t>
            </w:r>
            <w:r>
              <w:rPr>
                <w:rFonts w:hint="eastAsia" w:ascii="宋体" w:hAnsi="宋体" w:cs="宋体"/>
                <w:color w:val="auto"/>
                <w:kern w:val="0"/>
                <w:sz w:val="24"/>
                <w:szCs w:val="24"/>
              </w:rPr>
              <w:t>行程减速、限位减速、程序减速</w:t>
            </w:r>
            <w:r>
              <w:rPr>
                <w:rFonts w:ascii="宋体" w:hAnsi="宋体" w:cs="宋体"/>
                <w:color w:val="auto"/>
                <w:kern w:val="0"/>
                <w:sz w:val="24"/>
                <w:szCs w:val="24"/>
              </w:rPr>
              <w:t>)</w:t>
            </w:r>
            <w:r>
              <w:rPr>
                <w:rFonts w:hint="eastAsia" w:ascii="宋体" w:hAnsi="宋体" w:cs="宋体"/>
                <w:color w:val="auto"/>
                <w:kern w:val="0"/>
                <w:sz w:val="24"/>
                <w:szCs w:val="24"/>
              </w:rPr>
              <w:t>，云停车级别设计，带箭头指示，道闸打开时“显示绿色箭头”表示通行，道闸关闭时“显示红色叉”表示停止通行，自助研发领先设计。</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26</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单路车辆检测系统</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用于车辆存在检测。环境补偿：自动漂移补偿三级灵敏可调</w:t>
            </w:r>
            <w:r>
              <w:rPr>
                <w:rFonts w:ascii="宋体" w:cs="宋体"/>
                <w:color w:val="auto"/>
                <w:kern w:val="0"/>
                <w:sz w:val="24"/>
                <w:szCs w:val="24"/>
              </w:rPr>
              <w:t>,</w:t>
            </w:r>
            <w:r>
              <w:rPr>
                <w:rFonts w:hint="eastAsia" w:ascii="宋体" w:hAnsi="宋体" w:cs="宋体"/>
                <w:color w:val="auto"/>
                <w:kern w:val="0"/>
                <w:sz w:val="24"/>
                <w:szCs w:val="24"/>
              </w:rPr>
              <w:t>联雷、关闸、防砸车，工作电压：</w:t>
            </w:r>
            <w:r>
              <w:rPr>
                <w:rFonts w:ascii="宋体" w:hAnsi="宋体" w:cs="宋体"/>
                <w:color w:val="auto"/>
                <w:kern w:val="0"/>
                <w:sz w:val="24"/>
                <w:szCs w:val="24"/>
              </w:rPr>
              <w:t>220VAC</w:t>
            </w:r>
            <w:r>
              <w:rPr>
                <w:rFonts w:hint="eastAsia" w:ascii="宋体" w:hAnsi="宋体" w:cs="宋体"/>
                <w:color w:val="auto"/>
                <w:kern w:val="0"/>
                <w:sz w:val="24"/>
                <w:szCs w:val="24"/>
              </w:rPr>
              <w:t>、</w:t>
            </w:r>
            <w:r>
              <w:rPr>
                <w:rFonts w:ascii="宋体" w:hAnsi="宋体" w:cs="宋体"/>
                <w:color w:val="auto"/>
                <w:kern w:val="0"/>
                <w:sz w:val="24"/>
                <w:szCs w:val="24"/>
              </w:rPr>
              <w:t>12VDC/AC</w:t>
            </w:r>
            <w:r>
              <w:rPr>
                <w:rFonts w:hint="eastAsia" w:ascii="宋体" w:hAnsi="宋体" w:cs="宋体"/>
                <w:color w:val="auto"/>
                <w:kern w:val="0"/>
                <w:sz w:val="24"/>
                <w:szCs w:val="24"/>
              </w:rPr>
              <w:t>，额定功率：≤</w:t>
            </w:r>
            <w:r>
              <w:rPr>
                <w:rFonts w:ascii="宋体" w:hAnsi="宋体" w:cs="宋体"/>
                <w:color w:val="auto"/>
                <w:kern w:val="0"/>
                <w:sz w:val="24"/>
                <w:szCs w:val="24"/>
              </w:rPr>
              <w:t>2.5W</w:t>
            </w:r>
            <w:r>
              <w:rPr>
                <w:rFonts w:hint="eastAsia" w:ascii="宋体" w:hAnsi="宋体" w:cs="宋体"/>
                <w:color w:val="auto"/>
                <w:kern w:val="0"/>
                <w:sz w:val="24"/>
                <w:szCs w:val="24"/>
              </w:rPr>
              <w:t>，输出方式：继电器输出，工作温度：</w:t>
            </w:r>
            <w:r>
              <w:rPr>
                <w:rFonts w:ascii="宋体" w:hAnsi="宋体" w:cs="宋体"/>
                <w:color w:val="auto"/>
                <w:kern w:val="0"/>
                <w:sz w:val="24"/>
                <w:szCs w:val="24"/>
              </w:rPr>
              <w:t>-40</w:t>
            </w:r>
            <w:r>
              <w:rPr>
                <w:rFonts w:hint="eastAsia" w:ascii="宋体" w:hAnsi="宋体" w:cs="宋体"/>
                <w:color w:val="auto"/>
                <w:kern w:val="0"/>
                <w:sz w:val="24"/>
                <w:szCs w:val="24"/>
              </w:rPr>
              <w:t>℃</w:t>
            </w:r>
            <w:r>
              <w:rPr>
                <w:rFonts w:ascii="宋体" w:hAnsi="宋体" w:cs="宋体"/>
                <w:color w:val="auto"/>
                <w:kern w:val="0"/>
                <w:sz w:val="24"/>
                <w:szCs w:val="24"/>
              </w:rPr>
              <w:t>—+70</w:t>
            </w:r>
            <w:r>
              <w:rPr>
                <w:rFonts w:hint="eastAsia" w:ascii="宋体" w:hAnsi="宋体" w:cs="宋体"/>
                <w:color w:val="auto"/>
                <w:kern w:val="0"/>
                <w:sz w:val="24"/>
                <w:szCs w:val="24"/>
              </w:rPr>
              <w:t>℃，存储湿度：</w:t>
            </w:r>
            <w:r>
              <w:rPr>
                <w:rFonts w:ascii="宋体" w:hAnsi="宋体" w:cs="宋体"/>
                <w:color w:val="auto"/>
                <w:kern w:val="0"/>
                <w:sz w:val="24"/>
                <w:szCs w:val="24"/>
              </w:rPr>
              <w:t>&lt;90%</w:t>
            </w:r>
            <w:r>
              <w:rPr>
                <w:rFonts w:hint="eastAsia" w:ascii="宋体" w:hAnsi="宋体" w:cs="宋体"/>
                <w:color w:val="auto"/>
                <w:kern w:val="0"/>
                <w:sz w:val="24"/>
                <w:szCs w:val="24"/>
              </w:rPr>
              <w:t>，工作频率：</w:t>
            </w:r>
            <w:r>
              <w:rPr>
                <w:rFonts w:ascii="宋体" w:hAnsi="宋体" w:cs="宋体"/>
                <w:color w:val="auto"/>
                <w:kern w:val="0"/>
                <w:sz w:val="24"/>
                <w:szCs w:val="24"/>
              </w:rPr>
              <w:t>20KHz — 170KHz</w:t>
            </w:r>
            <w:r>
              <w:rPr>
                <w:rFonts w:hint="eastAsia" w:ascii="宋体" w:hAnsi="宋体" w:cs="宋体"/>
                <w:color w:val="auto"/>
                <w:kern w:val="0"/>
                <w:sz w:val="24"/>
                <w:szCs w:val="24"/>
              </w:rPr>
              <w:t>，反应时间：≤</w:t>
            </w:r>
            <w:r>
              <w:rPr>
                <w:rFonts w:ascii="宋体" w:hAnsi="宋体" w:cs="宋体"/>
                <w:color w:val="auto"/>
                <w:kern w:val="0"/>
                <w:sz w:val="24"/>
                <w:szCs w:val="24"/>
              </w:rPr>
              <w:t xml:space="preserve">10ms (fastest) </w:t>
            </w:r>
            <w:r>
              <w:rPr>
                <w:rFonts w:hint="eastAsia" w:ascii="宋体" w:hAnsi="宋体" w:cs="宋体"/>
                <w:color w:val="auto"/>
                <w:kern w:val="0"/>
                <w:sz w:val="24"/>
                <w:szCs w:val="24"/>
              </w:rPr>
              <w:t>连线长度：最长</w:t>
            </w:r>
            <w:r>
              <w:rPr>
                <w:rFonts w:ascii="宋体" w:hAnsi="宋体" w:cs="宋体"/>
                <w:color w:val="auto"/>
                <w:kern w:val="0"/>
                <w:sz w:val="24"/>
                <w:szCs w:val="24"/>
              </w:rPr>
              <w:t>100m</w:t>
            </w:r>
            <w:r>
              <w:rPr>
                <w:rFonts w:hint="eastAsia" w:ascii="宋体" w:hAnsi="宋体" w:cs="宋体"/>
                <w:color w:val="auto"/>
                <w:kern w:val="0"/>
                <w:sz w:val="24"/>
                <w:szCs w:val="24"/>
              </w:rPr>
              <w:t>，每米至少双绞</w:t>
            </w:r>
            <w:r>
              <w:rPr>
                <w:rFonts w:ascii="宋体" w:hAnsi="宋体" w:cs="宋体"/>
                <w:color w:val="auto"/>
                <w:kern w:val="0"/>
                <w:sz w:val="24"/>
                <w:szCs w:val="24"/>
              </w:rPr>
              <w:t>20</w:t>
            </w:r>
            <w:r>
              <w:rPr>
                <w:rFonts w:hint="eastAsia" w:ascii="宋体" w:hAnsi="宋体" w:cs="宋体"/>
                <w:color w:val="auto"/>
                <w:kern w:val="0"/>
                <w:sz w:val="24"/>
                <w:szCs w:val="24"/>
              </w:rPr>
              <w:t>次。</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27</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地感线圈</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cs="宋体"/>
                <w:color w:val="auto"/>
                <w:kern w:val="0"/>
                <w:sz w:val="24"/>
                <w:szCs w:val="24"/>
              </w:rPr>
              <w:t>0</w:t>
            </w:r>
            <w:r>
              <w:rPr>
                <w:rFonts w:hint="eastAsia" w:ascii="宋体" w:hAnsi="宋体" w:cs="宋体"/>
                <w:color w:val="auto"/>
                <w:kern w:val="0"/>
                <w:sz w:val="24"/>
                <w:szCs w:val="24"/>
              </w:rPr>
              <w:t>～</w:t>
            </w:r>
            <w:r>
              <w:rPr>
                <w:rFonts w:ascii="宋体" w:hAnsi="宋体" w:cs="宋体"/>
                <w:color w:val="auto"/>
                <w:kern w:val="0"/>
                <w:sz w:val="24"/>
                <w:szCs w:val="24"/>
              </w:rPr>
              <w:t>9</w:t>
            </w:r>
            <w:r>
              <w:rPr>
                <w:rFonts w:hint="eastAsia" w:ascii="宋体" w:hAnsi="宋体" w:cs="宋体"/>
                <w:color w:val="auto"/>
                <w:kern w:val="0"/>
                <w:sz w:val="24"/>
                <w:szCs w:val="24"/>
              </w:rPr>
              <w:t>级可调反应时间：小于</w:t>
            </w:r>
            <w:r>
              <w:rPr>
                <w:rFonts w:ascii="宋体" w:hAnsi="宋体" w:cs="宋体"/>
                <w:color w:val="auto"/>
                <w:kern w:val="0"/>
                <w:sz w:val="24"/>
                <w:szCs w:val="24"/>
              </w:rPr>
              <w:t>10</w:t>
            </w:r>
            <w:r>
              <w:rPr>
                <w:rFonts w:hint="eastAsia" w:ascii="宋体" w:hAnsi="宋体" w:cs="宋体"/>
                <w:color w:val="auto"/>
                <w:kern w:val="0"/>
                <w:sz w:val="24"/>
                <w:szCs w:val="24"/>
              </w:rPr>
              <w:t>毫秒线圈电感：</w:t>
            </w:r>
            <w:r>
              <w:rPr>
                <w:rFonts w:ascii="宋体" w:hAnsi="宋体" w:cs="宋体"/>
                <w:color w:val="auto"/>
                <w:kern w:val="0"/>
                <w:sz w:val="24"/>
                <w:szCs w:val="24"/>
              </w:rPr>
              <w:t>50</w:t>
            </w:r>
            <w:r>
              <w:rPr>
                <w:rFonts w:hint="eastAsia" w:ascii="宋体" w:hAnsi="宋体" w:cs="宋体"/>
                <w:color w:val="auto"/>
                <w:kern w:val="0"/>
                <w:sz w:val="24"/>
                <w:szCs w:val="24"/>
              </w:rPr>
              <w:t>μ</w:t>
            </w:r>
            <w:r>
              <w:rPr>
                <w:rFonts w:ascii="宋体" w:hAnsi="宋体" w:cs="宋体"/>
                <w:color w:val="auto"/>
                <w:kern w:val="0"/>
                <w:sz w:val="24"/>
                <w:szCs w:val="24"/>
              </w:rPr>
              <w:t>H—1000</w:t>
            </w:r>
            <w:r>
              <w:rPr>
                <w:rFonts w:hint="eastAsia" w:ascii="宋体" w:hAnsi="宋体" w:cs="宋体"/>
                <w:color w:val="auto"/>
                <w:kern w:val="0"/>
                <w:sz w:val="24"/>
                <w:szCs w:val="24"/>
              </w:rPr>
              <w:t>μ</w:t>
            </w:r>
            <w:r>
              <w:rPr>
                <w:rFonts w:ascii="宋体" w:hAnsi="宋体" w:cs="宋体"/>
                <w:color w:val="auto"/>
                <w:kern w:val="0"/>
                <w:sz w:val="24"/>
                <w:szCs w:val="24"/>
              </w:rPr>
              <w:t xml:space="preserve">H   </w:t>
            </w:r>
            <w:r>
              <w:rPr>
                <w:rFonts w:hint="eastAsia" w:ascii="宋体" w:hAnsi="宋体" w:cs="宋体"/>
                <w:color w:val="auto"/>
                <w:kern w:val="0"/>
                <w:sz w:val="24"/>
                <w:szCs w:val="24"/>
              </w:rPr>
              <w:t>最大</w:t>
            </w:r>
            <w:r>
              <w:rPr>
                <w:rFonts w:ascii="宋体" w:hAnsi="宋体" w:cs="宋体"/>
                <w:color w:val="auto"/>
                <w:kern w:val="0"/>
                <w:sz w:val="24"/>
                <w:szCs w:val="24"/>
              </w:rPr>
              <w:t>100</w:t>
            </w:r>
            <w:r>
              <w:rPr>
                <w:rFonts w:hint="eastAsia" w:ascii="宋体" w:hAnsi="宋体" w:cs="宋体"/>
                <w:color w:val="auto"/>
                <w:kern w:val="0"/>
                <w:sz w:val="24"/>
                <w:szCs w:val="24"/>
              </w:rPr>
              <w:t>μ</w:t>
            </w:r>
            <w:r>
              <w:rPr>
                <w:rFonts w:ascii="宋体" w:hAnsi="宋体" w:cs="宋体"/>
                <w:color w:val="auto"/>
                <w:kern w:val="0"/>
                <w:sz w:val="24"/>
                <w:szCs w:val="24"/>
              </w:rPr>
              <w:t>H—300</w:t>
            </w:r>
            <w:r>
              <w:rPr>
                <w:rFonts w:hint="eastAsia" w:ascii="宋体" w:hAnsi="宋体" w:cs="宋体"/>
                <w:color w:val="auto"/>
                <w:kern w:val="0"/>
                <w:sz w:val="24"/>
                <w:szCs w:val="24"/>
              </w:rPr>
              <w:t>μ</w:t>
            </w:r>
            <w:r>
              <w:rPr>
                <w:rFonts w:ascii="宋体" w:hAnsi="宋体" w:cs="宋体"/>
                <w:color w:val="auto"/>
                <w:kern w:val="0"/>
                <w:sz w:val="24"/>
                <w:szCs w:val="24"/>
              </w:rPr>
              <w:t>H</w:t>
            </w:r>
            <w:r>
              <w:rPr>
                <w:rFonts w:hint="eastAsia" w:ascii="宋体" w:hAnsi="宋体" w:cs="宋体"/>
                <w:color w:val="auto"/>
                <w:kern w:val="0"/>
                <w:sz w:val="24"/>
                <w:szCs w:val="24"/>
              </w:rPr>
              <w:t>（包含连接线）线圈馈线长度：小于</w:t>
            </w:r>
            <w:r>
              <w:rPr>
                <w:rFonts w:ascii="宋体" w:hAnsi="宋体" w:cs="宋体"/>
                <w:color w:val="auto"/>
                <w:kern w:val="0"/>
                <w:sz w:val="24"/>
                <w:szCs w:val="24"/>
              </w:rPr>
              <w:t>10</w:t>
            </w:r>
            <w:r>
              <w:rPr>
                <w:rFonts w:hint="eastAsia" w:ascii="宋体" w:hAnsi="宋体" w:cs="宋体"/>
                <w:color w:val="auto"/>
                <w:kern w:val="0"/>
                <w:sz w:val="24"/>
                <w:szCs w:val="24"/>
              </w:rPr>
              <w:t>米，每米至少绞合</w:t>
            </w:r>
            <w:r>
              <w:rPr>
                <w:rFonts w:ascii="宋体" w:hAnsi="宋体" w:cs="宋体"/>
                <w:color w:val="auto"/>
                <w:kern w:val="0"/>
                <w:sz w:val="24"/>
                <w:szCs w:val="24"/>
              </w:rPr>
              <w:t>20</w:t>
            </w:r>
            <w:r>
              <w:rPr>
                <w:rFonts w:hint="eastAsia" w:ascii="宋体" w:hAnsi="宋体" w:cs="宋体"/>
                <w:color w:val="auto"/>
                <w:kern w:val="0"/>
                <w:sz w:val="24"/>
                <w:szCs w:val="24"/>
              </w:rPr>
              <w:t>次，总电阻小于</w:t>
            </w:r>
            <w:r>
              <w:rPr>
                <w:rFonts w:ascii="宋体" w:hAnsi="宋体" w:cs="宋体"/>
                <w:color w:val="auto"/>
                <w:kern w:val="0"/>
                <w:sz w:val="24"/>
                <w:szCs w:val="24"/>
              </w:rPr>
              <w:t>10</w:t>
            </w:r>
            <w:r>
              <w:rPr>
                <w:rFonts w:hint="eastAsia" w:ascii="宋体" w:hAnsi="宋体" w:cs="宋体"/>
                <w:color w:val="auto"/>
                <w:kern w:val="0"/>
                <w:sz w:val="24"/>
                <w:szCs w:val="24"/>
              </w:rPr>
              <w:t>欧姆。外形尺寸：</w:t>
            </w:r>
            <w:r>
              <w:rPr>
                <w:rFonts w:ascii="宋体" w:hAnsi="宋体" w:cs="宋体"/>
                <w:color w:val="auto"/>
                <w:kern w:val="0"/>
                <w:sz w:val="24"/>
                <w:szCs w:val="24"/>
              </w:rPr>
              <w:t>100*70*118mm</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28</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系统主板</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ascii="宋体" w:hAnsi="宋体" w:cs="宋体"/>
                <w:color w:val="auto"/>
                <w:kern w:val="0"/>
                <w:sz w:val="24"/>
                <w:szCs w:val="24"/>
              </w:rPr>
              <w:t>PLC</w:t>
            </w:r>
            <w:r>
              <w:rPr>
                <w:rFonts w:hint="eastAsia" w:ascii="宋体" w:hAnsi="宋体" w:cs="宋体"/>
                <w:color w:val="auto"/>
                <w:kern w:val="0"/>
                <w:sz w:val="24"/>
                <w:szCs w:val="24"/>
              </w:rPr>
              <w:t>控制：采用</w:t>
            </w:r>
            <w:r>
              <w:rPr>
                <w:rFonts w:ascii="宋体" w:hAnsi="宋体" w:cs="宋体"/>
                <w:color w:val="auto"/>
                <w:kern w:val="0"/>
                <w:sz w:val="24"/>
                <w:szCs w:val="24"/>
              </w:rPr>
              <w:t>32</w:t>
            </w:r>
            <w:r>
              <w:rPr>
                <w:rFonts w:hint="eastAsia" w:ascii="宋体" w:hAnsi="宋体" w:cs="宋体"/>
                <w:color w:val="auto"/>
                <w:kern w:val="0"/>
                <w:sz w:val="24"/>
                <w:szCs w:val="24"/>
              </w:rPr>
              <w:t>位</w:t>
            </w:r>
            <w:r>
              <w:rPr>
                <w:rFonts w:ascii="宋体" w:hAnsi="宋体" w:cs="宋体"/>
                <w:color w:val="auto"/>
                <w:kern w:val="0"/>
                <w:sz w:val="24"/>
                <w:szCs w:val="24"/>
              </w:rPr>
              <w:t>ARM</w:t>
            </w:r>
            <w:r>
              <w:rPr>
                <w:rFonts w:hint="eastAsia" w:ascii="宋体" w:hAnsi="宋体" w:cs="宋体"/>
                <w:color w:val="auto"/>
                <w:kern w:val="0"/>
                <w:sz w:val="24"/>
                <w:szCs w:val="24"/>
              </w:rPr>
              <w:t>为核心处理器，双路存储器，集成度及可靠性极高，功能全面，带复位功能，脱机存储记录功能。支持</w:t>
            </w:r>
            <w:r>
              <w:rPr>
                <w:rFonts w:ascii="宋体" w:hAnsi="宋体" w:cs="宋体"/>
                <w:color w:val="auto"/>
                <w:kern w:val="0"/>
                <w:sz w:val="24"/>
                <w:szCs w:val="24"/>
              </w:rPr>
              <w:t>TCP/IP</w:t>
            </w:r>
            <w:r>
              <w:rPr>
                <w:rFonts w:hint="eastAsia" w:ascii="宋体" w:hAnsi="宋体" w:cs="宋体"/>
                <w:color w:val="auto"/>
                <w:kern w:val="0"/>
                <w:sz w:val="24"/>
                <w:szCs w:val="24"/>
              </w:rPr>
              <w:t>通信协议、支持</w:t>
            </w:r>
            <w:r>
              <w:rPr>
                <w:rFonts w:ascii="宋体" w:hAnsi="宋体" w:cs="宋体"/>
                <w:color w:val="auto"/>
                <w:kern w:val="0"/>
                <w:sz w:val="24"/>
                <w:szCs w:val="24"/>
              </w:rPr>
              <w:t>RS485</w:t>
            </w:r>
            <w:r>
              <w:rPr>
                <w:rFonts w:hint="eastAsia" w:ascii="宋体" w:hAnsi="宋体" w:cs="宋体"/>
                <w:color w:val="auto"/>
                <w:kern w:val="0"/>
                <w:sz w:val="24"/>
                <w:szCs w:val="24"/>
              </w:rPr>
              <w:t>通讯接口，线控、遥控、通讯协议多种控制方式，软件自带音量控制，系统设置一键备份和一键恢复；设备故障自检，远程故障状态检测，实现月卡用户无人管理，临时用户入口无人管理。剩余车位显示，机箱内置，软件勾选即可；控制机集成有中文电子显示屏、语音提示模块、</w:t>
            </w:r>
            <w:r>
              <w:rPr>
                <w:rFonts w:ascii="宋体" w:hAnsi="宋体" w:cs="宋体"/>
                <w:color w:val="auto"/>
                <w:kern w:val="0"/>
                <w:sz w:val="24"/>
                <w:szCs w:val="24"/>
              </w:rPr>
              <w:t>IC</w:t>
            </w:r>
            <w:r>
              <w:rPr>
                <w:rFonts w:hint="eastAsia" w:ascii="宋体" w:hAnsi="宋体" w:cs="宋体"/>
                <w:color w:val="auto"/>
                <w:kern w:val="0"/>
                <w:sz w:val="24"/>
                <w:szCs w:val="24"/>
              </w:rPr>
              <w:t>卡读写系统、出卡机、车辆检测模块、夜光背景状态提示等。脱机存储容量：≥</w:t>
            </w:r>
            <w:r>
              <w:rPr>
                <w:rFonts w:ascii="宋体" w:hAnsi="宋体" w:cs="宋体"/>
                <w:color w:val="auto"/>
                <w:kern w:val="0"/>
                <w:sz w:val="24"/>
                <w:szCs w:val="24"/>
              </w:rPr>
              <w:t>100000</w:t>
            </w:r>
            <w:r>
              <w:rPr>
                <w:rFonts w:hint="eastAsia" w:ascii="宋体" w:hAnsi="宋体" w:cs="宋体"/>
                <w:color w:val="auto"/>
                <w:kern w:val="0"/>
                <w:sz w:val="24"/>
                <w:szCs w:val="24"/>
              </w:rPr>
              <w:t>条，存储器</w:t>
            </w:r>
            <w:r>
              <w:rPr>
                <w:rFonts w:ascii="宋体" w:hAnsi="宋体" w:cs="宋体"/>
                <w:color w:val="auto"/>
                <w:kern w:val="0"/>
                <w:sz w:val="24"/>
                <w:szCs w:val="24"/>
              </w:rPr>
              <w:t>:</w:t>
            </w:r>
            <w:r>
              <w:rPr>
                <w:rFonts w:hint="eastAsia" w:ascii="宋体" w:hAnsi="宋体" w:cs="宋体"/>
                <w:color w:val="auto"/>
                <w:kern w:val="0"/>
                <w:sz w:val="24"/>
                <w:szCs w:val="24"/>
              </w:rPr>
              <w:t>≥</w:t>
            </w:r>
            <w:r>
              <w:rPr>
                <w:rFonts w:ascii="宋体" w:hAnsi="宋体" w:cs="宋体"/>
                <w:color w:val="auto"/>
                <w:kern w:val="0"/>
                <w:sz w:val="24"/>
                <w:szCs w:val="24"/>
              </w:rPr>
              <w:t>64M</w:t>
            </w:r>
            <w:r>
              <w:rPr>
                <w:rFonts w:hint="eastAsia" w:ascii="宋体" w:hAnsi="宋体" w:cs="宋体"/>
                <w:color w:val="auto"/>
                <w:kern w:val="0"/>
                <w:sz w:val="24"/>
                <w:szCs w:val="24"/>
              </w:rPr>
              <w:t>可扩，黑名单容量：≥</w:t>
            </w:r>
            <w:r>
              <w:rPr>
                <w:rFonts w:ascii="宋体" w:hAnsi="宋体" w:cs="宋体"/>
                <w:color w:val="auto"/>
                <w:kern w:val="0"/>
                <w:sz w:val="24"/>
                <w:szCs w:val="24"/>
              </w:rPr>
              <w:t>20000</w:t>
            </w:r>
            <w:r>
              <w:rPr>
                <w:rFonts w:hint="eastAsia" w:ascii="宋体" w:hAnsi="宋体" w:cs="宋体"/>
                <w:color w:val="auto"/>
                <w:kern w:val="0"/>
                <w:sz w:val="24"/>
                <w:szCs w:val="24"/>
              </w:rPr>
              <w:t>条，工作环境温度：－</w:t>
            </w:r>
            <w:r>
              <w:rPr>
                <w:rFonts w:ascii="宋体" w:hAnsi="宋体" w:cs="宋体"/>
                <w:color w:val="auto"/>
                <w:kern w:val="0"/>
                <w:sz w:val="24"/>
                <w:szCs w:val="24"/>
              </w:rPr>
              <w:t>40</w:t>
            </w:r>
            <w:r>
              <w:rPr>
                <w:rFonts w:hint="eastAsia" w:ascii="宋体" w:hAnsi="宋体" w:cs="宋体"/>
                <w:color w:val="auto"/>
                <w:kern w:val="0"/>
                <w:sz w:val="24"/>
                <w:szCs w:val="24"/>
              </w:rPr>
              <w:t>℃～＋</w:t>
            </w:r>
            <w:r>
              <w:rPr>
                <w:rFonts w:ascii="宋体" w:hAnsi="宋体" w:cs="宋体"/>
                <w:color w:val="auto"/>
                <w:kern w:val="0"/>
                <w:sz w:val="24"/>
                <w:szCs w:val="24"/>
              </w:rPr>
              <w:t>150</w:t>
            </w:r>
            <w:r>
              <w:rPr>
                <w:rFonts w:hint="eastAsia" w:ascii="宋体" w:hAnsi="宋体" w:cs="宋体"/>
                <w:color w:val="auto"/>
                <w:kern w:val="0"/>
                <w:sz w:val="24"/>
                <w:szCs w:val="24"/>
              </w:rPr>
              <w:t>℃，电</w:t>
            </w:r>
            <w:r>
              <w:rPr>
                <w:rFonts w:ascii="宋体" w:hAnsi="宋体" w:cs="宋体"/>
                <w:color w:val="auto"/>
                <w:kern w:val="0"/>
                <w:sz w:val="24"/>
                <w:szCs w:val="24"/>
              </w:rPr>
              <w:t xml:space="preserve"> </w:t>
            </w:r>
            <w:r>
              <w:rPr>
                <w:rFonts w:hint="eastAsia" w:ascii="宋体" w:hAnsi="宋体" w:cs="宋体"/>
                <w:color w:val="auto"/>
                <w:kern w:val="0"/>
                <w:sz w:val="24"/>
                <w:szCs w:val="24"/>
              </w:rPr>
              <w:t>源：</w:t>
            </w:r>
            <w:r>
              <w:rPr>
                <w:rFonts w:ascii="宋体" w:hAnsi="宋体" w:cs="宋体"/>
                <w:color w:val="auto"/>
                <w:kern w:val="0"/>
                <w:sz w:val="24"/>
                <w:szCs w:val="24"/>
              </w:rPr>
              <w:t>220V AC</w:t>
            </w:r>
            <w:r>
              <w:rPr>
                <w:rFonts w:hint="eastAsia" w:ascii="宋体" w:hAnsi="宋体" w:cs="宋体"/>
                <w:color w:val="auto"/>
                <w:kern w:val="0"/>
                <w:sz w:val="24"/>
                <w:szCs w:val="24"/>
              </w:rPr>
              <w:t>±</w:t>
            </w:r>
            <w:r>
              <w:rPr>
                <w:rFonts w:ascii="宋体" w:hAnsi="宋体" w:cs="宋体"/>
                <w:color w:val="auto"/>
                <w:kern w:val="0"/>
                <w:sz w:val="24"/>
                <w:szCs w:val="24"/>
              </w:rPr>
              <w:t>10</w:t>
            </w:r>
            <w:r>
              <w:rPr>
                <w:rFonts w:hint="eastAsia" w:ascii="宋体" w:hAnsi="宋体" w:cs="宋体"/>
                <w:color w:val="auto"/>
                <w:kern w:val="0"/>
                <w:sz w:val="24"/>
                <w:szCs w:val="24"/>
              </w:rPr>
              <w:t>％，</w:t>
            </w:r>
            <w:r>
              <w:rPr>
                <w:rFonts w:ascii="宋体" w:hAnsi="宋体" w:cs="宋体"/>
                <w:color w:val="auto"/>
                <w:kern w:val="0"/>
                <w:sz w:val="24"/>
                <w:szCs w:val="24"/>
              </w:rPr>
              <w:t>50Hz</w:t>
            </w:r>
            <w:r>
              <w:rPr>
                <w:rFonts w:hint="eastAsia" w:ascii="宋体" w:hAnsi="宋体" w:cs="宋体"/>
                <w:color w:val="auto"/>
                <w:kern w:val="0"/>
                <w:sz w:val="24"/>
                <w:szCs w:val="24"/>
              </w:rPr>
              <w:t>。掉电保存时间：</w:t>
            </w:r>
            <w:r>
              <w:rPr>
                <w:rFonts w:ascii="宋体" w:hAnsi="宋体" w:cs="宋体"/>
                <w:color w:val="auto"/>
                <w:kern w:val="0"/>
                <w:sz w:val="24"/>
                <w:szCs w:val="24"/>
              </w:rPr>
              <w:t>10</w:t>
            </w:r>
            <w:r>
              <w:rPr>
                <w:rFonts w:hint="eastAsia" w:ascii="宋体" w:hAnsi="宋体" w:cs="宋体"/>
                <w:color w:val="auto"/>
                <w:kern w:val="0"/>
                <w:sz w:val="24"/>
                <w:szCs w:val="24"/>
              </w:rPr>
              <w:t>年，湿度＜</w:t>
            </w:r>
            <w:r>
              <w:rPr>
                <w:rFonts w:ascii="宋体" w:hAnsi="宋体" w:cs="宋体"/>
                <w:color w:val="auto"/>
                <w:kern w:val="0"/>
                <w:sz w:val="24"/>
                <w:szCs w:val="24"/>
              </w:rPr>
              <w:t>95%</w:t>
            </w:r>
            <w:r>
              <w:rPr>
                <w:rFonts w:hint="eastAsia" w:ascii="宋体" w:hAnsi="宋体" w:cs="宋体"/>
                <w:color w:val="auto"/>
                <w:kern w:val="0"/>
                <w:sz w:val="24"/>
                <w:szCs w:val="24"/>
              </w:rPr>
              <w:t>不凝露，≥</w:t>
            </w:r>
            <w:r>
              <w:rPr>
                <w:rFonts w:ascii="宋体" w:hAnsi="宋体" w:cs="宋体"/>
                <w:color w:val="auto"/>
                <w:kern w:val="0"/>
                <w:sz w:val="24"/>
                <w:szCs w:val="24"/>
              </w:rPr>
              <w:t>3</w:t>
            </w:r>
            <w:r>
              <w:rPr>
                <w:rFonts w:hint="eastAsia" w:ascii="宋体" w:hAnsi="宋体" w:cs="宋体"/>
                <w:color w:val="auto"/>
                <w:kern w:val="0"/>
                <w:sz w:val="24"/>
                <w:szCs w:val="24"/>
              </w:rPr>
              <w:t>个通讯端口，≥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100/10M TCP/IP</w:t>
            </w:r>
            <w:r>
              <w:rPr>
                <w:rFonts w:hint="eastAsia" w:ascii="宋体" w:hAnsi="宋体" w:cs="宋体"/>
                <w:color w:val="auto"/>
                <w:kern w:val="0"/>
                <w:sz w:val="24"/>
                <w:szCs w:val="24"/>
              </w:rPr>
              <w:t>网络接口，车牌识别参数：工作电压：</w:t>
            </w:r>
            <w:r>
              <w:rPr>
                <w:rFonts w:ascii="宋体" w:hAnsi="宋体" w:cs="宋体"/>
                <w:color w:val="auto"/>
                <w:kern w:val="0"/>
                <w:sz w:val="24"/>
                <w:szCs w:val="24"/>
              </w:rPr>
              <w:t>DC12V 2A</w:t>
            </w:r>
            <w:r>
              <w:rPr>
                <w:rFonts w:hint="eastAsia" w:ascii="宋体" w:hAnsi="宋体" w:cs="宋体"/>
                <w:color w:val="auto"/>
                <w:kern w:val="0"/>
                <w:sz w:val="24"/>
                <w:szCs w:val="24"/>
              </w:rPr>
              <w:t>，视频接口：≥</w:t>
            </w:r>
            <w:r>
              <w:rPr>
                <w:rFonts w:ascii="宋体" w:hAnsi="宋体" w:cs="宋体"/>
                <w:color w:val="auto"/>
                <w:kern w:val="0"/>
                <w:sz w:val="24"/>
                <w:szCs w:val="24"/>
              </w:rPr>
              <w:t>1</w:t>
            </w:r>
            <w:r>
              <w:rPr>
                <w:rFonts w:hint="eastAsia" w:ascii="宋体" w:hAnsi="宋体" w:cs="宋体"/>
                <w:color w:val="auto"/>
                <w:kern w:val="0"/>
                <w:sz w:val="24"/>
                <w:szCs w:val="24"/>
              </w:rPr>
              <w:t>个</w:t>
            </w:r>
            <w:r>
              <w:rPr>
                <w:rFonts w:ascii="宋体" w:hAnsi="宋体" w:cs="宋体"/>
                <w:color w:val="auto"/>
                <w:kern w:val="0"/>
                <w:sz w:val="24"/>
                <w:szCs w:val="24"/>
              </w:rPr>
              <w:t>CVBS/HD-SDI</w:t>
            </w:r>
            <w:r>
              <w:rPr>
                <w:rFonts w:hint="eastAsia" w:ascii="宋体" w:hAnsi="宋体" w:cs="宋体"/>
                <w:color w:val="auto"/>
                <w:kern w:val="0"/>
                <w:sz w:val="24"/>
                <w:szCs w:val="24"/>
              </w:rPr>
              <w:t>接口，通讯接口：</w:t>
            </w:r>
            <w:r>
              <w:rPr>
                <w:rFonts w:ascii="宋体" w:hAnsi="宋体" w:cs="宋体"/>
                <w:color w:val="auto"/>
                <w:kern w:val="0"/>
                <w:sz w:val="24"/>
                <w:szCs w:val="24"/>
              </w:rPr>
              <w:t>RJ45/RS485</w:t>
            </w:r>
            <w:r>
              <w:rPr>
                <w:rFonts w:hint="eastAsia" w:ascii="宋体" w:hAnsi="宋体" w:cs="宋体"/>
                <w:color w:val="auto"/>
                <w:kern w:val="0"/>
                <w:sz w:val="24"/>
                <w:szCs w:val="24"/>
              </w:rPr>
              <w:t>接口，工作温度湿度：</w:t>
            </w:r>
            <w:r>
              <w:rPr>
                <w:rFonts w:ascii="宋体" w:hAnsi="宋体" w:cs="宋体"/>
                <w:color w:val="auto"/>
                <w:kern w:val="0"/>
                <w:sz w:val="24"/>
                <w:szCs w:val="24"/>
              </w:rPr>
              <w:t>-25</w:t>
            </w:r>
            <w:r>
              <w:rPr>
                <w:rFonts w:hint="eastAsia" w:ascii="宋体" w:hAnsi="宋体" w:cs="宋体"/>
                <w:color w:val="auto"/>
                <w:kern w:val="0"/>
                <w:sz w:val="24"/>
                <w:szCs w:val="24"/>
              </w:rPr>
              <w:t>℃</w:t>
            </w:r>
            <w:r>
              <w:rPr>
                <w:rFonts w:ascii="宋体" w:hAnsi="宋体" w:cs="宋体"/>
                <w:color w:val="auto"/>
                <w:kern w:val="0"/>
                <w:sz w:val="24"/>
                <w:szCs w:val="24"/>
              </w:rPr>
              <w:t>~70</w:t>
            </w:r>
            <w:r>
              <w:rPr>
                <w:rFonts w:hint="eastAsia" w:ascii="宋体" w:hAnsi="宋体" w:cs="宋体"/>
                <w:color w:val="auto"/>
                <w:kern w:val="0"/>
                <w:sz w:val="24"/>
                <w:szCs w:val="24"/>
              </w:rPr>
              <w:t>℃，湿度小于</w:t>
            </w:r>
            <w:r>
              <w:rPr>
                <w:rFonts w:ascii="宋体" w:hAnsi="宋体" w:cs="宋体"/>
                <w:color w:val="auto"/>
                <w:kern w:val="0"/>
                <w:sz w:val="24"/>
                <w:szCs w:val="24"/>
              </w:rPr>
              <w:t>90%</w:t>
            </w:r>
            <w:r>
              <w:rPr>
                <w:rFonts w:hint="eastAsia" w:ascii="宋体" w:hAnsi="宋体" w:cs="宋体"/>
                <w:color w:val="auto"/>
                <w:kern w:val="0"/>
                <w:sz w:val="24"/>
                <w:szCs w:val="24"/>
              </w:rPr>
              <w:t>，最大图像尺寸：</w:t>
            </w:r>
            <w:r>
              <w:rPr>
                <w:rFonts w:ascii="宋体" w:hAnsi="宋体" w:cs="宋体"/>
                <w:color w:val="auto"/>
                <w:kern w:val="0"/>
                <w:sz w:val="24"/>
                <w:szCs w:val="24"/>
              </w:rPr>
              <w:t>1920</w:t>
            </w:r>
            <w:r>
              <w:rPr>
                <w:rFonts w:hint="eastAsia" w:ascii="宋体" w:hAnsi="宋体" w:cs="宋体"/>
                <w:color w:val="auto"/>
                <w:kern w:val="0"/>
                <w:sz w:val="24"/>
                <w:szCs w:val="24"/>
              </w:rPr>
              <w:t>×</w:t>
            </w:r>
            <w:r>
              <w:rPr>
                <w:rFonts w:ascii="宋体" w:hAnsi="宋体" w:cs="宋体"/>
                <w:color w:val="auto"/>
                <w:kern w:val="0"/>
                <w:sz w:val="24"/>
                <w:szCs w:val="24"/>
              </w:rPr>
              <w:t>1080MM</w:t>
            </w:r>
            <w:r>
              <w:rPr>
                <w:rFonts w:hint="eastAsia" w:ascii="宋体" w:hAnsi="宋体" w:cs="宋体"/>
                <w:color w:val="auto"/>
                <w:kern w:val="0"/>
                <w:sz w:val="24"/>
                <w:szCs w:val="24"/>
              </w:rPr>
              <w:t>，存储功能支技</w:t>
            </w:r>
            <w:r>
              <w:rPr>
                <w:rFonts w:ascii="宋体" w:hAnsi="宋体" w:cs="宋体"/>
                <w:color w:val="auto"/>
                <w:kern w:val="0"/>
                <w:sz w:val="24"/>
                <w:szCs w:val="24"/>
              </w:rPr>
              <w:t>SD/SDHC,USB</w:t>
            </w:r>
            <w:r>
              <w:rPr>
                <w:rFonts w:hint="eastAsia" w:ascii="宋体" w:hAnsi="宋体" w:cs="宋体"/>
                <w:color w:val="auto"/>
                <w:kern w:val="0"/>
                <w:sz w:val="24"/>
                <w:szCs w:val="24"/>
              </w:rPr>
              <w:t>存储设备</w:t>
            </w:r>
            <w:r>
              <w:rPr>
                <w:rFonts w:ascii="宋体" w:hAnsi="宋体" w:cs="宋体"/>
                <w:color w:val="auto"/>
                <w:kern w:val="0"/>
                <w:sz w:val="24"/>
                <w:szCs w:val="24"/>
              </w:rPr>
              <w:t xml:space="preserve"> </w:t>
            </w:r>
            <w:r>
              <w:rPr>
                <w:rFonts w:hint="eastAsia" w:ascii="宋体" w:hAnsi="宋体" w:cs="宋体"/>
                <w:color w:val="auto"/>
                <w:kern w:val="0"/>
                <w:sz w:val="24"/>
                <w:szCs w:val="24"/>
              </w:rPr>
              <w:t>智能识别车牌识别、车型识别、车辆检测专用。接口类型：</w:t>
            </w:r>
            <w:r>
              <w:rPr>
                <w:rFonts w:ascii="宋体" w:hAnsi="宋体" w:cs="宋体"/>
                <w:color w:val="auto"/>
                <w:kern w:val="0"/>
                <w:sz w:val="24"/>
                <w:szCs w:val="24"/>
              </w:rPr>
              <w:t>W26/34</w:t>
            </w:r>
            <w:r>
              <w:rPr>
                <w:rFonts w:hint="eastAsia" w:ascii="宋体" w:hAnsi="宋体" w:cs="宋体"/>
                <w:color w:val="auto"/>
                <w:kern w:val="0"/>
                <w:sz w:val="24"/>
                <w:szCs w:val="24"/>
              </w:rPr>
              <w:t>、</w:t>
            </w:r>
            <w:r>
              <w:rPr>
                <w:rFonts w:ascii="宋体" w:hAnsi="宋体" w:cs="宋体"/>
                <w:color w:val="auto"/>
                <w:kern w:val="0"/>
                <w:sz w:val="24"/>
                <w:szCs w:val="24"/>
              </w:rPr>
              <w:t>RS232</w:t>
            </w:r>
            <w:r>
              <w:rPr>
                <w:rFonts w:hint="eastAsia" w:ascii="宋体" w:hAnsi="宋体" w:cs="宋体"/>
                <w:color w:val="auto"/>
                <w:kern w:val="0"/>
                <w:sz w:val="24"/>
                <w:szCs w:val="24"/>
              </w:rPr>
              <w:t>、</w:t>
            </w:r>
            <w:r>
              <w:rPr>
                <w:rFonts w:ascii="宋体" w:hAnsi="宋体" w:cs="宋体"/>
                <w:color w:val="auto"/>
                <w:kern w:val="0"/>
                <w:sz w:val="24"/>
                <w:szCs w:val="24"/>
              </w:rPr>
              <w:t>RS485</w:t>
            </w:r>
            <w:r>
              <w:rPr>
                <w:rFonts w:hint="eastAsia" w:ascii="宋体" w:hAnsi="宋体" w:cs="宋体"/>
                <w:color w:val="auto"/>
                <w:kern w:val="0"/>
                <w:sz w:val="24"/>
                <w:szCs w:val="24"/>
              </w:rPr>
              <w:t>，通信速率：</w:t>
            </w:r>
            <w:r>
              <w:rPr>
                <w:rFonts w:ascii="宋体" w:hAnsi="宋体" w:cs="宋体"/>
                <w:color w:val="auto"/>
                <w:kern w:val="0"/>
                <w:sz w:val="24"/>
                <w:szCs w:val="24"/>
              </w:rPr>
              <w:t>115200 bps</w:t>
            </w:r>
            <w:r>
              <w:rPr>
                <w:rFonts w:hint="eastAsia" w:ascii="宋体" w:hAnsi="宋体" w:cs="宋体"/>
                <w:color w:val="auto"/>
                <w:kern w:val="0"/>
                <w:sz w:val="24"/>
                <w:szCs w:val="24"/>
              </w:rPr>
              <w:t>，整机尺寸：</w:t>
            </w:r>
            <w:r>
              <w:rPr>
                <w:rFonts w:ascii="宋体" w:hAnsi="宋体" w:cs="宋体"/>
                <w:color w:val="auto"/>
                <w:kern w:val="0"/>
                <w:sz w:val="24"/>
                <w:szCs w:val="24"/>
              </w:rPr>
              <w:t>452</w:t>
            </w:r>
            <w:r>
              <w:rPr>
                <w:rFonts w:hint="eastAsia" w:ascii="宋体" w:hAnsi="宋体" w:cs="宋体"/>
                <w:color w:val="auto"/>
                <w:kern w:val="0"/>
                <w:sz w:val="24"/>
                <w:szCs w:val="24"/>
              </w:rPr>
              <w:t>×</w:t>
            </w:r>
            <w:r>
              <w:rPr>
                <w:rFonts w:ascii="宋体" w:hAnsi="宋体" w:cs="宋体"/>
                <w:color w:val="auto"/>
                <w:kern w:val="0"/>
                <w:sz w:val="24"/>
                <w:szCs w:val="24"/>
              </w:rPr>
              <w:t>145</w:t>
            </w:r>
            <w:r>
              <w:rPr>
                <w:rFonts w:hint="eastAsia" w:ascii="宋体" w:hAnsi="宋体" w:cs="宋体"/>
                <w:color w:val="auto"/>
                <w:kern w:val="0"/>
                <w:sz w:val="24"/>
                <w:szCs w:val="24"/>
              </w:rPr>
              <w:t>×</w:t>
            </w:r>
            <w:r>
              <w:rPr>
                <w:rFonts w:ascii="宋体" w:hAnsi="宋体" w:cs="宋体"/>
                <w:color w:val="auto"/>
                <w:kern w:val="0"/>
                <w:sz w:val="24"/>
                <w:szCs w:val="24"/>
              </w:rPr>
              <w:t>133mm</w:t>
            </w:r>
            <w:r>
              <w:rPr>
                <w:rFonts w:hint="eastAsia" w:ascii="宋体" w:hAnsi="宋体" w:cs="宋体"/>
                <w:color w:val="auto"/>
                <w:kern w:val="0"/>
                <w:sz w:val="24"/>
                <w:szCs w:val="24"/>
              </w:rPr>
              <w:t>，作温度：－</w:t>
            </w:r>
            <w:r>
              <w:rPr>
                <w:rFonts w:ascii="宋体" w:hAnsi="宋体" w:cs="宋体"/>
                <w:color w:val="auto"/>
                <w:kern w:val="0"/>
                <w:sz w:val="24"/>
                <w:szCs w:val="24"/>
              </w:rPr>
              <w:t>20</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+80</w:t>
            </w:r>
            <w:r>
              <w:rPr>
                <w:rFonts w:hint="eastAsia" w:ascii="宋体" w:hAnsi="宋体" w:cs="宋体"/>
                <w:color w:val="auto"/>
                <w:kern w:val="0"/>
                <w:sz w:val="24"/>
                <w:szCs w:val="24"/>
              </w:rPr>
              <w:t>℃；存储温度：－</w:t>
            </w:r>
            <w:r>
              <w:rPr>
                <w:rFonts w:ascii="宋体" w:hAnsi="宋体" w:cs="宋体"/>
                <w:color w:val="auto"/>
                <w:kern w:val="0"/>
                <w:sz w:val="24"/>
                <w:szCs w:val="24"/>
              </w:rPr>
              <w:t>40</w:t>
            </w:r>
            <w:r>
              <w:rPr>
                <w:rFonts w:hint="eastAsia" w:ascii="宋体" w:hAnsi="宋体" w:cs="宋体"/>
                <w:color w:val="auto"/>
                <w:kern w:val="0"/>
                <w:sz w:val="24"/>
                <w:szCs w:val="24"/>
              </w:rPr>
              <w:t>℃</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ascii="宋体" w:hAnsi="宋体" w:cs="宋体"/>
                <w:color w:val="auto"/>
                <w:kern w:val="0"/>
                <w:sz w:val="24"/>
                <w:szCs w:val="24"/>
              </w:rPr>
              <w:t xml:space="preserve"> +125</w:t>
            </w:r>
            <w:r>
              <w:rPr>
                <w:rFonts w:hint="eastAsia" w:ascii="宋体" w:hAnsi="宋体" w:cs="宋体"/>
                <w:color w:val="auto"/>
                <w:kern w:val="0"/>
                <w:sz w:val="24"/>
                <w:szCs w:val="24"/>
              </w:rPr>
              <w:t>℃，相对气压：</w:t>
            </w:r>
            <w:r>
              <w:rPr>
                <w:rFonts w:ascii="宋体" w:hAnsi="宋体" w:cs="宋体"/>
                <w:color w:val="auto"/>
                <w:kern w:val="0"/>
                <w:sz w:val="24"/>
                <w:szCs w:val="24"/>
              </w:rPr>
              <w:t>86KPa~106Kpa</w:t>
            </w:r>
            <w:r>
              <w:rPr>
                <w:rFonts w:hint="eastAsia" w:ascii="宋体" w:hAnsi="宋体" w:cs="宋体"/>
                <w:color w:val="auto"/>
                <w:kern w:val="0"/>
                <w:sz w:val="24"/>
                <w:szCs w:val="24"/>
              </w:rPr>
              <w:t>，环境温度：</w:t>
            </w:r>
            <w:r>
              <w:rPr>
                <w:rFonts w:ascii="宋体" w:hAnsi="宋体" w:cs="宋体"/>
                <w:color w:val="auto"/>
                <w:kern w:val="0"/>
                <w:sz w:val="24"/>
                <w:szCs w:val="24"/>
              </w:rPr>
              <w:t>-40~70</w:t>
            </w:r>
            <w:r>
              <w:rPr>
                <w:rFonts w:hint="eastAsia" w:ascii="宋体" w:hAnsi="宋体" w:cs="宋体"/>
                <w:color w:val="auto"/>
                <w:kern w:val="0"/>
                <w:sz w:val="24"/>
                <w:szCs w:val="24"/>
              </w:rPr>
              <w:t>℃，相对湿度：</w:t>
            </w:r>
            <w:r>
              <w:rPr>
                <w:color w:val="auto"/>
                <w:kern w:val="0"/>
                <w:sz w:val="24"/>
                <w:szCs w:val="24"/>
              </w:rPr>
              <w:t>5%~90%</w:t>
            </w:r>
            <w:r>
              <w:rPr>
                <w:rFonts w:hint="eastAsia" w:hAnsi="宋体" w:cs="宋体"/>
                <w:color w:val="auto"/>
                <w:kern w:val="0"/>
                <w:sz w:val="24"/>
                <w:szCs w:val="24"/>
              </w:rPr>
              <w:t>，功耗：</w:t>
            </w:r>
            <w:r>
              <w:rPr>
                <w:color w:val="auto"/>
                <w:kern w:val="0"/>
                <w:sz w:val="24"/>
                <w:szCs w:val="24"/>
              </w:rPr>
              <w:t xml:space="preserve"> &lt;10W</w:t>
            </w:r>
            <w:r>
              <w:rPr>
                <w:rFonts w:hint="eastAsia"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29</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车牌识别摄像机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车牌识别专业摄像机，</w:t>
            </w:r>
            <w:r>
              <w:rPr>
                <w:rFonts w:ascii="宋体" w:hAnsi="宋体" w:cs="宋体"/>
                <w:color w:val="auto"/>
                <w:kern w:val="0"/>
                <w:sz w:val="24"/>
                <w:szCs w:val="24"/>
              </w:rPr>
              <w:t>200</w:t>
            </w:r>
            <w:r>
              <w:rPr>
                <w:rFonts w:hint="eastAsia" w:ascii="宋体" w:hAnsi="宋体" w:cs="宋体"/>
                <w:color w:val="auto"/>
                <w:kern w:val="0"/>
                <w:sz w:val="24"/>
                <w:szCs w:val="24"/>
              </w:rPr>
              <w:t>万像素高清，最大</w:t>
            </w:r>
            <w:r>
              <w:rPr>
                <w:rFonts w:ascii="宋体" w:hAnsi="宋体" w:cs="宋体"/>
                <w:color w:val="auto"/>
                <w:kern w:val="0"/>
                <w:sz w:val="24"/>
                <w:szCs w:val="24"/>
              </w:rPr>
              <w:t>1280*720/1920*1080</w:t>
            </w:r>
            <w:r>
              <w:rPr>
                <w:rFonts w:hint="eastAsia" w:ascii="宋体" w:hAnsi="宋体" w:cs="宋体"/>
                <w:color w:val="auto"/>
                <w:kern w:val="0"/>
                <w:sz w:val="24"/>
                <w:szCs w:val="24"/>
              </w:rPr>
              <w:t>分辨率，最高</w:t>
            </w:r>
            <w:r>
              <w:rPr>
                <w:rFonts w:ascii="宋体" w:hAnsi="宋体" w:cs="宋体"/>
                <w:color w:val="auto"/>
                <w:kern w:val="0"/>
                <w:sz w:val="24"/>
                <w:szCs w:val="24"/>
              </w:rPr>
              <w:t>30fps</w:t>
            </w:r>
            <w:r>
              <w:rPr>
                <w:rFonts w:hint="eastAsia" w:ascii="宋体" w:hAnsi="宋体" w:cs="宋体"/>
                <w:color w:val="auto"/>
                <w:kern w:val="0"/>
                <w:sz w:val="24"/>
                <w:szCs w:val="24"/>
              </w:rPr>
              <w:t>帧率，镜头的焦距和曝光亮可以软硬件调节，图像传感器：</w:t>
            </w:r>
            <w:r>
              <w:rPr>
                <w:rFonts w:ascii="宋体" w:hAnsi="宋体" w:cs="宋体"/>
                <w:color w:val="auto"/>
                <w:kern w:val="0"/>
                <w:sz w:val="24"/>
                <w:szCs w:val="24"/>
              </w:rPr>
              <w:t>1/3" CMOS</w:t>
            </w:r>
            <w:r>
              <w:rPr>
                <w:rFonts w:hint="eastAsia" w:ascii="宋体" w:hAnsi="宋体" w:cs="宋体"/>
                <w:color w:val="auto"/>
                <w:kern w:val="0"/>
                <w:sz w:val="24"/>
                <w:szCs w:val="24"/>
              </w:rPr>
              <w:t>，防潮湿，防阳光照射。</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30</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电源</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停车场专业电源，防雷击，防潮湿</w:t>
            </w:r>
            <w:r>
              <w:rPr>
                <w:rFonts w:ascii="宋体" w:hAnsi="宋体" w:cs="宋体"/>
                <w:color w:val="auto"/>
                <w:kern w:val="0"/>
                <w:sz w:val="24"/>
                <w:szCs w:val="24"/>
              </w:rPr>
              <w:t>(12V/3A)</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31</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补光灯</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LED 20W</w:t>
            </w:r>
            <w:r>
              <w:rPr>
                <w:rFonts w:hint="eastAsia" w:ascii="宋体" w:hAnsi="宋体" w:cs="宋体"/>
                <w:color w:val="auto"/>
                <w:kern w:val="0"/>
                <w:sz w:val="24"/>
                <w:szCs w:val="24"/>
              </w:rPr>
              <w:t>补光灯，夜间补光，增强识别效果，带光敏感应，白天不亮，夜间亮。</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32</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车牌识别显示屏</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LED</w:t>
            </w:r>
            <w:r>
              <w:rPr>
                <w:rFonts w:hint="eastAsia" w:ascii="宋体" w:hAnsi="宋体" w:cs="宋体"/>
                <w:color w:val="auto"/>
                <w:kern w:val="0"/>
                <w:sz w:val="24"/>
                <w:szCs w:val="24"/>
              </w:rPr>
              <w:t>点阵显示屏，</w:t>
            </w:r>
            <w:r>
              <w:rPr>
                <w:rFonts w:ascii="宋体" w:hAnsi="宋体" w:cs="宋体"/>
                <w:color w:val="auto"/>
                <w:kern w:val="0"/>
                <w:sz w:val="24"/>
                <w:szCs w:val="24"/>
              </w:rPr>
              <w:t>P</w:t>
            </w:r>
            <w:r>
              <w:rPr>
                <w:rFonts w:hint="eastAsia" w:ascii="宋体" w:hAnsi="宋体" w:cs="宋体"/>
                <w:color w:val="auto"/>
                <w:kern w:val="0"/>
                <w:sz w:val="24"/>
                <w:szCs w:val="24"/>
              </w:rPr>
              <w:t>型进出口指示灯，道闸开闸亮绿灯，道闸关闸亮红灯，显示时间、剩余车位、车牌号和金额。</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33</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车牌识别一体机箱</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入口车牌识别一体机箱体（含立柱），用于固定以上设备。</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2</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34</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车牌识别狗</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管理处车牌号授权使用。</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35</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岗亭管理电脑</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CPU</w:t>
            </w:r>
            <w:r>
              <w:rPr>
                <w:rFonts w:hint="eastAsia" w:ascii="宋体" w:hAnsi="宋体" w:cs="宋体"/>
                <w:color w:val="auto"/>
                <w:kern w:val="0"/>
                <w:sz w:val="24"/>
                <w:szCs w:val="24"/>
              </w:rPr>
              <w:t>不小于</w:t>
            </w:r>
            <w:r>
              <w:rPr>
                <w:rFonts w:ascii="宋体" w:hAnsi="宋体" w:cs="宋体"/>
                <w:color w:val="auto"/>
                <w:kern w:val="0"/>
                <w:sz w:val="24"/>
                <w:szCs w:val="24"/>
              </w:rPr>
              <w:t>i5-9500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运行内存不小于</w:t>
            </w:r>
            <w:r>
              <w:rPr>
                <w:rFonts w:ascii="宋体" w:hAnsi="宋体" w:cs="宋体"/>
                <w:color w:val="auto"/>
                <w:kern w:val="0"/>
                <w:sz w:val="24"/>
                <w:szCs w:val="24"/>
              </w:rPr>
              <w:t>8G</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内存不小于机械硬盘</w:t>
            </w:r>
            <w:r>
              <w:rPr>
                <w:rFonts w:ascii="宋体" w:hAnsi="宋体" w:cs="宋体"/>
                <w:color w:val="auto"/>
                <w:kern w:val="0"/>
                <w:sz w:val="24"/>
                <w:szCs w:val="24"/>
              </w:rPr>
              <w:t>1T</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显示器不小于</w:t>
            </w:r>
            <w:r>
              <w:rPr>
                <w:rFonts w:ascii="宋体" w:hAnsi="宋体" w:cs="宋体"/>
                <w:color w:val="auto"/>
                <w:kern w:val="0"/>
                <w:sz w:val="24"/>
                <w:szCs w:val="24"/>
              </w:rPr>
              <w:t>23.8</w:t>
            </w:r>
            <w:r>
              <w:rPr>
                <w:rFonts w:hint="eastAsia" w:ascii="宋体" w:hAnsi="宋体" w:cs="宋体"/>
                <w:color w:val="auto"/>
                <w:kern w:val="0"/>
                <w:sz w:val="24"/>
                <w:szCs w:val="24"/>
              </w:rPr>
              <w:t>寸。</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36</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485</w:t>
            </w:r>
            <w:r>
              <w:rPr>
                <w:rFonts w:hint="eastAsia" w:ascii="宋体" w:hAnsi="宋体" w:cs="宋体"/>
                <w:color w:val="auto"/>
                <w:sz w:val="24"/>
                <w:szCs w:val="24"/>
              </w:rPr>
              <w:t>转换器</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读写车主微信钱包里一维码，直接扣除车主停车费用，实现微信支付。</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37</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视频网络核心交换机</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numPr>
                <w:ilvl w:val="0"/>
                <w:numId w:val="29"/>
              </w:numPr>
              <w:jc w:val="left"/>
              <w:textAlignment w:val="center"/>
              <w:rPr>
                <w:rFonts w:ascii="宋体"/>
                <w:color w:val="auto"/>
                <w:kern w:val="0"/>
                <w:sz w:val="24"/>
                <w:szCs w:val="24"/>
              </w:rPr>
            </w:pPr>
            <w:r>
              <w:rPr>
                <w:rFonts w:hint="eastAsia" w:ascii="宋体" w:hAnsi="宋体" w:cs="宋体"/>
                <w:color w:val="auto"/>
                <w:kern w:val="0"/>
                <w:sz w:val="24"/>
                <w:szCs w:val="24"/>
              </w:rPr>
              <w:t>交换容量≥</w:t>
            </w:r>
            <w:r>
              <w:rPr>
                <w:rFonts w:ascii="宋体" w:hAnsi="宋体" w:cs="宋体"/>
                <w:color w:val="auto"/>
                <w:kern w:val="0"/>
                <w:sz w:val="24"/>
                <w:szCs w:val="24"/>
              </w:rPr>
              <w:t>19Tbps</w:t>
            </w:r>
            <w:r>
              <w:rPr>
                <w:rFonts w:hint="eastAsia" w:ascii="宋体" w:hAnsi="宋体" w:cs="宋体"/>
                <w:color w:val="auto"/>
                <w:kern w:val="0"/>
                <w:sz w:val="24"/>
                <w:szCs w:val="24"/>
              </w:rPr>
              <w:t>，包转发率≥</w:t>
            </w:r>
            <w:r>
              <w:rPr>
                <w:rFonts w:ascii="宋体" w:hAnsi="宋体" w:cs="宋体"/>
                <w:color w:val="auto"/>
                <w:kern w:val="0"/>
                <w:sz w:val="24"/>
                <w:szCs w:val="24"/>
              </w:rPr>
              <w:t>1440Mpps</w:t>
            </w:r>
            <w:r>
              <w:rPr>
                <w:rFonts w:hint="eastAsia" w:ascii="宋体" w:hAnsi="宋体" w:cs="宋体"/>
                <w:color w:val="auto"/>
                <w:kern w:val="0"/>
                <w:sz w:val="24"/>
                <w:szCs w:val="24"/>
              </w:rPr>
              <w:t>，以官网最小值为准；</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、主控引擎≥</w:t>
            </w:r>
            <w:r>
              <w:rPr>
                <w:rFonts w:ascii="宋体" w:hAnsi="宋体" w:cs="宋体"/>
                <w:color w:val="auto"/>
                <w:kern w:val="0"/>
                <w:sz w:val="24"/>
                <w:szCs w:val="24"/>
              </w:rPr>
              <w:t>2</w:t>
            </w:r>
            <w:r>
              <w:rPr>
                <w:rFonts w:hint="eastAsia" w:ascii="宋体" w:hAnsi="宋体" w:cs="宋体"/>
                <w:color w:val="auto"/>
                <w:kern w:val="0"/>
                <w:sz w:val="24"/>
                <w:szCs w:val="24"/>
              </w:rPr>
              <w:t>；整机业务板槽位数≥</w:t>
            </w:r>
            <w:r>
              <w:rPr>
                <w:rFonts w:ascii="宋体" w:hAnsi="宋体" w:cs="宋体"/>
                <w:color w:val="auto"/>
                <w:kern w:val="0"/>
                <w:sz w:val="24"/>
                <w:szCs w:val="24"/>
              </w:rPr>
              <w:t>3</w:t>
            </w:r>
            <w:r>
              <w:rPr>
                <w:rFonts w:hint="eastAsia" w:ascii="宋体" w:hAnsi="宋体" w:cs="宋体"/>
                <w:color w:val="auto"/>
                <w:kern w:val="0"/>
                <w:sz w:val="24"/>
                <w:szCs w:val="24"/>
              </w:rPr>
              <w:t>；</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、支持颗粒化电源，整机电源槽位数≥</w:t>
            </w:r>
            <w:r>
              <w:rPr>
                <w:rFonts w:ascii="宋体" w:hAnsi="宋体" w:cs="宋体"/>
                <w:color w:val="auto"/>
                <w:kern w:val="0"/>
                <w:sz w:val="24"/>
                <w:szCs w:val="24"/>
              </w:rPr>
              <w:t>2</w:t>
            </w:r>
            <w:r>
              <w:rPr>
                <w:rFonts w:hint="eastAsia" w:ascii="宋体" w:hAnsi="宋体" w:cs="宋体"/>
                <w:color w:val="auto"/>
                <w:kern w:val="0"/>
                <w:sz w:val="24"/>
                <w:szCs w:val="24"/>
              </w:rPr>
              <w:t>；</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、支持整机</w:t>
            </w:r>
            <w:r>
              <w:rPr>
                <w:rFonts w:ascii="宋体" w:hAnsi="宋体" w:cs="宋体"/>
                <w:color w:val="auto"/>
                <w:kern w:val="0"/>
                <w:sz w:val="24"/>
                <w:szCs w:val="24"/>
              </w:rPr>
              <w:t>ARP</w:t>
            </w:r>
            <w:r>
              <w:rPr>
                <w:rFonts w:hint="eastAsia" w:ascii="宋体" w:hAnsi="宋体" w:cs="宋体"/>
                <w:color w:val="auto"/>
                <w:kern w:val="0"/>
                <w:sz w:val="24"/>
                <w:szCs w:val="24"/>
              </w:rPr>
              <w:t>表项≥</w:t>
            </w:r>
            <w:r>
              <w:rPr>
                <w:rFonts w:ascii="宋体" w:hAnsi="宋体" w:cs="宋体"/>
                <w:color w:val="auto"/>
                <w:kern w:val="0"/>
                <w:sz w:val="24"/>
                <w:szCs w:val="24"/>
              </w:rPr>
              <w:t>256K</w:t>
            </w:r>
            <w:r>
              <w:rPr>
                <w:rFonts w:hint="eastAsia" w:ascii="宋体" w:hAnsi="宋体" w:cs="宋体"/>
                <w:color w:val="auto"/>
                <w:kern w:val="0"/>
                <w:sz w:val="24"/>
                <w:szCs w:val="24"/>
              </w:rPr>
              <w:t>；</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、支持</w:t>
            </w:r>
            <w:r>
              <w:rPr>
                <w:rFonts w:ascii="宋体" w:hAnsi="宋体" w:cs="宋体"/>
                <w:color w:val="auto"/>
                <w:kern w:val="0"/>
                <w:sz w:val="24"/>
                <w:szCs w:val="24"/>
              </w:rPr>
              <w:t>IPv4</w:t>
            </w:r>
            <w:r>
              <w:rPr>
                <w:rFonts w:hint="eastAsia" w:ascii="宋体" w:hAnsi="宋体" w:cs="宋体"/>
                <w:color w:val="auto"/>
                <w:kern w:val="0"/>
                <w:sz w:val="24"/>
                <w:szCs w:val="24"/>
              </w:rPr>
              <w:t>路由转发</w:t>
            </w:r>
            <w:r>
              <w:rPr>
                <w:rFonts w:ascii="宋体" w:hAnsi="宋体" w:cs="宋体"/>
                <w:color w:val="auto"/>
                <w:kern w:val="0"/>
                <w:sz w:val="24"/>
                <w:szCs w:val="24"/>
              </w:rPr>
              <w:t>FIB</w:t>
            </w:r>
            <w:r>
              <w:rPr>
                <w:rFonts w:hint="eastAsia" w:ascii="宋体" w:hAnsi="宋体" w:cs="宋体"/>
                <w:color w:val="auto"/>
                <w:kern w:val="0"/>
                <w:sz w:val="24"/>
                <w:szCs w:val="24"/>
              </w:rPr>
              <w:t>表项≥</w:t>
            </w:r>
            <w:r>
              <w:rPr>
                <w:rFonts w:ascii="宋体" w:hAnsi="宋体" w:cs="宋体"/>
                <w:color w:val="auto"/>
                <w:kern w:val="0"/>
                <w:sz w:val="24"/>
                <w:szCs w:val="24"/>
              </w:rPr>
              <w:t>512K</w:t>
            </w:r>
            <w:r>
              <w:rPr>
                <w:rFonts w:hint="eastAsia" w:ascii="宋体" w:hAnsi="宋体" w:cs="宋体"/>
                <w:color w:val="auto"/>
                <w:kern w:val="0"/>
                <w:sz w:val="24"/>
                <w:szCs w:val="24"/>
              </w:rPr>
              <w:t>；</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、支持静态路由、</w:t>
            </w:r>
            <w:r>
              <w:rPr>
                <w:rFonts w:ascii="宋体" w:hAnsi="宋体" w:cs="宋体"/>
                <w:color w:val="auto"/>
                <w:kern w:val="0"/>
                <w:sz w:val="24"/>
                <w:szCs w:val="24"/>
              </w:rPr>
              <w:t>RIP</w:t>
            </w:r>
            <w:r>
              <w:rPr>
                <w:rFonts w:hint="eastAsia" w:ascii="宋体" w:hAnsi="宋体" w:cs="宋体"/>
                <w:color w:val="auto"/>
                <w:kern w:val="0"/>
                <w:sz w:val="24"/>
                <w:szCs w:val="24"/>
              </w:rPr>
              <w:t>、</w:t>
            </w:r>
            <w:r>
              <w:rPr>
                <w:rFonts w:ascii="宋体" w:hAnsi="宋体" w:cs="宋体"/>
                <w:color w:val="auto"/>
                <w:kern w:val="0"/>
                <w:sz w:val="24"/>
                <w:szCs w:val="24"/>
              </w:rPr>
              <w:t>RIPng</w:t>
            </w:r>
            <w:r>
              <w:rPr>
                <w:rFonts w:hint="eastAsia" w:ascii="宋体" w:hAnsi="宋体" w:cs="宋体"/>
                <w:color w:val="auto"/>
                <w:kern w:val="0"/>
                <w:sz w:val="24"/>
                <w:szCs w:val="24"/>
              </w:rPr>
              <w:t>、</w:t>
            </w:r>
            <w:r>
              <w:rPr>
                <w:rFonts w:ascii="宋体" w:hAnsi="宋体" w:cs="宋体"/>
                <w:color w:val="auto"/>
                <w:kern w:val="0"/>
                <w:sz w:val="24"/>
                <w:szCs w:val="24"/>
              </w:rPr>
              <w:t>OSPF</w:t>
            </w:r>
            <w:r>
              <w:rPr>
                <w:rFonts w:hint="eastAsia" w:ascii="宋体" w:hAnsi="宋体" w:cs="宋体"/>
                <w:color w:val="auto"/>
                <w:kern w:val="0"/>
                <w:sz w:val="24"/>
                <w:szCs w:val="24"/>
              </w:rPr>
              <w:t>、</w:t>
            </w:r>
            <w:r>
              <w:rPr>
                <w:rFonts w:ascii="宋体" w:hAnsi="宋体" w:cs="宋体"/>
                <w:color w:val="auto"/>
                <w:kern w:val="0"/>
                <w:sz w:val="24"/>
                <w:szCs w:val="24"/>
              </w:rPr>
              <w:t>OSPFv3</w:t>
            </w:r>
            <w:r>
              <w:rPr>
                <w:rFonts w:hint="eastAsia" w:ascii="宋体" w:hAnsi="宋体" w:cs="宋体"/>
                <w:color w:val="auto"/>
                <w:kern w:val="0"/>
                <w:sz w:val="24"/>
                <w:szCs w:val="24"/>
              </w:rPr>
              <w:t>、</w:t>
            </w:r>
            <w:r>
              <w:rPr>
                <w:rFonts w:ascii="宋体" w:hAnsi="宋体" w:cs="宋体"/>
                <w:color w:val="auto"/>
                <w:kern w:val="0"/>
                <w:sz w:val="24"/>
                <w:szCs w:val="24"/>
              </w:rPr>
              <w:t>BGP</w:t>
            </w:r>
            <w:r>
              <w:rPr>
                <w:rFonts w:hint="eastAsia" w:ascii="宋体" w:hAnsi="宋体" w:cs="宋体"/>
                <w:color w:val="auto"/>
                <w:kern w:val="0"/>
                <w:sz w:val="24"/>
                <w:szCs w:val="24"/>
              </w:rPr>
              <w:t>、</w:t>
            </w:r>
            <w:r>
              <w:rPr>
                <w:rFonts w:ascii="宋体" w:hAnsi="宋体" w:cs="宋体"/>
                <w:color w:val="auto"/>
                <w:kern w:val="0"/>
                <w:sz w:val="24"/>
                <w:szCs w:val="24"/>
              </w:rPr>
              <w:t>BGP4+</w:t>
            </w:r>
            <w:r>
              <w:rPr>
                <w:rFonts w:hint="eastAsia" w:ascii="宋体" w:hAnsi="宋体" w:cs="宋体"/>
                <w:color w:val="auto"/>
                <w:kern w:val="0"/>
                <w:sz w:val="24"/>
                <w:szCs w:val="24"/>
              </w:rPr>
              <w:t>、</w:t>
            </w:r>
            <w:r>
              <w:rPr>
                <w:rFonts w:ascii="宋体" w:hAnsi="宋体" w:cs="宋体"/>
                <w:color w:val="auto"/>
                <w:kern w:val="0"/>
                <w:sz w:val="24"/>
                <w:szCs w:val="24"/>
              </w:rPr>
              <w:t>ISIS</w:t>
            </w:r>
            <w:r>
              <w:rPr>
                <w:rFonts w:hint="eastAsia" w:ascii="宋体" w:hAnsi="宋体" w:cs="宋体"/>
                <w:color w:val="auto"/>
                <w:kern w:val="0"/>
                <w:sz w:val="24"/>
                <w:szCs w:val="24"/>
              </w:rPr>
              <w:t>、</w:t>
            </w:r>
            <w:r>
              <w:rPr>
                <w:rFonts w:ascii="宋体" w:hAnsi="宋体" w:cs="宋体"/>
                <w:color w:val="auto"/>
                <w:kern w:val="0"/>
                <w:sz w:val="24"/>
                <w:szCs w:val="24"/>
              </w:rPr>
              <w:t>ISISv6</w:t>
            </w:r>
            <w:r>
              <w:rPr>
                <w:rFonts w:hint="eastAsia" w:ascii="宋体" w:hAnsi="宋体" w:cs="宋体"/>
                <w:color w:val="auto"/>
                <w:kern w:val="0"/>
                <w:sz w:val="24"/>
                <w:szCs w:val="24"/>
              </w:rPr>
              <w:t>；</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、为了简化管理，支持纵向虚拟化技术，支持把交换机和</w:t>
            </w:r>
            <w:r>
              <w:rPr>
                <w:rFonts w:ascii="宋体" w:hAnsi="宋体" w:cs="宋体"/>
                <w:color w:val="auto"/>
                <w:kern w:val="0"/>
                <w:sz w:val="24"/>
                <w:szCs w:val="24"/>
              </w:rPr>
              <w:t>AP</w:t>
            </w:r>
            <w:r>
              <w:rPr>
                <w:rFonts w:hint="eastAsia" w:ascii="宋体" w:hAnsi="宋体" w:cs="宋体"/>
                <w:color w:val="auto"/>
                <w:kern w:val="0"/>
                <w:sz w:val="24"/>
                <w:szCs w:val="24"/>
              </w:rPr>
              <w:t>虚拟为一台设备；</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8</w:t>
            </w:r>
            <w:r>
              <w:rPr>
                <w:rFonts w:hint="eastAsia" w:ascii="宋体" w:hAnsi="宋体" w:cs="宋体"/>
                <w:color w:val="auto"/>
                <w:kern w:val="0"/>
                <w:sz w:val="24"/>
                <w:szCs w:val="24"/>
              </w:rPr>
              <w:t>、支持业务板集成</w:t>
            </w:r>
            <w:r>
              <w:rPr>
                <w:rFonts w:ascii="宋体" w:hAnsi="宋体" w:cs="宋体"/>
                <w:color w:val="auto"/>
                <w:kern w:val="0"/>
                <w:sz w:val="24"/>
                <w:szCs w:val="24"/>
              </w:rPr>
              <w:t>AC</w:t>
            </w:r>
            <w:r>
              <w:rPr>
                <w:rFonts w:hint="eastAsia" w:ascii="宋体" w:hAnsi="宋体" w:cs="宋体"/>
                <w:color w:val="auto"/>
                <w:kern w:val="0"/>
                <w:sz w:val="24"/>
                <w:szCs w:val="24"/>
              </w:rPr>
              <w:t>功能，业务单板</w:t>
            </w:r>
            <w:r>
              <w:rPr>
                <w:rFonts w:ascii="宋体" w:hAnsi="宋体" w:cs="宋体"/>
                <w:color w:val="auto"/>
                <w:kern w:val="0"/>
                <w:sz w:val="24"/>
                <w:szCs w:val="24"/>
              </w:rPr>
              <w:t>+AC</w:t>
            </w:r>
            <w:r>
              <w:rPr>
                <w:rFonts w:hint="eastAsia" w:ascii="宋体" w:hAnsi="宋体" w:cs="宋体"/>
                <w:color w:val="auto"/>
                <w:kern w:val="0"/>
                <w:sz w:val="24"/>
                <w:szCs w:val="24"/>
              </w:rPr>
              <w:t>只占用</w:t>
            </w:r>
            <w:r>
              <w:rPr>
                <w:rFonts w:ascii="宋体" w:hAnsi="宋体" w:cs="宋体"/>
                <w:color w:val="auto"/>
                <w:kern w:val="0"/>
                <w:sz w:val="24"/>
                <w:szCs w:val="24"/>
              </w:rPr>
              <w:t>1</w:t>
            </w:r>
            <w:r>
              <w:rPr>
                <w:rFonts w:hint="eastAsia" w:ascii="宋体" w:hAnsi="宋体" w:cs="宋体"/>
                <w:color w:val="auto"/>
                <w:kern w:val="0"/>
                <w:sz w:val="24"/>
                <w:szCs w:val="24"/>
              </w:rPr>
              <w:t>个业务槽位，实现对</w:t>
            </w:r>
            <w:r>
              <w:rPr>
                <w:rFonts w:ascii="宋体" w:hAnsi="宋体" w:cs="宋体"/>
                <w:color w:val="auto"/>
                <w:kern w:val="0"/>
                <w:sz w:val="24"/>
                <w:szCs w:val="24"/>
              </w:rPr>
              <w:t>AP</w:t>
            </w:r>
            <w:r>
              <w:rPr>
                <w:rFonts w:hint="eastAsia" w:ascii="宋体" w:hAnsi="宋体" w:cs="宋体"/>
                <w:color w:val="auto"/>
                <w:kern w:val="0"/>
                <w:sz w:val="24"/>
                <w:szCs w:val="24"/>
              </w:rPr>
              <w:t>的接入控制、管理、有线无线用户的统一认证管理；</w:t>
            </w:r>
          </w:p>
          <w:p>
            <w:pPr>
              <w:widowControl/>
              <w:numPr>
                <w:ilvl w:val="0"/>
                <w:numId w:val="29"/>
              </w:numPr>
              <w:jc w:val="left"/>
              <w:textAlignment w:val="center"/>
              <w:rPr>
                <w:rFonts w:ascii="宋体"/>
                <w:color w:val="auto"/>
                <w:kern w:val="0"/>
                <w:sz w:val="24"/>
                <w:szCs w:val="24"/>
              </w:rPr>
            </w:pPr>
            <w:r>
              <w:rPr>
                <w:rFonts w:ascii="宋体" w:hAnsi="宋体" w:cs="宋体"/>
                <w:color w:val="auto"/>
                <w:kern w:val="0"/>
                <w:sz w:val="24"/>
                <w:szCs w:val="24"/>
              </w:rPr>
              <w:t>9</w:t>
            </w:r>
            <w:r>
              <w:rPr>
                <w:rFonts w:hint="eastAsia" w:ascii="宋体" w:hAnsi="宋体" w:cs="宋体"/>
                <w:color w:val="auto"/>
                <w:kern w:val="0"/>
                <w:sz w:val="24"/>
                <w:szCs w:val="24"/>
              </w:rPr>
              <w:t>、实配：双主控，双电源，千兆电口≥</w:t>
            </w:r>
            <w:r>
              <w:rPr>
                <w:rFonts w:ascii="宋体" w:hAnsi="宋体" w:cs="宋体"/>
                <w:color w:val="auto"/>
                <w:kern w:val="0"/>
                <w:sz w:val="24"/>
                <w:szCs w:val="24"/>
              </w:rPr>
              <w:t>48</w:t>
            </w:r>
            <w:r>
              <w:rPr>
                <w:rFonts w:hint="eastAsia" w:ascii="宋体" w:hAnsi="宋体" w:cs="宋体"/>
                <w:color w:val="auto"/>
                <w:kern w:val="0"/>
                <w:sz w:val="24"/>
                <w:szCs w:val="24"/>
              </w:rPr>
              <w:t>，千兆光口≥</w:t>
            </w:r>
            <w:r>
              <w:rPr>
                <w:rFonts w:ascii="宋体" w:hAnsi="宋体" w:cs="宋体"/>
                <w:color w:val="auto"/>
                <w:kern w:val="0"/>
                <w:sz w:val="24"/>
                <w:szCs w:val="24"/>
              </w:rPr>
              <w:t>24</w:t>
            </w:r>
            <w:r>
              <w:rPr>
                <w:rFonts w:hint="eastAsia" w:ascii="宋体" w:hAnsi="宋体" w:cs="宋体"/>
                <w:color w:val="auto"/>
                <w:kern w:val="0"/>
                <w:sz w:val="24"/>
                <w:szCs w:val="24"/>
              </w:rPr>
              <w:t>，万兆光口≥</w:t>
            </w:r>
            <w:r>
              <w:rPr>
                <w:rFonts w:ascii="宋体" w:hAnsi="宋体" w:cs="宋体"/>
                <w:color w:val="auto"/>
                <w:kern w:val="0"/>
                <w:sz w:val="24"/>
                <w:szCs w:val="24"/>
              </w:rPr>
              <w:t>24</w:t>
            </w:r>
            <w:r>
              <w:rPr>
                <w:rFonts w:hint="eastAsia" w:ascii="宋体" w:hAnsi="宋体" w:cs="宋体"/>
                <w:color w:val="auto"/>
                <w:kern w:val="0"/>
                <w:sz w:val="24"/>
                <w:szCs w:val="24"/>
              </w:rPr>
              <w:t>。</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38</w:t>
            </w:r>
          </w:p>
        </w:tc>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光模块</w:t>
            </w:r>
          </w:p>
        </w:tc>
        <w:tc>
          <w:tcPr>
            <w:tcW w:w="70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光模块</w:t>
            </w:r>
            <w:r>
              <w:rPr>
                <w:rFonts w:ascii="宋体" w:hAnsi="宋体" w:cs="宋体"/>
                <w:color w:val="auto"/>
                <w:kern w:val="0"/>
                <w:sz w:val="24"/>
                <w:szCs w:val="24"/>
              </w:rPr>
              <w:t>-eSFP-GE-</w:t>
            </w:r>
            <w:r>
              <w:rPr>
                <w:rFonts w:hint="eastAsia" w:ascii="宋体" w:hAnsi="宋体" w:cs="宋体"/>
                <w:color w:val="auto"/>
                <w:kern w:val="0"/>
                <w:sz w:val="24"/>
                <w:szCs w:val="24"/>
              </w:rPr>
              <w:t>单模模块</w:t>
            </w:r>
            <w:r>
              <w:rPr>
                <w:rFonts w:ascii="宋体" w:hAnsi="宋体" w:cs="宋体"/>
                <w:color w:val="auto"/>
                <w:kern w:val="0"/>
                <w:sz w:val="24"/>
                <w:szCs w:val="24"/>
              </w:rPr>
              <w:t>(1310nm,10km,LC)</w:t>
            </w:r>
          </w:p>
        </w:tc>
        <w:tc>
          <w:tcPr>
            <w:tcW w:w="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w:t>
            </w:r>
          </w:p>
        </w:tc>
        <w:tc>
          <w:tcPr>
            <w:tcW w:w="4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个</w:t>
            </w:r>
          </w:p>
        </w:tc>
      </w:tr>
    </w:tbl>
    <w:p>
      <w:pPr>
        <w:keepNext/>
        <w:keepLines/>
        <w:numPr>
          <w:ilvl w:val="1"/>
          <w:numId w:val="17"/>
        </w:numPr>
        <w:spacing w:before="156" w:after="156" w:line="400" w:lineRule="exact"/>
        <w:ind w:left="1060"/>
        <w:outlineLvl w:val="1"/>
        <w:rPr>
          <w:rFonts w:ascii="宋体"/>
          <w:b/>
          <w:bCs/>
          <w:color w:val="auto"/>
          <w:sz w:val="24"/>
          <w:szCs w:val="24"/>
        </w:rPr>
      </w:pPr>
      <w:bookmarkStart w:id="906" w:name="_Toc82882800"/>
      <w:bookmarkStart w:id="907" w:name="_Toc29376"/>
      <w:bookmarkStart w:id="908" w:name="_Toc14298"/>
      <w:r>
        <w:rPr>
          <w:rFonts w:hint="eastAsia" w:ascii="宋体" w:hAnsi="宋体" w:cs="宋体"/>
          <w:b/>
          <w:bCs/>
          <w:color w:val="auto"/>
          <w:sz w:val="24"/>
          <w:szCs w:val="24"/>
        </w:rPr>
        <w:t>科室配套硬件清单</w:t>
      </w:r>
      <w:bookmarkEnd w:id="906"/>
      <w:bookmarkEnd w:id="907"/>
      <w:bookmarkEnd w:id="908"/>
    </w:p>
    <w:tbl>
      <w:tblPr>
        <w:tblStyle w:val="21"/>
        <w:tblW w:w="10275" w:type="dxa"/>
        <w:tblInd w:w="-673" w:type="dxa"/>
        <w:tblLayout w:type="fixed"/>
        <w:tblCellMar>
          <w:top w:w="0" w:type="dxa"/>
          <w:left w:w="10" w:type="dxa"/>
          <w:bottom w:w="0" w:type="dxa"/>
          <w:right w:w="10" w:type="dxa"/>
        </w:tblCellMar>
      </w:tblPr>
      <w:tblGrid>
        <w:gridCol w:w="775"/>
        <w:gridCol w:w="1375"/>
        <w:gridCol w:w="7045"/>
        <w:gridCol w:w="630"/>
        <w:gridCol w:w="450"/>
      </w:tblGrid>
      <w:tr>
        <w:tblPrEx>
          <w:tblCellMar>
            <w:top w:w="0" w:type="dxa"/>
            <w:left w:w="10" w:type="dxa"/>
            <w:bottom w:w="0" w:type="dxa"/>
            <w:right w:w="10" w:type="dxa"/>
          </w:tblCellMar>
        </w:tblPrEx>
        <w:trPr>
          <w:trHeight w:val="782"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序号</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设备名称</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规格配置要求</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数量</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b/>
                <w:bCs/>
                <w:color w:val="auto"/>
                <w:sz w:val="24"/>
                <w:szCs w:val="24"/>
              </w:rPr>
              <w:t>单位</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身份证阅读器</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根据科室实际情况配置，一般只需要在门诊和住院收费处各配一台</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刷卡器</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门诊收费、住院收费、门诊医生站以及药房和各个检查检验科室需要配备</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25</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3</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扫描枪</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主要检验科、各个病区需要</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25</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4</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条码打印机</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检验科和病区需要</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腕带打印机</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住院处</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6</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就诊卡</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sz w:val="24"/>
                <w:szCs w:val="24"/>
              </w:rPr>
            </w:pPr>
            <w:r>
              <w:rPr>
                <w:rFonts w:hint="eastAsia" w:ascii="宋体" w:hAnsi="宋体" w:cs="宋体"/>
                <w:color w:val="auto"/>
                <w:kern w:val="0"/>
                <w:sz w:val="24"/>
                <w:szCs w:val="24"/>
              </w:rPr>
              <w:t>根据病人门诊量定制</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5000</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个</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7</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台式电脑</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kern w:val="0"/>
                <w:sz w:val="24"/>
                <w:szCs w:val="24"/>
              </w:rPr>
              <w:t>CPU</w:t>
            </w:r>
            <w:r>
              <w:rPr>
                <w:rFonts w:hint="eastAsia" w:ascii="宋体" w:hAnsi="宋体" w:cs="宋体"/>
                <w:color w:val="auto"/>
                <w:kern w:val="0"/>
                <w:sz w:val="24"/>
                <w:szCs w:val="24"/>
              </w:rPr>
              <w:t>不小于</w:t>
            </w:r>
            <w:r>
              <w:rPr>
                <w:rFonts w:ascii="宋体" w:hAnsi="宋体" w:cs="宋体"/>
                <w:color w:val="auto"/>
                <w:kern w:val="0"/>
                <w:sz w:val="24"/>
                <w:szCs w:val="24"/>
              </w:rPr>
              <w:t>i5-9500</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kern w:val="0"/>
                <w:sz w:val="24"/>
                <w:szCs w:val="24"/>
              </w:rPr>
              <w:t>运行内存不小于</w:t>
            </w:r>
            <w:r>
              <w:rPr>
                <w:rFonts w:ascii="宋体" w:hAnsi="宋体" w:cs="宋体"/>
                <w:color w:val="auto"/>
                <w:kern w:val="0"/>
                <w:sz w:val="24"/>
                <w:szCs w:val="24"/>
              </w:rPr>
              <w:t>8G</w:t>
            </w:r>
            <w:r>
              <w:rPr>
                <w:rFonts w:hint="eastAsia" w:ascii="宋体" w:hAnsi="宋体" w:cs="宋体"/>
                <w:color w:val="auto"/>
                <w:kern w:val="0"/>
                <w:sz w:val="24"/>
                <w:szCs w:val="24"/>
              </w:rPr>
              <w:t>；</w:t>
            </w:r>
          </w:p>
          <w:p>
            <w:pPr>
              <w:widowControl/>
              <w:jc w:val="left"/>
              <w:textAlignment w:val="center"/>
              <w:rPr>
                <w:rFonts w:hint="eastAsia" w:ascii="宋体" w:hAnsi="宋体" w:eastAsia="宋体" w:cs="宋体"/>
                <w:color w:val="auto"/>
                <w:kern w:val="0"/>
                <w:sz w:val="24"/>
                <w:szCs w:val="24"/>
                <w:lang w:eastAsia="zh-CN"/>
              </w:rPr>
            </w:pPr>
            <w:r>
              <w:rPr>
                <w:rFonts w:ascii="宋体" w:hAnsi="宋体" w:cs="宋体"/>
                <w:color w:val="auto"/>
                <w:sz w:val="24"/>
                <w:szCs w:val="24"/>
              </w:rPr>
              <w:t>3</w:t>
            </w:r>
            <w:r>
              <w:rPr>
                <w:rFonts w:hint="eastAsia" w:ascii="宋体" w:hAnsi="宋体" w:cs="宋体"/>
                <w:color w:val="auto"/>
                <w:sz w:val="24"/>
                <w:szCs w:val="24"/>
              </w:rPr>
              <w:t>、</w:t>
            </w:r>
            <w:r>
              <w:rPr>
                <w:rFonts w:hint="eastAsia" w:ascii="宋体" w:hAnsi="宋体" w:cs="宋体"/>
                <w:color w:val="auto"/>
                <w:kern w:val="0"/>
                <w:sz w:val="24"/>
                <w:szCs w:val="24"/>
              </w:rPr>
              <w:t>内存不小于机械硬盘</w:t>
            </w:r>
            <w:r>
              <w:rPr>
                <w:rFonts w:ascii="宋体" w:hAnsi="宋体" w:cs="宋体"/>
                <w:color w:val="auto"/>
                <w:kern w:val="0"/>
                <w:sz w:val="24"/>
                <w:szCs w:val="24"/>
              </w:rPr>
              <w:t>1T</w:t>
            </w:r>
            <w:r>
              <w:rPr>
                <w:rFonts w:hint="eastAsia" w:ascii="宋体" w:hAnsi="宋体" w:cs="宋体"/>
                <w:color w:val="auto"/>
                <w:kern w:val="0"/>
                <w:sz w:val="24"/>
                <w:szCs w:val="24"/>
              </w:rPr>
              <w:t>；</w:t>
            </w:r>
          </w:p>
          <w:p>
            <w:pPr>
              <w:widowControl/>
              <w:jc w:val="left"/>
              <w:textAlignment w:val="center"/>
              <w:rPr>
                <w:rFonts w:ascii="宋体"/>
                <w:color w:val="auto"/>
                <w:kern w:val="0"/>
                <w:sz w:val="24"/>
                <w:szCs w:val="24"/>
              </w:rPr>
            </w:pPr>
            <w:r>
              <w:rPr>
                <w:rFonts w:ascii="宋体" w:hAnsi="宋体" w:cs="宋体"/>
                <w:color w:val="auto"/>
                <w:sz w:val="24"/>
                <w:szCs w:val="24"/>
              </w:rPr>
              <w:t>4</w:t>
            </w:r>
            <w:r>
              <w:rPr>
                <w:rFonts w:hint="eastAsia" w:ascii="宋体" w:hAnsi="宋体" w:cs="宋体"/>
                <w:color w:val="auto"/>
                <w:sz w:val="24"/>
                <w:szCs w:val="24"/>
              </w:rPr>
              <w:t>、</w:t>
            </w:r>
            <w:r>
              <w:rPr>
                <w:rFonts w:hint="eastAsia" w:ascii="宋体" w:hAnsi="宋体" w:cs="宋体"/>
                <w:color w:val="auto"/>
                <w:kern w:val="0"/>
                <w:sz w:val="24"/>
                <w:szCs w:val="24"/>
              </w:rPr>
              <w:t>显示器不小于</w:t>
            </w:r>
            <w:r>
              <w:rPr>
                <w:rFonts w:ascii="宋体" w:hAnsi="宋体" w:cs="宋体"/>
                <w:color w:val="auto"/>
                <w:kern w:val="0"/>
                <w:sz w:val="24"/>
                <w:szCs w:val="24"/>
              </w:rPr>
              <w:t>23.8</w:t>
            </w:r>
            <w:r>
              <w:rPr>
                <w:rFonts w:hint="eastAsia" w:ascii="宋体" w:hAnsi="宋体" w:cs="宋体"/>
                <w:color w:val="auto"/>
                <w:kern w:val="0"/>
                <w:sz w:val="24"/>
                <w:szCs w:val="24"/>
              </w:rPr>
              <w:t>寸。</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32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8</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激光打印机</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A4</w:t>
            </w:r>
            <w:r>
              <w:rPr>
                <w:rFonts w:hint="eastAsia" w:ascii="宋体" w:hAnsi="宋体" w:cs="宋体"/>
                <w:color w:val="auto"/>
                <w:kern w:val="0"/>
                <w:sz w:val="24"/>
                <w:szCs w:val="24"/>
              </w:rPr>
              <w:t>激光打印机</w:t>
            </w:r>
            <w:r>
              <w:rPr>
                <w:rFonts w:ascii="宋体" w:hAnsi="宋体" w:cs="宋体"/>
                <w:color w:val="auto"/>
                <w:kern w:val="0"/>
                <w:sz w:val="24"/>
                <w:szCs w:val="24"/>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hint="eastAsia" w:ascii="宋体" w:hAnsi="宋体" w:cs="宋体"/>
                <w:color w:val="auto"/>
                <w:sz w:val="24"/>
                <w:szCs w:val="24"/>
              </w:rPr>
              <w:t>台</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9</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新院互联网专线</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50M</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10</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新院与老院的数据专线</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100M</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11</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新院医保专线</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ascii="宋体" w:hAnsi="宋体" w:cs="宋体"/>
                <w:color w:val="auto"/>
                <w:kern w:val="0"/>
                <w:sz w:val="24"/>
                <w:szCs w:val="24"/>
              </w:rPr>
              <w:t>20M</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12</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财政</w:t>
            </w:r>
            <w:r>
              <w:rPr>
                <w:rFonts w:ascii="宋体" w:hAnsi="宋体" w:cs="宋体"/>
                <w:color w:val="auto"/>
                <w:sz w:val="24"/>
                <w:szCs w:val="24"/>
              </w:rPr>
              <w:t>e</w:t>
            </w:r>
            <w:r>
              <w:rPr>
                <w:rFonts w:hint="eastAsia" w:ascii="宋体" w:hAnsi="宋体" w:cs="宋体"/>
                <w:color w:val="auto"/>
                <w:sz w:val="24"/>
                <w:szCs w:val="24"/>
              </w:rPr>
              <w:t>线</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相关部门指定的标准带宽</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每月</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sz w:val="24"/>
                <w:szCs w:val="24"/>
              </w:rPr>
            </w:pPr>
            <w:r>
              <w:rPr>
                <w:rFonts w:ascii="宋体" w:hAnsi="宋体" w:cs="宋体"/>
                <w:color w:val="auto"/>
                <w:sz w:val="24"/>
                <w:szCs w:val="24"/>
              </w:rPr>
              <w:t>13</w:t>
            </w:r>
          </w:p>
        </w:tc>
        <w:tc>
          <w:tcPr>
            <w:tcW w:w="13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电子政务外网</w:t>
            </w:r>
          </w:p>
        </w:tc>
        <w:tc>
          <w:tcPr>
            <w:tcW w:w="7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left"/>
              <w:textAlignment w:val="center"/>
              <w:rPr>
                <w:rFonts w:ascii="宋体"/>
                <w:color w:val="auto"/>
                <w:kern w:val="0"/>
                <w:sz w:val="24"/>
                <w:szCs w:val="24"/>
              </w:rPr>
            </w:pPr>
            <w:r>
              <w:rPr>
                <w:rFonts w:hint="eastAsia" w:ascii="宋体" w:hAnsi="宋体" w:cs="宋体"/>
                <w:color w:val="auto"/>
                <w:kern w:val="0"/>
                <w:sz w:val="24"/>
                <w:szCs w:val="24"/>
              </w:rPr>
              <w:t>指定的标准带宽</w:t>
            </w:r>
          </w:p>
        </w:tc>
        <w:tc>
          <w:tcPr>
            <w:tcW w:w="6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ascii="宋体" w:hAnsi="宋体" w:cs="宋体"/>
                <w:color w:val="auto"/>
                <w:sz w:val="24"/>
                <w:szCs w:val="24"/>
              </w:rPr>
              <w:t>12</w:t>
            </w:r>
          </w:p>
        </w:tc>
        <w:tc>
          <w:tcPr>
            <w:tcW w:w="4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jc w:val="center"/>
              <w:rPr>
                <w:rFonts w:ascii="宋体"/>
                <w:color w:val="auto"/>
                <w:kern w:val="0"/>
                <w:sz w:val="24"/>
                <w:szCs w:val="24"/>
              </w:rPr>
            </w:pPr>
            <w:r>
              <w:rPr>
                <w:rFonts w:hint="eastAsia" w:ascii="宋体" w:hAnsi="宋体" w:cs="宋体"/>
                <w:color w:val="auto"/>
                <w:sz w:val="24"/>
                <w:szCs w:val="24"/>
              </w:rPr>
              <w:t>每月</w:t>
            </w:r>
          </w:p>
        </w:tc>
      </w:tr>
    </w:tbl>
    <w:p>
      <w:pPr>
        <w:spacing w:line="400" w:lineRule="exact"/>
        <w:rPr>
          <w:rFonts w:ascii="宋体"/>
          <w:b/>
          <w:bCs/>
          <w:color w:val="auto"/>
          <w:sz w:val="24"/>
          <w:szCs w:val="24"/>
        </w:rPr>
      </w:pPr>
    </w:p>
    <w:p>
      <w:pPr>
        <w:spacing w:line="400" w:lineRule="exact"/>
        <w:rPr>
          <w:rFonts w:ascii="宋体"/>
          <w:b/>
          <w:bCs/>
          <w:color w:val="auto"/>
          <w:sz w:val="24"/>
          <w:szCs w:val="24"/>
        </w:rPr>
      </w:pPr>
      <w:r>
        <w:rPr>
          <w:rFonts w:ascii="宋体" w:hAnsi="宋体" w:cs="宋体"/>
          <w:b/>
          <w:bCs/>
          <w:color w:val="auto"/>
          <w:sz w:val="24"/>
          <w:szCs w:val="24"/>
        </w:rPr>
        <w:t>4.7</w:t>
      </w:r>
      <w:r>
        <w:rPr>
          <w:rFonts w:hint="eastAsia" w:ascii="宋体" w:hAnsi="宋体" w:cs="宋体"/>
          <w:b/>
          <w:bCs/>
          <w:color w:val="auto"/>
          <w:sz w:val="24"/>
          <w:szCs w:val="24"/>
        </w:rPr>
        <w:t>科室配套硬件清单</w:t>
      </w:r>
    </w:p>
    <w:p>
      <w:pPr>
        <w:spacing w:line="400" w:lineRule="exact"/>
        <w:rPr>
          <w:rFonts w:ascii="宋体"/>
          <w:b/>
          <w:bCs/>
          <w:color w:val="auto"/>
          <w:sz w:val="24"/>
          <w:szCs w:val="24"/>
        </w:rPr>
      </w:pPr>
      <w:r>
        <w:rPr>
          <w:rFonts w:hint="eastAsia" w:ascii="宋体" w:hAnsi="宋体" w:cs="宋体"/>
          <w:b/>
          <w:bCs/>
          <w:color w:val="auto"/>
          <w:sz w:val="24"/>
          <w:szCs w:val="24"/>
        </w:rPr>
        <w:t>身份证阅读器</w:t>
      </w:r>
    </w:p>
    <w:tbl>
      <w:tblPr>
        <w:tblStyle w:val="21"/>
        <w:tblW w:w="10296" w:type="dxa"/>
        <w:tblInd w:w="-684" w:type="dxa"/>
        <w:tblLayout w:type="autofit"/>
        <w:tblCellMar>
          <w:top w:w="0" w:type="dxa"/>
          <w:left w:w="10" w:type="dxa"/>
          <w:bottom w:w="0" w:type="dxa"/>
          <w:right w:w="10" w:type="dxa"/>
        </w:tblCellMar>
      </w:tblPr>
      <w:tblGrid>
        <w:gridCol w:w="3259"/>
        <w:gridCol w:w="7037"/>
      </w:tblGrid>
      <w:tr>
        <w:tblPrEx>
          <w:tblCellMar>
            <w:top w:w="0" w:type="dxa"/>
            <w:left w:w="10" w:type="dxa"/>
            <w:bottom w:w="0" w:type="dxa"/>
            <w:right w:w="10" w:type="dxa"/>
          </w:tblCellMar>
        </w:tblPrEx>
        <w:trPr>
          <w:trHeight w:val="1" w:hRule="atLeast"/>
        </w:trPr>
        <w:tc>
          <w:tcPr>
            <w:tcW w:w="3259"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技术条款</w:t>
            </w:r>
          </w:p>
        </w:tc>
        <w:tc>
          <w:tcPr>
            <w:tcW w:w="7037"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技术指标要求</w:t>
            </w:r>
          </w:p>
        </w:tc>
      </w:tr>
      <w:tr>
        <w:tblPrEx>
          <w:tblCellMar>
            <w:top w:w="0" w:type="dxa"/>
            <w:left w:w="10" w:type="dxa"/>
            <w:bottom w:w="0" w:type="dxa"/>
            <w:right w:w="10" w:type="dxa"/>
          </w:tblCellMar>
        </w:tblPrEx>
        <w:trPr>
          <w:trHeight w:val="1" w:hRule="atLeast"/>
        </w:trPr>
        <w:tc>
          <w:tcPr>
            <w:tcW w:w="32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配置要求</w:t>
            </w:r>
          </w:p>
        </w:tc>
        <w:tc>
          <w:tcPr>
            <w:tcW w:w="7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支持对居民身份证等进行数据自动提取</w:t>
            </w:r>
          </w:p>
        </w:tc>
      </w:tr>
    </w:tbl>
    <w:p>
      <w:pPr>
        <w:spacing w:line="400" w:lineRule="exact"/>
        <w:rPr>
          <w:rFonts w:ascii="宋体"/>
          <w:b/>
          <w:bCs/>
          <w:color w:val="auto"/>
          <w:sz w:val="24"/>
          <w:szCs w:val="24"/>
        </w:rPr>
      </w:pPr>
      <w:r>
        <w:rPr>
          <w:rFonts w:hint="eastAsia" w:ascii="宋体" w:hAnsi="宋体" w:cs="宋体"/>
          <w:b/>
          <w:bCs/>
          <w:color w:val="auto"/>
          <w:sz w:val="24"/>
          <w:szCs w:val="24"/>
        </w:rPr>
        <w:t>普通刷卡器</w:t>
      </w:r>
    </w:p>
    <w:tbl>
      <w:tblPr>
        <w:tblStyle w:val="21"/>
        <w:tblW w:w="10296" w:type="dxa"/>
        <w:tblInd w:w="-684" w:type="dxa"/>
        <w:tblLayout w:type="autofit"/>
        <w:tblCellMar>
          <w:top w:w="0" w:type="dxa"/>
          <w:left w:w="10" w:type="dxa"/>
          <w:bottom w:w="0" w:type="dxa"/>
          <w:right w:w="10" w:type="dxa"/>
        </w:tblCellMar>
      </w:tblPr>
      <w:tblGrid>
        <w:gridCol w:w="3266"/>
        <w:gridCol w:w="7030"/>
      </w:tblGrid>
      <w:tr>
        <w:tblPrEx>
          <w:tblCellMar>
            <w:top w:w="0" w:type="dxa"/>
            <w:left w:w="10" w:type="dxa"/>
            <w:bottom w:w="0" w:type="dxa"/>
            <w:right w:w="10" w:type="dxa"/>
          </w:tblCellMar>
        </w:tblPrEx>
        <w:trPr>
          <w:trHeight w:val="280" w:hRule="atLeast"/>
        </w:trPr>
        <w:tc>
          <w:tcPr>
            <w:tcW w:w="3266"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技术条款</w:t>
            </w:r>
          </w:p>
        </w:tc>
        <w:tc>
          <w:tcPr>
            <w:tcW w:w="7030"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技术指标要求</w:t>
            </w:r>
          </w:p>
        </w:tc>
      </w:tr>
      <w:tr>
        <w:tblPrEx>
          <w:tblCellMar>
            <w:top w:w="0" w:type="dxa"/>
            <w:left w:w="10" w:type="dxa"/>
            <w:bottom w:w="0" w:type="dxa"/>
            <w:right w:w="10" w:type="dxa"/>
          </w:tblCellMar>
        </w:tblPrEx>
        <w:trPr>
          <w:trHeight w:val="1" w:hRule="atLeast"/>
        </w:trPr>
        <w:tc>
          <w:tcPr>
            <w:tcW w:w="32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配置要求</w:t>
            </w:r>
          </w:p>
        </w:tc>
        <w:tc>
          <w:tcPr>
            <w:tcW w:w="70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20"/>
              </w:tabs>
              <w:spacing w:before="50" w:after="50" w:line="400" w:lineRule="exact"/>
              <w:rPr>
                <w:rFonts w:ascii="宋体"/>
                <w:color w:val="auto"/>
                <w:sz w:val="24"/>
                <w:szCs w:val="24"/>
              </w:rPr>
            </w:pPr>
            <w:r>
              <w:rPr>
                <w:rFonts w:hint="eastAsia" w:ascii="宋体" w:hAnsi="宋体" w:cs="宋体"/>
                <w:color w:val="auto"/>
                <w:sz w:val="24"/>
                <w:szCs w:val="24"/>
              </w:rPr>
              <w:t>高抗磁卡，</w:t>
            </w:r>
            <w:r>
              <w:rPr>
                <w:rFonts w:ascii="宋体" w:hAnsi="宋体" w:cs="宋体"/>
                <w:color w:val="auto"/>
                <w:sz w:val="24"/>
                <w:szCs w:val="24"/>
              </w:rPr>
              <w:t xml:space="preserve">USB </w:t>
            </w:r>
            <w:r>
              <w:rPr>
                <w:rFonts w:hint="eastAsia" w:ascii="宋体" w:hAnsi="宋体" w:cs="宋体"/>
                <w:color w:val="auto"/>
                <w:sz w:val="24"/>
                <w:szCs w:val="24"/>
              </w:rPr>
              <w:t>接口</w:t>
            </w:r>
          </w:p>
        </w:tc>
      </w:tr>
    </w:tbl>
    <w:p>
      <w:pPr>
        <w:spacing w:line="400" w:lineRule="exact"/>
        <w:rPr>
          <w:rFonts w:ascii="宋体"/>
          <w:b/>
          <w:bCs/>
          <w:color w:val="auto"/>
          <w:sz w:val="24"/>
          <w:szCs w:val="24"/>
        </w:rPr>
      </w:pPr>
      <w:r>
        <w:rPr>
          <w:rFonts w:hint="eastAsia" w:ascii="宋体" w:hAnsi="宋体" w:cs="宋体"/>
          <w:b/>
          <w:bCs/>
          <w:color w:val="auto"/>
          <w:sz w:val="24"/>
          <w:szCs w:val="24"/>
        </w:rPr>
        <w:t>扫描枪</w:t>
      </w:r>
    </w:p>
    <w:tbl>
      <w:tblPr>
        <w:tblStyle w:val="21"/>
        <w:tblW w:w="10305" w:type="dxa"/>
        <w:tblInd w:w="-673" w:type="dxa"/>
        <w:tblLayout w:type="autofit"/>
        <w:tblCellMar>
          <w:top w:w="0" w:type="dxa"/>
          <w:left w:w="10" w:type="dxa"/>
          <w:bottom w:w="0" w:type="dxa"/>
          <w:right w:w="10" w:type="dxa"/>
        </w:tblCellMar>
      </w:tblPr>
      <w:tblGrid>
        <w:gridCol w:w="3247"/>
        <w:gridCol w:w="7058"/>
      </w:tblGrid>
      <w:tr>
        <w:tblPrEx>
          <w:tblCellMar>
            <w:top w:w="0" w:type="dxa"/>
            <w:left w:w="10" w:type="dxa"/>
            <w:bottom w:w="0" w:type="dxa"/>
            <w:right w:w="10" w:type="dxa"/>
          </w:tblCellMar>
        </w:tblPrEx>
        <w:trPr>
          <w:trHeight w:val="1" w:hRule="atLeast"/>
        </w:trPr>
        <w:tc>
          <w:tcPr>
            <w:tcW w:w="3247"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技术条款</w:t>
            </w:r>
          </w:p>
        </w:tc>
        <w:tc>
          <w:tcPr>
            <w:tcW w:w="7058"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技术指标要求</w:t>
            </w:r>
          </w:p>
        </w:tc>
      </w:tr>
      <w:tr>
        <w:tblPrEx>
          <w:tblCellMar>
            <w:top w:w="0" w:type="dxa"/>
            <w:left w:w="10" w:type="dxa"/>
            <w:bottom w:w="0" w:type="dxa"/>
            <w:right w:w="10" w:type="dxa"/>
          </w:tblCellMar>
        </w:tblPrEx>
        <w:trPr>
          <w:trHeight w:val="1" w:hRule="atLeast"/>
        </w:trPr>
        <w:tc>
          <w:tcPr>
            <w:tcW w:w="32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配置要求</w:t>
            </w:r>
          </w:p>
        </w:tc>
        <w:tc>
          <w:tcPr>
            <w:tcW w:w="70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手持式扫描枪</w:t>
            </w:r>
          </w:p>
        </w:tc>
      </w:tr>
    </w:tbl>
    <w:p>
      <w:pPr>
        <w:spacing w:line="400" w:lineRule="exact"/>
        <w:rPr>
          <w:rFonts w:ascii="宋体"/>
          <w:b/>
          <w:bCs/>
          <w:color w:val="auto"/>
          <w:sz w:val="24"/>
          <w:szCs w:val="24"/>
        </w:rPr>
      </w:pPr>
      <w:r>
        <w:rPr>
          <w:rFonts w:hint="eastAsia" w:ascii="宋体" w:hAnsi="宋体" w:cs="宋体"/>
          <w:b/>
          <w:bCs/>
          <w:color w:val="auto"/>
          <w:sz w:val="24"/>
          <w:szCs w:val="24"/>
        </w:rPr>
        <w:t>条码打印机</w:t>
      </w:r>
    </w:p>
    <w:tbl>
      <w:tblPr>
        <w:tblStyle w:val="21"/>
        <w:tblW w:w="10236" w:type="dxa"/>
        <w:tblInd w:w="-574" w:type="dxa"/>
        <w:tblLayout w:type="autofit"/>
        <w:tblCellMar>
          <w:top w:w="0" w:type="dxa"/>
          <w:left w:w="10" w:type="dxa"/>
          <w:bottom w:w="0" w:type="dxa"/>
          <w:right w:w="10" w:type="dxa"/>
        </w:tblCellMar>
      </w:tblPr>
      <w:tblGrid>
        <w:gridCol w:w="3167"/>
        <w:gridCol w:w="7069"/>
      </w:tblGrid>
      <w:tr>
        <w:tblPrEx>
          <w:tblCellMar>
            <w:top w:w="0" w:type="dxa"/>
            <w:left w:w="10" w:type="dxa"/>
            <w:bottom w:w="0" w:type="dxa"/>
            <w:right w:w="10" w:type="dxa"/>
          </w:tblCellMar>
        </w:tblPrEx>
        <w:trPr>
          <w:trHeight w:val="1" w:hRule="atLeast"/>
        </w:trPr>
        <w:tc>
          <w:tcPr>
            <w:tcW w:w="3167"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技术条款</w:t>
            </w:r>
          </w:p>
        </w:tc>
        <w:tc>
          <w:tcPr>
            <w:tcW w:w="7069"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技术指标要求</w:t>
            </w:r>
          </w:p>
        </w:tc>
      </w:tr>
      <w:tr>
        <w:tblPrEx>
          <w:tblCellMar>
            <w:top w:w="0" w:type="dxa"/>
            <w:left w:w="10" w:type="dxa"/>
            <w:bottom w:w="0" w:type="dxa"/>
            <w:right w:w="10" w:type="dxa"/>
          </w:tblCellMar>
        </w:tblPrEx>
        <w:trPr>
          <w:trHeight w:val="1" w:hRule="atLeast"/>
        </w:trPr>
        <w:tc>
          <w:tcPr>
            <w:tcW w:w="31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配置要求</w:t>
            </w:r>
          </w:p>
        </w:tc>
        <w:tc>
          <w:tcPr>
            <w:tcW w:w="7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、打印方式：热敏或热转印；</w:t>
            </w:r>
          </w:p>
          <w:p>
            <w:pPr>
              <w:spacing w:before="50" w:after="50" w:line="400" w:lineRule="exac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、打印速度：</w:t>
            </w:r>
            <w:r>
              <w:rPr>
                <w:rFonts w:ascii="宋体" w:hAnsi="宋体" w:cs="宋体"/>
                <w:color w:val="auto"/>
                <w:sz w:val="24"/>
                <w:szCs w:val="24"/>
              </w:rPr>
              <w:t>102mm/s</w:t>
            </w:r>
            <w:r>
              <w:rPr>
                <w:rFonts w:hint="eastAsia" w:ascii="宋体" w:hAnsi="宋体" w:cs="宋体"/>
                <w:color w:val="auto"/>
                <w:sz w:val="24"/>
                <w:szCs w:val="24"/>
              </w:rPr>
              <w:t>；</w:t>
            </w:r>
          </w:p>
          <w:p>
            <w:pPr>
              <w:spacing w:before="50" w:after="50" w:line="400" w:lineRule="exac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、最大打印宽度：</w:t>
            </w:r>
            <w:r>
              <w:rPr>
                <w:rFonts w:ascii="宋体" w:hAnsi="宋体" w:cs="宋体"/>
                <w:color w:val="auto"/>
                <w:sz w:val="24"/>
                <w:szCs w:val="24"/>
              </w:rPr>
              <w:t>104mm</w:t>
            </w:r>
            <w:r>
              <w:rPr>
                <w:rFonts w:hint="eastAsia" w:ascii="宋体" w:hAnsi="宋体" w:cs="宋体"/>
                <w:color w:val="auto"/>
                <w:sz w:val="24"/>
                <w:szCs w:val="24"/>
              </w:rPr>
              <w:t>；</w:t>
            </w:r>
          </w:p>
          <w:p>
            <w:pPr>
              <w:spacing w:before="50" w:after="50" w:line="400" w:lineRule="exact"/>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、最大打印长度：</w:t>
            </w:r>
            <w:r>
              <w:rPr>
                <w:rFonts w:ascii="宋体" w:hAnsi="宋体" w:cs="宋体"/>
                <w:color w:val="auto"/>
                <w:sz w:val="24"/>
                <w:szCs w:val="24"/>
              </w:rPr>
              <w:t>991mm</w:t>
            </w:r>
            <w:r>
              <w:rPr>
                <w:rFonts w:hint="eastAsia" w:ascii="宋体" w:hAnsi="宋体" w:cs="宋体"/>
                <w:color w:val="auto"/>
                <w:sz w:val="24"/>
                <w:szCs w:val="24"/>
              </w:rPr>
              <w:t>；</w:t>
            </w:r>
          </w:p>
          <w:p>
            <w:pPr>
              <w:spacing w:before="50" w:after="50" w:line="400" w:lineRule="exac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、条形码类型：一维码、二维码；</w:t>
            </w:r>
          </w:p>
          <w:p>
            <w:pPr>
              <w:spacing w:before="50" w:after="50" w:line="400" w:lineRule="exact"/>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、通信接口：</w:t>
            </w:r>
            <w:r>
              <w:rPr>
                <w:rFonts w:ascii="宋体" w:hAnsi="宋体" w:cs="宋体"/>
                <w:color w:val="auto"/>
                <w:sz w:val="24"/>
                <w:szCs w:val="24"/>
              </w:rPr>
              <w:t>USB</w:t>
            </w:r>
            <w:r>
              <w:rPr>
                <w:rFonts w:hint="eastAsia" w:ascii="宋体" w:hAnsi="宋体" w:cs="宋体"/>
                <w:color w:val="auto"/>
                <w:sz w:val="24"/>
                <w:szCs w:val="24"/>
              </w:rPr>
              <w:t>接口，串行接口，并行接口，百兆网络接口（可选）；</w:t>
            </w:r>
          </w:p>
          <w:p>
            <w:pPr>
              <w:spacing w:before="50" w:after="50" w:line="400" w:lineRule="exact"/>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、内存：</w:t>
            </w:r>
            <w:r>
              <w:rPr>
                <w:rFonts w:ascii="宋体" w:hAnsi="宋体" w:cs="宋体"/>
                <w:color w:val="auto"/>
                <w:sz w:val="24"/>
                <w:szCs w:val="24"/>
              </w:rPr>
              <w:t>8MB</w:t>
            </w:r>
            <w:r>
              <w:rPr>
                <w:rFonts w:hint="eastAsia" w:ascii="宋体" w:hAnsi="宋体" w:cs="宋体"/>
                <w:color w:val="auto"/>
                <w:sz w:val="24"/>
                <w:szCs w:val="24"/>
              </w:rPr>
              <w:t>；</w:t>
            </w:r>
          </w:p>
          <w:p>
            <w:pPr>
              <w:spacing w:before="50" w:after="50" w:line="400" w:lineRule="exact"/>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、闪存：</w:t>
            </w:r>
            <w:r>
              <w:rPr>
                <w:rFonts w:ascii="宋体" w:hAnsi="宋体" w:cs="宋体"/>
                <w:color w:val="auto"/>
                <w:sz w:val="24"/>
                <w:szCs w:val="24"/>
              </w:rPr>
              <w:t>8MB</w:t>
            </w:r>
            <w:r>
              <w:rPr>
                <w:rFonts w:hint="eastAsia" w:ascii="宋体" w:hAnsi="宋体" w:cs="宋体"/>
                <w:color w:val="auto"/>
                <w:sz w:val="24"/>
                <w:szCs w:val="24"/>
              </w:rPr>
              <w:t>；</w:t>
            </w:r>
          </w:p>
          <w:p>
            <w:pPr>
              <w:spacing w:before="50" w:after="50" w:line="400" w:lineRule="exact"/>
              <w:jc w:val="left"/>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、介质传感器：反射式、穿透式；</w:t>
            </w:r>
          </w:p>
        </w:tc>
      </w:tr>
    </w:tbl>
    <w:p>
      <w:pPr>
        <w:spacing w:line="400" w:lineRule="exact"/>
        <w:rPr>
          <w:rFonts w:ascii="宋体"/>
          <w:b/>
          <w:bCs/>
          <w:color w:val="auto"/>
          <w:sz w:val="24"/>
          <w:szCs w:val="24"/>
        </w:rPr>
      </w:pPr>
      <w:r>
        <w:rPr>
          <w:rFonts w:hint="eastAsia" w:ascii="宋体" w:hAnsi="宋体" w:cs="宋体"/>
          <w:b/>
          <w:bCs/>
          <w:color w:val="auto"/>
          <w:sz w:val="24"/>
          <w:szCs w:val="24"/>
        </w:rPr>
        <w:t>腕带打印机</w:t>
      </w:r>
    </w:p>
    <w:tbl>
      <w:tblPr>
        <w:tblStyle w:val="21"/>
        <w:tblW w:w="10226" w:type="dxa"/>
        <w:tblInd w:w="-564" w:type="dxa"/>
        <w:tblLayout w:type="autofit"/>
        <w:tblCellMar>
          <w:top w:w="0" w:type="dxa"/>
          <w:left w:w="10" w:type="dxa"/>
          <w:bottom w:w="0" w:type="dxa"/>
          <w:right w:w="10" w:type="dxa"/>
        </w:tblCellMar>
      </w:tblPr>
      <w:tblGrid>
        <w:gridCol w:w="3156"/>
        <w:gridCol w:w="7070"/>
      </w:tblGrid>
      <w:tr>
        <w:tblPrEx>
          <w:tblCellMar>
            <w:top w:w="0" w:type="dxa"/>
            <w:left w:w="10" w:type="dxa"/>
            <w:bottom w:w="0" w:type="dxa"/>
            <w:right w:w="10" w:type="dxa"/>
          </w:tblCellMar>
        </w:tblPrEx>
        <w:trPr>
          <w:trHeight w:val="90" w:hRule="atLeast"/>
        </w:trPr>
        <w:tc>
          <w:tcPr>
            <w:tcW w:w="3156"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技术条款</w:t>
            </w:r>
          </w:p>
        </w:tc>
        <w:tc>
          <w:tcPr>
            <w:tcW w:w="7070"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技术指标要求</w:t>
            </w:r>
          </w:p>
        </w:tc>
      </w:tr>
      <w:tr>
        <w:tblPrEx>
          <w:tblCellMar>
            <w:top w:w="0" w:type="dxa"/>
            <w:left w:w="10" w:type="dxa"/>
            <w:bottom w:w="0" w:type="dxa"/>
            <w:right w:w="10" w:type="dxa"/>
          </w:tblCellMar>
        </w:tblPrEx>
        <w:trPr>
          <w:trHeight w:val="1" w:hRule="atLeast"/>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配置要求</w:t>
            </w:r>
          </w:p>
        </w:tc>
        <w:tc>
          <w:tcPr>
            <w:tcW w:w="70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、国内知名品牌，分辨率</w:t>
            </w:r>
            <w:r>
              <w:rPr>
                <w:rFonts w:ascii="宋体" w:hAnsi="宋体" w:cs="宋体"/>
                <w:color w:val="auto"/>
                <w:sz w:val="24"/>
                <w:szCs w:val="24"/>
              </w:rPr>
              <w:t>100DPI</w:t>
            </w:r>
            <w:r>
              <w:rPr>
                <w:rFonts w:hint="eastAsia" w:ascii="宋体" w:hAnsi="宋体" w:cs="宋体"/>
                <w:color w:val="auto"/>
                <w:sz w:val="24"/>
                <w:szCs w:val="24"/>
              </w:rPr>
              <w:t>；</w:t>
            </w:r>
          </w:p>
          <w:p>
            <w:pPr>
              <w:spacing w:before="50" w:after="50" w:line="400" w:lineRule="exac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、打印宽带</w:t>
            </w:r>
            <w:r>
              <w:rPr>
                <w:rFonts w:ascii="宋体" w:hAnsi="宋体" w:cs="宋体"/>
                <w:color w:val="auto"/>
                <w:sz w:val="24"/>
                <w:szCs w:val="24"/>
              </w:rPr>
              <w:t>1.1875</w:t>
            </w:r>
            <w:r>
              <w:rPr>
                <w:rFonts w:hint="eastAsia" w:ascii="宋体" w:hAnsi="宋体" w:cs="宋体"/>
                <w:color w:val="auto"/>
                <w:sz w:val="24"/>
                <w:szCs w:val="24"/>
              </w:rPr>
              <w:t>英寸，内存</w:t>
            </w:r>
            <w:r>
              <w:rPr>
                <w:rFonts w:ascii="宋体" w:hAnsi="宋体" w:cs="宋体"/>
                <w:color w:val="auto"/>
                <w:sz w:val="24"/>
                <w:szCs w:val="24"/>
              </w:rPr>
              <w:t>&gt;8MB;</w:t>
            </w:r>
            <w:r>
              <w:rPr>
                <w:rFonts w:hint="eastAsia" w:ascii="宋体" w:hAnsi="宋体" w:cs="宋体"/>
                <w:color w:val="auto"/>
                <w:sz w:val="24"/>
                <w:szCs w:val="24"/>
              </w:rPr>
              <w:t>打印速度</w:t>
            </w:r>
            <w:r>
              <w:rPr>
                <w:rFonts w:ascii="宋体" w:hAnsi="宋体" w:cs="宋体"/>
                <w:color w:val="auto"/>
                <w:sz w:val="24"/>
                <w:szCs w:val="24"/>
              </w:rPr>
              <w:t>&gt;51</w:t>
            </w:r>
            <w:r>
              <w:rPr>
                <w:rFonts w:hint="eastAsia" w:ascii="宋体" w:hAnsi="宋体" w:cs="宋体"/>
                <w:color w:val="auto"/>
                <w:sz w:val="24"/>
                <w:szCs w:val="24"/>
              </w:rPr>
              <w:t>毫秒。</w:t>
            </w:r>
          </w:p>
        </w:tc>
      </w:tr>
    </w:tbl>
    <w:p>
      <w:pPr>
        <w:spacing w:line="400" w:lineRule="exact"/>
        <w:rPr>
          <w:rFonts w:ascii="宋体"/>
          <w:b/>
          <w:bCs/>
          <w:color w:val="auto"/>
          <w:sz w:val="24"/>
          <w:szCs w:val="24"/>
        </w:rPr>
      </w:pPr>
      <w:r>
        <w:rPr>
          <w:rFonts w:hint="eastAsia" w:ascii="宋体" w:hAnsi="宋体" w:cs="宋体"/>
          <w:b/>
          <w:bCs/>
          <w:color w:val="auto"/>
          <w:sz w:val="24"/>
          <w:szCs w:val="24"/>
        </w:rPr>
        <w:t>就诊卡</w:t>
      </w:r>
    </w:p>
    <w:tbl>
      <w:tblPr>
        <w:tblStyle w:val="21"/>
        <w:tblW w:w="10212" w:type="dxa"/>
        <w:tblInd w:w="-520" w:type="dxa"/>
        <w:tblLayout w:type="autofit"/>
        <w:tblCellMar>
          <w:top w:w="0" w:type="dxa"/>
          <w:left w:w="10" w:type="dxa"/>
          <w:bottom w:w="0" w:type="dxa"/>
          <w:right w:w="10" w:type="dxa"/>
        </w:tblCellMar>
      </w:tblPr>
      <w:tblGrid>
        <w:gridCol w:w="3151"/>
        <w:gridCol w:w="7061"/>
      </w:tblGrid>
      <w:tr>
        <w:tblPrEx>
          <w:tblCellMar>
            <w:top w:w="0" w:type="dxa"/>
            <w:left w:w="10" w:type="dxa"/>
            <w:bottom w:w="0" w:type="dxa"/>
            <w:right w:w="10" w:type="dxa"/>
          </w:tblCellMar>
        </w:tblPrEx>
        <w:trPr>
          <w:trHeight w:val="1" w:hRule="atLeast"/>
        </w:trPr>
        <w:tc>
          <w:tcPr>
            <w:tcW w:w="3151"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技术条款</w:t>
            </w:r>
          </w:p>
        </w:tc>
        <w:tc>
          <w:tcPr>
            <w:tcW w:w="7061" w:type="dxa"/>
            <w:tcBorders>
              <w:top w:val="single" w:color="000000" w:sz="4" w:space="0"/>
              <w:left w:val="single" w:color="000000" w:sz="4" w:space="0"/>
              <w:bottom w:val="single" w:color="000000" w:sz="4" w:space="0"/>
              <w:right w:val="single" w:color="000000" w:sz="4" w:space="0"/>
            </w:tcBorders>
            <w:shd w:val="clear" w:color="auto" w:fill="DCE6F2"/>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b/>
                <w:bCs/>
                <w:color w:val="auto"/>
                <w:sz w:val="24"/>
                <w:szCs w:val="24"/>
              </w:rPr>
              <w:t>技术指标要求</w:t>
            </w:r>
          </w:p>
        </w:tc>
      </w:tr>
      <w:tr>
        <w:tblPrEx>
          <w:tblCellMar>
            <w:top w:w="0" w:type="dxa"/>
            <w:left w:w="10" w:type="dxa"/>
            <w:bottom w:w="0" w:type="dxa"/>
            <w:right w:w="10" w:type="dxa"/>
          </w:tblCellMar>
        </w:tblPrEx>
        <w:trPr>
          <w:trHeight w:val="1" w:hRule="atLeast"/>
        </w:trPr>
        <w:tc>
          <w:tcPr>
            <w:tcW w:w="31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配置要求</w:t>
            </w:r>
          </w:p>
        </w:tc>
        <w:tc>
          <w:tcPr>
            <w:tcW w:w="7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sz w:val="24"/>
                <w:szCs w:val="24"/>
              </w:rPr>
            </w:pPr>
            <w:r>
              <w:rPr>
                <w:rFonts w:hint="eastAsia" w:ascii="宋体" w:hAnsi="宋体" w:cs="宋体"/>
                <w:color w:val="auto"/>
                <w:sz w:val="24"/>
                <w:szCs w:val="24"/>
              </w:rPr>
              <w:t>定制</w:t>
            </w:r>
          </w:p>
        </w:tc>
      </w:tr>
    </w:tbl>
    <w:p>
      <w:pPr>
        <w:keepNext/>
        <w:keepLines/>
        <w:numPr>
          <w:ilvl w:val="1"/>
          <w:numId w:val="17"/>
        </w:numPr>
        <w:spacing w:before="156" w:after="156" w:line="416" w:lineRule="auto"/>
        <w:ind w:left="1060"/>
        <w:outlineLvl w:val="1"/>
        <w:rPr>
          <w:rFonts w:ascii="宋体"/>
          <w:b/>
          <w:bCs/>
          <w:color w:val="auto"/>
          <w:sz w:val="32"/>
          <w:szCs w:val="32"/>
        </w:rPr>
      </w:pPr>
      <w:bookmarkStart w:id="909" w:name="_Toc14899"/>
      <w:bookmarkStart w:id="910" w:name="_Toc82882801"/>
      <w:bookmarkStart w:id="911" w:name="_Toc625"/>
      <w:r>
        <w:rPr>
          <w:rFonts w:hint="eastAsia" w:ascii="宋体" w:hAnsi="宋体" w:cs="宋体"/>
          <w:b/>
          <w:bCs/>
          <w:color w:val="auto"/>
          <w:sz w:val="32"/>
          <w:szCs w:val="32"/>
        </w:rPr>
        <w:t>临床业务管理</w:t>
      </w:r>
      <w:bookmarkEnd w:id="909"/>
      <w:bookmarkEnd w:id="910"/>
      <w:bookmarkEnd w:id="911"/>
    </w:p>
    <w:p>
      <w:pPr>
        <w:pStyle w:val="6"/>
        <w:rPr>
          <w:rFonts w:ascii="宋体" w:hAnsi="宋体" w:eastAsia="宋体" w:cs="Times New Roman"/>
          <w:color w:val="auto"/>
        </w:rPr>
      </w:pPr>
      <w:r>
        <w:rPr>
          <w:rFonts w:ascii="宋体" w:hAnsi="宋体" w:eastAsia="宋体" w:cs="宋体"/>
          <w:color w:val="auto"/>
        </w:rPr>
        <w:t>4.8.1</w:t>
      </w:r>
      <w:r>
        <w:rPr>
          <w:rFonts w:hint="eastAsia" w:ascii="宋体" w:hAnsi="宋体" w:eastAsia="宋体" w:cs="宋体"/>
          <w:color w:val="auto"/>
        </w:rPr>
        <w:t>、门诊挂号收费管理系统</w:t>
      </w:r>
    </w:p>
    <w:tbl>
      <w:tblPr>
        <w:tblStyle w:val="21"/>
        <w:tblW w:w="9970" w:type="dxa"/>
        <w:tblInd w:w="-487" w:type="dxa"/>
        <w:tblLayout w:type="autofit"/>
        <w:tblCellMar>
          <w:top w:w="0" w:type="dxa"/>
          <w:left w:w="10" w:type="dxa"/>
          <w:bottom w:w="0" w:type="dxa"/>
          <w:right w:w="10" w:type="dxa"/>
        </w:tblCellMar>
      </w:tblPr>
      <w:tblGrid>
        <w:gridCol w:w="1424"/>
        <w:gridCol w:w="1668"/>
        <w:gridCol w:w="6878"/>
      </w:tblGrid>
      <w:tr>
        <w:tblPrEx>
          <w:tblCellMar>
            <w:top w:w="0" w:type="dxa"/>
            <w:left w:w="10" w:type="dxa"/>
            <w:bottom w:w="0" w:type="dxa"/>
            <w:right w:w="10" w:type="dxa"/>
          </w:tblCellMar>
        </w:tblPrEx>
        <w:trPr>
          <w:trHeight w:val="1" w:hRule="atLeast"/>
        </w:trPr>
        <w:tc>
          <w:tcPr>
            <w:tcW w:w="142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87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1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病人建档</w:t>
            </w:r>
          </w:p>
        </w:tc>
        <w:tc>
          <w:tcPr>
            <w:tcW w:w="6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、提供建立门诊病人档案，处理门诊病人挂号、退号、转科、预约挂号等基本挂号业务功能，支持自动产生门诊号码，并支持建立账户刷卡消费。</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、新建病人档案录入信息时可根据复杂程度选择三种方式，包括简单格式，户口地址格式和自定义格式。</w:t>
            </w:r>
          </w:p>
        </w:tc>
      </w:tr>
      <w:tr>
        <w:tblPrEx>
          <w:tblCellMar>
            <w:top w:w="0" w:type="dxa"/>
            <w:left w:w="10" w:type="dxa"/>
            <w:bottom w:w="0" w:type="dxa"/>
            <w:right w:w="10" w:type="dxa"/>
          </w:tblCellMar>
        </w:tblPrEx>
        <w:trPr>
          <w:trHeight w:val="1" w:hRule="atLeast"/>
        </w:trPr>
        <w:tc>
          <w:tcPr>
            <w:tcW w:w="1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挂号管理</w:t>
            </w:r>
          </w:p>
        </w:tc>
        <w:tc>
          <w:tcPr>
            <w:tcW w:w="6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、支持在挂号收费的同时加入病历费和就诊卡费，加入义诊，减免等常用标志。</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、提供法定节假日挂号费浮动功能。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、支持挂号重打。</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、提供医保接口，二代身份证读卡功能。</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、整个挂号流程可全部用键盘完成，不依赖鼠标，方便快捷。</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、支持与统一支付平台对接，提供多种微信、支付宝等多种结算方式。</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、支持门诊日报统计、结账功能，可按日内、月内或任意时间段进行结账。</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、支持挂号预约资源统一管理，挂号占用号源功能。</w:t>
            </w:r>
          </w:p>
        </w:tc>
      </w:tr>
      <w:tr>
        <w:tblPrEx>
          <w:tblCellMar>
            <w:top w:w="0" w:type="dxa"/>
            <w:left w:w="10" w:type="dxa"/>
            <w:bottom w:w="0" w:type="dxa"/>
            <w:right w:w="10" w:type="dxa"/>
          </w:tblCellMar>
        </w:tblPrEx>
        <w:trPr>
          <w:trHeight w:val="1" w:hRule="atLeast"/>
        </w:trPr>
        <w:tc>
          <w:tcPr>
            <w:tcW w:w="1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划价收费</w:t>
            </w:r>
          </w:p>
        </w:tc>
        <w:tc>
          <w:tcPr>
            <w:tcW w:w="6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、提供收费结算，发票作废，退费处理等基本费用业务功能。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、可根据病人的门诊号码或卡号调出病人，自动接收药品或医技单。</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、支持增加代煎药费功能。</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、支持自动找零，银联接口，一次付费支持多种付款方式累加，现金、支票、银行卡、</w:t>
            </w:r>
            <w:r>
              <w:rPr>
                <w:rFonts w:ascii="宋体" w:hAnsi="宋体" w:cs="宋体"/>
                <w:color w:val="auto"/>
                <w:sz w:val="24"/>
                <w:szCs w:val="24"/>
              </w:rPr>
              <w:t>IC</w:t>
            </w:r>
            <w:r>
              <w:rPr>
                <w:rFonts w:hint="eastAsia" w:ascii="宋体" w:hAnsi="宋体" w:cs="宋体"/>
                <w:color w:val="auto"/>
                <w:sz w:val="24"/>
                <w:szCs w:val="24"/>
              </w:rPr>
              <w:t>卡等。</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、加入预保存功能，保存临时输入但没有收费的检查单和处方，在下次调入该病人时自动调入已录入的处方。</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、支持门诊处方部分药品退药退费，自动作废原有发票，生成新的发票。</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、收费员结账日报，门诊收费汇总日报功能，可按挂号收费、项目分类和未结账收费等分别查看。</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、支持收费双屏显示功能。</w:t>
            </w:r>
          </w:p>
          <w:p>
            <w:pPr>
              <w:spacing w:before="156" w:after="156"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、支持患者开单、费用补录功能。</w:t>
            </w:r>
          </w:p>
        </w:tc>
      </w:tr>
      <w:tr>
        <w:tblPrEx>
          <w:tblCellMar>
            <w:top w:w="0" w:type="dxa"/>
            <w:left w:w="10" w:type="dxa"/>
            <w:bottom w:w="0" w:type="dxa"/>
            <w:right w:w="10" w:type="dxa"/>
          </w:tblCellMar>
        </w:tblPrEx>
        <w:trPr>
          <w:trHeight w:val="1" w:hRule="atLeast"/>
        </w:trPr>
        <w:tc>
          <w:tcPr>
            <w:tcW w:w="14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业务查询与统计</w:t>
            </w:r>
          </w:p>
        </w:tc>
        <w:tc>
          <w:tcPr>
            <w:tcW w:w="68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、提供挂号信息，收款发票，预约挂号，账户信息等查询功能。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、支持按科室，病人性质，挂号类别，挂号时间等多种方式统计挂号信息。</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、提供门诊医生核算，性质费用，账户卡发放，收费员工作量，操作员日报等多种报表查询与统计。</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、支持挂号科室，科室、医生排班维护，加入专家科室与晚班功能。</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、支持门诊、就诊号码维护（门诊号码选择不自动产生时维护）。</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、加入管理员发票维护功能，非管理员只能看到个人申领的发票，管理员有维护全部发票的维护权限。</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、提供账户缴款、退款号码维护功能。</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、发药药房维护，可针对单个药品、特殊药品、发药途径、发药方式、药品类型等分别对门诊发药药房进行维护。</w:t>
            </w:r>
          </w:p>
        </w:tc>
      </w:tr>
    </w:tbl>
    <w:p>
      <w:pPr>
        <w:pStyle w:val="6"/>
        <w:rPr>
          <w:rFonts w:ascii="宋体" w:hAnsi="宋体" w:eastAsia="宋体" w:cs="Times New Roman"/>
          <w:color w:val="auto"/>
        </w:rPr>
      </w:pPr>
      <w:r>
        <w:rPr>
          <w:rFonts w:ascii="宋体" w:hAnsi="宋体" w:eastAsia="宋体" w:cs="宋体"/>
          <w:color w:val="auto"/>
        </w:rPr>
        <w:t>4.8.2</w:t>
      </w:r>
      <w:r>
        <w:rPr>
          <w:rFonts w:hint="eastAsia" w:ascii="宋体" w:hAnsi="宋体" w:eastAsia="宋体" w:cs="宋体"/>
          <w:color w:val="auto"/>
        </w:rPr>
        <w:t>、住院管理系统</w:t>
      </w:r>
    </w:p>
    <w:tbl>
      <w:tblPr>
        <w:tblStyle w:val="21"/>
        <w:tblW w:w="9930" w:type="dxa"/>
        <w:tblInd w:w="-487" w:type="dxa"/>
        <w:tblLayout w:type="autofit"/>
        <w:tblCellMar>
          <w:top w:w="0" w:type="dxa"/>
          <w:left w:w="10" w:type="dxa"/>
          <w:bottom w:w="0" w:type="dxa"/>
          <w:right w:w="10" w:type="dxa"/>
        </w:tblCellMar>
      </w:tblPr>
      <w:tblGrid>
        <w:gridCol w:w="971"/>
        <w:gridCol w:w="1232"/>
        <w:gridCol w:w="7727"/>
      </w:tblGrid>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72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入院登记</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、提供一般入院登记、预约调入登记、根据病人档案调入病人等入院方式。</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、支持门诊病人、新病人、老病人调入登记。入院登记时允许分配床位和预缴款。入院登记信息包含：患者基本信息登记、入住科室、病区、入院日期、入院情况、预交款信息等。</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、支持欠费病人再次入院增加欠费提示。</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、支持入院登记床位分配后，则需将入院证关联的门诊检查单转成住院检查单，并生成医嘱。</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预约登记</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提供预约登记功能，对于不及时住院或者没有闲空床位的患者，允许提前预约入院，预约登记信息包含：患者基本信息、预约科室、预约日期、入院日期等。</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档案管理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提供新建患者档案、查询档案、修改档案、删除档案功能，住院档案和门诊档案统一管理，同一个病人只允许有一份档案。</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病人管理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提供对全院在院病人的统一管理功能，包括病人性质转换、已登记病人注销、首页修改</w:t>
            </w:r>
            <w:r>
              <w:rPr>
                <w:rFonts w:ascii="宋体" w:hAnsi="宋体" w:cs="宋体"/>
                <w:color w:val="auto"/>
                <w:sz w:val="24"/>
                <w:szCs w:val="24"/>
              </w:rPr>
              <w:t>/</w:t>
            </w:r>
            <w:r>
              <w:rPr>
                <w:rFonts w:hint="eastAsia" w:ascii="宋体" w:hAnsi="宋体" w:cs="宋体"/>
                <w:color w:val="auto"/>
                <w:sz w:val="24"/>
                <w:szCs w:val="24"/>
              </w:rPr>
              <w:t>查询、病人帐卡查询、费用修正、入院日期变更等功能。</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床位管理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、提供对全院床位维护、分配功能，包括床位设置、分配床位、转床转科、包床处理、退床处理、床位使用率的统计以及房间设置等功能。</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、支持住院病人在被注销后，其病案号码能被回收使用。</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缴款管理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、提供缴款处理和缴款查询两块功能、支持现金、发票、刷卡等多种缴款方式。</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、支持预交款管理。</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费用记帐</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提供按病人记帐、按项目记帐、批量记帐、退费记帐及记帐查询功能，对于漏计费的费用进行记账或者对于多记的费用进行退费处理。</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8</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催款管理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提供欠费清单和催款清单，对各病区或各科室已欠费的病人进行查询、对每一欠费病人的催款单进行打印。</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9</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帐户冻结管理和解冻管理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、支持帐户冻结管理按照系统设置的欠费标准自动冻结欠费病人帐户。</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、提供解冻管理对某些特殊病人进行解除帐户冻结管理，允许欠费诊疗。</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10</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结算管理</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、提供出院结算、中途结算、合并结算、退费结算、出院预结、出院终结。</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、住院结算时允许调整收费精度，可以精确到元、角、分，默认为分。</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、结算支持现金、支票、</w:t>
            </w:r>
            <w:r>
              <w:rPr>
                <w:rFonts w:ascii="宋体" w:hAnsi="宋体" w:cs="宋体"/>
                <w:color w:val="auto"/>
                <w:sz w:val="24"/>
                <w:szCs w:val="24"/>
              </w:rPr>
              <w:t>POS</w:t>
            </w:r>
            <w:r>
              <w:rPr>
                <w:rFonts w:hint="eastAsia" w:ascii="宋体" w:hAnsi="宋体" w:cs="宋体"/>
                <w:color w:val="auto"/>
                <w:sz w:val="24"/>
                <w:szCs w:val="24"/>
              </w:rPr>
              <w:t>机等多种付款方式。</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、支持在没有出院通知书的情况下，直接用预缴押金收据和费用清单到住院收费处结算。</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、支持出院预结手续；预结后，住院患者床位被腾空，可分配给其他病人使用；但预结病人在离院治疗期间仍可产生费用。</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、出院预结病人可以办理出院终结手续；终结后，则不能再产生任何费用。</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、支持将多个分开结算的同一病人发票合并打印在一张发票上。</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、结算后，若发现部分结算费用错误，支持进行补记费处理或退费处理。</w:t>
            </w:r>
            <w:r>
              <w:rPr>
                <w:rFonts w:ascii="宋体" w:hAnsi="宋体" w:cs="宋体"/>
                <w:color w:val="auto"/>
                <w:sz w:val="24"/>
                <w:szCs w:val="24"/>
              </w:rPr>
              <w:t xml:space="preserve"> </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11</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退费结算</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已出院结算开票的病人可进行已记费部分的退费处理，也可对出院结算的病人进行补记费处理。</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12</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结账报表</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、提供日终结帐、日结汇总、月终结帐，取消日终结帐、取消日结汇总、取消月终结帐等功能。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、日终结账：对每个操作员在上次结账后收取的预缴金、结算发票情况进行统计。</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、允许多日的业务进行合并日结。</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、日结汇总：由一个操作员对所有操作员的个人日终结账进行汇总。</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、取消结账：对结账的反向操作。</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13</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住院报表</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在院资金对比表、结帐汇总统计表、收入汇总统计表、医疗保险统计表、性质费用汇总表、单位费用汇总表、在院病人汇总表、出院病人汇总表、欠费病人汇总表、月结病人汇总表、住院收入核算表、医技收入核算表等住院报表。</w:t>
            </w:r>
          </w:p>
        </w:tc>
      </w:tr>
      <w:tr>
        <w:tblPrEx>
          <w:tblCellMar>
            <w:top w:w="0" w:type="dxa"/>
            <w:left w:w="10" w:type="dxa"/>
            <w:bottom w:w="0" w:type="dxa"/>
            <w:right w:w="10" w:type="dxa"/>
          </w:tblCellMar>
        </w:tblPrEx>
        <w:trPr>
          <w:trHeight w:val="1" w:hRule="atLeast"/>
        </w:trPr>
        <w:tc>
          <w:tcPr>
            <w:tcW w:w="9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14</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信息查询</w:t>
            </w:r>
          </w:p>
        </w:tc>
        <w:tc>
          <w:tcPr>
            <w:tcW w:w="7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、提供在院病人费用查询、在院费用清单查询、历史结算查询、发票合并打印、票据使用查询、住院病人查询、预约病人查询、病人档案查询。</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、在院费用清单查询：将病人的所有费用清单进行汇总处理并打印。</w:t>
            </w:r>
          </w:p>
        </w:tc>
      </w:tr>
    </w:tbl>
    <w:p>
      <w:pPr>
        <w:pStyle w:val="6"/>
        <w:rPr>
          <w:rFonts w:ascii="宋体" w:hAnsi="宋体" w:eastAsia="宋体" w:cs="Times New Roman"/>
          <w:color w:val="auto"/>
        </w:rPr>
      </w:pPr>
      <w:bookmarkStart w:id="912" w:name="_Toc26359"/>
      <w:r>
        <w:rPr>
          <w:rFonts w:ascii="宋体" w:hAnsi="宋体" w:eastAsia="宋体" w:cs="宋体"/>
          <w:color w:val="auto"/>
        </w:rPr>
        <w:t>4.8.3</w:t>
      </w:r>
      <w:r>
        <w:rPr>
          <w:rFonts w:hint="eastAsia" w:ascii="宋体" w:hAnsi="宋体" w:eastAsia="宋体" w:cs="宋体"/>
          <w:color w:val="auto"/>
        </w:rPr>
        <w:t>、分诊排队叫号管理系统</w:t>
      </w:r>
    </w:p>
    <w:p>
      <w:pPr>
        <w:tabs>
          <w:tab w:val="left" w:pos="1330"/>
        </w:tabs>
        <w:spacing w:before="50" w:after="50" w:line="360" w:lineRule="auto"/>
        <w:ind w:firstLine="480"/>
        <w:jc w:val="left"/>
        <w:rPr>
          <w:rFonts w:ascii="宋体"/>
          <w:color w:val="auto"/>
          <w:sz w:val="24"/>
          <w:szCs w:val="24"/>
        </w:rPr>
      </w:pPr>
      <w:r>
        <w:rPr>
          <w:rFonts w:hint="eastAsia" w:ascii="宋体" w:hAnsi="宋体" w:cs="宋体"/>
          <w:color w:val="auto"/>
          <w:sz w:val="24"/>
          <w:szCs w:val="24"/>
        </w:rPr>
        <w:t>全院排队叫号系统通过各科室的门诊护士站，并与大屏幕相连，用来管理本科室排队叫号。针对医院病人在就诊过程中会出现复诊、病人选医生、被叫病人不在等特殊情况就诊以及在病人要退号、弃号等不确定情况下，为了使排队叫号系统更科学、更有效的管理而设计的可由护士人工干预排队顺序。系统的主要功能应包括：</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队列管理</w:t>
      </w:r>
    </w:p>
    <w:p>
      <w:pPr>
        <w:spacing w:before="50" w:after="50" w:line="360" w:lineRule="auto"/>
        <w:ind w:firstLine="420"/>
        <w:jc w:val="left"/>
        <w:rPr>
          <w:rFonts w:ascii="宋体"/>
          <w:color w:val="auto"/>
          <w:sz w:val="24"/>
          <w:szCs w:val="24"/>
        </w:rPr>
      </w:pPr>
      <w:r>
        <w:rPr>
          <w:rFonts w:hint="eastAsia" w:ascii="宋体" w:hAnsi="宋体" w:cs="宋体"/>
          <w:color w:val="auto"/>
          <w:sz w:val="24"/>
          <w:szCs w:val="24"/>
        </w:rPr>
        <w:t>队列信息包括排队人数、排队号、姓名、科室、医生、排队开始时间、等待时间、状态等。系统对病人进行分配、转发、插队、放弃、暂停等操作，支持队列顺序调整。支持定时自动刷新队列，可设置刷新时间。</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队列转换（转科）</w:t>
      </w:r>
    </w:p>
    <w:p>
      <w:pPr>
        <w:spacing w:before="50" w:after="50" w:line="360" w:lineRule="auto"/>
        <w:ind w:firstLine="420"/>
        <w:jc w:val="left"/>
        <w:rPr>
          <w:rFonts w:ascii="宋体"/>
          <w:color w:val="auto"/>
          <w:sz w:val="24"/>
          <w:szCs w:val="24"/>
        </w:rPr>
      </w:pPr>
      <w:r>
        <w:rPr>
          <w:rFonts w:hint="eastAsia" w:ascii="宋体" w:hAnsi="宋体" w:cs="宋体"/>
          <w:color w:val="auto"/>
          <w:sz w:val="24"/>
          <w:szCs w:val="24"/>
        </w:rPr>
        <w:t>在某种特殊下，如临下班前，某科还有很多病人，可以把该科的病人转移到相近的科室就诊。</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病人选医生（分配医生）</w:t>
      </w:r>
    </w:p>
    <w:p>
      <w:pPr>
        <w:spacing w:before="50" w:after="50" w:line="360" w:lineRule="auto"/>
        <w:ind w:firstLine="420"/>
        <w:jc w:val="left"/>
        <w:rPr>
          <w:rFonts w:ascii="宋体"/>
          <w:color w:val="auto"/>
          <w:sz w:val="24"/>
          <w:szCs w:val="24"/>
        </w:rPr>
      </w:pPr>
      <w:r>
        <w:rPr>
          <w:rFonts w:hint="eastAsia" w:ascii="宋体" w:hAnsi="宋体" w:cs="宋体"/>
          <w:color w:val="auto"/>
          <w:sz w:val="24"/>
          <w:szCs w:val="24"/>
        </w:rPr>
        <w:t>当病人要求选择医生时，护士在系统上的已就诊队列中找到该病人的信息，然后在该病人信息的医生栏选上要选的医生，系统能自动将该病人转到由他选择的医生处就诊。</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医生呼叫</w:t>
      </w:r>
    </w:p>
    <w:p>
      <w:pPr>
        <w:spacing w:before="50" w:after="50" w:line="360" w:lineRule="auto"/>
        <w:ind w:firstLine="420"/>
        <w:jc w:val="left"/>
        <w:rPr>
          <w:rFonts w:ascii="宋体"/>
          <w:color w:val="auto"/>
          <w:sz w:val="24"/>
          <w:szCs w:val="24"/>
        </w:rPr>
      </w:pPr>
      <w:r>
        <w:rPr>
          <w:rFonts w:hint="eastAsia" w:ascii="宋体" w:hAnsi="宋体" w:cs="宋体"/>
          <w:color w:val="auto"/>
          <w:sz w:val="24"/>
          <w:szCs w:val="24"/>
        </w:rPr>
        <w:t>医生根据自己登陆的就诊队列，对队列中患者进行呼叫、暂停、患者解锁等处理，能够看到队列的排队信息。</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批量呼叫</w:t>
      </w:r>
    </w:p>
    <w:p>
      <w:pPr>
        <w:spacing w:before="50" w:after="50" w:line="360" w:lineRule="auto"/>
        <w:jc w:val="left"/>
        <w:rPr>
          <w:rFonts w:ascii="宋体"/>
          <w:color w:val="auto"/>
          <w:sz w:val="24"/>
          <w:szCs w:val="24"/>
        </w:rPr>
      </w:pPr>
      <w:r>
        <w:rPr>
          <w:rFonts w:ascii="宋体"/>
          <w:color w:val="auto"/>
          <w:sz w:val="24"/>
          <w:szCs w:val="24"/>
        </w:rPr>
        <w:tab/>
      </w:r>
      <w:r>
        <w:rPr>
          <w:rFonts w:hint="eastAsia" w:ascii="宋体" w:hAnsi="宋体" w:cs="宋体"/>
          <w:color w:val="auto"/>
          <w:sz w:val="24"/>
          <w:szCs w:val="24"/>
        </w:rPr>
        <w:t>护士可以一次性从候诊队列中叫入多名患者进入医生待诊序列中，方便医生叫入下一位操作。</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屏幕输出</w:t>
      </w:r>
    </w:p>
    <w:p>
      <w:pPr>
        <w:spacing w:before="50" w:after="50" w:line="360" w:lineRule="auto"/>
        <w:ind w:firstLine="420"/>
        <w:jc w:val="left"/>
        <w:rPr>
          <w:rFonts w:ascii="宋体"/>
          <w:color w:val="auto"/>
          <w:sz w:val="24"/>
          <w:szCs w:val="24"/>
        </w:rPr>
      </w:pPr>
      <w:r>
        <w:rPr>
          <w:rFonts w:hint="eastAsia" w:ascii="宋体" w:hAnsi="宋体" w:cs="宋体"/>
          <w:color w:val="auto"/>
          <w:sz w:val="24"/>
          <w:szCs w:val="24"/>
        </w:rPr>
        <w:t>显示屏用来展示队列信息和被呼叫的患者信息，向等候的患者给出就诊提示，系统应支持</w:t>
      </w:r>
      <w:r>
        <w:rPr>
          <w:rFonts w:ascii="宋体" w:hAnsi="宋体" w:cs="宋体"/>
          <w:color w:val="auto"/>
          <w:sz w:val="24"/>
          <w:szCs w:val="24"/>
        </w:rPr>
        <w:t>LED</w:t>
      </w:r>
      <w:r>
        <w:rPr>
          <w:rFonts w:hint="eastAsia" w:ascii="宋体" w:hAnsi="宋体" w:cs="宋体"/>
          <w:color w:val="auto"/>
          <w:sz w:val="24"/>
          <w:szCs w:val="24"/>
        </w:rPr>
        <w:t>同步屏输出和异步屏输出，也支持终端电视机显示输出。</w:t>
      </w:r>
    </w:p>
    <w:p>
      <w:pPr>
        <w:spacing w:before="50" w:after="50" w:line="360" w:lineRule="auto"/>
        <w:jc w:val="left"/>
        <w:rPr>
          <w:rFonts w:ascii="宋体"/>
          <w:b/>
          <w:bCs/>
          <w:color w:val="auto"/>
          <w:sz w:val="24"/>
          <w:szCs w:val="24"/>
        </w:rPr>
      </w:pPr>
      <w:r>
        <w:rPr>
          <w:rFonts w:hint="eastAsia" w:ascii="宋体" w:hAnsi="宋体" w:cs="宋体"/>
          <w:b/>
          <w:bCs/>
          <w:color w:val="auto"/>
          <w:sz w:val="24"/>
          <w:szCs w:val="24"/>
        </w:rPr>
        <w:t>查询统计</w:t>
      </w:r>
    </w:p>
    <w:p>
      <w:pPr>
        <w:spacing w:before="50" w:after="50" w:line="360" w:lineRule="auto"/>
        <w:ind w:firstLine="420"/>
        <w:jc w:val="left"/>
        <w:rPr>
          <w:rFonts w:ascii="宋体"/>
          <w:color w:val="auto"/>
          <w:sz w:val="24"/>
          <w:szCs w:val="24"/>
        </w:rPr>
      </w:pPr>
      <w:r>
        <w:rPr>
          <w:rFonts w:hint="eastAsia" w:ascii="宋体" w:hAnsi="宋体" w:cs="宋体"/>
          <w:color w:val="auto"/>
          <w:sz w:val="24"/>
          <w:szCs w:val="24"/>
        </w:rPr>
        <w:t>提供插队记录查询、历史队列查询、屏幕显示查询；提供按队列和医生进行排队统计，包括合计人数，平均等待时间，平均就诊时间和平均在院时间；提供查询分配，转发，放弃，取消等多类型的队列调整记录，包括调整日期，排队号，姓名，起始队列，目的队列等信息。</w:t>
      </w:r>
    </w:p>
    <w:p>
      <w:pPr>
        <w:pStyle w:val="6"/>
        <w:rPr>
          <w:rFonts w:ascii="宋体" w:hAnsi="宋体" w:eastAsia="宋体" w:cs="Times New Roman"/>
          <w:color w:val="auto"/>
        </w:rPr>
      </w:pPr>
      <w:r>
        <w:rPr>
          <w:rFonts w:ascii="宋体" w:hAnsi="宋体" w:eastAsia="宋体" w:cs="宋体"/>
          <w:color w:val="auto"/>
        </w:rPr>
        <w:t>4.8.4</w:t>
      </w:r>
      <w:r>
        <w:rPr>
          <w:rFonts w:hint="eastAsia" w:ascii="宋体" w:hAnsi="宋体" w:eastAsia="宋体" w:cs="宋体"/>
          <w:color w:val="auto"/>
        </w:rPr>
        <w:t>、住院审核管理系统</w:t>
      </w:r>
    </w:p>
    <w:p>
      <w:pPr>
        <w:spacing w:before="50" w:after="50" w:line="360" w:lineRule="auto"/>
        <w:ind w:firstLine="420"/>
        <w:rPr>
          <w:rFonts w:ascii="宋体"/>
          <w:color w:val="auto"/>
          <w:sz w:val="24"/>
          <w:szCs w:val="24"/>
        </w:rPr>
      </w:pPr>
      <w:r>
        <w:rPr>
          <w:rFonts w:hint="eastAsia" w:ascii="宋体" w:hAnsi="宋体" w:cs="宋体"/>
          <w:color w:val="auto"/>
          <w:sz w:val="24"/>
          <w:szCs w:val="24"/>
        </w:rPr>
        <w:t>医院财务审核系统辅助医院物价审核部门对住院病人医嘱、费用、报告进行审核。系统提供自动审核功能，每日自动审核全院病人费用；也提供人工审核页面，人工审核页面能够清楚地展现每条医嘱及其对应的费用。审核完成系统提供审核分析报告，分析错误费用的原因，为医院的财务管理提供支持。系统主要功能应包括：</w:t>
      </w:r>
    </w:p>
    <w:p>
      <w:pPr>
        <w:spacing w:before="50" w:after="50" w:line="360" w:lineRule="auto"/>
        <w:rPr>
          <w:rFonts w:ascii="宋体"/>
          <w:b/>
          <w:bCs/>
          <w:color w:val="auto"/>
          <w:sz w:val="24"/>
          <w:szCs w:val="24"/>
        </w:rPr>
      </w:pPr>
      <w:r>
        <w:rPr>
          <w:rFonts w:hint="eastAsia" w:ascii="宋体" w:hAnsi="宋体" w:cs="宋体"/>
          <w:b/>
          <w:bCs/>
          <w:color w:val="auto"/>
          <w:sz w:val="24"/>
          <w:szCs w:val="24"/>
        </w:rPr>
        <w:t>审核规则</w:t>
      </w:r>
    </w:p>
    <w:p>
      <w:pPr>
        <w:spacing w:before="50" w:after="50" w:line="360" w:lineRule="auto"/>
        <w:ind w:firstLine="480"/>
        <w:rPr>
          <w:rFonts w:ascii="宋体"/>
          <w:color w:val="auto"/>
          <w:sz w:val="24"/>
          <w:szCs w:val="24"/>
        </w:rPr>
      </w:pPr>
      <w:r>
        <w:rPr>
          <w:rFonts w:hint="eastAsia" w:ascii="宋体" w:hAnsi="宋体" w:cs="宋体"/>
          <w:color w:val="auto"/>
          <w:sz w:val="24"/>
          <w:szCs w:val="24"/>
        </w:rPr>
        <w:t>审核规则应包括：医疗收费标准规则、排斥费用规则、费用加收规则、费用匹配规则、重复收费规则、特殊审核规则、输液医嘱费用规则、化验医嘱费用规则、手术医嘱费用规则</w:t>
      </w:r>
      <w:r>
        <w:rPr>
          <w:rFonts w:ascii="宋体" w:hAnsi="宋体" w:cs="宋体"/>
          <w:color w:val="auto"/>
          <w:sz w:val="24"/>
          <w:szCs w:val="24"/>
        </w:rPr>
        <w:t xml:space="preserve"> </w:t>
      </w:r>
      <w:r>
        <w:rPr>
          <w:rFonts w:hint="eastAsia" w:ascii="宋体" w:hAnsi="宋体" w:cs="宋体"/>
          <w:color w:val="auto"/>
          <w:sz w:val="24"/>
          <w:szCs w:val="24"/>
        </w:rPr>
        <w:t>。</w:t>
      </w:r>
    </w:p>
    <w:p>
      <w:pPr>
        <w:spacing w:before="50" w:after="50" w:line="360" w:lineRule="auto"/>
        <w:rPr>
          <w:rFonts w:ascii="宋体"/>
          <w:b/>
          <w:bCs/>
          <w:color w:val="auto"/>
          <w:sz w:val="24"/>
          <w:szCs w:val="24"/>
        </w:rPr>
      </w:pPr>
      <w:r>
        <w:rPr>
          <w:rFonts w:hint="eastAsia" w:ascii="宋体" w:hAnsi="宋体" w:cs="宋体"/>
          <w:b/>
          <w:bCs/>
          <w:color w:val="auto"/>
          <w:sz w:val="24"/>
          <w:szCs w:val="24"/>
        </w:rPr>
        <w:t>自动审核</w:t>
      </w:r>
    </w:p>
    <w:p>
      <w:pPr>
        <w:spacing w:before="50" w:after="50" w:line="360" w:lineRule="auto"/>
        <w:ind w:firstLine="480"/>
        <w:rPr>
          <w:rFonts w:ascii="宋体"/>
          <w:color w:val="auto"/>
          <w:sz w:val="24"/>
          <w:szCs w:val="24"/>
        </w:rPr>
      </w:pPr>
      <w:r>
        <w:rPr>
          <w:rFonts w:hint="eastAsia" w:ascii="宋体" w:hAnsi="宋体" w:cs="宋体"/>
          <w:color w:val="auto"/>
          <w:sz w:val="24"/>
          <w:szCs w:val="24"/>
        </w:rPr>
        <w:t>提供自动审核功能：有每日自动审核和出院前自动审核，每日自动预约功能，系统每日自动审核全院病人住院费用；出院前自动审核能够在病人通知出院时审核病人所有未审核和审核未通过的费用。审核完成对于审核未通过的费用给予未通过原因，供护士查看。</w:t>
      </w:r>
    </w:p>
    <w:p>
      <w:pPr>
        <w:spacing w:before="50" w:after="50" w:line="360" w:lineRule="auto"/>
        <w:rPr>
          <w:rFonts w:ascii="宋体"/>
          <w:b/>
          <w:bCs/>
          <w:color w:val="auto"/>
          <w:sz w:val="24"/>
          <w:szCs w:val="24"/>
        </w:rPr>
      </w:pPr>
      <w:r>
        <w:rPr>
          <w:rFonts w:hint="eastAsia" w:ascii="宋体" w:hAnsi="宋体" w:cs="宋体"/>
          <w:b/>
          <w:bCs/>
          <w:color w:val="auto"/>
          <w:sz w:val="24"/>
          <w:szCs w:val="24"/>
        </w:rPr>
        <w:t>人工审核</w:t>
      </w:r>
    </w:p>
    <w:p>
      <w:pPr>
        <w:spacing w:before="50" w:after="50" w:line="360" w:lineRule="auto"/>
        <w:ind w:firstLine="480"/>
        <w:rPr>
          <w:rFonts w:ascii="宋体"/>
          <w:color w:val="auto"/>
          <w:sz w:val="24"/>
          <w:szCs w:val="24"/>
        </w:rPr>
      </w:pPr>
      <w:r>
        <w:rPr>
          <w:rFonts w:hint="eastAsia" w:ascii="宋体" w:hAnsi="宋体" w:cs="宋体"/>
          <w:color w:val="auto"/>
          <w:sz w:val="24"/>
          <w:szCs w:val="24"/>
        </w:rPr>
        <w:t>提供人工审核功能，能审核医嘱费用、非医嘱费用以及手术费用，人工审核可以对自动审核结果进行编辑。医院也可以不使用自动审核，仅进行人工审核处理。</w:t>
      </w:r>
    </w:p>
    <w:p>
      <w:pPr>
        <w:spacing w:before="50" w:after="50" w:line="360" w:lineRule="auto"/>
        <w:rPr>
          <w:rFonts w:ascii="宋体"/>
          <w:b/>
          <w:bCs/>
          <w:color w:val="auto"/>
          <w:sz w:val="24"/>
          <w:szCs w:val="24"/>
        </w:rPr>
      </w:pPr>
      <w:r>
        <w:rPr>
          <w:rFonts w:hint="eastAsia" w:ascii="宋体" w:hAnsi="宋体" w:cs="宋体"/>
          <w:b/>
          <w:bCs/>
          <w:color w:val="auto"/>
          <w:sz w:val="24"/>
          <w:szCs w:val="24"/>
        </w:rPr>
        <w:t>审核报告</w:t>
      </w:r>
    </w:p>
    <w:p>
      <w:pPr>
        <w:spacing w:before="50" w:after="50" w:line="360" w:lineRule="auto"/>
        <w:ind w:firstLine="480"/>
        <w:rPr>
          <w:rFonts w:ascii="宋体"/>
          <w:color w:val="auto"/>
          <w:sz w:val="24"/>
          <w:szCs w:val="24"/>
        </w:rPr>
      </w:pPr>
      <w:r>
        <w:rPr>
          <w:rFonts w:hint="eastAsia" w:ascii="宋体" w:hAnsi="宋体" w:cs="宋体"/>
          <w:color w:val="auto"/>
          <w:sz w:val="24"/>
          <w:szCs w:val="24"/>
        </w:rPr>
        <w:t>提供审核报告，审核结束病区能看到病人审核未通过的费用报告。</w:t>
      </w:r>
    </w:p>
    <w:p>
      <w:pPr>
        <w:spacing w:before="50" w:after="50" w:line="360" w:lineRule="auto"/>
        <w:rPr>
          <w:rFonts w:ascii="宋体"/>
          <w:b/>
          <w:bCs/>
          <w:color w:val="auto"/>
          <w:sz w:val="24"/>
          <w:szCs w:val="24"/>
        </w:rPr>
      </w:pPr>
      <w:r>
        <w:rPr>
          <w:rFonts w:hint="eastAsia" w:ascii="宋体" w:hAnsi="宋体" w:cs="宋体"/>
          <w:b/>
          <w:bCs/>
          <w:color w:val="auto"/>
          <w:sz w:val="24"/>
          <w:szCs w:val="24"/>
        </w:rPr>
        <w:t>审核修正</w:t>
      </w:r>
    </w:p>
    <w:p>
      <w:pPr>
        <w:spacing w:before="50" w:after="50" w:line="360" w:lineRule="auto"/>
        <w:ind w:firstLine="480"/>
        <w:rPr>
          <w:rFonts w:ascii="宋体"/>
          <w:color w:val="auto"/>
          <w:sz w:val="24"/>
          <w:szCs w:val="24"/>
        </w:rPr>
      </w:pPr>
      <w:r>
        <w:rPr>
          <w:rFonts w:hint="eastAsia" w:ascii="宋体" w:hAnsi="宋体" w:cs="宋体"/>
          <w:color w:val="auto"/>
          <w:sz w:val="24"/>
          <w:szCs w:val="24"/>
        </w:rPr>
        <w:t>提供审核结果修正功能，对于多收或者漏费的审核记录，系统能自动产生补退费记账，护士可以一键修正。也提供手工修正页面，对于不需要修正的数据护士可以填写申诉理由。</w:t>
      </w:r>
    </w:p>
    <w:p>
      <w:pPr>
        <w:spacing w:before="50" w:after="50" w:line="360" w:lineRule="auto"/>
        <w:rPr>
          <w:rFonts w:ascii="宋体"/>
          <w:b/>
          <w:bCs/>
          <w:color w:val="auto"/>
          <w:sz w:val="24"/>
          <w:szCs w:val="24"/>
        </w:rPr>
      </w:pPr>
      <w:r>
        <w:rPr>
          <w:rFonts w:hint="eastAsia" w:ascii="宋体" w:hAnsi="宋体" w:cs="宋体"/>
          <w:b/>
          <w:bCs/>
          <w:color w:val="auto"/>
          <w:sz w:val="24"/>
          <w:szCs w:val="24"/>
        </w:rPr>
        <w:t>修正重审</w:t>
      </w:r>
    </w:p>
    <w:p>
      <w:pPr>
        <w:spacing w:before="50" w:after="50" w:line="360" w:lineRule="auto"/>
        <w:ind w:firstLine="480"/>
        <w:rPr>
          <w:rFonts w:ascii="宋体"/>
          <w:color w:val="auto"/>
          <w:sz w:val="24"/>
          <w:szCs w:val="24"/>
        </w:rPr>
      </w:pPr>
      <w:r>
        <w:rPr>
          <w:rFonts w:hint="eastAsia" w:ascii="宋体" w:hAnsi="宋体" w:cs="宋体"/>
          <w:color w:val="auto"/>
          <w:sz w:val="24"/>
          <w:szCs w:val="24"/>
        </w:rPr>
        <w:t>提供修正重审功能，对于审核未通过的费用，护士已经修正或者填写申诉理由的系统能够进行重审。</w:t>
      </w:r>
    </w:p>
    <w:p>
      <w:pPr>
        <w:spacing w:before="50" w:after="50" w:line="360" w:lineRule="auto"/>
        <w:rPr>
          <w:rFonts w:ascii="宋体"/>
          <w:b/>
          <w:bCs/>
          <w:color w:val="auto"/>
          <w:sz w:val="24"/>
          <w:szCs w:val="24"/>
        </w:rPr>
      </w:pPr>
      <w:r>
        <w:rPr>
          <w:rFonts w:hint="eastAsia" w:ascii="宋体" w:hAnsi="宋体" w:cs="宋体"/>
          <w:b/>
          <w:bCs/>
          <w:color w:val="auto"/>
          <w:sz w:val="24"/>
          <w:szCs w:val="24"/>
        </w:rPr>
        <w:t>查询管理</w:t>
      </w:r>
    </w:p>
    <w:p>
      <w:pPr>
        <w:spacing w:before="50" w:after="50" w:line="360" w:lineRule="auto"/>
        <w:ind w:firstLine="480"/>
        <w:rPr>
          <w:rFonts w:ascii="宋体"/>
          <w:color w:val="auto"/>
          <w:sz w:val="24"/>
          <w:szCs w:val="24"/>
        </w:rPr>
      </w:pPr>
      <w:r>
        <w:rPr>
          <w:rFonts w:hint="eastAsia" w:ascii="宋体" w:hAnsi="宋体" w:cs="宋体"/>
          <w:color w:val="auto"/>
          <w:sz w:val="24"/>
          <w:szCs w:val="24"/>
        </w:rPr>
        <w:t>提供审核结果查询功能，对于审核未通过的记录进行查询。</w:t>
      </w:r>
    </w:p>
    <w:p>
      <w:pPr>
        <w:spacing w:before="50" w:after="50" w:line="360" w:lineRule="auto"/>
        <w:rPr>
          <w:rFonts w:ascii="宋体"/>
          <w:b/>
          <w:bCs/>
          <w:color w:val="auto"/>
          <w:sz w:val="24"/>
          <w:szCs w:val="24"/>
        </w:rPr>
      </w:pPr>
      <w:r>
        <w:rPr>
          <w:rFonts w:hint="eastAsia" w:ascii="宋体" w:hAnsi="宋体" w:cs="宋体"/>
          <w:b/>
          <w:bCs/>
          <w:color w:val="auto"/>
          <w:sz w:val="24"/>
          <w:szCs w:val="24"/>
        </w:rPr>
        <w:t>系统维护</w:t>
      </w:r>
    </w:p>
    <w:p>
      <w:pPr>
        <w:spacing w:before="50" w:after="50" w:line="360" w:lineRule="auto"/>
        <w:rPr>
          <w:rFonts w:ascii="宋体"/>
          <w:color w:val="auto"/>
          <w:sz w:val="24"/>
          <w:szCs w:val="24"/>
        </w:rPr>
      </w:pPr>
      <w:r>
        <w:rPr>
          <w:rFonts w:ascii="宋体"/>
          <w:b/>
          <w:bCs/>
          <w:color w:val="auto"/>
          <w:sz w:val="24"/>
          <w:szCs w:val="24"/>
        </w:rPr>
        <w:tab/>
      </w:r>
      <w:r>
        <w:rPr>
          <w:rFonts w:hint="eastAsia" w:ascii="宋体" w:hAnsi="宋体" w:cs="宋体"/>
          <w:color w:val="auto"/>
          <w:sz w:val="24"/>
          <w:szCs w:val="24"/>
        </w:rPr>
        <w:t>提供加收费用维护、排斥维护维护、重复收费维护、特殊审核维护、审核未通过原因维护。</w:t>
      </w:r>
    </w:p>
    <w:p>
      <w:pPr>
        <w:pStyle w:val="6"/>
        <w:rPr>
          <w:rFonts w:ascii="宋体" w:hAnsi="宋体" w:eastAsia="宋体" w:cs="Times New Roman"/>
          <w:color w:val="auto"/>
        </w:rPr>
      </w:pPr>
      <w:r>
        <w:rPr>
          <w:rFonts w:ascii="宋体" w:hAnsi="宋体" w:eastAsia="宋体" w:cs="宋体"/>
          <w:color w:val="auto"/>
        </w:rPr>
        <w:t>4.8.5</w:t>
      </w:r>
      <w:r>
        <w:rPr>
          <w:rFonts w:hint="eastAsia" w:ascii="宋体" w:hAnsi="宋体" w:eastAsia="宋体" w:cs="宋体"/>
          <w:color w:val="auto"/>
        </w:rPr>
        <w:t>、药库管理系统</w:t>
      </w:r>
    </w:p>
    <w:tbl>
      <w:tblPr>
        <w:tblStyle w:val="21"/>
        <w:tblW w:w="10025" w:type="dxa"/>
        <w:tblInd w:w="-596" w:type="dxa"/>
        <w:tblLayout w:type="autofit"/>
        <w:tblCellMar>
          <w:top w:w="0" w:type="dxa"/>
          <w:left w:w="10" w:type="dxa"/>
          <w:bottom w:w="0" w:type="dxa"/>
          <w:right w:w="10" w:type="dxa"/>
        </w:tblCellMar>
      </w:tblPr>
      <w:tblGrid>
        <w:gridCol w:w="752"/>
        <w:gridCol w:w="1560"/>
        <w:gridCol w:w="7713"/>
      </w:tblGrid>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71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入库处理</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、支持入库单处理、库房验收、财务验收、付款处理、采购历史查询等功能。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、提供进货价格，批发价格，零售价格三种方式供选择。</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、支持对某一采购单进行整体退回功能，即自动产生退库单。</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、支持允许修改发票号码和货到票未到。</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出库处理</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、提供药品出库处理（科室领用、盘亏等），药房退回药库药品的出库处理，出库方式的汇总、科室消耗的汇总等功能。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、药库出库零库存单据可以录入保存，但不允许出库功能。</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、支持引入入库单，无需人员再次输入。</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调价处理</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、调价主要包括调价处理、调价历史、调价差额汇总三个子功能，调价方式有：国家调价、企业调价、进货调价；调价支持实时调价和定时调价，调价后将药品信息和药库、药房在库药品价格进行调整。</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、支持零售价调价、进货价调价、批发价调价等。</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、提供相关的调价报表，便于统计查询。</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采购计划</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、支持根据药库实际情况进行采购计划的制定，需包括计划编制、计划审批、计划执行、计划评估四个子功能。</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、支持根据每周销量情况生成采购计划单。</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库存管理</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、提供药库药品的养护、盘点，药品养护包括按库位与类别对药品进行养护。</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、药品的盘点支持</w:t>
            </w:r>
            <w:r>
              <w:rPr>
                <w:rFonts w:ascii="宋体" w:hAnsi="宋体" w:cs="宋体"/>
                <w:color w:val="auto"/>
                <w:sz w:val="24"/>
                <w:szCs w:val="24"/>
              </w:rPr>
              <w:t>ABC</w:t>
            </w:r>
            <w:r>
              <w:rPr>
                <w:rFonts w:hint="eastAsia" w:ascii="宋体" w:hAnsi="宋体" w:cs="宋体"/>
                <w:color w:val="auto"/>
                <w:sz w:val="24"/>
                <w:szCs w:val="24"/>
              </w:rPr>
              <w:t>分类法，随机抽样法两种盘点方法。</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、支持对不同状态的药品库存动态管理。</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月结处理</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支持统计药库所有药品当月的结存数量与结存金额，将本月结存作为下一月的上月结存，下一月的发生金额从零开始。</w:t>
            </w:r>
          </w:p>
        </w:tc>
      </w:tr>
      <w:tr>
        <w:tblPrEx>
          <w:tblCellMar>
            <w:top w:w="0" w:type="dxa"/>
            <w:left w:w="10" w:type="dxa"/>
            <w:bottom w:w="0" w:type="dxa"/>
            <w:right w:w="10" w:type="dxa"/>
          </w:tblCellMar>
        </w:tblPrEx>
        <w:trPr>
          <w:trHeight w:val="3405"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综合查询</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、提供各药库与全院药品库存查询，以及采购历史、会计账簿、保管员账簿、财务月报、收发存表、采购销售分析、失效药品查询、基本药物统计、特殊药品统计、抗生素统计等统计查询功能。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、支持财务账和实物账的分开处理，对应账簿分别为会计账簿与保管员账簿。</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、提供药品周转率统计功能。</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、提供全院药品滞销与畅销报表，统计长期不用的药品。</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8</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系统维护</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药品信息可维护自选产地，特殊人群用药以及用药限制，药品政策等，药品政策可手动添加，政策可维护其限制条件（提醒和控制）。此外，药库、账簿、剂型类别，生产厂家，供货单位，药库、库位编码等均可维护。</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9</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药品信息</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、药品的属性支持大小包装转换。</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、支持国家基础药品目录。</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、提供药品附加信息管理。</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、提供增加新药通知功能。</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、支持辅助用药控制功能。</w:t>
            </w:r>
          </w:p>
        </w:tc>
      </w:tr>
      <w:tr>
        <w:tblPrEx>
          <w:tblCellMar>
            <w:top w:w="0" w:type="dxa"/>
            <w:left w:w="10" w:type="dxa"/>
            <w:bottom w:w="0" w:type="dxa"/>
            <w:right w:w="10" w:type="dxa"/>
          </w:tblCellMar>
        </w:tblPrEx>
        <w:trPr>
          <w:trHeight w:val="1" w:hRule="atLeast"/>
        </w:trPr>
        <w:tc>
          <w:tcPr>
            <w:tcW w:w="7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10</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 xml:space="preserve"> </w:t>
            </w:r>
            <w:r>
              <w:rPr>
                <w:rFonts w:hint="eastAsia" w:ascii="宋体" w:hAnsi="宋体" w:cs="宋体"/>
                <w:color w:val="auto"/>
                <w:sz w:val="24"/>
                <w:szCs w:val="24"/>
              </w:rPr>
              <w:t>药库账薄对账处理</w:t>
            </w:r>
          </w:p>
        </w:tc>
        <w:tc>
          <w:tcPr>
            <w:tcW w:w="7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、支持药库对账功能，方便药库人员有效管理。</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、提供前台错误单据查询功能。</w:t>
            </w:r>
          </w:p>
        </w:tc>
      </w:tr>
    </w:tbl>
    <w:p>
      <w:pPr>
        <w:pStyle w:val="6"/>
        <w:rPr>
          <w:rFonts w:ascii="宋体" w:hAnsi="宋体" w:eastAsia="宋体" w:cs="Times New Roman"/>
          <w:color w:val="auto"/>
        </w:rPr>
      </w:pPr>
      <w:r>
        <w:rPr>
          <w:rFonts w:ascii="宋体" w:hAnsi="宋体" w:eastAsia="宋体" w:cs="宋体"/>
          <w:color w:val="auto"/>
        </w:rPr>
        <w:t>4.8.6</w:t>
      </w:r>
      <w:r>
        <w:rPr>
          <w:rFonts w:hint="eastAsia" w:ascii="宋体" w:hAnsi="宋体" w:eastAsia="宋体" w:cs="宋体"/>
          <w:color w:val="auto"/>
        </w:rPr>
        <w:t>、门诊药房管理系统</w:t>
      </w:r>
    </w:p>
    <w:tbl>
      <w:tblPr>
        <w:tblStyle w:val="21"/>
        <w:tblW w:w="10091" w:type="dxa"/>
        <w:tblInd w:w="-564" w:type="dxa"/>
        <w:tblLayout w:type="autofit"/>
        <w:tblCellMar>
          <w:top w:w="0" w:type="dxa"/>
          <w:left w:w="10" w:type="dxa"/>
          <w:bottom w:w="0" w:type="dxa"/>
          <w:right w:w="10" w:type="dxa"/>
        </w:tblCellMar>
      </w:tblPr>
      <w:tblGrid>
        <w:gridCol w:w="710"/>
        <w:gridCol w:w="1581"/>
        <w:gridCol w:w="7800"/>
      </w:tblGrid>
      <w:tr>
        <w:tblPrEx>
          <w:tblCellMar>
            <w:top w:w="0" w:type="dxa"/>
            <w:left w:w="10" w:type="dxa"/>
            <w:bottom w:w="0" w:type="dxa"/>
            <w:right w:w="10"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rPr>
                <w:rFonts w:ascii="宋体"/>
                <w:color w:val="auto"/>
              </w:rPr>
            </w:pPr>
            <w:r>
              <w:rPr>
                <w:rFonts w:hint="eastAsia" w:ascii="宋体" w:hAnsi="宋体" w:cs="宋体"/>
                <w:b/>
                <w:bCs/>
                <w:color w:val="auto"/>
                <w:sz w:val="24"/>
                <w:szCs w:val="24"/>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rPr>
                <w:rFonts w:ascii="宋体"/>
                <w:color w:val="auto"/>
              </w:rPr>
            </w:pPr>
            <w:r>
              <w:rPr>
                <w:rFonts w:hint="eastAsia" w:ascii="宋体" w:hAnsi="宋体" w:cs="宋体"/>
                <w:b/>
                <w:bCs/>
                <w:color w:val="auto"/>
                <w:sz w:val="24"/>
                <w:szCs w:val="24"/>
              </w:rPr>
              <w:t>功能分类</w:t>
            </w:r>
          </w:p>
        </w:tc>
        <w:tc>
          <w:tcPr>
            <w:tcW w:w="780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药房门诊业务</w:t>
            </w:r>
          </w:p>
        </w:tc>
        <w:tc>
          <w:tcPr>
            <w:tcW w:w="7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、提供直接发药、配药发药、配药核对、账户发药、取消发药、退药退费等基本发药退药功能。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、提供预发药功能。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、发药窗口信息集成于发药界面，可设置窗口开关状态。</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、提供处方转移功能，可将处方转移至其他药房。</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、支持取消退药功能。</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、提供配药专窗和发药专窗。</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、药房处方划价功能，可分西药、中成药、草药在药房直接录入处方划价，也可通过门诊号码调入处方划价，草药方可修改贴数。</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、支持在草药收取费用时，同时代煎药费。</w:t>
            </w:r>
          </w:p>
          <w:p>
            <w:pPr>
              <w:spacing w:before="156" w:after="156" w:line="360" w:lineRule="auto"/>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、提供合理用药接口。</w:t>
            </w:r>
          </w:p>
          <w:p>
            <w:pPr>
              <w:spacing w:before="156" w:after="156" w:line="360" w:lineRule="auto"/>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、发药界面仅显示由当前药房负责发药的已收费未发药处方，发药后的处方不再显示。</w:t>
            </w:r>
          </w:p>
          <w:p>
            <w:pPr>
              <w:spacing w:before="156" w:after="156" w:line="360" w:lineRule="auto"/>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、支持发药效期设置，已经过发药效期的处方不在界面显示。</w:t>
            </w:r>
          </w:p>
          <w:p>
            <w:pPr>
              <w:spacing w:before="156" w:after="156" w:line="360" w:lineRule="auto"/>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、提供发票或者处方号码、姓名快速定位列表，按收费时间排序。</w:t>
            </w:r>
          </w:p>
          <w:p>
            <w:pPr>
              <w:spacing w:before="156" w:after="156" w:line="360" w:lineRule="auto"/>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、提供处方基本信息概览：姓名、医师、科室、开方日期、处方号码、发药日期、发票号码、代煎药标志、帖数（中药处方）。</w:t>
            </w:r>
          </w:p>
          <w:p>
            <w:pPr>
              <w:spacing w:before="156" w:after="156" w:line="360" w:lineRule="auto"/>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、提供窗口开关功能：能显示当前窗口编号，并对窗口进行开关，窗口关闭后再收费的处方不在该窗口显示。</w:t>
            </w:r>
          </w:p>
          <w:p>
            <w:pPr>
              <w:spacing w:before="156" w:after="156" w:line="360" w:lineRule="auto"/>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、支持发药界面自动刷新：用户可以设置界面是否自动刷新，以及刷新时间（默认设置为</w:t>
            </w:r>
            <w:r>
              <w:rPr>
                <w:rFonts w:ascii="宋体" w:hAnsi="宋体" w:cs="宋体"/>
                <w:color w:val="auto"/>
                <w:sz w:val="24"/>
                <w:szCs w:val="24"/>
              </w:rPr>
              <w:t>3</w:t>
            </w:r>
            <w:r>
              <w:rPr>
                <w:rFonts w:hint="eastAsia" w:ascii="宋体" w:hAnsi="宋体" w:cs="宋体"/>
                <w:color w:val="auto"/>
                <w:sz w:val="24"/>
                <w:szCs w:val="24"/>
              </w:rPr>
              <w:t>秒）；也可以手动刷新处方信息；</w:t>
            </w:r>
          </w:p>
          <w:p>
            <w:pPr>
              <w:spacing w:before="156" w:after="156" w:line="360" w:lineRule="auto"/>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、支持多窗口发药，处方按数量自动平均发送到各个开启的发药窗口，一张处方只能在一个窗口发药。</w:t>
            </w:r>
          </w:p>
          <w:p>
            <w:pPr>
              <w:spacing w:before="156" w:after="156" w:line="360" w:lineRule="auto"/>
              <w:rPr>
                <w:rFonts w:ascii="宋体"/>
                <w:color w:val="auto"/>
                <w:sz w:val="24"/>
                <w:szCs w:val="24"/>
              </w:rPr>
            </w:pPr>
            <w:r>
              <w:rPr>
                <w:rFonts w:ascii="宋体" w:hAnsi="宋体" w:cs="宋体"/>
                <w:color w:val="auto"/>
                <w:sz w:val="24"/>
                <w:szCs w:val="24"/>
              </w:rPr>
              <w:t>17</w:t>
            </w:r>
            <w:r>
              <w:rPr>
                <w:rFonts w:hint="eastAsia" w:ascii="宋体" w:hAnsi="宋体" w:cs="宋体"/>
                <w:color w:val="auto"/>
                <w:sz w:val="24"/>
                <w:szCs w:val="24"/>
              </w:rPr>
              <w:t>、支持显示当前药房所有未发药处方。</w:t>
            </w:r>
          </w:p>
          <w:p>
            <w:pPr>
              <w:spacing w:before="156" w:after="156" w:line="360" w:lineRule="auto"/>
              <w:rPr>
                <w:rFonts w:ascii="宋体"/>
                <w:color w:val="auto"/>
                <w:sz w:val="24"/>
                <w:szCs w:val="24"/>
              </w:rPr>
            </w:pPr>
            <w:r>
              <w:rPr>
                <w:rFonts w:ascii="宋体" w:hAnsi="宋体" w:cs="宋体"/>
                <w:color w:val="auto"/>
                <w:sz w:val="24"/>
                <w:szCs w:val="24"/>
              </w:rPr>
              <w:t>18</w:t>
            </w:r>
            <w:r>
              <w:rPr>
                <w:rFonts w:hint="eastAsia" w:ascii="宋体" w:hAnsi="宋体" w:cs="宋体"/>
                <w:color w:val="auto"/>
                <w:sz w:val="24"/>
                <w:szCs w:val="24"/>
              </w:rPr>
              <w:t>、门诊发药按发票选择，门诊药房发药可以按发票号码对同一张发票的所有处方进行发药处理（可以系统选项设置）。</w:t>
            </w:r>
          </w:p>
          <w:p>
            <w:pPr>
              <w:spacing w:before="156" w:after="156" w:line="360" w:lineRule="auto"/>
              <w:rPr>
                <w:rFonts w:ascii="宋体"/>
                <w:color w:val="auto"/>
                <w:sz w:val="24"/>
                <w:szCs w:val="24"/>
              </w:rPr>
            </w:pPr>
            <w:r>
              <w:rPr>
                <w:rFonts w:ascii="宋体" w:hAnsi="宋体" w:cs="宋体"/>
                <w:color w:val="auto"/>
                <w:sz w:val="24"/>
                <w:szCs w:val="24"/>
              </w:rPr>
              <w:t>19</w:t>
            </w:r>
            <w:r>
              <w:rPr>
                <w:rFonts w:hint="eastAsia" w:ascii="宋体" w:hAnsi="宋体" w:cs="宋体"/>
                <w:color w:val="auto"/>
                <w:sz w:val="24"/>
                <w:szCs w:val="24"/>
              </w:rPr>
              <w:t>、账户病人支持一卡通发药。</w:t>
            </w:r>
          </w:p>
          <w:p>
            <w:pPr>
              <w:spacing w:before="156" w:after="156" w:line="360" w:lineRule="auto"/>
              <w:rPr>
                <w:rFonts w:ascii="宋体"/>
                <w:color w:val="auto"/>
                <w:sz w:val="24"/>
                <w:szCs w:val="24"/>
              </w:rPr>
            </w:pPr>
            <w:r>
              <w:rPr>
                <w:rFonts w:ascii="宋体" w:hAnsi="宋体" w:cs="宋体"/>
                <w:color w:val="auto"/>
                <w:sz w:val="24"/>
                <w:szCs w:val="24"/>
              </w:rPr>
              <w:t>20</w:t>
            </w:r>
            <w:r>
              <w:rPr>
                <w:rFonts w:hint="eastAsia" w:ascii="宋体" w:hAnsi="宋体" w:cs="宋体"/>
                <w:color w:val="auto"/>
                <w:sz w:val="24"/>
                <w:szCs w:val="24"/>
              </w:rPr>
              <w:t>、提供药房处方划价功能，药房可以将医生开的手工处方单录入到系统从而产生划价单。</w:t>
            </w:r>
          </w:p>
          <w:p>
            <w:pPr>
              <w:spacing w:before="156" w:after="156" w:line="360" w:lineRule="auto"/>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、支持通过审方知识库对门诊处方进行审方处理，审核通过的才能进行发药。</w:t>
            </w:r>
          </w:p>
          <w:p>
            <w:pPr>
              <w:spacing w:before="156" w:after="156" w:line="360" w:lineRule="auto"/>
              <w:rPr>
                <w:rFonts w:ascii="宋体"/>
                <w:color w:val="auto"/>
              </w:rPr>
            </w:pPr>
            <w:r>
              <w:rPr>
                <w:rFonts w:ascii="宋体" w:hAnsi="宋体" w:cs="宋体"/>
                <w:color w:val="auto"/>
                <w:sz w:val="24"/>
                <w:szCs w:val="24"/>
              </w:rPr>
              <w:t>22</w:t>
            </w:r>
            <w:r>
              <w:rPr>
                <w:rFonts w:hint="eastAsia" w:ascii="宋体" w:hAnsi="宋体" w:cs="宋体"/>
                <w:color w:val="auto"/>
                <w:sz w:val="24"/>
                <w:szCs w:val="24"/>
              </w:rPr>
              <w:t>、支持发药与处方对账处理，方便药房人员管理药品。</w:t>
            </w:r>
          </w:p>
        </w:tc>
      </w:tr>
      <w:tr>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库房管理</w:t>
            </w:r>
          </w:p>
        </w:tc>
        <w:tc>
          <w:tcPr>
            <w:tcW w:w="7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23</w:t>
            </w:r>
            <w:r>
              <w:rPr>
                <w:rFonts w:hint="eastAsia" w:ascii="宋体" w:hAnsi="宋体" w:cs="宋体"/>
                <w:color w:val="auto"/>
                <w:sz w:val="24"/>
                <w:szCs w:val="24"/>
              </w:rPr>
              <w:t>、提供期初数据录入、药品申领、申领退药、出入库处理、调拨、盘点、日结、月结等药品库房管理功能。</w:t>
            </w:r>
          </w:p>
          <w:p>
            <w:pPr>
              <w:spacing w:before="156" w:after="156" w:line="360" w:lineRule="auto"/>
              <w:rPr>
                <w:rFonts w:ascii="宋体"/>
                <w:color w:val="auto"/>
                <w:sz w:val="24"/>
                <w:szCs w:val="24"/>
              </w:rPr>
            </w:pPr>
            <w:r>
              <w:rPr>
                <w:rFonts w:ascii="宋体" w:hAnsi="宋体" w:cs="宋体"/>
                <w:color w:val="auto"/>
                <w:sz w:val="24"/>
                <w:szCs w:val="24"/>
              </w:rPr>
              <w:t>24</w:t>
            </w:r>
            <w:r>
              <w:rPr>
                <w:rFonts w:hint="eastAsia" w:ascii="宋体" w:hAnsi="宋体" w:cs="宋体"/>
                <w:color w:val="auto"/>
                <w:sz w:val="24"/>
                <w:szCs w:val="24"/>
              </w:rPr>
              <w:t>、支持同级药房之间药品调拨。</w:t>
            </w:r>
          </w:p>
          <w:p>
            <w:pPr>
              <w:spacing w:before="156" w:after="156" w:line="360" w:lineRule="auto"/>
              <w:rPr>
                <w:rFonts w:ascii="宋体"/>
                <w:color w:val="auto"/>
                <w:sz w:val="24"/>
                <w:szCs w:val="24"/>
              </w:rPr>
            </w:pPr>
            <w:r>
              <w:rPr>
                <w:rFonts w:ascii="宋体" w:hAnsi="宋体" w:cs="宋体"/>
                <w:color w:val="auto"/>
                <w:sz w:val="24"/>
                <w:szCs w:val="24"/>
              </w:rPr>
              <w:t>25</w:t>
            </w:r>
            <w:r>
              <w:rPr>
                <w:rFonts w:hint="eastAsia" w:ascii="宋体" w:hAnsi="宋体" w:cs="宋体"/>
                <w:color w:val="auto"/>
                <w:sz w:val="24"/>
                <w:szCs w:val="24"/>
              </w:rPr>
              <w:t>、支持药品养护：药房破损、变质、过期等药品的报废处理。</w:t>
            </w:r>
          </w:p>
          <w:p>
            <w:pPr>
              <w:spacing w:before="156" w:after="156" w:line="360" w:lineRule="auto"/>
              <w:rPr>
                <w:rFonts w:ascii="宋体"/>
                <w:color w:val="auto"/>
                <w:sz w:val="24"/>
                <w:szCs w:val="24"/>
              </w:rPr>
            </w:pPr>
            <w:r>
              <w:rPr>
                <w:rFonts w:ascii="宋体" w:hAnsi="宋体" w:cs="宋体"/>
                <w:color w:val="auto"/>
                <w:sz w:val="24"/>
                <w:szCs w:val="24"/>
              </w:rPr>
              <w:t>26</w:t>
            </w:r>
            <w:r>
              <w:rPr>
                <w:rFonts w:hint="eastAsia" w:ascii="宋体" w:hAnsi="宋体" w:cs="宋体"/>
                <w:color w:val="auto"/>
                <w:sz w:val="24"/>
                <w:szCs w:val="24"/>
              </w:rPr>
              <w:t>、支持手工申领和智能申领两种方式。药房智能申领功能能够根据一段时间内的消耗数量，利用正态分布公式自动计算高低储和需要申领的数量，直接生成申领单</w:t>
            </w:r>
            <w:r>
              <w:rPr>
                <w:rFonts w:ascii="宋体" w:hAnsi="宋体" w:cs="宋体"/>
                <w:color w:val="auto"/>
                <w:sz w:val="24"/>
                <w:szCs w:val="24"/>
              </w:rPr>
              <w:t xml:space="preserve"> </w:t>
            </w:r>
            <w:r>
              <w:rPr>
                <w:rFonts w:hint="eastAsia" w:ascii="宋体" w:hAnsi="宋体" w:cs="宋体"/>
                <w:color w:val="auto"/>
                <w:sz w:val="24"/>
                <w:szCs w:val="24"/>
              </w:rPr>
              <w:t>。</w:t>
            </w:r>
          </w:p>
          <w:p>
            <w:pPr>
              <w:spacing w:before="156" w:after="156" w:line="360" w:lineRule="auto"/>
              <w:rPr>
                <w:rFonts w:ascii="宋体"/>
                <w:color w:val="auto"/>
                <w:sz w:val="24"/>
                <w:szCs w:val="24"/>
              </w:rPr>
            </w:pPr>
            <w:r>
              <w:rPr>
                <w:rFonts w:ascii="宋体" w:hAnsi="宋体" w:cs="宋体"/>
                <w:color w:val="auto"/>
                <w:sz w:val="24"/>
                <w:szCs w:val="24"/>
              </w:rPr>
              <w:t>27</w:t>
            </w:r>
            <w:r>
              <w:rPr>
                <w:rFonts w:hint="eastAsia" w:ascii="宋体" w:hAnsi="宋体" w:cs="宋体"/>
                <w:color w:val="auto"/>
                <w:sz w:val="24"/>
                <w:szCs w:val="24"/>
              </w:rPr>
              <w:t>、支持多人盘点汇总的方式，每人保存各自盘点单并可查询，可按库位、批次、包装等盘点。</w:t>
            </w:r>
          </w:p>
          <w:p>
            <w:pPr>
              <w:spacing w:before="156" w:after="156" w:line="360" w:lineRule="auto"/>
              <w:rPr>
                <w:rFonts w:ascii="宋体"/>
                <w:color w:val="auto"/>
                <w:sz w:val="24"/>
                <w:szCs w:val="24"/>
              </w:rPr>
            </w:pPr>
            <w:r>
              <w:rPr>
                <w:rFonts w:ascii="宋体" w:hAnsi="宋体" w:cs="宋体"/>
                <w:color w:val="auto"/>
                <w:sz w:val="24"/>
                <w:szCs w:val="24"/>
              </w:rPr>
              <w:t>28</w:t>
            </w:r>
            <w:r>
              <w:rPr>
                <w:rFonts w:hint="eastAsia" w:ascii="宋体" w:hAnsi="宋体" w:cs="宋体"/>
                <w:color w:val="auto"/>
                <w:sz w:val="24"/>
                <w:szCs w:val="24"/>
              </w:rPr>
              <w:t>、月结无法进行时能够提示未完成的单据信息，可取消最后一次月结记录。</w:t>
            </w:r>
          </w:p>
          <w:p>
            <w:pPr>
              <w:spacing w:before="156" w:after="156" w:line="360" w:lineRule="auto"/>
              <w:rPr>
                <w:rFonts w:ascii="宋体"/>
                <w:color w:val="auto"/>
                <w:sz w:val="24"/>
                <w:szCs w:val="24"/>
              </w:rPr>
            </w:pPr>
            <w:r>
              <w:rPr>
                <w:rFonts w:ascii="宋体" w:hAnsi="宋体" w:cs="宋体"/>
                <w:color w:val="auto"/>
                <w:sz w:val="24"/>
                <w:szCs w:val="24"/>
              </w:rPr>
              <w:t>29</w:t>
            </w:r>
            <w:r>
              <w:rPr>
                <w:rFonts w:hint="eastAsia" w:ascii="宋体" w:hAnsi="宋体" w:cs="宋体"/>
                <w:color w:val="auto"/>
                <w:sz w:val="24"/>
                <w:szCs w:val="24"/>
              </w:rPr>
              <w:t>、支持当批次药品存量小于一次使用量时，按先进先出原则，将早的批次药品先出完。</w:t>
            </w:r>
          </w:p>
          <w:p>
            <w:pPr>
              <w:spacing w:before="156" w:after="156" w:line="360" w:lineRule="auto"/>
              <w:rPr>
                <w:rFonts w:ascii="宋体"/>
                <w:color w:val="auto"/>
                <w:sz w:val="24"/>
                <w:szCs w:val="24"/>
              </w:rPr>
            </w:pPr>
            <w:r>
              <w:rPr>
                <w:rFonts w:ascii="宋体" w:hAnsi="宋体" w:cs="宋体"/>
                <w:color w:val="auto"/>
                <w:sz w:val="24"/>
                <w:szCs w:val="24"/>
              </w:rPr>
              <w:t>30</w:t>
            </w:r>
            <w:r>
              <w:rPr>
                <w:rFonts w:hint="eastAsia" w:ascii="宋体" w:hAnsi="宋体" w:cs="宋体"/>
                <w:color w:val="auto"/>
                <w:sz w:val="24"/>
                <w:szCs w:val="24"/>
              </w:rPr>
              <w:t>、可以禁用库存内药品，被禁用的药品库存不能进行门诊或者住院发药处理。</w:t>
            </w:r>
          </w:p>
          <w:p>
            <w:pPr>
              <w:spacing w:before="156" w:after="156" w:line="360" w:lineRule="auto"/>
              <w:rPr>
                <w:rFonts w:ascii="宋体"/>
                <w:color w:val="auto"/>
                <w:sz w:val="24"/>
                <w:szCs w:val="24"/>
              </w:rPr>
            </w:pPr>
            <w:r>
              <w:rPr>
                <w:rFonts w:ascii="宋体" w:hAnsi="宋体" w:cs="宋体"/>
                <w:color w:val="auto"/>
                <w:sz w:val="24"/>
                <w:szCs w:val="24"/>
              </w:rPr>
              <w:t>31</w:t>
            </w:r>
            <w:r>
              <w:rPr>
                <w:rFonts w:hint="eastAsia" w:ascii="宋体" w:hAnsi="宋体" w:cs="宋体"/>
                <w:color w:val="auto"/>
                <w:sz w:val="24"/>
                <w:szCs w:val="24"/>
              </w:rPr>
              <w:t>、支持药房将某一产地的药品全部禁用，禁用后该产地的药品不能使用。</w:t>
            </w:r>
          </w:p>
          <w:p>
            <w:pPr>
              <w:spacing w:before="156" w:after="156" w:line="360" w:lineRule="auto"/>
              <w:rPr>
                <w:rFonts w:ascii="宋体"/>
                <w:color w:val="auto"/>
              </w:rPr>
            </w:pPr>
            <w:r>
              <w:rPr>
                <w:rFonts w:ascii="宋体" w:hAnsi="宋体" w:cs="宋体"/>
                <w:color w:val="auto"/>
                <w:sz w:val="24"/>
                <w:szCs w:val="24"/>
              </w:rPr>
              <w:t>32</w:t>
            </w:r>
            <w:r>
              <w:rPr>
                <w:rFonts w:hint="eastAsia" w:ascii="宋体" w:hAnsi="宋体" w:cs="宋体"/>
                <w:color w:val="auto"/>
                <w:sz w:val="24"/>
                <w:szCs w:val="24"/>
              </w:rPr>
              <w:t>、支持药房将统一批次的某类药品全部禁用，禁用后的药品是否使用，药房可以进行配置，如：药房可以设置在缺药时使用禁用药品。</w:t>
            </w:r>
          </w:p>
        </w:tc>
      </w:tr>
      <w:tr>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住院药房</w:t>
            </w:r>
          </w:p>
        </w:tc>
        <w:tc>
          <w:tcPr>
            <w:tcW w:w="7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、提供住院发药、摆药，急诊用药，出院带药、取药、病区退药等基本发药退药功能。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、病区发药界面能够根据病区和发药方式将发药单分类汇总。</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、支持发药时可按提交单按病人发药，也可按病人汇总发药。</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、当药房缺药时，可自动产生默认缺药数量的缺药申领单。</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、病区药房发药时，如有缺药时，支持同组医嘱药品均不发药，需退回。</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、提供病区发药提醒功能，提示当前的发药信息。</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、住院药品记账功能，可通过床号和住院号码在药房记录药品费用。</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、提供药房充抵药物退回，加入病区退药可选择药品实物退与不退的功能。剩余充抵药品可实物退回病区。</w:t>
            </w:r>
          </w:p>
          <w:p>
            <w:pPr>
              <w:spacing w:before="156" w:after="156" w:line="360" w:lineRule="auto"/>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、提供出院带药取药，支持先出院结算后再到药房取药。</w:t>
            </w:r>
          </w:p>
          <w:p>
            <w:pPr>
              <w:spacing w:before="156" w:after="156" w:line="360" w:lineRule="auto"/>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、支持住院医嘱审核，通过药品的配伍知识库和人工进行医嘱审核。</w:t>
            </w:r>
          </w:p>
          <w:p>
            <w:pPr>
              <w:spacing w:before="156" w:after="156" w:line="360" w:lineRule="auto"/>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、提供发药提醒消息界面，能根据设置的时间自动刷新数据。</w:t>
            </w:r>
          </w:p>
          <w:p>
            <w:pPr>
              <w:spacing w:before="156" w:after="156" w:line="360" w:lineRule="auto"/>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、支持病区病人药箱功能，病人自带药、一些不拆包装的药品用药可纳入病人药箱管理，对患者药品进行管理。</w:t>
            </w:r>
          </w:p>
          <w:p>
            <w:pPr>
              <w:spacing w:before="156" w:after="156" w:line="360" w:lineRule="auto"/>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、能根据退药病区过滤退药申请的记录。</w:t>
            </w:r>
          </w:p>
          <w:p>
            <w:pPr>
              <w:spacing w:before="156" w:after="156" w:line="360" w:lineRule="auto"/>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、支持通过医嘱拿药或者系统漏计费时使用药品费用记账，记账后需要扣减药房库存并增加住院患者费用。</w:t>
            </w:r>
          </w:p>
          <w:p>
            <w:pPr>
              <w:spacing w:before="156" w:after="156" w:line="360" w:lineRule="auto"/>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、提供医嘱变动情况查询，即时了解病区当天新开医嘱或新停医嘱信息，便于安排住院药品发药。</w:t>
            </w:r>
          </w:p>
          <w:p>
            <w:pPr>
              <w:spacing w:before="156" w:after="156" w:line="360" w:lineRule="auto"/>
              <w:rPr>
                <w:rFonts w:ascii="宋体"/>
                <w:color w:val="auto"/>
              </w:rPr>
            </w:pPr>
            <w:r>
              <w:rPr>
                <w:rFonts w:ascii="宋体" w:hAnsi="宋体" w:cs="宋体"/>
                <w:color w:val="auto"/>
                <w:sz w:val="24"/>
                <w:szCs w:val="24"/>
              </w:rPr>
              <w:t>16</w:t>
            </w:r>
            <w:r>
              <w:rPr>
                <w:rFonts w:hint="eastAsia" w:ascii="宋体" w:hAnsi="宋体" w:cs="宋体"/>
                <w:color w:val="auto"/>
                <w:sz w:val="24"/>
                <w:szCs w:val="24"/>
              </w:rPr>
              <w:t>、药品信息支持最小单位和最小包装设置，方便临床管理。</w:t>
            </w:r>
          </w:p>
        </w:tc>
      </w:tr>
      <w:tr>
        <w:tblPrEx>
          <w:tblCellMar>
            <w:top w:w="0" w:type="dxa"/>
            <w:left w:w="10" w:type="dxa"/>
            <w:bottom w:w="0" w:type="dxa"/>
            <w:right w:w="10" w:type="dxa"/>
          </w:tblCellMar>
        </w:tblPrEx>
        <w:trPr>
          <w:trHeight w:val="1" w:hRule="atLeast"/>
        </w:trPr>
        <w:tc>
          <w:tcPr>
            <w:tcW w:w="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统计查询与信息维护</w:t>
            </w:r>
          </w:p>
        </w:tc>
        <w:tc>
          <w:tcPr>
            <w:tcW w:w="7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、自动获取药库维护的药品信息。</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、支持药品批次管理。</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、提供药品有效期自动报警功能，支持统计过期药品的品种数和金额，提供库存量提示功能。</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、支持多个门（急）诊药房管理。</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、支持三级库房管理。</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、提供药房库存，药品价格信息，门诊发药，调拨历史，药房账簿，汇总月报，库存日报，失效报警，代煎药发药等基本统计查询。</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、提供药房对账工具，通过入出库业务推算数量、日志入出推算数量、系统库存数量、实际清点库存数量，以金额来判断是否存在账簿问题，并可修正账簿，记录修正日志。</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、处方发药查询可按某一字段精确定位查询。</w:t>
            </w:r>
          </w:p>
          <w:p>
            <w:pPr>
              <w:spacing w:before="156" w:after="156"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、系统对账功能：支持校对账目与库存的平衡关系。</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4.8.7</w:t>
      </w:r>
      <w:r>
        <w:rPr>
          <w:rFonts w:hint="eastAsia" w:ascii="宋体" w:hAnsi="宋体" w:eastAsia="宋体" w:cs="宋体"/>
          <w:color w:val="auto"/>
        </w:rPr>
        <w:t>、住院药房管理系统</w:t>
      </w:r>
    </w:p>
    <w:tbl>
      <w:tblPr>
        <w:tblStyle w:val="21"/>
        <w:tblW w:w="9908" w:type="dxa"/>
        <w:tblInd w:w="-291" w:type="dxa"/>
        <w:tblLayout w:type="autofit"/>
        <w:tblCellMar>
          <w:top w:w="0" w:type="dxa"/>
          <w:left w:w="10" w:type="dxa"/>
          <w:bottom w:w="0" w:type="dxa"/>
          <w:right w:w="10" w:type="dxa"/>
        </w:tblCellMar>
      </w:tblPr>
      <w:tblGrid>
        <w:gridCol w:w="786"/>
        <w:gridCol w:w="1922"/>
        <w:gridCol w:w="7200"/>
      </w:tblGrid>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92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20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普通用药</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、提供住院发药、摆药、取药，病区退药等基本发药退药功能。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、支持发药时可按提交单按病人发药，也可按病人汇总发药。</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、提供病区发药提醒功能，能够清楚提示当前的发药信息。</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急诊用药</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支持对急诊病人的临时医嘱药品发药处理。</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出院带药</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、能够对长期、临时、急诊、出院带药医嘱进行过滤。</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、出院带药取药支持先出院结算后再到药房取药。</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病区退药</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、支持通过参数控制是否启用病区退药退费分离设置，启用时间药房退药处理可以只退药不退费或只退费不退药，不启用时间退药需同时自动退费。</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、支持对需要及时出院的患者采用先退费再退药模式处理，方便患者。</w:t>
            </w:r>
          </w:p>
        </w:tc>
      </w:tr>
      <w:tr>
        <w:tblPrEx>
          <w:tblCellMar>
            <w:top w:w="0" w:type="dxa"/>
            <w:left w:w="10" w:type="dxa"/>
            <w:bottom w:w="0" w:type="dxa"/>
            <w:right w:w="10" w:type="dxa"/>
          </w:tblCellMar>
        </w:tblPrEx>
        <w:trPr>
          <w:trHeight w:val="413"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出入库管理</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支持扫码入库、出库管理。</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调拨管理</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、支持同级药房之间药品调拨。</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、支持同级药房调拨退药处理。</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盘点管理</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、支持多人盘点汇总方式，每人保存各自盘点单并可查询，可按库位、批次、包装等盘点。</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w:t>
            </w:r>
            <w:r>
              <w:rPr>
                <w:rFonts w:ascii="宋体" w:hAnsi="宋体" w:cs="宋体"/>
                <w:color w:val="auto"/>
                <w:sz w:val="24"/>
                <w:szCs w:val="24"/>
              </w:rPr>
              <w:t>PDA</w:t>
            </w:r>
            <w:r>
              <w:rPr>
                <w:rFonts w:hint="eastAsia" w:ascii="宋体" w:hAnsi="宋体" w:cs="宋体"/>
                <w:color w:val="auto"/>
                <w:sz w:val="24"/>
                <w:szCs w:val="24"/>
              </w:rPr>
              <w:t>盘点处理。</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8</w:t>
            </w:r>
          </w:p>
        </w:tc>
        <w:tc>
          <w:tcPr>
            <w:tcW w:w="19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住院医嘱审核</w:t>
            </w:r>
          </w:p>
        </w:tc>
        <w:tc>
          <w:tcPr>
            <w:tcW w:w="72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、支持通过参数控制来启用住院医嘱审核。</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、支持自动审医嘱和人工审核。</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、审核医嘱支持对患者的基本信息进行查询。</w:t>
            </w:r>
          </w:p>
        </w:tc>
      </w:tr>
    </w:tbl>
    <w:p>
      <w:pPr>
        <w:pStyle w:val="6"/>
        <w:rPr>
          <w:rFonts w:ascii="宋体" w:hAnsi="宋体" w:eastAsia="宋体" w:cs="Times New Roman"/>
          <w:color w:val="auto"/>
        </w:rPr>
      </w:pPr>
      <w:r>
        <w:rPr>
          <w:rFonts w:ascii="宋体" w:hAnsi="宋体" w:eastAsia="宋体" w:cs="宋体"/>
          <w:color w:val="auto"/>
        </w:rPr>
        <w:t>4.8.8</w:t>
      </w:r>
      <w:r>
        <w:rPr>
          <w:rFonts w:hint="eastAsia" w:ascii="宋体" w:hAnsi="宋体" w:eastAsia="宋体" w:cs="宋体"/>
          <w:color w:val="auto"/>
        </w:rPr>
        <w:t>、病案管理系统</w:t>
      </w:r>
    </w:p>
    <w:tbl>
      <w:tblPr>
        <w:tblStyle w:val="21"/>
        <w:tblW w:w="9997" w:type="dxa"/>
        <w:tblInd w:w="-367" w:type="dxa"/>
        <w:tblLayout w:type="autofit"/>
        <w:tblCellMar>
          <w:top w:w="0" w:type="dxa"/>
          <w:left w:w="10" w:type="dxa"/>
          <w:bottom w:w="0" w:type="dxa"/>
          <w:right w:w="10" w:type="dxa"/>
        </w:tblCellMar>
      </w:tblPr>
      <w:tblGrid>
        <w:gridCol w:w="894"/>
        <w:gridCol w:w="1309"/>
        <w:gridCol w:w="7794"/>
      </w:tblGrid>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79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病案管理</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提供出院病人病案首页登记功能，需包含病人基本信息、入出院信息、诊断情况、手术情况、</w:t>
            </w:r>
            <w:r>
              <w:rPr>
                <w:rFonts w:ascii="宋体" w:hAnsi="宋体" w:cs="宋体"/>
                <w:color w:val="auto"/>
                <w:sz w:val="24"/>
                <w:szCs w:val="24"/>
              </w:rPr>
              <w:t>HQMS</w:t>
            </w:r>
            <w:r>
              <w:rPr>
                <w:rFonts w:hint="eastAsia" w:ascii="宋体" w:hAnsi="宋体" w:cs="宋体"/>
                <w:color w:val="auto"/>
                <w:sz w:val="24"/>
                <w:szCs w:val="24"/>
              </w:rPr>
              <w:t>数据等信息；支持</w:t>
            </w:r>
            <w:r>
              <w:rPr>
                <w:rFonts w:ascii="宋体" w:hAnsi="宋体" w:cs="宋体"/>
                <w:color w:val="auto"/>
                <w:sz w:val="24"/>
                <w:szCs w:val="24"/>
              </w:rPr>
              <w:t>EMR</w:t>
            </w:r>
            <w:r>
              <w:rPr>
                <w:rFonts w:hint="eastAsia" w:ascii="宋体" w:hAnsi="宋体" w:cs="宋体"/>
                <w:color w:val="auto"/>
                <w:sz w:val="24"/>
                <w:szCs w:val="24"/>
              </w:rPr>
              <w:t>病案同步、病案归档；支持对输入的病案首页进行修改、注销、查询和归档管理。</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病案催缴</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支持对病人已经出院但未提交病案的住院科室提交催缴单，支持纸质催缴单和催缴消息发送。</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条码管理</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支持每份病案对应一个唯一条码，并能根据条码追溯病案。对于纸质病案支持条码打印，并贴附与病案上，便于扫描。</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借阅管理</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提供借阅管理，包括借阅登记、续借、催还、归还的管理操作，病案借阅和归还支持条码登记。</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质量管理</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支持对已登记完成的病案质量进行检查，将登记信息与病案填写标准比较，对病案登记质量进行评价。</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报表管理</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支持按科室统计病案数据、支持按疾病统计病案数据、支持按病种统计病案数据。</w:t>
            </w:r>
          </w:p>
        </w:tc>
      </w:tr>
      <w:tr>
        <w:tblPrEx>
          <w:tblCellMar>
            <w:top w:w="0" w:type="dxa"/>
            <w:left w:w="10" w:type="dxa"/>
            <w:bottom w:w="0" w:type="dxa"/>
            <w:right w:w="10" w:type="dxa"/>
          </w:tblCellMar>
        </w:tblPrEx>
        <w:trPr>
          <w:trHeight w:val="1" w:hRule="atLeast"/>
        </w:trPr>
        <w:tc>
          <w:tcPr>
            <w:tcW w:w="8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查询管理</w:t>
            </w:r>
          </w:p>
        </w:tc>
        <w:tc>
          <w:tcPr>
            <w:tcW w:w="77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提供检查查询和综合查询功能，简单查询以住院号，姓名，疾病编码，统计码为条件单项或组合查询病案首页，综合查询可以定义多种组合条件查询病案首页。</w:t>
            </w:r>
          </w:p>
        </w:tc>
      </w:tr>
    </w:tbl>
    <w:p>
      <w:pPr>
        <w:pStyle w:val="6"/>
        <w:rPr>
          <w:rFonts w:ascii="宋体" w:hAnsi="宋体" w:eastAsia="宋体" w:cs="Times New Roman"/>
          <w:color w:val="auto"/>
        </w:rPr>
      </w:pPr>
      <w:r>
        <w:rPr>
          <w:rFonts w:ascii="宋体" w:hAnsi="宋体" w:eastAsia="宋体" w:cs="宋体"/>
          <w:color w:val="auto"/>
        </w:rPr>
        <w:t>4.8.9</w:t>
      </w:r>
      <w:r>
        <w:rPr>
          <w:rFonts w:hint="eastAsia" w:ascii="宋体" w:hAnsi="宋体" w:eastAsia="宋体" w:cs="宋体"/>
          <w:color w:val="auto"/>
        </w:rPr>
        <w:t>、门诊医生站管理系统</w:t>
      </w:r>
    </w:p>
    <w:tbl>
      <w:tblPr>
        <w:tblStyle w:val="21"/>
        <w:tblW w:w="9843" w:type="dxa"/>
        <w:jc w:val="center"/>
        <w:tblLayout w:type="autofit"/>
        <w:tblCellMar>
          <w:top w:w="0" w:type="dxa"/>
          <w:left w:w="10" w:type="dxa"/>
          <w:bottom w:w="0" w:type="dxa"/>
          <w:right w:w="10" w:type="dxa"/>
        </w:tblCellMar>
      </w:tblPr>
      <w:tblGrid>
        <w:gridCol w:w="1196"/>
        <w:gridCol w:w="1955"/>
        <w:gridCol w:w="6692"/>
      </w:tblGrid>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95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69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1</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病人选择、暂挂、结束</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、提供病人选择功能，包括输入门诊号、读取就诊卡、根据队列选择病人等多种方式就医。</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、提供病人快速选取功能或结合叫号系统实现叫号功能。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、提供就诊暂挂功能，支持病人暂停就诊或继续进行就诊。</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、提供结束就诊功能，结束某病人的就诊历程。</w:t>
            </w:r>
          </w:p>
          <w:p>
            <w:pPr>
              <w:tabs>
                <w:tab w:val="left" w:pos="425"/>
              </w:tabs>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、提供门诊病人基本信息的查看和补充修改功能，包含病生理状态、过敏药物等。</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2</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诊疗助手</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5"/>
              </w:tabs>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、提供常用药品及诊疗组套、常用诊断、药品字典、诊疗字典、诊断字典等。</w:t>
            </w:r>
          </w:p>
          <w:p>
            <w:pPr>
              <w:tabs>
                <w:tab w:val="left" w:pos="425"/>
              </w:tabs>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、提供业务流程与系统操作之间的联动。</w:t>
            </w:r>
          </w:p>
          <w:p>
            <w:pPr>
              <w:tabs>
                <w:tab w:val="left" w:pos="425"/>
              </w:tabs>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、提供诊疗助手数据快速引用功能。</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4</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门诊处方</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、可根据病人的病情与诊断给病人开中西草药药方。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、提供与合理用药系统接口，在开处方时可以获得药品说明书、药物剂量、药物相互作用和配伍禁忌的提示。</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、提供处方审核并能够对用药权限加以控制。</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、提供处方助手功能，实现组套处方的快速下达。</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、提供接收处方点评的反馈信息并能够在界面上显示。</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5</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电子申请单</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、提供检验、检查单申请单管理（申请、查看报告）。</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、支持检查申请单在医生站直接预约。</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、支持对医技报告或影像的及时查看。</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、提供会诊申请单管理（申请、查看会诊记录）。</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、提供治疗申请单管理（申请、查看治疗记录），支持检查申请单医生站直接预约。</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6</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门诊诊断</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w:t>
            </w:r>
            <w:r>
              <w:rPr>
                <w:rFonts w:ascii="宋体" w:hAnsi="宋体" w:cs="宋体"/>
                <w:color w:val="auto"/>
                <w:sz w:val="24"/>
                <w:szCs w:val="24"/>
              </w:rPr>
              <w:t>ICD-10</w:t>
            </w:r>
            <w:r>
              <w:rPr>
                <w:rFonts w:hint="eastAsia" w:ascii="宋体" w:hAnsi="宋体" w:cs="宋体"/>
                <w:color w:val="auto"/>
                <w:sz w:val="24"/>
                <w:szCs w:val="24"/>
              </w:rPr>
              <w:t>标准编码和自定义诊断形式下达诊断。</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、支持对中医西医诊断对照，支持对诊断部位的录入。</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、支持疫病报卡并与诊断关联，实现诊断下达的同时实现疫病登记。</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7</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门诊手术</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提供门诊手术管理。（申请、门诊手术预约）</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8</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门诊处置</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提供门诊除处方外所有费用明细查看；提供门诊相关处置、材料费用录入。</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9</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既往病史</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提供既往门诊和住院的病史查阅功能。</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10</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诊间转科</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提供门诊同级科室之间转科，如挂错号时。</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11</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住院预约</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提供对需要进行住院治疗的门诊病人，在医生站内进行住院预约。</w:t>
            </w:r>
          </w:p>
        </w:tc>
      </w:tr>
      <w:tr>
        <w:tblPrEx>
          <w:tblCellMar>
            <w:top w:w="0" w:type="dxa"/>
            <w:left w:w="10" w:type="dxa"/>
            <w:bottom w:w="0" w:type="dxa"/>
            <w:right w:w="10" w:type="dxa"/>
          </w:tblCellMar>
        </w:tblPrEx>
        <w:trPr>
          <w:trHeight w:val="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12</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复诊预约</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提供对病人在结束就诊前进行复诊预约，病人复诊时可以直接就诊或者无须进行挂号预约。</w:t>
            </w:r>
          </w:p>
        </w:tc>
      </w:tr>
      <w:tr>
        <w:tblPrEx>
          <w:tblCellMar>
            <w:top w:w="0" w:type="dxa"/>
            <w:left w:w="10" w:type="dxa"/>
            <w:bottom w:w="0" w:type="dxa"/>
            <w:right w:w="10" w:type="dxa"/>
          </w:tblCellMar>
        </w:tblPrEx>
        <w:trPr>
          <w:trHeight w:val="2563"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13</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字典目录</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、提供常用药品、常用诊疗、药品字典、诊疗字典、诊断字典及诊疗组套等目录。</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、提供业务流程与系统操作之间的联动操作。</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、提供助手数据快速引用至电子病历功能。</w:t>
            </w:r>
          </w:p>
        </w:tc>
      </w:tr>
      <w:tr>
        <w:tblPrEx>
          <w:tblCellMar>
            <w:top w:w="0" w:type="dxa"/>
            <w:left w:w="10" w:type="dxa"/>
            <w:bottom w:w="0" w:type="dxa"/>
            <w:right w:w="10" w:type="dxa"/>
          </w:tblCellMar>
        </w:tblPrEx>
        <w:trPr>
          <w:trHeight w:val="1"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ascii="宋体" w:hAnsi="宋体" w:cs="宋体"/>
                <w:color w:val="auto"/>
                <w:sz w:val="24"/>
                <w:szCs w:val="24"/>
              </w:rPr>
              <w:t>14</w:t>
            </w:r>
          </w:p>
        </w:tc>
        <w:tc>
          <w:tcPr>
            <w:tcW w:w="195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统计查询</w:t>
            </w: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r>
              <w:rPr>
                <w:rFonts w:hint="eastAsia" w:ascii="宋体" w:hAnsi="宋体" w:cs="宋体"/>
                <w:color w:val="auto"/>
                <w:sz w:val="24"/>
                <w:szCs w:val="24"/>
              </w:rPr>
              <w:t>、门诊就诊记录查询：提供门诊病人就诊记录查询功能。</w:t>
            </w:r>
          </w:p>
        </w:tc>
      </w:tr>
      <w:tr>
        <w:tblPrEx>
          <w:tblCellMar>
            <w:top w:w="0" w:type="dxa"/>
            <w:left w:w="10" w:type="dxa"/>
            <w:bottom w:w="0" w:type="dxa"/>
            <w:right w:w="10" w:type="dxa"/>
          </w:tblCellMar>
        </w:tblPrEx>
        <w:trPr>
          <w:trHeight w:val="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2"/>
                <w:szCs w:val="22"/>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2"/>
                <w:szCs w:val="22"/>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、门诊就诊费用统计：提供门诊病人就诊费用统计功能。</w:t>
            </w:r>
          </w:p>
        </w:tc>
      </w:tr>
      <w:tr>
        <w:tblPrEx>
          <w:tblCellMar>
            <w:top w:w="0" w:type="dxa"/>
            <w:left w:w="10" w:type="dxa"/>
            <w:bottom w:w="0" w:type="dxa"/>
            <w:right w:w="10" w:type="dxa"/>
          </w:tblCellMar>
        </w:tblPrEx>
        <w:trPr>
          <w:trHeight w:val="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2"/>
                <w:szCs w:val="22"/>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2"/>
                <w:szCs w:val="22"/>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、门诊处方收费统计：提供按科室统计处方收费功能。</w:t>
            </w:r>
          </w:p>
        </w:tc>
      </w:tr>
      <w:tr>
        <w:tblPrEx>
          <w:tblCellMar>
            <w:top w:w="0" w:type="dxa"/>
            <w:left w:w="10" w:type="dxa"/>
            <w:bottom w:w="0" w:type="dxa"/>
            <w:right w:w="10" w:type="dxa"/>
          </w:tblCellMar>
        </w:tblPrEx>
        <w:trPr>
          <w:trHeight w:val="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2"/>
                <w:szCs w:val="22"/>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2"/>
                <w:szCs w:val="22"/>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、门诊诊断统计：提供按科室统计诊断下达次数及病人数量功能。</w:t>
            </w:r>
          </w:p>
        </w:tc>
      </w:tr>
      <w:tr>
        <w:tblPrEx>
          <w:tblCellMar>
            <w:top w:w="0" w:type="dxa"/>
            <w:left w:w="10" w:type="dxa"/>
            <w:bottom w:w="0" w:type="dxa"/>
            <w:right w:w="10" w:type="dxa"/>
          </w:tblCellMar>
        </w:tblPrEx>
        <w:trPr>
          <w:trHeight w:val="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2"/>
                <w:szCs w:val="22"/>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2"/>
                <w:szCs w:val="22"/>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、手术记录查询：提供门诊及住院手术记录查询功能。</w:t>
            </w:r>
          </w:p>
        </w:tc>
      </w:tr>
      <w:tr>
        <w:tblPrEx>
          <w:tblCellMar>
            <w:top w:w="0" w:type="dxa"/>
            <w:left w:w="10" w:type="dxa"/>
            <w:bottom w:w="0" w:type="dxa"/>
            <w:right w:w="10" w:type="dxa"/>
          </w:tblCellMar>
        </w:tblPrEx>
        <w:trPr>
          <w:trHeight w:val="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2"/>
                <w:szCs w:val="22"/>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2"/>
                <w:szCs w:val="22"/>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r>
              <w:rPr>
                <w:rFonts w:hint="eastAsia" w:ascii="宋体" w:hAnsi="宋体" w:cs="宋体"/>
                <w:color w:val="auto"/>
                <w:sz w:val="24"/>
                <w:szCs w:val="24"/>
              </w:rPr>
              <w:t>、复诊预约查询：提供复诊病人预约记录查询功能。</w:t>
            </w:r>
          </w:p>
        </w:tc>
      </w:tr>
      <w:tr>
        <w:tblPrEx>
          <w:tblCellMar>
            <w:top w:w="0" w:type="dxa"/>
            <w:left w:w="10" w:type="dxa"/>
            <w:bottom w:w="0" w:type="dxa"/>
            <w:right w:w="10" w:type="dxa"/>
          </w:tblCellMar>
        </w:tblPrEx>
        <w:trPr>
          <w:trHeight w:val="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2"/>
                <w:szCs w:val="22"/>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2"/>
                <w:szCs w:val="22"/>
              </w:rPr>
            </w:pPr>
          </w:p>
        </w:tc>
        <w:tc>
          <w:tcPr>
            <w:tcW w:w="6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r>
              <w:rPr>
                <w:rFonts w:hint="eastAsia" w:ascii="宋体" w:hAnsi="宋体" w:cs="宋体"/>
                <w:color w:val="auto"/>
                <w:sz w:val="24"/>
                <w:szCs w:val="24"/>
              </w:rPr>
              <w:t>、住院预约查询：提供住院病人预约记录查询功能。</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4.8.10</w:t>
      </w:r>
      <w:r>
        <w:rPr>
          <w:rFonts w:hint="eastAsia" w:ascii="宋体" w:hAnsi="宋体" w:eastAsia="宋体" w:cs="宋体"/>
          <w:color w:val="auto"/>
        </w:rPr>
        <w:t>、住院医生站管理系统</w:t>
      </w:r>
    </w:p>
    <w:tbl>
      <w:tblPr>
        <w:tblStyle w:val="21"/>
        <w:tblW w:w="9530" w:type="dxa"/>
        <w:tblInd w:w="2" w:type="dxa"/>
        <w:tblLayout w:type="autofit"/>
        <w:tblCellMar>
          <w:top w:w="0" w:type="dxa"/>
          <w:left w:w="10" w:type="dxa"/>
          <w:bottom w:w="0" w:type="dxa"/>
          <w:right w:w="10" w:type="dxa"/>
        </w:tblCellMar>
      </w:tblPr>
      <w:tblGrid>
        <w:gridCol w:w="700"/>
        <w:gridCol w:w="2009"/>
        <w:gridCol w:w="6821"/>
      </w:tblGrid>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200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82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主页管理</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、提供医生今日工作列表，包括“病人流向、待会诊病人、待转入病人、待转出病人、问题医嘱、待写病历、质控信息提醒、危急值提醒、待查检验结果”等信息。</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系统应能及时接收到会诊消息，能及时查看到病人详情和病历等资料，系统应能提供快速显示界面，提供医生查询，并且具有独立会诊患者列表，能显示会诊的紧急情况，医生可快速打开会诊病人查看资料。会诊消息界面要能书写会诊意见。</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、临床医生能够直观查看待转入转出病人信息，支持查阅待转入病人病历、接收待转入病人；支持取消待转出病人。</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、病房医生工作站系统应能及时呈现病历质控消息，并可调出病历质控消息单供医生查阅，支持质控消息单界面快速打开病历，方便医生修改。</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医生提交的医嘱被护士或者药房进行退回时，医生需要第一时间进行知悉。病房医生工作站需要将问题医嘱进行呈现，能够显示问题医嘱对应的病人、床号、问题医嘱内容等，并且提供快速处理入口，医生点击问题医嘱，系统即可自动跳转到对应病人的对应医嘱进行作废或者重新提交等操作处理。</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、提供病房医生站病历书写的时限提醒功能，时间点可根据规则自动计算并呈现在消息界面，供医生查询。</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、病人出现危机值时，病房医生工作站应能及时接收和呈现相关系统发送的消息，并在消息界面进行提示，能使医生及时关注到危急值提示消息并进行处理。</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、提供病房医生工作站集成申请单审批功能。医生站能够将下级医生提交审批的申请单统一罗列在消息平台，专家可以进行查看和审批操作，同时能查询历史申请单。</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、系统应能与医务系统对接并获取信息，及时将医务信息反馈给临床医护人员。</w:t>
            </w:r>
          </w:p>
          <w:p>
            <w:pPr>
              <w:spacing w:before="156" w:after="156"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、支持医生单病人多业务、多病人多业务操作。</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病人列表</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、提供病房医生工作站患者综合管理功能，能够查看患者基本信息和实时状态跟踪。</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、应能以列表方式和床头卡方式呈现患者列表。</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、新入院、转科、出院病人应有底色标示，以便医生快速查找。</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、提供：临床路径、问题医嘱、质控消息、重点病人、待手术、手术后、医院感染、欠费等患者标识。点击相应标识，能够对病人进行优先排序。</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、提供病人抗菌药物应用及联用情况信息的自动标注及快速查看功能。</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、提供病人护理等级及危重情况的标注，并支持快速筛选。</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、提供“特殊病人”维护功能，可以维护病人属性，根据病人属性，来限制其他医生的访问。</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、可查询患者详细信息和费用情况，支持查看病人的</w:t>
            </w:r>
            <w:r>
              <w:rPr>
                <w:rFonts w:ascii="宋体" w:hAnsi="宋体" w:cs="宋体"/>
                <w:color w:val="auto"/>
                <w:sz w:val="24"/>
                <w:szCs w:val="24"/>
              </w:rPr>
              <w:t>EMRVIEW</w:t>
            </w:r>
            <w:r>
              <w:rPr>
                <w:rFonts w:hint="eastAsia" w:ascii="宋体" w:hAnsi="宋体" w:cs="宋体"/>
                <w:color w:val="auto"/>
                <w:sz w:val="24"/>
                <w:szCs w:val="24"/>
              </w:rPr>
              <w:t>。</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3</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医生查房</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、支持病房医生站医生查房工作，支持通过移动医生工作站或移动推车查房。</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查房所需的查阅和记录功能，包含：既往病史、过敏药物（含过敏史）、病情变化、诊断查询、手术资料查询、危重患者评分、单病种质控、多重耐药实施记录、病历附件记录、病历记录查询、护理记录查询、体温单查询等。</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4</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诊断管理</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、提供对病人诊断进行集中管理的模式。</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w:t>
            </w:r>
            <w:r>
              <w:rPr>
                <w:rFonts w:ascii="宋体" w:hAnsi="宋体" w:cs="宋体"/>
                <w:color w:val="auto"/>
                <w:sz w:val="24"/>
                <w:szCs w:val="24"/>
              </w:rPr>
              <w:t>ICD10</w:t>
            </w:r>
            <w:r>
              <w:rPr>
                <w:rFonts w:hint="eastAsia" w:ascii="宋体" w:hAnsi="宋体" w:cs="宋体"/>
                <w:color w:val="auto"/>
                <w:sz w:val="24"/>
                <w:szCs w:val="24"/>
              </w:rPr>
              <w:t>标准编码和自定义诊断两种模式。</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、提供初步诊断、入院诊断、修正诊断等多种诊断录入功能。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、提供中、西医诊断，并可根据中医诊断对照相应的西医诊断。</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、提供图形化的诊断部位选择。</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、提供诊断组套选择与自定义保存功能。</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、提供知识库临床诊疗指南查阅。</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、提供诊断疾病报卡功能。</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、提供诊断与临床路径关联功能。</w:t>
            </w:r>
          </w:p>
          <w:p>
            <w:pPr>
              <w:spacing w:before="156" w:after="156"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、提供诊断详细记录的导出功能。</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5</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电子医嘱</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、提供医嘱录入和管理功能，包括：医嘱的开立、提交、重整、停嘱、作废、打印等。</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、提供开立长期、临时、急诊、出院带药等药品医嘱，检验、检查、手术等申请也应生成一条对应的医嘱，体现在医嘱单中。</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、提供在医嘱录入界面调用检验、检查、手术、转科等电子申请单的功能，支持医嘱的提交、删除和退回操作。</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6</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医嘱录入</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、提供下达电子医嘱的功能。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、提供长期、临时、急诊、出院带药导等医嘱的开立和下达功能。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、提供药品医嘱、诊疗医嘱、文字医嘱的下达功能，并能够通过拼音码、五笔码等快捷方式调取医嘱信息，并允许用户自定义是否开启模糊查询的方式调用药品信息。</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、提供医嘱助手功能，医生可通过助手的选择，导入相应药品或者诊疗项目。</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、支持将已开立医嘱存为个人或者科室的组套，供下次调用。</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、提供对新开、新停嘱、需校验、已作废等医嘱的筛选功能。</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、提供针对所有医嘱的重新排序以及医嘱单查看功能。</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、提供草药方医嘱的下达功能。</w:t>
            </w:r>
          </w:p>
          <w:p>
            <w:pPr>
              <w:spacing w:before="156" w:after="156" w:line="360" w:lineRule="auto"/>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、提供历史处方的快速引用。</w:t>
            </w:r>
          </w:p>
          <w:p>
            <w:pPr>
              <w:spacing w:before="156" w:after="156" w:line="360" w:lineRule="auto"/>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、提供病人转科、分娩或者术后等医嘱的重整操作。</w:t>
            </w:r>
          </w:p>
          <w:p>
            <w:pPr>
              <w:spacing w:before="156" w:after="156" w:line="360" w:lineRule="auto"/>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、提供长期医嘱的删除或停嘱操作，支持选择相应项目进行删除或停嘱，支持对问题医嘱的作废处理，支持对病区医嘱退回的退回原因进行统计分析的功能。</w:t>
            </w:r>
          </w:p>
          <w:p>
            <w:pPr>
              <w:spacing w:before="156" w:after="156" w:line="360" w:lineRule="auto"/>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、下达药品医嘱时，支持查看药品医嘱的药品信息，结合临床知识库可以查看药品说明书等。</w:t>
            </w:r>
          </w:p>
          <w:p>
            <w:pPr>
              <w:spacing w:before="156" w:after="156" w:line="360" w:lineRule="auto"/>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、提供合理用药接口或内嵌临床知识库，能对医生提交的医嘱进行合理性审查。</w:t>
            </w:r>
          </w:p>
          <w:p>
            <w:pPr>
              <w:spacing w:before="156" w:after="156" w:line="360" w:lineRule="auto"/>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临床医师在诊疗活动中能够对目前药库或药房中暂时短缺的特殊药品进行采购申请，系统应有分配相应审核权限功能并能及时传达申请信息，以保证后续的诊疗小组组长、科主任、医务科、药学部、药事委员会等上级领导或部门审批并采购入库。</w:t>
            </w:r>
          </w:p>
          <w:p>
            <w:pPr>
              <w:spacing w:before="156" w:after="156" w:line="360" w:lineRule="auto"/>
              <w:rPr>
                <w:rFonts w:ascii="宋体"/>
                <w:color w:val="auto"/>
              </w:rPr>
            </w:pPr>
            <w:r>
              <w:rPr>
                <w:rFonts w:ascii="宋体" w:hAnsi="宋体" w:cs="宋体"/>
                <w:color w:val="auto"/>
                <w:sz w:val="24"/>
                <w:szCs w:val="24"/>
              </w:rPr>
              <w:t>15</w:t>
            </w:r>
            <w:r>
              <w:rPr>
                <w:rFonts w:hint="eastAsia" w:ascii="宋体" w:hAnsi="宋体" w:cs="宋体"/>
                <w:color w:val="auto"/>
                <w:sz w:val="24"/>
                <w:szCs w:val="24"/>
              </w:rPr>
              <w:t>、提供医嘱的打印功能，能够根据医院现有的医嘱单样式定制打印模板，从而能够直接进行医嘱的打印、医生签名。提供长期、临时医嘱打印，可以实现开嘱打印和停嘱打印，打印方式支持续打、按页打、制定行打印、重整打印、重整清空等方式。</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7</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电子申请</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、提供电子病历系统与实验室信息系统、医学影像信息系统等系统连接后，用户可以直接通过医生站申请检验检查项目，并在系统内查阅检验检查结果。</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、提供输血申请、手术申请、会诊申请等各类电子申请单医生站直接申请功能，以及申请状态的及时跟踪提醒。</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、应能对流程状态（如已申请、已接收、已执行、已报告等）进行视频网络。</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8</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提醒功能</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、应能为医生提供多种业务提醒功能，以帮助医生能够及时填写病历资料，避免医疗差错与纠纷。</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、提供未完成（待完成）工作提醒功能，支持单个病人待处理医嘱项目、待完成病历以及医务核心制度相关工作的提醒功能，支持用户根据需要自定义是否启用病人业务平台消息集中提醒。</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、提供多种业务提醒方式，包括系统消息、手机短信、邮件等。</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9</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临床助手</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提供如下功能：常用诊疗数据快速引用、临床项目数据字典查询、临床诊疗常用计算公式等。</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10</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综合查询</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提供临床诊疗业务数据的查询功能，包含处方点评结果、临床危急值报告、住院病历查询等。</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11</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院内会诊</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、会诊消息可以发送到受邀请医生处，并能够注明会诊紧急情况。</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会诊申请单中，可以引用病人病历，实现会诊目的填写，对于患者病情及诊疗情况，支持病历数据的引用，可以选择科内会诊、他科会诊以及院外会诊的模式，且可选择受邀会诊医生，通过消息平台进行消息的发送。</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、受邀医生接收到会诊消息之后，可以进行患者的病历资料、医嘱资料、检查报告、检验结果等资料查看，并可书写会诊意见并签名。申请会诊的医生可以查看会诊意见，并结束会诊。</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12</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他科治疗</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提供本科室诊疗之外其他科室的诊疗服务并行的功能，即“他科治疗”，支持上述治疗室医师进行申请单管理、病历书写、医嘱开立（如抢救医嘱、医嘱计费、查阅病历等。</w:t>
            </w:r>
          </w:p>
        </w:tc>
      </w:tr>
      <w:tr>
        <w:tblPrEx>
          <w:tblCellMar>
            <w:top w:w="0" w:type="dxa"/>
            <w:left w:w="10" w:type="dxa"/>
            <w:bottom w:w="0" w:type="dxa"/>
            <w:right w:w="10" w:type="dxa"/>
          </w:tblCellMar>
        </w:tblPrEx>
        <w:trPr>
          <w:trHeight w:val="1" w:hRule="atLeast"/>
        </w:trPr>
        <w:tc>
          <w:tcPr>
            <w:tcW w:w="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13</w:t>
            </w:r>
          </w:p>
        </w:tc>
        <w:tc>
          <w:tcPr>
            <w:tcW w:w="20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医务核心制度提醒</w:t>
            </w:r>
          </w:p>
        </w:tc>
        <w:tc>
          <w:tcPr>
            <w:tcW w:w="68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、提供临床交接班、疑难病例讨论、死亡病例讨论、术前讨论、危重患者危重报告书写、新技术申报（含疗效评定、随访、总结）、手术资质申请等基础功能。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、提供上级行政科室，如医务科、院长等的审核、审批以及提交整改等功能；</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、支持表单的打印功能。</w:t>
            </w:r>
          </w:p>
        </w:tc>
      </w:tr>
    </w:tbl>
    <w:p>
      <w:pPr>
        <w:pStyle w:val="6"/>
        <w:rPr>
          <w:rFonts w:ascii="宋体" w:hAnsi="宋体" w:eastAsia="宋体" w:cs="Times New Roman"/>
          <w:color w:val="auto"/>
        </w:rPr>
      </w:pPr>
      <w:r>
        <w:rPr>
          <w:rFonts w:ascii="宋体" w:hAnsi="宋体" w:eastAsia="宋体" w:cs="宋体"/>
          <w:color w:val="auto"/>
        </w:rPr>
        <w:t>4.8.11</w:t>
      </w:r>
      <w:r>
        <w:rPr>
          <w:rFonts w:hint="eastAsia" w:ascii="宋体" w:hAnsi="宋体" w:eastAsia="宋体" w:cs="宋体"/>
          <w:color w:val="auto"/>
        </w:rPr>
        <w:t>、病区护士站管理系统</w:t>
      </w:r>
    </w:p>
    <w:tbl>
      <w:tblPr>
        <w:tblStyle w:val="21"/>
        <w:tblW w:w="9540" w:type="dxa"/>
        <w:tblInd w:w="2" w:type="dxa"/>
        <w:tblLayout w:type="autofit"/>
        <w:tblCellMar>
          <w:top w:w="0" w:type="dxa"/>
          <w:left w:w="10" w:type="dxa"/>
          <w:bottom w:w="0" w:type="dxa"/>
          <w:right w:w="10" w:type="dxa"/>
        </w:tblCellMar>
      </w:tblPr>
      <w:tblGrid>
        <w:gridCol w:w="870"/>
        <w:gridCol w:w="1803"/>
        <w:gridCol w:w="6867"/>
      </w:tblGrid>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80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86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通知消息</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对院内发布的通知公告进行集中查询和确认。</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业务消息</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、对系统的业务消息进行查询和确认，包括药库增加新药、药库调价等业务消息处理。</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、支持相关费用及业务未操作完成时给予消息提醒、如他科治疗、转科病人未完成业务等。</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、提供危机值提醒。</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床位卡片</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、支持病区病人按床位细卡、床位简卡、列表展示，提供住院病人床位分配、换床、包床、转床功能。</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、支持显示患者的详细信息，包括床位号、住院号码、姓名、性别、年龄、头像，性质、护理级别、过敏药物、新入院病人、入院日期、诊断、主任医师、病人科室、出院标志等。</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医嘱复核</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、支持对医生医嘱、护理医嘱进行复核，能明显区分护士录入医嘱或医生录入医嘱等信息。</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、提供全病区复核以及取消复核功能。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、支持将附加计价的项目同步显示到主医嘱列表中，并在主医嘱后以颜色标识。</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、提供医技退回作废处理功能。</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医嘱录入</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、提供录入纸质医嘱或病区护士医嘱录入功能，能够录入长期医嘱、临时医嘱、急诊医嘱和出院带药医嘱。</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、提供过敏药物在病区医嘱录入时的提示和控制。</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、医嘱录入支持多种包装（可选大包装或小包装），相关录入药品处支持药品价格的显示。</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、医技检查项目复核后，可根据病区设置选项决定是否立即提交。</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、支持过敏药物在病区医嘱录入时的提示和控制。</w:t>
            </w:r>
          </w:p>
        </w:tc>
      </w:tr>
      <w:tr>
        <w:tblPrEx>
          <w:tblCellMar>
            <w:top w:w="0" w:type="dxa"/>
            <w:left w:w="10" w:type="dxa"/>
            <w:bottom w:w="0" w:type="dxa"/>
            <w:right w:w="10"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医嘱计划</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、对医生医嘱、护理医嘱的执行计划产生，提供手工产生和自动产生功能。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、提供医嘱计划展示，可查看该医嘱的全部医嘱计划，基于计划查询所有的医嘱状态功能。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、医嘱计划查询功能以颜色进行区分是否执行。</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、提供病区不发药的计划处理功能。</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医嘱执行</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、支持对单个病人进行药品医嘱提交、项目医嘱提交、项目医嘱、附加医嘱、嘱托医嘱记费。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、支持病区的项目医嘱执行，附加计价执行。</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、支持医嘱停嘱后，按停嘱时间及使用频次正确计算实际所需要发的药品，多余的药品自动不发，并且能在发药清单中打印出不发的药品。</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8</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医嘱退药</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、对病人退药申请功能，支持按药品、记费日期、费用日期进行退药、退费。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、支持退药不退回实物，方便护士工作人员。</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、医生停嘱后支持自动生成退药单。</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9</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补退费</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提供对病人进行补费与退费操作。</w:t>
            </w:r>
          </w:p>
        </w:tc>
      </w:tr>
      <w:tr>
        <w:tblPrEx>
          <w:tblCellMar>
            <w:top w:w="0" w:type="dxa"/>
            <w:left w:w="10" w:type="dxa"/>
            <w:bottom w:w="0" w:type="dxa"/>
            <w:right w:w="10"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10</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医嘱查询</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、提供对病人所有医嘱（含历史医嘱）和医嘱附加项、医嘱计费进行查询。</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、支持对对各种类型的医嘱进行区分，变动医嘱计划查询。</w:t>
            </w:r>
          </w:p>
        </w:tc>
      </w:tr>
      <w:tr>
        <w:tblPrEx>
          <w:tblCellMar>
            <w:top w:w="0" w:type="dxa"/>
            <w:left w:w="10" w:type="dxa"/>
            <w:bottom w:w="0" w:type="dxa"/>
            <w:right w:w="10" w:type="dxa"/>
          </w:tblCellMar>
        </w:tblPrEx>
        <w:trPr>
          <w:trHeight w:val="507"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11</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账户查询</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支持对病人住院账户明细、汇总费用进行查询打印。</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12</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待完成事项</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针对他科治疗、已转科病人、正常在科室病人检查待完成的操作（不受医生出院证约束），检查内容同通知出院时检查的内容，含医嘱未停、未提交、未执行，手术申请未安排，手术记录未完成，退药医嘱未确认或未提交。</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13</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医嘱执行</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、支持对多个病人进行药品医嘱提交、项目医嘱提交、项目医嘱、附加医嘱、嘱托医嘱记费。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、患者的药品支持预领修改领药的时间修改。</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、支持病区长期医嘱增加首日用药次数的输入，药房按首日次数来执行。</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14</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医嘱打印</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、对多个病人进行医嘱卡片打印，支持口服卡、注射卡、静滴卡、饮食卡等多种医嘱卡片打印，医嘱卡片格式有固定格式和自定义格式。</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、支持已不在本病区的病人的医嘱打印和出院病人的医嘱打印。</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、医嘱卡片打印可以按照时间去选择。支持多选病人打印卡片。</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、支持执行周期内的医嘱汇总显示。</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15</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会诊处理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提供会诊申请、会诊处理、取消会诊整个会诊流程。</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16</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转科处理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、提供病人转科申请、转科确认。</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、提供转科费用控制提醒。</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、支持转科医嘱查询与医嘱退回。</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17</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他科治疗</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支持其他科室介入治疗的功能，分他科治疗申请、治疗接收、治疗结束</w:t>
            </w:r>
            <w:r>
              <w:rPr>
                <w:rFonts w:ascii="宋体" w:hAnsi="宋体" w:cs="宋体"/>
                <w:color w:val="auto"/>
                <w:sz w:val="24"/>
                <w:szCs w:val="24"/>
              </w:rPr>
              <w:t>3</w:t>
            </w:r>
            <w:r>
              <w:rPr>
                <w:rFonts w:hint="eastAsia" w:ascii="宋体" w:hAnsi="宋体" w:cs="宋体"/>
                <w:color w:val="auto"/>
                <w:sz w:val="24"/>
                <w:szCs w:val="24"/>
              </w:rPr>
              <w:t>个步骤，他科治疗过程中可以由其他科室录入医嘱。</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18</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新生儿登记</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、支持妇产病区新生儿登记，大人、婴儿的医嘱或费用可分开录入。</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、支持新生儿的头像显示，结算时同母亲分开结算。</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19</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皮试结果录入</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、提供原液和皮试液，进行病人皮试，并将记录结果。</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、提供医嘱中增加皮试药品处理功能及皮试脱敏。</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20</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医技预约</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、提供病区医技预约功能，对本病区的检查单由护士直接预约，并打印预约告知单。</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、支持护士对患者的检查预约单进行改约、取消预约、重约功能，方便护士操作。</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21</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通知出院</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、提供出院证办理，病人床位卡上需显示出院图标，通知出院。已通知出院的病人腾空床位。</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、支持取消通知出院。</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22</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护士排班</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、提供病区护士排班功能，并能对护士排班进行统计。</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、支持统计本病区护士一段时间内的工作情况。</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、评估本病区护士工作，根据费用项目的执行情况统计该日期段各操作员的工作。</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23</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手术管理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提供病区手术申请、作废、提交功能，支持手术安排查询。</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24</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护理信息录入</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、提供病区护士录入护理记录、生命体征、体温单等护理信息。</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、提供重点患者标记功能，并可录入、查看每日动态。</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25</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床位预定</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提供病区床位预定功能，能够智能计算床位腾空时间，病人可提前预定。</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26</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床旁结算</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、病人通知出院后，支持由收款员或者病区护士利用移动设备在床旁为患者提供出院结算服务，优化服务流程，提高患者满意度。</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、功能包括：费用获取和试算、费用结算和结算凭证、发票打印、结账管理等。</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27</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信息查询</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、点选操作过的的病人，都记录下操作时间到列表数据窗口。</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、提供医嘱状态服务，提供病区医嘱退回操作的记录。</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、支持医技科室没有执行的项目，护士站可查询并可直接退回。</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、支持查询某段日期的病区（病人）退费情况。</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、提供病区日志功能，可查询到该病区当日入院、当日出院、当日换床、患者流转人次统计等。</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28</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界面管理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、支持显示当前操作员的姓名，切换操作员时可弹出用户名和密码输入窗口，更换当前操作员。</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、停留在病区主界面上达到设定的时间时，可自动退出。</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、支持床位分布：支持根据分辨率确定每行可显示的床位数。纵向可使用滚动条进行滚动。床位的颜色：普床，虚床，家床需要用不同的颜色区分，选中的床位也需使用不同的颜色区分。</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、支持床位排序：病区系统的床位可以自定义排序（根据用户的排列顺序排列）。</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、支持护士常用的菜单一体化集成，病区主界面重新获得焦点时自动刷新。</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29</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基础设置</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支持根据该药品、药品途径、特殊药品属性、药品类别（西药，中药，草药）设置对应的发药药房。</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30</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护理记录单</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、支持终端</w:t>
            </w:r>
            <w:r>
              <w:rPr>
                <w:rFonts w:ascii="宋体" w:hAnsi="宋体" w:cs="宋体"/>
                <w:color w:val="auto"/>
                <w:sz w:val="24"/>
                <w:szCs w:val="24"/>
              </w:rPr>
              <w:t>PDA</w:t>
            </w:r>
            <w:r>
              <w:rPr>
                <w:rFonts w:hint="eastAsia" w:ascii="宋体" w:hAnsi="宋体" w:cs="宋体"/>
                <w:color w:val="auto"/>
                <w:sz w:val="24"/>
                <w:szCs w:val="24"/>
              </w:rPr>
              <w:t>数据录入。</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、支持普通护理记录单、专科护理记录单，专科模板可自定义配置。</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、支持护理模板统一编辑管理发布。</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、提供护理评估单，对患者进行入院评估、疼痛评估、风险评估等。</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31</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护理病历</w:t>
            </w:r>
            <w:r>
              <w:rPr>
                <w:rFonts w:ascii="宋体" w:hAnsi="宋体" w:cs="宋体"/>
                <w:color w:val="auto"/>
                <w:sz w:val="24"/>
                <w:szCs w:val="24"/>
              </w:rPr>
              <w:t xml:space="preserve"> </w:t>
            </w:r>
            <w:r>
              <w:rPr>
                <w:rFonts w:hint="eastAsia" w:ascii="宋体" w:hAnsi="宋体" w:cs="宋体"/>
                <w:color w:val="auto"/>
                <w:sz w:val="24"/>
                <w:szCs w:val="24"/>
              </w:rPr>
              <w:t>体温单（三测单）</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、支持根据病人的生命体征自动绘制体温单。</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、体温单支持多种打印方式。</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、提供根据病人的生命体征多种排序方式（体温明细）。</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32</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收费项目模板</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、提供单病区组套管理，显示组套明细。</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、支持组套的嵌套功能（不能循环嵌套）。</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、支持多种助记码的输入。</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、支持组套调入重复提示功能。</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、提供自负比例的设置。</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33</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共享服务</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、提供检验申请单共享服务，医生开的检验信息病人能进行查看，并把信息传到检验系统。</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、提供检查申请单共享服务，对于医生开具的相关检查医嘱复核执行到相关医技科室。</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、提供用血信息共享服务，对于病人要用血申请护士能看到病人的用血信息，并把相关的信息传到血库系统。</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34</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医嘱管理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、支持临时医嘱记账后根据系统选项可以保留当天，记账后不能修改。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、提供医嘱颜色区分：新开单医嘱为白色，提交医嘱为蓝色，未提交已记账医嘱为灰色。</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、可持续性医嘱不受首日次数的限制。</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、提供集中发药处理，在药房发药时不进行拆分发药。</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35</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患者出院管理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、提供通知出院、转科中的未完成提示内容功能，出院证明需完善信息校验并提示。</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、出院证办理操作需记录详细记录。</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、支持出院证管理管理和取消出院功能。</w:t>
            </w:r>
          </w:p>
        </w:tc>
      </w:tr>
      <w:tr>
        <w:tblPrEx>
          <w:tblCellMar>
            <w:top w:w="0" w:type="dxa"/>
            <w:left w:w="10" w:type="dxa"/>
            <w:bottom w:w="0" w:type="dxa"/>
            <w:right w:w="10" w:type="dxa"/>
          </w:tblCellMar>
        </w:tblPrEx>
        <w:trPr>
          <w:trHeight w:val="1" w:hRule="atLeast"/>
        </w:trPr>
        <w:tc>
          <w:tcPr>
            <w:tcW w:w="8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36</w:t>
            </w:r>
          </w:p>
        </w:tc>
        <w:tc>
          <w:tcPr>
            <w:tcW w:w="18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药箱管理</w:t>
            </w:r>
          </w:p>
        </w:tc>
        <w:tc>
          <w:tcPr>
            <w:tcW w:w="68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对于患者自带药品或整包装未使用完的药品，可以用患者药箱对药品进行管理，医生下达医嘱后会优先判断患者药箱里面是否有剩余的药品，有药品时先扣减药箱的库存，没有药品时则发送到药房进行发药操作，退药流程反之。</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4.8.12</w:t>
      </w:r>
      <w:r>
        <w:rPr>
          <w:rFonts w:hint="eastAsia" w:ascii="宋体" w:hAnsi="宋体" w:eastAsia="宋体" w:cs="宋体"/>
          <w:color w:val="auto"/>
        </w:rPr>
        <w:t>、住院病历质控系统</w:t>
      </w:r>
    </w:p>
    <w:tbl>
      <w:tblPr>
        <w:tblStyle w:val="21"/>
        <w:tblW w:w="9540" w:type="dxa"/>
        <w:tblInd w:w="2" w:type="dxa"/>
        <w:tblLayout w:type="autofit"/>
        <w:tblCellMar>
          <w:top w:w="0" w:type="dxa"/>
          <w:left w:w="10" w:type="dxa"/>
          <w:bottom w:w="0" w:type="dxa"/>
          <w:right w:w="10" w:type="dxa"/>
        </w:tblCellMar>
      </w:tblPr>
      <w:tblGrid>
        <w:gridCol w:w="880"/>
        <w:gridCol w:w="1710"/>
        <w:gridCol w:w="6950"/>
      </w:tblGrid>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95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病历实时监管</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、提供视频网络以及查询住院诊疗不同过程状态下患者状态信息的功能，包含入院、转科、危重、手术、死亡、出院及特殊病人等。</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、提供查看患者病历功能。</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病历书写评分</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、提供病历自动打分、重新量分、病历三级审阅、三级评分等。</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、提供对系统自动扣分及病历人工评分的查询功能。</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、提供病历超时自动加锁功能，并提供医生给予理由申请解锁，由质控人员审批流程。</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3</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病历书写时限质控</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、提供病历时限视频网络提醒功能，自动视频网络病历书写状态。</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、对超出时间要求或者临近截止时间尚未完成的病历，在病房医生站予以提示，并且质控科可查。</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、质控科可通过院内消息功能通知医生病历超时。</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4</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病历书写内容质控</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、提供质控人员病历内容检查功能并可提交整改。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、在医生工作站主页提供病历质控内容显示。</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、医生在完成病历时，系统能够自动校验，并给予病历自评功能。</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、提供质控人员对病历有误的语句标记功能，并提供医生在查看质控消息时，显示标记语句。</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、提供系统设置关键字校验，病历保存时，自动校验病历的正确性并记录和提醒病历完善。</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5</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病历内容雷同监管分析</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、提供住院病历雷同分析，包括同一患者历次住院的现病史雷同情况和同一患者病程记录上下文的雷同情况，通过设定“文字相似度比例、大段相同文字的占比”两个赋值，自动审查出疑似雷同病历。</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、提供病历复制控制管理功能，可具体控制到每个医生的复制权限，实现主管部门对病历雷同现象的精细化管理。</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7</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病历质控参数维护</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、提供对病历质控系统的参数设置功能，如是否时限提醒、供时限定义、缺陷维护以及状态时间等。</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、提供定位、定性规则的维护功能。</w:t>
            </w:r>
          </w:p>
        </w:tc>
      </w:tr>
      <w:tr>
        <w:tblPrEx>
          <w:tblCellMar>
            <w:top w:w="0" w:type="dxa"/>
            <w:left w:w="10" w:type="dxa"/>
            <w:bottom w:w="0" w:type="dxa"/>
            <w:right w:w="10" w:type="dxa"/>
          </w:tblCellMar>
        </w:tblPrEx>
        <w:trPr>
          <w:trHeight w:val="1" w:hRule="atLeast"/>
        </w:trPr>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8</w:t>
            </w:r>
          </w:p>
        </w:tc>
        <w:tc>
          <w:tcPr>
            <w:tcW w:w="17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病历质控数据分析</w:t>
            </w:r>
          </w:p>
        </w:tc>
        <w:tc>
          <w:tcPr>
            <w:tcW w:w="6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r>
              <w:rPr>
                <w:rFonts w:hint="eastAsia" w:ascii="宋体" w:hAnsi="宋体" w:cs="宋体"/>
                <w:color w:val="auto"/>
                <w:sz w:val="24"/>
                <w:szCs w:val="24"/>
              </w:rPr>
              <w:t>、提供定制化报表，如病案质量统计表、病案质量分析报表、病案质量趋势分析、病历整改缺陷列表等。</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4.8.13</w:t>
      </w:r>
      <w:r>
        <w:rPr>
          <w:rFonts w:hint="eastAsia" w:ascii="宋体" w:hAnsi="宋体" w:eastAsia="宋体" w:cs="宋体"/>
          <w:color w:val="auto"/>
        </w:rPr>
        <w:t>、临床路径管理系统</w:t>
      </w:r>
    </w:p>
    <w:tbl>
      <w:tblPr>
        <w:tblStyle w:val="21"/>
        <w:tblW w:w="9570" w:type="dxa"/>
        <w:tblInd w:w="2" w:type="dxa"/>
        <w:tblLayout w:type="autofit"/>
        <w:tblCellMar>
          <w:top w:w="0" w:type="dxa"/>
          <w:left w:w="10" w:type="dxa"/>
          <w:bottom w:w="0" w:type="dxa"/>
          <w:right w:w="10" w:type="dxa"/>
        </w:tblCellMar>
      </w:tblPr>
      <w:tblGrid>
        <w:gridCol w:w="910"/>
        <w:gridCol w:w="1829"/>
        <w:gridCol w:w="6831"/>
      </w:tblGrid>
      <w:tr>
        <w:tblPrEx>
          <w:tblCellMar>
            <w:top w:w="0" w:type="dxa"/>
            <w:left w:w="10" w:type="dxa"/>
            <w:bottom w:w="0" w:type="dxa"/>
            <w:right w:w="10" w:type="dxa"/>
          </w:tblCellMar>
        </w:tblPrEx>
        <w:trPr>
          <w:trHeight w:val="1" w:hRule="atLeast"/>
        </w:trPr>
        <w:tc>
          <w:tcPr>
            <w:tcW w:w="910"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82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83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1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专家配置管理</w:t>
            </w:r>
          </w:p>
        </w:tc>
        <w:tc>
          <w:tcPr>
            <w:tcW w:w="6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、支持定义纳入临床路径管理的病种，并与</w:t>
            </w:r>
            <w:r>
              <w:rPr>
                <w:rFonts w:ascii="宋体" w:hAnsi="宋体" w:cs="宋体"/>
                <w:color w:val="auto"/>
                <w:sz w:val="24"/>
                <w:szCs w:val="24"/>
              </w:rPr>
              <w:t>ICD10</w:t>
            </w:r>
            <w:r>
              <w:rPr>
                <w:rFonts w:hint="eastAsia" w:ascii="宋体" w:hAnsi="宋体" w:cs="宋体"/>
                <w:color w:val="auto"/>
                <w:sz w:val="24"/>
                <w:szCs w:val="24"/>
              </w:rPr>
              <w:t>、</w:t>
            </w:r>
            <w:r>
              <w:rPr>
                <w:rFonts w:ascii="宋体" w:hAnsi="宋体" w:cs="宋体"/>
                <w:color w:val="auto"/>
                <w:sz w:val="24"/>
                <w:szCs w:val="24"/>
              </w:rPr>
              <w:t>ICD-9-CM-3</w:t>
            </w:r>
            <w:r>
              <w:rPr>
                <w:rFonts w:hint="eastAsia" w:ascii="宋体" w:hAnsi="宋体" w:cs="宋体"/>
                <w:color w:val="auto"/>
                <w:sz w:val="24"/>
                <w:szCs w:val="24"/>
              </w:rPr>
              <w:t>编码进行关联。</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、支持按照病种定义临床路径，包括标准住院日、手术日、住院调整日、手术调整日等数据。</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、支持维护各路径的评估指标，包括诊断依据、进入标准、出院标准等。评估指标分全院级、病种级、路径级三级。</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、支持维护各病种的变异原因，可按变异因素，变异类别进行分类。</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、提供等效项目维护功能，减少维护工作量。</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、维护科室备用药等非关键医嘱项目。</w:t>
            </w:r>
          </w:p>
          <w:p>
            <w:pPr>
              <w:spacing w:before="156" w:after="156" w:line="360" w:lineRule="auto"/>
              <w:rPr>
                <w:rFonts w:ascii="宋体"/>
                <w:color w:val="auto"/>
              </w:rPr>
            </w:pPr>
            <w:r>
              <w:rPr>
                <w:rFonts w:ascii="宋体" w:hAnsi="宋体" w:cs="宋体"/>
                <w:color w:val="auto"/>
                <w:sz w:val="24"/>
                <w:szCs w:val="24"/>
              </w:rPr>
              <w:t>7</w:t>
            </w:r>
            <w:r>
              <w:rPr>
                <w:rFonts w:hint="eastAsia" w:ascii="宋体" w:hAnsi="宋体" w:cs="宋体"/>
                <w:color w:val="auto"/>
                <w:sz w:val="24"/>
                <w:szCs w:val="24"/>
              </w:rPr>
              <w:t>、支持对已有的路径项目的单独或批量替换。</w:t>
            </w:r>
          </w:p>
        </w:tc>
      </w:tr>
      <w:tr>
        <w:tblPrEx>
          <w:tblCellMar>
            <w:top w:w="0" w:type="dxa"/>
            <w:left w:w="10" w:type="dxa"/>
            <w:bottom w:w="0" w:type="dxa"/>
            <w:right w:w="10" w:type="dxa"/>
          </w:tblCellMar>
        </w:tblPrEx>
        <w:trPr>
          <w:trHeight w:val="1" w:hRule="atLeast"/>
        </w:trPr>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1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临床路径执行</w:t>
            </w:r>
          </w:p>
        </w:tc>
        <w:tc>
          <w:tcPr>
            <w:tcW w:w="6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、提供根据患者病情人工确定进入特定病种临床路径管理的功能，可根据患者的诊断等信息自动提示是否需要入径。</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、提供临床路径的执行功能，</w:t>
            </w:r>
            <w:r>
              <w:rPr>
                <w:rFonts w:ascii="宋体" w:hAnsi="宋体" w:cs="宋体"/>
                <w:color w:val="auto"/>
                <w:sz w:val="24"/>
                <w:szCs w:val="24"/>
              </w:rPr>
              <w:t xml:space="preserve"> </w:t>
            </w:r>
            <w:r>
              <w:rPr>
                <w:rFonts w:hint="eastAsia" w:ascii="宋体" w:hAnsi="宋体" w:cs="宋体"/>
                <w:color w:val="auto"/>
                <w:sz w:val="24"/>
                <w:szCs w:val="24"/>
              </w:rPr>
              <w:t>根据临床路径和医生的选择，自动生成与路径关联的医嘱和检查检验申请单，避免医生重复劳动。</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、系统自动跟踪路径变异情况，对于未按路径标准执行的项目提供变异单的录入和保存功能。</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、提供临床路径的视频网络功能。</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、提供临床路径的调整功能，包括调整入径日、手术日及出院日。</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、提供分支路径功能，辅助主路径进行。</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、提供中途退径功能。病人在临床路径执行的过程中因各种原因需退出路径，即可选择异常出径，并登记变异原因。</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、在路径的出院日，病人经评估后符合出径条件，即可选择正常出径，该病人即退出临床路径管理。</w:t>
            </w:r>
          </w:p>
        </w:tc>
      </w:tr>
      <w:tr>
        <w:tblPrEx>
          <w:tblCellMar>
            <w:top w:w="0" w:type="dxa"/>
            <w:left w:w="10" w:type="dxa"/>
            <w:bottom w:w="0" w:type="dxa"/>
            <w:right w:w="10" w:type="dxa"/>
          </w:tblCellMar>
        </w:tblPrEx>
        <w:trPr>
          <w:trHeight w:val="1" w:hRule="atLeast"/>
        </w:trPr>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3</w:t>
            </w:r>
          </w:p>
        </w:tc>
        <w:tc>
          <w:tcPr>
            <w:tcW w:w="18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统计查询</w:t>
            </w:r>
          </w:p>
        </w:tc>
        <w:tc>
          <w:tcPr>
            <w:tcW w:w="68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、查询病人路径的执行情况，包括入径病人和出径病人两类；实现医师版临床路径打印、病人帐户查询、路径执行日志查询、变异记录单等查询功能。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、统计某个病种的某个时间段内的非特异性指标，包括效率指标、效果、工作量、抗菌药物使用、卫生经济学指标等。</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、统计本院临床路径的实施和执行情况。</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、支持辅助医院前期筛选定义临床路径用，能统计并分析临床病种与实际医嘱间的关系，辅助临床路径的维护和制定。</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、支持分析临床路径的执行情况，以便完善路径。</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、提供变异性质明细表、变异来源明细表、变异管理明细表。</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、支持动态实时查询临床路径实施情况。</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、支持筛查临床路径患者住院天数，提供超长住院日预警。</w:t>
            </w:r>
          </w:p>
        </w:tc>
      </w:tr>
    </w:tbl>
    <w:p>
      <w:pPr>
        <w:pStyle w:val="6"/>
        <w:rPr>
          <w:rFonts w:ascii="宋体" w:hAnsi="宋体" w:eastAsia="宋体" w:cs="Times New Roman"/>
          <w:color w:val="auto"/>
        </w:rPr>
      </w:pPr>
      <w:r>
        <w:rPr>
          <w:rFonts w:ascii="宋体" w:hAnsi="宋体" w:eastAsia="宋体" w:cs="宋体"/>
          <w:color w:val="auto"/>
        </w:rPr>
        <w:t>4.8.14</w:t>
      </w:r>
      <w:r>
        <w:rPr>
          <w:rFonts w:hint="eastAsia" w:ascii="宋体" w:hAnsi="宋体" w:eastAsia="宋体" w:cs="宋体"/>
          <w:color w:val="auto"/>
        </w:rPr>
        <w:t>、院内感染管理系统</w:t>
      </w:r>
    </w:p>
    <w:p>
      <w:pPr>
        <w:keepNext/>
        <w:keepLines/>
        <w:numPr>
          <w:ilvl w:val="0"/>
          <w:numId w:val="30"/>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数据采集和记录功能</w:t>
      </w:r>
    </w:p>
    <w:p>
      <w:pPr>
        <w:keepNext/>
        <w:keepLines/>
        <w:numPr>
          <w:ilvl w:val="0"/>
          <w:numId w:val="30"/>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住院患者医院感染相关临床数据</w:t>
      </w:r>
    </w:p>
    <w:p>
      <w:pPr>
        <w:keepNext/>
        <w:keepLines/>
        <w:numPr>
          <w:ilvl w:val="0"/>
          <w:numId w:val="30"/>
        </w:numPr>
        <w:spacing w:before="156" w:after="156" w:line="320" w:lineRule="auto"/>
        <w:ind w:left="1296" w:hanging="1296"/>
        <w:rPr>
          <w:rFonts w:ascii="宋体"/>
          <w:b/>
          <w:bCs/>
          <w:color w:val="auto"/>
          <w:sz w:val="24"/>
          <w:szCs w:val="24"/>
        </w:rPr>
      </w:pPr>
      <w:r>
        <w:rPr>
          <w:rFonts w:hint="eastAsia" w:ascii="宋体" w:hAnsi="宋体" w:cs="宋体"/>
          <w:b/>
          <w:bCs/>
          <w:color w:val="auto"/>
          <w:sz w:val="24"/>
          <w:szCs w:val="24"/>
        </w:rPr>
        <w:t>住院患者的基本信息</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系统支持采集住院患者的基本信息：住院患者标识符、住院次数、病案号、姓名、性别、出生日期、有效身份证件号码、入院日期时间、出院日期时间、离院方式、主治医师</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系统支持采集住院患者的住院期间转移信息：入住病区代码、入病区日期时间、出病区日期时间</w:t>
      </w:r>
    </w:p>
    <w:p>
      <w:pPr>
        <w:keepNext/>
        <w:keepLines/>
        <w:numPr>
          <w:ilvl w:val="0"/>
          <w:numId w:val="31"/>
        </w:numPr>
        <w:spacing w:before="156" w:after="156" w:line="320" w:lineRule="auto"/>
        <w:ind w:left="1296" w:hanging="1296"/>
        <w:rPr>
          <w:rFonts w:ascii="宋体"/>
          <w:b/>
          <w:bCs/>
          <w:color w:val="auto"/>
          <w:sz w:val="24"/>
          <w:szCs w:val="24"/>
        </w:rPr>
      </w:pPr>
      <w:r>
        <w:rPr>
          <w:rFonts w:hint="eastAsia" w:ascii="宋体" w:hAnsi="宋体" w:cs="宋体"/>
          <w:b/>
          <w:bCs/>
          <w:color w:val="auto"/>
          <w:sz w:val="24"/>
          <w:szCs w:val="24"/>
        </w:rPr>
        <w:t>住院患者诊疗相关临床数据</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系统支持采集住院患者的器械相关治疗信息：医嘱号、器械相关治疗医嘱、器械相关治疗医嘱开始时间、器械相关治疗医嘱终止时间</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系统支持采集住院患者的病原学检验信息：检验号、标本采集时间、结果报告时间、标本、培养结果、特殊标记、备注</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系统支持采集住院患者的抗菌药物敏感性试验信息：检验号、标本采集时间、报告时间、标本、菌名、抗菌药物名称、药敏结果</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系统支持采集住院患者的生命体征信息：日期、发热体温</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系统支持采集住院患者的常规检验信息：检验号、标本采集时间、结果告时间、标本、检验名称、检验子项名称、子项结果值、是否异常</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系统支持采集住院患者的影像学报告信息：检查号、检查部位、检查类型、检查时间、检查所见、印象</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系统支持采集住院患者使用抗菌药物的通用名称、使用开始日期时间、使用结束日期时间、等级、用药目的、给药方式、处方医师姓名、职称</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系统支持采集住院患者的手术信息：手术名称、手术</w:t>
      </w:r>
      <w:r>
        <w:rPr>
          <w:rFonts w:ascii="宋体" w:hAnsi="宋体" w:cs="宋体"/>
          <w:color w:val="auto"/>
          <w:sz w:val="24"/>
          <w:szCs w:val="24"/>
        </w:rPr>
        <w:t>ICD</w:t>
      </w:r>
      <w:r>
        <w:rPr>
          <w:rFonts w:hint="eastAsia" w:ascii="宋体" w:hAnsi="宋体" w:cs="宋体"/>
          <w:color w:val="auto"/>
          <w:sz w:val="24"/>
          <w:szCs w:val="24"/>
        </w:rPr>
        <w:t>编码、手术开始日期时间、手术结束日期时间、手术切口类别代码、手术切口愈合等级代码、美国麻醉师协会（</w:t>
      </w:r>
      <w:r>
        <w:rPr>
          <w:rFonts w:ascii="宋体" w:hAnsi="宋体" w:cs="宋体"/>
          <w:color w:val="auto"/>
          <w:sz w:val="24"/>
          <w:szCs w:val="24"/>
        </w:rPr>
        <w:t>ASA</w:t>
      </w:r>
      <w:r>
        <w:rPr>
          <w:rFonts w:hint="eastAsia" w:ascii="宋体" w:hAnsi="宋体" w:cs="宋体"/>
          <w:color w:val="auto"/>
          <w:sz w:val="24"/>
          <w:szCs w:val="24"/>
        </w:rPr>
        <w:t>）评分、急诊手术、手术患者进入手术室后使用抗菌药物通用名称、手术患者进入手术室后抗菌药物给药日期时间、手术医师（代码）、植入物使用、失血量、输血量、手术备皮方式及时间</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系统支持病案首页手术登记、手术麻醉系统、术后登记系统等多个数据来源的手术记录</w:t>
      </w:r>
    </w:p>
    <w:p>
      <w:pPr>
        <w:keepNext/>
        <w:keepLines/>
        <w:numPr>
          <w:ilvl w:val="0"/>
          <w:numId w:val="32"/>
        </w:numPr>
        <w:spacing w:before="156" w:after="156" w:line="320" w:lineRule="auto"/>
        <w:ind w:left="1296" w:hanging="1296"/>
        <w:rPr>
          <w:rFonts w:ascii="宋体"/>
          <w:b/>
          <w:bCs/>
          <w:color w:val="auto"/>
          <w:sz w:val="24"/>
          <w:szCs w:val="24"/>
        </w:rPr>
      </w:pPr>
      <w:r>
        <w:rPr>
          <w:rFonts w:hint="eastAsia" w:ascii="宋体" w:hAnsi="宋体" w:cs="宋体"/>
          <w:b/>
          <w:bCs/>
          <w:color w:val="auto"/>
          <w:sz w:val="24"/>
          <w:szCs w:val="24"/>
        </w:rPr>
        <w:t>医院感染判读类数据</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记录医院感染判断相关数据：医院感染部位名称、医院感染日期时间、医院感染转归情况、医院感染转归日期时间、是否新发医院感染、医院感染属性、手术部位感染名称、实验室检出病原体的感染类型等</w:t>
      </w:r>
    </w:p>
    <w:p>
      <w:pPr>
        <w:keepNext/>
        <w:keepLines/>
        <w:numPr>
          <w:ilvl w:val="0"/>
          <w:numId w:val="33"/>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自动采集要求</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通过数据访问中间件，系统支持每天定时自动采集</w:t>
      </w:r>
      <w:r>
        <w:rPr>
          <w:rFonts w:ascii="宋体" w:hAnsi="宋体" w:cs="宋体"/>
          <w:color w:val="auto"/>
          <w:sz w:val="24"/>
          <w:szCs w:val="24"/>
        </w:rPr>
        <w:t>HIS,RIS,LIS</w:t>
      </w:r>
      <w:r>
        <w:rPr>
          <w:rFonts w:hint="eastAsia" w:ascii="宋体" w:hAnsi="宋体" w:cs="宋体"/>
          <w:color w:val="auto"/>
          <w:sz w:val="24"/>
          <w:szCs w:val="24"/>
        </w:rPr>
        <w:t>，</w:t>
      </w:r>
      <w:r>
        <w:rPr>
          <w:rFonts w:ascii="宋体" w:hAnsi="宋体" w:cs="宋体"/>
          <w:color w:val="auto"/>
          <w:sz w:val="24"/>
          <w:szCs w:val="24"/>
        </w:rPr>
        <w:t>PACS</w:t>
      </w:r>
      <w:r>
        <w:rPr>
          <w:rFonts w:hint="eastAsia" w:ascii="宋体" w:hAnsi="宋体" w:cs="宋体"/>
          <w:color w:val="auto"/>
          <w:sz w:val="24"/>
          <w:szCs w:val="24"/>
        </w:rPr>
        <w:t>、</w:t>
      </w:r>
      <w:r>
        <w:rPr>
          <w:rFonts w:ascii="宋体" w:hAnsi="宋体" w:cs="宋体"/>
          <w:color w:val="auto"/>
          <w:sz w:val="24"/>
          <w:szCs w:val="24"/>
        </w:rPr>
        <w:t>EMR</w:t>
      </w:r>
      <w:r>
        <w:rPr>
          <w:rFonts w:hint="eastAsia" w:ascii="宋体" w:hAnsi="宋体" w:cs="宋体"/>
          <w:color w:val="auto"/>
          <w:sz w:val="24"/>
          <w:szCs w:val="24"/>
        </w:rPr>
        <w:t>、手术麻醉系统等医疗机构已有业务系统中存储的住院患者感染相关临床数据</w:t>
      </w:r>
    </w:p>
    <w:p>
      <w:pPr>
        <w:keepNext/>
        <w:keepLines/>
        <w:numPr>
          <w:ilvl w:val="0"/>
          <w:numId w:val="34"/>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综合性监测（全院医院感染病例监测、自动筛查形成每日工作队列）</w:t>
      </w:r>
    </w:p>
    <w:p>
      <w:pPr>
        <w:keepNext/>
        <w:keepLines/>
        <w:numPr>
          <w:ilvl w:val="0"/>
          <w:numId w:val="34"/>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每日自动筛查向医院感染监测人员提供医院感染病例工作列表</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系统支持根据每日新采集的住院患者感染相关临床数据自动生成住院患者的疑似医院感染病例预警</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系统支持疑似医院感染病例预警以待处理任务列表的形式展示给医院感染监测人员</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系统支持展示在院患者所有仍未处理的疑似医院感染病例预警列表，列表按照科室分组</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系统支持展示在院患者所有已经处理的和仍未处理的疑似医院感染病例预警列表，列表按照科室分组</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系统支持展示出院患者所有仍未处理的疑似医院感染病例预警列表，列表按照出院月份分组，不因转科、出院等情况消失</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系统支持展示出院患者所有已经处理的和仍未处理的疑似医院感染病例预警列表，列表按照出院月份分组，不因转科、出院等情况消失</w:t>
      </w:r>
      <w:r>
        <w:rPr>
          <w:rFonts w:ascii="宋体" w:hAnsi="宋体" w:cs="宋体"/>
          <w:color w:val="auto"/>
          <w:sz w:val="24"/>
          <w:szCs w:val="24"/>
        </w:rPr>
        <w:t xml:space="preserve"> </w:t>
      </w:r>
    </w:p>
    <w:p>
      <w:pPr>
        <w:keepNext/>
        <w:keepLines/>
        <w:numPr>
          <w:ilvl w:val="0"/>
          <w:numId w:val="35"/>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每日自动筛查向临床医师提供医院感染病例工作列表</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系统支持无需医院感染监测人员操作疑似医院感染病例预警自动以任务列表的形式展现给临床医生</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系统支持疑似医院感染病例预警列表临床医生只需要确认或者排除</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系统支持展示在院患者的疑似医院感染病例预警情况给临床医师</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系统支持展示出院患者疑似医院感染病例预警情况给临床医师</w:t>
      </w:r>
    </w:p>
    <w:p>
      <w:pPr>
        <w:keepNext/>
        <w:keepLines/>
        <w:numPr>
          <w:ilvl w:val="0"/>
          <w:numId w:val="36"/>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增量式预警</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系统支持根据每日新采集的患者感染相关临床数据与之前采集的患者感染相关临床数据综合分析，已经确诊的医院感染病例没有新的变化不再预警</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系统支持已经诊断医院感染例次中的致病菌重复检出不再重复预警</w:t>
      </w:r>
    </w:p>
    <w:p>
      <w:pPr>
        <w:keepNext/>
        <w:keepLines/>
        <w:numPr>
          <w:ilvl w:val="0"/>
          <w:numId w:val="37"/>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预警功能（医院感染病例聚集情况的发现）</w:t>
      </w:r>
    </w:p>
    <w:p>
      <w:pPr>
        <w:keepNext/>
        <w:keepLines/>
        <w:numPr>
          <w:ilvl w:val="0"/>
          <w:numId w:val="37"/>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高风险因素相关医院感染聚集</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展示任意日期基于危险因素的预警：群体性发热预警、群体便常规送检预警、群体性使用呼吸机预警、群体性使用中心静脉插管预警、群体性使用泌尿道插管预警、重点菌检出预警、同种微生物群体性检出预警</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系统支持展示发热阈值、便常规送检阈值、呼吸机使用阈值、中心静脉插管阈值、泌尿道插管阈值、菌检出阈值调整功能</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系统支持展示的预警设置参数有时间范围和最小次数范围</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系统支持展示任意日期超出阈值的病区</w:t>
      </w:r>
    </w:p>
    <w:p>
      <w:pPr>
        <w:spacing w:before="156" w:after="156" w:line="360" w:lineRule="auto"/>
        <w:ind w:left="445" w:hanging="282"/>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系统支持展示任意日期超出阈值的病区超出的指标值</w:t>
      </w:r>
    </w:p>
    <w:p>
      <w:pPr>
        <w:keepNext/>
        <w:keepLines/>
        <w:numPr>
          <w:ilvl w:val="0"/>
          <w:numId w:val="38"/>
        </w:numPr>
        <w:spacing w:before="156" w:after="156" w:line="320" w:lineRule="auto"/>
        <w:ind w:left="1152" w:hanging="1152"/>
        <w:rPr>
          <w:rFonts w:ascii="宋体"/>
          <w:b/>
          <w:bCs/>
          <w:color w:val="auto"/>
          <w:sz w:val="24"/>
          <w:szCs w:val="24"/>
        </w:rPr>
      </w:pPr>
      <w:r>
        <w:rPr>
          <w:rFonts w:hint="eastAsia" w:ascii="宋体" w:hAnsi="宋体" w:cs="宋体"/>
          <w:b/>
          <w:bCs/>
          <w:color w:val="auto"/>
          <w:sz w:val="24"/>
          <w:szCs w:val="24"/>
        </w:rPr>
        <w:t>指定日期在床患者相关医院感染聚集</w:t>
      </w:r>
    </w:p>
    <w:p>
      <w:pPr>
        <w:spacing w:line="360" w:lineRule="auto"/>
        <w:ind w:left="424" w:leftChars="202"/>
        <w:rPr>
          <w:rFonts w:ascii="宋体"/>
          <w:color w:val="auto"/>
          <w:sz w:val="24"/>
          <w:szCs w:val="24"/>
        </w:rPr>
      </w:pPr>
    </w:p>
    <w:p>
      <w:pPr>
        <w:spacing w:line="360" w:lineRule="auto"/>
        <w:ind w:left="424" w:leftChars="202"/>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系统支持监测任意日期所有病区的现患情况</w:t>
      </w:r>
      <w:bookmarkEnd w:id="912"/>
    </w:p>
    <w:p>
      <w:pPr>
        <w:spacing w:line="360" w:lineRule="auto"/>
        <w:ind w:left="424" w:leftChars="202"/>
        <w:rPr>
          <w:rFonts w:ascii="宋体"/>
          <w:color w:val="auto"/>
          <w:sz w:val="24"/>
          <w:szCs w:val="24"/>
        </w:rPr>
      </w:pPr>
      <w:bookmarkStart w:id="913" w:name="_Toc23923"/>
      <w:r>
        <w:rPr>
          <w:rFonts w:ascii="宋体" w:hAnsi="宋体" w:cs="宋体"/>
          <w:color w:val="auto"/>
          <w:sz w:val="24"/>
          <w:szCs w:val="24"/>
        </w:rPr>
        <w:t xml:space="preserve">2. </w:t>
      </w:r>
      <w:r>
        <w:rPr>
          <w:rFonts w:hint="eastAsia" w:ascii="宋体" w:hAnsi="宋体" w:cs="宋体"/>
          <w:color w:val="auto"/>
          <w:sz w:val="24"/>
          <w:szCs w:val="24"/>
        </w:rPr>
        <w:t>系统支持对各病区现患情况分别设定基准感染率阈值</w:t>
      </w:r>
      <w:bookmarkEnd w:id="913"/>
    </w:p>
    <w:p>
      <w:pPr>
        <w:spacing w:line="360" w:lineRule="auto"/>
        <w:ind w:left="424" w:leftChars="202"/>
        <w:rPr>
          <w:rFonts w:ascii="宋体"/>
          <w:color w:val="auto"/>
          <w:sz w:val="24"/>
          <w:szCs w:val="24"/>
        </w:rPr>
      </w:pPr>
      <w:bookmarkStart w:id="914" w:name="_Toc3415"/>
      <w:r>
        <w:rPr>
          <w:rFonts w:ascii="宋体" w:hAnsi="宋体" w:cs="宋体"/>
          <w:color w:val="auto"/>
          <w:sz w:val="24"/>
          <w:szCs w:val="24"/>
        </w:rPr>
        <w:t xml:space="preserve">3. </w:t>
      </w:r>
      <w:r>
        <w:rPr>
          <w:rFonts w:hint="eastAsia" w:ascii="宋体" w:hAnsi="宋体" w:cs="宋体"/>
          <w:color w:val="auto"/>
          <w:sz w:val="24"/>
          <w:szCs w:val="24"/>
        </w:rPr>
        <w:t>系统支持展示对任意日期超出阈值的病区自动标红显示</w:t>
      </w:r>
      <w:bookmarkEnd w:id="914"/>
    </w:p>
    <w:p>
      <w:pPr>
        <w:spacing w:line="360" w:lineRule="auto"/>
        <w:ind w:left="424" w:leftChars="202"/>
        <w:rPr>
          <w:rFonts w:ascii="宋体"/>
          <w:color w:val="auto"/>
          <w:sz w:val="24"/>
          <w:szCs w:val="24"/>
        </w:rPr>
      </w:pPr>
      <w:bookmarkStart w:id="915" w:name="_Toc30488"/>
      <w:r>
        <w:rPr>
          <w:rFonts w:ascii="宋体" w:hAnsi="宋体" w:cs="宋体"/>
          <w:color w:val="auto"/>
          <w:sz w:val="24"/>
          <w:szCs w:val="24"/>
        </w:rPr>
        <w:t xml:space="preserve">4. </w:t>
      </w:r>
      <w:r>
        <w:rPr>
          <w:rFonts w:hint="eastAsia" w:ascii="宋体" w:hAnsi="宋体" w:cs="宋体"/>
          <w:color w:val="auto"/>
          <w:sz w:val="24"/>
          <w:szCs w:val="24"/>
        </w:rPr>
        <w:t>系统支持可以根据现患率对各病区进行排序</w:t>
      </w:r>
      <w:bookmarkEnd w:id="915"/>
    </w:p>
    <w:p>
      <w:pPr>
        <w:numPr>
          <w:ilvl w:val="0"/>
          <w:numId w:val="39"/>
        </w:numPr>
        <w:spacing w:before="156" w:after="156" w:line="360" w:lineRule="auto"/>
        <w:rPr>
          <w:rFonts w:ascii="宋体"/>
          <w:b/>
          <w:bCs/>
          <w:color w:val="auto"/>
          <w:sz w:val="24"/>
          <w:szCs w:val="24"/>
        </w:rPr>
      </w:pPr>
      <w:r>
        <w:rPr>
          <w:rFonts w:hint="eastAsia" w:ascii="宋体" w:hAnsi="宋体" w:cs="宋体"/>
          <w:b/>
          <w:bCs/>
          <w:color w:val="auto"/>
          <w:sz w:val="24"/>
          <w:szCs w:val="24"/>
        </w:rPr>
        <w:t>医院感染散发病例时间、空间分布</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系统支持点击病区后展示该病区任意日期的前后各一周的按照床位列表的在病区患者医院感染情况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他培养检出情况、抗菌药物使用情况</w:t>
      </w:r>
    </w:p>
    <w:p>
      <w:pPr>
        <w:keepNext/>
        <w:keepLines/>
        <w:numPr>
          <w:ilvl w:val="0"/>
          <w:numId w:val="40"/>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疑似医院感染病例辅助诊断</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疑似医院感染病例预警列表展示</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系统支持展示在院患者所有仍未处理的疑似医院感染病例预警工作列表中患者预警的浏览、导出功能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系统支持展示在院患者所有已经处理的和仍未处理的疑似医院感染病例预警工作列表中患者预警的浏览、导出功能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系统支持展示出院患者所有仍未处理的疑似医院感染病例预警列表中患者预警工作列表的浏览、导出功能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系统支持展示出院患者所有已经处理的和仍未处理的疑似医院感染病例预警工作列表中患者预警的浏览、导出功能</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疑似医院感染病例信息内容展示</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系统支持疑似感染病例预警信息中包含疑似感染部位</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系统支持疑似感染病例预警信息中包含疑似感染日期</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系统支持疑似感染病例预警信息中自动区分院内院外感染情况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系统支持疑似感染病例预警信息中自动设置感染所在病区</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系统支持疑似感染病例预警信息中根据医院诊断情况自动设置感染相关致病菌的菌培养类型</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系统支持疑似感染病例预警信息中包含预警持续的时间段中特定产生预警的异常发生次数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系统支持疑似感染病例预警信息中包含预警持续的时间段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系统支持疑似感染病例预警信息中包含预警持续的天数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系统支持疑似感染病例预警信息中包含预警持续的时间段中发热次数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10. </w:t>
      </w:r>
      <w:r>
        <w:rPr>
          <w:rFonts w:hint="eastAsia" w:ascii="宋体" w:hAnsi="宋体" w:cs="宋体"/>
          <w:color w:val="auto"/>
          <w:sz w:val="24"/>
          <w:szCs w:val="24"/>
        </w:rPr>
        <w:t>系统支持疑似感染病例预警信息中包含预警持续的时间段中送检血常规的次数以及血常规异常次数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rPr>
        <w:t>系统支持疑似感染病例预警信息若为三管相关感染，会包含三管相关危险因素的疑似感染发生前置管天数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12. </w:t>
      </w:r>
      <w:r>
        <w:rPr>
          <w:rFonts w:hint="eastAsia" w:ascii="宋体" w:hAnsi="宋体" w:cs="宋体"/>
          <w:color w:val="auto"/>
          <w:sz w:val="24"/>
          <w:szCs w:val="24"/>
        </w:rPr>
        <w:t>系统支持疑似感染病例预警信息若为三管相关感染，会包含三管相关危险因素的预警持续的时间段中置管天数</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感染要素时序图</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系统支持展示感染要素时序图，以天为单位图形化展示患者入院到出院整个住院过程中感染相关危险因素的变化情况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系统支持以天为单位图形化展示患者住院过程中三大管使用情况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系统支持展示以天为单位图形化展示患者住院过程中发热情况及发热值</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系统支持展示以天为单位图形化展示患者住院过程中血常规、尿常规、粪常规、其他常规异常情况、送检培养情况及细菌检出情况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系统支持展示以天为单位图形化展示患者住院过程中手术基本信息</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系统支持展示以天为单位图形化展示患者住院过程中使用抗菌药物情况</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系统支持点击感染要素时序图的任意一天后以两周为单位展示患者感染相关明细数据数据</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感染相关诊疗数据展示</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系统支持展示患者住院过程中的转病区记录</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系统支持展示电子病历的病程记录的浏览功能，在电子病历系统提供了文本内容的前提下，系统提供病程记录中感染关键词标注功能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系统支持展示影像检查报告浏览功能，提供影像检查报告感染关键词标注功能，系统支持展示一个住院患者例次住院过程中影像检查报告浏览功能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系统支持展示患者抗菌药物使用情况，包括抗菌药物名称、医嘱起止时间、药物等级、开医嘱医生、医生等级、给药方式</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系统支持展示患者细菌培养原始数据展现功能，包括标本、细菌名称、细菌培养分类、耐药级别、是否</w:t>
      </w:r>
      <w:r>
        <w:rPr>
          <w:rFonts w:ascii="宋体" w:hAnsi="宋体" w:cs="宋体"/>
          <w:color w:val="auto"/>
          <w:sz w:val="24"/>
          <w:szCs w:val="24"/>
        </w:rPr>
        <w:t>ESBL</w:t>
      </w:r>
      <w:r>
        <w:rPr>
          <w:rFonts w:hint="eastAsia" w:ascii="宋体" w:hAnsi="宋体" w:cs="宋体"/>
          <w:color w:val="auto"/>
          <w:sz w:val="24"/>
          <w:szCs w:val="24"/>
        </w:rPr>
        <w:t>阳性</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系统支持展示患者手术原始数据展现功能，包括手术时所在病区、手术名、开始时间、结束时间、愈合等级、切口等级、麻醉评分、手术医生、手术助手、麻醉医生、麻醉方式、手术小时</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系统支持展示患者常规检验数据展现功能，包括标本、常规类别、白细胞值、中性粒细胞值</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系统支持展示患者医嘱中插管相关原始数据展现功能，包括治疗类型、治疗名称、开始时间、终止时间、持续天数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系统支持展示患者异常体温数据展现功能，包括体温异常时所在科室、体温异常日期、体温</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医院感染病例预警处理操作</w:t>
      </w:r>
    </w:p>
    <w:p>
      <w:pPr>
        <w:spacing w:line="360" w:lineRule="auto"/>
        <w:ind w:firstLine="424" w:firstLineChars="177"/>
        <w:rPr>
          <w:rFonts w:ascii="宋体"/>
          <w:color w:val="auto"/>
          <w:sz w:val="24"/>
          <w:szCs w:val="24"/>
        </w:rPr>
      </w:pPr>
      <w:bookmarkStart w:id="916" w:name="_Toc31141"/>
      <w:r>
        <w:rPr>
          <w:rFonts w:ascii="宋体" w:hAnsi="宋体" w:cs="宋体"/>
          <w:color w:val="auto"/>
          <w:sz w:val="24"/>
          <w:szCs w:val="24"/>
        </w:rPr>
        <w:t xml:space="preserve">1. </w:t>
      </w:r>
      <w:r>
        <w:rPr>
          <w:rFonts w:hint="eastAsia" w:ascii="宋体" w:hAnsi="宋体" w:cs="宋体"/>
          <w:color w:val="auto"/>
          <w:sz w:val="24"/>
          <w:szCs w:val="24"/>
        </w:rPr>
        <w:t>系统支持向医院感染监测人员和临床医师展示患者入院以来的感染诊断信息</w:t>
      </w:r>
      <w:bookmarkEnd w:id="916"/>
    </w:p>
    <w:p>
      <w:pPr>
        <w:spacing w:line="360" w:lineRule="auto"/>
        <w:ind w:firstLine="424" w:firstLineChars="177"/>
        <w:rPr>
          <w:rFonts w:ascii="宋体"/>
          <w:color w:val="auto"/>
          <w:sz w:val="24"/>
          <w:szCs w:val="24"/>
        </w:rPr>
      </w:pPr>
      <w:bookmarkStart w:id="917" w:name="_Toc17071"/>
      <w:r>
        <w:rPr>
          <w:rFonts w:ascii="宋体" w:hAnsi="宋体" w:cs="宋体"/>
          <w:color w:val="auto"/>
          <w:sz w:val="24"/>
          <w:szCs w:val="24"/>
        </w:rPr>
        <w:t xml:space="preserve">2. </w:t>
      </w:r>
      <w:r>
        <w:rPr>
          <w:rFonts w:hint="eastAsia" w:ascii="宋体" w:hAnsi="宋体" w:cs="宋体"/>
          <w:color w:val="auto"/>
          <w:sz w:val="24"/>
          <w:szCs w:val="24"/>
        </w:rPr>
        <w:t>系统支持向医院感染监测人员和临床医师提供快速“确认”疑似感染功能</w:t>
      </w:r>
      <w:bookmarkEnd w:id="917"/>
    </w:p>
    <w:p>
      <w:pPr>
        <w:spacing w:line="360" w:lineRule="auto"/>
        <w:ind w:firstLine="424" w:firstLineChars="177"/>
        <w:rPr>
          <w:rFonts w:ascii="宋体"/>
          <w:color w:val="auto"/>
          <w:sz w:val="24"/>
          <w:szCs w:val="24"/>
        </w:rPr>
      </w:pPr>
      <w:bookmarkStart w:id="918" w:name="_Toc11632"/>
      <w:r>
        <w:rPr>
          <w:rFonts w:ascii="宋体" w:hAnsi="宋体" w:cs="宋体"/>
          <w:color w:val="auto"/>
          <w:sz w:val="24"/>
          <w:szCs w:val="24"/>
        </w:rPr>
        <w:t xml:space="preserve">3. </w:t>
      </w:r>
      <w:r>
        <w:rPr>
          <w:rFonts w:hint="eastAsia" w:ascii="宋体" w:hAnsi="宋体" w:cs="宋体"/>
          <w:color w:val="auto"/>
          <w:sz w:val="24"/>
          <w:szCs w:val="24"/>
        </w:rPr>
        <w:t>系统支持向医院感染监测人员和临床医师提供快速“排除”疑似感染功能</w:t>
      </w:r>
      <w:bookmarkEnd w:id="918"/>
    </w:p>
    <w:p>
      <w:pPr>
        <w:spacing w:line="360" w:lineRule="auto"/>
        <w:ind w:firstLine="424" w:firstLineChars="177"/>
        <w:rPr>
          <w:rFonts w:ascii="宋体"/>
          <w:color w:val="auto"/>
          <w:sz w:val="24"/>
          <w:szCs w:val="24"/>
        </w:rPr>
      </w:pPr>
      <w:bookmarkStart w:id="919" w:name="_Toc12413"/>
      <w:r>
        <w:rPr>
          <w:rFonts w:ascii="宋体" w:hAnsi="宋体" w:cs="宋体"/>
          <w:color w:val="auto"/>
          <w:sz w:val="24"/>
          <w:szCs w:val="24"/>
        </w:rPr>
        <w:t xml:space="preserve">4. </w:t>
      </w:r>
      <w:r>
        <w:rPr>
          <w:rFonts w:hint="eastAsia" w:ascii="宋体" w:hAnsi="宋体" w:cs="宋体"/>
          <w:color w:val="auto"/>
          <w:sz w:val="24"/>
          <w:szCs w:val="24"/>
        </w:rPr>
        <w:t>系统支持向医院感染监测人员和临床医师提供快速“排除全部疑似诊断”疑似感染功能</w:t>
      </w:r>
      <w:bookmarkEnd w:id="919"/>
    </w:p>
    <w:p>
      <w:pPr>
        <w:spacing w:line="360" w:lineRule="auto"/>
        <w:ind w:firstLine="424" w:firstLineChars="177"/>
        <w:rPr>
          <w:rFonts w:ascii="宋体"/>
          <w:color w:val="auto"/>
          <w:sz w:val="24"/>
          <w:szCs w:val="24"/>
        </w:rPr>
      </w:pPr>
      <w:bookmarkStart w:id="920" w:name="_Toc24218"/>
      <w:r>
        <w:rPr>
          <w:rFonts w:ascii="宋体" w:hAnsi="宋体" w:cs="宋体"/>
          <w:color w:val="auto"/>
          <w:sz w:val="24"/>
          <w:szCs w:val="24"/>
        </w:rPr>
        <w:t xml:space="preserve">5. </w:t>
      </w:r>
      <w:r>
        <w:rPr>
          <w:rFonts w:hint="eastAsia" w:ascii="宋体" w:hAnsi="宋体" w:cs="宋体"/>
          <w:color w:val="auto"/>
          <w:sz w:val="24"/>
          <w:szCs w:val="24"/>
        </w:rPr>
        <w:t>系统支持向医院感染监测人员和临床医师提供快速“确认全部疑似诊断”疑似感染功能</w:t>
      </w:r>
      <w:bookmarkEnd w:id="920"/>
    </w:p>
    <w:p>
      <w:pPr>
        <w:spacing w:line="360" w:lineRule="auto"/>
        <w:ind w:firstLine="424" w:firstLineChars="177"/>
        <w:rPr>
          <w:rFonts w:ascii="宋体"/>
          <w:color w:val="auto"/>
          <w:sz w:val="24"/>
          <w:szCs w:val="24"/>
        </w:rPr>
      </w:pPr>
      <w:bookmarkStart w:id="921" w:name="_Toc27365"/>
      <w:r>
        <w:rPr>
          <w:rFonts w:ascii="宋体" w:hAnsi="宋体" w:cs="宋体"/>
          <w:color w:val="auto"/>
          <w:sz w:val="24"/>
          <w:szCs w:val="24"/>
        </w:rPr>
        <w:t xml:space="preserve">6. </w:t>
      </w:r>
      <w:r>
        <w:rPr>
          <w:rFonts w:hint="eastAsia" w:ascii="宋体" w:hAnsi="宋体" w:cs="宋体"/>
          <w:color w:val="auto"/>
          <w:sz w:val="24"/>
          <w:szCs w:val="24"/>
        </w:rPr>
        <w:t>系统支持向医院感染监测人员提供添加感染部位的功能</w:t>
      </w:r>
      <w:bookmarkEnd w:id="921"/>
    </w:p>
    <w:p>
      <w:pPr>
        <w:spacing w:line="360" w:lineRule="auto"/>
        <w:ind w:firstLine="424" w:firstLineChars="177"/>
        <w:rPr>
          <w:rFonts w:ascii="宋体"/>
          <w:color w:val="auto"/>
          <w:sz w:val="24"/>
          <w:szCs w:val="24"/>
        </w:rPr>
      </w:pPr>
      <w:bookmarkStart w:id="922" w:name="_Toc3277"/>
      <w:r>
        <w:rPr>
          <w:rFonts w:ascii="宋体" w:hAnsi="宋体" w:cs="宋体"/>
          <w:color w:val="auto"/>
          <w:sz w:val="24"/>
          <w:szCs w:val="24"/>
        </w:rPr>
        <w:t xml:space="preserve">7. </w:t>
      </w:r>
      <w:r>
        <w:rPr>
          <w:rFonts w:hint="eastAsia" w:ascii="宋体" w:hAnsi="宋体" w:cs="宋体"/>
          <w:color w:val="auto"/>
          <w:sz w:val="24"/>
          <w:szCs w:val="24"/>
        </w:rPr>
        <w:t>系统支持向医院感染监测人员提供编辑感染部位的功能</w:t>
      </w:r>
      <w:bookmarkEnd w:id="922"/>
    </w:p>
    <w:p>
      <w:pPr>
        <w:spacing w:line="360" w:lineRule="auto"/>
        <w:ind w:firstLine="424" w:firstLineChars="177"/>
        <w:rPr>
          <w:rFonts w:ascii="宋体"/>
          <w:color w:val="auto"/>
          <w:sz w:val="24"/>
          <w:szCs w:val="24"/>
        </w:rPr>
      </w:pPr>
      <w:bookmarkStart w:id="923" w:name="_Toc29358"/>
      <w:r>
        <w:rPr>
          <w:rFonts w:ascii="宋体" w:hAnsi="宋体" w:cs="宋体"/>
          <w:color w:val="auto"/>
          <w:sz w:val="24"/>
          <w:szCs w:val="24"/>
        </w:rPr>
        <w:t xml:space="preserve">8. </w:t>
      </w:r>
      <w:r>
        <w:rPr>
          <w:rFonts w:hint="eastAsia" w:ascii="宋体" w:hAnsi="宋体" w:cs="宋体"/>
          <w:color w:val="auto"/>
          <w:sz w:val="24"/>
          <w:szCs w:val="24"/>
        </w:rPr>
        <w:t>系统支持向医院感染监测人员提供确认一个疑似感染例次为社区感染的功能</w:t>
      </w:r>
      <w:bookmarkEnd w:id="923"/>
    </w:p>
    <w:p>
      <w:pPr>
        <w:spacing w:line="360" w:lineRule="auto"/>
        <w:ind w:firstLine="424" w:firstLineChars="177"/>
        <w:rPr>
          <w:rFonts w:ascii="宋体"/>
          <w:color w:val="auto"/>
          <w:sz w:val="24"/>
          <w:szCs w:val="24"/>
        </w:rPr>
      </w:pPr>
      <w:bookmarkStart w:id="924" w:name="_Toc15982"/>
      <w:r>
        <w:rPr>
          <w:rFonts w:ascii="宋体" w:hAnsi="宋体" w:cs="宋体"/>
          <w:color w:val="auto"/>
          <w:sz w:val="24"/>
          <w:szCs w:val="24"/>
        </w:rPr>
        <w:t xml:space="preserve">9. </w:t>
      </w:r>
      <w:r>
        <w:rPr>
          <w:rFonts w:hint="eastAsia" w:ascii="宋体" w:hAnsi="宋体" w:cs="宋体"/>
          <w:color w:val="auto"/>
          <w:sz w:val="24"/>
          <w:szCs w:val="24"/>
        </w:rPr>
        <w:t>系统支持向医院感染监测人员提供确认一个疑似感染例次为医院感染的功能</w:t>
      </w:r>
      <w:bookmarkEnd w:id="924"/>
    </w:p>
    <w:p>
      <w:pPr>
        <w:spacing w:line="360" w:lineRule="auto"/>
        <w:ind w:firstLine="424" w:firstLineChars="177"/>
        <w:rPr>
          <w:rFonts w:ascii="宋体"/>
          <w:color w:val="auto"/>
          <w:sz w:val="24"/>
          <w:szCs w:val="24"/>
        </w:rPr>
      </w:pPr>
      <w:bookmarkStart w:id="925" w:name="_Toc634"/>
      <w:r>
        <w:rPr>
          <w:rFonts w:ascii="宋体" w:hAnsi="宋体" w:cs="宋体"/>
          <w:color w:val="auto"/>
          <w:sz w:val="24"/>
          <w:szCs w:val="24"/>
        </w:rPr>
        <w:t xml:space="preserve">10. </w:t>
      </w:r>
      <w:r>
        <w:rPr>
          <w:rFonts w:hint="eastAsia" w:ascii="宋体" w:hAnsi="宋体" w:cs="宋体"/>
          <w:color w:val="auto"/>
          <w:sz w:val="24"/>
          <w:szCs w:val="24"/>
        </w:rPr>
        <w:t>系统支持向医院感染监测人员提供拆分感染例次的功能</w:t>
      </w:r>
      <w:bookmarkEnd w:id="925"/>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医院感染病例处理工作辅助</w:t>
      </w:r>
    </w:p>
    <w:p>
      <w:pPr>
        <w:spacing w:line="360" w:lineRule="auto"/>
        <w:ind w:firstLine="424" w:firstLineChars="177"/>
        <w:rPr>
          <w:rFonts w:ascii="宋体"/>
          <w:color w:val="auto"/>
          <w:sz w:val="24"/>
          <w:szCs w:val="24"/>
        </w:rPr>
      </w:pPr>
      <w:bookmarkStart w:id="926" w:name="_Toc6848"/>
      <w:r>
        <w:rPr>
          <w:rFonts w:ascii="宋体" w:hAnsi="宋体" w:cs="宋体"/>
          <w:color w:val="auto"/>
          <w:sz w:val="24"/>
          <w:szCs w:val="24"/>
        </w:rPr>
        <w:t xml:space="preserve">1. </w:t>
      </w:r>
      <w:r>
        <w:rPr>
          <w:rFonts w:hint="eastAsia" w:ascii="宋体" w:hAnsi="宋体" w:cs="宋体"/>
          <w:color w:val="auto"/>
          <w:sz w:val="24"/>
          <w:szCs w:val="24"/>
        </w:rPr>
        <w:t>系统支持向医院感染监测人员展示提供浏览病例收藏夹的功能</w:t>
      </w:r>
      <w:bookmarkEnd w:id="926"/>
    </w:p>
    <w:p>
      <w:pPr>
        <w:spacing w:line="360" w:lineRule="auto"/>
        <w:ind w:firstLine="424" w:firstLineChars="177"/>
        <w:rPr>
          <w:rFonts w:ascii="宋体"/>
          <w:color w:val="auto"/>
          <w:sz w:val="24"/>
          <w:szCs w:val="24"/>
        </w:rPr>
      </w:pPr>
      <w:bookmarkStart w:id="927" w:name="_Toc6488"/>
      <w:r>
        <w:rPr>
          <w:rFonts w:ascii="宋体" w:hAnsi="宋体" w:cs="宋体"/>
          <w:color w:val="auto"/>
          <w:sz w:val="24"/>
          <w:szCs w:val="24"/>
        </w:rPr>
        <w:t xml:space="preserve">2. </w:t>
      </w:r>
      <w:r>
        <w:rPr>
          <w:rFonts w:hint="eastAsia" w:ascii="宋体" w:hAnsi="宋体" w:cs="宋体"/>
          <w:color w:val="auto"/>
          <w:sz w:val="24"/>
          <w:szCs w:val="24"/>
        </w:rPr>
        <w:t>系统支持向医院感染监测人员展示提供最近访问患者列表的功能</w:t>
      </w:r>
      <w:bookmarkEnd w:id="927"/>
    </w:p>
    <w:p>
      <w:pPr>
        <w:spacing w:line="360" w:lineRule="auto"/>
        <w:ind w:firstLine="424" w:firstLineChars="177"/>
        <w:rPr>
          <w:rFonts w:ascii="宋体"/>
          <w:color w:val="auto"/>
          <w:sz w:val="24"/>
          <w:szCs w:val="24"/>
        </w:rPr>
      </w:pPr>
      <w:bookmarkStart w:id="928" w:name="_Toc22164"/>
      <w:r>
        <w:rPr>
          <w:rFonts w:ascii="宋体" w:hAnsi="宋体" w:cs="宋体"/>
          <w:color w:val="auto"/>
          <w:sz w:val="24"/>
          <w:szCs w:val="24"/>
        </w:rPr>
        <w:t xml:space="preserve">3. </w:t>
      </w:r>
      <w:r>
        <w:rPr>
          <w:rFonts w:hint="eastAsia" w:ascii="宋体" w:hAnsi="宋体" w:cs="宋体"/>
          <w:color w:val="auto"/>
          <w:sz w:val="24"/>
          <w:szCs w:val="24"/>
        </w:rPr>
        <w:t>系统支持向医院感染监测人员展示支持导出病例数据和病例情况表的功能</w:t>
      </w:r>
      <w:bookmarkEnd w:id="928"/>
    </w:p>
    <w:p>
      <w:pPr>
        <w:spacing w:line="360" w:lineRule="auto"/>
        <w:ind w:firstLine="424" w:firstLineChars="177"/>
        <w:rPr>
          <w:rFonts w:ascii="宋体"/>
          <w:color w:val="auto"/>
          <w:sz w:val="24"/>
          <w:szCs w:val="24"/>
        </w:rPr>
      </w:pPr>
      <w:bookmarkStart w:id="929" w:name="_Toc23690"/>
      <w:r>
        <w:rPr>
          <w:rFonts w:ascii="宋体" w:hAnsi="宋体" w:cs="宋体"/>
          <w:color w:val="auto"/>
          <w:sz w:val="24"/>
          <w:szCs w:val="24"/>
        </w:rPr>
        <w:t xml:space="preserve">4. </w:t>
      </w:r>
      <w:r>
        <w:rPr>
          <w:rFonts w:hint="eastAsia" w:ascii="宋体" w:hAnsi="宋体" w:cs="宋体"/>
          <w:color w:val="auto"/>
          <w:sz w:val="24"/>
          <w:szCs w:val="24"/>
        </w:rPr>
        <w:t>系统支持向医院感染监测人员展示提供患者</w:t>
      </w:r>
      <w:r>
        <w:rPr>
          <w:rFonts w:ascii="宋体" w:hAnsi="宋体" w:cs="宋体"/>
          <w:color w:val="auto"/>
          <w:sz w:val="24"/>
          <w:szCs w:val="24"/>
        </w:rPr>
        <w:t>ID</w:t>
      </w:r>
      <w:r>
        <w:rPr>
          <w:rFonts w:hint="eastAsia" w:ascii="宋体" w:hAnsi="宋体" w:cs="宋体"/>
          <w:color w:val="auto"/>
          <w:sz w:val="24"/>
          <w:szCs w:val="24"/>
        </w:rPr>
        <w:t>、姓名模糊查询的功能</w:t>
      </w:r>
      <w:bookmarkEnd w:id="929"/>
    </w:p>
    <w:p>
      <w:pPr>
        <w:spacing w:line="360" w:lineRule="auto"/>
        <w:ind w:firstLine="424" w:firstLineChars="177"/>
        <w:rPr>
          <w:rFonts w:ascii="宋体"/>
          <w:color w:val="auto"/>
          <w:sz w:val="24"/>
          <w:szCs w:val="24"/>
        </w:rPr>
      </w:pPr>
      <w:bookmarkStart w:id="930" w:name="_Toc6045"/>
      <w:r>
        <w:rPr>
          <w:rFonts w:ascii="宋体" w:hAnsi="宋体" w:cs="宋体"/>
          <w:color w:val="auto"/>
          <w:sz w:val="24"/>
          <w:szCs w:val="24"/>
        </w:rPr>
        <w:t xml:space="preserve">5. </w:t>
      </w:r>
      <w:r>
        <w:rPr>
          <w:rFonts w:hint="eastAsia" w:ascii="宋体" w:hAnsi="宋体" w:cs="宋体"/>
          <w:color w:val="auto"/>
          <w:sz w:val="24"/>
          <w:szCs w:val="24"/>
        </w:rPr>
        <w:t>系统支持向医院感染监测人员提供记事本的功能</w:t>
      </w:r>
      <w:bookmarkEnd w:id="930"/>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暴发预警辅助诊断</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系统支持展示任意日期超出阈值的病区超出的指标值过去</w:t>
      </w:r>
      <w:r>
        <w:rPr>
          <w:rFonts w:ascii="宋体" w:hAnsi="宋体" w:cs="宋体"/>
          <w:color w:val="auto"/>
          <w:sz w:val="24"/>
          <w:szCs w:val="24"/>
        </w:rPr>
        <w:t>2</w:t>
      </w:r>
      <w:r>
        <w:rPr>
          <w:rFonts w:hint="eastAsia" w:ascii="宋体" w:hAnsi="宋体" w:cs="宋体"/>
          <w:color w:val="auto"/>
          <w:sz w:val="24"/>
          <w:szCs w:val="24"/>
        </w:rPr>
        <w:t>周的变化趋势图</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系统支持展示任意日期超出阈值的病区超出的指标值过去</w:t>
      </w:r>
      <w:r>
        <w:rPr>
          <w:rFonts w:ascii="宋体" w:hAnsi="宋体" w:cs="宋体"/>
          <w:color w:val="auto"/>
          <w:sz w:val="24"/>
          <w:szCs w:val="24"/>
        </w:rPr>
        <w:t>2</w:t>
      </w:r>
      <w:r>
        <w:rPr>
          <w:rFonts w:hint="eastAsia" w:ascii="宋体" w:hAnsi="宋体" w:cs="宋体"/>
          <w:color w:val="auto"/>
          <w:sz w:val="24"/>
          <w:szCs w:val="24"/>
        </w:rPr>
        <w:t>周的变化趋势图中每一天的节点点击后显示患者明细信息的功能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系统支持展示任意日期上述危险因素全院汇总的指标值</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系统支持展示任意日期超出阈值的病区全院汇总的指标值过去</w:t>
      </w:r>
      <w:r>
        <w:rPr>
          <w:rFonts w:ascii="宋体" w:hAnsi="宋体" w:cs="宋体"/>
          <w:color w:val="auto"/>
          <w:sz w:val="24"/>
          <w:szCs w:val="24"/>
        </w:rPr>
        <w:t>2</w:t>
      </w:r>
      <w:r>
        <w:rPr>
          <w:rFonts w:hint="eastAsia" w:ascii="宋体" w:hAnsi="宋体" w:cs="宋体"/>
          <w:color w:val="auto"/>
          <w:sz w:val="24"/>
          <w:szCs w:val="24"/>
        </w:rPr>
        <w:t>周的变化趋势图</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系统支持展示任意日期超出阈值的病区全院汇总的指标值过去</w:t>
      </w:r>
      <w:r>
        <w:rPr>
          <w:rFonts w:ascii="宋体" w:hAnsi="宋体" w:cs="宋体"/>
          <w:color w:val="auto"/>
          <w:sz w:val="24"/>
          <w:szCs w:val="24"/>
        </w:rPr>
        <w:t>2</w:t>
      </w:r>
      <w:r>
        <w:rPr>
          <w:rFonts w:hint="eastAsia" w:ascii="宋体" w:hAnsi="宋体" w:cs="宋体"/>
          <w:color w:val="auto"/>
          <w:sz w:val="24"/>
          <w:szCs w:val="24"/>
        </w:rPr>
        <w:t>周的变化趋势图中每一天的节点点击后显示患者明细信息的功能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系统支持展示任意日期任意病区住在患者人数过去</w:t>
      </w:r>
      <w:r>
        <w:rPr>
          <w:rFonts w:ascii="宋体" w:hAnsi="宋体" w:cs="宋体"/>
          <w:color w:val="auto"/>
          <w:sz w:val="24"/>
          <w:szCs w:val="24"/>
        </w:rPr>
        <w:t>2</w:t>
      </w:r>
      <w:r>
        <w:rPr>
          <w:rFonts w:hint="eastAsia" w:ascii="宋体" w:hAnsi="宋体" w:cs="宋体"/>
          <w:color w:val="auto"/>
          <w:sz w:val="24"/>
          <w:szCs w:val="24"/>
        </w:rPr>
        <w:t>周的变化趋势图</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系统支持展示任意日期任意病区处在感染状态的患者人数过去</w:t>
      </w:r>
      <w:r>
        <w:rPr>
          <w:rFonts w:ascii="宋体" w:hAnsi="宋体" w:cs="宋体"/>
          <w:color w:val="auto"/>
          <w:sz w:val="24"/>
          <w:szCs w:val="24"/>
        </w:rPr>
        <w:t>2</w:t>
      </w:r>
      <w:r>
        <w:rPr>
          <w:rFonts w:hint="eastAsia" w:ascii="宋体" w:hAnsi="宋体" w:cs="宋体"/>
          <w:color w:val="auto"/>
          <w:sz w:val="24"/>
          <w:szCs w:val="24"/>
        </w:rPr>
        <w:t>周的变化趋势图</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系统支持展示任意日期任意病区现患率过去</w:t>
      </w:r>
      <w:r>
        <w:rPr>
          <w:rFonts w:ascii="宋体" w:hAnsi="宋体" w:cs="宋体"/>
          <w:color w:val="auto"/>
          <w:sz w:val="24"/>
          <w:szCs w:val="24"/>
        </w:rPr>
        <w:t>2</w:t>
      </w:r>
      <w:r>
        <w:rPr>
          <w:rFonts w:hint="eastAsia" w:ascii="宋体" w:hAnsi="宋体" w:cs="宋体"/>
          <w:color w:val="auto"/>
          <w:sz w:val="24"/>
          <w:szCs w:val="24"/>
        </w:rPr>
        <w:t>周的变化趋势图</w:t>
      </w:r>
    </w:p>
    <w:p>
      <w:pPr>
        <w:spacing w:line="360" w:lineRule="auto"/>
        <w:ind w:firstLine="424" w:firstLineChars="177"/>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系统支持展示任意日期任意病区住在患者人数过去</w:t>
      </w:r>
      <w:r>
        <w:rPr>
          <w:rFonts w:ascii="宋体" w:hAnsi="宋体" w:cs="宋体"/>
          <w:color w:val="auto"/>
          <w:sz w:val="24"/>
          <w:szCs w:val="24"/>
        </w:rPr>
        <w:t>2</w:t>
      </w:r>
      <w:r>
        <w:rPr>
          <w:rFonts w:hint="eastAsia" w:ascii="宋体" w:hAnsi="宋体" w:cs="宋体"/>
          <w:color w:val="auto"/>
          <w:sz w:val="24"/>
          <w:szCs w:val="24"/>
        </w:rPr>
        <w:t>周的变化趋势图中每一天的节点点击后显示患者明细信息的功能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10. </w:t>
      </w:r>
      <w:r>
        <w:rPr>
          <w:rFonts w:hint="eastAsia" w:ascii="宋体" w:hAnsi="宋体" w:cs="宋体"/>
          <w:color w:val="auto"/>
          <w:sz w:val="24"/>
          <w:szCs w:val="24"/>
        </w:rPr>
        <w:t>系统支持展示任意日期任意病区处在感染状态的患者人数过去</w:t>
      </w:r>
      <w:r>
        <w:rPr>
          <w:rFonts w:ascii="宋体" w:hAnsi="宋体" w:cs="宋体"/>
          <w:color w:val="auto"/>
          <w:sz w:val="24"/>
          <w:szCs w:val="24"/>
        </w:rPr>
        <w:t>2</w:t>
      </w:r>
      <w:r>
        <w:rPr>
          <w:rFonts w:hint="eastAsia" w:ascii="宋体" w:hAnsi="宋体" w:cs="宋体"/>
          <w:color w:val="auto"/>
          <w:sz w:val="24"/>
          <w:szCs w:val="24"/>
        </w:rPr>
        <w:t>周的变化趋势图中每一天的节点点击后显示患者明细信息的功能</w:t>
      </w:r>
    </w:p>
    <w:p>
      <w:pPr>
        <w:keepNext/>
        <w:keepLines/>
        <w:numPr>
          <w:ilvl w:val="0"/>
          <w:numId w:val="41"/>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干预和反馈功能</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医院感染监测专业人员与临床医师交流</w:t>
      </w:r>
    </w:p>
    <w:p>
      <w:pPr>
        <w:spacing w:line="360" w:lineRule="auto"/>
        <w:ind w:firstLine="424" w:firstLineChars="177"/>
        <w:rPr>
          <w:rFonts w:ascii="宋体"/>
          <w:color w:val="auto"/>
          <w:sz w:val="24"/>
          <w:szCs w:val="24"/>
        </w:rPr>
      </w:pPr>
      <w:bookmarkStart w:id="931" w:name="_Toc29777"/>
      <w:r>
        <w:rPr>
          <w:rFonts w:ascii="宋体" w:hAnsi="宋体" w:cs="宋体"/>
          <w:color w:val="auto"/>
          <w:sz w:val="24"/>
          <w:szCs w:val="24"/>
        </w:rPr>
        <w:t xml:space="preserve">1. </w:t>
      </w:r>
      <w:r>
        <w:rPr>
          <w:rFonts w:hint="eastAsia" w:ascii="宋体" w:hAnsi="宋体" w:cs="宋体"/>
          <w:color w:val="auto"/>
          <w:sz w:val="24"/>
          <w:szCs w:val="24"/>
        </w:rPr>
        <w:t>系统支持具备医院感染监测人员和临床医生对疑似医院感染病例诊断进行沟通的功能</w:t>
      </w:r>
      <w:bookmarkEnd w:id="931"/>
    </w:p>
    <w:p>
      <w:pPr>
        <w:spacing w:line="360" w:lineRule="auto"/>
        <w:ind w:firstLine="424" w:firstLineChars="177"/>
        <w:rPr>
          <w:rFonts w:ascii="宋体"/>
          <w:color w:val="auto"/>
          <w:sz w:val="24"/>
          <w:szCs w:val="24"/>
        </w:rPr>
      </w:pPr>
      <w:bookmarkStart w:id="932" w:name="_Toc21955"/>
      <w:r>
        <w:rPr>
          <w:rFonts w:ascii="宋体" w:hAnsi="宋体" w:cs="宋体"/>
          <w:color w:val="auto"/>
          <w:sz w:val="24"/>
          <w:szCs w:val="24"/>
        </w:rPr>
        <w:t xml:space="preserve">2. </w:t>
      </w:r>
      <w:r>
        <w:rPr>
          <w:rFonts w:hint="eastAsia" w:ascii="宋体" w:hAnsi="宋体" w:cs="宋体"/>
          <w:color w:val="auto"/>
          <w:sz w:val="24"/>
          <w:szCs w:val="24"/>
        </w:rPr>
        <w:t>系统支持展示医院感染监测人员与临床医生基于患者的交流功能</w:t>
      </w:r>
      <w:bookmarkEnd w:id="932"/>
    </w:p>
    <w:p>
      <w:pPr>
        <w:spacing w:line="360" w:lineRule="auto"/>
        <w:ind w:firstLine="424" w:firstLineChars="177"/>
        <w:rPr>
          <w:rFonts w:ascii="宋体"/>
          <w:color w:val="auto"/>
          <w:sz w:val="24"/>
          <w:szCs w:val="24"/>
        </w:rPr>
      </w:pPr>
      <w:bookmarkStart w:id="933" w:name="_Toc13835"/>
      <w:r>
        <w:rPr>
          <w:rFonts w:ascii="宋体" w:hAnsi="宋体" w:cs="宋体"/>
          <w:color w:val="auto"/>
          <w:sz w:val="24"/>
          <w:szCs w:val="24"/>
        </w:rPr>
        <w:t xml:space="preserve">3. </w:t>
      </w:r>
      <w:r>
        <w:rPr>
          <w:rFonts w:hint="eastAsia" w:ascii="宋体" w:hAnsi="宋体" w:cs="宋体"/>
          <w:color w:val="auto"/>
          <w:sz w:val="24"/>
          <w:szCs w:val="24"/>
        </w:rPr>
        <w:t>系统支持医院感染监测人员可以主动发送消息给临床医师</w:t>
      </w:r>
      <w:bookmarkEnd w:id="933"/>
    </w:p>
    <w:p>
      <w:pPr>
        <w:spacing w:line="360" w:lineRule="auto"/>
        <w:ind w:firstLine="424" w:firstLineChars="177"/>
        <w:rPr>
          <w:rFonts w:ascii="宋体"/>
          <w:color w:val="auto"/>
          <w:sz w:val="24"/>
          <w:szCs w:val="24"/>
        </w:rPr>
      </w:pPr>
      <w:bookmarkStart w:id="934" w:name="_Toc28614"/>
      <w:r>
        <w:rPr>
          <w:rFonts w:ascii="宋体" w:hAnsi="宋体" w:cs="宋体"/>
          <w:color w:val="auto"/>
          <w:sz w:val="24"/>
          <w:szCs w:val="24"/>
        </w:rPr>
        <w:t xml:space="preserve">4. </w:t>
      </w:r>
      <w:r>
        <w:rPr>
          <w:rFonts w:hint="eastAsia" w:ascii="宋体" w:hAnsi="宋体" w:cs="宋体"/>
          <w:color w:val="auto"/>
          <w:sz w:val="24"/>
          <w:szCs w:val="24"/>
        </w:rPr>
        <w:t>系统支持发送消息可以选择模板</w:t>
      </w:r>
      <w:bookmarkEnd w:id="934"/>
    </w:p>
    <w:p>
      <w:pPr>
        <w:spacing w:line="360" w:lineRule="auto"/>
        <w:ind w:firstLine="424" w:firstLineChars="177"/>
        <w:rPr>
          <w:rFonts w:ascii="宋体"/>
          <w:color w:val="auto"/>
          <w:sz w:val="24"/>
          <w:szCs w:val="24"/>
        </w:rPr>
      </w:pPr>
      <w:bookmarkStart w:id="935" w:name="_Toc14736"/>
      <w:r>
        <w:rPr>
          <w:rFonts w:ascii="宋体" w:hAnsi="宋体" w:cs="宋体"/>
          <w:color w:val="auto"/>
          <w:sz w:val="24"/>
          <w:szCs w:val="24"/>
        </w:rPr>
        <w:t xml:space="preserve">5. </w:t>
      </w:r>
      <w:r>
        <w:rPr>
          <w:rFonts w:hint="eastAsia" w:ascii="宋体" w:hAnsi="宋体" w:cs="宋体"/>
          <w:color w:val="auto"/>
          <w:sz w:val="24"/>
          <w:szCs w:val="24"/>
        </w:rPr>
        <w:t>系统支持可以自动发送多重耐药菌该月消息</w:t>
      </w:r>
      <w:bookmarkEnd w:id="935"/>
    </w:p>
    <w:p>
      <w:pPr>
        <w:spacing w:line="360" w:lineRule="auto"/>
        <w:ind w:firstLine="424" w:firstLineChars="177"/>
        <w:rPr>
          <w:rFonts w:ascii="宋体"/>
          <w:color w:val="auto"/>
          <w:sz w:val="24"/>
          <w:szCs w:val="24"/>
        </w:rPr>
      </w:pPr>
      <w:bookmarkStart w:id="936" w:name="_Toc9010"/>
      <w:r>
        <w:rPr>
          <w:rFonts w:ascii="宋体" w:hAnsi="宋体" w:cs="宋体"/>
          <w:color w:val="auto"/>
          <w:sz w:val="24"/>
          <w:szCs w:val="24"/>
        </w:rPr>
        <w:t xml:space="preserve">6. </w:t>
      </w:r>
      <w:r>
        <w:rPr>
          <w:rFonts w:hint="eastAsia" w:ascii="宋体" w:hAnsi="宋体" w:cs="宋体"/>
          <w:color w:val="auto"/>
          <w:sz w:val="24"/>
          <w:szCs w:val="24"/>
        </w:rPr>
        <w:t>系统支持提供未读消息提醒功能</w:t>
      </w:r>
      <w:bookmarkEnd w:id="936"/>
    </w:p>
    <w:p>
      <w:pPr>
        <w:spacing w:line="360" w:lineRule="auto"/>
        <w:ind w:firstLine="424" w:firstLineChars="177"/>
        <w:rPr>
          <w:rFonts w:ascii="宋体"/>
          <w:color w:val="auto"/>
          <w:sz w:val="24"/>
          <w:szCs w:val="24"/>
        </w:rPr>
      </w:pPr>
      <w:bookmarkStart w:id="937" w:name="_Toc19832"/>
      <w:r>
        <w:rPr>
          <w:rFonts w:ascii="宋体" w:hAnsi="宋体" w:cs="宋体"/>
          <w:color w:val="auto"/>
          <w:sz w:val="24"/>
          <w:szCs w:val="24"/>
        </w:rPr>
        <w:t xml:space="preserve">7. </w:t>
      </w:r>
      <w:r>
        <w:rPr>
          <w:rFonts w:hint="eastAsia" w:ascii="宋体" w:hAnsi="宋体" w:cs="宋体"/>
          <w:color w:val="auto"/>
          <w:sz w:val="24"/>
          <w:szCs w:val="24"/>
        </w:rPr>
        <w:t>系统支持以患者为单位显示所有交流信息</w:t>
      </w:r>
      <w:bookmarkEnd w:id="937"/>
    </w:p>
    <w:p>
      <w:pPr>
        <w:spacing w:line="360" w:lineRule="auto"/>
        <w:ind w:firstLine="424" w:firstLineChars="177"/>
        <w:rPr>
          <w:rFonts w:ascii="宋体"/>
          <w:color w:val="auto"/>
          <w:sz w:val="24"/>
          <w:szCs w:val="24"/>
        </w:rPr>
      </w:pPr>
      <w:bookmarkStart w:id="938" w:name="_Toc9363"/>
      <w:r>
        <w:rPr>
          <w:rFonts w:ascii="宋体" w:hAnsi="宋体" w:cs="宋体"/>
          <w:color w:val="auto"/>
          <w:sz w:val="24"/>
          <w:szCs w:val="24"/>
        </w:rPr>
        <w:t xml:space="preserve">8. </w:t>
      </w:r>
      <w:r>
        <w:rPr>
          <w:rFonts w:hint="eastAsia" w:ascii="宋体" w:hAnsi="宋体" w:cs="宋体"/>
          <w:color w:val="auto"/>
          <w:sz w:val="24"/>
          <w:szCs w:val="24"/>
        </w:rPr>
        <w:t>系统支持记录医院感染监测人员和临床医生交流双方账号</w:t>
      </w:r>
      <w:bookmarkEnd w:id="938"/>
    </w:p>
    <w:p>
      <w:pPr>
        <w:spacing w:line="360" w:lineRule="auto"/>
        <w:ind w:firstLine="424" w:firstLineChars="177"/>
        <w:rPr>
          <w:rFonts w:ascii="宋体"/>
          <w:color w:val="auto"/>
          <w:sz w:val="24"/>
          <w:szCs w:val="24"/>
        </w:rPr>
      </w:pPr>
      <w:bookmarkStart w:id="939" w:name="_Toc15149"/>
      <w:r>
        <w:rPr>
          <w:rFonts w:ascii="宋体" w:hAnsi="宋体" w:cs="宋体"/>
          <w:color w:val="auto"/>
          <w:sz w:val="24"/>
          <w:szCs w:val="24"/>
        </w:rPr>
        <w:t xml:space="preserve">9. </w:t>
      </w:r>
      <w:r>
        <w:rPr>
          <w:rFonts w:hint="eastAsia" w:ascii="宋体" w:hAnsi="宋体" w:cs="宋体"/>
          <w:color w:val="auto"/>
          <w:sz w:val="24"/>
          <w:szCs w:val="24"/>
        </w:rPr>
        <w:t>系统支持交流信息查询参数包括发送时间、病例</w:t>
      </w:r>
      <w:r>
        <w:rPr>
          <w:rFonts w:ascii="宋体" w:hAnsi="宋体" w:cs="宋体"/>
          <w:color w:val="auto"/>
          <w:sz w:val="24"/>
          <w:szCs w:val="24"/>
        </w:rPr>
        <w:t>ID</w:t>
      </w:r>
      <w:r>
        <w:rPr>
          <w:rFonts w:hint="eastAsia" w:ascii="宋体" w:hAnsi="宋体" w:cs="宋体"/>
          <w:color w:val="auto"/>
          <w:sz w:val="24"/>
          <w:szCs w:val="24"/>
        </w:rPr>
        <w:t>、患者病区、发送人帐号</w:t>
      </w:r>
      <w:bookmarkEnd w:id="939"/>
    </w:p>
    <w:p>
      <w:pPr>
        <w:spacing w:line="360" w:lineRule="auto"/>
        <w:ind w:firstLine="424" w:firstLineChars="177"/>
        <w:rPr>
          <w:rFonts w:ascii="宋体"/>
          <w:color w:val="auto"/>
          <w:sz w:val="24"/>
          <w:szCs w:val="24"/>
        </w:rPr>
      </w:pPr>
      <w:bookmarkStart w:id="940" w:name="_Toc2697"/>
      <w:r>
        <w:rPr>
          <w:rFonts w:ascii="宋体" w:hAnsi="宋体" w:cs="宋体"/>
          <w:color w:val="auto"/>
          <w:sz w:val="24"/>
          <w:szCs w:val="24"/>
        </w:rPr>
        <w:t xml:space="preserve">10. </w:t>
      </w:r>
      <w:r>
        <w:rPr>
          <w:rFonts w:hint="eastAsia" w:ascii="宋体" w:hAnsi="宋体" w:cs="宋体"/>
          <w:color w:val="auto"/>
          <w:sz w:val="24"/>
          <w:szCs w:val="24"/>
        </w:rPr>
        <w:t>系统支持提供消息内容模糊查询功能</w:t>
      </w:r>
      <w:bookmarkEnd w:id="940"/>
    </w:p>
    <w:p>
      <w:pPr>
        <w:spacing w:line="360" w:lineRule="auto"/>
        <w:ind w:firstLine="424" w:firstLineChars="177"/>
        <w:rPr>
          <w:rFonts w:ascii="宋体"/>
          <w:color w:val="auto"/>
          <w:sz w:val="24"/>
          <w:szCs w:val="24"/>
        </w:rPr>
      </w:pPr>
      <w:bookmarkStart w:id="941" w:name="_Toc28202"/>
      <w:r>
        <w:rPr>
          <w:rFonts w:ascii="宋体" w:hAnsi="宋体" w:cs="宋体"/>
          <w:color w:val="auto"/>
          <w:sz w:val="24"/>
          <w:szCs w:val="24"/>
        </w:rPr>
        <w:t xml:space="preserve">11. </w:t>
      </w:r>
      <w:r>
        <w:rPr>
          <w:rFonts w:hint="eastAsia" w:ascii="宋体" w:hAnsi="宋体" w:cs="宋体"/>
          <w:color w:val="auto"/>
          <w:sz w:val="24"/>
          <w:szCs w:val="24"/>
        </w:rPr>
        <w:t>系统支持提供医院感染监测人员干预院感管理功能</w:t>
      </w:r>
      <w:bookmarkEnd w:id="941"/>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干预推送</w:t>
      </w:r>
    </w:p>
    <w:p>
      <w:pPr>
        <w:spacing w:line="360" w:lineRule="auto"/>
        <w:ind w:firstLine="424" w:firstLineChars="177"/>
        <w:rPr>
          <w:rFonts w:ascii="宋体"/>
          <w:color w:val="auto"/>
          <w:sz w:val="24"/>
          <w:szCs w:val="24"/>
        </w:rPr>
      </w:pPr>
      <w:bookmarkStart w:id="942" w:name="_Toc23052"/>
      <w:r>
        <w:rPr>
          <w:rFonts w:ascii="宋体" w:hAnsi="宋体" w:cs="宋体"/>
          <w:color w:val="auto"/>
          <w:sz w:val="24"/>
          <w:szCs w:val="24"/>
        </w:rPr>
        <w:t xml:space="preserve">1. </w:t>
      </w:r>
      <w:r>
        <w:rPr>
          <w:rFonts w:hint="eastAsia" w:ascii="宋体" w:hAnsi="宋体" w:cs="宋体"/>
          <w:color w:val="auto"/>
          <w:sz w:val="24"/>
          <w:szCs w:val="24"/>
        </w:rPr>
        <w:t>系统支持具备干预措施推送功能</w:t>
      </w:r>
      <w:bookmarkEnd w:id="942"/>
    </w:p>
    <w:p>
      <w:pPr>
        <w:spacing w:line="360" w:lineRule="auto"/>
        <w:ind w:firstLine="424" w:firstLineChars="177"/>
        <w:rPr>
          <w:rFonts w:ascii="宋体"/>
          <w:color w:val="auto"/>
          <w:sz w:val="24"/>
          <w:szCs w:val="24"/>
        </w:rPr>
      </w:pPr>
      <w:bookmarkStart w:id="943" w:name="_Toc26988"/>
      <w:r>
        <w:rPr>
          <w:rFonts w:ascii="宋体" w:hAnsi="宋体" w:cs="宋体"/>
          <w:color w:val="auto"/>
          <w:sz w:val="24"/>
          <w:szCs w:val="24"/>
        </w:rPr>
        <w:t xml:space="preserve">2. </w:t>
      </w:r>
      <w:r>
        <w:rPr>
          <w:rFonts w:hint="eastAsia" w:ascii="宋体" w:hAnsi="宋体" w:cs="宋体"/>
          <w:color w:val="auto"/>
          <w:sz w:val="24"/>
          <w:szCs w:val="24"/>
        </w:rPr>
        <w:t>系统支持将病例诊断建议</w:t>
      </w:r>
      <w:bookmarkEnd w:id="943"/>
    </w:p>
    <w:p>
      <w:pPr>
        <w:spacing w:line="360" w:lineRule="auto"/>
        <w:ind w:firstLine="424" w:firstLineChars="177"/>
        <w:rPr>
          <w:rFonts w:ascii="宋体"/>
          <w:color w:val="auto"/>
          <w:sz w:val="24"/>
          <w:szCs w:val="24"/>
        </w:rPr>
      </w:pPr>
      <w:bookmarkStart w:id="944" w:name="_Toc15942"/>
      <w:r>
        <w:rPr>
          <w:rFonts w:ascii="宋体" w:hAnsi="宋体" w:cs="宋体"/>
          <w:color w:val="auto"/>
          <w:sz w:val="24"/>
          <w:szCs w:val="24"/>
        </w:rPr>
        <w:t xml:space="preserve">3. </w:t>
      </w:r>
      <w:r>
        <w:rPr>
          <w:rFonts w:hint="eastAsia" w:ascii="宋体" w:hAnsi="宋体" w:cs="宋体"/>
          <w:color w:val="auto"/>
          <w:sz w:val="24"/>
          <w:szCs w:val="24"/>
        </w:rPr>
        <w:t>系统支持感染防控要点等内容及时推送给医生进行干预</w:t>
      </w:r>
      <w:bookmarkEnd w:id="944"/>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临床医生反馈</w:t>
      </w:r>
    </w:p>
    <w:p>
      <w:pPr>
        <w:spacing w:line="360" w:lineRule="auto"/>
        <w:ind w:firstLine="424" w:firstLineChars="177"/>
        <w:rPr>
          <w:rFonts w:ascii="宋体"/>
          <w:color w:val="auto"/>
          <w:sz w:val="24"/>
          <w:szCs w:val="24"/>
        </w:rPr>
      </w:pPr>
      <w:bookmarkStart w:id="945" w:name="_Toc7298"/>
      <w:r>
        <w:rPr>
          <w:rFonts w:ascii="宋体" w:hAnsi="宋体" w:cs="宋体"/>
          <w:color w:val="auto"/>
          <w:sz w:val="24"/>
          <w:szCs w:val="24"/>
        </w:rPr>
        <w:t xml:space="preserve">1. </w:t>
      </w:r>
      <w:r>
        <w:rPr>
          <w:rFonts w:hint="eastAsia" w:ascii="宋体" w:hAnsi="宋体" w:cs="宋体"/>
          <w:color w:val="auto"/>
          <w:sz w:val="24"/>
          <w:szCs w:val="24"/>
        </w:rPr>
        <w:t>系统支持临床医师可以主动发送消息给医院感染监测人员</w:t>
      </w:r>
      <w:bookmarkEnd w:id="945"/>
    </w:p>
    <w:p>
      <w:pPr>
        <w:spacing w:line="360" w:lineRule="auto"/>
        <w:ind w:firstLine="424" w:firstLineChars="177"/>
        <w:rPr>
          <w:rFonts w:ascii="宋体"/>
          <w:color w:val="auto"/>
          <w:sz w:val="24"/>
          <w:szCs w:val="24"/>
        </w:rPr>
      </w:pPr>
      <w:bookmarkStart w:id="946" w:name="_Toc17960"/>
      <w:r>
        <w:rPr>
          <w:rFonts w:ascii="宋体" w:hAnsi="宋体" w:cs="宋体"/>
          <w:color w:val="auto"/>
          <w:sz w:val="24"/>
          <w:szCs w:val="24"/>
        </w:rPr>
        <w:t xml:space="preserve">2. </w:t>
      </w:r>
      <w:r>
        <w:rPr>
          <w:rFonts w:hint="eastAsia" w:ascii="宋体" w:hAnsi="宋体" w:cs="宋体"/>
          <w:color w:val="auto"/>
          <w:sz w:val="24"/>
          <w:szCs w:val="24"/>
        </w:rPr>
        <w:t>系统支持临床医师确认的功能</w:t>
      </w:r>
      <w:bookmarkEnd w:id="946"/>
    </w:p>
    <w:p>
      <w:pPr>
        <w:spacing w:line="360" w:lineRule="auto"/>
        <w:ind w:firstLine="424" w:firstLineChars="177"/>
        <w:rPr>
          <w:rFonts w:ascii="宋体"/>
          <w:color w:val="auto"/>
          <w:sz w:val="24"/>
          <w:szCs w:val="24"/>
        </w:rPr>
      </w:pPr>
      <w:bookmarkStart w:id="947" w:name="_Toc7921"/>
      <w:r>
        <w:rPr>
          <w:rFonts w:ascii="宋体" w:hAnsi="宋体" w:cs="宋体"/>
          <w:color w:val="auto"/>
          <w:sz w:val="24"/>
          <w:szCs w:val="24"/>
        </w:rPr>
        <w:t xml:space="preserve">3. </w:t>
      </w:r>
      <w:r>
        <w:rPr>
          <w:rFonts w:hint="eastAsia" w:ascii="宋体" w:hAnsi="宋体" w:cs="宋体"/>
          <w:color w:val="auto"/>
          <w:sz w:val="24"/>
          <w:szCs w:val="24"/>
        </w:rPr>
        <w:t>系统支持临床医师排除的功能</w:t>
      </w:r>
      <w:bookmarkEnd w:id="947"/>
    </w:p>
    <w:p>
      <w:pPr>
        <w:spacing w:line="360" w:lineRule="auto"/>
        <w:ind w:firstLine="424" w:firstLineChars="177"/>
        <w:rPr>
          <w:rFonts w:ascii="宋体"/>
          <w:color w:val="auto"/>
          <w:sz w:val="24"/>
          <w:szCs w:val="24"/>
        </w:rPr>
      </w:pPr>
      <w:bookmarkStart w:id="948" w:name="_Toc10201"/>
      <w:r>
        <w:rPr>
          <w:rFonts w:ascii="宋体" w:hAnsi="宋体" w:cs="宋体"/>
          <w:color w:val="auto"/>
          <w:sz w:val="24"/>
          <w:szCs w:val="24"/>
        </w:rPr>
        <w:t xml:space="preserve">4. </w:t>
      </w:r>
      <w:r>
        <w:rPr>
          <w:rFonts w:hint="eastAsia" w:ascii="宋体" w:hAnsi="宋体" w:cs="宋体"/>
          <w:color w:val="auto"/>
          <w:sz w:val="24"/>
          <w:szCs w:val="24"/>
        </w:rPr>
        <w:t>系统支持若临床医生排除预警，需要先发消息给医院感染监测人员解释排除理由的功能</w:t>
      </w:r>
      <w:bookmarkEnd w:id="948"/>
    </w:p>
    <w:p>
      <w:pPr>
        <w:spacing w:line="360" w:lineRule="auto"/>
        <w:ind w:firstLine="424" w:firstLineChars="177"/>
        <w:rPr>
          <w:rFonts w:ascii="宋体"/>
          <w:color w:val="auto"/>
          <w:sz w:val="24"/>
          <w:szCs w:val="24"/>
        </w:rPr>
      </w:pPr>
      <w:bookmarkStart w:id="949" w:name="_Toc22029"/>
      <w:r>
        <w:rPr>
          <w:rFonts w:ascii="宋体" w:hAnsi="宋体" w:cs="宋体"/>
          <w:color w:val="auto"/>
          <w:sz w:val="24"/>
          <w:szCs w:val="24"/>
        </w:rPr>
        <w:t xml:space="preserve">5. </w:t>
      </w:r>
      <w:r>
        <w:rPr>
          <w:rFonts w:hint="eastAsia" w:ascii="宋体" w:hAnsi="宋体" w:cs="宋体"/>
          <w:color w:val="auto"/>
          <w:sz w:val="24"/>
          <w:szCs w:val="24"/>
        </w:rPr>
        <w:t>系统支持临床医师编辑的功能</w:t>
      </w:r>
      <w:bookmarkEnd w:id="949"/>
    </w:p>
    <w:p>
      <w:pPr>
        <w:spacing w:line="360" w:lineRule="auto"/>
        <w:ind w:firstLine="424" w:firstLineChars="177"/>
        <w:rPr>
          <w:rFonts w:ascii="宋体"/>
          <w:color w:val="auto"/>
          <w:sz w:val="24"/>
          <w:szCs w:val="24"/>
        </w:rPr>
      </w:pPr>
      <w:bookmarkStart w:id="950" w:name="_Toc10394"/>
      <w:r>
        <w:rPr>
          <w:rFonts w:ascii="宋体" w:hAnsi="宋体" w:cs="宋体"/>
          <w:color w:val="auto"/>
          <w:sz w:val="24"/>
          <w:szCs w:val="24"/>
        </w:rPr>
        <w:t xml:space="preserve">6. </w:t>
      </w:r>
      <w:r>
        <w:rPr>
          <w:rFonts w:hint="eastAsia" w:ascii="宋体" w:hAnsi="宋体" w:cs="宋体"/>
          <w:color w:val="auto"/>
          <w:sz w:val="24"/>
          <w:szCs w:val="24"/>
        </w:rPr>
        <w:t>系统支持临床医师移动的功能</w:t>
      </w:r>
      <w:bookmarkEnd w:id="950"/>
    </w:p>
    <w:p>
      <w:pPr>
        <w:spacing w:line="360" w:lineRule="auto"/>
        <w:ind w:firstLine="424" w:firstLineChars="177"/>
        <w:rPr>
          <w:rFonts w:ascii="宋体"/>
          <w:color w:val="auto"/>
          <w:sz w:val="24"/>
          <w:szCs w:val="24"/>
        </w:rPr>
      </w:pPr>
      <w:bookmarkStart w:id="951" w:name="_Toc12713"/>
      <w:r>
        <w:rPr>
          <w:rFonts w:ascii="宋体" w:hAnsi="宋体" w:cs="宋体"/>
          <w:color w:val="auto"/>
          <w:sz w:val="24"/>
          <w:szCs w:val="24"/>
        </w:rPr>
        <w:t xml:space="preserve">7. </w:t>
      </w:r>
      <w:r>
        <w:rPr>
          <w:rFonts w:hint="eastAsia" w:ascii="宋体" w:hAnsi="宋体" w:cs="宋体"/>
          <w:color w:val="auto"/>
          <w:sz w:val="24"/>
          <w:szCs w:val="24"/>
        </w:rPr>
        <w:t>系统支持临床医师主动上报的功能</w:t>
      </w:r>
      <w:bookmarkEnd w:id="951"/>
    </w:p>
    <w:p>
      <w:pPr>
        <w:spacing w:line="360" w:lineRule="auto"/>
        <w:ind w:firstLine="424" w:firstLineChars="177"/>
        <w:rPr>
          <w:rFonts w:ascii="宋体"/>
          <w:color w:val="auto"/>
          <w:sz w:val="24"/>
          <w:szCs w:val="24"/>
        </w:rPr>
      </w:pPr>
      <w:bookmarkStart w:id="952" w:name="_Toc3013"/>
      <w:r>
        <w:rPr>
          <w:rFonts w:ascii="宋体" w:hAnsi="宋体" w:cs="宋体"/>
          <w:color w:val="auto"/>
          <w:sz w:val="24"/>
          <w:szCs w:val="24"/>
        </w:rPr>
        <w:t xml:space="preserve">8. </w:t>
      </w:r>
      <w:r>
        <w:rPr>
          <w:rFonts w:hint="eastAsia" w:ascii="宋体" w:hAnsi="宋体" w:cs="宋体"/>
          <w:color w:val="auto"/>
          <w:sz w:val="24"/>
          <w:szCs w:val="24"/>
        </w:rPr>
        <w:t>系统支持临床医师全部确认的功能</w:t>
      </w:r>
      <w:bookmarkEnd w:id="952"/>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医院感染知识学习</w:t>
      </w:r>
    </w:p>
    <w:p>
      <w:pPr>
        <w:spacing w:line="360" w:lineRule="auto"/>
        <w:ind w:firstLine="424" w:firstLineChars="177"/>
        <w:rPr>
          <w:rFonts w:ascii="宋体"/>
          <w:color w:val="auto"/>
          <w:sz w:val="24"/>
          <w:szCs w:val="24"/>
        </w:rPr>
      </w:pPr>
      <w:bookmarkStart w:id="953" w:name="_Toc31309"/>
      <w:r>
        <w:rPr>
          <w:rFonts w:ascii="宋体" w:hAnsi="宋体" w:cs="宋体"/>
          <w:color w:val="auto"/>
          <w:sz w:val="24"/>
          <w:szCs w:val="24"/>
        </w:rPr>
        <w:t xml:space="preserve">1. </w:t>
      </w:r>
      <w:r>
        <w:rPr>
          <w:rFonts w:hint="eastAsia" w:ascii="宋体" w:hAnsi="宋体" w:cs="宋体"/>
          <w:color w:val="auto"/>
          <w:sz w:val="24"/>
          <w:szCs w:val="24"/>
        </w:rPr>
        <w:t>系统支持医院感染监测人员可以维护感染学习知识库</w:t>
      </w:r>
      <w:bookmarkEnd w:id="953"/>
    </w:p>
    <w:p>
      <w:pPr>
        <w:spacing w:line="360" w:lineRule="auto"/>
        <w:ind w:firstLine="424" w:firstLineChars="177"/>
        <w:rPr>
          <w:rFonts w:ascii="宋体"/>
          <w:color w:val="auto"/>
          <w:sz w:val="24"/>
          <w:szCs w:val="24"/>
        </w:rPr>
      </w:pPr>
      <w:bookmarkStart w:id="954" w:name="_Toc18396"/>
      <w:r>
        <w:rPr>
          <w:rFonts w:ascii="宋体" w:hAnsi="宋体" w:cs="宋体"/>
          <w:color w:val="auto"/>
          <w:sz w:val="24"/>
          <w:szCs w:val="24"/>
        </w:rPr>
        <w:t xml:space="preserve">2. </w:t>
      </w:r>
      <w:r>
        <w:rPr>
          <w:rFonts w:hint="eastAsia" w:ascii="宋体" w:hAnsi="宋体" w:cs="宋体"/>
          <w:color w:val="auto"/>
          <w:sz w:val="24"/>
          <w:szCs w:val="24"/>
        </w:rPr>
        <w:t>系统支持临床医生可以学习感染知识</w:t>
      </w:r>
      <w:bookmarkEnd w:id="954"/>
    </w:p>
    <w:p>
      <w:pPr>
        <w:spacing w:line="360" w:lineRule="auto"/>
        <w:ind w:firstLine="424" w:firstLineChars="177"/>
        <w:rPr>
          <w:rFonts w:ascii="宋体"/>
          <w:color w:val="auto"/>
          <w:sz w:val="24"/>
          <w:szCs w:val="24"/>
        </w:rPr>
      </w:pPr>
      <w:bookmarkStart w:id="955" w:name="_Toc9614"/>
      <w:r>
        <w:rPr>
          <w:rFonts w:ascii="宋体" w:hAnsi="宋体" w:cs="宋体"/>
          <w:color w:val="auto"/>
          <w:sz w:val="24"/>
          <w:szCs w:val="24"/>
        </w:rPr>
        <w:t xml:space="preserve">3. </w:t>
      </w:r>
      <w:r>
        <w:rPr>
          <w:rFonts w:hint="eastAsia" w:ascii="宋体" w:hAnsi="宋体" w:cs="宋体"/>
          <w:color w:val="auto"/>
          <w:sz w:val="24"/>
          <w:szCs w:val="24"/>
        </w:rPr>
        <w:t>系统支持提供医院感染学习知识访问量统计功能</w:t>
      </w:r>
      <w:bookmarkEnd w:id="955"/>
    </w:p>
    <w:p>
      <w:pPr>
        <w:keepNext/>
        <w:keepLines/>
        <w:numPr>
          <w:ilvl w:val="0"/>
          <w:numId w:val="42"/>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统计分析功能</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统计分析的基本功能要求</w:t>
      </w:r>
    </w:p>
    <w:p>
      <w:pPr>
        <w:spacing w:line="360" w:lineRule="auto"/>
        <w:ind w:firstLine="424" w:firstLineChars="177"/>
        <w:rPr>
          <w:rFonts w:ascii="宋体"/>
          <w:color w:val="auto"/>
          <w:sz w:val="24"/>
          <w:szCs w:val="24"/>
        </w:rPr>
      </w:pPr>
      <w:bookmarkStart w:id="956" w:name="_Toc12770"/>
      <w:r>
        <w:rPr>
          <w:rFonts w:ascii="宋体" w:hAnsi="宋体" w:cs="宋体"/>
          <w:color w:val="auto"/>
          <w:sz w:val="24"/>
          <w:szCs w:val="24"/>
        </w:rPr>
        <w:t xml:space="preserve">1. </w:t>
      </w:r>
      <w:r>
        <w:rPr>
          <w:rFonts w:hint="eastAsia" w:ascii="宋体" w:hAnsi="宋体" w:cs="宋体"/>
          <w:color w:val="auto"/>
          <w:sz w:val="24"/>
          <w:szCs w:val="24"/>
        </w:rPr>
        <w:t>系统支持提供具备查询任意时段全院及各病区医院感染统计分析结果的功能</w:t>
      </w:r>
      <w:bookmarkEnd w:id="956"/>
    </w:p>
    <w:p>
      <w:pPr>
        <w:spacing w:line="360" w:lineRule="auto"/>
        <w:ind w:firstLine="424" w:firstLineChars="177"/>
        <w:rPr>
          <w:rFonts w:ascii="宋体"/>
          <w:color w:val="auto"/>
          <w:sz w:val="24"/>
          <w:szCs w:val="24"/>
        </w:rPr>
      </w:pPr>
      <w:bookmarkStart w:id="957" w:name="_Toc28851"/>
      <w:r>
        <w:rPr>
          <w:rFonts w:ascii="宋体" w:hAnsi="宋体" w:cs="宋体"/>
          <w:color w:val="auto"/>
          <w:sz w:val="24"/>
          <w:szCs w:val="24"/>
        </w:rPr>
        <w:t xml:space="preserve">2. </w:t>
      </w:r>
      <w:r>
        <w:rPr>
          <w:rFonts w:hint="eastAsia" w:ascii="宋体" w:hAnsi="宋体" w:cs="宋体"/>
          <w:color w:val="auto"/>
          <w:sz w:val="24"/>
          <w:szCs w:val="24"/>
        </w:rPr>
        <w:t>系统支持提供任意日期凌晨</w:t>
      </w:r>
      <w:r>
        <w:rPr>
          <w:rFonts w:ascii="宋体" w:cs="宋体"/>
          <w:color w:val="auto"/>
          <w:sz w:val="24"/>
          <w:szCs w:val="24"/>
        </w:rPr>
        <w:t>0</w:t>
      </w:r>
      <w:r>
        <w:rPr>
          <w:rFonts w:hint="eastAsia" w:ascii="宋体" w:hAnsi="宋体" w:cs="宋体"/>
          <w:color w:val="auto"/>
          <w:sz w:val="24"/>
          <w:szCs w:val="24"/>
        </w:rPr>
        <w:t>点现患情况的功能</w:t>
      </w:r>
      <w:bookmarkEnd w:id="957"/>
    </w:p>
    <w:p>
      <w:pPr>
        <w:spacing w:line="360" w:lineRule="auto"/>
        <w:ind w:firstLine="424" w:firstLineChars="177"/>
        <w:rPr>
          <w:rFonts w:ascii="宋体"/>
          <w:color w:val="auto"/>
          <w:sz w:val="24"/>
          <w:szCs w:val="24"/>
        </w:rPr>
      </w:pPr>
      <w:bookmarkStart w:id="958" w:name="_Toc11905"/>
      <w:r>
        <w:rPr>
          <w:rFonts w:ascii="宋体" w:hAnsi="宋体" w:cs="宋体"/>
          <w:color w:val="auto"/>
          <w:sz w:val="24"/>
          <w:szCs w:val="24"/>
        </w:rPr>
        <w:t xml:space="preserve">3. </w:t>
      </w:r>
      <w:r>
        <w:rPr>
          <w:rFonts w:hint="eastAsia" w:ascii="宋体" w:hAnsi="宋体" w:cs="宋体"/>
          <w:color w:val="auto"/>
          <w:sz w:val="24"/>
          <w:szCs w:val="24"/>
        </w:rPr>
        <w:t>系统支持提供统计结果为全院、病区等多级层次展示的功能</w:t>
      </w:r>
      <w:bookmarkEnd w:id="958"/>
    </w:p>
    <w:p>
      <w:pPr>
        <w:spacing w:line="360" w:lineRule="auto"/>
        <w:ind w:firstLine="424" w:firstLineChars="177"/>
        <w:rPr>
          <w:rFonts w:ascii="宋体"/>
          <w:color w:val="auto"/>
          <w:sz w:val="24"/>
          <w:szCs w:val="24"/>
        </w:rPr>
      </w:pPr>
      <w:bookmarkStart w:id="959" w:name="_Toc7681"/>
      <w:r>
        <w:rPr>
          <w:rFonts w:ascii="宋体" w:hAnsi="宋体" w:cs="宋体"/>
          <w:color w:val="auto"/>
          <w:sz w:val="24"/>
          <w:szCs w:val="24"/>
        </w:rPr>
        <w:t xml:space="preserve">4. </w:t>
      </w:r>
      <w:r>
        <w:rPr>
          <w:rFonts w:hint="eastAsia" w:ascii="宋体" w:hAnsi="宋体" w:cs="宋体"/>
          <w:color w:val="auto"/>
          <w:sz w:val="24"/>
          <w:szCs w:val="24"/>
        </w:rPr>
        <w:t>系统支持提供以表格等方式展示统计分析结果的功能</w:t>
      </w:r>
      <w:bookmarkEnd w:id="959"/>
    </w:p>
    <w:p>
      <w:pPr>
        <w:spacing w:line="360" w:lineRule="auto"/>
        <w:ind w:firstLine="424" w:firstLineChars="177"/>
        <w:rPr>
          <w:rFonts w:ascii="宋体"/>
          <w:color w:val="auto"/>
          <w:sz w:val="24"/>
          <w:szCs w:val="24"/>
        </w:rPr>
      </w:pPr>
      <w:bookmarkStart w:id="960" w:name="_Toc19893"/>
      <w:r>
        <w:rPr>
          <w:rFonts w:ascii="宋体" w:hAnsi="宋体" w:cs="宋体"/>
          <w:color w:val="auto"/>
          <w:sz w:val="24"/>
          <w:szCs w:val="24"/>
        </w:rPr>
        <w:t xml:space="preserve">5. </w:t>
      </w:r>
      <w:r>
        <w:rPr>
          <w:rFonts w:hint="eastAsia" w:ascii="宋体" w:hAnsi="宋体" w:cs="宋体"/>
          <w:color w:val="auto"/>
          <w:sz w:val="24"/>
          <w:szCs w:val="24"/>
        </w:rPr>
        <w:t>系统支持提供直接导出统计分析结果的为</w:t>
      </w:r>
      <w:r>
        <w:rPr>
          <w:rFonts w:ascii="宋体" w:hAnsi="宋体" w:cs="宋体"/>
          <w:color w:val="auto"/>
          <w:sz w:val="24"/>
          <w:szCs w:val="24"/>
        </w:rPr>
        <w:t>Excel</w:t>
      </w:r>
      <w:r>
        <w:rPr>
          <w:rFonts w:hint="eastAsia" w:ascii="宋体" w:hAnsi="宋体" w:cs="宋体"/>
          <w:color w:val="auto"/>
          <w:sz w:val="24"/>
          <w:szCs w:val="24"/>
        </w:rPr>
        <w:t>格式的文档</w:t>
      </w:r>
      <w:bookmarkEnd w:id="960"/>
    </w:p>
    <w:p>
      <w:pPr>
        <w:spacing w:line="360" w:lineRule="auto"/>
        <w:ind w:firstLine="424" w:firstLineChars="177"/>
        <w:rPr>
          <w:rFonts w:ascii="宋体"/>
          <w:color w:val="auto"/>
          <w:sz w:val="24"/>
          <w:szCs w:val="24"/>
        </w:rPr>
      </w:pPr>
      <w:bookmarkStart w:id="961" w:name="_Toc6447"/>
      <w:r>
        <w:rPr>
          <w:rFonts w:ascii="宋体" w:hAnsi="宋体" w:cs="宋体"/>
          <w:color w:val="auto"/>
          <w:sz w:val="24"/>
          <w:szCs w:val="24"/>
        </w:rPr>
        <w:t xml:space="preserve">6. </w:t>
      </w:r>
      <w:r>
        <w:rPr>
          <w:rFonts w:hint="eastAsia" w:ascii="宋体" w:hAnsi="宋体" w:cs="宋体"/>
          <w:color w:val="auto"/>
          <w:sz w:val="24"/>
          <w:szCs w:val="24"/>
        </w:rPr>
        <w:t>系统支持提供以图形等方式展示统计分析结果的功能</w:t>
      </w:r>
      <w:bookmarkEnd w:id="961"/>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医院感染基础数据统计指标－无需医院感染病例识别的指标</w:t>
      </w:r>
    </w:p>
    <w:p>
      <w:pPr>
        <w:spacing w:line="360" w:lineRule="auto"/>
        <w:ind w:firstLine="424" w:firstLineChars="177"/>
        <w:rPr>
          <w:rFonts w:ascii="宋体"/>
          <w:color w:val="auto"/>
          <w:sz w:val="24"/>
          <w:szCs w:val="24"/>
        </w:rPr>
      </w:pPr>
      <w:bookmarkStart w:id="962" w:name="_Toc26960"/>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系统支持提供统计任意时段全院及各病区的住院人数</w:t>
      </w:r>
      <w:bookmarkEnd w:id="962"/>
    </w:p>
    <w:p>
      <w:pPr>
        <w:spacing w:line="360" w:lineRule="auto"/>
        <w:ind w:firstLine="424" w:firstLineChars="177"/>
        <w:rPr>
          <w:rFonts w:ascii="宋体"/>
          <w:color w:val="auto"/>
          <w:sz w:val="24"/>
          <w:szCs w:val="24"/>
        </w:rPr>
      </w:pPr>
      <w:bookmarkStart w:id="963" w:name="_Toc25021"/>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系统支持提供统计任意时段全院及各病区的住院天数</w:t>
      </w:r>
      <w:bookmarkEnd w:id="963"/>
    </w:p>
    <w:p>
      <w:pPr>
        <w:spacing w:line="360" w:lineRule="auto"/>
        <w:ind w:firstLine="424" w:firstLineChars="177"/>
        <w:rPr>
          <w:rFonts w:ascii="宋体"/>
          <w:color w:val="auto"/>
          <w:sz w:val="24"/>
          <w:szCs w:val="24"/>
        </w:rPr>
      </w:pPr>
      <w:bookmarkStart w:id="964" w:name="_Toc29304"/>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系统支持提供统计任意时段全院及各病区的出院人数</w:t>
      </w:r>
      <w:bookmarkEnd w:id="964"/>
    </w:p>
    <w:p>
      <w:pPr>
        <w:spacing w:line="360" w:lineRule="auto"/>
        <w:ind w:firstLine="424" w:firstLineChars="177"/>
        <w:rPr>
          <w:rFonts w:ascii="宋体"/>
          <w:color w:val="auto"/>
          <w:sz w:val="24"/>
          <w:szCs w:val="24"/>
        </w:rPr>
      </w:pPr>
      <w:bookmarkStart w:id="965" w:name="_Toc13745"/>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系统支持提供统计任意时段全院及各病区的尿道插管千日使用率</w:t>
      </w:r>
      <w:bookmarkEnd w:id="965"/>
    </w:p>
    <w:p>
      <w:pPr>
        <w:spacing w:line="360" w:lineRule="auto"/>
        <w:ind w:firstLine="424" w:firstLineChars="177"/>
        <w:rPr>
          <w:rFonts w:ascii="宋体"/>
          <w:color w:val="auto"/>
          <w:sz w:val="24"/>
          <w:szCs w:val="24"/>
        </w:rPr>
      </w:pPr>
      <w:bookmarkStart w:id="966" w:name="_Toc8570"/>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系统支持提供统计任意时段全院及各病区的中央血管导管千日使用率</w:t>
      </w:r>
      <w:bookmarkEnd w:id="966"/>
    </w:p>
    <w:p>
      <w:pPr>
        <w:spacing w:line="360" w:lineRule="auto"/>
        <w:ind w:firstLine="424" w:firstLineChars="177"/>
        <w:rPr>
          <w:rFonts w:ascii="宋体"/>
          <w:color w:val="auto"/>
          <w:sz w:val="24"/>
          <w:szCs w:val="24"/>
        </w:rPr>
      </w:pPr>
      <w:bookmarkStart w:id="967" w:name="_Toc15540"/>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系统支持提供统计任意时段全院及各病区的呼吸机千日使用率</w:t>
      </w:r>
      <w:bookmarkEnd w:id="967"/>
    </w:p>
    <w:p>
      <w:pPr>
        <w:spacing w:line="360" w:lineRule="auto"/>
        <w:ind w:firstLine="424" w:firstLineChars="177"/>
        <w:rPr>
          <w:rFonts w:ascii="宋体"/>
          <w:color w:val="auto"/>
          <w:sz w:val="24"/>
          <w:szCs w:val="24"/>
        </w:rPr>
      </w:pPr>
      <w:bookmarkStart w:id="968" w:name="_Toc4722"/>
      <w:r>
        <w:rPr>
          <w:rFonts w:ascii="宋体" w:hAnsi="宋体" w:cs="宋体"/>
          <w:color w:val="auto"/>
          <w:sz w:val="24"/>
          <w:szCs w:val="24"/>
        </w:rPr>
        <w:t xml:space="preserve">7. </w:t>
      </w:r>
      <w:r>
        <w:rPr>
          <w:rFonts w:hint="eastAsia" w:ascii="宋体" w:hAnsi="宋体" w:cs="宋体"/>
          <w:color w:val="auto"/>
          <w:sz w:val="24"/>
          <w:szCs w:val="24"/>
        </w:rPr>
        <w:t>系统支持提供统计任意时段全院及各病区的手术人数</w:t>
      </w:r>
      <w:bookmarkEnd w:id="968"/>
    </w:p>
    <w:p>
      <w:pPr>
        <w:spacing w:line="360" w:lineRule="auto"/>
        <w:ind w:firstLine="424" w:firstLineChars="177"/>
        <w:rPr>
          <w:rFonts w:ascii="宋体"/>
          <w:color w:val="auto"/>
          <w:sz w:val="24"/>
          <w:szCs w:val="24"/>
        </w:rPr>
      </w:pPr>
      <w:bookmarkStart w:id="969" w:name="_Toc4456"/>
      <w:r>
        <w:rPr>
          <w:rFonts w:ascii="宋体" w:hAnsi="宋体" w:cs="宋体"/>
          <w:color w:val="auto"/>
          <w:sz w:val="24"/>
          <w:szCs w:val="24"/>
        </w:rPr>
        <w:t xml:space="preserve">8. </w:t>
      </w:r>
      <w:r>
        <w:rPr>
          <w:rFonts w:hint="eastAsia" w:ascii="宋体" w:hAnsi="宋体" w:cs="宋体"/>
          <w:color w:val="auto"/>
          <w:sz w:val="24"/>
          <w:szCs w:val="24"/>
        </w:rPr>
        <w:t>系统支持提供统计任意时段全院及各病区的多重耐药菌检出数</w:t>
      </w:r>
      <w:bookmarkEnd w:id="969"/>
    </w:p>
    <w:p>
      <w:pPr>
        <w:spacing w:line="360" w:lineRule="auto"/>
        <w:ind w:firstLine="424" w:firstLineChars="177"/>
        <w:rPr>
          <w:rFonts w:ascii="宋体"/>
          <w:color w:val="auto"/>
          <w:sz w:val="24"/>
          <w:szCs w:val="24"/>
        </w:rPr>
      </w:pPr>
      <w:bookmarkStart w:id="970" w:name="_Toc28838"/>
      <w:r>
        <w:rPr>
          <w:rFonts w:ascii="宋体" w:hAnsi="宋体" w:cs="宋体"/>
          <w:color w:val="auto"/>
          <w:sz w:val="24"/>
          <w:szCs w:val="24"/>
        </w:rPr>
        <w:t xml:space="preserve">9. </w:t>
      </w:r>
      <w:r>
        <w:rPr>
          <w:rFonts w:hint="eastAsia" w:ascii="宋体" w:hAnsi="宋体" w:cs="宋体"/>
          <w:color w:val="auto"/>
          <w:sz w:val="24"/>
          <w:szCs w:val="24"/>
        </w:rPr>
        <w:t>系统支持提供统计任意时段全院及各病区的抗菌药物使用人数</w:t>
      </w:r>
      <w:bookmarkEnd w:id="970"/>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医院感染发病率、患病率等需要医院感染判读的指标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系统支持提供统计任意时段全院及各病区的在每日新发医院感染病例得到确认的基础上，根据预设的标准算法</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系统支持提供统计任意时段全院及各病区的统计任意时段全院及各病区的医院感染（例次）发病率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系统支持提供统计任意时段全院及各病区的千日医院感染（例次）发病率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系统支持提供统计任意时段全院及各病区的医院感染现患（例次）率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系统支持提供统计任意时段全院及各病区的手术患者手术部位感染发病率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系统支持提供统计任意时段全院及各病区的尿道插管相关泌尿道感染发病率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系统支持提供统计任意时段全院及各病区的中央血管导管相关血流感染发病率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系统支持提供统计任意时段全院及各病区的呼吸机相关肺炎发病率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系统支持提供统计任意时段全院及各病区的多重耐药菌感染（例次）发生率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10. </w:t>
      </w:r>
      <w:r>
        <w:rPr>
          <w:rFonts w:hint="eastAsia" w:ascii="宋体" w:hAnsi="宋体" w:cs="宋体"/>
          <w:color w:val="auto"/>
          <w:sz w:val="24"/>
          <w:szCs w:val="24"/>
        </w:rPr>
        <w:t>系统支持提供统计任意时段全院及各病区的多重耐药菌感染例次千日发生率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rPr>
        <w:t>系统支持提供统计任意时段全院及各病区的多重耐药菌定植例次千日发生率</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手术相关统计指标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系统支持提供统计任意时段全院及各病区的自动统计任意时段全院及各病区的手术患者手术部位感染发病率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系统支持提供统计任意时段全院及各病区的清洁手术甲级愈合率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系统支持提供统计任意时段全院及各病区的清洁手术手术部位感染率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系统支持提供统计任意时段全院及各病区的清洁手术抗菌药物预防使用百分率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系统支持提供统计任意时段全院及各病区的清洁手术抗菌药物预防使用人均用药天数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系统支持提供统计任意时段全院及各病区的手术术前</w:t>
      </w:r>
      <w:r>
        <w:rPr>
          <w:rFonts w:ascii="宋体" w:hAnsi="宋体" w:cs="宋体"/>
          <w:color w:val="auto"/>
          <w:sz w:val="24"/>
          <w:szCs w:val="24"/>
        </w:rPr>
        <w:t>0.5h</w:t>
      </w:r>
      <w:r>
        <w:rPr>
          <w:rFonts w:hint="eastAsia" w:ascii="宋体" w:hAnsi="宋体" w:cs="宋体"/>
          <w:color w:val="auto"/>
          <w:sz w:val="24"/>
          <w:szCs w:val="24"/>
        </w:rPr>
        <w:t>～</w:t>
      </w:r>
      <w:r>
        <w:rPr>
          <w:rFonts w:ascii="宋体" w:hAnsi="宋体" w:cs="宋体"/>
          <w:color w:val="auto"/>
          <w:sz w:val="24"/>
          <w:szCs w:val="24"/>
        </w:rPr>
        <w:t>2h</w:t>
      </w:r>
      <w:r>
        <w:rPr>
          <w:rFonts w:hint="eastAsia" w:ascii="宋体" w:hAnsi="宋体" w:cs="宋体"/>
          <w:color w:val="auto"/>
          <w:sz w:val="24"/>
          <w:szCs w:val="24"/>
        </w:rPr>
        <w:t>给药百分率</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器械使用率、器械相关感染发病率指标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系统支持提供统计任意时段全院及各病区的能自动统计任意时段全院及各病区的尿道插管千日使用率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系统支持提供统计任意时段全院及各病区的中央血管导管千日使用率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系统支持提供统计任意时段全院及各病区的呼吸机千日使用率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系统支持提供统计任意时段全院及各病区的尿道插管相关泌尿道感染发病率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系统支持提供统计任意时段全院及各病区的中央血管导管相关血流感染发病率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系统支持提供统计任意时段全院及各病区的呼吸机相关肺炎发病率</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抗菌药物相关指标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系统支持提供统计任意时段全院及各病区的能自动统计任意时段全院及各病区的出院患者抗菌药物使用率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系统支持提供统计任意时段全院及各病区的住院患者抗菌药物使用率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系统支持提供统计任意时段全院及各病区的预防使用抗菌药物构成比</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系统支持提供统计任意时段全院及各病区的治疗使用抗菌药物构成比</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系统支持提供统计任意时段全院及各病区的出院患者人均使用抗菌药物品种数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系统支持提供统计任意时段全院及各病区的住院患者人均使用抗菌药物天数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系统支持提供统计任意时段全院及各病区的出院患者使用抗菌药物病原学送检率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系统支持提供统计任意时段全院及各病区的出院患者治疗性使用抗菌药物病原学送检率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系统支持提供统计任意时段全院及各病区的住院患者抗菌药物治疗前病原学送检率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10. </w:t>
      </w:r>
      <w:r>
        <w:rPr>
          <w:rFonts w:hint="eastAsia" w:ascii="宋体" w:hAnsi="宋体" w:cs="宋体"/>
          <w:color w:val="auto"/>
          <w:sz w:val="24"/>
          <w:szCs w:val="24"/>
        </w:rPr>
        <w:t>系统支持提供统计任意时段全院及各病区的住院患者限制类抗菌药物治疗性使用前病原学送检率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rPr>
        <w:t>系统支持提供统计任意时段全院及各病区的住院患者特殊类抗菌药物治疗性使用前病原学送检率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12. </w:t>
      </w:r>
      <w:r>
        <w:rPr>
          <w:rFonts w:hint="eastAsia" w:ascii="宋体" w:hAnsi="宋体" w:cs="宋体"/>
          <w:color w:val="auto"/>
          <w:sz w:val="24"/>
          <w:szCs w:val="24"/>
        </w:rPr>
        <w:t>系统支持提供统计任意时段全院及各病区的清洁手术抗菌药物预防使用百分率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13. </w:t>
      </w:r>
      <w:r>
        <w:rPr>
          <w:rFonts w:hint="eastAsia" w:ascii="宋体" w:hAnsi="宋体" w:cs="宋体"/>
          <w:color w:val="auto"/>
          <w:sz w:val="24"/>
          <w:szCs w:val="24"/>
        </w:rPr>
        <w:t>系统支持提供统计任意时段全院及各病区的清洁手术抗菌药物预防使用人均用药天数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14. </w:t>
      </w:r>
      <w:r>
        <w:rPr>
          <w:rFonts w:hint="eastAsia" w:ascii="宋体" w:hAnsi="宋体" w:cs="宋体"/>
          <w:color w:val="auto"/>
          <w:sz w:val="24"/>
          <w:szCs w:val="24"/>
        </w:rPr>
        <w:t>系统支持提供统计任意时段全院及各病区的手术术前</w:t>
      </w:r>
      <w:r>
        <w:rPr>
          <w:rFonts w:ascii="宋体" w:hAnsi="宋体" w:cs="宋体"/>
          <w:color w:val="auto"/>
          <w:sz w:val="24"/>
          <w:szCs w:val="24"/>
        </w:rPr>
        <w:t>0.5h</w:t>
      </w:r>
      <w:r>
        <w:rPr>
          <w:rFonts w:hint="eastAsia" w:ascii="宋体" w:hAnsi="宋体" w:cs="宋体"/>
          <w:color w:val="auto"/>
          <w:sz w:val="24"/>
          <w:szCs w:val="24"/>
        </w:rPr>
        <w:t>～</w:t>
      </w:r>
      <w:r>
        <w:rPr>
          <w:rFonts w:ascii="宋体" w:hAnsi="宋体" w:cs="宋体"/>
          <w:color w:val="auto"/>
          <w:sz w:val="24"/>
          <w:szCs w:val="24"/>
        </w:rPr>
        <w:t>2h</w:t>
      </w:r>
      <w:r>
        <w:rPr>
          <w:rFonts w:hint="eastAsia" w:ascii="宋体" w:hAnsi="宋体" w:cs="宋体"/>
          <w:color w:val="auto"/>
          <w:sz w:val="24"/>
          <w:szCs w:val="24"/>
        </w:rPr>
        <w:t>给药百分率</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细菌耐药指标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系统支持提供统计任意时段全院及各病区的能自动统计任意时段全院及各病区的多重耐药菌检出率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系统支持提供统计任意时段全院及各病区的多重耐药医院感染致病菌分离绝对数</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系统支持提供统计任意时段全院及各病区的多重耐药医院感染致病菌对抗菌药物耐药率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系统支持提供统计任意时段全院及各病区的多重耐药菌感染（例次）发生率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系统支持提供统计任意时段全院及各病区的多重耐药菌感染例次千日发生率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系统支持提供统计任意时段全院及各病区的多重耐药菌定植例次千日发生率</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系统支持提供统计任意时段全院及各病区的不同医院感染病原体构成比</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系统支持提供统计任意时段全院及各病区的医院感染致病菌对抗菌药物的耐药率</w:t>
      </w:r>
    </w:p>
    <w:p>
      <w:pPr>
        <w:keepNext/>
        <w:keepLines/>
        <w:numPr>
          <w:ilvl w:val="0"/>
          <w:numId w:val="43"/>
        </w:numPr>
        <w:spacing w:before="156" w:after="156" w:line="376" w:lineRule="auto"/>
        <w:ind w:left="1008" w:hanging="1008"/>
        <w:rPr>
          <w:rFonts w:ascii="宋体"/>
          <w:b/>
          <w:bCs/>
          <w:color w:val="auto"/>
          <w:sz w:val="28"/>
          <w:szCs w:val="28"/>
        </w:rPr>
      </w:pPr>
      <w:r>
        <w:rPr>
          <w:rFonts w:hint="eastAsia" w:ascii="宋体" w:hAnsi="宋体" w:cs="宋体"/>
          <w:b/>
          <w:bCs/>
          <w:color w:val="auto"/>
          <w:sz w:val="28"/>
          <w:szCs w:val="28"/>
        </w:rPr>
        <w:t>数据上报功能</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临床医师主动上报医院感染病例</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系统支持提供统计任意时段全院及各病区的设置临床医生主动上报功能，对系统未自动筛查出的、由临床医生诊断的医院感染病例进行上报</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系统支持提供统计任意时段全院及各病区的对临床医生诊断的系统未自动筛查的医院感染病例进行上报</w:t>
      </w:r>
    </w:p>
    <w:p>
      <w:pPr>
        <w:numPr>
          <w:ilvl w:val="0"/>
          <w:numId w:val="39"/>
        </w:numPr>
        <w:spacing w:before="156" w:after="156" w:line="360" w:lineRule="auto"/>
        <w:ind w:left="1152" w:hanging="1152"/>
        <w:rPr>
          <w:rFonts w:ascii="宋体"/>
          <w:b/>
          <w:bCs/>
          <w:color w:val="auto"/>
          <w:sz w:val="24"/>
          <w:szCs w:val="24"/>
        </w:rPr>
      </w:pPr>
      <w:r>
        <w:rPr>
          <w:rFonts w:hint="eastAsia" w:ascii="宋体" w:hAnsi="宋体" w:cs="宋体"/>
          <w:b/>
          <w:bCs/>
          <w:color w:val="auto"/>
          <w:sz w:val="24"/>
          <w:szCs w:val="24"/>
        </w:rPr>
        <w:t>医疗机构上报数据到卫健委或各级医院感染质量控制中心</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系统支持提供统计任意时段全院及各病区的具有医院按上级行政部门要求（依据</w:t>
      </w:r>
      <w:r>
        <w:rPr>
          <w:rFonts w:ascii="宋体" w:hAnsi="宋体" w:cs="宋体"/>
          <w:color w:val="auto"/>
          <w:sz w:val="24"/>
          <w:szCs w:val="24"/>
        </w:rPr>
        <w:t>WS/T 312</w:t>
      </w:r>
      <w:r>
        <w:rPr>
          <w:rFonts w:hint="eastAsia" w:ascii="宋体" w:hAnsi="宋体" w:cs="宋体"/>
          <w:color w:val="auto"/>
          <w:sz w:val="24"/>
          <w:szCs w:val="24"/>
        </w:rPr>
        <w:t>报告基本数据）报告符合基本数据集标准的住院患者医院感染相关临床数据的功能</w:t>
      </w:r>
    </w:p>
    <w:p>
      <w:pPr>
        <w:numPr>
          <w:ilvl w:val="0"/>
          <w:numId w:val="39"/>
        </w:numPr>
        <w:spacing w:before="156" w:after="156" w:line="360" w:lineRule="auto"/>
        <w:ind w:left="1008" w:hanging="1008"/>
        <w:rPr>
          <w:rFonts w:ascii="宋体"/>
          <w:b/>
          <w:bCs/>
          <w:color w:val="auto"/>
          <w:sz w:val="28"/>
          <w:szCs w:val="28"/>
        </w:rPr>
      </w:pPr>
      <w:r>
        <w:rPr>
          <w:rFonts w:hint="eastAsia" w:ascii="宋体" w:hAnsi="宋体" w:cs="宋体"/>
          <w:b/>
          <w:bCs/>
          <w:color w:val="auto"/>
          <w:sz w:val="28"/>
          <w:szCs w:val="28"/>
        </w:rPr>
        <w:t>医务人员血源</w:t>
      </w:r>
      <w:r>
        <w:rPr>
          <w:rFonts w:hint="eastAsia" w:ascii="宋体" w:hAnsi="宋体" w:cs="宋体"/>
          <w:b/>
          <w:bCs/>
          <w:color w:val="auto"/>
          <w:sz w:val="24"/>
          <w:szCs w:val="24"/>
        </w:rPr>
        <w:t>性病</w:t>
      </w:r>
      <w:r>
        <w:rPr>
          <w:rFonts w:hint="eastAsia" w:ascii="宋体" w:hAnsi="宋体" w:cs="宋体"/>
          <w:b/>
          <w:bCs/>
          <w:color w:val="auto"/>
          <w:sz w:val="28"/>
          <w:szCs w:val="28"/>
        </w:rPr>
        <w:t>原体职业暴露监测功能要求</w:t>
      </w:r>
    </w:p>
    <w:p>
      <w:pPr>
        <w:spacing w:line="360" w:lineRule="auto"/>
        <w:ind w:firstLine="424" w:firstLineChars="177"/>
        <w:rPr>
          <w:rFonts w:ascii="宋体"/>
          <w:color w:val="auto"/>
          <w:sz w:val="24"/>
          <w:szCs w:val="24"/>
        </w:rPr>
      </w:pPr>
      <w:r>
        <w:rPr>
          <w:rFonts w:ascii="宋体" w:hAnsi="宋体" w:cs="宋体"/>
          <w:color w:val="auto"/>
          <w:sz w:val="24"/>
          <w:szCs w:val="24"/>
        </w:rPr>
        <w:t xml:space="preserve">1. </w:t>
      </w:r>
      <w:r>
        <w:rPr>
          <w:rFonts w:hint="eastAsia" w:ascii="宋体" w:hAnsi="宋体" w:cs="宋体"/>
          <w:color w:val="auto"/>
          <w:sz w:val="24"/>
          <w:szCs w:val="24"/>
        </w:rPr>
        <w:t>系统支持提供登记暴露者基本情况、本次暴露方式、发生经过描述、暴露后紧急处理、血源患者评估、暴露者免疫水平评估、暴露后的预防性措施、暴露后追踪检测、是否感染血源性病原体的结论等</w:t>
      </w:r>
    </w:p>
    <w:p>
      <w:pPr>
        <w:spacing w:line="360" w:lineRule="auto"/>
        <w:ind w:firstLine="424" w:firstLineChars="177"/>
        <w:rPr>
          <w:rFonts w:ascii="宋体"/>
          <w:color w:val="auto"/>
          <w:sz w:val="24"/>
          <w:szCs w:val="24"/>
        </w:rPr>
      </w:pPr>
      <w:r>
        <w:rPr>
          <w:rFonts w:ascii="宋体" w:hAnsi="宋体" w:cs="宋体"/>
          <w:color w:val="auto"/>
          <w:sz w:val="24"/>
          <w:szCs w:val="24"/>
        </w:rPr>
        <w:t xml:space="preserve">2. </w:t>
      </w:r>
      <w:r>
        <w:rPr>
          <w:rFonts w:hint="eastAsia" w:ascii="宋体" w:hAnsi="宋体" w:cs="宋体"/>
          <w:color w:val="auto"/>
          <w:sz w:val="24"/>
          <w:szCs w:val="24"/>
        </w:rPr>
        <w:t>系统支持提供录入功能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3. </w:t>
      </w:r>
      <w:r>
        <w:rPr>
          <w:rFonts w:hint="eastAsia" w:ascii="宋体" w:hAnsi="宋体" w:cs="宋体"/>
          <w:color w:val="auto"/>
          <w:sz w:val="24"/>
          <w:szCs w:val="24"/>
        </w:rPr>
        <w:t>系统支持提供保护医务人员隐私的保密功能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系统支持提供到期提醒疫苗接种、追踪检测等功能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系统支持提供统计分析功能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6. </w:t>
      </w:r>
      <w:r>
        <w:rPr>
          <w:rFonts w:hint="eastAsia" w:ascii="宋体" w:hAnsi="宋体" w:cs="宋体"/>
          <w:color w:val="auto"/>
          <w:sz w:val="24"/>
          <w:szCs w:val="24"/>
        </w:rPr>
        <w:t>系统支持提供可提醒针刺伤医护人员后续检查</w:t>
      </w:r>
    </w:p>
    <w:p>
      <w:pPr>
        <w:spacing w:line="360" w:lineRule="auto"/>
        <w:ind w:firstLine="424" w:firstLineChars="177"/>
        <w:rPr>
          <w:rFonts w:ascii="宋体"/>
          <w:color w:val="auto"/>
          <w:sz w:val="24"/>
          <w:szCs w:val="24"/>
        </w:rPr>
      </w:pPr>
      <w:r>
        <w:rPr>
          <w:rFonts w:ascii="宋体" w:hAnsi="宋体" w:cs="宋体"/>
          <w:color w:val="auto"/>
          <w:sz w:val="24"/>
          <w:szCs w:val="24"/>
        </w:rPr>
        <w:t xml:space="preserve">7. </w:t>
      </w:r>
      <w:r>
        <w:rPr>
          <w:rFonts w:hint="eastAsia" w:ascii="宋体" w:hAnsi="宋体" w:cs="宋体"/>
          <w:color w:val="auto"/>
          <w:sz w:val="24"/>
          <w:szCs w:val="24"/>
        </w:rPr>
        <w:t>系统支持提供提供对针刺伤医护人员随访功能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8. </w:t>
      </w:r>
      <w:r>
        <w:rPr>
          <w:rFonts w:hint="eastAsia" w:ascii="宋体" w:hAnsi="宋体" w:cs="宋体"/>
          <w:color w:val="auto"/>
          <w:sz w:val="24"/>
          <w:szCs w:val="24"/>
        </w:rPr>
        <w:t>系统支持提供提供针刺伤事件登记搜索功能</w:t>
      </w:r>
    </w:p>
    <w:p>
      <w:pPr>
        <w:spacing w:line="360" w:lineRule="auto"/>
        <w:ind w:firstLine="424" w:firstLineChars="177"/>
        <w:rPr>
          <w:rFonts w:ascii="宋体"/>
          <w:color w:val="auto"/>
          <w:sz w:val="24"/>
          <w:szCs w:val="24"/>
        </w:rPr>
      </w:pPr>
      <w:r>
        <w:rPr>
          <w:rFonts w:ascii="宋体" w:hAnsi="宋体" w:cs="宋体"/>
          <w:color w:val="auto"/>
          <w:sz w:val="24"/>
          <w:szCs w:val="24"/>
        </w:rPr>
        <w:t xml:space="preserve">9. </w:t>
      </w:r>
      <w:r>
        <w:rPr>
          <w:rFonts w:hint="eastAsia" w:ascii="宋体" w:hAnsi="宋体" w:cs="宋体"/>
          <w:color w:val="auto"/>
          <w:sz w:val="24"/>
          <w:szCs w:val="24"/>
        </w:rPr>
        <w:t>系统支持提供提供针刺伤事件登记导出和打印报告、统计功能（按工龄、职业、暴露科室、暴露途径进行统计）</w:t>
      </w:r>
    </w:p>
    <w:p>
      <w:pPr>
        <w:numPr>
          <w:ilvl w:val="0"/>
          <w:numId w:val="39"/>
        </w:numPr>
        <w:spacing w:before="156" w:after="156" w:line="360" w:lineRule="auto"/>
        <w:ind w:left="1008" w:hanging="1008"/>
        <w:rPr>
          <w:rFonts w:ascii="宋体"/>
          <w:b/>
          <w:bCs/>
          <w:color w:val="auto"/>
          <w:sz w:val="28"/>
          <w:szCs w:val="28"/>
        </w:rPr>
      </w:pPr>
      <w:r>
        <w:rPr>
          <w:rFonts w:hint="eastAsia" w:ascii="宋体" w:hAnsi="宋体" w:cs="宋体"/>
          <w:b/>
          <w:bCs/>
          <w:color w:val="auto"/>
          <w:sz w:val="28"/>
          <w:szCs w:val="28"/>
        </w:rPr>
        <w:t>消毒灭菌效果</w:t>
      </w:r>
      <w:r>
        <w:rPr>
          <w:rFonts w:hint="eastAsia" w:ascii="宋体" w:hAnsi="宋体" w:cs="宋体"/>
          <w:b/>
          <w:bCs/>
          <w:color w:val="auto"/>
          <w:sz w:val="24"/>
          <w:szCs w:val="24"/>
        </w:rPr>
        <w:t>监测</w:t>
      </w:r>
      <w:r>
        <w:rPr>
          <w:rFonts w:hint="eastAsia" w:ascii="宋体" w:hAnsi="宋体" w:cs="宋体"/>
          <w:b/>
          <w:bCs/>
          <w:color w:val="auto"/>
          <w:sz w:val="28"/>
          <w:szCs w:val="28"/>
        </w:rPr>
        <w:t>功能要求</w:t>
      </w:r>
    </w:p>
    <w:p>
      <w:pPr>
        <w:spacing w:line="360" w:lineRule="auto"/>
        <w:ind w:firstLine="424" w:firstLineChars="177"/>
        <w:rPr>
          <w:rFonts w:ascii="宋体"/>
          <w:color w:val="auto"/>
          <w:sz w:val="24"/>
          <w:szCs w:val="24"/>
        </w:rPr>
      </w:pPr>
      <w:bookmarkStart w:id="971" w:name="_Toc30617"/>
      <w:r>
        <w:rPr>
          <w:rFonts w:ascii="宋体" w:hAnsi="宋体" w:cs="宋体"/>
          <w:color w:val="auto"/>
          <w:sz w:val="24"/>
          <w:szCs w:val="24"/>
        </w:rPr>
        <w:t xml:space="preserve">1. </w:t>
      </w:r>
      <w:r>
        <w:rPr>
          <w:rFonts w:hint="eastAsia" w:ascii="宋体" w:hAnsi="宋体" w:cs="宋体"/>
          <w:color w:val="auto"/>
          <w:sz w:val="24"/>
          <w:szCs w:val="24"/>
        </w:rPr>
        <w:t>系统支持提供监测数据的手工录入功能</w:t>
      </w:r>
      <w:bookmarkEnd w:id="971"/>
    </w:p>
    <w:p>
      <w:pPr>
        <w:spacing w:line="360" w:lineRule="auto"/>
        <w:ind w:firstLine="424" w:firstLineChars="177"/>
        <w:rPr>
          <w:rFonts w:ascii="宋体"/>
          <w:color w:val="auto"/>
          <w:sz w:val="24"/>
          <w:szCs w:val="24"/>
        </w:rPr>
      </w:pPr>
      <w:bookmarkStart w:id="972" w:name="_Toc32566"/>
      <w:r>
        <w:rPr>
          <w:rFonts w:ascii="宋体" w:hAnsi="宋体" w:cs="宋体"/>
          <w:color w:val="auto"/>
          <w:sz w:val="24"/>
          <w:szCs w:val="24"/>
        </w:rPr>
        <w:t xml:space="preserve">2. </w:t>
      </w:r>
      <w:r>
        <w:rPr>
          <w:rFonts w:hint="eastAsia" w:ascii="宋体" w:hAnsi="宋体" w:cs="宋体"/>
          <w:color w:val="auto"/>
          <w:sz w:val="24"/>
          <w:szCs w:val="24"/>
        </w:rPr>
        <w:t>系统支持提供自动判断监测结果是否合格</w:t>
      </w:r>
      <w:bookmarkEnd w:id="972"/>
    </w:p>
    <w:p>
      <w:pPr>
        <w:spacing w:line="360" w:lineRule="auto"/>
        <w:ind w:firstLine="424" w:firstLineChars="177"/>
        <w:rPr>
          <w:rFonts w:ascii="宋体"/>
          <w:color w:val="auto"/>
          <w:sz w:val="24"/>
          <w:szCs w:val="24"/>
        </w:rPr>
      </w:pPr>
      <w:bookmarkStart w:id="973" w:name="_Toc26420"/>
      <w:r>
        <w:rPr>
          <w:rFonts w:ascii="宋体" w:hAnsi="宋体" w:cs="宋体"/>
          <w:color w:val="auto"/>
          <w:sz w:val="24"/>
          <w:szCs w:val="24"/>
        </w:rPr>
        <w:t xml:space="preserve">3. </w:t>
      </w:r>
      <w:r>
        <w:rPr>
          <w:rFonts w:hint="eastAsia" w:ascii="宋体" w:hAnsi="宋体" w:cs="宋体"/>
          <w:color w:val="auto"/>
          <w:sz w:val="24"/>
          <w:szCs w:val="24"/>
        </w:rPr>
        <w:t>系统支持提供空气、物表、手监测报告浏览、编辑、配置、搜索、导出、打印功能</w:t>
      </w:r>
      <w:bookmarkEnd w:id="973"/>
    </w:p>
    <w:p>
      <w:pPr>
        <w:spacing w:line="360" w:lineRule="auto"/>
        <w:ind w:firstLine="424" w:firstLineChars="177"/>
        <w:rPr>
          <w:rFonts w:ascii="宋体"/>
          <w:color w:val="auto"/>
          <w:sz w:val="24"/>
          <w:szCs w:val="24"/>
        </w:rPr>
      </w:pPr>
      <w:bookmarkStart w:id="974" w:name="_Toc32169"/>
      <w:r>
        <w:rPr>
          <w:rFonts w:ascii="宋体" w:hAnsi="宋体" w:cs="宋体"/>
          <w:color w:val="auto"/>
          <w:sz w:val="24"/>
          <w:szCs w:val="24"/>
        </w:rPr>
        <w:t xml:space="preserve">4. </w:t>
      </w:r>
      <w:r>
        <w:rPr>
          <w:rFonts w:hint="eastAsia" w:ascii="宋体" w:hAnsi="宋体" w:cs="宋体"/>
          <w:color w:val="auto"/>
          <w:sz w:val="24"/>
          <w:szCs w:val="24"/>
        </w:rPr>
        <w:t>系统支持提供一次性无菌物品监测报告浏览、编辑、配置、搜索、导出、打印功能</w:t>
      </w:r>
      <w:bookmarkEnd w:id="974"/>
    </w:p>
    <w:p>
      <w:pPr>
        <w:spacing w:line="360" w:lineRule="auto"/>
        <w:ind w:firstLine="424" w:firstLineChars="177"/>
        <w:rPr>
          <w:rFonts w:ascii="宋体"/>
          <w:color w:val="auto"/>
          <w:sz w:val="24"/>
          <w:szCs w:val="24"/>
        </w:rPr>
      </w:pPr>
      <w:r>
        <w:rPr>
          <w:rFonts w:ascii="宋体" w:hAnsi="宋体" w:cs="宋体"/>
          <w:color w:val="auto"/>
          <w:sz w:val="24"/>
          <w:szCs w:val="24"/>
        </w:rPr>
        <w:t xml:space="preserve">5. </w:t>
      </w:r>
      <w:r>
        <w:rPr>
          <w:rFonts w:hint="eastAsia" w:ascii="宋体" w:hAnsi="宋体" w:cs="宋体"/>
          <w:color w:val="auto"/>
          <w:sz w:val="24"/>
          <w:szCs w:val="24"/>
        </w:rPr>
        <w:t>系统支持提供手术器械报告浏览、编辑、配置、搜索、导出、打印功能</w:t>
      </w:r>
    </w:p>
    <w:p>
      <w:pPr>
        <w:spacing w:line="360" w:lineRule="auto"/>
        <w:ind w:firstLine="424" w:firstLineChars="177"/>
        <w:rPr>
          <w:rFonts w:ascii="宋体"/>
          <w:color w:val="auto"/>
          <w:sz w:val="24"/>
          <w:szCs w:val="24"/>
        </w:rPr>
      </w:pPr>
      <w:bookmarkStart w:id="975" w:name="_Toc25431"/>
      <w:r>
        <w:rPr>
          <w:rFonts w:ascii="宋体" w:hAnsi="宋体" w:cs="宋体"/>
          <w:color w:val="auto"/>
          <w:sz w:val="24"/>
          <w:szCs w:val="24"/>
        </w:rPr>
        <w:t xml:space="preserve">6. </w:t>
      </w:r>
      <w:r>
        <w:rPr>
          <w:rFonts w:hint="eastAsia" w:ascii="宋体" w:hAnsi="宋体" w:cs="宋体"/>
          <w:color w:val="auto"/>
          <w:sz w:val="24"/>
          <w:szCs w:val="24"/>
        </w:rPr>
        <w:t>系统支持提供口腔诊疗器械报告浏览、编辑、配置、搜索、导出、打印功能</w:t>
      </w:r>
      <w:bookmarkEnd w:id="975"/>
    </w:p>
    <w:p>
      <w:pPr>
        <w:spacing w:line="360" w:lineRule="auto"/>
        <w:ind w:firstLine="424" w:firstLineChars="177"/>
        <w:rPr>
          <w:rFonts w:ascii="宋体"/>
          <w:color w:val="auto"/>
          <w:sz w:val="24"/>
          <w:szCs w:val="24"/>
        </w:rPr>
      </w:pPr>
      <w:bookmarkStart w:id="976" w:name="_Toc18520"/>
      <w:r>
        <w:rPr>
          <w:rFonts w:ascii="宋体" w:hAnsi="宋体" w:cs="宋体"/>
          <w:color w:val="auto"/>
          <w:sz w:val="24"/>
          <w:szCs w:val="24"/>
        </w:rPr>
        <w:t xml:space="preserve">7. </w:t>
      </w:r>
      <w:r>
        <w:rPr>
          <w:rFonts w:hint="eastAsia" w:ascii="宋体" w:hAnsi="宋体" w:cs="宋体"/>
          <w:color w:val="auto"/>
          <w:sz w:val="24"/>
          <w:szCs w:val="24"/>
        </w:rPr>
        <w:t>系统支持提供灭菌器生物学监测报告浏览、编辑、配置、搜索、导出、打印功能</w:t>
      </w:r>
      <w:bookmarkEnd w:id="976"/>
    </w:p>
    <w:p>
      <w:pPr>
        <w:spacing w:line="360" w:lineRule="auto"/>
        <w:ind w:firstLine="424" w:firstLineChars="177"/>
        <w:rPr>
          <w:rFonts w:ascii="宋体"/>
          <w:color w:val="auto"/>
          <w:sz w:val="24"/>
          <w:szCs w:val="24"/>
        </w:rPr>
      </w:pPr>
      <w:bookmarkStart w:id="977" w:name="_Toc16872"/>
      <w:r>
        <w:rPr>
          <w:rFonts w:ascii="宋体" w:hAnsi="宋体" w:cs="宋体"/>
          <w:color w:val="auto"/>
          <w:sz w:val="24"/>
          <w:szCs w:val="24"/>
        </w:rPr>
        <w:t xml:space="preserve">8. </w:t>
      </w:r>
      <w:r>
        <w:rPr>
          <w:rFonts w:hint="eastAsia" w:ascii="宋体" w:hAnsi="宋体" w:cs="宋体"/>
          <w:color w:val="auto"/>
          <w:sz w:val="24"/>
          <w:szCs w:val="24"/>
        </w:rPr>
        <w:t>系统支持提供一般医疗用品报告浏览、编辑、配置、搜索、导出、打印功能</w:t>
      </w:r>
      <w:bookmarkEnd w:id="977"/>
    </w:p>
    <w:p>
      <w:pPr>
        <w:spacing w:line="360" w:lineRule="auto"/>
        <w:ind w:firstLine="424" w:firstLineChars="177"/>
        <w:rPr>
          <w:rFonts w:ascii="宋体"/>
          <w:color w:val="auto"/>
          <w:sz w:val="24"/>
          <w:szCs w:val="24"/>
        </w:rPr>
      </w:pPr>
      <w:bookmarkStart w:id="978" w:name="_Toc31154"/>
      <w:r>
        <w:rPr>
          <w:rFonts w:ascii="宋体" w:hAnsi="宋体" w:cs="宋体"/>
          <w:color w:val="auto"/>
          <w:sz w:val="24"/>
          <w:szCs w:val="24"/>
        </w:rPr>
        <w:t xml:space="preserve">9. </w:t>
      </w:r>
      <w:r>
        <w:rPr>
          <w:rFonts w:hint="eastAsia" w:ascii="宋体" w:hAnsi="宋体" w:cs="宋体"/>
          <w:color w:val="auto"/>
          <w:sz w:val="24"/>
          <w:szCs w:val="24"/>
        </w:rPr>
        <w:t>系统支持提供呼吸机管路报告浏览、编辑、配置、搜索、导出、打印功能</w:t>
      </w:r>
      <w:bookmarkEnd w:id="978"/>
    </w:p>
    <w:p>
      <w:pPr>
        <w:spacing w:line="360" w:lineRule="auto"/>
        <w:ind w:firstLine="424" w:firstLineChars="177"/>
        <w:rPr>
          <w:rFonts w:ascii="宋体"/>
          <w:color w:val="auto"/>
          <w:sz w:val="24"/>
          <w:szCs w:val="24"/>
        </w:rPr>
      </w:pPr>
      <w:bookmarkStart w:id="979" w:name="_Toc19029"/>
      <w:r>
        <w:rPr>
          <w:rFonts w:ascii="宋体" w:hAnsi="宋体" w:cs="宋体"/>
          <w:color w:val="auto"/>
          <w:sz w:val="24"/>
          <w:szCs w:val="24"/>
        </w:rPr>
        <w:t xml:space="preserve">10. </w:t>
      </w:r>
      <w:r>
        <w:rPr>
          <w:rFonts w:hint="eastAsia" w:ascii="宋体" w:hAnsi="宋体" w:cs="宋体"/>
          <w:color w:val="auto"/>
          <w:sz w:val="24"/>
          <w:szCs w:val="24"/>
        </w:rPr>
        <w:t>系统支持提供床单位报告浏览、编辑、配置、搜索、导出、打印功能</w:t>
      </w:r>
      <w:bookmarkEnd w:id="979"/>
    </w:p>
    <w:p>
      <w:pPr>
        <w:spacing w:line="360" w:lineRule="auto"/>
        <w:ind w:firstLine="424" w:firstLineChars="177"/>
        <w:rPr>
          <w:rFonts w:ascii="宋体"/>
          <w:color w:val="auto"/>
          <w:sz w:val="24"/>
          <w:szCs w:val="24"/>
        </w:rPr>
      </w:pPr>
      <w:bookmarkStart w:id="980" w:name="_Toc28"/>
      <w:r>
        <w:rPr>
          <w:rFonts w:ascii="宋体" w:hAnsi="宋体" w:cs="宋体"/>
          <w:color w:val="auto"/>
          <w:sz w:val="24"/>
          <w:szCs w:val="24"/>
        </w:rPr>
        <w:t xml:space="preserve">11. </w:t>
      </w:r>
      <w:r>
        <w:rPr>
          <w:rFonts w:hint="eastAsia" w:ascii="宋体" w:hAnsi="宋体" w:cs="宋体"/>
          <w:color w:val="auto"/>
          <w:sz w:val="24"/>
          <w:szCs w:val="24"/>
        </w:rPr>
        <w:t>系统支持提供清洗质量监测报告浏览、编辑、配置、搜索、导出、打印功能</w:t>
      </w:r>
      <w:bookmarkEnd w:id="980"/>
    </w:p>
    <w:p>
      <w:pPr>
        <w:spacing w:line="360" w:lineRule="auto"/>
        <w:ind w:firstLine="424" w:firstLineChars="177"/>
        <w:rPr>
          <w:rFonts w:ascii="宋体"/>
          <w:color w:val="auto"/>
          <w:sz w:val="24"/>
          <w:szCs w:val="24"/>
        </w:rPr>
      </w:pPr>
      <w:bookmarkStart w:id="981" w:name="_Toc30888"/>
      <w:r>
        <w:rPr>
          <w:rFonts w:ascii="宋体" w:hAnsi="宋体" w:cs="宋体"/>
          <w:color w:val="auto"/>
          <w:sz w:val="24"/>
          <w:szCs w:val="24"/>
        </w:rPr>
        <w:t xml:space="preserve">12. </w:t>
      </w:r>
      <w:r>
        <w:rPr>
          <w:rFonts w:hint="eastAsia" w:ascii="宋体" w:hAnsi="宋体" w:cs="宋体"/>
          <w:color w:val="auto"/>
          <w:sz w:val="24"/>
          <w:szCs w:val="24"/>
        </w:rPr>
        <w:t>系统支持提供软式内镜报告浏览、编辑、配置、搜索、导出、打印功能</w:t>
      </w:r>
      <w:bookmarkEnd w:id="981"/>
    </w:p>
    <w:p>
      <w:pPr>
        <w:spacing w:line="360" w:lineRule="auto"/>
        <w:ind w:firstLine="424" w:firstLineChars="177"/>
        <w:rPr>
          <w:rFonts w:ascii="宋体"/>
          <w:color w:val="auto"/>
          <w:sz w:val="24"/>
          <w:szCs w:val="24"/>
        </w:rPr>
      </w:pPr>
      <w:bookmarkStart w:id="982" w:name="_Toc20110"/>
      <w:r>
        <w:rPr>
          <w:rFonts w:ascii="宋体" w:hAnsi="宋体" w:cs="宋体"/>
          <w:color w:val="auto"/>
          <w:sz w:val="24"/>
          <w:szCs w:val="24"/>
        </w:rPr>
        <w:t xml:space="preserve">13. </w:t>
      </w:r>
      <w:r>
        <w:rPr>
          <w:rFonts w:hint="eastAsia" w:ascii="宋体" w:hAnsi="宋体" w:cs="宋体"/>
          <w:color w:val="auto"/>
          <w:sz w:val="24"/>
          <w:szCs w:val="24"/>
        </w:rPr>
        <w:t>系统支持提供硬式内镜报告浏览、编辑、配置、搜索、导出、打印功能</w:t>
      </w:r>
      <w:bookmarkEnd w:id="982"/>
    </w:p>
    <w:p>
      <w:pPr>
        <w:spacing w:line="360" w:lineRule="auto"/>
        <w:ind w:firstLine="424" w:firstLineChars="177"/>
        <w:rPr>
          <w:rFonts w:ascii="宋体"/>
          <w:color w:val="auto"/>
          <w:sz w:val="24"/>
          <w:szCs w:val="24"/>
        </w:rPr>
      </w:pPr>
      <w:bookmarkStart w:id="983" w:name="_Toc9897"/>
      <w:r>
        <w:rPr>
          <w:rFonts w:ascii="宋体" w:hAnsi="宋体" w:cs="宋体"/>
          <w:color w:val="auto"/>
          <w:sz w:val="24"/>
          <w:szCs w:val="24"/>
        </w:rPr>
        <w:t xml:space="preserve">14. </w:t>
      </w:r>
      <w:r>
        <w:rPr>
          <w:rFonts w:hint="eastAsia" w:ascii="宋体" w:hAnsi="宋体" w:cs="宋体"/>
          <w:color w:val="auto"/>
          <w:sz w:val="24"/>
          <w:szCs w:val="24"/>
        </w:rPr>
        <w:t>系统支持提供手术房报告浏览、编辑、配置、搜索、导出、打印功能</w:t>
      </w:r>
      <w:bookmarkEnd w:id="983"/>
    </w:p>
    <w:p>
      <w:pPr>
        <w:spacing w:line="360" w:lineRule="auto"/>
        <w:ind w:firstLine="424" w:firstLineChars="177"/>
        <w:rPr>
          <w:rFonts w:ascii="宋体"/>
          <w:color w:val="auto"/>
          <w:sz w:val="24"/>
          <w:szCs w:val="24"/>
        </w:rPr>
      </w:pPr>
      <w:bookmarkStart w:id="984" w:name="_Toc1951"/>
      <w:r>
        <w:rPr>
          <w:rFonts w:ascii="宋体" w:hAnsi="宋体" w:cs="宋体"/>
          <w:color w:val="auto"/>
          <w:sz w:val="24"/>
          <w:szCs w:val="24"/>
        </w:rPr>
        <w:t xml:space="preserve">15. </w:t>
      </w:r>
      <w:r>
        <w:rPr>
          <w:rFonts w:hint="eastAsia" w:ascii="宋体" w:hAnsi="宋体" w:cs="宋体"/>
          <w:color w:val="auto"/>
          <w:sz w:val="24"/>
          <w:szCs w:val="24"/>
        </w:rPr>
        <w:t>系统支持提供移植病房报告浏览、编辑、配置、搜索、导出、打印功能</w:t>
      </w:r>
      <w:bookmarkEnd w:id="984"/>
    </w:p>
    <w:p>
      <w:pPr>
        <w:spacing w:line="360" w:lineRule="auto"/>
        <w:ind w:firstLine="424" w:firstLineChars="177"/>
        <w:rPr>
          <w:rFonts w:ascii="宋体"/>
          <w:color w:val="auto"/>
          <w:sz w:val="24"/>
          <w:szCs w:val="24"/>
        </w:rPr>
      </w:pPr>
      <w:bookmarkStart w:id="985" w:name="_Toc1243"/>
      <w:r>
        <w:rPr>
          <w:rFonts w:ascii="宋体" w:hAnsi="宋体" w:cs="宋体"/>
          <w:color w:val="auto"/>
          <w:sz w:val="24"/>
          <w:szCs w:val="24"/>
        </w:rPr>
        <w:t xml:space="preserve">16. </w:t>
      </w:r>
      <w:r>
        <w:rPr>
          <w:rFonts w:hint="eastAsia" w:ascii="宋体" w:hAnsi="宋体" w:cs="宋体"/>
          <w:color w:val="auto"/>
          <w:sz w:val="24"/>
          <w:szCs w:val="24"/>
        </w:rPr>
        <w:t>系统支持提供监护室浏览、编辑、配置、搜索、导出、打印功能</w:t>
      </w:r>
      <w:bookmarkEnd w:id="985"/>
    </w:p>
    <w:p>
      <w:pPr>
        <w:spacing w:line="360" w:lineRule="auto"/>
        <w:ind w:firstLine="424" w:firstLineChars="177"/>
        <w:rPr>
          <w:rFonts w:ascii="宋体"/>
          <w:color w:val="auto"/>
          <w:sz w:val="24"/>
          <w:szCs w:val="24"/>
        </w:rPr>
      </w:pPr>
      <w:bookmarkStart w:id="986" w:name="_Toc22784"/>
      <w:r>
        <w:rPr>
          <w:rFonts w:ascii="宋体" w:hAnsi="宋体" w:cs="宋体"/>
          <w:color w:val="auto"/>
          <w:sz w:val="24"/>
          <w:szCs w:val="24"/>
        </w:rPr>
        <w:t xml:space="preserve">17. </w:t>
      </w:r>
      <w:r>
        <w:rPr>
          <w:rFonts w:hint="eastAsia" w:ascii="宋体" w:hAnsi="宋体" w:cs="宋体"/>
          <w:color w:val="auto"/>
          <w:sz w:val="24"/>
          <w:szCs w:val="24"/>
        </w:rPr>
        <w:t>系统支持提供配液间浏览、编辑、配置、搜索、导出、打印功能</w:t>
      </w:r>
      <w:bookmarkEnd w:id="986"/>
    </w:p>
    <w:p>
      <w:pPr>
        <w:spacing w:line="360" w:lineRule="auto"/>
        <w:ind w:firstLine="424" w:firstLineChars="177"/>
        <w:rPr>
          <w:rFonts w:ascii="宋体"/>
          <w:color w:val="auto"/>
          <w:sz w:val="24"/>
          <w:szCs w:val="24"/>
        </w:rPr>
      </w:pPr>
      <w:bookmarkStart w:id="987" w:name="_Toc13431"/>
      <w:r>
        <w:rPr>
          <w:rFonts w:ascii="宋体" w:hAnsi="宋体" w:cs="宋体"/>
          <w:color w:val="auto"/>
          <w:sz w:val="24"/>
          <w:szCs w:val="24"/>
        </w:rPr>
        <w:t xml:space="preserve">18. </w:t>
      </w:r>
      <w:r>
        <w:rPr>
          <w:rFonts w:hint="eastAsia" w:ascii="宋体" w:hAnsi="宋体" w:cs="宋体"/>
          <w:color w:val="auto"/>
          <w:sz w:val="24"/>
          <w:szCs w:val="24"/>
        </w:rPr>
        <w:t>系统支持提供实验室报告浏览、编辑、配置、搜索、导出、打印功能</w:t>
      </w:r>
      <w:bookmarkEnd w:id="987"/>
    </w:p>
    <w:p>
      <w:pPr>
        <w:spacing w:line="360" w:lineRule="auto"/>
        <w:ind w:firstLine="424" w:firstLineChars="177"/>
        <w:rPr>
          <w:rFonts w:ascii="宋体"/>
          <w:color w:val="auto"/>
          <w:sz w:val="24"/>
          <w:szCs w:val="24"/>
        </w:rPr>
      </w:pPr>
      <w:bookmarkStart w:id="988" w:name="_Toc10252"/>
      <w:r>
        <w:rPr>
          <w:rFonts w:ascii="宋体" w:hAnsi="宋体" w:cs="宋体"/>
          <w:color w:val="auto"/>
          <w:sz w:val="24"/>
          <w:szCs w:val="24"/>
        </w:rPr>
        <w:t xml:space="preserve">19. </w:t>
      </w:r>
      <w:r>
        <w:rPr>
          <w:rFonts w:hint="eastAsia" w:ascii="宋体" w:hAnsi="宋体" w:cs="宋体"/>
          <w:color w:val="auto"/>
          <w:sz w:val="24"/>
          <w:szCs w:val="24"/>
        </w:rPr>
        <w:t>系统支持提供透析液浏览、编辑、配置、搜索、导出、打印功能</w:t>
      </w:r>
      <w:bookmarkEnd w:id="988"/>
    </w:p>
    <w:p>
      <w:pPr>
        <w:spacing w:line="360" w:lineRule="auto"/>
        <w:ind w:firstLine="424" w:firstLineChars="177"/>
        <w:rPr>
          <w:rFonts w:ascii="宋体"/>
          <w:color w:val="auto"/>
          <w:sz w:val="24"/>
          <w:szCs w:val="24"/>
        </w:rPr>
      </w:pPr>
      <w:bookmarkStart w:id="989" w:name="_Toc21075"/>
      <w:r>
        <w:rPr>
          <w:rFonts w:ascii="宋体" w:hAnsi="宋体" w:cs="宋体"/>
          <w:color w:val="auto"/>
          <w:sz w:val="24"/>
          <w:szCs w:val="24"/>
        </w:rPr>
        <w:t xml:space="preserve">20. </w:t>
      </w:r>
      <w:r>
        <w:rPr>
          <w:rFonts w:hint="eastAsia" w:ascii="宋体" w:hAnsi="宋体" w:cs="宋体"/>
          <w:color w:val="auto"/>
          <w:sz w:val="24"/>
          <w:szCs w:val="24"/>
        </w:rPr>
        <w:t>系统支持提供置换液浏览、编辑、配置、搜索、导出、打印功能</w:t>
      </w:r>
      <w:bookmarkEnd w:id="989"/>
    </w:p>
    <w:p>
      <w:pPr>
        <w:spacing w:line="360" w:lineRule="auto"/>
        <w:ind w:firstLine="424" w:firstLineChars="177"/>
        <w:rPr>
          <w:rFonts w:ascii="宋体"/>
          <w:color w:val="auto"/>
          <w:sz w:val="24"/>
          <w:szCs w:val="24"/>
        </w:rPr>
      </w:pPr>
      <w:bookmarkStart w:id="990" w:name="_Toc16285"/>
      <w:r>
        <w:rPr>
          <w:rFonts w:ascii="宋体" w:hAnsi="宋体" w:cs="宋体"/>
          <w:color w:val="auto"/>
          <w:sz w:val="24"/>
          <w:szCs w:val="24"/>
        </w:rPr>
        <w:t xml:space="preserve">21. </w:t>
      </w:r>
      <w:r>
        <w:rPr>
          <w:rFonts w:hint="eastAsia" w:ascii="宋体" w:hAnsi="宋体" w:cs="宋体"/>
          <w:color w:val="auto"/>
          <w:sz w:val="24"/>
          <w:szCs w:val="24"/>
        </w:rPr>
        <w:t>系统支持提供反渗水浏览、编辑、配置、搜索、导出、打印功能</w:t>
      </w:r>
      <w:bookmarkEnd w:id="990"/>
    </w:p>
    <w:p>
      <w:pPr>
        <w:spacing w:line="360" w:lineRule="auto"/>
        <w:ind w:firstLine="424" w:firstLineChars="177"/>
        <w:rPr>
          <w:rFonts w:ascii="宋体"/>
          <w:color w:val="auto"/>
          <w:sz w:val="24"/>
          <w:szCs w:val="24"/>
        </w:rPr>
      </w:pPr>
      <w:bookmarkStart w:id="991" w:name="_Toc460"/>
      <w:r>
        <w:rPr>
          <w:rFonts w:ascii="宋体" w:hAnsi="宋体" w:cs="宋体"/>
          <w:color w:val="auto"/>
          <w:sz w:val="24"/>
          <w:szCs w:val="24"/>
        </w:rPr>
        <w:t xml:space="preserve">22. </w:t>
      </w:r>
      <w:r>
        <w:rPr>
          <w:rFonts w:hint="eastAsia" w:ascii="宋体" w:hAnsi="宋体" w:cs="宋体"/>
          <w:color w:val="auto"/>
          <w:sz w:val="24"/>
          <w:szCs w:val="24"/>
        </w:rPr>
        <w:t>系统支持提供</w:t>
      </w:r>
      <w:r>
        <w:rPr>
          <w:rFonts w:ascii="宋体" w:hAnsi="宋体" w:cs="宋体"/>
          <w:color w:val="auto"/>
          <w:sz w:val="24"/>
          <w:szCs w:val="24"/>
        </w:rPr>
        <w:t>A</w:t>
      </w:r>
      <w:r>
        <w:rPr>
          <w:rFonts w:hint="eastAsia" w:ascii="宋体" w:hAnsi="宋体" w:cs="宋体"/>
          <w:color w:val="auto"/>
          <w:sz w:val="24"/>
          <w:szCs w:val="24"/>
        </w:rPr>
        <w:t>液报告浏览、编辑、配置、搜索、导出、打印功能</w:t>
      </w:r>
      <w:bookmarkEnd w:id="991"/>
    </w:p>
    <w:p>
      <w:pPr>
        <w:spacing w:line="360" w:lineRule="auto"/>
        <w:ind w:firstLine="424" w:firstLineChars="177"/>
        <w:rPr>
          <w:rFonts w:ascii="宋体"/>
          <w:color w:val="auto"/>
          <w:sz w:val="24"/>
          <w:szCs w:val="24"/>
        </w:rPr>
      </w:pPr>
      <w:bookmarkStart w:id="992" w:name="_Toc29129"/>
      <w:r>
        <w:rPr>
          <w:rFonts w:ascii="宋体" w:hAnsi="宋体" w:cs="宋体"/>
          <w:color w:val="auto"/>
          <w:sz w:val="24"/>
          <w:szCs w:val="24"/>
        </w:rPr>
        <w:t xml:space="preserve">23. </w:t>
      </w:r>
      <w:r>
        <w:rPr>
          <w:rFonts w:hint="eastAsia" w:ascii="宋体" w:hAnsi="宋体" w:cs="宋体"/>
          <w:color w:val="auto"/>
          <w:sz w:val="24"/>
          <w:szCs w:val="24"/>
        </w:rPr>
        <w:t>系统支持提供内毒素报告浏览、编辑、配置、搜索、导出、打印功能</w:t>
      </w:r>
      <w:bookmarkEnd w:id="992"/>
    </w:p>
    <w:p>
      <w:pPr>
        <w:spacing w:line="360" w:lineRule="auto"/>
        <w:ind w:firstLine="424" w:firstLineChars="177"/>
        <w:rPr>
          <w:rFonts w:ascii="宋体"/>
          <w:color w:val="auto"/>
          <w:sz w:val="24"/>
          <w:szCs w:val="24"/>
        </w:rPr>
      </w:pPr>
      <w:bookmarkStart w:id="993" w:name="_Toc16426"/>
      <w:r>
        <w:rPr>
          <w:rFonts w:ascii="宋体" w:hAnsi="宋体" w:cs="宋体"/>
          <w:color w:val="auto"/>
          <w:sz w:val="24"/>
          <w:szCs w:val="24"/>
        </w:rPr>
        <w:t xml:space="preserve">24. </w:t>
      </w:r>
      <w:r>
        <w:rPr>
          <w:rFonts w:hint="eastAsia" w:ascii="宋体" w:hAnsi="宋体" w:cs="宋体"/>
          <w:color w:val="auto"/>
          <w:sz w:val="24"/>
          <w:szCs w:val="24"/>
        </w:rPr>
        <w:t>系统支持提供消毒剂浏览、编辑、配置、搜索、导出、打印功能</w:t>
      </w:r>
      <w:bookmarkEnd w:id="993"/>
    </w:p>
    <w:p>
      <w:pPr>
        <w:spacing w:line="360" w:lineRule="auto"/>
        <w:ind w:firstLine="424" w:firstLineChars="177"/>
        <w:rPr>
          <w:rFonts w:ascii="宋体"/>
          <w:color w:val="auto"/>
          <w:sz w:val="24"/>
          <w:szCs w:val="24"/>
        </w:rPr>
      </w:pPr>
      <w:bookmarkStart w:id="994" w:name="_Toc29741"/>
      <w:r>
        <w:rPr>
          <w:rFonts w:ascii="宋体" w:hAnsi="宋体" w:cs="宋体"/>
          <w:color w:val="auto"/>
          <w:sz w:val="24"/>
          <w:szCs w:val="24"/>
        </w:rPr>
        <w:t xml:space="preserve">25. </w:t>
      </w:r>
      <w:r>
        <w:rPr>
          <w:rFonts w:hint="eastAsia" w:ascii="宋体" w:hAnsi="宋体" w:cs="宋体"/>
          <w:color w:val="auto"/>
          <w:sz w:val="24"/>
          <w:szCs w:val="24"/>
        </w:rPr>
        <w:t>系统支持提供灭菌剂报告浏览、编辑、配置、搜索、导出、打印功能</w:t>
      </w:r>
      <w:bookmarkEnd w:id="994"/>
    </w:p>
    <w:p>
      <w:pPr>
        <w:spacing w:line="360" w:lineRule="auto"/>
        <w:ind w:firstLine="424" w:firstLineChars="177"/>
        <w:rPr>
          <w:rFonts w:ascii="宋体"/>
          <w:color w:val="auto"/>
          <w:sz w:val="24"/>
          <w:szCs w:val="24"/>
        </w:rPr>
      </w:pPr>
      <w:bookmarkStart w:id="995" w:name="_Toc19492"/>
      <w:r>
        <w:rPr>
          <w:rFonts w:ascii="宋体" w:hAnsi="宋体" w:cs="宋体"/>
          <w:color w:val="auto"/>
          <w:sz w:val="24"/>
          <w:szCs w:val="24"/>
        </w:rPr>
        <w:t xml:space="preserve">26. </w:t>
      </w:r>
      <w:r>
        <w:rPr>
          <w:rFonts w:hint="eastAsia" w:ascii="宋体" w:hAnsi="宋体" w:cs="宋体"/>
          <w:color w:val="auto"/>
          <w:sz w:val="24"/>
          <w:szCs w:val="24"/>
        </w:rPr>
        <w:t>系统支持提供紫外线灯强度监测报告浏览、编辑、配置、搜索、导出、打印功能</w:t>
      </w:r>
      <w:bookmarkEnd w:id="995"/>
    </w:p>
    <w:p>
      <w:pPr>
        <w:spacing w:line="360" w:lineRule="auto"/>
        <w:ind w:firstLine="424" w:firstLineChars="177"/>
        <w:rPr>
          <w:rFonts w:ascii="宋体"/>
          <w:color w:val="auto"/>
          <w:sz w:val="24"/>
          <w:szCs w:val="24"/>
        </w:rPr>
      </w:pPr>
      <w:bookmarkStart w:id="996" w:name="_Toc13297"/>
      <w:r>
        <w:rPr>
          <w:rFonts w:ascii="宋体" w:hAnsi="宋体" w:cs="宋体"/>
          <w:color w:val="auto"/>
          <w:sz w:val="24"/>
          <w:szCs w:val="24"/>
        </w:rPr>
        <w:t xml:space="preserve">27. </w:t>
      </w:r>
      <w:r>
        <w:rPr>
          <w:rFonts w:hint="eastAsia" w:ascii="宋体" w:hAnsi="宋体" w:cs="宋体"/>
          <w:color w:val="auto"/>
          <w:sz w:val="24"/>
          <w:szCs w:val="24"/>
        </w:rPr>
        <w:t>系统支持提供被服监测报告浏览、编辑、配置、搜索、导出、打印功能</w:t>
      </w:r>
      <w:bookmarkEnd w:id="996"/>
    </w:p>
    <w:p>
      <w:pPr>
        <w:spacing w:line="360" w:lineRule="auto"/>
        <w:ind w:firstLine="424" w:firstLineChars="177"/>
        <w:rPr>
          <w:rFonts w:ascii="宋体"/>
          <w:color w:val="auto"/>
          <w:sz w:val="24"/>
          <w:szCs w:val="24"/>
        </w:rPr>
      </w:pPr>
      <w:bookmarkStart w:id="997" w:name="_Toc2657"/>
      <w:r>
        <w:rPr>
          <w:rFonts w:ascii="宋体" w:hAnsi="宋体" w:cs="宋体"/>
          <w:color w:val="auto"/>
          <w:sz w:val="24"/>
          <w:szCs w:val="24"/>
        </w:rPr>
        <w:t xml:space="preserve">28. </w:t>
      </w:r>
      <w:r>
        <w:rPr>
          <w:rFonts w:hint="eastAsia" w:ascii="宋体" w:hAnsi="宋体" w:cs="宋体"/>
          <w:color w:val="auto"/>
          <w:sz w:val="24"/>
          <w:szCs w:val="24"/>
        </w:rPr>
        <w:t>系统支持提供食品卫生监测报告浏览、编辑、配置、搜索、导出、打印功能</w:t>
      </w:r>
      <w:bookmarkEnd w:id="997"/>
    </w:p>
    <w:p>
      <w:pPr>
        <w:spacing w:line="360" w:lineRule="auto"/>
        <w:ind w:firstLine="424" w:firstLineChars="177"/>
        <w:rPr>
          <w:rFonts w:ascii="宋体"/>
          <w:color w:val="auto"/>
          <w:sz w:val="24"/>
          <w:szCs w:val="24"/>
        </w:rPr>
      </w:pPr>
      <w:bookmarkStart w:id="998" w:name="_Toc1720"/>
      <w:r>
        <w:rPr>
          <w:rFonts w:ascii="宋体" w:hAnsi="宋体" w:cs="宋体"/>
          <w:color w:val="auto"/>
          <w:sz w:val="24"/>
          <w:szCs w:val="24"/>
        </w:rPr>
        <w:t xml:space="preserve">29. </w:t>
      </w:r>
      <w:r>
        <w:rPr>
          <w:rFonts w:hint="eastAsia" w:ascii="宋体" w:hAnsi="宋体" w:cs="宋体"/>
          <w:color w:val="auto"/>
          <w:sz w:val="24"/>
          <w:szCs w:val="24"/>
        </w:rPr>
        <w:t>系统支持提供致病菌定性监测报告浏览、编辑、配置、搜索、导出、打印功能</w:t>
      </w:r>
      <w:bookmarkEnd w:id="998"/>
    </w:p>
    <w:p>
      <w:pPr>
        <w:numPr>
          <w:ilvl w:val="0"/>
          <w:numId w:val="39"/>
        </w:numPr>
        <w:spacing w:before="156" w:after="156" w:line="360" w:lineRule="auto"/>
        <w:ind w:left="1008" w:hanging="1008"/>
        <w:rPr>
          <w:rFonts w:ascii="宋体"/>
          <w:b/>
          <w:bCs/>
          <w:color w:val="auto"/>
          <w:sz w:val="28"/>
          <w:szCs w:val="28"/>
        </w:rPr>
      </w:pPr>
      <w:r>
        <w:rPr>
          <w:rFonts w:hint="eastAsia" w:ascii="宋体" w:hAnsi="宋体" w:cs="宋体"/>
          <w:b/>
          <w:bCs/>
          <w:color w:val="auto"/>
          <w:sz w:val="28"/>
          <w:szCs w:val="28"/>
        </w:rPr>
        <w:t>医院感染管理</w:t>
      </w:r>
      <w:r>
        <w:rPr>
          <w:rFonts w:hint="eastAsia" w:ascii="宋体" w:hAnsi="宋体" w:cs="宋体"/>
          <w:b/>
          <w:bCs/>
          <w:color w:val="auto"/>
          <w:sz w:val="24"/>
          <w:szCs w:val="24"/>
        </w:rPr>
        <w:t>质量控制</w:t>
      </w:r>
      <w:r>
        <w:rPr>
          <w:rFonts w:hint="eastAsia" w:ascii="宋体" w:hAnsi="宋体" w:cs="宋体"/>
          <w:b/>
          <w:bCs/>
          <w:color w:val="auto"/>
          <w:sz w:val="28"/>
          <w:szCs w:val="28"/>
        </w:rPr>
        <w:t>指标</w:t>
      </w:r>
    </w:p>
    <w:p>
      <w:pPr>
        <w:spacing w:line="360" w:lineRule="auto"/>
        <w:ind w:firstLine="424" w:firstLineChars="177"/>
        <w:rPr>
          <w:rFonts w:ascii="宋体"/>
          <w:color w:val="auto"/>
          <w:sz w:val="24"/>
          <w:szCs w:val="24"/>
        </w:rPr>
      </w:pPr>
      <w:bookmarkStart w:id="999" w:name="_Toc22319"/>
      <w:r>
        <w:rPr>
          <w:rFonts w:ascii="宋体" w:hAnsi="宋体" w:cs="宋体"/>
          <w:color w:val="auto"/>
          <w:sz w:val="24"/>
          <w:szCs w:val="24"/>
        </w:rPr>
        <w:t xml:space="preserve">1. </w:t>
      </w:r>
      <w:r>
        <w:rPr>
          <w:rFonts w:hint="eastAsia" w:ascii="宋体" w:hAnsi="宋体" w:cs="宋体"/>
          <w:color w:val="auto"/>
          <w:sz w:val="24"/>
          <w:szCs w:val="24"/>
        </w:rPr>
        <w:t>系统支持提供统计任意时段全院及各病区的医院感染发病（例次）率</w:t>
      </w:r>
      <w:bookmarkEnd w:id="999"/>
    </w:p>
    <w:p>
      <w:pPr>
        <w:spacing w:line="360" w:lineRule="auto"/>
        <w:ind w:firstLine="424" w:firstLineChars="177"/>
        <w:rPr>
          <w:rFonts w:ascii="宋体"/>
          <w:color w:val="auto"/>
          <w:sz w:val="24"/>
          <w:szCs w:val="24"/>
        </w:rPr>
      </w:pPr>
      <w:bookmarkStart w:id="1000" w:name="_Toc2053"/>
      <w:r>
        <w:rPr>
          <w:rFonts w:ascii="宋体" w:hAnsi="宋体" w:cs="宋体"/>
          <w:color w:val="auto"/>
          <w:sz w:val="24"/>
          <w:szCs w:val="24"/>
        </w:rPr>
        <w:t xml:space="preserve">2. </w:t>
      </w:r>
      <w:r>
        <w:rPr>
          <w:rFonts w:hint="eastAsia" w:ascii="宋体" w:hAnsi="宋体" w:cs="宋体"/>
          <w:color w:val="auto"/>
          <w:sz w:val="24"/>
          <w:szCs w:val="24"/>
        </w:rPr>
        <w:t>系统支持提供统计任意时段、任意时点全院及各病区的医院感染现患（例次）率</w:t>
      </w:r>
      <w:bookmarkEnd w:id="1000"/>
    </w:p>
    <w:p>
      <w:pPr>
        <w:spacing w:line="360" w:lineRule="auto"/>
        <w:ind w:firstLine="424" w:firstLineChars="177"/>
        <w:rPr>
          <w:rFonts w:ascii="宋体"/>
          <w:color w:val="auto"/>
          <w:sz w:val="24"/>
          <w:szCs w:val="24"/>
        </w:rPr>
      </w:pPr>
      <w:bookmarkStart w:id="1001" w:name="_Toc30407"/>
      <w:r>
        <w:rPr>
          <w:rFonts w:ascii="宋体" w:hAnsi="宋体" w:cs="宋体"/>
          <w:color w:val="auto"/>
          <w:sz w:val="24"/>
          <w:szCs w:val="24"/>
        </w:rPr>
        <w:t xml:space="preserve">3. </w:t>
      </w:r>
      <w:r>
        <w:rPr>
          <w:rFonts w:hint="eastAsia" w:ascii="宋体" w:hAnsi="宋体" w:cs="宋体"/>
          <w:color w:val="auto"/>
          <w:sz w:val="24"/>
          <w:szCs w:val="24"/>
        </w:rPr>
        <w:t>系统支持提供统计任意时段全院及各病区的医院感染病例漏报率</w:t>
      </w:r>
      <w:bookmarkEnd w:id="1001"/>
    </w:p>
    <w:p>
      <w:pPr>
        <w:spacing w:line="360" w:lineRule="auto"/>
        <w:ind w:firstLine="424" w:firstLineChars="177"/>
        <w:rPr>
          <w:rFonts w:ascii="宋体"/>
          <w:color w:val="auto"/>
          <w:sz w:val="24"/>
          <w:szCs w:val="24"/>
        </w:rPr>
      </w:pPr>
      <w:r>
        <w:rPr>
          <w:rFonts w:ascii="宋体" w:hAnsi="宋体" w:cs="宋体"/>
          <w:color w:val="auto"/>
          <w:sz w:val="24"/>
          <w:szCs w:val="24"/>
        </w:rPr>
        <w:t xml:space="preserve">4. </w:t>
      </w:r>
      <w:r>
        <w:rPr>
          <w:rFonts w:hint="eastAsia" w:ascii="宋体" w:hAnsi="宋体" w:cs="宋体"/>
          <w:color w:val="auto"/>
          <w:sz w:val="24"/>
          <w:szCs w:val="24"/>
        </w:rPr>
        <w:t>系统支持提供统计任意时段全院及各病区的多重耐药菌感染发现率</w:t>
      </w:r>
    </w:p>
    <w:p>
      <w:pPr>
        <w:spacing w:line="360" w:lineRule="auto"/>
        <w:ind w:firstLine="424" w:firstLineChars="177"/>
        <w:rPr>
          <w:rFonts w:ascii="宋体"/>
          <w:color w:val="auto"/>
          <w:sz w:val="24"/>
          <w:szCs w:val="24"/>
        </w:rPr>
      </w:pPr>
      <w:bookmarkStart w:id="1002" w:name="_Toc8404"/>
      <w:r>
        <w:rPr>
          <w:rFonts w:ascii="宋体" w:hAnsi="宋体" w:cs="宋体"/>
          <w:color w:val="auto"/>
          <w:sz w:val="24"/>
          <w:szCs w:val="24"/>
        </w:rPr>
        <w:t xml:space="preserve">5. </w:t>
      </w:r>
      <w:r>
        <w:rPr>
          <w:rFonts w:hint="eastAsia" w:ascii="宋体" w:hAnsi="宋体" w:cs="宋体"/>
          <w:color w:val="auto"/>
          <w:sz w:val="24"/>
          <w:szCs w:val="24"/>
        </w:rPr>
        <w:t>系统支持提供统计任意时段全院及各病区的多重耐药菌感染检出率</w:t>
      </w:r>
      <w:bookmarkEnd w:id="1002"/>
    </w:p>
    <w:p>
      <w:pPr>
        <w:spacing w:line="360" w:lineRule="auto"/>
        <w:ind w:firstLine="424" w:firstLineChars="177"/>
        <w:rPr>
          <w:rFonts w:ascii="宋体"/>
          <w:color w:val="auto"/>
          <w:sz w:val="24"/>
          <w:szCs w:val="24"/>
        </w:rPr>
      </w:pPr>
      <w:bookmarkStart w:id="1003" w:name="_Toc17886"/>
      <w:r>
        <w:rPr>
          <w:rFonts w:ascii="宋体" w:hAnsi="宋体" w:cs="宋体"/>
          <w:color w:val="auto"/>
          <w:sz w:val="24"/>
          <w:szCs w:val="24"/>
        </w:rPr>
        <w:t xml:space="preserve">6. </w:t>
      </w:r>
      <w:r>
        <w:rPr>
          <w:rFonts w:hint="eastAsia" w:ascii="宋体" w:hAnsi="宋体" w:cs="宋体"/>
          <w:color w:val="auto"/>
          <w:sz w:val="24"/>
          <w:szCs w:val="24"/>
        </w:rPr>
        <w:t>系统支持提供统计任意时段全院及各病区的医务人员手卫生依从率</w:t>
      </w:r>
      <w:bookmarkEnd w:id="1003"/>
    </w:p>
    <w:p>
      <w:pPr>
        <w:spacing w:line="360" w:lineRule="auto"/>
        <w:ind w:firstLine="424" w:firstLineChars="177"/>
        <w:rPr>
          <w:rFonts w:ascii="宋体"/>
          <w:color w:val="auto"/>
          <w:sz w:val="24"/>
          <w:szCs w:val="24"/>
        </w:rPr>
      </w:pPr>
      <w:bookmarkStart w:id="1004" w:name="_Toc18716"/>
      <w:r>
        <w:rPr>
          <w:rFonts w:ascii="宋体" w:hAnsi="宋体" w:cs="宋体"/>
          <w:color w:val="auto"/>
          <w:sz w:val="24"/>
          <w:szCs w:val="24"/>
        </w:rPr>
        <w:t xml:space="preserve">7. </w:t>
      </w:r>
      <w:r>
        <w:rPr>
          <w:rFonts w:hint="eastAsia" w:ascii="宋体" w:hAnsi="宋体" w:cs="宋体"/>
          <w:color w:val="auto"/>
          <w:sz w:val="24"/>
          <w:szCs w:val="24"/>
        </w:rPr>
        <w:t>系统支持提供统计任意时段全院及各病区的住院患者抗菌药物使用率</w:t>
      </w:r>
      <w:bookmarkEnd w:id="1004"/>
    </w:p>
    <w:p>
      <w:pPr>
        <w:spacing w:line="360" w:lineRule="auto"/>
        <w:ind w:firstLine="424" w:firstLineChars="177"/>
        <w:rPr>
          <w:rFonts w:ascii="宋体"/>
          <w:color w:val="auto"/>
          <w:sz w:val="24"/>
          <w:szCs w:val="24"/>
        </w:rPr>
      </w:pPr>
      <w:bookmarkStart w:id="1005" w:name="_Toc32638"/>
      <w:r>
        <w:rPr>
          <w:rFonts w:ascii="宋体" w:hAnsi="宋体" w:cs="宋体"/>
          <w:color w:val="auto"/>
          <w:sz w:val="24"/>
          <w:szCs w:val="24"/>
        </w:rPr>
        <w:t xml:space="preserve">8. </w:t>
      </w:r>
      <w:r>
        <w:rPr>
          <w:rFonts w:hint="eastAsia" w:ascii="宋体" w:hAnsi="宋体" w:cs="宋体"/>
          <w:color w:val="auto"/>
          <w:sz w:val="24"/>
          <w:szCs w:val="24"/>
        </w:rPr>
        <w:t>系统支持提供统计任意时段全院及各病区的抗菌药物治疗前病原学送检率</w:t>
      </w:r>
      <w:bookmarkEnd w:id="1005"/>
    </w:p>
    <w:p>
      <w:pPr>
        <w:spacing w:line="360" w:lineRule="auto"/>
        <w:ind w:firstLine="424" w:firstLineChars="177"/>
        <w:rPr>
          <w:rFonts w:ascii="宋体"/>
          <w:color w:val="auto"/>
          <w:sz w:val="24"/>
          <w:szCs w:val="24"/>
        </w:rPr>
      </w:pPr>
      <w:bookmarkStart w:id="1006" w:name="_Toc5751"/>
      <w:r>
        <w:rPr>
          <w:rFonts w:ascii="宋体" w:hAnsi="宋体" w:cs="宋体"/>
          <w:color w:val="auto"/>
          <w:sz w:val="24"/>
          <w:szCs w:val="24"/>
        </w:rPr>
        <w:t xml:space="preserve">9. </w:t>
      </w:r>
      <w:r>
        <w:rPr>
          <w:rFonts w:hint="eastAsia" w:ascii="宋体" w:hAnsi="宋体" w:cs="宋体"/>
          <w:color w:val="auto"/>
          <w:sz w:val="24"/>
          <w:szCs w:val="24"/>
        </w:rPr>
        <w:t>系统支持提供统计任意时段全院及各病区的</w:t>
      </w:r>
      <w:r>
        <w:rPr>
          <w:rFonts w:ascii="宋体" w:hAnsi="宋体" w:cs="宋体"/>
          <w:color w:val="auto"/>
          <w:sz w:val="24"/>
          <w:szCs w:val="24"/>
        </w:rPr>
        <w:t>I</w:t>
      </w:r>
      <w:r>
        <w:rPr>
          <w:rFonts w:hint="eastAsia" w:ascii="宋体" w:hAnsi="宋体" w:cs="宋体"/>
          <w:color w:val="auto"/>
          <w:sz w:val="24"/>
          <w:szCs w:val="24"/>
        </w:rPr>
        <w:t>类切口手术部位感染率</w:t>
      </w:r>
      <w:bookmarkEnd w:id="1006"/>
    </w:p>
    <w:p>
      <w:pPr>
        <w:spacing w:line="360" w:lineRule="auto"/>
        <w:ind w:firstLine="424" w:firstLineChars="177"/>
        <w:rPr>
          <w:rFonts w:ascii="宋体"/>
          <w:color w:val="auto"/>
          <w:sz w:val="24"/>
          <w:szCs w:val="24"/>
        </w:rPr>
      </w:pPr>
      <w:bookmarkStart w:id="1007" w:name="_Toc29670"/>
      <w:r>
        <w:rPr>
          <w:rFonts w:ascii="宋体" w:hAnsi="宋体" w:cs="宋体"/>
          <w:color w:val="auto"/>
          <w:sz w:val="24"/>
          <w:szCs w:val="24"/>
        </w:rPr>
        <w:t xml:space="preserve">10. </w:t>
      </w:r>
      <w:r>
        <w:rPr>
          <w:rFonts w:hint="eastAsia" w:ascii="宋体" w:hAnsi="宋体" w:cs="宋体"/>
          <w:color w:val="auto"/>
          <w:sz w:val="24"/>
          <w:szCs w:val="24"/>
        </w:rPr>
        <w:t>系统支持提供统计任意时段全院及各病区的</w:t>
      </w:r>
      <w:r>
        <w:rPr>
          <w:rFonts w:ascii="宋体" w:hAnsi="宋体" w:cs="宋体"/>
          <w:color w:val="auto"/>
          <w:sz w:val="24"/>
          <w:szCs w:val="24"/>
        </w:rPr>
        <w:t>I</w:t>
      </w:r>
      <w:r>
        <w:rPr>
          <w:rFonts w:hint="eastAsia" w:ascii="宋体" w:hAnsi="宋体" w:cs="宋体"/>
          <w:color w:val="auto"/>
          <w:sz w:val="24"/>
          <w:szCs w:val="24"/>
        </w:rPr>
        <w:t>类切口手术抗菌药物预防使用率</w:t>
      </w:r>
      <w:bookmarkEnd w:id="1007"/>
    </w:p>
    <w:p>
      <w:pPr>
        <w:spacing w:line="360" w:lineRule="auto"/>
        <w:ind w:firstLine="424" w:firstLineChars="177"/>
        <w:rPr>
          <w:rFonts w:ascii="宋体"/>
          <w:color w:val="auto"/>
          <w:sz w:val="24"/>
          <w:szCs w:val="24"/>
        </w:rPr>
      </w:pPr>
      <w:bookmarkStart w:id="1008" w:name="_Toc17015"/>
      <w:r>
        <w:rPr>
          <w:rFonts w:ascii="宋体" w:hAnsi="宋体" w:cs="宋体"/>
          <w:color w:val="auto"/>
          <w:sz w:val="24"/>
          <w:szCs w:val="24"/>
        </w:rPr>
        <w:t xml:space="preserve">11. </w:t>
      </w:r>
      <w:r>
        <w:rPr>
          <w:rFonts w:hint="eastAsia" w:ascii="宋体" w:hAnsi="宋体" w:cs="宋体"/>
          <w:color w:val="auto"/>
          <w:sz w:val="24"/>
          <w:szCs w:val="24"/>
        </w:rPr>
        <w:t>系统支持提供统计任意时段全院及各病区的血管内导管相关血流感染发病率</w:t>
      </w:r>
      <w:bookmarkEnd w:id="1008"/>
    </w:p>
    <w:p>
      <w:pPr>
        <w:spacing w:line="360" w:lineRule="auto"/>
        <w:ind w:firstLine="424" w:firstLineChars="177"/>
        <w:rPr>
          <w:rFonts w:ascii="宋体"/>
          <w:color w:val="auto"/>
          <w:sz w:val="24"/>
          <w:szCs w:val="24"/>
        </w:rPr>
      </w:pPr>
      <w:bookmarkStart w:id="1009" w:name="_Toc30806"/>
      <w:r>
        <w:rPr>
          <w:rFonts w:ascii="宋体" w:hAnsi="宋体" w:cs="宋体"/>
          <w:color w:val="auto"/>
          <w:sz w:val="24"/>
          <w:szCs w:val="24"/>
        </w:rPr>
        <w:t xml:space="preserve">12. </w:t>
      </w:r>
      <w:r>
        <w:rPr>
          <w:rFonts w:hint="eastAsia" w:ascii="宋体" w:hAnsi="宋体" w:cs="宋体"/>
          <w:color w:val="auto"/>
          <w:sz w:val="24"/>
          <w:szCs w:val="24"/>
        </w:rPr>
        <w:t>系统支持提供统计任意时段全院及各病区的呼吸机相关肺炎发病率</w:t>
      </w:r>
      <w:bookmarkEnd w:id="1009"/>
    </w:p>
    <w:p>
      <w:pPr>
        <w:spacing w:line="360" w:lineRule="auto"/>
        <w:ind w:firstLine="424" w:firstLineChars="177"/>
        <w:rPr>
          <w:rFonts w:ascii="宋体"/>
          <w:color w:val="auto"/>
          <w:sz w:val="24"/>
          <w:szCs w:val="24"/>
        </w:rPr>
      </w:pPr>
      <w:bookmarkStart w:id="1010" w:name="_Toc12151"/>
      <w:r>
        <w:rPr>
          <w:rFonts w:ascii="宋体" w:hAnsi="宋体" w:cs="宋体"/>
          <w:color w:val="auto"/>
          <w:sz w:val="24"/>
          <w:szCs w:val="24"/>
        </w:rPr>
        <w:t xml:space="preserve">13. </w:t>
      </w:r>
      <w:r>
        <w:rPr>
          <w:rFonts w:hint="eastAsia" w:ascii="宋体" w:hAnsi="宋体" w:cs="宋体"/>
          <w:color w:val="auto"/>
          <w:sz w:val="24"/>
          <w:szCs w:val="24"/>
        </w:rPr>
        <w:t>系统支持提供统计任意时段全院及各病区的导尿管相关泌尿系感染发病率</w:t>
      </w:r>
      <w:bookmarkEnd w:id="1010"/>
    </w:p>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4.8.15</w:t>
      </w:r>
      <w:r>
        <w:rPr>
          <w:rFonts w:hint="eastAsia" w:ascii="宋体" w:hAnsi="宋体" w:eastAsia="宋体" w:cs="宋体"/>
          <w:color w:val="auto"/>
        </w:rPr>
        <w:t>、</w:t>
      </w:r>
      <w:r>
        <w:rPr>
          <w:rFonts w:ascii="宋体" w:hAnsi="宋体" w:eastAsia="宋体" w:cs="宋体"/>
          <w:color w:val="auto"/>
        </w:rPr>
        <w:t>HQMS</w:t>
      </w:r>
      <w:r>
        <w:rPr>
          <w:rFonts w:hint="eastAsia" w:ascii="宋体" w:hAnsi="宋体" w:eastAsia="宋体" w:cs="宋体"/>
          <w:color w:val="auto"/>
        </w:rPr>
        <w:t>数据上报系统</w:t>
      </w:r>
    </w:p>
    <w:tbl>
      <w:tblPr>
        <w:tblStyle w:val="21"/>
        <w:tblW w:w="10233" w:type="dxa"/>
        <w:tblInd w:w="-804" w:type="dxa"/>
        <w:tblLayout w:type="autofit"/>
        <w:tblCellMar>
          <w:top w:w="0" w:type="dxa"/>
          <w:left w:w="10" w:type="dxa"/>
          <w:bottom w:w="0" w:type="dxa"/>
          <w:right w:w="10" w:type="dxa"/>
        </w:tblCellMar>
      </w:tblPr>
      <w:tblGrid>
        <w:gridCol w:w="797"/>
        <w:gridCol w:w="1527"/>
        <w:gridCol w:w="7909"/>
      </w:tblGrid>
      <w:tr>
        <w:tblPrEx>
          <w:tblCellMar>
            <w:top w:w="0" w:type="dxa"/>
            <w:left w:w="10" w:type="dxa"/>
            <w:bottom w:w="0" w:type="dxa"/>
            <w:right w:w="10" w:type="dxa"/>
          </w:tblCellMar>
        </w:tblPrEx>
        <w:trPr>
          <w:trHeight w:val="1" w:hRule="atLeast"/>
        </w:trPr>
        <w:tc>
          <w:tcPr>
            <w:tcW w:w="79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52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90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1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病案归档</w:t>
            </w:r>
          </w:p>
        </w:tc>
        <w:tc>
          <w:tcPr>
            <w:tcW w:w="79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、提供对临床归档的电子病案进行接收和确认的功能，或对在规定时间内未归档的电子病案进行强制完结。</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归档的电子病历病案首页内容由病案室人员审核后作为上报数据的来源。归档时，应能按照上报接口的要求将归档病案的病案首页自动转换成上报数据，数据转换过程中应根据《数据对接接口校验规则》完成校验。</w:t>
            </w:r>
          </w:p>
        </w:tc>
      </w:tr>
      <w:tr>
        <w:tblPrEx>
          <w:tblCellMar>
            <w:top w:w="0" w:type="dxa"/>
            <w:left w:w="10" w:type="dxa"/>
            <w:bottom w:w="0" w:type="dxa"/>
            <w:right w:w="10" w:type="dxa"/>
          </w:tblCellMar>
        </w:tblPrEx>
        <w:trPr>
          <w:trHeight w:val="1" w:hRule="atLeast"/>
        </w:trPr>
        <w:tc>
          <w:tcPr>
            <w:tcW w:w="7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1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数据上报</w:t>
            </w:r>
          </w:p>
        </w:tc>
        <w:tc>
          <w:tcPr>
            <w:tcW w:w="79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、在数据上报前，提供对由病案首页生成的上报数据进行审核的功能。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、可对修改后的病案单独进行上报。</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、提供数据转换和数据上报的自动化功能，定时自动转换并上报已完结的病案首页数据包。实现无人工干预地自动化上报功能。</w:t>
            </w:r>
          </w:p>
        </w:tc>
      </w:tr>
      <w:tr>
        <w:tblPrEx>
          <w:tblCellMar>
            <w:top w:w="0" w:type="dxa"/>
            <w:left w:w="10" w:type="dxa"/>
            <w:bottom w:w="0" w:type="dxa"/>
            <w:right w:w="10" w:type="dxa"/>
          </w:tblCellMar>
        </w:tblPrEx>
        <w:trPr>
          <w:trHeight w:val="1" w:hRule="atLeast"/>
        </w:trPr>
        <w:tc>
          <w:tcPr>
            <w:tcW w:w="7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3</w:t>
            </w:r>
          </w:p>
        </w:tc>
        <w:tc>
          <w:tcPr>
            <w:tcW w:w="1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统计报表</w:t>
            </w:r>
          </w:p>
        </w:tc>
        <w:tc>
          <w:tcPr>
            <w:tcW w:w="79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提供已上报的病案首页数据统计功能，按时间生成或打印上报数据统计表，方便统计和追溯上报数据记录。</w:t>
            </w:r>
          </w:p>
        </w:tc>
      </w:tr>
      <w:tr>
        <w:tblPrEx>
          <w:tblCellMar>
            <w:top w:w="0" w:type="dxa"/>
            <w:left w:w="10" w:type="dxa"/>
            <w:bottom w:w="0" w:type="dxa"/>
            <w:right w:w="10" w:type="dxa"/>
          </w:tblCellMar>
        </w:tblPrEx>
        <w:trPr>
          <w:trHeight w:val="1" w:hRule="atLeast"/>
        </w:trPr>
        <w:tc>
          <w:tcPr>
            <w:tcW w:w="7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4</w:t>
            </w:r>
          </w:p>
        </w:tc>
        <w:tc>
          <w:tcPr>
            <w:tcW w:w="1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系统维护</w:t>
            </w:r>
          </w:p>
        </w:tc>
        <w:tc>
          <w:tcPr>
            <w:tcW w:w="79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、提供本项目所使用到的系统参数设置功能。</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、可根据监测中心提供的数据对接接口标准，提供存在值域范围项目的字典维护功能，并与病案首页中使用的字典作对照。</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、可根据监测中心提供的《</w:t>
            </w:r>
            <w:r>
              <w:rPr>
                <w:rFonts w:ascii="宋体" w:hAnsi="宋体" w:cs="宋体"/>
                <w:color w:val="auto"/>
                <w:sz w:val="24"/>
                <w:szCs w:val="24"/>
              </w:rPr>
              <w:t>RC020-ICD-10</w:t>
            </w:r>
            <w:r>
              <w:rPr>
                <w:rFonts w:hint="eastAsia" w:ascii="宋体" w:hAnsi="宋体" w:cs="宋体"/>
                <w:color w:val="auto"/>
                <w:sz w:val="24"/>
                <w:szCs w:val="24"/>
              </w:rPr>
              <w:t>诊断编码》提供诊断编码的维护。</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、可提供根据本项目诊断编码与医院使用的疾病编码进行对照，并可实现自动对照功能。</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、可根据监测中心提供的《</w:t>
            </w:r>
            <w:r>
              <w:rPr>
                <w:rFonts w:ascii="宋体" w:hAnsi="宋体" w:cs="宋体"/>
                <w:color w:val="auto"/>
                <w:sz w:val="24"/>
                <w:szCs w:val="24"/>
              </w:rPr>
              <w:t>RC022-ICD-9</w:t>
            </w:r>
            <w:r>
              <w:rPr>
                <w:rFonts w:hint="eastAsia" w:ascii="宋体" w:hAnsi="宋体" w:cs="宋体"/>
                <w:color w:val="auto"/>
                <w:sz w:val="24"/>
                <w:szCs w:val="24"/>
              </w:rPr>
              <w:t>手术编码》实现手术编码的维护。</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、可实现根据本项目手术编码与医院使用的手术编码进行对照，并可实现自动对照功能。</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、可根据监测中心提供的《</w:t>
            </w:r>
            <w:r>
              <w:rPr>
                <w:rFonts w:ascii="宋体" w:hAnsi="宋体" w:cs="宋体"/>
                <w:color w:val="auto"/>
                <w:sz w:val="24"/>
                <w:szCs w:val="24"/>
              </w:rPr>
              <w:t>RC021-ICD-10</w:t>
            </w:r>
            <w:r>
              <w:rPr>
                <w:rFonts w:hint="eastAsia" w:ascii="宋体" w:hAnsi="宋体" w:cs="宋体"/>
                <w:color w:val="auto"/>
                <w:sz w:val="24"/>
                <w:szCs w:val="24"/>
              </w:rPr>
              <w:t>形态学编码》实现形态学编码的维护。</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、提供住院病案首页中需要上报项目的维护。</w:t>
            </w:r>
          </w:p>
        </w:tc>
      </w:tr>
    </w:tbl>
    <w:p>
      <w:pPr>
        <w:pStyle w:val="6"/>
        <w:rPr>
          <w:rFonts w:ascii="宋体" w:hAnsi="宋体" w:eastAsia="宋体" w:cs="Times New Roman"/>
          <w:color w:val="auto"/>
        </w:rPr>
      </w:pPr>
      <w:r>
        <w:rPr>
          <w:rFonts w:ascii="宋体" w:hAnsi="宋体" w:eastAsia="宋体" w:cs="宋体"/>
          <w:color w:val="auto"/>
        </w:rPr>
        <w:t>4.8.16</w:t>
      </w:r>
      <w:r>
        <w:rPr>
          <w:rFonts w:hint="eastAsia" w:ascii="宋体" w:hAnsi="宋体" w:eastAsia="宋体" w:cs="宋体"/>
          <w:color w:val="auto"/>
        </w:rPr>
        <w:t>、综合统计管理系统</w:t>
      </w:r>
    </w:p>
    <w:p>
      <w:pPr>
        <w:spacing w:before="50" w:after="50" w:line="360" w:lineRule="auto"/>
        <w:ind w:firstLine="480"/>
        <w:rPr>
          <w:rFonts w:ascii="宋体"/>
          <w:color w:val="auto"/>
          <w:sz w:val="24"/>
          <w:szCs w:val="24"/>
        </w:rPr>
      </w:pPr>
      <w:r>
        <w:rPr>
          <w:rFonts w:hint="eastAsia" w:ascii="宋体" w:hAnsi="宋体" w:cs="宋体"/>
          <w:color w:val="auto"/>
          <w:sz w:val="24"/>
          <w:szCs w:val="24"/>
        </w:rPr>
        <w:t>医疗综合统计系统应支持自定义报表配置，根据实际业务需要，支持未来新报表的灵活配置，对于系统没有的指标，支持快速的二次开发或配置，且可配置查询权限，并支持与系统外接口对接，支持与上级部门的数据上报。</w:t>
      </w:r>
    </w:p>
    <w:p>
      <w:pPr>
        <w:spacing w:before="50" w:after="50" w:line="360" w:lineRule="auto"/>
        <w:ind w:firstLine="480"/>
        <w:rPr>
          <w:rFonts w:ascii="宋体"/>
          <w:color w:val="auto"/>
          <w:sz w:val="24"/>
          <w:szCs w:val="24"/>
        </w:rPr>
      </w:pPr>
      <w:r>
        <w:rPr>
          <w:rFonts w:hint="eastAsia" w:ascii="宋体" w:hAnsi="宋体" w:cs="宋体"/>
          <w:color w:val="auto"/>
          <w:sz w:val="24"/>
          <w:szCs w:val="24"/>
        </w:rPr>
        <w:t>包括但不限于各种所需数据的统计，业绩分析，利于领导掌握相关财务指标、医疗指标、药品信息、人事组织查询、后勤保障查询、医保情况、职能办公、医疗动态视频网络；支持多媒体技术，支持远程查询；从其他相关模块获取信息；能与</w:t>
      </w:r>
      <w:r>
        <w:rPr>
          <w:rFonts w:ascii="宋体" w:hAnsi="宋体" w:cs="宋体"/>
          <w:color w:val="auto"/>
          <w:sz w:val="24"/>
          <w:szCs w:val="24"/>
        </w:rPr>
        <w:t>OA</w:t>
      </w:r>
      <w:r>
        <w:rPr>
          <w:rFonts w:hint="eastAsia" w:ascii="宋体" w:hAnsi="宋体" w:cs="宋体"/>
          <w:color w:val="auto"/>
          <w:sz w:val="24"/>
          <w:szCs w:val="24"/>
        </w:rPr>
        <w:t>系统实现数据共享，实现基于</w:t>
      </w:r>
      <w:r>
        <w:rPr>
          <w:rFonts w:ascii="宋体" w:hAnsi="宋体" w:cs="宋体"/>
          <w:color w:val="auto"/>
          <w:sz w:val="24"/>
          <w:szCs w:val="24"/>
        </w:rPr>
        <w:t>WEB</w:t>
      </w:r>
      <w:r>
        <w:rPr>
          <w:rFonts w:hint="eastAsia" w:ascii="宋体" w:hAnsi="宋体" w:cs="宋体"/>
          <w:color w:val="auto"/>
          <w:sz w:val="24"/>
          <w:szCs w:val="24"/>
        </w:rPr>
        <w:t>的数据查询及显示等功能。</w:t>
      </w:r>
    </w:p>
    <w:p>
      <w:pPr>
        <w:pStyle w:val="6"/>
        <w:rPr>
          <w:rFonts w:ascii="宋体" w:hAnsi="宋体" w:eastAsia="宋体" w:cs="Times New Roman"/>
          <w:color w:val="auto"/>
        </w:rPr>
      </w:pPr>
      <w:r>
        <w:rPr>
          <w:rFonts w:ascii="宋体" w:hAnsi="宋体" w:eastAsia="宋体" w:cs="宋体"/>
          <w:color w:val="auto"/>
        </w:rPr>
        <w:t>4.8.17</w:t>
      </w:r>
      <w:r>
        <w:rPr>
          <w:rFonts w:hint="eastAsia" w:ascii="宋体" w:hAnsi="宋体" w:eastAsia="宋体" w:cs="宋体"/>
          <w:color w:val="auto"/>
        </w:rPr>
        <w:t>、二级医院各类接口</w:t>
      </w:r>
    </w:p>
    <w:p>
      <w:pPr>
        <w:spacing w:before="156" w:after="156" w:line="360" w:lineRule="auto"/>
        <w:ind w:firstLine="480"/>
        <w:rPr>
          <w:rFonts w:ascii="宋体"/>
          <w:color w:val="auto"/>
          <w:sz w:val="24"/>
          <w:szCs w:val="24"/>
        </w:rPr>
      </w:pPr>
      <w:r>
        <w:rPr>
          <w:rFonts w:hint="eastAsia" w:ascii="宋体" w:hAnsi="宋体" w:cs="宋体"/>
          <w:color w:val="auto"/>
          <w:sz w:val="24"/>
          <w:szCs w:val="24"/>
        </w:rPr>
        <w:t>需提供各类二级医院各类接口。</w:t>
      </w:r>
    </w:p>
    <w:p>
      <w:pPr>
        <w:keepNext/>
        <w:keepLines/>
        <w:numPr>
          <w:ilvl w:val="1"/>
          <w:numId w:val="17"/>
        </w:numPr>
        <w:spacing w:before="156" w:after="156" w:line="416" w:lineRule="auto"/>
        <w:ind w:left="1060"/>
        <w:outlineLvl w:val="1"/>
        <w:rPr>
          <w:rFonts w:ascii="宋体"/>
          <w:b/>
          <w:bCs/>
          <w:color w:val="auto"/>
          <w:sz w:val="32"/>
          <w:szCs w:val="32"/>
        </w:rPr>
      </w:pPr>
      <w:bookmarkStart w:id="1011" w:name="_Toc82882802"/>
      <w:bookmarkStart w:id="1012" w:name="_Toc16493"/>
      <w:bookmarkStart w:id="1013" w:name="_Toc26289"/>
      <w:r>
        <w:rPr>
          <w:rFonts w:hint="eastAsia" w:ascii="宋体" w:hAnsi="宋体" w:cs="宋体"/>
          <w:b/>
          <w:bCs/>
          <w:color w:val="auto"/>
          <w:sz w:val="32"/>
          <w:szCs w:val="32"/>
        </w:rPr>
        <w:t>药学信息系统</w:t>
      </w:r>
      <w:bookmarkEnd w:id="1011"/>
      <w:bookmarkEnd w:id="1012"/>
      <w:bookmarkEnd w:id="1013"/>
    </w:p>
    <w:p>
      <w:pPr>
        <w:pStyle w:val="6"/>
        <w:rPr>
          <w:rFonts w:ascii="宋体" w:hAnsi="宋体" w:eastAsia="宋体" w:cs="Times New Roman"/>
          <w:color w:val="auto"/>
        </w:rPr>
      </w:pPr>
      <w:r>
        <w:rPr>
          <w:rFonts w:ascii="宋体" w:hAnsi="宋体" w:eastAsia="宋体" w:cs="宋体"/>
          <w:color w:val="auto"/>
        </w:rPr>
        <w:t>4.9.1</w:t>
      </w:r>
      <w:r>
        <w:rPr>
          <w:rFonts w:hint="eastAsia" w:ascii="宋体" w:hAnsi="宋体" w:eastAsia="宋体" w:cs="宋体"/>
          <w:color w:val="auto"/>
        </w:rPr>
        <w:t>、抗菌药物管理系统</w:t>
      </w:r>
    </w:p>
    <w:tbl>
      <w:tblPr>
        <w:tblStyle w:val="21"/>
        <w:tblW w:w="9933" w:type="dxa"/>
        <w:tblInd w:w="-531" w:type="dxa"/>
        <w:tblLayout w:type="autofit"/>
        <w:tblCellMar>
          <w:top w:w="0" w:type="dxa"/>
          <w:left w:w="10" w:type="dxa"/>
          <w:bottom w:w="0" w:type="dxa"/>
          <w:right w:w="10" w:type="dxa"/>
        </w:tblCellMar>
      </w:tblPr>
      <w:tblGrid>
        <w:gridCol w:w="917"/>
        <w:gridCol w:w="1658"/>
        <w:gridCol w:w="7358"/>
      </w:tblGrid>
      <w:tr>
        <w:tblPrEx>
          <w:tblCellMar>
            <w:top w:w="0" w:type="dxa"/>
            <w:left w:w="10" w:type="dxa"/>
            <w:bottom w:w="0" w:type="dxa"/>
            <w:right w:w="10" w:type="dxa"/>
          </w:tblCellMar>
        </w:tblPrEx>
        <w:trPr>
          <w:trHeight w:val="1" w:hRule="atLeast"/>
        </w:trPr>
        <w:tc>
          <w:tcPr>
            <w:tcW w:w="917"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35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医嘱和处方时的临床干预控制</w:t>
            </w:r>
          </w:p>
        </w:tc>
        <w:tc>
          <w:tcPr>
            <w:tcW w:w="73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、提供门急诊医生站、病房医生站在医生下达处方、医嘱时进行抗菌药物等级的权限控制。</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、医生没有该抗菌药物使用权限时，支持医生站开立抗菌药物使用申请表，经上级医师审批后，暂时获得抗菌药物使用权限功能。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、针对需要满足在紧急情况下，医生可以越级使用抗菌药物。</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、提供抗菌药物多级审批流程闭环管理。</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、抗菌药物审核未通过时，可通过院内消息系统发消息提醒申请医生。</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、对于部分特定的特殊抗菌药物，提供上级医师或专家组审批功能。</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w:t>
            </w:r>
            <w:r>
              <w:rPr>
                <w:rFonts w:ascii="宋体" w:hAnsi="宋体" w:cs="宋体"/>
                <w:color w:val="auto"/>
                <w:sz w:val="24"/>
                <w:szCs w:val="24"/>
              </w:rPr>
              <w:t>I</w:t>
            </w:r>
            <w:r>
              <w:rPr>
                <w:rFonts w:hint="eastAsia" w:ascii="宋体" w:hAnsi="宋体" w:cs="宋体"/>
                <w:color w:val="auto"/>
                <w:sz w:val="24"/>
                <w:szCs w:val="24"/>
              </w:rPr>
              <w:t>类切口手术抗菌药物预防用药控制和疾病用药控制功能。</w:t>
            </w:r>
          </w:p>
          <w:p>
            <w:pPr>
              <w:spacing w:before="156" w:after="156" w:line="360" w:lineRule="auto"/>
              <w:rPr>
                <w:rFonts w:ascii="宋体"/>
                <w:color w:val="auto"/>
              </w:rPr>
            </w:pPr>
            <w:r>
              <w:rPr>
                <w:rFonts w:ascii="宋体" w:hAnsi="宋体" w:cs="宋体"/>
                <w:color w:val="auto"/>
                <w:sz w:val="24"/>
                <w:szCs w:val="24"/>
              </w:rPr>
              <w:t>8</w:t>
            </w:r>
            <w:r>
              <w:rPr>
                <w:rFonts w:hint="eastAsia" w:ascii="宋体" w:hAnsi="宋体" w:cs="宋体"/>
                <w:color w:val="auto"/>
                <w:sz w:val="24"/>
                <w:szCs w:val="24"/>
              </w:rPr>
              <w:t>、支持特殊使用级抗菌药物的申请会诊功能。</w:t>
            </w:r>
          </w:p>
        </w:tc>
      </w:tr>
      <w:tr>
        <w:tblPrEx>
          <w:tblCellMar>
            <w:top w:w="0" w:type="dxa"/>
            <w:left w:w="10" w:type="dxa"/>
            <w:bottom w:w="0" w:type="dxa"/>
            <w:right w:w="10" w:type="dxa"/>
          </w:tblCellMar>
        </w:tblPrEx>
        <w:trPr>
          <w:trHeight w:val="1"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抗菌药物使用情况的视频网络</w:t>
            </w:r>
          </w:p>
        </w:tc>
        <w:tc>
          <w:tcPr>
            <w:tcW w:w="73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、提供对抗菌药物使用情况的实时视频网络。</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、提供门诊、住院业务使用抗菌药物情况视频网络平台。</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、提供抗菌药物越级使用统计。</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、提供住院患者人均使用抗菌药物品种数及费用统计报表。</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、提供抗菌药物使用强度统计。</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、提供住院患者使用抗菌药物使用率统计。</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、提供抗菌药物消耗量统计。</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、提供抗菌药物用药频度统计。</w:t>
            </w:r>
          </w:p>
          <w:p>
            <w:pPr>
              <w:spacing w:before="156" w:after="156" w:line="360" w:lineRule="auto"/>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、提供门诊患者使用抗菌药物百分率统计。</w:t>
            </w:r>
          </w:p>
          <w:p>
            <w:pPr>
              <w:spacing w:before="156" w:after="156" w:line="360" w:lineRule="auto"/>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、提供抗菌药物门诊处方统计。</w:t>
            </w:r>
          </w:p>
          <w:p>
            <w:pPr>
              <w:spacing w:before="156" w:after="156" w:line="360" w:lineRule="auto"/>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、提供手术患者抗菌药物使用情况统计报表。</w:t>
            </w:r>
          </w:p>
          <w:p>
            <w:pPr>
              <w:spacing w:before="156" w:after="156" w:line="360" w:lineRule="auto"/>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、提供抗菌药物使用金额排名。</w:t>
            </w:r>
          </w:p>
          <w:p>
            <w:pPr>
              <w:spacing w:before="156" w:after="156" w:line="360" w:lineRule="auto"/>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、提供住院药品费用排名公示。</w:t>
            </w:r>
          </w:p>
          <w:p>
            <w:pPr>
              <w:spacing w:before="156" w:after="156" w:line="360" w:lineRule="auto"/>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、提供住院用抗菌药物患者病原学检查百分率统计。</w:t>
            </w:r>
          </w:p>
          <w:p>
            <w:pPr>
              <w:spacing w:before="156" w:after="156" w:line="360" w:lineRule="auto"/>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、提供某疾病治疗抗菌药物成本统计。</w:t>
            </w:r>
          </w:p>
          <w:p>
            <w:pPr>
              <w:spacing w:before="156" w:after="156" w:line="360" w:lineRule="auto"/>
              <w:rPr>
                <w:rFonts w:ascii="宋体"/>
                <w:color w:val="auto"/>
                <w:sz w:val="24"/>
                <w:szCs w:val="24"/>
              </w:rPr>
            </w:pPr>
            <w:r>
              <w:rPr>
                <w:rFonts w:ascii="宋体" w:hAnsi="宋体" w:cs="宋体"/>
                <w:color w:val="auto"/>
                <w:sz w:val="24"/>
                <w:szCs w:val="24"/>
              </w:rPr>
              <w:t>16</w:t>
            </w:r>
            <w:r>
              <w:rPr>
                <w:rFonts w:hint="eastAsia" w:ascii="宋体" w:hAnsi="宋体" w:cs="宋体"/>
                <w:color w:val="auto"/>
                <w:sz w:val="24"/>
                <w:szCs w:val="24"/>
              </w:rPr>
              <w:t>、提供抗菌药品使用同比环比。</w:t>
            </w:r>
          </w:p>
          <w:p>
            <w:pPr>
              <w:spacing w:before="156" w:after="156" w:line="360" w:lineRule="auto"/>
              <w:rPr>
                <w:rFonts w:ascii="宋体"/>
                <w:color w:val="auto"/>
                <w:sz w:val="24"/>
                <w:szCs w:val="24"/>
              </w:rPr>
            </w:pPr>
            <w:r>
              <w:rPr>
                <w:rFonts w:ascii="宋体" w:hAnsi="宋体" w:cs="宋体"/>
                <w:color w:val="auto"/>
                <w:sz w:val="24"/>
                <w:szCs w:val="24"/>
              </w:rPr>
              <w:t>17</w:t>
            </w:r>
            <w:r>
              <w:rPr>
                <w:rFonts w:hint="eastAsia" w:ascii="宋体" w:hAnsi="宋体" w:cs="宋体"/>
                <w:color w:val="auto"/>
                <w:sz w:val="24"/>
                <w:szCs w:val="24"/>
              </w:rPr>
              <w:t>、提供年度抗菌药品消耗金额调查。</w:t>
            </w:r>
          </w:p>
          <w:p>
            <w:pPr>
              <w:spacing w:before="156" w:after="156" w:line="360" w:lineRule="auto"/>
              <w:rPr>
                <w:rFonts w:ascii="宋体"/>
                <w:color w:val="auto"/>
                <w:sz w:val="24"/>
                <w:szCs w:val="24"/>
              </w:rPr>
            </w:pPr>
            <w:r>
              <w:rPr>
                <w:rFonts w:ascii="宋体" w:hAnsi="宋体" w:cs="宋体"/>
                <w:color w:val="auto"/>
                <w:sz w:val="24"/>
                <w:szCs w:val="24"/>
              </w:rPr>
              <w:t>18</w:t>
            </w:r>
            <w:r>
              <w:rPr>
                <w:rFonts w:hint="eastAsia" w:ascii="宋体" w:hAnsi="宋体" w:cs="宋体"/>
                <w:color w:val="auto"/>
                <w:sz w:val="24"/>
                <w:szCs w:val="24"/>
              </w:rPr>
              <w:t>、提供手术病人</w:t>
            </w:r>
            <w:r>
              <w:rPr>
                <w:rFonts w:ascii="宋体" w:hAnsi="宋体" w:cs="宋体"/>
                <w:color w:val="auto"/>
                <w:sz w:val="24"/>
                <w:szCs w:val="24"/>
              </w:rPr>
              <w:t>/</w:t>
            </w:r>
            <w:r>
              <w:rPr>
                <w:rFonts w:hint="eastAsia" w:ascii="宋体" w:hAnsi="宋体" w:cs="宋体"/>
                <w:color w:val="auto"/>
                <w:sz w:val="24"/>
                <w:szCs w:val="24"/>
              </w:rPr>
              <w:t>非手术病人抗菌药物使用情况调查表。</w:t>
            </w:r>
          </w:p>
          <w:p>
            <w:pPr>
              <w:spacing w:before="156" w:after="156" w:line="360" w:lineRule="auto"/>
              <w:rPr>
                <w:rFonts w:ascii="宋体"/>
                <w:color w:val="auto"/>
                <w:sz w:val="24"/>
                <w:szCs w:val="24"/>
              </w:rPr>
            </w:pPr>
            <w:r>
              <w:rPr>
                <w:rFonts w:ascii="宋体" w:hAnsi="宋体" w:cs="宋体"/>
                <w:color w:val="auto"/>
                <w:sz w:val="24"/>
                <w:szCs w:val="24"/>
              </w:rPr>
              <w:t>19</w:t>
            </w:r>
            <w:r>
              <w:rPr>
                <w:rFonts w:hint="eastAsia" w:ascii="宋体" w:hAnsi="宋体" w:cs="宋体"/>
                <w:color w:val="auto"/>
                <w:sz w:val="24"/>
                <w:szCs w:val="24"/>
              </w:rPr>
              <w:t>、提供门诊处方用药情况调查表。</w:t>
            </w:r>
          </w:p>
          <w:p>
            <w:pPr>
              <w:spacing w:before="156" w:after="156" w:line="360" w:lineRule="auto"/>
              <w:rPr>
                <w:rFonts w:ascii="宋体"/>
                <w:color w:val="auto"/>
              </w:rPr>
            </w:pPr>
            <w:r>
              <w:rPr>
                <w:rFonts w:ascii="宋体" w:hAnsi="宋体" w:cs="宋体"/>
                <w:color w:val="auto"/>
                <w:sz w:val="24"/>
                <w:szCs w:val="24"/>
              </w:rPr>
              <w:t>20</w:t>
            </w:r>
            <w:r>
              <w:rPr>
                <w:rFonts w:hint="eastAsia" w:ascii="宋体" w:hAnsi="宋体" w:cs="宋体"/>
                <w:color w:val="auto"/>
                <w:sz w:val="24"/>
                <w:szCs w:val="24"/>
              </w:rPr>
              <w:t>、提供住院病人抗菌药物使用情况调查表。</w:t>
            </w:r>
          </w:p>
        </w:tc>
      </w:tr>
    </w:tbl>
    <w:p>
      <w:pPr>
        <w:pStyle w:val="6"/>
        <w:rPr>
          <w:rFonts w:ascii="宋体" w:hAnsi="宋体" w:eastAsia="宋体" w:cs="Times New Roman"/>
          <w:color w:val="auto"/>
        </w:rPr>
      </w:pPr>
      <w:r>
        <w:rPr>
          <w:rFonts w:ascii="宋体" w:hAnsi="宋体" w:eastAsia="宋体" w:cs="宋体"/>
          <w:color w:val="auto"/>
        </w:rPr>
        <w:t>4.9.2</w:t>
      </w:r>
      <w:r>
        <w:rPr>
          <w:rFonts w:hint="eastAsia" w:ascii="宋体" w:hAnsi="宋体" w:eastAsia="宋体" w:cs="宋体"/>
          <w:color w:val="auto"/>
        </w:rPr>
        <w:t>、合理用药监测系统</w:t>
      </w:r>
    </w:p>
    <w:p>
      <w:pPr>
        <w:spacing w:before="156" w:after="156" w:line="360" w:lineRule="auto"/>
        <w:ind w:firstLine="480"/>
        <w:rPr>
          <w:rFonts w:ascii="宋体"/>
          <w:color w:val="auto"/>
          <w:sz w:val="24"/>
          <w:szCs w:val="24"/>
        </w:rPr>
      </w:pPr>
      <w:r>
        <w:rPr>
          <w:rFonts w:ascii="宋体" w:hAnsi="宋体" w:cs="宋体"/>
          <w:color w:val="auto"/>
          <w:sz w:val="24"/>
          <w:szCs w:val="24"/>
        </w:rPr>
        <w:t>4.9.2.1</w:t>
      </w:r>
      <w:r>
        <w:rPr>
          <w:rFonts w:hint="eastAsia" w:ascii="宋体" w:hAnsi="宋体" w:cs="宋体"/>
          <w:color w:val="auto"/>
          <w:sz w:val="24"/>
          <w:szCs w:val="24"/>
        </w:rPr>
        <w:t>主要功能需求如下：</w:t>
      </w:r>
    </w:p>
    <w:p>
      <w:pPr>
        <w:spacing w:before="156" w:after="156" w:line="360" w:lineRule="auto"/>
        <w:rPr>
          <w:rFonts w:ascii="宋体"/>
          <w:b/>
          <w:bCs/>
          <w:color w:val="auto"/>
          <w:sz w:val="24"/>
          <w:szCs w:val="24"/>
        </w:rPr>
      </w:pPr>
      <w:r>
        <w:rPr>
          <w:rFonts w:ascii="宋体" w:hAnsi="宋体" w:cs="宋体"/>
          <w:b/>
          <w:bCs/>
          <w:color w:val="auto"/>
          <w:sz w:val="24"/>
          <w:szCs w:val="24"/>
        </w:rPr>
        <w:t>4.9.2.1.1</w:t>
      </w:r>
      <w:r>
        <w:rPr>
          <w:rFonts w:hint="eastAsia" w:ascii="宋体" w:hAnsi="宋体" w:cs="宋体"/>
          <w:b/>
          <w:bCs/>
          <w:color w:val="auto"/>
          <w:sz w:val="24"/>
          <w:szCs w:val="24"/>
        </w:rPr>
        <w:t>处方（医嘱）用药审查功能</w:t>
      </w:r>
    </w:p>
    <w:p>
      <w:pPr>
        <w:spacing w:before="156" w:after="156" w:line="360" w:lineRule="auto"/>
        <w:rPr>
          <w:rFonts w:ascii="宋体"/>
          <w:color w:val="auto"/>
          <w:sz w:val="24"/>
          <w:szCs w:val="24"/>
        </w:rPr>
      </w:pPr>
      <w:r>
        <w:rPr>
          <w:rFonts w:hint="eastAsia" w:ascii="宋体" w:hAnsi="宋体" w:cs="宋体"/>
          <w:color w:val="auto"/>
          <w:sz w:val="24"/>
          <w:szCs w:val="24"/>
        </w:rPr>
        <w:t>“系统”应能对处方（医嘱）用药进行以下审查，并提示医生。</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w:t>
      </w:r>
      <w:r>
        <w:rPr>
          <w:rFonts w:hint="eastAsia" w:ascii="宋体" w:hAnsi="宋体" w:cs="宋体"/>
          <w:color w:val="auto"/>
          <w:sz w:val="24"/>
          <w:szCs w:val="24"/>
        </w:rPr>
        <w:t>剂量审查：结合年龄、给药途径等信息审查处方（医嘱）中药品剂量、给药频率是否在药品厂家说明书推荐范围内。包括审查每次和每日剂量的最大最小推荐量、每次和每日极量、给药频率、疗程总剂量、给药持续时间。</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4.9.2.1.1.2</w:t>
      </w:r>
      <w:r>
        <w:rPr>
          <w:rFonts w:hint="eastAsia" w:ascii="宋体" w:hAnsi="宋体" w:cs="宋体"/>
          <w:color w:val="auto"/>
          <w:sz w:val="24"/>
          <w:szCs w:val="24"/>
        </w:rPr>
        <w:t>中药饮片剂量审查：结合给药途径、处方医生审查处方（医嘱）中的中药饮片使用量是否超出规定。</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4.9.2.1.1.3</w:t>
      </w:r>
      <w:r>
        <w:rPr>
          <w:rFonts w:hint="eastAsia" w:ascii="宋体" w:hAnsi="宋体" w:cs="宋体"/>
          <w:color w:val="auto"/>
          <w:sz w:val="24"/>
          <w:szCs w:val="24"/>
        </w:rPr>
        <w:t>根据有关处方管理规定对门、急诊处方药品、特殊药品、出院带药超多日用量进行审查提示，支持当前处方和历史处方多处方审查。</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4.9.2.1.1.4</w:t>
      </w:r>
      <w:r>
        <w:rPr>
          <w:rFonts w:hint="eastAsia" w:ascii="宋体" w:hAnsi="宋体" w:cs="宋体"/>
          <w:color w:val="auto"/>
          <w:sz w:val="24"/>
          <w:szCs w:val="24"/>
        </w:rPr>
        <w:t>可以审查药品以不同累积方式的使用量是否超出规定。</w:t>
      </w:r>
    </w:p>
    <w:p>
      <w:pPr>
        <w:tabs>
          <w:tab w:val="left" w:pos="705"/>
        </w:tabs>
        <w:spacing w:before="156" w:after="156" w:line="360" w:lineRule="auto"/>
        <w:ind w:left="284"/>
        <w:rPr>
          <w:rFonts w:ascii="宋体"/>
          <w:color w:val="auto"/>
          <w:sz w:val="24"/>
          <w:szCs w:val="24"/>
        </w:rPr>
      </w:pPr>
      <w:r>
        <w:rPr>
          <w:rFonts w:ascii="宋体" w:hAnsi="宋体" w:cs="宋体"/>
          <w:b/>
          <w:bCs/>
          <w:color w:val="auto"/>
          <w:sz w:val="24"/>
          <w:szCs w:val="24"/>
        </w:rPr>
        <w:t>4.9.2.1.1.5</w:t>
      </w:r>
      <w:r>
        <w:rPr>
          <w:rFonts w:hint="eastAsia" w:ascii="宋体" w:hAnsi="宋体" w:cs="宋体"/>
          <w:color w:val="auto"/>
          <w:sz w:val="24"/>
          <w:szCs w:val="24"/>
        </w:rPr>
        <w:t>给药途径审查：根据不同的药品和剂型，审查处方（医嘱）药品的给药途径是否合理。系统不仅可以对说明书明确禁止的给药途径进行审查，还应能对说明书未推荐的给药途径进行提示。</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4.9.2.1.1.6</w:t>
      </w:r>
      <w:r>
        <w:rPr>
          <w:rFonts w:hint="eastAsia" w:ascii="宋体" w:hAnsi="宋体" w:cs="宋体"/>
          <w:color w:val="auto"/>
          <w:sz w:val="24"/>
          <w:szCs w:val="24"/>
        </w:rPr>
        <w:t>药物相互作用审查：审查处方（医嘱）中是否存在发生相互作用的药品，包括西药和西药、中药（中成药、中药饮片）和中药、中药和西药，应提供药物相互作用详细信息，包括相互作用结果、相互作用机制、处理办法、讨论、参考文献（包括国外参考文献）。可以结合给药频次，根据用药的奇偶日期、星期日期审查是否有相互作用问题。</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4.9.2.1.1.7</w:t>
      </w:r>
      <w:r>
        <w:rPr>
          <w:rFonts w:hint="eastAsia" w:ascii="宋体" w:hAnsi="宋体" w:cs="宋体"/>
          <w:color w:val="auto"/>
          <w:sz w:val="24"/>
          <w:szCs w:val="24"/>
        </w:rPr>
        <w:t>体外注射剂配伍审查：审查同组注射药品包括溶媒在同一容器（大输液容器或针管）中配制是否可能发生理化反应。同时提供注射剂配伍的详细信息，包括相互配伍结果、配制方法、讨论及参考文献等。</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4.9.2.1.1.8</w:t>
      </w:r>
      <w:r>
        <w:rPr>
          <w:rFonts w:hint="eastAsia" w:ascii="宋体" w:hAnsi="宋体" w:cs="宋体"/>
          <w:color w:val="auto"/>
          <w:sz w:val="24"/>
          <w:szCs w:val="24"/>
        </w:rPr>
        <w:t>配伍浓度审查：审查同组注射药品配伍后的药品浓度是否在规定浓度范围内，同时提供相关详细信息，包括配置浓度、配制方法、参考文献。</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4.9.2.1.1.9</w:t>
      </w:r>
      <w:r>
        <w:rPr>
          <w:rFonts w:hint="eastAsia" w:ascii="宋体" w:hAnsi="宋体" w:cs="宋体"/>
          <w:color w:val="auto"/>
          <w:sz w:val="24"/>
          <w:szCs w:val="24"/>
        </w:rPr>
        <w:t>钾离子监测：若同组注射药品有一个或多个含钾药物，可以审查该组注射剂的钾离子滴速、总浓度、每日补钾量是否合理。详细警示信息中可展示计算过程。</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4.9.2.1.1.10</w:t>
      </w:r>
      <w:r>
        <w:rPr>
          <w:rFonts w:ascii="宋体" w:hAnsi="宋体" w:cs="宋体"/>
          <w:color w:val="auto"/>
          <w:sz w:val="24"/>
          <w:szCs w:val="24"/>
        </w:rPr>
        <w:t>TPN</w:t>
      </w:r>
      <w:r>
        <w:rPr>
          <w:rFonts w:hint="eastAsia" w:ascii="宋体" w:hAnsi="宋体" w:cs="宋体"/>
          <w:color w:val="auto"/>
          <w:sz w:val="24"/>
          <w:szCs w:val="24"/>
        </w:rPr>
        <w:t>处方审查：系统可审查</w:t>
      </w:r>
      <w:r>
        <w:rPr>
          <w:rFonts w:ascii="宋体" w:hAnsi="宋体" w:cs="宋体"/>
          <w:color w:val="auto"/>
          <w:sz w:val="24"/>
          <w:szCs w:val="24"/>
        </w:rPr>
        <w:t>TPN</w:t>
      </w:r>
      <w:r>
        <w:rPr>
          <w:rFonts w:hint="eastAsia" w:ascii="宋体" w:hAnsi="宋体" w:cs="宋体"/>
          <w:color w:val="auto"/>
          <w:sz w:val="24"/>
          <w:szCs w:val="24"/>
        </w:rPr>
        <w:t>处方的营养均衡性、肠外营养浓度、溶液中渗透压浓度，详细警示信息中可展示计算过程。</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4.9.2.1.1.11</w:t>
      </w:r>
      <w:r>
        <w:rPr>
          <w:rFonts w:hint="eastAsia" w:ascii="宋体" w:hAnsi="宋体" w:cs="宋体"/>
          <w:color w:val="auto"/>
          <w:sz w:val="24"/>
          <w:szCs w:val="24"/>
        </w:rPr>
        <w:t>门诊输液审查</w:t>
      </w:r>
      <w:r>
        <w:rPr>
          <w:rFonts w:ascii="宋体" w:hAnsi="宋体" w:cs="宋体"/>
          <w:color w:val="auto"/>
          <w:sz w:val="24"/>
          <w:szCs w:val="24"/>
        </w:rPr>
        <w:t xml:space="preserve">: </w:t>
      </w:r>
      <w:r>
        <w:rPr>
          <w:rFonts w:hint="eastAsia" w:ascii="宋体" w:hAnsi="宋体" w:cs="宋体"/>
          <w:color w:val="auto"/>
          <w:sz w:val="24"/>
          <w:szCs w:val="24"/>
        </w:rPr>
        <w:t>系统可按用户设置的门诊限制输液科室、疾病对处方超科室权限、超适应症输液进行审查提示。</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4.9.2.1.1.12</w:t>
      </w:r>
      <w:r>
        <w:rPr>
          <w:rFonts w:hint="eastAsia" w:ascii="宋体" w:hAnsi="宋体" w:cs="宋体"/>
          <w:color w:val="auto"/>
          <w:sz w:val="24"/>
          <w:szCs w:val="24"/>
        </w:rPr>
        <w:t>禁忌症审查：结合患者诊断和病生状态信息，审查处方（医嘱）中是否存在该患者禁用的药品。</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4.9.2.1.1.13</w:t>
      </w:r>
      <w:r>
        <w:rPr>
          <w:rFonts w:hint="eastAsia" w:ascii="宋体" w:hAnsi="宋体" w:cs="宋体"/>
          <w:color w:val="auto"/>
          <w:sz w:val="24"/>
          <w:szCs w:val="24"/>
        </w:rPr>
        <w:t>不良反应审查：结合患者的诊断和病生状态信息，审查处方（医嘱）中是否存在可能引起或加重患者当前病理状况的药品。系统相关审查数据应包括国家药监局发布的不良反应通报。</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4.9.2.1.1.14</w:t>
      </w:r>
      <w:r>
        <w:rPr>
          <w:rFonts w:hint="eastAsia" w:ascii="宋体" w:hAnsi="宋体" w:cs="宋体"/>
          <w:color w:val="auto"/>
          <w:sz w:val="24"/>
          <w:szCs w:val="24"/>
        </w:rPr>
        <w:t>特殊人群用药审查：根据患者年龄和病生状态判断审查处方（医嘱）中是否存在儿童、成人、老人禁用或慎用的药品。</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4.9.2.1.1.15</w:t>
      </w:r>
      <w:r>
        <w:rPr>
          <w:rFonts w:hint="eastAsia" w:ascii="宋体" w:hAnsi="宋体" w:cs="宋体"/>
          <w:color w:val="auto"/>
          <w:sz w:val="24"/>
          <w:szCs w:val="24"/>
        </w:rPr>
        <w:t>妊娠哺乳用药审查：当患者为妊娠期或哺乳期妇女时，可以结合患者诊断和妊娠、哺乳状态，审查处方（医嘱）中是否存在患者禁用或慎用的药品。</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4.9.2.1.1.16</w:t>
      </w:r>
      <w:r>
        <w:rPr>
          <w:rFonts w:hint="eastAsia" w:ascii="宋体" w:hAnsi="宋体" w:cs="宋体"/>
          <w:color w:val="auto"/>
          <w:sz w:val="24"/>
          <w:szCs w:val="24"/>
        </w:rPr>
        <w:t>性别用药审查：审查处方（医嘱）药物是否存在不适用于当前患者性别的药品。</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4.9.2.1.1.17</w:t>
      </w:r>
      <w:r>
        <w:rPr>
          <w:rFonts w:hint="eastAsia" w:ascii="宋体" w:hAnsi="宋体" w:cs="宋体"/>
          <w:color w:val="auto"/>
          <w:sz w:val="24"/>
          <w:szCs w:val="24"/>
        </w:rPr>
        <w:t>重复用药审查：对处方（医嘱）中多个药品进行重复用药审查，支持根据住院药品用药时间段是否重合进行审查配置。</w:t>
      </w:r>
    </w:p>
    <w:p>
      <w:pPr>
        <w:tabs>
          <w:tab w:val="left" w:pos="705"/>
        </w:tabs>
        <w:spacing w:before="156" w:after="156" w:line="360" w:lineRule="auto"/>
        <w:ind w:firstLine="241" w:firstLineChars="100"/>
        <w:jc w:val="left"/>
        <w:rPr>
          <w:rFonts w:ascii="宋体"/>
          <w:color w:val="auto"/>
          <w:sz w:val="24"/>
          <w:szCs w:val="24"/>
        </w:rPr>
      </w:pPr>
      <w:bookmarkStart w:id="1014" w:name="_Toc7919"/>
      <w:r>
        <w:rPr>
          <w:rFonts w:ascii="宋体" w:hAnsi="宋体" w:cs="宋体"/>
          <w:b/>
          <w:bCs/>
          <w:color w:val="auto"/>
          <w:sz w:val="24"/>
          <w:szCs w:val="24"/>
        </w:rPr>
        <w:t>4.9.2.1.1.18</w:t>
      </w:r>
      <w:r>
        <w:rPr>
          <w:rFonts w:hint="eastAsia" w:ascii="宋体" w:hAnsi="宋体" w:cs="宋体"/>
          <w:color w:val="auto"/>
          <w:sz w:val="24"/>
          <w:szCs w:val="24"/>
        </w:rPr>
        <w:t>是否存在同一有效药物成分；</w:t>
      </w:r>
      <w:bookmarkEnd w:id="1014"/>
    </w:p>
    <w:p>
      <w:pPr>
        <w:tabs>
          <w:tab w:val="left" w:pos="705"/>
        </w:tabs>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4.9.2.1.1.19</w:t>
      </w:r>
      <w:r>
        <w:rPr>
          <w:rFonts w:hint="eastAsia" w:ascii="宋体" w:hAnsi="宋体" w:cs="宋体"/>
          <w:color w:val="auto"/>
          <w:sz w:val="24"/>
          <w:szCs w:val="24"/>
        </w:rPr>
        <w:t>药理作用分类同属一类。</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4.9.2.1.1.20</w:t>
      </w:r>
      <w:r>
        <w:rPr>
          <w:rFonts w:hint="eastAsia" w:ascii="宋体" w:hAnsi="宋体" w:cs="宋体"/>
          <w:color w:val="auto"/>
          <w:sz w:val="24"/>
          <w:szCs w:val="24"/>
        </w:rPr>
        <w:t>药物过敏审查：结合患者既往药物过敏史、皮试结果，审查处方（医嘱）中是否存在可能引起病人过敏或者交叉过敏的药物。</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4.9.2.1.1.21</w:t>
      </w:r>
      <w:r>
        <w:rPr>
          <w:rFonts w:hint="eastAsia" w:ascii="宋体" w:hAnsi="宋体" w:cs="宋体"/>
          <w:color w:val="auto"/>
          <w:sz w:val="24"/>
          <w:szCs w:val="24"/>
        </w:rPr>
        <w:t>药物检验值审查：可实时结合患者检验值审查药物使用是否合理。</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4.9.2.1.1.22</w:t>
      </w:r>
      <w:r>
        <w:rPr>
          <w:rFonts w:hint="eastAsia" w:ascii="宋体" w:hAnsi="宋体" w:cs="宋体"/>
          <w:color w:val="auto"/>
          <w:sz w:val="24"/>
          <w:szCs w:val="24"/>
        </w:rPr>
        <w:t>规范性审查：根据《处方管理办法》审查医生开出的处方是否规范，如是否填写诊断、是否按规定填写年龄等。</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4.9.2.1.1.23</w:t>
      </w:r>
      <w:r>
        <w:rPr>
          <w:rFonts w:hint="eastAsia" w:ascii="宋体" w:hAnsi="宋体" w:cs="宋体"/>
          <w:color w:val="auto"/>
          <w:sz w:val="24"/>
          <w:szCs w:val="24"/>
        </w:rPr>
        <w:t>医保审查：根据国家医保和省医保报销限定要求，对处方药品是否符合报销规定进行审查。</w:t>
      </w:r>
    </w:p>
    <w:p>
      <w:pPr>
        <w:tabs>
          <w:tab w:val="left" w:pos="705"/>
        </w:tabs>
        <w:spacing w:before="156" w:after="156" w:line="360" w:lineRule="auto"/>
        <w:ind w:left="284"/>
        <w:jc w:val="left"/>
        <w:rPr>
          <w:rFonts w:ascii="宋体"/>
          <w:color w:val="auto"/>
          <w:sz w:val="24"/>
          <w:szCs w:val="24"/>
        </w:rPr>
      </w:pPr>
      <w:r>
        <w:rPr>
          <w:rFonts w:ascii="宋体" w:hAnsi="宋体" w:cs="宋体"/>
          <w:b/>
          <w:bCs/>
          <w:color w:val="auto"/>
          <w:sz w:val="24"/>
          <w:szCs w:val="24"/>
        </w:rPr>
        <w:t>4.9.2.1.1.23</w:t>
      </w:r>
      <w:r>
        <w:rPr>
          <w:rFonts w:hint="eastAsia" w:ascii="宋体" w:hAnsi="宋体" w:cs="宋体"/>
          <w:color w:val="auto"/>
          <w:sz w:val="24"/>
          <w:szCs w:val="24"/>
        </w:rPr>
        <w:t>监测指标审查：可结合医嘱药品提醒医生应做相关检查，如果住院病人在使用这些药品期间未监测这些指标，则给予警示。</w:t>
      </w:r>
    </w:p>
    <w:p>
      <w:pPr>
        <w:spacing w:before="156" w:after="156" w:line="360" w:lineRule="auto"/>
        <w:rPr>
          <w:rFonts w:ascii="宋体"/>
          <w:color w:val="auto"/>
          <w:sz w:val="24"/>
          <w:szCs w:val="24"/>
        </w:rPr>
      </w:pPr>
      <w:r>
        <w:rPr>
          <w:rFonts w:ascii="宋体" w:hAnsi="宋体" w:cs="宋体"/>
          <w:b/>
          <w:bCs/>
          <w:color w:val="auto"/>
          <w:sz w:val="24"/>
          <w:szCs w:val="24"/>
        </w:rPr>
        <w:t>4.9.2.1.2</w:t>
      </w:r>
      <w:r>
        <w:rPr>
          <w:rFonts w:hint="eastAsia" w:ascii="宋体" w:hAnsi="宋体" w:cs="宋体"/>
          <w:b/>
          <w:bCs/>
          <w:color w:val="auto"/>
          <w:sz w:val="24"/>
          <w:szCs w:val="24"/>
        </w:rPr>
        <w:t>药品信息提示功能</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4.9.2.1.2.1</w:t>
      </w:r>
      <w:r>
        <w:rPr>
          <w:rFonts w:hint="eastAsia" w:ascii="宋体" w:hAnsi="宋体" w:cs="宋体"/>
          <w:color w:val="auto"/>
          <w:sz w:val="24"/>
          <w:szCs w:val="24"/>
        </w:rPr>
        <w:t>可查看药品相关重要信息，包括禁忌症、</w:t>
      </w:r>
      <w:r>
        <w:rPr>
          <w:rFonts w:ascii="宋体" w:hAnsi="宋体" w:cs="宋体"/>
          <w:color w:val="auto"/>
          <w:sz w:val="24"/>
          <w:szCs w:val="24"/>
        </w:rPr>
        <w:t>FDA</w:t>
      </w:r>
      <w:r>
        <w:rPr>
          <w:rFonts w:hint="eastAsia" w:ascii="宋体" w:hAnsi="宋体" w:cs="宋体"/>
          <w:color w:val="auto"/>
          <w:sz w:val="24"/>
          <w:szCs w:val="24"/>
        </w:rPr>
        <w:t>妊娠分级信息、特殊人群用药信息、注射药品的滴速信息等；</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4.9.2.1.2.2</w:t>
      </w:r>
      <w:r>
        <w:rPr>
          <w:rFonts w:hint="eastAsia" w:ascii="宋体" w:hAnsi="宋体" w:cs="宋体"/>
          <w:color w:val="auto"/>
          <w:sz w:val="24"/>
          <w:szCs w:val="24"/>
        </w:rPr>
        <w:t>可查看国家药品监督管理局（</w:t>
      </w:r>
      <w:r>
        <w:rPr>
          <w:rFonts w:ascii="宋体" w:hAnsi="宋体" w:cs="宋体"/>
          <w:color w:val="auto"/>
          <w:sz w:val="24"/>
          <w:szCs w:val="24"/>
        </w:rPr>
        <w:t>NMPA</w:t>
      </w:r>
      <w:r>
        <w:rPr>
          <w:rFonts w:hint="eastAsia" w:ascii="宋体" w:hAnsi="宋体" w:cs="宋体"/>
          <w:color w:val="auto"/>
          <w:sz w:val="24"/>
          <w:szCs w:val="24"/>
        </w:rPr>
        <w:t>）发布的完整的药品厂家说明书，并可查看药监局发布的说明书修订勘误。同时可以查看同一通用名称，不同剂型和不同厂家的说明书；当用户查看与在用药品厂家或规格不同的说明书时，系统给予提示。</w:t>
      </w:r>
      <w:r>
        <w:rPr>
          <w:rFonts w:ascii="宋体" w:hAnsi="宋体" w:cs="宋体"/>
          <w:color w:val="auto"/>
          <w:sz w:val="24"/>
          <w:szCs w:val="24"/>
        </w:rPr>
        <w:t xml:space="preserve"> </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4.9.2.1.2.3</w:t>
      </w:r>
      <w:r>
        <w:rPr>
          <w:rFonts w:hint="eastAsia" w:ascii="宋体" w:hAnsi="宋体" w:cs="宋体"/>
          <w:color w:val="auto"/>
          <w:sz w:val="24"/>
          <w:szCs w:val="24"/>
        </w:rPr>
        <w:t>可以在国家药品监督管理局（</w:t>
      </w:r>
      <w:r>
        <w:rPr>
          <w:rFonts w:ascii="宋体" w:hAnsi="宋体" w:cs="宋体"/>
          <w:color w:val="auto"/>
          <w:sz w:val="24"/>
          <w:szCs w:val="24"/>
        </w:rPr>
        <w:t>NMPA</w:t>
      </w:r>
      <w:r>
        <w:rPr>
          <w:rFonts w:hint="eastAsia" w:ascii="宋体" w:hAnsi="宋体" w:cs="宋体"/>
          <w:color w:val="auto"/>
          <w:sz w:val="24"/>
          <w:szCs w:val="24"/>
        </w:rPr>
        <w:t>）正式发布的药品厂家说明书基础上修改和新增药品说明书内容，形成一篇新的符合临床实际需要的药品说明书。</w:t>
      </w:r>
      <w:r>
        <w:rPr>
          <w:rFonts w:ascii="宋体" w:hAnsi="宋体" w:cs="宋体"/>
          <w:color w:val="auto"/>
          <w:sz w:val="24"/>
          <w:szCs w:val="24"/>
        </w:rPr>
        <w:t xml:space="preserve">   </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4.9.2.1.2.4</w:t>
      </w:r>
      <w:r>
        <w:rPr>
          <w:rFonts w:hint="eastAsia" w:ascii="宋体" w:hAnsi="宋体" w:cs="宋体"/>
          <w:color w:val="auto"/>
          <w:sz w:val="24"/>
          <w:szCs w:val="24"/>
        </w:rPr>
        <w:t>输入中药材药品后，可查询相应药品的中药材专论信息，包括用法用量、毒性信息、注意事项、临床应用等。</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4.9.2.1.2.5</w:t>
      </w:r>
      <w:r>
        <w:rPr>
          <w:rFonts w:hint="eastAsia" w:ascii="宋体" w:hAnsi="宋体" w:cs="宋体"/>
          <w:color w:val="auto"/>
          <w:sz w:val="24"/>
          <w:szCs w:val="24"/>
        </w:rPr>
        <w:t>药品标识信息包括：</w:t>
      </w:r>
    </w:p>
    <w:p>
      <w:pPr>
        <w:spacing w:line="360" w:lineRule="auto"/>
        <w:ind w:left="708" w:leftChars="337"/>
        <w:rPr>
          <w:rFonts w:ascii="宋体"/>
          <w:color w:val="auto"/>
          <w:sz w:val="24"/>
          <w:szCs w:val="24"/>
        </w:rPr>
      </w:pPr>
      <w:bookmarkStart w:id="1015" w:name="_Toc2774"/>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）兴奋剂药品标识提示；</w:t>
      </w:r>
      <w:bookmarkEnd w:id="1015"/>
    </w:p>
    <w:p>
      <w:pPr>
        <w:spacing w:line="360" w:lineRule="auto"/>
        <w:ind w:left="708" w:leftChars="337"/>
        <w:rPr>
          <w:rFonts w:ascii="宋体"/>
          <w:color w:val="auto"/>
          <w:sz w:val="24"/>
          <w:szCs w:val="24"/>
        </w:rPr>
      </w:pPr>
      <w:bookmarkStart w:id="1016" w:name="_Toc7753"/>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）麻醉药品、精神类药品标识提示；</w:t>
      </w:r>
      <w:bookmarkEnd w:id="1016"/>
    </w:p>
    <w:p>
      <w:pPr>
        <w:spacing w:line="360" w:lineRule="auto"/>
        <w:ind w:left="708" w:leftChars="337"/>
        <w:rPr>
          <w:rFonts w:ascii="宋体"/>
          <w:color w:val="auto"/>
          <w:sz w:val="24"/>
          <w:szCs w:val="24"/>
        </w:rPr>
      </w:pPr>
      <w:bookmarkStart w:id="1017" w:name="_Toc23517"/>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）社保药品、基本药物等标识提示；</w:t>
      </w:r>
      <w:bookmarkEnd w:id="1017"/>
    </w:p>
    <w:p>
      <w:pPr>
        <w:spacing w:line="360" w:lineRule="auto"/>
        <w:ind w:left="708" w:leftChars="337"/>
        <w:rPr>
          <w:rFonts w:ascii="宋体"/>
          <w:color w:val="auto"/>
          <w:sz w:val="24"/>
          <w:szCs w:val="24"/>
        </w:rPr>
      </w:pPr>
      <w:bookmarkStart w:id="1018" w:name="_Toc5448"/>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）毒性药品标识提示；</w:t>
      </w:r>
      <w:bookmarkEnd w:id="1018"/>
    </w:p>
    <w:p>
      <w:pPr>
        <w:spacing w:line="360" w:lineRule="auto"/>
        <w:ind w:left="708" w:leftChars="337"/>
        <w:rPr>
          <w:rFonts w:ascii="宋体"/>
          <w:color w:val="auto"/>
          <w:sz w:val="24"/>
          <w:szCs w:val="24"/>
        </w:rPr>
      </w:pPr>
      <w:bookmarkStart w:id="1019" w:name="_Toc17602"/>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）放射性药品标识提示。</w:t>
      </w:r>
      <w:bookmarkEnd w:id="1019"/>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4.9.2.1.2.6</w:t>
      </w:r>
      <w:r>
        <w:rPr>
          <w:rFonts w:hint="eastAsia" w:ascii="宋体" w:hAnsi="宋体" w:cs="宋体"/>
          <w:color w:val="auto"/>
          <w:sz w:val="24"/>
          <w:szCs w:val="24"/>
        </w:rPr>
        <w:t>可以根据医院需求，自定义药品信息如高危药品、需皮试药品、自制药品等。</w:t>
      </w:r>
    </w:p>
    <w:p>
      <w:pPr>
        <w:spacing w:before="156" w:after="156" w:line="360" w:lineRule="auto"/>
        <w:ind w:firstLine="241" w:firstLineChars="100"/>
        <w:rPr>
          <w:rFonts w:ascii="宋体"/>
          <w:b/>
          <w:bCs/>
          <w:color w:val="auto"/>
          <w:sz w:val="24"/>
          <w:szCs w:val="24"/>
        </w:rPr>
      </w:pPr>
      <w:r>
        <w:rPr>
          <w:rFonts w:ascii="宋体" w:hAnsi="宋体" w:cs="宋体"/>
          <w:b/>
          <w:bCs/>
          <w:color w:val="auto"/>
          <w:sz w:val="24"/>
          <w:szCs w:val="24"/>
        </w:rPr>
        <w:t>4.9.2.1.3</w:t>
      </w:r>
      <w:r>
        <w:rPr>
          <w:rFonts w:hint="eastAsia" w:ascii="宋体" w:hAnsi="宋体" w:cs="宋体"/>
          <w:b/>
          <w:bCs/>
          <w:color w:val="auto"/>
          <w:sz w:val="24"/>
          <w:szCs w:val="24"/>
        </w:rPr>
        <w:t>用药指导单</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4.9.2.1.3.1</w:t>
      </w:r>
      <w:r>
        <w:rPr>
          <w:rFonts w:hint="eastAsia" w:ascii="宋体" w:hAnsi="宋体" w:cs="宋体"/>
          <w:color w:val="auto"/>
          <w:sz w:val="24"/>
          <w:szCs w:val="24"/>
        </w:rPr>
        <w:t>可以根据患者疾病情况和处方药品信息自动生成患者用药教育指导单，并提供电子版指导单编辑、打印功能。</w:t>
      </w:r>
    </w:p>
    <w:p>
      <w:pPr>
        <w:spacing w:before="156" w:after="156" w:line="360" w:lineRule="auto"/>
        <w:ind w:firstLine="241" w:firstLineChars="100"/>
        <w:jc w:val="left"/>
        <w:rPr>
          <w:rFonts w:ascii="宋体"/>
          <w:color w:val="auto"/>
          <w:sz w:val="24"/>
          <w:szCs w:val="24"/>
        </w:rPr>
      </w:pPr>
      <w:r>
        <w:rPr>
          <w:rFonts w:ascii="宋体" w:hAnsi="宋体" w:cs="宋体"/>
          <w:b/>
          <w:bCs/>
          <w:color w:val="auto"/>
          <w:sz w:val="24"/>
          <w:szCs w:val="24"/>
        </w:rPr>
        <w:t>4.9.2.1.3.2</w:t>
      </w:r>
      <w:r>
        <w:rPr>
          <w:rFonts w:hint="eastAsia" w:ascii="宋体" w:hAnsi="宋体" w:cs="宋体"/>
          <w:color w:val="auto"/>
          <w:sz w:val="24"/>
          <w:szCs w:val="24"/>
        </w:rPr>
        <w:t>用户可自定义维护用药指导注意事项，并且优先显示用户自定义内容。可根据患者生理状态（妊娠、哺乳、性别）有针对性地生成指导内容。</w:t>
      </w:r>
    </w:p>
    <w:p>
      <w:pPr>
        <w:spacing w:before="156" w:after="156" w:line="360" w:lineRule="auto"/>
        <w:rPr>
          <w:rFonts w:ascii="宋体"/>
          <w:b/>
          <w:bCs/>
          <w:color w:val="auto"/>
          <w:sz w:val="24"/>
          <w:szCs w:val="24"/>
        </w:rPr>
      </w:pPr>
      <w:r>
        <w:rPr>
          <w:rFonts w:ascii="宋体" w:hAnsi="宋体" w:cs="宋体"/>
          <w:b/>
          <w:bCs/>
          <w:color w:val="auto"/>
          <w:sz w:val="24"/>
          <w:szCs w:val="24"/>
        </w:rPr>
        <w:t>4.9.2.1.4</w:t>
      </w:r>
      <w:r>
        <w:rPr>
          <w:rFonts w:hint="eastAsia" w:ascii="宋体" w:hAnsi="宋体" w:cs="宋体"/>
          <w:b/>
          <w:bCs/>
          <w:color w:val="auto"/>
          <w:sz w:val="24"/>
          <w:szCs w:val="24"/>
        </w:rPr>
        <w:t>审查提示屏蔽功能</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应能对剂量、总剂量、给药途径、药物相互作用、体外注射剂配伍、配伍浓度、禁忌症、副作用、儿童用药、老人用药、成人用药、性别用药、妊娠期用药、哺乳期用药、药物过敏、重复用药审查项目进行审查提示屏蔽，支持分门诊、住院、急诊屏蔽，屏蔽后不再对相同问题进行提示。</w:t>
      </w:r>
    </w:p>
    <w:p>
      <w:pPr>
        <w:spacing w:before="156" w:after="156" w:line="360" w:lineRule="auto"/>
        <w:rPr>
          <w:rFonts w:ascii="宋体"/>
          <w:b/>
          <w:bCs/>
          <w:color w:val="auto"/>
          <w:sz w:val="24"/>
          <w:szCs w:val="24"/>
        </w:rPr>
      </w:pPr>
      <w:r>
        <w:rPr>
          <w:rFonts w:ascii="宋体" w:hAnsi="宋体" w:cs="宋体"/>
          <w:b/>
          <w:bCs/>
          <w:color w:val="auto"/>
          <w:sz w:val="24"/>
          <w:szCs w:val="24"/>
        </w:rPr>
        <w:t>4.9.2.1.5</w:t>
      </w:r>
      <w:r>
        <w:rPr>
          <w:rFonts w:hint="eastAsia" w:ascii="宋体" w:hAnsi="宋体" w:cs="宋体"/>
          <w:b/>
          <w:bCs/>
          <w:color w:val="auto"/>
          <w:sz w:val="24"/>
          <w:szCs w:val="24"/>
        </w:rPr>
        <w:t>审查规则自定义功能（医院专家知识库）</w:t>
      </w:r>
    </w:p>
    <w:p>
      <w:pPr>
        <w:spacing w:before="156" w:after="156" w:line="360" w:lineRule="auto"/>
        <w:ind w:firstLine="364"/>
        <w:rPr>
          <w:rFonts w:ascii="宋体"/>
          <w:color w:val="auto"/>
          <w:sz w:val="24"/>
          <w:szCs w:val="24"/>
        </w:rPr>
      </w:pPr>
      <w:r>
        <w:rPr>
          <w:rFonts w:ascii="宋体" w:hAnsi="宋体" w:cs="宋体"/>
          <w:b/>
          <w:bCs/>
          <w:color w:val="auto"/>
          <w:sz w:val="24"/>
          <w:szCs w:val="24"/>
        </w:rPr>
        <w:t>4.9.2.1.5.1</w:t>
      </w:r>
      <w:r>
        <w:rPr>
          <w:rFonts w:hint="eastAsia" w:ascii="宋体" w:hAnsi="宋体" w:cs="宋体"/>
          <w:color w:val="auto"/>
          <w:sz w:val="24"/>
          <w:szCs w:val="24"/>
        </w:rPr>
        <w:t>“系统”应能在系统自带知识库的基础上，提供以下审查项目的审查规则自定义功能，以满足临床实际需要。</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4.9.2.1.5.2</w:t>
      </w:r>
      <w:r>
        <w:rPr>
          <w:rFonts w:hint="eastAsia" w:ascii="宋体" w:hAnsi="宋体" w:cs="宋体"/>
          <w:color w:val="auto"/>
          <w:sz w:val="24"/>
          <w:szCs w:val="24"/>
        </w:rPr>
        <w:t>用户可自定义药品警示、拦截规则，被拦截的问题处方必须返回修改，否则不可进行下一步操作。</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4.9.2.1.5.3</w:t>
      </w:r>
      <w:r>
        <w:rPr>
          <w:rFonts w:hint="eastAsia" w:ascii="宋体" w:hAnsi="宋体" w:cs="宋体"/>
          <w:color w:val="auto"/>
          <w:sz w:val="24"/>
          <w:szCs w:val="24"/>
        </w:rPr>
        <w:t>审查项目可进行自定义设置</w:t>
      </w:r>
    </w:p>
    <w:p>
      <w:pPr>
        <w:spacing w:before="156" w:after="156" w:line="360" w:lineRule="auto"/>
        <w:ind w:left="284"/>
        <w:rPr>
          <w:rFonts w:ascii="宋体"/>
          <w:color w:val="auto"/>
          <w:sz w:val="24"/>
          <w:szCs w:val="24"/>
        </w:rPr>
      </w:pPr>
      <w:r>
        <w:rPr>
          <w:rFonts w:ascii="宋体" w:hAnsi="宋体" w:cs="宋体"/>
          <w:b/>
          <w:bCs/>
          <w:color w:val="auto"/>
          <w:sz w:val="24"/>
          <w:szCs w:val="24"/>
        </w:rPr>
        <w:t>4.9.2.1.5.3.1</w:t>
      </w:r>
      <w:r>
        <w:rPr>
          <w:rFonts w:hint="eastAsia" w:ascii="宋体" w:hAnsi="宋体" w:cs="宋体"/>
          <w:color w:val="auto"/>
          <w:sz w:val="24"/>
          <w:szCs w:val="24"/>
        </w:rPr>
        <w:t>剂量：可以根据不同给药途径、年龄段、疾病状态、给药单位，自定义设置药品次剂量、日剂量、给药频率、用药天数、疗程总剂量。可显示某个药品在本院近一个月医嘱用量统计，查看不同科室的剂量使用情况。</w:t>
      </w:r>
    </w:p>
    <w:p>
      <w:pPr>
        <w:spacing w:before="156" w:after="156" w:line="360" w:lineRule="auto"/>
        <w:ind w:left="207"/>
        <w:rPr>
          <w:rFonts w:ascii="宋体"/>
          <w:color w:val="auto"/>
          <w:sz w:val="24"/>
          <w:szCs w:val="24"/>
        </w:rPr>
      </w:pPr>
      <w:r>
        <w:rPr>
          <w:rFonts w:ascii="宋体" w:hAnsi="宋体" w:cs="宋体"/>
          <w:b/>
          <w:bCs/>
          <w:color w:val="auto"/>
          <w:sz w:val="24"/>
          <w:szCs w:val="24"/>
        </w:rPr>
        <w:t>4.9.2.1.5.3.2</w:t>
      </w:r>
      <w:r>
        <w:rPr>
          <w:rFonts w:hint="eastAsia" w:ascii="宋体" w:hAnsi="宋体" w:cs="宋体"/>
          <w:color w:val="auto"/>
          <w:sz w:val="24"/>
          <w:szCs w:val="24"/>
        </w:rPr>
        <w:t>可对门、急诊处方药品、麻醉药品和精一药品超多日用量天数进行设置，并可根据超出天数设置不同的警示级别。</w:t>
      </w:r>
    </w:p>
    <w:p>
      <w:pPr>
        <w:spacing w:before="156" w:after="156" w:line="360" w:lineRule="auto"/>
        <w:ind w:left="207"/>
        <w:rPr>
          <w:rFonts w:ascii="宋体"/>
          <w:color w:val="auto"/>
          <w:sz w:val="24"/>
          <w:szCs w:val="24"/>
        </w:rPr>
      </w:pPr>
      <w:r>
        <w:rPr>
          <w:rFonts w:ascii="宋体" w:hAnsi="宋体" w:cs="宋体"/>
          <w:b/>
          <w:bCs/>
          <w:color w:val="auto"/>
          <w:sz w:val="24"/>
          <w:szCs w:val="24"/>
        </w:rPr>
        <w:t>4.9.2.1.5.3.3</w:t>
      </w:r>
      <w:r>
        <w:rPr>
          <w:rFonts w:hint="eastAsia" w:ascii="宋体" w:hAnsi="宋体" w:cs="宋体"/>
          <w:color w:val="auto"/>
          <w:sz w:val="24"/>
          <w:szCs w:val="24"/>
        </w:rPr>
        <w:t>可通过多种累积方式设置患者药品累积使用量上限。</w:t>
      </w:r>
    </w:p>
    <w:p>
      <w:pPr>
        <w:spacing w:before="156" w:after="156" w:line="360" w:lineRule="auto"/>
        <w:ind w:left="207"/>
        <w:rPr>
          <w:rFonts w:ascii="宋体"/>
          <w:color w:val="auto"/>
          <w:sz w:val="24"/>
          <w:szCs w:val="24"/>
        </w:rPr>
      </w:pPr>
      <w:r>
        <w:rPr>
          <w:rFonts w:ascii="宋体" w:hAnsi="宋体" w:cs="宋体"/>
          <w:b/>
          <w:bCs/>
          <w:color w:val="auto"/>
          <w:sz w:val="24"/>
          <w:szCs w:val="24"/>
        </w:rPr>
        <w:t>4.9.2.1.5.3.4</w:t>
      </w:r>
      <w:r>
        <w:rPr>
          <w:rFonts w:hint="eastAsia" w:ascii="宋体" w:hAnsi="宋体" w:cs="宋体"/>
          <w:color w:val="auto"/>
          <w:sz w:val="24"/>
          <w:szCs w:val="24"/>
        </w:rPr>
        <w:t>中药饮片剂量：可以结合给药途径对中药饮片每剂用量进行设置，支持针对医生设置中药饮片剂量规则。</w:t>
      </w:r>
    </w:p>
    <w:p>
      <w:pPr>
        <w:spacing w:before="156" w:after="156" w:line="360" w:lineRule="auto"/>
        <w:ind w:left="207"/>
        <w:rPr>
          <w:rFonts w:ascii="宋体"/>
          <w:color w:val="auto"/>
          <w:sz w:val="24"/>
          <w:szCs w:val="24"/>
        </w:rPr>
      </w:pPr>
      <w:r>
        <w:rPr>
          <w:rFonts w:ascii="宋体" w:hAnsi="宋体" w:cs="宋体"/>
          <w:b/>
          <w:bCs/>
          <w:color w:val="auto"/>
          <w:sz w:val="24"/>
          <w:szCs w:val="24"/>
        </w:rPr>
        <w:t>4.9.2.1.5.3.5</w:t>
      </w:r>
      <w:r>
        <w:rPr>
          <w:rFonts w:hint="eastAsia" w:ascii="宋体" w:hAnsi="宋体" w:cs="宋体"/>
          <w:color w:val="auto"/>
          <w:sz w:val="24"/>
          <w:szCs w:val="24"/>
        </w:rPr>
        <w:t>给药途径审查自定义：可以自定义设置给药途径审查规则，还应能设置提示的文本信息和问题严重程度。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4.9.2.1.5.3.6</w:t>
      </w:r>
      <w:r>
        <w:rPr>
          <w:rFonts w:hint="eastAsia" w:ascii="宋体" w:hAnsi="宋体" w:cs="宋体"/>
          <w:color w:val="auto"/>
          <w:sz w:val="24"/>
          <w:szCs w:val="24"/>
        </w:rPr>
        <w:t>相互作用：可以对药物相互作用审查规则进行设置，包括中药（中成药、中药饮片）和中药，中药和西药，西药和西药。还应能设置提示的文本信息和问题严重程度。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4.9.2.1.5.3.7</w:t>
      </w:r>
      <w:r>
        <w:rPr>
          <w:rFonts w:hint="eastAsia" w:ascii="宋体" w:hAnsi="宋体" w:cs="宋体"/>
          <w:color w:val="auto"/>
          <w:sz w:val="24"/>
          <w:szCs w:val="24"/>
        </w:rPr>
        <w:t>体外注射剂配伍：可以对两个及以上药品配伍审查规则进行设置，还可通过通用名设置配伍审查规则，同时可以对输液类型进行设置。还应能设置提示的文本信息和问题严重程度。可设置小剂量胰岛素不参与体外配伍审查，具体剂量标准可由用户自行设置。</w:t>
      </w:r>
    </w:p>
    <w:p>
      <w:pPr>
        <w:spacing w:before="156" w:after="156" w:line="360" w:lineRule="auto"/>
        <w:ind w:left="207"/>
        <w:rPr>
          <w:rFonts w:ascii="宋体"/>
          <w:color w:val="auto"/>
          <w:sz w:val="24"/>
          <w:szCs w:val="24"/>
        </w:rPr>
      </w:pPr>
      <w:r>
        <w:rPr>
          <w:rFonts w:ascii="宋体" w:hAnsi="宋体" w:cs="宋体"/>
          <w:b/>
          <w:bCs/>
          <w:color w:val="auto"/>
          <w:sz w:val="24"/>
          <w:szCs w:val="24"/>
        </w:rPr>
        <w:t>4.9.2.1.5.3.8</w:t>
      </w:r>
      <w:r>
        <w:rPr>
          <w:rFonts w:hint="eastAsia" w:ascii="宋体" w:hAnsi="宋体" w:cs="宋体"/>
          <w:color w:val="auto"/>
          <w:sz w:val="24"/>
          <w:szCs w:val="24"/>
        </w:rPr>
        <w:t>配伍浓度：可以分科室设置配伍后的药品规定浓度，还应能设置提示的文本信息。</w:t>
      </w:r>
    </w:p>
    <w:p>
      <w:pPr>
        <w:spacing w:before="156" w:after="156" w:line="360" w:lineRule="auto"/>
        <w:ind w:left="207"/>
        <w:rPr>
          <w:rFonts w:ascii="宋体"/>
          <w:color w:val="auto"/>
          <w:sz w:val="24"/>
          <w:szCs w:val="24"/>
        </w:rPr>
      </w:pPr>
      <w:r>
        <w:rPr>
          <w:rFonts w:ascii="宋体" w:hAnsi="宋体" w:cs="宋体"/>
          <w:b/>
          <w:bCs/>
          <w:color w:val="auto"/>
          <w:sz w:val="24"/>
          <w:szCs w:val="24"/>
        </w:rPr>
        <w:t>4.9.2.1.5.3.9</w:t>
      </w:r>
      <w:r>
        <w:rPr>
          <w:rFonts w:hint="eastAsia" w:ascii="宋体" w:hAnsi="宋体" w:cs="宋体"/>
          <w:color w:val="auto"/>
          <w:sz w:val="24"/>
          <w:szCs w:val="24"/>
        </w:rPr>
        <w:t>可以对全院和科室钾离子滴速、推荐和限制浓度、每日补钾量范围进行分别设置，可以自定义设置钾离子浓度审查相关系数。</w:t>
      </w:r>
    </w:p>
    <w:p>
      <w:pPr>
        <w:spacing w:before="156" w:after="156" w:line="360" w:lineRule="auto"/>
        <w:ind w:left="207"/>
        <w:rPr>
          <w:rFonts w:ascii="宋体"/>
          <w:color w:val="auto"/>
          <w:sz w:val="24"/>
          <w:szCs w:val="24"/>
        </w:rPr>
      </w:pPr>
      <w:r>
        <w:rPr>
          <w:rFonts w:ascii="宋体" w:hAnsi="宋体" w:cs="宋体"/>
          <w:b/>
          <w:bCs/>
          <w:color w:val="auto"/>
          <w:sz w:val="24"/>
          <w:szCs w:val="24"/>
        </w:rPr>
        <w:t>4.9.2.1.5.3.10</w:t>
      </w:r>
      <w:r>
        <w:rPr>
          <w:rFonts w:hint="eastAsia" w:ascii="宋体" w:hAnsi="宋体" w:cs="宋体"/>
          <w:color w:val="auto"/>
          <w:sz w:val="24"/>
          <w:szCs w:val="24"/>
        </w:rPr>
        <w:t>可以对</w:t>
      </w:r>
      <w:r>
        <w:rPr>
          <w:rFonts w:ascii="宋体" w:hAnsi="宋体" w:cs="宋体"/>
          <w:color w:val="auto"/>
          <w:sz w:val="24"/>
          <w:szCs w:val="24"/>
        </w:rPr>
        <w:t>TPN</w:t>
      </w:r>
      <w:r>
        <w:rPr>
          <w:rFonts w:hint="eastAsia" w:ascii="宋体" w:hAnsi="宋体" w:cs="宋体"/>
          <w:color w:val="auto"/>
          <w:sz w:val="24"/>
          <w:szCs w:val="24"/>
        </w:rPr>
        <w:t>审查中的重要参数进行设置如糖脂比、热氮比、每日补液量、渗透压浓度、离子浓度、氨基酸浓度、葡萄糖浓度等，可以维护各项能量物质、电解质的系数。</w:t>
      </w:r>
    </w:p>
    <w:p>
      <w:pPr>
        <w:spacing w:before="156" w:after="156" w:line="360" w:lineRule="auto"/>
        <w:ind w:left="207"/>
        <w:rPr>
          <w:rFonts w:ascii="宋体"/>
          <w:color w:val="auto"/>
          <w:sz w:val="24"/>
          <w:szCs w:val="24"/>
        </w:rPr>
      </w:pPr>
      <w:r>
        <w:rPr>
          <w:rFonts w:ascii="宋体" w:hAnsi="宋体" w:cs="宋体"/>
          <w:b/>
          <w:bCs/>
          <w:color w:val="auto"/>
          <w:sz w:val="24"/>
          <w:szCs w:val="24"/>
        </w:rPr>
        <w:t>4.9.2.1.5.3.11</w:t>
      </w:r>
      <w:r>
        <w:rPr>
          <w:rFonts w:hint="eastAsia" w:ascii="宋体" w:hAnsi="宋体" w:cs="宋体"/>
          <w:color w:val="auto"/>
          <w:sz w:val="24"/>
          <w:szCs w:val="24"/>
        </w:rPr>
        <w:t>儿童、成人、老人用药：可以自定义设置儿童、成人、老人年龄值。可以自定义设置儿童、成人、老人禁、慎用药品审查规则，还应能设置提示的文本信息和问题严重程度。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4.9.2.1.5.3.12</w:t>
      </w:r>
      <w:r>
        <w:rPr>
          <w:rFonts w:hint="eastAsia" w:ascii="宋体" w:hAnsi="宋体" w:cs="宋体"/>
          <w:color w:val="auto"/>
          <w:sz w:val="24"/>
          <w:szCs w:val="24"/>
        </w:rPr>
        <w:t>妊娠期、哺乳期用药：可以自定义设置妊娠期、哺乳期妇女禁、慎用药品审查规则，妊娠期用药能设置妊娠周期，还应能设置提示的文本信息和问题严重程度。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4.9.2.1.5.3.13</w:t>
      </w:r>
      <w:r>
        <w:rPr>
          <w:rFonts w:hint="eastAsia" w:ascii="宋体" w:hAnsi="宋体" w:cs="宋体"/>
          <w:color w:val="auto"/>
          <w:sz w:val="24"/>
          <w:szCs w:val="24"/>
        </w:rPr>
        <w:t>性别用药：可以自定义设置不同性别禁、慎用药品审查规则，还应能设置提示的文本信息和问题严重程度。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4.9.2.1.5.3.14</w:t>
      </w:r>
      <w:r>
        <w:rPr>
          <w:rFonts w:hint="eastAsia" w:ascii="宋体" w:hAnsi="宋体" w:cs="宋体"/>
          <w:color w:val="auto"/>
          <w:sz w:val="24"/>
          <w:szCs w:val="24"/>
        </w:rPr>
        <w:t>禁忌症：可以自定义设置不同疾病禁用、慎用药品审查规则，还应能设置提示的文本信息和问题严重程度。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4.9.2.1.5.3.15</w:t>
      </w:r>
      <w:r>
        <w:rPr>
          <w:rFonts w:hint="eastAsia" w:ascii="宋体" w:hAnsi="宋体" w:cs="宋体"/>
          <w:color w:val="auto"/>
          <w:sz w:val="24"/>
          <w:szCs w:val="24"/>
        </w:rPr>
        <w:t>不良反应：可以自定义设置不同疾病慎用药品的审查规则。还应能设置提示的文本信息和问题严重程度。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4.9.2.1.5.3.16</w:t>
      </w:r>
      <w:r>
        <w:rPr>
          <w:rFonts w:hint="eastAsia" w:ascii="宋体" w:hAnsi="宋体" w:cs="宋体"/>
          <w:color w:val="auto"/>
          <w:sz w:val="24"/>
          <w:szCs w:val="24"/>
        </w:rPr>
        <w:t>可以对门诊输液限制科室和疾病进行设置。</w:t>
      </w:r>
    </w:p>
    <w:p>
      <w:pPr>
        <w:spacing w:before="156" w:after="156" w:line="360" w:lineRule="auto"/>
        <w:ind w:left="207"/>
        <w:rPr>
          <w:rFonts w:ascii="宋体"/>
          <w:color w:val="auto"/>
          <w:sz w:val="24"/>
          <w:szCs w:val="24"/>
        </w:rPr>
      </w:pPr>
      <w:r>
        <w:rPr>
          <w:rFonts w:ascii="宋体" w:hAnsi="宋体" w:cs="宋体"/>
          <w:b/>
          <w:bCs/>
          <w:color w:val="auto"/>
          <w:sz w:val="24"/>
          <w:szCs w:val="24"/>
        </w:rPr>
        <w:t>4.9.2.1.5.3.17</w:t>
      </w:r>
      <w:r>
        <w:rPr>
          <w:rFonts w:hint="eastAsia" w:ascii="宋体" w:hAnsi="宋体" w:cs="宋体"/>
          <w:color w:val="auto"/>
          <w:sz w:val="24"/>
          <w:szCs w:val="24"/>
        </w:rPr>
        <w:t>可以对药物和检验值的不可用关系进行设置。</w:t>
      </w:r>
    </w:p>
    <w:p>
      <w:pPr>
        <w:spacing w:before="156" w:after="156" w:line="360" w:lineRule="auto"/>
        <w:ind w:left="207"/>
        <w:rPr>
          <w:rFonts w:ascii="宋体"/>
          <w:color w:val="auto"/>
          <w:sz w:val="24"/>
          <w:szCs w:val="24"/>
        </w:rPr>
      </w:pPr>
      <w:r>
        <w:rPr>
          <w:rFonts w:ascii="宋体" w:hAnsi="宋体" w:cs="宋体"/>
          <w:b/>
          <w:bCs/>
          <w:color w:val="auto"/>
          <w:sz w:val="24"/>
          <w:szCs w:val="24"/>
        </w:rPr>
        <w:t>4.9.2.1.5.3.18</w:t>
      </w:r>
      <w:r>
        <w:rPr>
          <w:rFonts w:hint="eastAsia" w:ascii="宋体" w:hAnsi="宋体" w:cs="宋体"/>
          <w:color w:val="auto"/>
          <w:sz w:val="24"/>
          <w:szCs w:val="24"/>
        </w:rPr>
        <w:t>重复用药：可以根据系统提供的治疗分类设置每一类药物在同一处方（医嘱）中可以同时使用的药品数量，同时也可以自行增加治疗分类并维护分类下药品清单。</w:t>
      </w:r>
    </w:p>
    <w:p>
      <w:pPr>
        <w:spacing w:before="156" w:after="156" w:line="360" w:lineRule="auto"/>
        <w:ind w:left="207"/>
        <w:rPr>
          <w:rFonts w:ascii="宋体"/>
          <w:color w:val="auto"/>
          <w:sz w:val="24"/>
          <w:szCs w:val="24"/>
        </w:rPr>
      </w:pPr>
      <w:r>
        <w:rPr>
          <w:rFonts w:ascii="宋体" w:hAnsi="宋体" w:cs="宋体"/>
          <w:b/>
          <w:bCs/>
          <w:color w:val="auto"/>
          <w:sz w:val="24"/>
          <w:szCs w:val="24"/>
        </w:rPr>
        <w:t>4.9.2.1.5.3.19</w:t>
      </w:r>
      <w:r>
        <w:rPr>
          <w:rFonts w:hint="eastAsia" w:ascii="宋体" w:hAnsi="宋体" w:cs="宋体"/>
          <w:color w:val="auto"/>
          <w:sz w:val="24"/>
          <w:szCs w:val="24"/>
        </w:rPr>
        <w:t>规范性审查：可以设置具体的规范性审查要求是否启用、是否对医生拦截等。</w:t>
      </w:r>
    </w:p>
    <w:p>
      <w:pPr>
        <w:spacing w:before="156" w:after="156" w:line="360" w:lineRule="auto"/>
        <w:ind w:left="207"/>
        <w:rPr>
          <w:rFonts w:ascii="宋体"/>
          <w:color w:val="auto"/>
          <w:sz w:val="24"/>
          <w:szCs w:val="24"/>
        </w:rPr>
      </w:pPr>
      <w:r>
        <w:rPr>
          <w:rFonts w:ascii="宋体" w:hAnsi="宋体" w:cs="宋体"/>
          <w:b/>
          <w:bCs/>
          <w:color w:val="auto"/>
          <w:sz w:val="24"/>
          <w:szCs w:val="24"/>
        </w:rPr>
        <w:t>4.9.2.1.5.3.20</w:t>
      </w:r>
      <w:r>
        <w:rPr>
          <w:rFonts w:hint="eastAsia" w:ascii="宋体" w:hAnsi="宋体" w:cs="宋体"/>
          <w:color w:val="auto"/>
          <w:sz w:val="24"/>
          <w:szCs w:val="24"/>
        </w:rPr>
        <w:t>医保审查：可设置国家医保、省医保的报销限定要求是否启用、是否对医生拦截等。</w:t>
      </w:r>
    </w:p>
    <w:p>
      <w:pPr>
        <w:spacing w:before="156" w:after="156" w:line="360" w:lineRule="auto"/>
        <w:ind w:left="142"/>
        <w:rPr>
          <w:rFonts w:ascii="宋体"/>
          <w:color w:val="auto"/>
          <w:sz w:val="24"/>
          <w:szCs w:val="24"/>
        </w:rPr>
      </w:pPr>
      <w:r>
        <w:rPr>
          <w:rFonts w:ascii="宋体" w:hAnsi="宋体" w:cs="宋体"/>
          <w:b/>
          <w:bCs/>
          <w:color w:val="auto"/>
          <w:sz w:val="24"/>
          <w:szCs w:val="24"/>
        </w:rPr>
        <w:t>4.9.2.1.5.3.21</w:t>
      </w:r>
      <w:r>
        <w:rPr>
          <w:rFonts w:hint="eastAsia" w:ascii="宋体" w:hAnsi="宋体" w:cs="宋体"/>
          <w:color w:val="auto"/>
          <w:sz w:val="24"/>
          <w:szCs w:val="24"/>
        </w:rPr>
        <w:t>监测指标：可设置住院病人使用某药品时需监测的指标，还应能设置提示的文本信息和问题严重程度。</w:t>
      </w:r>
    </w:p>
    <w:p>
      <w:pPr>
        <w:spacing w:before="156" w:after="156" w:line="360" w:lineRule="auto"/>
        <w:ind w:left="207"/>
        <w:rPr>
          <w:rFonts w:ascii="宋体"/>
          <w:color w:val="auto"/>
          <w:sz w:val="24"/>
          <w:szCs w:val="24"/>
        </w:rPr>
      </w:pPr>
      <w:r>
        <w:rPr>
          <w:rFonts w:ascii="宋体" w:hAnsi="宋体" w:cs="宋体"/>
          <w:b/>
          <w:bCs/>
          <w:color w:val="auto"/>
          <w:sz w:val="24"/>
          <w:szCs w:val="24"/>
        </w:rPr>
        <w:t>4.9.2.1.5.3.22</w:t>
      </w:r>
      <w:r>
        <w:rPr>
          <w:rFonts w:hint="eastAsia" w:ascii="宋体" w:hAnsi="宋体" w:cs="宋体"/>
          <w:color w:val="auto"/>
          <w:sz w:val="24"/>
          <w:szCs w:val="24"/>
        </w:rPr>
        <w:t>系统可以提供多种自定义方式：</w:t>
      </w:r>
      <w:r>
        <w:rPr>
          <w:rFonts w:ascii="宋体" w:hAnsi="宋体" w:cs="宋体"/>
          <w:color w:val="auto"/>
          <w:sz w:val="24"/>
          <w:szCs w:val="24"/>
        </w:rPr>
        <w:t>1</w:t>
      </w:r>
      <w:r>
        <w:rPr>
          <w:rFonts w:hint="eastAsia" w:ascii="宋体" w:hAnsi="宋体" w:cs="宋体"/>
          <w:color w:val="auto"/>
          <w:sz w:val="24"/>
          <w:szCs w:val="24"/>
        </w:rPr>
        <w:t>）基于系统审查数据自定义方式，节省药师工作量；</w:t>
      </w:r>
      <w:r>
        <w:rPr>
          <w:rFonts w:ascii="宋体" w:hAnsi="宋体" w:cs="宋体"/>
          <w:color w:val="auto"/>
          <w:sz w:val="24"/>
          <w:szCs w:val="24"/>
        </w:rPr>
        <w:t>2</w:t>
      </w:r>
      <w:r>
        <w:rPr>
          <w:rFonts w:hint="eastAsia" w:ascii="宋体" w:hAnsi="宋体" w:cs="宋体"/>
          <w:color w:val="auto"/>
          <w:sz w:val="24"/>
          <w:szCs w:val="24"/>
        </w:rPr>
        <w:t>）可完全由用户新建审查规则包括审查要素和审查逻辑。</w:t>
      </w:r>
    </w:p>
    <w:p>
      <w:pPr>
        <w:spacing w:before="156" w:after="156" w:line="360" w:lineRule="auto"/>
        <w:ind w:left="207"/>
        <w:rPr>
          <w:rFonts w:ascii="宋体"/>
          <w:color w:val="auto"/>
          <w:sz w:val="24"/>
          <w:szCs w:val="24"/>
        </w:rPr>
      </w:pPr>
      <w:r>
        <w:rPr>
          <w:rFonts w:ascii="宋体" w:hAnsi="宋体" w:cs="宋体"/>
          <w:b/>
          <w:bCs/>
          <w:color w:val="auto"/>
          <w:sz w:val="24"/>
          <w:szCs w:val="24"/>
        </w:rPr>
        <w:t>4.9.2.1.5.3.23</w:t>
      </w:r>
      <w:r>
        <w:rPr>
          <w:rFonts w:hint="eastAsia" w:ascii="宋体" w:hAnsi="宋体" w:cs="宋体"/>
          <w:color w:val="auto"/>
          <w:sz w:val="24"/>
          <w:szCs w:val="24"/>
        </w:rPr>
        <w:t>可以统计药师审查屏蔽及审查规则自定义工作量。</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4.9.2.1.5.3.24</w:t>
      </w:r>
      <w:r>
        <w:rPr>
          <w:rFonts w:hint="eastAsia" w:ascii="宋体" w:hAnsi="宋体" w:cs="宋体"/>
          <w:color w:val="auto"/>
          <w:sz w:val="24"/>
          <w:szCs w:val="24"/>
        </w:rPr>
        <w:t>规则复制功能：系统支持将其他药品已有的自定义规则分模块复制到被选择的药品上。</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4.9.2.1.5.3.25</w:t>
      </w:r>
      <w:r>
        <w:rPr>
          <w:rFonts w:hint="eastAsia" w:ascii="宋体" w:hAnsi="宋体" w:cs="宋体"/>
          <w:color w:val="auto"/>
          <w:sz w:val="24"/>
          <w:szCs w:val="24"/>
        </w:rPr>
        <w:t>豁免对象：可根据药品、医生、科室的单一或组合条件设置特定对象不参与某些模块审查，并可按照模块查看对各种豁免情况的统计。</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4.9.2.1.5.3.26</w:t>
      </w:r>
      <w:r>
        <w:rPr>
          <w:rFonts w:hint="eastAsia" w:ascii="宋体" w:hAnsi="宋体" w:cs="宋体"/>
          <w:color w:val="auto"/>
          <w:sz w:val="24"/>
          <w:szCs w:val="24"/>
        </w:rPr>
        <w:t>自定义规则查询：可查询药品、科室以及各模块的自定义规则。</w:t>
      </w:r>
    </w:p>
    <w:p>
      <w:pPr>
        <w:spacing w:before="156" w:after="156" w:line="360" w:lineRule="auto"/>
        <w:ind w:firstLine="241" w:firstLineChars="100"/>
        <w:rPr>
          <w:rFonts w:ascii="宋体"/>
          <w:b/>
          <w:bCs/>
          <w:color w:val="auto"/>
          <w:sz w:val="24"/>
          <w:szCs w:val="24"/>
        </w:rPr>
      </w:pPr>
      <w:r>
        <w:rPr>
          <w:rFonts w:ascii="宋体" w:hAnsi="宋体" w:cs="宋体"/>
          <w:b/>
          <w:bCs/>
          <w:color w:val="auto"/>
          <w:sz w:val="24"/>
          <w:szCs w:val="24"/>
        </w:rPr>
        <w:t>4.9.2.1.6</w:t>
      </w:r>
      <w:r>
        <w:rPr>
          <w:rFonts w:hint="eastAsia" w:ascii="宋体" w:hAnsi="宋体" w:cs="宋体"/>
          <w:b/>
          <w:bCs/>
          <w:color w:val="auto"/>
          <w:sz w:val="24"/>
          <w:szCs w:val="24"/>
        </w:rPr>
        <w:t>统计分析功能</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4.9.2.1.6.1</w:t>
      </w:r>
      <w:r>
        <w:rPr>
          <w:rFonts w:hint="eastAsia" w:ascii="宋体" w:hAnsi="宋体" w:cs="宋体"/>
          <w:color w:val="auto"/>
          <w:sz w:val="24"/>
          <w:szCs w:val="24"/>
        </w:rPr>
        <w:t>处方（医嘱）问题保存：审查并警示提醒过医生的潜在用药问题应能及时保存在系统服务器中。</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4.9.2.1.6.2</w:t>
      </w:r>
      <w:r>
        <w:rPr>
          <w:rFonts w:hint="eastAsia" w:ascii="宋体" w:hAnsi="宋体" w:cs="宋体"/>
          <w:color w:val="auto"/>
          <w:sz w:val="24"/>
          <w:szCs w:val="24"/>
        </w:rPr>
        <w:t>问题处方（医嘱）查询：可以查看原始处方（医嘱）、用药理由并能再次进行审查和查看审查结果详细信息。</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4.9.2.1.6.3</w:t>
      </w:r>
      <w:r>
        <w:rPr>
          <w:rFonts w:hint="eastAsia" w:ascii="宋体" w:hAnsi="宋体" w:cs="宋体"/>
          <w:color w:val="auto"/>
          <w:sz w:val="24"/>
          <w:szCs w:val="24"/>
        </w:rPr>
        <w:t>问题处方（医嘱）统计分析：可以按照科室、医生、药品对不同问题严重程度、不同问题类型的问题处方（医嘱）及审查结果进行统计，并能生成统计图，并提供导出为</w:t>
      </w:r>
      <w:r>
        <w:rPr>
          <w:rFonts w:ascii="宋体" w:hAnsi="宋体" w:cs="宋体"/>
          <w:color w:val="auto"/>
          <w:sz w:val="24"/>
          <w:szCs w:val="24"/>
        </w:rPr>
        <w:t>excel</w:t>
      </w:r>
      <w:r>
        <w:rPr>
          <w:rFonts w:hint="eastAsia" w:ascii="宋体" w:hAnsi="宋体" w:cs="宋体"/>
          <w:color w:val="auto"/>
          <w:sz w:val="24"/>
          <w:szCs w:val="24"/>
        </w:rPr>
        <w:t>表，为医院分析总结提供依据。</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4.9.2.1.6.4</w:t>
      </w:r>
      <w:r>
        <w:rPr>
          <w:rFonts w:hint="eastAsia" w:ascii="宋体" w:hAnsi="宋体" w:cs="宋体"/>
          <w:color w:val="auto"/>
          <w:sz w:val="24"/>
          <w:szCs w:val="24"/>
        </w:rPr>
        <w:t>不合理问题评估：系统提供不合理问题评估功能，便于药师在做回顾性分析时对已评估的问题做记录。</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4.9.2.1.6.5</w:t>
      </w:r>
      <w:r>
        <w:rPr>
          <w:rFonts w:hint="eastAsia" w:ascii="宋体" w:hAnsi="宋体" w:cs="宋体"/>
          <w:color w:val="auto"/>
          <w:sz w:val="24"/>
          <w:szCs w:val="24"/>
        </w:rPr>
        <w:t>用药理由统计：可记录医生在警示框中填写的用药理由，并可将结果以</w:t>
      </w:r>
      <w:r>
        <w:rPr>
          <w:rFonts w:ascii="宋体" w:hAnsi="宋体" w:cs="宋体"/>
          <w:color w:val="auto"/>
          <w:sz w:val="24"/>
          <w:szCs w:val="24"/>
        </w:rPr>
        <w:t>Excel</w:t>
      </w:r>
      <w:r>
        <w:rPr>
          <w:rFonts w:hint="eastAsia" w:ascii="宋体" w:hAnsi="宋体" w:cs="宋体"/>
          <w:color w:val="auto"/>
          <w:sz w:val="24"/>
          <w:szCs w:val="24"/>
        </w:rPr>
        <w:t>导出。</w:t>
      </w:r>
    </w:p>
    <w:p>
      <w:pPr>
        <w:spacing w:before="156" w:after="156" w:line="360" w:lineRule="auto"/>
        <w:ind w:firstLine="241" w:firstLineChars="100"/>
        <w:rPr>
          <w:rFonts w:ascii="宋体"/>
          <w:b/>
          <w:bCs/>
          <w:color w:val="auto"/>
          <w:sz w:val="24"/>
          <w:szCs w:val="24"/>
        </w:rPr>
      </w:pPr>
      <w:r>
        <w:rPr>
          <w:rFonts w:ascii="宋体" w:hAnsi="宋体" w:cs="宋体"/>
          <w:b/>
          <w:bCs/>
          <w:color w:val="auto"/>
          <w:sz w:val="24"/>
          <w:szCs w:val="24"/>
        </w:rPr>
        <w:t>4.9.2.1.7</w:t>
      </w:r>
      <w:r>
        <w:rPr>
          <w:rFonts w:hint="eastAsia" w:ascii="宋体" w:hAnsi="宋体" w:cs="宋体"/>
          <w:b/>
          <w:bCs/>
          <w:color w:val="auto"/>
          <w:sz w:val="24"/>
          <w:szCs w:val="24"/>
        </w:rPr>
        <w:t>通讯功能</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4.9.2.1.7.1</w:t>
      </w:r>
      <w:r>
        <w:rPr>
          <w:rFonts w:ascii="宋体" w:hAnsi="宋体" w:cs="宋体"/>
          <w:color w:val="auto"/>
          <w:sz w:val="24"/>
          <w:szCs w:val="24"/>
        </w:rPr>
        <w:t>t</w:t>
      </w:r>
      <w:r>
        <w:rPr>
          <w:rFonts w:hint="eastAsia" w:ascii="宋体" w:hAnsi="宋体" w:cs="宋体"/>
          <w:color w:val="auto"/>
          <w:sz w:val="24"/>
          <w:szCs w:val="24"/>
        </w:rPr>
        <w:t>统”应提供药师和医生的在线沟通平台，便于医生在开嘱过程中与药师交流，药师在进行审查结果分析时及时与医生沟通。该平台应能嵌入医生工作站运行，登录医生工作站时可自动登录该在线沟通平台。</w:t>
      </w:r>
    </w:p>
    <w:p>
      <w:pPr>
        <w:spacing w:before="156" w:after="156" w:line="360" w:lineRule="auto"/>
        <w:ind w:firstLine="241" w:firstLineChars="100"/>
        <w:rPr>
          <w:rFonts w:ascii="宋体"/>
          <w:color w:val="auto"/>
          <w:sz w:val="24"/>
          <w:szCs w:val="24"/>
        </w:rPr>
      </w:pPr>
      <w:r>
        <w:rPr>
          <w:rFonts w:ascii="宋体" w:hAnsi="宋体" w:cs="宋体"/>
          <w:b/>
          <w:bCs/>
          <w:color w:val="auto"/>
          <w:sz w:val="24"/>
          <w:szCs w:val="24"/>
        </w:rPr>
        <w:t>4.9.2.1.7.2</w:t>
      </w:r>
      <w:r>
        <w:rPr>
          <w:rFonts w:hint="eastAsia" w:ascii="宋体" w:hAnsi="宋体" w:cs="宋体"/>
          <w:color w:val="auto"/>
          <w:sz w:val="24"/>
          <w:szCs w:val="24"/>
        </w:rPr>
        <w:t>该在线沟通平台提供截图、发送图片、文件传输功能。</w:t>
      </w:r>
    </w:p>
    <w:p>
      <w:pPr>
        <w:pStyle w:val="6"/>
        <w:rPr>
          <w:rFonts w:ascii="宋体" w:hAnsi="宋体" w:eastAsia="宋体" w:cs="Times New Roman"/>
          <w:color w:val="auto"/>
        </w:rPr>
      </w:pPr>
      <w:r>
        <w:rPr>
          <w:rFonts w:ascii="宋体" w:hAnsi="宋体" w:eastAsia="宋体" w:cs="宋体"/>
          <w:color w:val="auto"/>
        </w:rPr>
        <w:t>4.9.3</w:t>
      </w:r>
      <w:r>
        <w:rPr>
          <w:rFonts w:hint="eastAsia" w:ascii="宋体" w:hAnsi="宋体" w:eastAsia="宋体" w:cs="宋体"/>
          <w:color w:val="auto"/>
        </w:rPr>
        <w:t>、处方点评管理系统</w:t>
      </w:r>
    </w:p>
    <w:tbl>
      <w:tblPr>
        <w:tblStyle w:val="21"/>
        <w:tblW w:w="9452" w:type="dxa"/>
        <w:jc w:val="center"/>
        <w:tblLayout w:type="autofit"/>
        <w:tblCellMar>
          <w:top w:w="0" w:type="dxa"/>
          <w:left w:w="10" w:type="dxa"/>
          <w:bottom w:w="0" w:type="dxa"/>
          <w:right w:w="10" w:type="dxa"/>
        </w:tblCellMar>
      </w:tblPr>
      <w:tblGrid>
        <w:gridCol w:w="783"/>
        <w:gridCol w:w="2074"/>
        <w:gridCol w:w="6595"/>
      </w:tblGrid>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207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659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门诊处方点评</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提供“简单随即抽样、等距抽样、分层抽样、分群抽样、配额抽样和自定义抽样”等多种抽样方法，支持根据医院设定的抽样方法抽取一定数量的门诊处方，对门诊处方进行点评。</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2</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专项处方点评</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支持对特定药物或特定疾病的药物处方进行点评（如：抗菌药物、输液药物、国家基本药物、中药注射剂）。</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3</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住院医嘱点评</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支持对住院医嘱进行综合点评，结合电子病历和病人的实际情况对本次诊疗过程中药物治疗情况进行综合点评。</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4</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处方点评表</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支持根据门诊处方点评结果，生成国家卫健委要求的处方点评工作表。</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5</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专项点评表</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支持根据专项处方点评结果，生成专项处方点评表。</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6</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处方点评统计表</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支持根据科室或医师，统计分析一定时期内处方点评结果。</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7</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处方问题统计表</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支持对点评为不合理处方的处方问题进行统计，分析哪些不合理问题所占比例较高，为后期改进的提供支持。</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8</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处方医师考核表</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支持统计考核周期内点评结果为不合理处方的次数超过设定标准的医师。</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9</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出院病人医嘱点评统计</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支持统计已出院病人的药物医嘱的点评结果。</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10</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大处方统计</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支持查询和统计单张处方金额超过设定值的处方。</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11</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系统选项</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设置处方点评系统的所需要的各参数。</w:t>
            </w:r>
          </w:p>
        </w:tc>
      </w:tr>
      <w:tr>
        <w:tblPrEx>
          <w:tblCellMar>
            <w:top w:w="0" w:type="dxa"/>
            <w:left w:w="10" w:type="dxa"/>
            <w:bottom w:w="0" w:type="dxa"/>
            <w:right w:w="10" w:type="dxa"/>
          </w:tblCellMar>
        </w:tblPrEx>
        <w:trPr>
          <w:trHeight w:val="1"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ascii="宋体" w:hAnsi="宋体" w:cs="宋体"/>
                <w:color w:val="auto"/>
                <w:sz w:val="24"/>
                <w:szCs w:val="24"/>
              </w:rPr>
              <w:t>12</w:t>
            </w:r>
          </w:p>
        </w:tc>
        <w:tc>
          <w:tcPr>
            <w:tcW w:w="2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360"/>
              </w:tabs>
              <w:spacing w:before="156" w:after="156" w:line="360" w:lineRule="auto"/>
              <w:rPr>
                <w:rFonts w:ascii="宋体"/>
                <w:color w:val="auto"/>
              </w:rPr>
            </w:pPr>
            <w:r>
              <w:rPr>
                <w:rFonts w:hint="eastAsia" w:ascii="宋体" w:hAnsi="宋体" w:cs="宋体"/>
                <w:color w:val="auto"/>
                <w:sz w:val="24"/>
                <w:szCs w:val="24"/>
              </w:rPr>
              <w:t>问题代码维护</w:t>
            </w:r>
          </w:p>
        </w:tc>
        <w:tc>
          <w:tcPr>
            <w:tcW w:w="65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维护处方点评结果中不合理处方存在问题列表。同时允许设置专项点评问题。</w:t>
            </w:r>
          </w:p>
        </w:tc>
      </w:tr>
    </w:tbl>
    <w:p>
      <w:pPr>
        <w:pStyle w:val="6"/>
        <w:rPr>
          <w:rFonts w:ascii="宋体" w:hAnsi="宋体" w:eastAsia="宋体" w:cs="Times New Roman"/>
          <w:color w:val="auto"/>
        </w:rPr>
      </w:pPr>
      <w:r>
        <w:rPr>
          <w:rFonts w:ascii="宋体" w:hAnsi="宋体" w:eastAsia="宋体" w:cs="宋体"/>
          <w:color w:val="auto"/>
        </w:rPr>
        <w:t>4.9.4</w:t>
      </w:r>
      <w:r>
        <w:rPr>
          <w:rFonts w:hint="eastAsia" w:ascii="宋体" w:hAnsi="宋体" w:eastAsia="宋体" w:cs="宋体"/>
          <w:color w:val="auto"/>
        </w:rPr>
        <w:t>、前置审方管理系统</w:t>
      </w:r>
    </w:p>
    <w:tbl>
      <w:tblPr>
        <w:tblStyle w:val="21"/>
        <w:tblW w:w="9916" w:type="dxa"/>
        <w:tblInd w:w="-454" w:type="dxa"/>
        <w:tblLayout w:type="autofit"/>
        <w:tblCellMar>
          <w:top w:w="0" w:type="dxa"/>
          <w:left w:w="10" w:type="dxa"/>
          <w:bottom w:w="0" w:type="dxa"/>
          <w:right w:w="10" w:type="dxa"/>
        </w:tblCellMar>
      </w:tblPr>
      <w:tblGrid>
        <w:gridCol w:w="883"/>
        <w:gridCol w:w="1484"/>
        <w:gridCol w:w="7549"/>
      </w:tblGrid>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48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549"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审方视频网络总览</w:t>
            </w:r>
          </w:p>
        </w:tc>
        <w:tc>
          <w:tcPr>
            <w:tcW w:w="75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提供按年、季度、月、周、天多种方式统计多项实时指标：系统预审合理率、系统预审不合理率、干预率、干预成功率、药师审方率、自动审核率、科室合理率、药师审方合理率和药师工作量。</w:t>
            </w:r>
          </w:p>
        </w:tc>
      </w:tr>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自动审方</w:t>
            </w:r>
          </w:p>
        </w:tc>
        <w:tc>
          <w:tcPr>
            <w:tcW w:w="75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、提供依托知识库规则对门诊</w:t>
            </w:r>
            <w:r>
              <w:rPr>
                <w:rFonts w:ascii="宋体" w:hAnsi="宋体" w:cs="宋体"/>
                <w:color w:val="auto"/>
                <w:sz w:val="24"/>
                <w:szCs w:val="24"/>
              </w:rPr>
              <w:t>/</w:t>
            </w:r>
            <w:r>
              <w:rPr>
                <w:rFonts w:hint="eastAsia" w:ascii="宋体" w:hAnsi="宋体" w:cs="宋体"/>
                <w:color w:val="auto"/>
                <w:sz w:val="24"/>
                <w:szCs w:val="24"/>
              </w:rPr>
              <w:t>住院医生站开出的处方</w:t>
            </w:r>
            <w:r>
              <w:rPr>
                <w:rFonts w:ascii="宋体" w:hAnsi="宋体" w:cs="宋体"/>
                <w:color w:val="auto"/>
                <w:sz w:val="24"/>
                <w:szCs w:val="24"/>
              </w:rPr>
              <w:t>/</w:t>
            </w:r>
            <w:r>
              <w:rPr>
                <w:rFonts w:hint="eastAsia" w:ascii="宋体" w:hAnsi="宋体" w:cs="宋体"/>
                <w:color w:val="auto"/>
                <w:sz w:val="24"/>
                <w:szCs w:val="24"/>
              </w:rPr>
              <w:t>医嘱进行自动审方。</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、提供自定义参数，自动审方未过的处方</w:t>
            </w:r>
            <w:r>
              <w:rPr>
                <w:rFonts w:ascii="宋体" w:hAnsi="宋体" w:cs="宋体"/>
                <w:color w:val="auto"/>
                <w:sz w:val="24"/>
                <w:szCs w:val="24"/>
              </w:rPr>
              <w:t>/</w:t>
            </w:r>
            <w:r>
              <w:rPr>
                <w:rFonts w:hint="eastAsia" w:ascii="宋体" w:hAnsi="宋体" w:cs="宋体"/>
                <w:color w:val="auto"/>
                <w:sz w:val="24"/>
                <w:szCs w:val="24"/>
              </w:rPr>
              <w:t>医嘱超过设置警示级别参数自动退回医生端。</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、其他未超过设定级别的审方未过处方</w:t>
            </w:r>
            <w:r>
              <w:rPr>
                <w:rFonts w:ascii="宋体" w:hAnsi="宋体" w:cs="宋体"/>
                <w:color w:val="auto"/>
                <w:sz w:val="24"/>
                <w:szCs w:val="24"/>
              </w:rPr>
              <w:t>/</w:t>
            </w:r>
            <w:r>
              <w:rPr>
                <w:rFonts w:hint="eastAsia" w:ascii="宋体" w:hAnsi="宋体" w:cs="宋体"/>
                <w:color w:val="auto"/>
                <w:sz w:val="24"/>
                <w:szCs w:val="24"/>
              </w:rPr>
              <w:t>医嘱可转入人工审方。</w:t>
            </w:r>
          </w:p>
        </w:tc>
      </w:tr>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3</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人工审方</w:t>
            </w:r>
          </w:p>
        </w:tc>
        <w:tc>
          <w:tcPr>
            <w:tcW w:w="75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、人工审方界面提供展示病人信息、诊断、过敏药物等基本情况。</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、病人本次就诊的检验检查异常指标项应能醒目显示。</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、支持展现病人检验检查、生命体征、病历记录、手术记录等详细信息。</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、提供展示待审处方</w:t>
            </w:r>
            <w:r>
              <w:rPr>
                <w:rFonts w:ascii="宋体" w:hAnsi="宋体" w:cs="宋体"/>
                <w:color w:val="auto"/>
                <w:sz w:val="24"/>
                <w:szCs w:val="24"/>
              </w:rPr>
              <w:t>/</w:t>
            </w:r>
            <w:r>
              <w:rPr>
                <w:rFonts w:hint="eastAsia" w:ascii="宋体" w:hAnsi="宋体" w:cs="宋体"/>
                <w:color w:val="auto"/>
                <w:sz w:val="24"/>
                <w:szCs w:val="24"/>
              </w:rPr>
              <w:t>医嘱详细信息，以及违反知识库规则的警示信息。</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、提供展示待审处方队列，并支持从队列选择处方到审方界面优先审核。</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、提供特殊药品、特定科室、特定医生维护入审方策略，无论自动审核是否通过，都需进行人工审核。</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、提供人工审方超时设置，超过设置时间，处方</w:t>
            </w:r>
            <w:r>
              <w:rPr>
                <w:rFonts w:ascii="宋体" w:hAnsi="宋体" w:cs="宋体"/>
                <w:color w:val="auto"/>
                <w:sz w:val="24"/>
                <w:szCs w:val="24"/>
              </w:rPr>
              <w:t>/</w:t>
            </w:r>
            <w:r>
              <w:rPr>
                <w:rFonts w:hint="eastAsia" w:ascii="宋体" w:hAnsi="宋体" w:cs="宋体"/>
                <w:color w:val="auto"/>
                <w:sz w:val="24"/>
                <w:szCs w:val="24"/>
              </w:rPr>
              <w:t>医嘱单默认直接通过。</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、提供按时间、按星期设置无人值守时间段，设置后在时间段内所有处方、医嘱将被自动默认审核通过。</w:t>
            </w:r>
          </w:p>
          <w:p>
            <w:pPr>
              <w:spacing w:before="156" w:after="156"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、支持将超时审方通过记录自动转入处方</w:t>
            </w:r>
            <w:r>
              <w:rPr>
                <w:rFonts w:ascii="宋体" w:hAnsi="宋体" w:cs="宋体"/>
                <w:color w:val="auto"/>
                <w:sz w:val="24"/>
                <w:szCs w:val="24"/>
              </w:rPr>
              <w:t>/</w:t>
            </w:r>
            <w:r>
              <w:rPr>
                <w:rFonts w:hint="eastAsia" w:ascii="宋体" w:hAnsi="宋体" w:cs="宋体"/>
                <w:color w:val="auto"/>
                <w:sz w:val="24"/>
                <w:szCs w:val="24"/>
              </w:rPr>
              <w:t>医嘱点评。</w:t>
            </w:r>
          </w:p>
        </w:tc>
      </w:tr>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4</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审方交互</w:t>
            </w:r>
          </w:p>
        </w:tc>
        <w:tc>
          <w:tcPr>
            <w:tcW w:w="75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、提供人工审方结果操作功能界面：包括通过</w:t>
            </w:r>
            <w:r>
              <w:rPr>
                <w:rFonts w:ascii="宋体" w:hAnsi="宋体" w:cs="宋体"/>
                <w:color w:val="auto"/>
                <w:sz w:val="24"/>
                <w:szCs w:val="24"/>
              </w:rPr>
              <w:t>/</w:t>
            </w:r>
            <w:r>
              <w:rPr>
                <w:rFonts w:hint="eastAsia" w:ascii="宋体" w:hAnsi="宋体" w:cs="宋体"/>
                <w:color w:val="auto"/>
                <w:sz w:val="24"/>
                <w:szCs w:val="24"/>
              </w:rPr>
              <w:t>退回，退回时支持退回理由的录入。</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、应能展现处方</w:t>
            </w:r>
            <w:r>
              <w:rPr>
                <w:rFonts w:ascii="宋体" w:hAnsi="宋体" w:cs="宋体"/>
                <w:color w:val="auto"/>
                <w:sz w:val="24"/>
                <w:szCs w:val="24"/>
              </w:rPr>
              <w:t>/</w:t>
            </w:r>
            <w:r>
              <w:rPr>
                <w:rFonts w:hint="eastAsia" w:ascii="宋体" w:hAnsi="宋体" w:cs="宋体"/>
                <w:color w:val="auto"/>
                <w:sz w:val="24"/>
                <w:szCs w:val="24"/>
              </w:rPr>
              <w:t>医嘱审方闭环流程。</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、被退回的处方</w:t>
            </w:r>
            <w:r>
              <w:rPr>
                <w:rFonts w:ascii="宋体" w:hAnsi="宋体" w:cs="宋体"/>
                <w:color w:val="auto"/>
                <w:sz w:val="24"/>
                <w:szCs w:val="24"/>
              </w:rPr>
              <w:t>/</w:t>
            </w:r>
            <w:r>
              <w:rPr>
                <w:rFonts w:hint="eastAsia" w:ascii="宋体" w:hAnsi="宋体" w:cs="宋体"/>
                <w:color w:val="auto"/>
                <w:sz w:val="24"/>
                <w:szCs w:val="24"/>
              </w:rPr>
              <w:t>医嘱单的消息应能在医生站醒目显示。</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、提供退回处方</w:t>
            </w:r>
            <w:r>
              <w:rPr>
                <w:rFonts w:ascii="宋体" w:hAnsi="宋体" w:cs="宋体"/>
                <w:color w:val="auto"/>
                <w:sz w:val="24"/>
                <w:szCs w:val="24"/>
              </w:rPr>
              <w:t>/</w:t>
            </w:r>
            <w:r>
              <w:rPr>
                <w:rFonts w:hint="eastAsia" w:ascii="宋体" w:hAnsi="宋体" w:cs="宋体"/>
                <w:color w:val="auto"/>
                <w:sz w:val="24"/>
                <w:szCs w:val="24"/>
              </w:rPr>
              <w:t>医嘱操作功能界面：包括修改后重新提交</w:t>
            </w:r>
            <w:r>
              <w:rPr>
                <w:rFonts w:ascii="宋体" w:hAnsi="宋体" w:cs="宋体"/>
                <w:color w:val="auto"/>
                <w:sz w:val="24"/>
                <w:szCs w:val="24"/>
              </w:rPr>
              <w:t>/</w:t>
            </w:r>
            <w:r>
              <w:rPr>
                <w:rFonts w:hint="eastAsia" w:ascii="宋体" w:hAnsi="宋体" w:cs="宋体"/>
                <w:color w:val="auto"/>
                <w:sz w:val="24"/>
                <w:szCs w:val="24"/>
              </w:rPr>
              <w:t>强制执行，退回时提供退回理由的录入。</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、支持将强制执行的处方</w:t>
            </w:r>
            <w:r>
              <w:rPr>
                <w:rFonts w:ascii="宋体" w:hAnsi="宋体" w:cs="宋体"/>
                <w:color w:val="auto"/>
                <w:sz w:val="24"/>
                <w:szCs w:val="24"/>
              </w:rPr>
              <w:t>/</w:t>
            </w:r>
            <w:r>
              <w:rPr>
                <w:rFonts w:hint="eastAsia" w:ascii="宋体" w:hAnsi="宋体" w:cs="宋体"/>
                <w:color w:val="auto"/>
                <w:sz w:val="24"/>
                <w:szCs w:val="24"/>
              </w:rPr>
              <w:t>医嘱单自动转入处方</w:t>
            </w:r>
            <w:r>
              <w:rPr>
                <w:rFonts w:ascii="宋体" w:hAnsi="宋体" w:cs="宋体"/>
                <w:color w:val="auto"/>
                <w:sz w:val="24"/>
                <w:szCs w:val="24"/>
              </w:rPr>
              <w:t>/</w:t>
            </w:r>
            <w:r>
              <w:rPr>
                <w:rFonts w:hint="eastAsia" w:ascii="宋体" w:hAnsi="宋体" w:cs="宋体"/>
                <w:color w:val="auto"/>
                <w:sz w:val="24"/>
                <w:szCs w:val="24"/>
              </w:rPr>
              <w:t>医嘱点评。</w:t>
            </w:r>
          </w:p>
        </w:tc>
      </w:tr>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5</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审方记录评价</w:t>
            </w:r>
          </w:p>
        </w:tc>
        <w:tc>
          <w:tcPr>
            <w:tcW w:w="75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、支持选择设定抽取需评价记录的时间段和抽取条件：全部、百分比抽取、随机数抽取。</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、支持展现已抽取记录的评价进度。</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、支持被评价处方</w:t>
            </w:r>
            <w:r>
              <w:rPr>
                <w:rFonts w:ascii="宋体" w:hAnsi="宋体" w:cs="宋体"/>
                <w:color w:val="auto"/>
                <w:sz w:val="24"/>
                <w:szCs w:val="24"/>
              </w:rPr>
              <w:t>/</w:t>
            </w:r>
            <w:r>
              <w:rPr>
                <w:rFonts w:hint="eastAsia" w:ascii="宋体" w:hAnsi="宋体" w:cs="宋体"/>
                <w:color w:val="auto"/>
                <w:sz w:val="24"/>
                <w:szCs w:val="24"/>
              </w:rPr>
              <w:t>医嘱单审方信息展现：病人基本情况、处方</w:t>
            </w:r>
            <w:r>
              <w:rPr>
                <w:rFonts w:ascii="宋体" w:hAnsi="宋体" w:cs="宋体"/>
                <w:color w:val="auto"/>
                <w:sz w:val="24"/>
                <w:szCs w:val="24"/>
              </w:rPr>
              <w:t>/</w:t>
            </w:r>
            <w:r>
              <w:rPr>
                <w:rFonts w:hint="eastAsia" w:ascii="宋体" w:hAnsi="宋体" w:cs="宋体"/>
                <w:color w:val="auto"/>
                <w:sz w:val="24"/>
                <w:szCs w:val="24"/>
              </w:rPr>
              <w:t>医嘱详细内容、药师审方意见等。</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、提供对已审核记录的评价功能界面：包括合理</w:t>
            </w:r>
            <w:r>
              <w:rPr>
                <w:rFonts w:ascii="宋体" w:hAnsi="宋体" w:cs="宋体"/>
                <w:color w:val="auto"/>
                <w:sz w:val="24"/>
                <w:szCs w:val="24"/>
              </w:rPr>
              <w:t>/</w:t>
            </w:r>
            <w:r>
              <w:rPr>
                <w:rFonts w:hint="eastAsia" w:ascii="宋体" w:hAnsi="宋体" w:cs="宋体"/>
                <w:color w:val="auto"/>
                <w:sz w:val="24"/>
                <w:szCs w:val="24"/>
              </w:rPr>
              <w:t>不合理，提供不合理理由输入功能。</w:t>
            </w:r>
          </w:p>
          <w:p>
            <w:pPr>
              <w:spacing w:before="156" w:after="156" w:line="360" w:lineRule="auto"/>
              <w:rPr>
                <w:rFonts w:ascii="宋体"/>
                <w:color w:val="auto"/>
              </w:rPr>
            </w:pPr>
            <w:r>
              <w:rPr>
                <w:rFonts w:ascii="宋体" w:hAnsi="宋体" w:cs="宋体"/>
                <w:color w:val="auto"/>
                <w:sz w:val="24"/>
                <w:szCs w:val="24"/>
              </w:rPr>
              <w:t>5</w:t>
            </w:r>
            <w:r>
              <w:rPr>
                <w:rFonts w:hint="eastAsia" w:ascii="宋体" w:hAnsi="宋体" w:cs="宋体"/>
                <w:color w:val="auto"/>
                <w:sz w:val="24"/>
                <w:szCs w:val="24"/>
              </w:rPr>
              <w:t>、支持展现病人检验检查、生命体征、病历记录、手术记录等详细信息。</w:t>
            </w:r>
          </w:p>
        </w:tc>
      </w:tr>
      <w:tr>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6</w:t>
            </w:r>
          </w:p>
        </w:tc>
        <w:tc>
          <w:tcPr>
            <w:tcW w:w="1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审方业务查询与统计</w:t>
            </w:r>
          </w:p>
        </w:tc>
        <w:tc>
          <w:tcPr>
            <w:tcW w:w="75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、应能按年份、季度、月份、日期进行查询统计药师审方工作量。</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、应能提供药师干预次数、干预率、干预成功率查询。</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、应能提供药师审核处方数、审方医嘱数、审核不合理数和审核合理率等审方评价查询。</w:t>
            </w:r>
          </w:p>
        </w:tc>
      </w:tr>
    </w:tbl>
    <w:p>
      <w:pPr>
        <w:keepNext/>
        <w:keepLines/>
        <w:spacing w:before="156" w:after="156" w:line="416" w:lineRule="auto"/>
        <w:outlineLvl w:val="1"/>
        <w:rPr>
          <w:rFonts w:ascii="宋体"/>
          <w:b/>
          <w:bCs/>
          <w:color w:val="auto"/>
          <w:sz w:val="32"/>
          <w:szCs w:val="32"/>
        </w:rPr>
      </w:pPr>
      <w:bookmarkStart w:id="1020" w:name="_Toc6948"/>
      <w:bookmarkStart w:id="1021" w:name="_Toc11752"/>
      <w:bookmarkStart w:id="1022" w:name="_Toc82882803"/>
      <w:r>
        <w:rPr>
          <w:rFonts w:ascii="宋体" w:hAnsi="宋体" w:cs="宋体"/>
          <w:b/>
          <w:bCs/>
          <w:color w:val="auto"/>
          <w:sz w:val="32"/>
          <w:szCs w:val="32"/>
        </w:rPr>
        <w:t>4.10</w:t>
      </w:r>
      <w:r>
        <w:rPr>
          <w:rFonts w:hint="eastAsia" w:ascii="宋体" w:hAnsi="宋体" w:cs="宋体"/>
          <w:b/>
          <w:bCs/>
          <w:color w:val="auto"/>
          <w:sz w:val="32"/>
          <w:szCs w:val="32"/>
        </w:rPr>
        <w:t>、电子病历</w:t>
      </w:r>
      <w:bookmarkEnd w:id="1020"/>
      <w:bookmarkEnd w:id="1021"/>
      <w:bookmarkEnd w:id="1022"/>
    </w:p>
    <w:p>
      <w:pPr>
        <w:pStyle w:val="6"/>
        <w:rPr>
          <w:rFonts w:ascii="宋体" w:hAnsi="宋体" w:eastAsia="宋体" w:cs="Times New Roman"/>
          <w:color w:val="auto"/>
        </w:rPr>
      </w:pPr>
      <w:r>
        <w:rPr>
          <w:rFonts w:ascii="宋体" w:hAnsi="宋体" w:eastAsia="宋体" w:cs="宋体"/>
          <w:color w:val="auto"/>
        </w:rPr>
        <w:t>4.10.1</w:t>
      </w:r>
      <w:r>
        <w:rPr>
          <w:rFonts w:hint="eastAsia" w:ascii="宋体" w:hAnsi="宋体" w:eastAsia="宋体" w:cs="宋体"/>
          <w:color w:val="auto"/>
        </w:rPr>
        <w:t>、门诊电子病历系统</w:t>
      </w:r>
    </w:p>
    <w:p>
      <w:pPr>
        <w:spacing w:before="50" w:after="50" w:line="360" w:lineRule="auto"/>
        <w:ind w:firstLine="424"/>
        <w:rPr>
          <w:rFonts w:ascii="宋体"/>
          <w:color w:val="auto"/>
          <w:sz w:val="24"/>
          <w:szCs w:val="24"/>
        </w:rPr>
      </w:pPr>
      <w:r>
        <w:rPr>
          <w:rFonts w:hint="eastAsia" w:ascii="宋体" w:hAnsi="宋体" w:cs="宋体"/>
          <w:color w:val="auto"/>
          <w:sz w:val="24"/>
          <w:szCs w:val="24"/>
        </w:rPr>
        <w:t>系统符合《卫生部医院信息系统基本功能规范》，</w:t>
      </w:r>
      <w:r>
        <w:rPr>
          <w:rFonts w:ascii="宋体" w:hAnsi="宋体" w:cs="宋体"/>
          <w:color w:val="auto"/>
          <w:sz w:val="24"/>
          <w:szCs w:val="24"/>
        </w:rPr>
        <w:t>HL7</w:t>
      </w:r>
      <w:r>
        <w:rPr>
          <w:rFonts w:hint="eastAsia" w:ascii="宋体" w:hAnsi="宋体" w:cs="宋体"/>
          <w:color w:val="auto"/>
          <w:sz w:val="24"/>
          <w:szCs w:val="24"/>
        </w:rPr>
        <w:t>、</w:t>
      </w:r>
      <w:r>
        <w:rPr>
          <w:rFonts w:ascii="宋体" w:hAnsi="宋体" w:cs="宋体"/>
          <w:color w:val="auto"/>
          <w:sz w:val="24"/>
          <w:szCs w:val="24"/>
        </w:rPr>
        <w:t>ICD</w:t>
      </w:r>
      <w:r>
        <w:rPr>
          <w:rFonts w:hint="eastAsia" w:ascii="宋体" w:hAnsi="宋体" w:cs="宋体"/>
          <w:color w:val="auto"/>
          <w:sz w:val="24"/>
          <w:szCs w:val="24"/>
        </w:rPr>
        <w:t>、</w:t>
      </w:r>
      <w:r>
        <w:rPr>
          <w:rFonts w:ascii="宋体" w:hAnsi="宋体" w:cs="宋体"/>
          <w:color w:val="auto"/>
          <w:sz w:val="24"/>
          <w:szCs w:val="24"/>
        </w:rPr>
        <w:t>XML</w:t>
      </w:r>
      <w:r>
        <w:rPr>
          <w:rFonts w:hint="eastAsia" w:ascii="宋体" w:hAnsi="宋体" w:cs="宋体"/>
          <w:color w:val="auto"/>
          <w:sz w:val="24"/>
          <w:szCs w:val="24"/>
        </w:rPr>
        <w:t>、</w:t>
      </w:r>
      <w:r>
        <w:rPr>
          <w:rFonts w:ascii="宋体" w:hAnsi="宋体" w:cs="宋体"/>
          <w:color w:val="auto"/>
          <w:sz w:val="24"/>
          <w:szCs w:val="24"/>
        </w:rPr>
        <w:t>SNOMED</w:t>
      </w:r>
      <w:r>
        <w:rPr>
          <w:rFonts w:hint="eastAsia" w:ascii="宋体" w:hAnsi="宋体" w:cs="宋体"/>
          <w:color w:val="auto"/>
          <w:sz w:val="24"/>
          <w:szCs w:val="24"/>
        </w:rPr>
        <w:t>等行业规范标准，《病历书写基本规范》卫医政发〔</w:t>
      </w:r>
      <w:r>
        <w:rPr>
          <w:rFonts w:ascii="宋体" w:hAnsi="宋体" w:cs="宋体"/>
          <w:color w:val="auto"/>
          <w:sz w:val="24"/>
          <w:szCs w:val="24"/>
        </w:rPr>
        <w:t>2010</w:t>
      </w:r>
      <w:r>
        <w:rPr>
          <w:rFonts w:hint="eastAsia" w:ascii="宋体" w:hAnsi="宋体" w:cs="宋体"/>
          <w:color w:val="auto"/>
          <w:sz w:val="24"/>
          <w:szCs w:val="24"/>
        </w:rPr>
        <w:t>〕</w:t>
      </w:r>
      <w:r>
        <w:rPr>
          <w:rFonts w:ascii="宋体" w:hAnsi="宋体" w:cs="宋体"/>
          <w:color w:val="auto"/>
          <w:sz w:val="24"/>
          <w:szCs w:val="24"/>
        </w:rPr>
        <w:t>11</w:t>
      </w:r>
      <w:r>
        <w:rPr>
          <w:rFonts w:hint="eastAsia" w:ascii="宋体" w:hAnsi="宋体" w:cs="宋体"/>
          <w:color w:val="auto"/>
          <w:sz w:val="24"/>
          <w:szCs w:val="24"/>
        </w:rPr>
        <w:t>号，《电子病历基本规范（试行）》卫医政发〔</w:t>
      </w:r>
      <w:r>
        <w:rPr>
          <w:rFonts w:ascii="宋体" w:hAnsi="宋体" w:cs="宋体"/>
          <w:color w:val="auto"/>
          <w:sz w:val="24"/>
          <w:szCs w:val="24"/>
        </w:rPr>
        <w:t>2010</w:t>
      </w:r>
      <w:r>
        <w:rPr>
          <w:rFonts w:hint="eastAsia" w:ascii="宋体" w:hAnsi="宋体" w:cs="宋体"/>
          <w:color w:val="auto"/>
          <w:sz w:val="24"/>
          <w:szCs w:val="24"/>
        </w:rPr>
        <w:t>〕</w:t>
      </w:r>
      <w:r>
        <w:rPr>
          <w:rFonts w:ascii="宋体" w:hAnsi="宋体" w:cs="宋体"/>
          <w:color w:val="auto"/>
          <w:sz w:val="24"/>
          <w:szCs w:val="24"/>
        </w:rPr>
        <w:t>114</w:t>
      </w:r>
      <w:r>
        <w:rPr>
          <w:rFonts w:hint="eastAsia" w:ascii="宋体" w:hAnsi="宋体" w:cs="宋体"/>
          <w:color w:val="auto"/>
          <w:sz w:val="24"/>
          <w:szCs w:val="24"/>
        </w:rPr>
        <w:t>号、《医院处方点评管理规范（试行）》卫医管发〔</w:t>
      </w:r>
      <w:r>
        <w:rPr>
          <w:rFonts w:ascii="宋体" w:hAnsi="宋体" w:cs="宋体"/>
          <w:color w:val="auto"/>
          <w:sz w:val="24"/>
          <w:szCs w:val="24"/>
        </w:rPr>
        <w:t>2010</w:t>
      </w:r>
      <w:r>
        <w:rPr>
          <w:rFonts w:hint="eastAsia" w:ascii="宋体" w:hAnsi="宋体" w:cs="宋体"/>
          <w:color w:val="auto"/>
          <w:sz w:val="24"/>
          <w:szCs w:val="24"/>
        </w:rPr>
        <w:t>〕</w:t>
      </w:r>
      <w:r>
        <w:rPr>
          <w:rFonts w:ascii="宋体" w:hAnsi="宋体" w:cs="宋体"/>
          <w:color w:val="auto"/>
          <w:sz w:val="24"/>
          <w:szCs w:val="24"/>
        </w:rPr>
        <w:t>28</w:t>
      </w:r>
      <w:r>
        <w:rPr>
          <w:rFonts w:hint="eastAsia" w:ascii="宋体" w:hAnsi="宋体" w:cs="宋体"/>
          <w:color w:val="auto"/>
          <w:sz w:val="24"/>
          <w:szCs w:val="24"/>
        </w:rPr>
        <w:t>号、《医疗事故处理条例》国务院令第</w:t>
      </w:r>
      <w:r>
        <w:rPr>
          <w:rFonts w:ascii="宋体" w:hAnsi="宋体" w:cs="宋体"/>
          <w:color w:val="auto"/>
          <w:sz w:val="24"/>
          <w:szCs w:val="24"/>
        </w:rPr>
        <w:t>351</w:t>
      </w:r>
      <w:r>
        <w:rPr>
          <w:rFonts w:hint="eastAsia" w:ascii="宋体" w:hAnsi="宋体" w:cs="宋体"/>
          <w:color w:val="auto"/>
          <w:sz w:val="24"/>
          <w:szCs w:val="24"/>
        </w:rPr>
        <w:t>号〔</w:t>
      </w:r>
      <w:r>
        <w:rPr>
          <w:rFonts w:ascii="宋体" w:hAnsi="宋体" w:cs="宋体"/>
          <w:color w:val="auto"/>
          <w:sz w:val="24"/>
          <w:szCs w:val="24"/>
        </w:rPr>
        <w:t>2002</w:t>
      </w:r>
      <w:r>
        <w:rPr>
          <w:rFonts w:hint="eastAsia" w:ascii="宋体" w:hAnsi="宋体" w:cs="宋体"/>
          <w:color w:val="auto"/>
          <w:sz w:val="24"/>
          <w:szCs w:val="24"/>
        </w:rPr>
        <w:t>〕、《药品不良反应报告与监测管理方法》卫生部令第</w:t>
      </w:r>
      <w:r>
        <w:rPr>
          <w:rFonts w:ascii="宋体" w:hAnsi="宋体" w:cs="宋体"/>
          <w:color w:val="auto"/>
          <w:sz w:val="24"/>
          <w:szCs w:val="24"/>
        </w:rPr>
        <w:t>81</w:t>
      </w:r>
      <w:r>
        <w:rPr>
          <w:rFonts w:hint="eastAsia" w:ascii="宋体" w:hAnsi="宋体" w:cs="宋体"/>
          <w:color w:val="auto"/>
          <w:sz w:val="24"/>
          <w:szCs w:val="24"/>
        </w:rPr>
        <w:t>号〔</w:t>
      </w:r>
      <w:r>
        <w:rPr>
          <w:rFonts w:ascii="宋体" w:hAnsi="宋体" w:cs="宋体"/>
          <w:color w:val="auto"/>
          <w:sz w:val="24"/>
          <w:szCs w:val="24"/>
        </w:rPr>
        <w:t>2004</w:t>
      </w:r>
      <w:r>
        <w:rPr>
          <w:rFonts w:hint="eastAsia" w:ascii="宋体" w:hAnsi="宋体" w:cs="宋体"/>
          <w:color w:val="auto"/>
          <w:sz w:val="24"/>
          <w:szCs w:val="24"/>
        </w:rPr>
        <w:t>年〕等要求。</w:t>
      </w:r>
    </w:p>
    <w:p>
      <w:pPr>
        <w:spacing w:before="50" w:after="50" w:line="360" w:lineRule="auto"/>
        <w:ind w:firstLine="424"/>
        <w:rPr>
          <w:rFonts w:ascii="宋体"/>
          <w:color w:val="auto"/>
          <w:sz w:val="24"/>
          <w:szCs w:val="24"/>
        </w:rPr>
      </w:pPr>
      <w:r>
        <w:rPr>
          <w:rFonts w:hint="eastAsia" w:ascii="宋体" w:hAnsi="宋体" w:cs="宋体"/>
          <w:color w:val="auto"/>
          <w:sz w:val="24"/>
          <w:szCs w:val="24"/>
        </w:rPr>
        <w:t>系统采用结构化输入和</w:t>
      </w:r>
      <w:r>
        <w:rPr>
          <w:rFonts w:ascii="宋体" w:hAnsi="宋体" w:cs="宋体"/>
          <w:color w:val="auto"/>
          <w:sz w:val="24"/>
          <w:szCs w:val="24"/>
        </w:rPr>
        <w:t>XML</w:t>
      </w:r>
      <w:r>
        <w:rPr>
          <w:rFonts w:hint="eastAsia" w:ascii="宋体" w:hAnsi="宋体" w:cs="宋体"/>
          <w:color w:val="auto"/>
          <w:sz w:val="24"/>
          <w:szCs w:val="24"/>
        </w:rPr>
        <w:t>存储方式，便于今后的查询、分析、统计。支持打印、续打、套打，能够完全满足临床医生的实际需要。同时，填写的病历可以实时进行打印和续打，支持引入历史病历内容；插入特殊符号；支持不同就诊日期的处方记录、检查记录、历次诊断记录、检验报告等数据引入；支持插入并编辑图片；通过导出模板，可以设置个人模板或常用语等功能。为了更清晰的表达病人的病情，比如像口腔科的十字、女性患者的月经史、外科的部位描述，因此提供医学符号工具来帮助医生完成编辑。</w:t>
      </w:r>
    </w:p>
    <w:tbl>
      <w:tblPr>
        <w:tblStyle w:val="21"/>
        <w:tblW w:w="9960" w:type="dxa"/>
        <w:tblInd w:w="-553" w:type="dxa"/>
        <w:tblLayout w:type="autofit"/>
        <w:tblCellMar>
          <w:top w:w="0" w:type="dxa"/>
          <w:left w:w="10" w:type="dxa"/>
          <w:bottom w:w="0" w:type="dxa"/>
          <w:right w:w="10" w:type="dxa"/>
        </w:tblCellMar>
      </w:tblPr>
      <w:tblGrid>
        <w:gridCol w:w="764"/>
        <w:gridCol w:w="1658"/>
        <w:gridCol w:w="7538"/>
      </w:tblGrid>
      <w:tr>
        <w:tblPrEx>
          <w:tblCellMar>
            <w:top w:w="0" w:type="dxa"/>
            <w:left w:w="10" w:type="dxa"/>
            <w:bottom w:w="0" w:type="dxa"/>
            <w:right w:w="10" w:type="dxa"/>
          </w:tblCellMar>
        </w:tblPrEx>
        <w:trPr>
          <w:trHeight w:val="1" w:hRule="atLeast"/>
        </w:trPr>
        <w:tc>
          <w:tcPr>
            <w:tcW w:w="76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50" w:after="50" w:line="360" w:lineRule="auto"/>
              <w:jc w:val="center"/>
              <w:rPr>
                <w:rFonts w:ascii="宋体"/>
                <w:color w:val="auto"/>
              </w:rPr>
            </w:pPr>
            <w:r>
              <w:rPr>
                <w:rFonts w:hint="eastAsia" w:ascii="宋体" w:hAnsi="宋体" w:cs="宋体"/>
                <w:b/>
                <w:bCs/>
                <w:color w:val="auto"/>
                <w:sz w:val="24"/>
                <w:szCs w:val="24"/>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50" w:after="50" w:line="360" w:lineRule="auto"/>
              <w:jc w:val="center"/>
              <w:rPr>
                <w:rFonts w:ascii="宋体"/>
                <w:color w:val="auto"/>
              </w:rPr>
            </w:pPr>
            <w:r>
              <w:rPr>
                <w:rFonts w:hint="eastAsia" w:ascii="宋体" w:hAnsi="宋体" w:cs="宋体"/>
                <w:b/>
                <w:bCs/>
                <w:color w:val="auto"/>
                <w:sz w:val="24"/>
                <w:szCs w:val="24"/>
              </w:rPr>
              <w:t>功能分类</w:t>
            </w:r>
          </w:p>
        </w:tc>
        <w:tc>
          <w:tcPr>
            <w:tcW w:w="753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50" w:after="50" w:line="360" w:lineRule="auto"/>
              <w:jc w:val="center"/>
              <w:rPr>
                <w:rFonts w:ascii="宋体"/>
                <w:color w:val="auto"/>
              </w:rPr>
            </w:pPr>
            <w:r>
              <w:rPr>
                <w:rFonts w:hint="eastAsia" w:ascii="宋体" w:hAnsi="宋体" w:cs="宋体"/>
                <w:b/>
                <w:bCs/>
                <w:color w:val="auto"/>
                <w:sz w:val="24"/>
                <w:szCs w:val="24"/>
              </w:rPr>
              <w:t>功能需求</w:t>
            </w:r>
          </w:p>
        </w:tc>
      </w:tr>
      <w:tr>
        <w:tblPrEx>
          <w:tblCellMar>
            <w:top w:w="0" w:type="dxa"/>
            <w:left w:w="10" w:type="dxa"/>
            <w:bottom w:w="0" w:type="dxa"/>
            <w:right w:w="10" w:type="dxa"/>
          </w:tblCellMar>
        </w:tblPrEx>
        <w:trPr>
          <w:trHeight w:val="1" w:hRule="atLeast"/>
        </w:trPr>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ascii="宋体" w:hAnsi="宋体" w:cs="宋体"/>
                <w:color w:val="auto"/>
                <w:sz w:val="24"/>
                <w:szCs w:val="24"/>
              </w:rPr>
              <w:t>1</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门诊电子病历书写</w:t>
            </w:r>
          </w:p>
        </w:tc>
        <w:tc>
          <w:tcPr>
            <w:tcW w:w="7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、提供结构化和</w:t>
            </w:r>
            <w:r>
              <w:rPr>
                <w:rFonts w:ascii="宋体" w:hAnsi="宋体" w:cs="宋体"/>
                <w:color w:val="auto"/>
                <w:sz w:val="24"/>
                <w:szCs w:val="24"/>
              </w:rPr>
              <w:t>XML</w:t>
            </w:r>
            <w:r>
              <w:rPr>
                <w:rFonts w:hint="eastAsia" w:ascii="宋体" w:hAnsi="宋体" w:cs="宋体"/>
                <w:color w:val="auto"/>
                <w:sz w:val="24"/>
                <w:szCs w:val="24"/>
              </w:rPr>
              <w:t>存储的门诊电子病历。</w:t>
            </w:r>
          </w:p>
          <w:p>
            <w:pPr>
              <w:spacing w:before="50" w:after="50"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、提供类似</w:t>
            </w:r>
            <w:r>
              <w:rPr>
                <w:rFonts w:ascii="宋体" w:hAnsi="宋体" w:cs="宋体"/>
                <w:color w:val="auto"/>
                <w:sz w:val="24"/>
                <w:szCs w:val="24"/>
              </w:rPr>
              <w:t>word</w:t>
            </w:r>
            <w:r>
              <w:rPr>
                <w:rFonts w:hint="eastAsia" w:ascii="宋体" w:hAnsi="宋体" w:cs="宋体"/>
                <w:color w:val="auto"/>
                <w:sz w:val="24"/>
                <w:szCs w:val="24"/>
              </w:rPr>
              <w:t>操作界面风格，所见即所得，易学易用。</w:t>
            </w:r>
          </w:p>
          <w:p>
            <w:pPr>
              <w:spacing w:before="50" w:after="50"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、提供丰富的门诊电子病历模板。提供个人常用、科室常用、病种模板的调用。</w:t>
            </w:r>
          </w:p>
          <w:p>
            <w:pPr>
              <w:spacing w:before="50" w:after="50"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、提供电子申请单报告结果读取。</w:t>
            </w:r>
          </w:p>
          <w:p>
            <w:pPr>
              <w:spacing w:before="50" w:after="50"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、提供在病历书写时，引用已有的检验检查报告数据到病历文档中。</w:t>
            </w:r>
          </w:p>
          <w:p>
            <w:pPr>
              <w:spacing w:before="50" w:after="50"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、提供门诊电子病历提供特定模板编辑器，支持特殊符号、图片、常用语引用。</w:t>
            </w:r>
          </w:p>
          <w:p>
            <w:pPr>
              <w:spacing w:before="50" w:after="50"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、提供处方、诊断、检验检查单数据自动导入病历功能。</w:t>
            </w:r>
          </w:p>
          <w:p>
            <w:pPr>
              <w:spacing w:before="50" w:after="50"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、提供将门诊病历导出为</w:t>
            </w:r>
            <w:r>
              <w:rPr>
                <w:rFonts w:ascii="宋体" w:hAnsi="宋体" w:cs="宋体"/>
                <w:color w:val="auto"/>
                <w:sz w:val="24"/>
                <w:szCs w:val="24"/>
              </w:rPr>
              <w:t>word</w:t>
            </w:r>
            <w:r>
              <w:rPr>
                <w:rFonts w:hint="eastAsia" w:ascii="宋体" w:hAnsi="宋体" w:cs="宋体"/>
                <w:color w:val="auto"/>
                <w:sz w:val="24"/>
                <w:szCs w:val="24"/>
              </w:rPr>
              <w:t>文档或另存为病历模板功能。</w:t>
            </w:r>
          </w:p>
          <w:p>
            <w:pPr>
              <w:spacing w:before="50" w:after="50"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、提供病历审计日志的查看</w:t>
            </w:r>
          </w:p>
        </w:tc>
      </w:tr>
      <w:tr>
        <w:tblPrEx>
          <w:tblCellMar>
            <w:top w:w="0" w:type="dxa"/>
            <w:left w:w="10" w:type="dxa"/>
            <w:bottom w:w="0" w:type="dxa"/>
            <w:right w:w="10" w:type="dxa"/>
          </w:tblCellMar>
        </w:tblPrEx>
        <w:trPr>
          <w:trHeight w:val="1" w:hRule="atLeast"/>
        </w:trPr>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ascii="宋体" w:hAnsi="宋体" w:cs="宋体"/>
                <w:color w:val="auto"/>
                <w:sz w:val="24"/>
                <w:szCs w:val="24"/>
              </w:rPr>
              <w:t>2</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一键打印</w:t>
            </w:r>
          </w:p>
        </w:tc>
        <w:tc>
          <w:tcPr>
            <w:tcW w:w="7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、提供医生工作站中自由选择打印门诊电子病历、电子申请单、门诊处方单等资料功能；</w:t>
            </w:r>
          </w:p>
          <w:p>
            <w:pPr>
              <w:spacing w:before="50" w:after="50"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、提供患者自助打印门诊电子病历功能，支持就诊卡、医保卡、发票号码、二代身份证扫描等多种自助打印方式。</w:t>
            </w:r>
          </w:p>
        </w:tc>
      </w:tr>
      <w:tr>
        <w:tblPrEx>
          <w:tblCellMar>
            <w:top w:w="0" w:type="dxa"/>
            <w:left w:w="10" w:type="dxa"/>
            <w:bottom w:w="0" w:type="dxa"/>
            <w:right w:w="10" w:type="dxa"/>
          </w:tblCellMar>
        </w:tblPrEx>
        <w:trPr>
          <w:trHeight w:val="1" w:hRule="atLeast"/>
        </w:trPr>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ascii="宋体" w:hAnsi="宋体" w:cs="宋体"/>
                <w:color w:val="auto"/>
                <w:sz w:val="24"/>
                <w:szCs w:val="24"/>
              </w:rPr>
              <w:t>3</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门诊病历书写质量控制</w:t>
            </w:r>
          </w:p>
        </w:tc>
        <w:tc>
          <w:tcPr>
            <w:tcW w:w="7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、提供门诊电子病历评分功能</w:t>
            </w:r>
          </w:p>
          <w:p>
            <w:pPr>
              <w:spacing w:before="50" w:after="50"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、提供门诊评分选项自定义功能</w:t>
            </w:r>
          </w:p>
          <w:p>
            <w:pPr>
              <w:spacing w:before="50" w:after="50"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、提供门诊电子病历评分统计功能，统计包括门诊病历评分汇总表、门诊病历书写情况表等报表。</w:t>
            </w:r>
          </w:p>
        </w:tc>
      </w:tr>
      <w:tr>
        <w:tblPrEx>
          <w:tblCellMar>
            <w:top w:w="0" w:type="dxa"/>
            <w:left w:w="10" w:type="dxa"/>
            <w:bottom w:w="0" w:type="dxa"/>
            <w:right w:w="10" w:type="dxa"/>
          </w:tblCellMar>
        </w:tblPrEx>
        <w:trPr>
          <w:trHeight w:val="1" w:hRule="atLeast"/>
        </w:trPr>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ascii="宋体" w:hAnsi="宋体" w:cs="宋体"/>
                <w:color w:val="auto"/>
                <w:sz w:val="24"/>
                <w:szCs w:val="24"/>
              </w:rPr>
              <w:t>4</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统计查询</w:t>
            </w:r>
          </w:p>
        </w:tc>
        <w:tc>
          <w:tcPr>
            <w:tcW w:w="7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提供门诊诊疗活动的统计查询功能，应包含：门诊病历查询、门诊病历评分情况以及书写情况的统计以及门诊就诊记录的查询等。</w:t>
            </w:r>
          </w:p>
        </w:tc>
      </w:tr>
      <w:tr>
        <w:tblPrEx>
          <w:tblCellMar>
            <w:top w:w="0" w:type="dxa"/>
            <w:left w:w="10" w:type="dxa"/>
            <w:bottom w:w="0" w:type="dxa"/>
            <w:right w:w="10" w:type="dxa"/>
          </w:tblCellMar>
        </w:tblPrEx>
        <w:trPr>
          <w:trHeight w:val="1" w:hRule="atLeast"/>
        </w:trPr>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ascii="宋体" w:hAnsi="宋体" w:cs="宋体"/>
                <w:color w:val="auto"/>
                <w:sz w:val="24"/>
                <w:szCs w:val="24"/>
              </w:rPr>
              <w:t>5</w:t>
            </w:r>
          </w:p>
        </w:tc>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既往病史查询</w:t>
            </w:r>
          </w:p>
        </w:tc>
        <w:tc>
          <w:tcPr>
            <w:tcW w:w="7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50" w:after="50" w:line="360" w:lineRule="auto"/>
              <w:rPr>
                <w:rFonts w:ascii="宋体"/>
                <w:color w:val="auto"/>
              </w:rPr>
            </w:pPr>
            <w:r>
              <w:rPr>
                <w:rFonts w:hint="eastAsia" w:ascii="宋体" w:hAnsi="宋体" w:cs="宋体"/>
                <w:color w:val="auto"/>
                <w:sz w:val="24"/>
                <w:szCs w:val="24"/>
              </w:rPr>
              <w:t>提供医生查阅既往门诊病历资料、住院病历资料、既往诊断、既往检验、既往检查等患者历次就诊记录。</w:t>
            </w:r>
          </w:p>
        </w:tc>
      </w:tr>
    </w:tbl>
    <w:p>
      <w:pPr>
        <w:pStyle w:val="6"/>
        <w:rPr>
          <w:rFonts w:ascii="宋体" w:hAnsi="宋体" w:eastAsia="宋体" w:cs="Times New Roman"/>
          <w:color w:val="auto"/>
        </w:rPr>
      </w:pPr>
      <w:r>
        <w:rPr>
          <w:rFonts w:ascii="宋体" w:hAnsi="宋体" w:eastAsia="宋体" w:cs="宋体"/>
          <w:color w:val="auto"/>
        </w:rPr>
        <w:t>4.10.2</w:t>
      </w:r>
      <w:r>
        <w:rPr>
          <w:rFonts w:hint="eastAsia" w:ascii="宋体" w:hAnsi="宋体" w:eastAsia="宋体" w:cs="宋体"/>
          <w:color w:val="auto"/>
        </w:rPr>
        <w:t>、住院电子病历系统</w:t>
      </w:r>
    </w:p>
    <w:tbl>
      <w:tblPr>
        <w:tblStyle w:val="21"/>
        <w:tblW w:w="9971" w:type="dxa"/>
        <w:tblInd w:w="-564" w:type="dxa"/>
        <w:tblLayout w:type="autofit"/>
        <w:tblCellMar>
          <w:top w:w="0" w:type="dxa"/>
          <w:left w:w="10" w:type="dxa"/>
          <w:bottom w:w="0" w:type="dxa"/>
          <w:right w:w="10" w:type="dxa"/>
        </w:tblCellMar>
      </w:tblPr>
      <w:tblGrid>
        <w:gridCol w:w="786"/>
        <w:gridCol w:w="1571"/>
        <w:gridCol w:w="7614"/>
      </w:tblGrid>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57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614"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1</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全结构化病历书写</w:t>
            </w:r>
          </w:p>
        </w:tc>
        <w:tc>
          <w:tcPr>
            <w:tcW w:w="7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、书写界面要求为</w:t>
            </w:r>
            <w:r>
              <w:rPr>
                <w:rFonts w:ascii="宋体" w:hAnsi="宋体" w:cs="宋体"/>
                <w:color w:val="auto"/>
                <w:sz w:val="24"/>
                <w:szCs w:val="24"/>
              </w:rPr>
              <w:t>WORD</w:t>
            </w:r>
            <w:r>
              <w:rPr>
                <w:rFonts w:hint="eastAsia" w:ascii="宋体" w:hAnsi="宋体" w:cs="宋体"/>
                <w:color w:val="auto"/>
                <w:sz w:val="24"/>
                <w:szCs w:val="24"/>
              </w:rPr>
              <w:t>操作界面风格，全结构化书写，所见即所得。</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、提供医生书写病历，可以直接采用点选方式录入，也支持自由文本输入，同时也具备</w:t>
            </w:r>
            <w:r>
              <w:rPr>
                <w:rFonts w:ascii="宋体" w:hAnsi="宋体" w:cs="宋体"/>
                <w:color w:val="auto"/>
                <w:sz w:val="24"/>
                <w:szCs w:val="24"/>
              </w:rPr>
              <w:t>WORD</w:t>
            </w:r>
            <w:r>
              <w:rPr>
                <w:rFonts w:hint="eastAsia" w:ascii="宋体" w:hAnsi="宋体" w:cs="宋体"/>
                <w:color w:val="auto"/>
                <w:sz w:val="24"/>
                <w:szCs w:val="24"/>
              </w:rPr>
              <w:t>的基本操作功能，包括字体大小、字号、行间距、页边距、颜色，排版，撤消，复制等多种功能。</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、提供右键功能，能够直接操作各个业务子功能。</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住院电子病历提供病人的数据引用，如检验检查结果数据；结构化复制、粘贴；插入特殊符号；支持医嘱信息、检验报告、影像报告、临床路径、手术信息等数据引入；支持自定义医学表达式并且插入操作；支持插入图片，并且可在图片上实现病灶标注和语言描述。</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、提供导出病历模板，设置个人模板或常用语等功能。</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、提供病历模版的内容质控功能，如能够识别病人性别自动生成相应内容，使用同一份模版，男性病人自动保留婚育史，女性病人自动导入月经及婚育史。</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、提供病种模版，能够根据不同病种生成不同的主诉、现病史、既往史等资料。</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、提供医学知识库检索功能，在医生书写病历时，选中病历中任何需要查询的关键字，即可在知识库中搜索到与这个关键字相关联的医学文档，可以查看文档，复制文档内容，以便进行医学指导作用。</w:t>
            </w:r>
          </w:p>
          <w:p>
            <w:pPr>
              <w:spacing w:before="156" w:after="156" w:line="360" w:lineRule="auto"/>
              <w:rPr>
                <w:rFonts w:ascii="宋体"/>
                <w:color w:val="auto"/>
              </w:rPr>
            </w:pPr>
            <w:r>
              <w:rPr>
                <w:rFonts w:ascii="宋体" w:hAnsi="宋体" w:cs="宋体"/>
                <w:color w:val="auto"/>
                <w:sz w:val="24"/>
                <w:szCs w:val="24"/>
              </w:rPr>
              <w:t>9</w:t>
            </w:r>
            <w:r>
              <w:rPr>
                <w:rFonts w:hint="eastAsia" w:ascii="宋体" w:hAnsi="宋体" w:cs="宋体"/>
                <w:color w:val="auto"/>
                <w:sz w:val="24"/>
                <w:szCs w:val="24"/>
              </w:rPr>
              <w:t>、医生书写完成大病历后，首次病程记录内的有关大病历的内容应能自动生成，保证内容的一致性。</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2</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病历模版编辑器</w:t>
            </w:r>
          </w:p>
        </w:tc>
        <w:tc>
          <w:tcPr>
            <w:tcW w:w="7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、应能提供多科室多病种的病历模板，满足临床科室的大部分需要。</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、应能提供全结构化、标准化的快速模版制作，支持模版中知识库和医学片段模版的维护。</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书写的病历资料包括“首次病程记录、入院记录、病程记录（分病程记录、上级医师查房记录、术后病程记录、诊疗操作记录等）、术前小结、手术记录、各种手术治疗同意书、会诊记录、出院小结、死亡记录、病案首页”等。</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住院电子病历系统在满足西医的前提下，还需要能够根据中医院的特色，提供具有中医特色的功能，以满足中医病历书写规范的各项要求。如中医病案首页按中医要求生成，包含中西医诊断等；并且书写病历时，病历模板按中医病历书写要求来书写。</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、提供医院自定义模板格式和自定义模板内容，允许具有相应权限的医生编辑修改模版，模版统一管理。支持医学片段编辑，允许每个医生编辑自己的医学片段，通过审核后，可以在临床书写病历时引用。</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3</w:t>
            </w:r>
          </w:p>
        </w:tc>
        <w:tc>
          <w:tcPr>
            <w:tcW w:w="1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rPr>
            </w:pPr>
            <w:r>
              <w:rPr>
                <w:rFonts w:hint="eastAsia" w:ascii="宋体" w:hAnsi="宋体" w:cs="宋体"/>
                <w:color w:val="auto"/>
                <w:sz w:val="24"/>
                <w:szCs w:val="24"/>
              </w:rPr>
              <w:t>电子病案归档与调阅管理</w:t>
            </w:r>
          </w:p>
        </w:tc>
        <w:tc>
          <w:tcPr>
            <w:tcW w:w="76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提供电子病案的简易归档管理和调阅申请。</w:t>
            </w:r>
          </w:p>
        </w:tc>
      </w:tr>
    </w:tbl>
    <w:p>
      <w:pPr>
        <w:pStyle w:val="6"/>
        <w:rPr>
          <w:rFonts w:ascii="宋体" w:hAnsi="宋体" w:eastAsia="宋体" w:cs="Times New Roman"/>
          <w:color w:val="auto"/>
        </w:rPr>
      </w:pPr>
      <w:r>
        <w:rPr>
          <w:rFonts w:ascii="宋体" w:hAnsi="宋体" w:eastAsia="宋体" w:cs="宋体"/>
          <w:color w:val="auto"/>
        </w:rPr>
        <w:t>4.10.3</w:t>
      </w:r>
      <w:r>
        <w:rPr>
          <w:rFonts w:hint="eastAsia" w:ascii="宋体" w:hAnsi="宋体" w:eastAsia="宋体" w:cs="宋体"/>
          <w:color w:val="auto"/>
        </w:rPr>
        <w:t>、护理电子病历系统</w:t>
      </w:r>
    </w:p>
    <w:tbl>
      <w:tblPr>
        <w:tblStyle w:val="21"/>
        <w:tblW w:w="9960" w:type="dxa"/>
        <w:tblInd w:w="-564" w:type="dxa"/>
        <w:tblLayout w:type="autofit"/>
        <w:tblCellMar>
          <w:top w:w="0" w:type="dxa"/>
          <w:left w:w="10" w:type="dxa"/>
          <w:bottom w:w="0" w:type="dxa"/>
          <w:right w:w="10" w:type="dxa"/>
        </w:tblCellMar>
      </w:tblPr>
      <w:tblGrid>
        <w:gridCol w:w="786"/>
        <w:gridCol w:w="1538"/>
        <w:gridCol w:w="7636"/>
      </w:tblGrid>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636"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生命体征记录</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护士记录生命体征的功能，系统自动绘制体温单，支持待测体征记录自动生成，提供体征全病区统一录入入口，预留知识库接口，遇到异常体征予以提示，支持脉搏短绌等异常情况的自动绘制，支持打印体温单等。</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护理病历书写</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护理病历书写和打印功能，支持集中录入，具有护理病历的模版管理功能，允许存在科室不同的模版。支持按照医院的模版格式绘制模版，书写护理病历时，可以查看患者病历，并支持引用病历标签页操作，书写完成的护理病历，支持批量审查和签名。</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护理病历质控</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提供护理病历文书的内容质控功能。</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综合查询</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提供患者信息查询、护理记录查询、体征记录查询等。</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交接班报告</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提供护士交接班报告填写和打印功能，提供晨间早报汇总功能。</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护理电子病历与移动护理接口</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提供与移动护理系统的接口，与移动护理互联互通</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患者入院智能评估</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提供患者入院时的智能评估功能，指引护士完成入科的基本流程，包括体征测量、入院评估、护理诊断等。同时指导护士完成患者入院管理，规范患者入院工作流。</w:t>
            </w:r>
          </w:p>
        </w:tc>
      </w:tr>
      <w:tr>
        <w:tblPrEx>
          <w:tblCellMar>
            <w:top w:w="0" w:type="dxa"/>
            <w:left w:w="10" w:type="dxa"/>
            <w:bottom w:w="0" w:type="dxa"/>
            <w:right w:w="10" w:type="dxa"/>
          </w:tblCellMar>
        </w:tblPrEx>
        <w:trPr>
          <w:trHeight w:val="1" w:hRule="atLeast"/>
        </w:trPr>
        <w:tc>
          <w:tcPr>
            <w:tcW w:w="78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8</w:t>
            </w:r>
          </w:p>
        </w:tc>
        <w:tc>
          <w:tcPr>
            <w:tcW w:w="15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护理计划管理</w:t>
            </w:r>
          </w:p>
        </w:tc>
        <w:tc>
          <w:tcPr>
            <w:tcW w:w="76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提供护士制定护理计划的辅助功能，在获取患者治疗信息的基础上进行护理任务的拆分和提醒功能。</w:t>
            </w:r>
          </w:p>
        </w:tc>
      </w:tr>
    </w:tbl>
    <w:p>
      <w:pPr>
        <w:keepNext/>
        <w:keepLines/>
        <w:spacing w:before="156" w:after="156" w:line="416" w:lineRule="auto"/>
        <w:outlineLvl w:val="1"/>
        <w:rPr>
          <w:rFonts w:ascii="宋体"/>
          <w:b/>
          <w:bCs/>
          <w:color w:val="auto"/>
          <w:sz w:val="32"/>
          <w:szCs w:val="32"/>
        </w:rPr>
      </w:pPr>
      <w:bookmarkStart w:id="1023" w:name="_Toc82882804"/>
      <w:bookmarkStart w:id="1024" w:name="_Toc12939"/>
      <w:bookmarkStart w:id="1025" w:name="_Toc17214"/>
      <w:r>
        <w:rPr>
          <w:rFonts w:ascii="宋体" w:hAnsi="宋体" w:cs="宋体"/>
          <w:b/>
          <w:bCs/>
          <w:color w:val="auto"/>
          <w:sz w:val="32"/>
          <w:szCs w:val="32"/>
        </w:rPr>
        <w:t>4.11</w:t>
      </w:r>
      <w:r>
        <w:rPr>
          <w:rFonts w:hint="eastAsia" w:ascii="宋体" w:hAnsi="宋体" w:cs="宋体"/>
          <w:b/>
          <w:bCs/>
          <w:color w:val="auto"/>
          <w:sz w:val="32"/>
          <w:szCs w:val="32"/>
        </w:rPr>
        <w:t>、影像管理</w:t>
      </w:r>
      <w:bookmarkEnd w:id="1023"/>
      <w:bookmarkEnd w:id="1024"/>
      <w:bookmarkEnd w:id="1025"/>
    </w:p>
    <w:p>
      <w:pPr>
        <w:pStyle w:val="6"/>
        <w:rPr>
          <w:rFonts w:ascii="宋体" w:hAnsi="宋体" w:eastAsia="宋体" w:cs="Times New Roman"/>
          <w:color w:val="auto"/>
        </w:rPr>
      </w:pPr>
      <w:r>
        <w:rPr>
          <w:rFonts w:ascii="宋体" w:hAnsi="宋体" w:eastAsia="宋体" w:cs="宋体"/>
          <w:color w:val="auto"/>
        </w:rPr>
        <w:t>4.11.1</w:t>
      </w:r>
      <w:r>
        <w:rPr>
          <w:rFonts w:hint="eastAsia" w:ascii="宋体" w:hAnsi="宋体" w:eastAsia="宋体" w:cs="宋体"/>
          <w:color w:val="auto"/>
        </w:rPr>
        <w:t>、医学影像存储与归档系统</w:t>
      </w:r>
    </w:p>
    <w:p>
      <w:pPr>
        <w:pStyle w:val="6"/>
        <w:rPr>
          <w:rFonts w:ascii="宋体" w:hAnsi="宋体" w:eastAsia="宋体" w:cs="Times New Roman"/>
          <w:color w:val="auto"/>
        </w:rPr>
      </w:pPr>
      <w:r>
        <w:rPr>
          <w:rFonts w:ascii="宋体" w:hAnsi="宋体" w:eastAsia="宋体" w:cs="宋体"/>
          <w:color w:val="auto"/>
        </w:rPr>
        <w:t>4.11.1.1</w:t>
      </w:r>
      <w:r>
        <w:rPr>
          <w:rFonts w:hint="eastAsia" w:ascii="宋体" w:hAnsi="宋体" w:eastAsia="宋体" w:cs="宋体"/>
          <w:color w:val="auto"/>
        </w:rPr>
        <w:t>、</w:t>
      </w:r>
      <w:r>
        <w:rPr>
          <w:rFonts w:ascii="宋体" w:hAnsi="宋体" w:eastAsia="宋体" w:cs="宋体"/>
          <w:color w:val="auto"/>
        </w:rPr>
        <w:t>PACS</w:t>
      </w:r>
      <w:r>
        <w:rPr>
          <w:rFonts w:hint="eastAsia" w:ascii="宋体" w:hAnsi="宋体" w:eastAsia="宋体" w:cs="宋体"/>
          <w:color w:val="auto"/>
        </w:rPr>
        <w:t>服务器系统</w:t>
      </w:r>
    </w:p>
    <w:tbl>
      <w:tblPr>
        <w:tblStyle w:val="21"/>
        <w:tblW w:w="10014" w:type="dxa"/>
        <w:tblInd w:w="-618" w:type="dxa"/>
        <w:tblLayout w:type="autofit"/>
        <w:tblCellMar>
          <w:top w:w="0" w:type="dxa"/>
          <w:left w:w="10" w:type="dxa"/>
          <w:bottom w:w="0" w:type="dxa"/>
          <w:right w:w="10" w:type="dxa"/>
        </w:tblCellMar>
      </w:tblPr>
      <w:tblGrid>
        <w:gridCol w:w="807"/>
        <w:gridCol w:w="9207"/>
      </w:tblGrid>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采用</w:t>
            </w:r>
            <w:r>
              <w:rPr>
                <w:rFonts w:ascii="宋体" w:hAnsi="宋体" w:cs="宋体"/>
                <w:color w:val="auto"/>
                <w:sz w:val="24"/>
                <w:szCs w:val="24"/>
              </w:rPr>
              <w:t>ORACLE</w:t>
            </w:r>
            <w:r>
              <w:rPr>
                <w:rFonts w:hint="eastAsia" w:ascii="宋体" w:hAnsi="宋体" w:cs="宋体"/>
                <w:color w:val="auto"/>
                <w:sz w:val="24"/>
                <w:szCs w:val="24"/>
              </w:rPr>
              <w:t>或</w:t>
            </w:r>
            <w:r>
              <w:rPr>
                <w:rFonts w:ascii="宋体" w:hAnsi="宋体" w:cs="宋体"/>
                <w:color w:val="auto"/>
                <w:sz w:val="24"/>
                <w:szCs w:val="24"/>
              </w:rPr>
              <w:t>SQL SERVER</w:t>
            </w:r>
            <w:r>
              <w:rPr>
                <w:rFonts w:hint="eastAsia" w:ascii="宋体" w:hAnsi="宋体" w:cs="宋体"/>
                <w:color w:val="auto"/>
                <w:sz w:val="24"/>
                <w:szCs w:val="24"/>
              </w:rPr>
              <w:t>主流数据库。</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210"/>
              <w:rPr>
                <w:rFonts w:ascii="宋体"/>
                <w:color w:val="auto"/>
                <w:sz w:val="22"/>
                <w:szCs w:val="22"/>
              </w:rPr>
            </w:pPr>
            <w:r>
              <w:rPr>
                <w:rFonts w:ascii="宋体" w:hAnsi="宋体" w:cs="宋体"/>
                <w:color w:val="auto"/>
                <w:sz w:val="22"/>
                <w:szCs w:val="22"/>
              </w:rPr>
              <w:t>2</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可以使用</w:t>
            </w:r>
            <w:r>
              <w:rPr>
                <w:rFonts w:ascii="宋体" w:hAnsi="宋体" w:cs="宋体"/>
                <w:color w:val="auto"/>
                <w:sz w:val="24"/>
                <w:szCs w:val="24"/>
              </w:rPr>
              <w:t>windows</w:t>
            </w:r>
            <w:r>
              <w:rPr>
                <w:rFonts w:hint="eastAsia" w:ascii="宋体" w:hAnsi="宋体" w:cs="宋体"/>
                <w:color w:val="auto"/>
                <w:sz w:val="24"/>
                <w:szCs w:val="24"/>
              </w:rPr>
              <w:t>、</w:t>
            </w:r>
            <w:r>
              <w:rPr>
                <w:rFonts w:ascii="宋体" w:hAnsi="宋体" w:cs="宋体"/>
                <w:color w:val="auto"/>
                <w:sz w:val="24"/>
                <w:szCs w:val="24"/>
              </w:rPr>
              <w:t>Linux</w:t>
            </w:r>
            <w:r>
              <w:rPr>
                <w:rFonts w:hint="eastAsia" w:ascii="宋体" w:hAnsi="宋体" w:cs="宋体"/>
                <w:color w:val="auto"/>
                <w:sz w:val="24"/>
                <w:szCs w:val="24"/>
              </w:rPr>
              <w:t>、</w:t>
            </w:r>
            <w:r>
              <w:rPr>
                <w:rFonts w:ascii="宋体" w:hAnsi="宋体" w:cs="宋体"/>
                <w:color w:val="auto"/>
                <w:sz w:val="24"/>
                <w:szCs w:val="24"/>
              </w:rPr>
              <w:t>Unix</w:t>
            </w:r>
            <w:r>
              <w:rPr>
                <w:rFonts w:hint="eastAsia" w:ascii="宋体" w:hAnsi="宋体" w:cs="宋体"/>
                <w:color w:val="auto"/>
                <w:sz w:val="24"/>
                <w:szCs w:val="24"/>
              </w:rPr>
              <w:t>等主流操作系统。</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3</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存储格式遵循</w:t>
            </w:r>
            <w:r>
              <w:rPr>
                <w:rFonts w:ascii="宋体" w:hAnsi="宋体" w:cs="宋体"/>
                <w:color w:val="auto"/>
                <w:sz w:val="24"/>
                <w:szCs w:val="24"/>
              </w:rPr>
              <w:t>DICOM3.0</w:t>
            </w:r>
            <w:r>
              <w:rPr>
                <w:rFonts w:hint="eastAsia" w:ascii="宋体" w:hAnsi="宋体" w:cs="宋体"/>
                <w:color w:val="auto"/>
                <w:sz w:val="24"/>
                <w:szCs w:val="24"/>
              </w:rPr>
              <w:t>标准：具有常见</w:t>
            </w:r>
            <w:r>
              <w:rPr>
                <w:rFonts w:ascii="宋体" w:hAnsi="宋体" w:cs="宋体"/>
                <w:color w:val="auto"/>
                <w:sz w:val="24"/>
                <w:szCs w:val="24"/>
              </w:rPr>
              <w:t>DICOM</w:t>
            </w:r>
            <w:r>
              <w:rPr>
                <w:rFonts w:hint="eastAsia" w:ascii="宋体" w:hAnsi="宋体" w:cs="宋体"/>
                <w:color w:val="auto"/>
                <w:sz w:val="24"/>
                <w:szCs w:val="24"/>
              </w:rPr>
              <w:t>影像的存储功能；具有</w:t>
            </w:r>
            <w:r>
              <w:rPr>
                <w:rFonts w:ascii="宋体" w:hAnsi="宋体" w:cs="宋体"/>
                <w:color w:val="auto"/>
                <w:sz w:val="24"/>
                <w:szCs w:val="24"/>
              </w:rPr>
              <w:t>DICOM</w:t>
            </w:r>
            <w:r>
              <w:rPr>
                <w:rFonts w:hint="eastAsia" w:ascii="宋体" w:hAnsi="宋体" w:cs="宋体"/>
                <w:color w:val="auto"/>
                <w:sz w:val="24"/>
                <w:szCs w:val="24"/>
              </w:rPr>
              <w:t>结构化报告</w:t>
            </w:r>
            <w:r>
              <w:rPr>
                <w:rFonts w:ascii="宋体" w:hAnsi="宋体" w:cs="宋体"/>
                <w:color w:val="auto"/>
                <w:sz w:val="24"/>
                <w:szCs w:val="24"/>
              </w:rPr>
              <w:t>SR</w:t>
            </w:r>
            <w:r>
              <w:rPr>
                <w:rFonts w:hint="eastAsia" w:ascii="宋体" w:hAnsi="宋体" w:cs="宋体"/>
                <w:color w:val="auto"/>
                <w:sz w:val="24"/>
                <w:szCs w:val="24"/>
              </w:rPr>
              <w:t>的存储功能、具有</w:t>
            </w:r>
            <w:r>
              <w:rPr>
                <w:rFonts w:ascii="宋体" w:hAnsi="宋体" w:cs="宋体"/>
                <w:color w:val="auto"/>
                <w:sz w:val="24"/>
                <w:szCs w:val="24"/>
              </w:rPr>
              <w:t>DICOM</w:t>
            </w:r>
            <w:r>
              <w:rPr>
                <w:rFonts w:hint="eastAsia" w:ascii="宋体" w:hAnsi="宋体" w:cs="宋体"/>
                <w:color w:val="auto"/>
                <w:sz w:val="24"/>
                <w:szCs w:val="24"/>
              </w:rPr>
              <w:t>留痕信息</w:t>
            </w:r>
            <w:r>
              <w:rPr>
                <w:rFonts w:ascii="宋体" w:hAnsi="宋体" w:cs="宋体"/>
                <w:color w:val="auto"/>
                <w:sz w:val="24"/>
                <w:szCs w:val="24"/>
              </w:rPr>
              <w:t>GSPS</w:t>
            </w:r>
            <w:r>
              <w:rPr>
                <w:rFonts w:hint="eastAsia" w:ascii="宋体" w:hAnsi="宋体" w:cs="宋体"/>
                <w:color w:val="auto"/>
                <w:sz w:val="24"/>
                <w:szCs w:val="24"/>
              </w:rPr>
              <w:t>的存储功能；具有</w:t>
            </w:r>
            <w:r>
              <w:rPr>
                <w:rFonts w:ascii="宋体" w:hAnsi="宋体" w:cs="宋体"/>
                <w:color w:val="auto"/>
                <w:sz w:val="24"/>
                <w:szCs w:val="24"/>
              </w:rPr>
              <w:t>DICOM Store</w:t>
            </w:r>
            <w:r>
              <w:rPr>
                <w:rFonts w:hint="eastAsia" w:ascii="宋体" w:hAnsi="宋体" w:cs="宋体"/>
                <w:color w:val="auto"/>
                <w:sz w:val="24"/>
                <w:szCs w:val="24"/>
              </w:rPr>
              <w:t>服务；具有</w:t>
            </w:r>
            <w:r>
              <w:rPr>
                <w:rFonts w:ascii="宋体" w:hAnsi="宋体" w:cs="宋体"/>
                <w:color w:val="auto"/>
                <w:sz w:val="24"/>
                <w:szCs w:val="24"/>
              </w:rPr>
              <w:t>DICOM Worklist</w:t>
            </w:r>
            <w:r>
              <w:rPr>
                <w:rFonts w:hint="eastAsia" w:ascii="宋体" w:hAnsi="宋体" w:cs="宋体"/>
                <w:color w:val="auto"/>
                <w:sz w:val="24"/>
                <w:szCs w:val="24"/>
              </w:rPr>
              <w:t>服务；具有</w:t>
            </w:r>
            <w:r>
              <w:rPr>
                <w:rFonts w:ascii="宋体" w:hAnsi="宋体" w:cs="宋体"/>
                <w:color w:val="auto"/>
                <w:sz w:val="24"/>
                <w:szCs w:val="24"/>
              </w:rPr>
              <w:t>DICOM PPSM</w:t>
            </w:r>
            <w:r>
              <w:rPr>
                <w:rFonts w:hint="eastAsia" w:ascii="宋体" w:hAnsi="宋体" w:cs="宋体"/>
                <w:color w:val="auto"/>
                <w:sz w:val="24"/>
                <w:szCs w:val="24"/>
              </w:rPr>
              <w:t>服务；具有</w:t>
            </w:r>
            <w:r>
              <w:rPr>
                <w:rFonts w:ascii="宋体" w:hAnsi="宋体" w:cs="宋体"/>
                <w:color w:val="auto"/>
                <w:sz w:val="24"/>
                <w:szCs w:val="24"/>
              </w:rPr>
              <w:t>DICOM Query/Retrieve</w:t>
            </w:r>
            <w:r>
              <w:rPr>
                <w:rFonts w:hint="eastAsia" w:ascii="宋体" w:hAnsi="宋体" w:cs="宋体"/>
                <w:color w:val="auto"/>
                <w:sz w:val="24"/>
                <w:szCs w:val="24"/>
              </w:rPr>
              <w:t>服务。</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4</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w:t>
            </w:r>
            <w:r>
              <w:rPr>
                <w:rFonts w:ascii="宋体" w:hAnsi="宋体" w:cs="宋体"/>
                <w:color w:val="auto"/>
                <w:sz w:val="24"/>
                <w:szCs w:val="24"/>
              </w:rPr>
              <w:t xml:space="preserve">DICOM3.0 </w:t>
            </w:r>
            <w:r>
              <w:rPr>
                <w:rFonts w:hint="eastAsia" w:ascii="宋体" w:hAnsi="宋体" w:cs="宋体"/>
                <w:color w:val="auto"/>
                <w:sz w:val="24"/>
                <w:szCs w:val="24"/>
              </w:rPr>
              <w:t>的</w:t>
            </w:r>
            <w:r>
              <w:rPr>
                <w:rFonts w:ascii="宋体" w:hAnsi="宋体" w:cs="宋体"/>
                <w:color w:val="auto"/>
                <w:sz w:val="24"/>
                <w:szCs w:val="24"/>
              </w:rPr>
              <w:t>SOP Class</w:t>
            </w:r>
            <w:r>
              <w:rPr>
                <w:rFonts w:hint="eastAsia" w:ascii="宋体" w:hAnsi="宋体" w:cs="宋体"/>
                <w:color w:val="auto"/>
                <w:sz w:val="24"/>
                <w:szCs w:val="24"/>
              </w:rPr>
              <w:t>：</w:t>
            </w:r>
            <w:r>
              <w:rPr>
                <w:rFonts w:ascii="宋体" w:hAnsi="宋体" w:cs="宋体"/>
                <w:color w:val="auto"/>
                <w:sz w:val="24"/>
                <w:szCs w:val="24"/>
              </w:rPr>
              <w:t>Patient Root Find/Move</w:t>
            </w:r>
            <w:r>
              <w:rPr>
                <w:rFonts w:hint="eastAsia" w:ascii="宋体" w:hAnsi="宋体" w:cs="宋体"/>
                <w:color w:val="auto"/>
                <w:sz w:val="24"/>
                <w:szCs w:val="24"/>
              </w:rPr>
              <w:t>、</w:t>
            </w:r>
            <w:r>
              <w:rPr>
                <w:rFonts w:ascii="宋体" w:hAnsi="宋体" w:cs="宋体"/>
                <w:color w:val="auto"/>
                <w:sz w:val="24"/>
                <w:szCs w:val="24"/>
              </w:rPr>
              <w:t>Study Root Find/Move</w:t>
            </w:r>
            <w:r>
              <w:rPr>
                <w:rFonts w:hint="eastAsia" w:ascii="宋体" w:hAnsi="宋体" w:cs="宋体"/>
                <w:color w:val="auto"/>
                <w:sz w:val="24"/>
                <w:szCs w:val="24"/>
              </w:rPr>
              <w:t>，可允许多个客户端工作站同时根据患者姓名、检查设备、检查部位、影像号、检查时间日期等多种查询条件的组合形式查询与调阅影像，并提供查询影像调阅前的缩略图预览功能。</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5</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可以同时接受多个不同影像设备发送的数据，所有设备影像直接发送到服务器，不经过其他工作站中转，病人所有影像可以集中阅片。</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6</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具有影像预取和影像自动路由功能。</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7</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可以采用集中式数据库储存管理机制，使用快速定位算法，直接定位影像存储位置，数据库中无需记录图像索引信息。</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8</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安全日志：提供影像数据的各种状态记录日志（影像修改、删除、存档、影像调阅、影像传输），并提供相应分析工具。</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9</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具有符合</w:t>
            </w:r>
            <w:r>
              <w:rPr>
                <w:rFonts w:ascii="宋体" w:hAnsi="宋体" w:cs="宋体"/>
                <w:color w:val="auto"/>
                <w:sz w:val="24"/>
                <w:szCs w:val="24"/>
              </w:rPr>
              <w:t>JPG</w:t>
            </w:r>
            <w:r>
              <w:rPr>
                <w:rFonts w:hint="eastAsia" w:ascii="宋体" w:hAnsi="宋体" w:cs="宋体"/>
                <w:color w:val="auto"/>
                <w:sz w:val="24"/>
                <w:szCs w:val="24"/>
              </w:rPr>
              <w:t>、</w:t>
            </w:r>
            <w:r>
              <w:rPr>
                <w:rFonts w:ascii="宋体" w:hAnsi="宋体" w:cs="宋体"/>
                <w:color w:val="auto"/>
                <w:sz w:val="24"/>
                <w:szCs w:val="24"/>
              </w:rPr>
              <w:t>JPEG2000</w:t>
            </w:r>
            <w:r>
              <w:rPr>
                <w:rFonts w:hint="eastAsia" w:ascii="宋体" w:hAnsi="宋体" w:cs="宋体"/>
                <w:color w:val="auto"/>
                <w:sz w:val="24"/>
                <w:szCs w:val="24"/>
              </w:rPr>
              <w:t>标准压缩功能；具有有损压缩（</w:t>
            </w:r>
            <w:r>
              <w:rPr>
                <w:rFonts w:ascii="宋体" w:hAnsi="宋体" w:cs="宋体"/>
                <w:color w:val="auto"/>
                <w:sz w:val="24"/>
                <w:szCs w:val="24"/>
              </w:rPr>
              <w:t>LOSSY</w:t>
            </w:r>
            <w:r>
              <w:rPr>
                <w:rFonts w:hint="eastAsia" w:ascii="宋体" w:hAnsi="宋体" w:cs="宋体"/>
                <w:color w:val="auto"/>
                <w:sz w:val="24"/>
                <w:szCs w:val="24"/>
              </w:rPr>
              <w:t>）和无损压缩（</w:t>
            </w:r>
            <w:r>
              <w:rPr>
                <w:rFonts w:ascii="宋体" w:hAnsi="宋体" w:cs="宋体"/>
                <w:color w:val="auto"/>
                <w:sz w:val="24"/>
                <w:szCs w:val="24"/>
              </w:rPr>
              <w:t>LOSSLESS</w:t>
            </w:r>
            <w:r>
              <w:rPr>
                <w:rFonts w:hint="eastAsia" w:ascii="宋体" w:hAnsi="宋体" w:cs="宋体"/>
                <w:color w:val="auto"/>
                <w:sz w:val="24"/>
                <w:szCs w:val="24"/>
              </w:rPr>
              <w:t>）两种常见格式压缩功能。</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10</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具有系统安全账户管理：用户和密码管理，可以配置系统级</w:t>
            </w:r>
            <w:r>
              <w:rPr>
                <w:rFonts w:ascii="宋体" w:hAnsi="宋体" w:cs="宋体"/>
                <w:color w:val="auto"/>
                <w:sz w:val="24"/>
                <w:szCs w:val="24"/>
              </w:rPr>
              <w:t>/</w:t>
            </w:r>
            <w:r>
              <w:rPr>
                <w:rFonts w:hint="eastAsia" w:ascii="宋体" w:hAnsi="宋体" w:cs="宋体"/>
                <w:color w:val="auto"/>
                <w:sz w:val="24"/>
                <w:szCs w:val="24"/>
              </w:rPr>
              <w:t>用户组级</w:t>
            </w:r>
            <w:r>
              <w:rPr>
                <w:rFonts w:ascii="宋体" w:hAnsi="宋体" w:cs="宋体"/>
                <w:color w:val="auto"/>
                <w:sz w:val="24"/>
                <w:szCs w:val="24"/>
              </w:rPr>
              <w:t>/</w:t>
            </w:r>
            <w:r>
              <w:rPr>
                <w:rFonts w:hint="eastAsia" w:ascii="宋体" w:hAnsi="宋体" w:cs="宋体"/>
                <w:color w:val="auto"/>
                <w:sz w:val="24"/>
                <w:szCs w:val="24"/>
              </w:rPr>
              <w:t>用户级不同的账户管理。</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11</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具有日志管理：可以设置日志的记录级别。</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12</w:t>
            </w:r>
          </w:p>
        </w:tc>
        <w:tc>
          <w:tcPr>
            <w:tcW w:w="9207"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系统管理员权限由服务器统一管理，并发控制。只要拥有权限，可以从任意终端登陆，管理系统。</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4.11. 2</w:t>
      </w:r>
      <w:r>
        <w:rPr>
          <w:rFonts w:hint="eastAsia" w:ascii="宋体" w:hAnsi="宋体" w:eastAsia="宋体" w:cs="宋体"/>
          <w:color w:val="auto"/>
        </w:rPr>
        <w:t>、影像工作站系统</w:t>
      </w:r>
    </w:p>
    <w:tbl>
      <w:tblPr>
        <w:tblStyle w:val="21"/>
        <w:tblW w:w="10036" w:type="dxa"/>
        <w:tblInd w:w="-705" w:type="dxa"/>
        <w:tblLayout w:type="autofit"/>
        <w:tblCellMar>
          <w:top w:w="0" w:type="dxa"/>
          <w:left w:w="10" w:type="dxa"/>
          <w:bottom w:w="0" w:type="dxa"/>
          <w:right w:w="10" w:type="dxa"/>
        </w:tblCellMar>
      </w:tblPr>
      <w:tblGrid>
        <w:gridCol w:w="818"/>
        <w:gridCol w:w="9218"/>
      </w:tblGrid>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hint="eastAsia" w:ascii="宋体" w:hAnsi="宋体" w:cs="宋体"/>
                <w:color w:val="auto"/>
                <w:sz w:val="24"/>
                <w:szCs w:val="24"/>
              </w:rPr>
              <w:t>软件功能：平面旋转、翻转、无极缩放、放大镜、影像移动漫游、伪彩处理、边缘提取、图像复制、支持按部位默认的窗宽、窗位或存储时设定的窗宽、窗位显示、</w:t>
            </w:r>
            <w:r>
              <w:rPr>
                <w:rFonts w:ascii="宋体" w:hAnsi="宋体" w:cs="宋体"/>
                <w:color w:val="auto"/>
                <w:sz w:val="24"/>
                <w:szCs w:val="24"/>
              </w:rPr>
              <w:t>ROI</w:t>
            </w:r>
            <w:r>
              <w:rPr>
                <w:rFonts w:hint="eastAsia" w:ascii="宋体" w:hAnsi="宋体" w:cs="宋体"/>
                <w:color w:val="auto"/>
                <w:sz w:val="24"/>
                <w:szCs w:val="24"/>
              </w:rPr>
              <w:t>自动窗宽、窗位调节、同时显示多幅图像时，可以独立调整各幅图像的窗宽、窗位。</w:t>
            </w:r>
          </w:p>
          <w:p>
            <w:pPr>
              <w:spacing w:before="156" w:after="156" w:line="360" w:lineRule="auto"/>
              <w:rPr>
                <w:rFonts w:ascii="宋体"/>
                <w:color w:val="auto"/>
              </w:rPr>
            </w:pPr>
            <w:r>
              <w:rPr>
                <w:rFonts w:hint="eastAsia" w:ascii="宋体" w:hAnsi="宋体" w:cs="宋体"/>
                <w:color w:val="auto"/>
                <w:sz w:val="24"/>
                <w:szCs w:val="24"/>
              </w:rPr>
              <w:t>系统允许用户自定义窗宽、窗位组合，并可方便选择、显示双窗宽</w:t>
            </w:r>
            <w:r>
              <w:rPr>
                <w:rFonts w:ascii="宋体" w:hAnsi="宋体" w:cs="宋体"/>
                <w:color w:val="auto"/>
                <w:sz w:val="24"/>
                <w:szCs w:val="24"/>
              </w:rPr>
              <w:t>/</w:t>
            </w:r>
            <w:r>
              <w:rPr>
                <w:rFonts w:hint="eastAsia" w:ascii="宋体" w:hAnsi="宋体" w:cs="宋体"/>
                <w:color w:val="auto"/>
                <w:sz w:val="24"/>
                <w:szCs w:val="24"/>
              </w:rPr>
              <w:t>窗位、平滑、锐化处理、对比度翻转、伸展、补偿、图像标注、图像头信息查看、长度、面积计算显示，角度测量，椭圆测量，角度测量，距离测量，图形标注，箭头标志，图像文字标注、</w:t>
            </w:r>
            <w:r>
              <w:rPr>
                <w:rFonts w:ascii="宋体" w:hAnsi="宋体" w:cs="宋体"/>
                <w:color w:val="auto"/>
                <w:sz w:val="24"/>
                <w:szCs w:val="24"/>
              </w:rPr>
              <w:t>ROI</w:t>
            </w:r>
            <w:r>
              <w:rPr>
                <w:rFonts w:hint="eastAsia" w:ascii="宋体" w:hAnsi="宋体" w:cs="宋体"/>
                <w:color w:val="auto"/>
                <w:sz w:val="24"/>
                <w:szCs w:val="24"/>
              </w:rPr>
              <w:t>平均密度值测量、心胸比测量、</w:t>
            </w:r>
            <w:r>
              <w:rPr>
                <w:rFonts w:ascii="宋体" w:hAnsi="宋体" w:cs="宋体"/>
                <w:color w:val="auto"/>
                <w:sz w:val="24"/>
                <w:szCs w:val="24"/>
              </w:rPr>
              <w:t>DICOM DIR</w:t>
            </w:r>
            <w:r>
              <w:rPr>
                <w:rFonts w:hint="eastAsia" w:ascii="宋体" w:hAnsi="宋体" w:cs="宋体"/>
                <w:color w:val="auto"/>
                <w:sz w:val="24"/>
                <w:szCs w:val="24"/>
              </w:rPr>
              <w:t>光盘读取、多帧</w:t>
            </w:r>
            <w:r>
              <w:rPr>
                <w:rFonts w:ascii="宋体" w:hAnsi="宋体" w:cs="宋体"/>
                <w:color w:val="auto"/>
                <w:sz w:val="24"/>
                <w:szCs w:val="24"/>
              </w:rPr>
              <w:t>DICOM</w:t>
            </w:r>
            <w:r>
              <w:rPr>
                <w:rFonts w:hint="eastAsia" w:ascii="宋体" w:hAnsi="宋体" w:cs="宋体"/>
                <w:color w:val="auto"/>
                <w:sz w:val="24"/>
                <w:szCs w:val="24"/>
              </w:rPr>
              <w:t>图像循环播放</w:t>
            </w:r>
            <w:r>
              <w:rPr>
                <w:rFonts w:ascii="宋体" w:hAnsi="宋体" w:cs="宋体"/>
                <w:color w:val="auto"/>
                <w:sz w:val="24"/>
                <w:szCs w:val="24"/>
              </w:rPr>
              <w:t>;</w:t>
            </w:r>
            <w:r>
              <w:rPr>
                <w:rFonts w:hint="eastAsia" w:ascii="宋体" w:hAnsi="宋体" w:cs="宋体"/>
                <w:color w:val="auto"/>
                <w:sz w:val="24"/>
                <w:szCs w:val="24"/>
              </w:rPr>
              <w:t>序列</w:t>
            </w:r>
            <w:r>
              <w:rPr>
                <w:rFonts w:ascii="宋体" w:hAnsi="宋体" w:cs="宋体"/>
                <w:color w:val="auto"/>
                <w:sz w:val="24"/>
                <w:szCs w:val="24"/>
              </w:rPr>
              <w:t>DICOM</w:t>
            </w:r>
            <w:r>
              <w:rPr>
                <w:rFonts w:hint="eastAsia" w:ascii="宋体" w:hAnsi="宋体" w:cs="宋体"/>
                <w:color w:val="auto"/>
                <w:sz w:val="24"/>
                <w:szCs w:val="24"/>
              </w:rPr>
              <w:t>影像动态回放。</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2</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每个工作站免费提供影像</w:t>
            </w:r>
            <w:r>
              <w:rPr>
                <w:rFonts w:ascii="宋体" w:hAnsi="宋体" w:cs="宋体"/>
                <w:color w:val="auto"/>
                <w:sz w:val="24"/>
                <w:szCs w:val="24"/>
              </w:rPr>
              <w:t>2D/3D</w:t>
            </w:r>
            <w:r>
              <w:rPr>
                <w:rFonts w:hint="eastAsia" w:ascii="宋体" w:hAnsi="宋体" w:cs="宋体"/>
                <w:color w:val="auto"/>
                <w:sz w:val="24"/>
                <w:szCs w:val="24"/>
              </w:rPr>
              <w:t>重建处理：常规提供如</w:t>
            </w:r>
            <w:r>
              <w:rPr>
                <w:rFonts w:ascii="宋体" w:hAnsi="宋体" w:cs="宋体"/>
                <w:color w:val="auto"/>
                <w:sz w:val="24"/>
                <w:szCs w:val="24"/>
              </w:rPr>
              <w:t>MPR</w:t>
            </w:r>
            <w:r>
              <w:rPr>
                <w:rFonts w:hint="eastAsia" w:ascii="宋体" w:hAnsi="宋体" w:cs="宋体"/>
                <w:color w:val="auto"/>
                <w:sz w:val="24"/>
                <w:szCs w:val="24"/>
              </w:rPr>
              <w:t>（正交多平面重建）、</w:t>
            </w:r>
            <w:r>
              <w:rPr>
                <w:rFonts w:ascii="宋体" w:hAnsi="宋体" w:cs="宋体"/>
                <w:color w:val="auto"/>
                <w:sz w:val="24"/>
                <w:szCs w:val="24"/>
              </w:rPr>
              <w:t>fMPR</w:t>
            </w:r>
            <w:r>
              <w:rPr>
                <w:rFonts w:hint="eastAsia" w:ascii="宋体" w:hAnsi="宋体" w:cs="宋体"/>
                <w:color w:val="auto"/>
                <w:sz w:val="24"/>
                <w:szCs w:val="24"/>
              </w:rPr>
              <w:t>（任意多平面重建）、</w:t>
            </w:r>
            <w:r>
              <w:rPr>
                <w:rFonts w:ascii="宋体" w:hAnsi="宋体" w:cs="宋体"/>
                <w:color w:val="auto"/>
                <w:sz w:val="24"/>
                <w:szCs w:val="24"/>
              </w:rPr>
              <w:t>MIP</w:t>
            </w:r>
            <w:r>
              <w:rPr>
                <w:rFonts w:hint="eastAsia" w:ascii="宋体" w:hAnsi="宋体" w:cs="宋体"/>
                <w:color w:val="auto"/>
                <w:sz w:val="24"/>
                <w:szCs w:val="24"/>
              </w:rPr>
              <w:t>（最大密度重建）、</w:t>
            </w:r>
            <w:r>
              <w:rPr>
                <w:rFonts w:ascii="宋体" w:hAnsi="宋体" w:cs="宋体"/>
                <w:color w:val="auto"/>
                <w:sz w:val="24"/>
                <w:szCs w:val="24"/>
              </w:rPr>
              <w:t>VR</w:t>
            </w:r>
            <w:r>
              <w:rPr>
                <w:rFonts w:hint="eastAsia" w:ascii="宋体" w:hAnsi="宋体" w:cs="宋体"/>
                <w:color w:val="auto"/>
                <w:sz w:val="24"/>
                <w:szCs w:val="24"/>
              </w:rPr>
              <w:t>（容积重建）等</w:t>
            </w:r>
            <w:r>
              <w:rPr>
                <w:rFonts w:ascii="宋体" w:hAnsi="宋体" w:cs="宋体"/>
                <w:color w:val="auto"/>
                <w:sz w:val="24"/>
                <w:szCs w:val="24"/>
              </w:rPr>
              <w:t>2D/3D</w:t>
            </w:r>
            <w:r>
              <w:rPr>
                <w:rFonts w:hint="eastAsia" w:ascii="宋体" w:hAnsi="宋体" w:cs="宋体"/>
                <w:color w:val="auto"/>
                <w:sz w:val="24"/>
                <w:szCs w:val="24"/>
              </w:rPr>
              <w:t>影像重建处理功能。</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3</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系统支持按检查类型相关的显示设置自动安排显示布局，支持按用户可选择和可定义的显示设置调整显示布局。</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4</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影像比较：同时调阅一个病人或多个患者不同诊断序列、不同时期影像对比显示以帮助诊断。对于相同检查的</w:t>
            </w:r>
            <w:r>
              <w:rPr>
                <w:rFonts w:ascii="宋体" w:hAnsi="宋体" w:cs="宋体"/>
                <w:color w:val="auto"/>
                <w:sz w:val="24"/>
                <w:szCs w:val="24"/>
              </w:rPr>
              <w:t>CT</w:t>
            </w:r>
            <w:r>
              <w:rPr>
                <w:rFonts w:hint="eastAsia" w:ascii="宋体" w:hAnsi="宋体" w:cs="宋体"/>
                <w:color w:val="auto"/>
                <w:sz w:val="24"/>
                <w:szCs w:val="24"/>
              </w:rPr>
              <w:t>影像序列可自动对齐后自动逐层比较，对于不同检查的</w:t>
            </w:r>
            <w:r>
              <w:rPr>
                <w:rFonts w:ascii="宋体" w:hAnsi="宋体" w:cs="宋体"/>
                <w:color w:val="auto"/>
                <w:sz w:val="24"/>
                <w:szCs w:val="24"/>
              </w:rPr>
              <w:t>CT</w:t>
            </w:r>
            <w:r>
              <w:rPr>
                <w:rFonts w:hint="eastAsia" w:ascii="宋体" w:hAnsi="宋体" w:cs="宋体"/>
                <w:color w:val="auto"/>
                <w:sz w:val="24"/>
                <w:szCs w:val="24"/>
              </w:rPr>
              <w:t>影像序列（复查、随访等）可手动对齐后自动逐层比较，尤其适用于反复多次复查的结核患者。</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5</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恢复原始图像显示功能。</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6</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MR</w:t>
            </w:r>
            <w:r>
              <w:rPr>
                <w:rFonts w:hint="eastAsia" w:ascii="宋体" w:hAnsi="宋体" w:cs="宋体"/>
                <w:color w:val="auto"/>
                <w:sz w:val="24"/>
                <w:szCs w:val="24"/>
              </w:rPr>
              <w:t>和</w:t>
            </w:r>
            <w:r>
              <w:rPr>
                <w:rFonts w:ascii="宋体" w:hAnsi="宋体" w:cs="宋体"/>
                <w:color w:val="auto"/>
                <w:sz w:val="24"/>
                <w:szCs w:val="24"/>
              </w:rPr>
              <w:t>CT</w:t>
            </w:r>
            <w:r>
              <w:rPr>
                <w:rFonts w:hint="eastAsia" w:ascii="宋体" w:hAnsi="宋体" w:cs="宋体"/>
                <w:color w:val="auto"/>
                <w:sz w:val="24"/>
                <w:szCs w:val="24"/>
              </w:rPr>
              <w:t>图像定位线显示、导航。</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7</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同一窗口内多序列图像多定位线交叉引用。</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8</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关键图像标记和显示。</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9</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支持多屏设置显示。</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10</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支持丰富的影像打印排版模式：同一个病人不同检查影像拼图打印；不同病人的相同</w:t>
            </w:r>
            <w:r>
              <w:rPr>
                <w:rFonts w:ascii="宋体" w:hAnsi="宋体" w:cs="宋体"/>
                <w:color w:val="auto"/>
                <w:sz w:val="24"/>
                <w:szCs w:val="24"/>
              </w:rPr>
              <w:t>/</w:t>
            </w:r>
            <w:r>
              <w:rPr>
                <w:rFonts w:hint="eastAsia" w:ascii="宋体" w:hAnsi="宋体" w:cs="宋体"/>
                <w:color w:val="auto"/>
                <w:sz w:val="24"/>
                <w:szCs w:val="24"/>
              </w:rPr>
              <w:t>不同检查影像拼图打印。</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11</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可导入各种非</w:t>
            </w:r>
            <w:r>
              <w:rPr>
                <w:rFonts w:ascii="宋体" w:hAnsi="宋体" w:cs="宋体"/>
                <w:color w:val="auto"/>
                <w:sz w:val="24"/>
                <w:szCs w:val="24"/>
              </w:rPr>
              <w:t>DICOM</w:t>
            </w:r>
            <w:r>
              <w:rPr>
                <w:rFonts w:hint="eastAsia" w:ascii="宋体" w:hAnsi="宋体" w:cs="宋体"/>
                <w:color w:val="auto"/>
                <w:sz w:val="24"/>
                <w:szCs w:val="24"/>
              </w:rPr>
              <w:t>格式影像（</w:t>
            </w:r>
            <w:r>
              <w:rPr>
                <w:rFonts w:ascii="宋体" w:hAnsi="宋体" w:cs="宋体"/>
                <w:color w:val="auto"/>
                <w:sz w:val="24"/>
                <w:szCs w:val="24"/>
              </w:rPr>
              <w:t>BMP/JPEG/TIF</w:t>
            </w:r>
            <w:r>
              <w:rPr>
                <w:rFonts w:hint="eastAsia" w:ascii="宋体" w:hAnsi="宋体" w:cs="宋体"/>
                <w:color w:val="auto"/>
                <w:sz w:val="24"/>
                <w:szCs w:val="24"/>
              </w:rPr>
              <w:t>）执行浏览和操作。</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12</w:t>
            </w:r>
          </w:p>
        </w:tc>
        <w:tc>
          <w:tcPr>
            <w:tcW w:w="921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可将</w:t>
            </w:r>
            <w:r>
              <w:rPr>
                <w:rFonts w:ascii="宋体" w:hAnsi="宋体" w:cs="宋体"/>
                <w:color w:val="auto"/>
                <w:sz w:val="24"/>
                <w:szCs w:val="24"/>
              </w:rPr>
              <w:t>DICOM</w:t>
            </w:r>
            <w:r>
              <w:rPr>
                <w:rFonts w:hint="eastAsia" w:ascii="宋体" w:hAnsi="宋体" w:cs="宋体"/>
                <w:color w:val="auto"/>
                <w:sz w:val="24"/>
                <w:szCs w:val="24"/>
              </w:rPr>
              <w:t>影像帧及影像序列导出为</w:t>
            </w:r>
            <w:r>
              <w:rPr>
                <w:rFonts w:ascii="宋体" w:hAnsi="宋体" w:cs="宋体"/>
                <w:color w:val="auto"/>
                <w:sz w:val="24"/>
                <w:szCs w:val="24"/>
              </w:rPr>
              <w:t>BMP/JPEG/TIF</w:t>
            </w:r>
            <w:r>
              <w:rPr>
                <w:rFonts w:hint="eastAsia" w:ascii="宋体" w:hAnsi="宋体" w:cs="宋体"/>
                <w:color w:val="auto"/>
                <w:sz w:val="24"/>
                <w:szCs w:val="24"/>
              </w:rPr>
              <w:t>格式或</w:t>
            </w:r>
            <w:r>
              <w:rPr>
                <w:rFonts w:ascii="宋体" w:hAnsi="宋体" w:cs="宋体"/>
                <w:color w:val="auto"/>
                <w:sz w:val="24"/>
                <w:szCs w:val="24"/>
              </w:rPr>
              <w:t>AVI</w:t>
            </w:r>
            <w:r>
              <w:rPr>
                <w:rFonts w:hint="eastAsia" w:ascii="宋体" w:hAnsi="宋体" w:cs="宋体"/>
                <w:color w:val="auto"/>
                <w:sz w:val="24"/>
                <w:szCs w:val="24"/>
              </w:rPr>
              <w:t>视频格式。</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4.11. 3</w:t>
      </w:r>
      <w:r>
        <w:rPr>
          <w:rFonts w:hint="eastAsia" w:ascii="宋体" w:hAnsi="宋体" w:eastAsia="宋体" w:cs="宋体"/>
          <w:color w:val="auto"/>
        </w:rPr>
        <w:t>、影像高级处理系统</w:t>
      </w:r>
    </w:p>
    <w:tbl>
      <w:tblPr>
        <w:tblStyle w:val="21"/>
        <w:tblW w:w="9660" w:type="dxa"/>
        <w:tblInd w:w="2" w:type="dxa"/>
        <w:tblLayout w:type="autofit"/>
        <w:tblCellMar>
          <w:top w:w="0" w:type="dxa"/>
          <w:left w:w="10" w:type="dxa"/>
          <w:bottom w:w="0" w:type="dxa"/>
          <w:right w:w="10" w:type="dxa"/>
        </w:tblCellMar>
      </w:tblPr>
      <w:tblGrid>
        <w:gridCol w:w="960"/>
        <w:gridCol w:w="8700"/>
      </w:tblGrid>
      <w:tr>
        <w:tblPrEx>
          <w:tblCellMar>
            <w:top w:w="0" w:type="dxa"/>
            <w:left w:w="10" w:type="dxa"/>
            <w:bottom w:w="0" w:type="dxa"/>
            <w:right w:w="10" w:type="dxa"/>
          </w:tblCellMar>
        </w:tblPrEx>
        <w:trPr>
          <w:trHeight w:val="363" w:hRule="atLeast"/>
        </w:trPr>
        <w:tc>
          <w:tcPr>
            <w:tcW w:w="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870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870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每个工作站免费提供影像</w:t>
            </w:r>
            <w:r>
              <w:rPr>
                <w:rFonts w:ascii="宋体" w:hAnsi="宋体" w:cs="宋体"/>
                <w:color w:val="auto"/>
                <w:sz w:val="24"/>
                <w:szCs w:val="24"/>
              </w:rPr>
              <w:t>2D/3D</w:t>
            </w:r>
            <w:r>
              <w:rPr>
                <w:rFonts w:hint="eastAsia" w:ascii="宋体" w:hAnsi="宋体" w:cs="宋体"/>
                <w:color w:val="auto"/>
                <w:sz w:val="24"/>
                <w:szCs w:val="24"/>
              </w:rPr>
              <w:t>重建处理：常规提供如</w:t>
            </w:r>
            <w:r>
              <w:rPr>
                <w:rFonts w:ascii="宋体" w:hAnsi="宋体" w:cs="宋体"/>
                <w:color w:val="auto"/>
                <w:sz w:val="24"/>
                <w:szCs w:val="24"/>
              </w:rPr>
              <w:t>MPR</w:t>
            </w:r>
            <w:r>
              <w:rPr>
                <w:rFonts w:hint="eastAsia" w:ascii="宋体" w:hAnsi="宋体" w:cs="宋体"/>
                <w:color w:val="auto"/>
                <w:sz w:val="24"/>
                <w:szCs w:val="24"/>
              </w:rPr>
              <w:t>（正交多平面重建）、</w:t>
            </w:r>
            <w:r>
              <w:rPr>
                <w:rFonts w:ascii="宋体" w:hAnsi="宋体" w:cs="宋体"/>
                <w:color w:val="auto"/>
                <w:sz w:val="24"/>
                <w:szCs w:val="24"/>
              </w:rPr>
              <w:t>fMPR</w:t>
            </w:r>
            <w:r>
              <w:rPr>
                <w:rFonts w:hint="eastAsia" w:ascii="宋体" w:hAnsi="宋体" w:cs="宋体"/>
                <w:color w:val="auto"/>
                <w:sz w:val="24"/>
                <w:szCs w:val="24"/>
              </w:rPr>
              <w:t>（任意多平面重建）、</w:t>
            </w:r>
            <w:r>
              <w:rPr>
                <w:rFonts w:ascii="宋体" w:hAnsi="宋体" w:cs="宋体"/>
                <w:color w:val="auto"/>
                <w:sz w:val="24"/>
                <w:szCs w:val="24"/>
              </w:rPr>
              <w:t>MIP</w:t>
            </w:r>
            <w:r>
              <w:rPr>
                <w:rFonts w:hint="eastAsia" w:ascii="宋体" w:hAnsi="宋体" w:cs="宋体"/>
                <w:color w:val="auto"/>
                <w:sz w:val="24"/>
                <w:szCs w:val="24"/>
              </w:rPr>
              <w:t>（最大密度重建）、</w:t>
            </w:r>
            <w:r>
              <w:rPr>
                <w:rFonts w:ascii="宋体" w:hAnsi="宋体" w:cs="宋体"/>
                <w:color w:val="auto"/>
                <w:sz w:val="24"/>
                <w:szCs w:val="24"/>
              </w:rPr>
              <w:t>VR</w:t>
            </w:r>
            <w:r>
              <w:rPr>
                <w:rFonts w:hint="eastAsia" w:ascii="宋体" w:hAnsi="宋体" w:cs="宋体"/>
                <w:color w:val="auto"/>
                <w:sz w:val="24"/>
                <w:szCs w:val="24"/>
              </w:rPr>
              <w:t>（容积重建）等</w:t>
            </w:r>
            <w:r>
              <w:rPr>
                <w:rFonts w:ascii="宋体" w:hAnsi="宋体" w:cs="宋体"/>
                <w:color w:val="auto"/>
                <w:sz w:val="24"/>
                <w:szCs w:val="24"/>
              </w:rPr>
              <w:t>2D/3D</w:t>
            </w:r>
            <w:r>
              <w:rPr>
                <w:rFonts w:hint="eastAsia" w:ascii="宋体" w:hAnsi="宋体" w:cs="宋体"/>
                <w:color w:val="auto"/>
                <w:sz w:val="24"/>
                <w:szCs w:val="24"/>
              </w:rPr>
              <w:t>影像重建处理功能。</w:t>
            </w:r>
          </w:p>
        </w:tc>
      </w:tr>
    </w:tbl>
    <w:p>
      <w:pPr>
        <w:pStyle w:val="6"/>
        <w:rPr>
          <w:rFonts w:ascii="宋体" w:hAnsi="宋体" w:eastAsia="宋体" w:cs="宋体"/>
          <w:color w:val="auto"/>
        </w:rPr>
      </w:pPr>
      <w:r>
        <w:rPr>
          <w:rFonts w:ascii="宋体" w:hAnsi="宋体" w:eastAsia="宋体" w:cs="宋体"/>
          <w:color w:val="auto"/>
        </w:rPr>
        <w:t>4.11. 4</w:t>
      </w:r>
      <w:r>
        <w:rPr>
          <w:rFonts w:hint="eastAsia" w:ascii="宋体" w:hAnsi="宋体" w:eastAsia="宋体" w:cs="宋体"/>
          <w:color w:val="auto"/>
        </w:rPr>
        <w:t>、</w:t>
      </w:r>
      <w:r>
        <w:rPr>
          <w:rFonts w:ascii="宋体" w:hAnsi="宋体" w:eastAsia="宋体" w:cs="宋体"/>
          <w:color w:val="auto"/>
        </w:rPr>
        <w:t>WebPACS</w:t>
      </w:r>
    </w:p>
    <w:tbl>
      <w:tblPr>
        <w:tblStyle w:val="21"/>
        <w:tblW w:w="10182" w:type="dxa"/>
        <w:tblInd w:w="-520" w:type="dxa"/>
        <w:tblLayout w:type="autofit"/>
        <w:tblCellMar>
          <w:top w:w="0" w:type="dxa"/>
          <w:left w:w="10" w:type="dxa"/>
          <w:bottom w:w="0" w:type="dxa"/>
          <w:right w:w="10" w:type="dxa"/>
        </w:tblCellMar>
      </w:tblPr>
      <w:tblGrid>
        <w:gridCol w:w="917"/>
        <w:gridCol w:w="2159"/>
        <w:gridCol w:w="7106"/>
      </w:tblGrid>
      <w:tr>
        <w:tblPrEx>
          <w:tblCellMar>
            <w:top w:w="0" w:type="dxa"/>
            <w:left w:w="10" w:type="dxa"/>
            <w:bottom w:w="0" w:type="dxa"/>
            <w:right w:w="10" w:type="dxa"/>
          </w:tblCellMar>
        </w:tblPrEx>
        <w:trPr>
          <w:trHeight w:val="363"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215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功能类</w:t>
            </w:r>
          </w:p>
        </w:tc>
        <w:tc>
          <w:tcPr>
            <w:tcW w:w="710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215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w:t>
            </w:r>
            <w:r>
              <w:rPr>
                <w:rFonts w:ascii="宋体" w:hAnsi="宋体" w:cs="宋体"/>
                <w:color w:val="auto"/>
                <w:sz w:val="24"/>
                <w:szCs w:val="24"/>
              </w:rPr>
              <w:t>DOCOM</w:t>
            </w:r>
            <w:r>
              <w:rPr>
                <w:rFonts w:hint="eastAsia" w:ascii="宋体" w:hAnsi="宋体" w:cs="宋体"/>
                <w:color w:val="auto"/>
                <w:sz w:val="24"/>
                <w:szCs w:val="24"/>
              </w:rPr>
              <w:t>标准</w:t>
            </w:r>
          </w:p>
        </w:tc>
        <w:tc>
          <w:tcPr>
            <w:tcW w:w="710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w:t>
            </w:r>
            <w:r>
              <w:rPr>
                <w:rFonts w:ascii="宋体" w:hAnsi="宋体" w:cs="宋体"/>
                <w:color w:val="auto"/>
                <w:sz w:val="24"/>
                <w:szCs w:val="24"/>
              </w:rPr>
              <w:t>DICOM</w:t>
            </w:r>
            <w:r>
              <w:rPr>
                <w:rFonts w:hint="eastAsia" w:ascii="宋体" w:hAnsi="宋体" w:cs="宋体"/>
                <w:color w:val="auto"/>
                <w:sz w:val="24"/>
                <w:szCs w:val="24"/>
              </w:rPr>
              <w:t>标准</w:t>
            </w:r>
            <w:r>
              <w:rPr>
                <w:rFonts w:ascii="宋体" w:hAnsi="宋体" w:cs="宋体"/>
                <w:color w:val="auto"/>
                <w:sz w:val="24"/>
                <w:szCs w:val="24"/>
              </w:rPr>
              <w:t>2011</w:t>
            </w:r>
            <w:r>
              <w:rPr>
                <w:rFonts w:hint="eastAsia" w:ascii="宋体" w:hAnsi="宋体" w:cs="宋体"/>
                <w:color w:val="auto"/>
                <w:sz w:val="24"/>
                <w:szCs w:val="24"/>
              </w:rPr>
              <w:t>年版定义的全部影像</w:t>
            </w:r>
            <w:r>
              <w:rPr>
                <w:rFonts w:ascii="宋体" w:hAnsi="宋体" w:cs="宋体"/>
                <w:color w:val="auto"/>
                <w:sz w:val="24"/>
                <w:szCs w:val="24"/>
              </w:rPr>
              <w:t>IOD</w:t>
            </w:r>
            <w:r>
              <w:rPr>
                <w:rFonts w:hint="eastAsia" w:ascii="宋体" w:hAnsi="宋体" w:cs="宋体"/>
                <w:color w:val="auto"/>
                <w:sz w:val="24"/>
                <w:szCs w:val="24"/>
              </w:rPr>
              <w:t>类型的调阅</w:t>
            </w:r>
          </w:p>
        </w:tc>
      </w:tr>
      <w:tr>
        <w:tblPrEx>
          <w:tblCellMar>
            <w:top w:w="0" w:type="dxa"/>
            <w:left w:w="10" w:type="dxa"/>
            <w:bottom w:w="0" w:type="dxa"/>
            <w:right w:w="10" w:type="dxa"/>
          </w:tblCellMar>
        </w:tblPrEx>
        <w:trPr>
          <w:trHeight w:val="363"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2</w:t>
            </w:r>
          </w:p>
        </w:tc>
        <w:tc>
          <w:tcPr>
            <w:tcW w:w="215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DICOM</w:t>
            </w:r>
            <w:r>
              <w:rPr>
                <w:rFonts w:hint="eastAsia" w:ascii="宋体" w:hAnsi="宋体" w:cs="宋体"/>
                <w:color w:val="auto"/>
                <w:sz w:val="24"/>
                <w:szCs w:val="24"/>
              </w:rPr>
              <w:t>影像压缩</w:t>
            </w:r>
          </w:p>
        </w:tc>
        <w:tc>
          <w:tcPr>
            <w:tcW w:w="710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w:t>
            </w:r>
            <w:r>
              <w:rPr>
                <w:rFonts w:ascii="宋体" w:hAnsi="宋体" w:cs="宋体"/>
                <w:color w:val="auto"/>
                <w:sz w:val="24"/>
                <w:szCs w:val="24"/>
              </w:rPr>
              <w:t>DICOM</w:t>
            </w:r>
            <w:r>
              <w:rPr>
                <w:rFonts w:hint="eastAsia" w:ascii="宋体" w:hAnsi="宋体" w:cs="宋体"/>
                <w:color w:val="auto"/>
                <w:sz w:val="24"/>
                <w:szCs w:val="24"/>
              </w:rPr>
              <w:t>标准定义的无损压缩算法</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w:t>
            </w:r>
            <w:r>
              <w:rPr>
                <w:rFonts w:ascii="宋体" w:hAnsi="宋体" w:cs="宋体"/>
                <w:color w:val="auto"/>
                <w:sz w:val="24"/>
                <w:szCs w:val="24"/>
              </w:rPr>
              <w:t>DICOM</w:t>
            </w:r>
            <w:r>
              <w:rPr>
                <w:rFonts w:hint="eastAsia" w:ascii="宋体" w:hAnsi="宋体" w:cs="宋体"/>
                <w:color w:val="auto"/>
                <w:sz w:val="24"/>
                <w:szCs w:val="24"/>
              </w:rPr>
              <w:t>标准定义的有损压缩算法</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、用户可自行设置和选择影像压缩率（压缩质量）</w:t>
            </w:r>
          </w:p>
        </w:tc>
      </w:tr>
      <w:tr>
        <w:tblPrEx>
          <w:tblCellMar>
            <w:top w:w="0" w:type="dxa"/>
            <w:left w:w="10" w:type="dxa"/>
            <w:bottom w:w="0" w:type="dxa"/>
            <w:right w:w="10" w:type="dxa"/>
          </w:tblCellMar>
        </w:tblPrEx>
        <w:trPr>
          <w:trHeight w:val="363"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3</w:t>
            </w:r>
          </w:p>
        </w:tc>
        <w:tc>
          <w:tcPr>
            <w:tcW w:w="215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影像在线存储管理</w:t>
            </w:r>
          </w:p>
        </w:tc>
        <w:tc>
          <w:tcPr>
            <w:tcW w:w="710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、支持任意间期的影像在线存储管理</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、支持采用磁盘阵列、</w:t>
            </w:r>
            <w:r>
              <w:rPr>
                <w:rFonts w:ascii="宋体" w:hAnsi="宋体" w:cs="宋体"/>
                <w:color w:val="auto"/>
                <w:sz w:val="24"/>
                <w:szCs w:val="24"/>
              </w:rPr>
              <w:t>RAID-5</w:t>
            </w:r>
            <w:r>
              <w:rPr>
                <w:rFonts w:hint="eastAsia" w:ascii="宋体" w:hAnsi="宋体" w:cs="宋体"/>
                <w:color w:val="auto"/>
                <w:sz w:val="24"/>
                <w:szCs w:val="24"/>
              </w:rPr>
              <w:t>容错的在线影像管理架构</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、支持在线存储影像自动维护管理</w:t>
            </w:r>
          </w:p>
          <w:p>
            <w:pPr>
              <w:spacing w:before="156" w:after="156" w:line="360" w:lineRule="auto"/>
              <w:rPr>
                <w:rFonts w:ascii="宋体"/>
                <w:color w:val="auto"/>
              </w:rPr>
            </w:pPr>
            <w:r>
              <w:rPr>
                <w:rFonts w:ascii="宋体" w:hAnsi="宋体" w:cs="宋体"/>
                <w:color w:val="auto"/>
                <w:sz w:val="24"/>
                <w:szCs w:val="24"/>
              </w:rPr>
              <w:t>4</w:t>
            </w:r>
            <w:r>
              <w:rPr>
                <w:rFonts w:hint="eastAsia" w:ascii="宋体" w:hAnsi="宋体" w:cs="宋体"/>
                <w:color w:val="auto"/>
                <w:sz w:val="24"/>
                <w:szCs w:val="24"/>
              </w:rPr>
              <w:t>、支持影像在线存储容量动态扩展能力</w:t>
            </w:r>
          </w:p>
        </w:tc>
      </w:tr>
      <w:tr>
        <w:tblPrEx>
          <w:tblCellMar>
            <w:top w:w="0" w:type="dxa"/>
            <w:left w:w="10" w:type="dxa"/>
            <w:bottom w:w="0" w:type="dxa"/>
            <w:right w:w="10" w:type="dxa"/>
          </w:tblCellMar>
        </w:tblPrEx>
        <w:trPr>
          <w:trHeight w:val="363"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4</w:t>
            </w:r>
          </w:p>
        </w:tc>
        <w:tc>
          <w:tcPr>
            <w:tcW w:w="215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系统安全管理</w:t>
            </w:r>
          </w:p>
        </w:tc>
        <w:tc>
          <w:tcPr>
            <w:tcW w:w="710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DICOM</w:t>
            </w:r>
            <w:r>
              <w:rPr>
                <w:rFonts w:hint="eastAsia" w:ascii="宋体" w:hAnsi="宋体" w:cs="宋体"/>
                <w:color w:val="auto"/>
                <w:sz w:val="24"/>
                <w:szCs w:val="24"/>
              </w:rPr>
              <w:t>通讯的注册及授权访问机制，拒绝任务非授权用户的</w:t>
            </w:r>
            <w:r>
              <w:rPr>
                <w:rFonts w:ascii="宋体" w:hAnsi="宋体" w:cs="宋体"/>
                <w:color w:val="auto"/>
                <w:sz w:val="24"/>
                <w:szCs w:val="24"/>
              </w:rPr>
              <w:t>DICOM</w:t>
            </w:r>
            <w:r>
              <w:rPr>
                <w:rFonts w:hint="eastAsia" w:ascii="宋体" w:hAnsi="宋体" w:cs="宋体"/>
                <w:color w:val="auto"/>
                <w:sz w:val="24"/>
                <w:szCs w:val="24"/>
              </w:rPr>
              <w:t>访问操作。</w:t>
            </w:r>
          </w:p>
        </w:tc>
      </w:tr>
      <w:tr>
        <w:tblPrEx>
          <w:tblCellMar>
            <w:top w:w="0" w:type="dxa"/>
            <w:left w:w="10" w:type="dxa"/>
            <w:bottom w:w="0" w:type="dxa"/>
            <w:right w:w="10" w:type="dxa"/>
          </w:tblCellMar>
        </w:tblPrEx>
        <w:trPr>
          <w:trHeight w:val="363" w:hRule="atLeast"/>
        </w:trPr>
        <w:tc>
          <w:tcPr>
            <w:tcW w:w="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5</w:t>
            </w:r>
          </w:p>
        </w:tc>
        <w:tc>
          <w:tcPr>
            <w:tcW w:w="215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ascii="宋体" w:hAnsi="宋体" w:cs="宋体"/>
                <w:color w:val="auto"/>
                <w:sz w:val="24"/>
                <w:szCs w:val="24"/>
              </w:rPr>
              <w:t>WebView</w:t>
            </w:r>
            <w:r>
              <w:rPr>
                <w:rFonts w:hint="eastAsia" w:ascii="宋体" w:hAnsi="宋体" w:cs="宋体"/>
                <w:color w:val="auto"/>
                <w:sz w:val="24"/>
                <w:szCs w:val="24"/>
              </w:rPr>
              <w:t>主要的影像操作功能及参数指标</w:t>
            </w:r>
          </w:p>
        </w:tc>
        <w:tc>
          <w:tcPr>
            <w:tcW w:w="710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、直接读取和显示、处理各类</w:t>
            </w:r>
            <w:r>
              <w:rPr>
                <w:rFonts w:ascii="宋体" w:hAnsi="宋体" w:cs="宋体"/>
                <w:color w:val="auto"/>
                <w:sz w:val="24"/>
                <w:szCs w:val="24"/>
              </w:rPr>
              <w:t>DICOM</w:t>
            </w:r>
            <w:r>
              <w:rPr>
                <w:rFonts w:hint="eastAsia" w:ascii="宋体" w:hAnsi="宋体" w:cs="宋体"/>
                <w:color w:val="auto"/>
                <w:sz w:val="24"/>
                <w:szCs w:val="24"/>
              </w:rPr>
              <w:t>影像</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、支持</w:t>
            </w:r>
            <w:r>
              <w:rPr>
                <w:rFonts w:ascii="宋体" w:hAnsi="宋体" w:cs="宋体"/>
                <w:color w:val="auto"/>
                <w:sz w:val="24"/>
                <w:szCs w:val="24"/>
              </w:rPr>
              <w:t>CT/MR/CR/DR/DSA/RF</w:t>
            </w:r>
            <w:r>
              <w:rPr>
                <w:rFonts w:hint="eastAsia" w:ascii="宋体" w:hAnsi="宋体" w:cs="宋体"/>
                <w:color w:val="auto"/>
                <w:sz w:val="24"/>
                <w:szCs w:val="24"/>
              </w:rPr>
              <w:t>以及超声和核医学</w:t>
            </w:r>
            <w:r>
              <w:rPr>
                <w:rFonts w:ascii="宋体" w:hAnsi="宋体" w:cs="宋体"/>
                <w:color w:val="auto"/>
                <w:sz w:val="24"/>
                <w:szCs w:val="24"/>
              </w:rPr>
              <w:t>DICOM</w:t>
            </w:r>
            <w:r>
              <w:rPr>
                <w:rFonts w:hint="eastAsia" w:ascii="宋体" w:hAnsi="宋体" w:cs="宋体"/>
                <w:color w:val="auto"/>
                <w:sz w:val="24"/>
                <w:szCs w:val="24"/>
              </w:rPr>
              <w:t>影像等浏览</w:t>
            </w:r>
          </w:p>
          <w:p>
            <w:pPr>
              <w:spacing w:before="156" w:after="156" w:line="360" w:lineRule="auto"/>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、执行原始</w:t>
            </w:r>
            <w:r>
              <w:rPr>
                <w:rFonts w:ascii="宋体" w:hAnsi="宋体" w:cs="宋体"/>
                <w:color w:val="auto"/>
                <w:sz w:val="24"/>
                <w:szCs w:val="24"/>
              </w:rPr>
              <w:t>DICOM</w:t>
            </w:r>
            <w:r>
              <w:rPr>
                <w:rFonts w:hint="eastAsia" w:ascii="宋体" w:hAnsi="宋体" w:cs="宋体"/>
                <w:color w:val="auto"/>
                <w:sz w:val="24"/>
                <w:szCs w:val="24"/>
              </w:rPr>
              <w:t>影像或（有损</w:t>
            </w:r>
            <w:r>
              <w:rPr>
                <w:rFonts w:ascii="宋体" w:hAnsi="宋体" w:cs="宋体"/>
                <w:color w:val="auto"/>
                <w:sz w:val="24"/>
                <w:szCs w:val="24"/>
              </w:rPr>
              <w:t>/</w:t>
            </w:r>
            <w:r>
              <w:rPr>
                <w:rFonts w:hint="eastAsia" w:ascii="宋体" w:hAnsi="宋体" w:cs="宋体"/>
                <w:color w:val="auto"/>
                <w:sz w:val="24"/>
                <w:szCs w:val="24"/>
              </w:rPr>
              <w:t>无损）压缩后</w:t>
            </w:r>
            <w:r>
              <w:rPr>
                <w:rFonts w:ascii="宋体" w:hAnsi="宋体" w:cs="宋体"/>
                <w:color w:val="auto"/>
                <w:sz w:val="24"/>
                <w:szCs w:val="24"/>
              </w:rPr>
              <w:t>DICOM</w:t>
            </w:r>
            <w:r>
              <w:rPr>
                <w:rFonts w:hint="eastAsia" w:ascii="宋体" w:hAnsi="宋体" w:cs="宋体"/>
                <w:color w:val="auto"/>
                <w:sz w:val="24"/>
                <w:szCs w:val="24"/>
              </w:rPr>
              <w:t>影像的读取和显示、处理</w:t>
            </w:r>
          </w:p>
          <w:p>
            <w:pPr>
              <w:spacing w:before="156" w:after="156" w:line="360" w:lineRule="auto"/>
              <w:rPr>
                <w:rFonts w:ascii="宋体"/>
                <w:color w:val="auto"/>
                <w:sz w:val="24"/>
                <w:szCs w:val="24"/>
              </w:rPr>
            </w:pPr>
            <w:r>
              <w:rPr>
                <w:rFonts w:ascii="宋体" w:hAnsi="宋体" w:cs="宋体"/>
                <w:color w:val="auto"/>
                <w:sz w:val="24"/>
                <w:szCs w:val="24"/>
              </w:rPr>
              <w:t>4</w:t>
            </w:r>
            <w:r>
              <w:rPr>
                <w:rFonts w:hint="eastAsia" w:ascii="宋体" w:hAnsi="宋体" w:cs="宋体"/>
                <w:color w:val="auto"/>
                <w:sz w:val="24"/>
                <w:szCs w:val="24"/>
              </w:rPr>
              <w:t>、影像浏览终端操作</w:t>
            </w:r>
            <w:r>
              <w:rPr>
                <w:rFonts w:ascii="宋体" w:hAnsi="宋体" w:cs="宋体"/>
                <w:color w:val="auto"/>
                <w:sz w:val="24"/>
                <w:szCs w:val="24"/>
              </w:rPr>
              <w:t>DICOM</w:t>
            </w:r>
            <w:r>
              <w:rPr>
                <w:rFonts w:hint="eastAsia" w:ascii="宋体" w:hAnsi="宋体" w:cs="宋体"/>
                <w:color w:val="auto"/>
                <w:sz w:val="24"/>
                <w:szCs w:val="24"/>
              </w:rPr>
              <w:t>格式影像实现影像浏览任务，因此可以真正地实现诸如窗宽</w:t>
            </w:r>
            <w:r>
              <w:rPr>
                <w:rFonts w:ascii="宋体" w:hAnsi="宋体" w:cs="宋体"/>
                <w:color w:val="auto"/>
                <w:sz w:val="24"/>
                <w:szCs w:val="24"/>
              </w:rPr>
              <w:t>/</w:t>
            </w:r>
            <w:r>
              <w:rPr>
                <w:rFonts w:hint="eastAsia" w:ascii="宋体" w:hAnsi="宋体" w:cs="宋体"/>
                <w:color w:val="auto"/>
                <w:sz w:val="24"/>
                <w:szCs w:val="24"/>
              </w:rPr>
              <w:t>窗位以及</w:t>
            </w:r>
            <w:r>
              <w:rPr>
                <w:rFonts w:ascii="宋体" w:hAnsi="宋体" w:cs="宋体"/>
                <w:color w:val="auto"/>
                <w:sz w:val="24"/>
                <w:szCs w:val="24"/>
              </w:rPr>
              <w:t>CT</w:t>
            </w:r>
            <w:r>
              <w:rPr>
                <w:rFonts w:hint="eastAsia" w:ascii="宋体" w:hAnsi="宋体" w:cs="宋体"/>
                <w:color w:val="auto"/>
                <w:sz w:val="24"/>
                <w:szCs w:val="24"/>
              </w:rPr>
              <w:t>值测量这类医学影像特有的属性的操作。</w:t>
            </w:r>
          </w:p>
          <w:p>
            <w:pPr>
              <w:spacing w:before="156" w:after="156" w:line="360" w:lineRule="auto"/>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、提供多参数查询、分类查询、时间间期查询等影像查询操作</w:t>
            </w:r>
          </w:p>
          <w:p>
            <w:pPr>
              <w:spacing w:before="156" w:after="156" w:line="360" w:lineRule="auto"/>
              <w:rPr>
                <w:rFonts w:ascii="宋体"/>
                <w:color w:val="auto"/>
                <w:sz w:val="24"/>
                <w:szCs w:val="24"/>
              </w:rPr>
            </w:pPr>
            <w:r>
              <w:rPr>
                <w:rFonts w:ascii="宋体" w:hAnsi="宋体" w:cs="宋体"/>
                <w:color w:val="auto"/>
                <w:sz w:val="24"/>
                <w:szCs w:val="24"/>
              </w:rPr>
              <w:t>6</w:t>
            </w:r>
            <w:r>
              <w:rPr>
                <w:rFonts w:hint="eastAsia" w:ascii="宋体" w:hAnsi="宋体" w:cs="宋体"/>
                <w:color w:val="auto"/>
                <w:sz w:val="24"/>
                <w:szCs w:val="24"/>
              </w:rPr>
              <w:t>、</w:t>
            </w:r>
            <w:r>
              <w:rPr>
                <w:rFonts w:ascii="宋体" w:hAnsi="宋体" w:cs="宋体"/>
                <w:color w:val="auto"/>
                <w:sz w:val="24"/>
                <w:szCs w:val="24"/>
              </w:rPr>
              <w:t>DICOM</w:t>
            </w:r>
            <w:r>
              <w:rPr>
                <w:rFonts w:hint="eastAsia" w:ascii="宋体" w:hAnsi="宋体" w:cs="宋体"/>
                <w:color w:val="auto"/>
                <w:sz w:val="24"/>
                <w:szCs w:val="24"/>
              </w:rPr>
              <w:t>影像</w:t>
            </w:r>
            <w:r>
              <w:rPr>
                <w:rFonts w:ascii="宋体" w:hAnsi="宋体" w:cs="宋体"/>
                <w:color w:val="auto"/>
                <w:sz w:val="24"/>
                <w:szCs w:val="24"/>
              </w:rPr>
              <w:t>Header</w:t>
            </w:r>
            <w:r>
              <w:rPr>
                <w:rFonts w:hint="eastAsia" w:ascii="宋体" w:hAnsi="宋体" w:cs="宋体"/>
                <w:color w:val="auto"/>
                <w:sz w:val="24"/>
                <w:szCs w:val="24"/>
              </w:rPr>
              <w:t>信息浏览</w:t>
            </w:r>
          </w:p>
          <w:p>
            <w:pPr>
              <w:spacing w:before="156" w:after="156" w:line="360" w:lineRule="auto"/>
              <w:rPr>
                <w:rFonts w:ascii="宋体"/>
                <w:color w:val="auto"/>
                <w:sz w:val="24"/>
                <w:szCs w:val="24"/>
              </w:rPr>
            </w:pPr>
            <w:r>
              <w:rPr>
                <w:rFonts w:ascii="宋体" w:hAnsi="宋体" w:cs="宋体"/>
                <w:color w:val="auto"/>
                <w:sz w:val="24"/>
                <w:szCs w:val="24"/>
              </w:rPr>
              <w:t>7</w:t>
            </w:r>
            <w:r>
              <w:rPr>
                <w:rFonts w:hint="eastAsia" w:ascii="宋体" w:hAnsi="宋体" w:cs="宋体"/>
                <w:color w:val="auto"/>
                <w:sz w:val="24"/>
                <w:szCs w:val="24"/>
              </w:rPr>
              <w:t>、影像反转</w:t>
            </w:r>
          </w:p>
          <w:p>
            <w:pPr>
              <w:spacing w:before="156" w:after="156" w:line="360" w:lineRule="auto"/>
              <w:rPr>
                <w:rFonts w:ascii="宋体"/>
                <w:color w:val="auto"/>
                <w:sz w:val="24"/>
                <w:szCs w:val="24"/>
              </w:rPr>
            </w:pPr>
            <w:r>
              <w:rPr>
                <w:rFonts w:ascii="宋体" w:hAnsi="宋体" w:cs="宋体"/>
                <w:color w:val="auto"/>
                <w:sz w:val="24"/>
                <w:szCs w:val="24"/>
              </w:rPr>
              <w:t>8</w:t>
            </w:r>
            <w:r>
              <w:rPr>
                <w:rFonts w:hint="eastAsia" w:ascii="宋体" w:hAnsi="宋体" w:cs="宋体"/>
                <w:color w:val="auto"/>
                <w:sz w:val="24"/>
                <w:szCs w:val="24"/>
              </w:rPr>
              <w:t>、影像镜像显示</w:t>
            </w:r>
          </w:p>
          <w:p>
            <w:pPr>
              <w:spacing w:before="156" w:after="156" w:line="360" w:lineRule="auto"/>
              <w:rPr>
                <w:rFonts w:ascii="宋体"/>
                <w:color w:val="auto"/>
                <w:sz w:val="24"/>
                <w:szCs w:val="24"/>
              </w:rPr>
            </w:pPr>
            <w:r>
              <w:rPr>
                <w:rFonts w:ascii="宋体" w:hAnsi="宋体" w:cs="宋体"/>
                <w:color w:val="auto"/>
                <w:sz w:val="24"/>
                <w:szCs w:val="24"/>
              </w:rPr>
              <w:t>9</w:t>
            </w:r>
            <w:r>
              <w:rPr>
                <w:rFonts w:hint="eastAsia" w:ascii="宋体" w:hAnsi="宋体" w:cs="宋体"/>
                <w:color w:val="auto"/>
                <w:sz w:val="24"/>
                <w:szCs w:val="24"/>
              </w:rPr>
              <w:t>、影像旋转</w:t>
            </w:r>
          </w:p>
          <w:p>
            <w:pPr>
              <w:spacing w:before="156" w:after="156" w:line="360" w:lineRule="auto"/>
              <w:rPr>
                <w:rFonts w:ascii="宋体"/>
                <w:color w:val="auto"/>
                <w:sz w:val="24"/>
                <w:szCs w:val="24"/>
              </w:rPr>
            </w:pPr>
            <w:r>
              <w:rPr>
                <w:rFonts w:ascii="宋体" w:hAnsi="宋体" w:cs="宋体"/>
                <w:color w:val="auto"/>
                <w:sz w:val="24"/>
                <w:szCs w:val="24"/>
              </w:rPr>
              <w:t>10</w:t>
            </w:r>
            <w:r>
              <w:rPr>
                <w:rFonts w:hint="eastAsia" w:ascii="宋体" w:hAnsi="宋体" w:cs="宋体"/>
                <w:color w:val="auto"/>
                <w:sz w:val="24"/>
                <w:szCs w:val="24"/>
              </w:rPr>
              <w:t>、影像多级缩小、放大</w:t>
            </w:r>
          </w:p>
          <w:p>
            <w:pPr>
              <w:spacing w:before="156" w:after="156" w:line="360" w:lineRule="auto"/>
              <w:rPr>
                <w:rFonts w:ascii="宋体"/>
                <w:color w:val="auto"/>
                <w:sz w:val="24"/>
                <w:szCs w:val="24"/>
              </w:rPr>
            </w:pPr>
            <w:r>
              <w:rPr>
                <w:rFonts w:ascii="宋体" w:hAnsi="宋体" w:cs="宋体"/>
                <w:color w:val="auto"/>
                <w:sz w:val="24"/>
                <w:szCs w:val="24"/>
              </w:rPr>
              <w:t>11</w:t>
            </w:r>
            <w:r>
              <w:rPr>
                <w:rFonts w:hint="eastAsia" w:ascii="宋体" w:hAnsi="宋体" w:cs="宋体"/>
                <w:color w:val="auto"/>
                <w:sz w:val="24"/>
                <w:szCs w:val="24"/>
              </w:rPr>
              <w:t>、影像单帧、多帧显示</w:t>
            </w:r>
          </w:p>
          <w:p>
            <w:pPr>
              <w:spacing w:before="156" w:after="156" w:line="360" w:lineRule="auto"/>
              <w:rPr>
                <w:rFonts w:ascii="宋体"/>
                <w:color w:val="auto"/>
                <w:sz w:val="24"/>
                <w:szCs w:val="24"/>
              </w:rPr>
            </w:pPr>
            <w:r>
              <w:rPr>
                <w:rFonts w:ascii="宋体" w:hAnsi="宋体" w:cs="宋体"/>
                <w:color w:val="auto"/>
                <w:sz w:val="24"/>
                <w:szCs w:val="24"/>
              </w:rPr>
              <w:t>12</w:t>
            </w:r>
            <w:r>
              <w:rPr>
                <w:rFonts w:hint="eastAsia" w:ascii="宋体" w:hAnsi="宋体" w:cs="宋体"/>
                <w:color w:val="auto"/>
                <w:sz w:val="24"/>
                <w:szCs w:val="24"/>
              </w:rPr>
              <w:t>、影像动态播放（可自定义或动态调节播放速度）</w:t>
            </w:r>
          </w:p>
          <w:p>
            <w:pPr>
              <w:spacing w:before="156" w:after="156" w:line="360" w:lineRule="auto"/>
              <w:rPr>
                <w:rFonts w:ascii="宋体"/>
                <w:color w:val="auto"/>
                <w:sz w:val="24"/>
                <w:szCs w:val="24"/>
              </w:rPr>
            </w:pPr>
            <w:r>
              <w:rPr>
                <w:rFonts w:ascii="宋体" w:hAnsi="宋体" w:cs="宋体"/>
                <w:color w:val="auto"/>
                <w:sz w:val="24"/>
                <w:szCs w:val="24"/>
              </w:rPr>
              <w:t>13</w:t>
            </w:r>
            <w:r>
              <w:rPr>
                <w:rFonts w:hint="eastAsia" w:ascii="宋体" w:hAnsi="宋体" w:cs="宋体"/>
                <w:color w:val="auto"/>
                <w:sz w:val="24"/>
                <w:szCs w:val="24"/>
              </w:rPr>
              <w:t>、窗宽</w:t>
            </w:r>
            <w:r>
              <w:rPr>
                <w:rFonts w:ascii="宋体" w:hAnsi="宋体" w:cs="宋体"/>
                <w:color w:val="auto"/>
                <w:sz w:val="24"/>
                <w:szCs w:val="24"/>
              </w:rPr>
              <w:t>/</w:t>
            </w:r>
            <w:r>
              <w:rPr>
                <w:rFonts w:hint="eastAsia" w:ascii="宋体" w:hAnsi="宋体" w:cs="宋体"/>
                <w:color w:val="auto"/>
                <w:sz w:val="24"/>
                <w:szCs w:val="24"/>
              </w:rPr>
              <w:t>窗位实时调节</w:t>
            </w:r>
          </w:p>
          <w:p>
            <w:pPr>
              <w:spacing w:before="156" w:after="156" w:line="360" w:lineRule="auto"/>
              <w:rPr>
                <w:rFonts w:ascii="宋体"/>
                <w:color w:val="auto"/>
                <w:sz w:val="24"/>
                <w:szCs w:val="24"/>
              </w:rPr>
            </w:pPr>
            <w:r>
              <w:rPr>
                <w:rFonts w:ascii="宋体" w:hAnsi="宋体" w:cs="宋体"/>
                <w:color w:val="auto"/>
                <w:sz w:val="24"/>
                <w:szCs w:val="24"/>
              </w:rPr>
              <w:t>14</w:t>
            </w:r>
            <w:r>
              <w:rPr>
                <w:rFonts w:hint="eastAsia" w:ascii="宋体" w:hAnsi="宋体" w:cs="宋体"/>
                <w:color w:val="auto"/>
                <w:sz w:val="24"/>
                <w:szCs w:val="24"/>
              </w:rPr>
              <w:t>、角度、长度以及不同形状</w:t>
            </w:r>
            <w:r>
              <w:rPr>
                <w:rFonts w:ascii="宋体" w:hAnsi="宋体" w:cs="宋体"/>
                <w:color w:val="auto"/>
                <w:sz w:val="24"/>
                <w:szCs w:val="24"/>
              </w:rPr>
              <w:t>ROI</w:t>
            </w:r>
            <w:r>
              <w:rPr>
                <w:rFonts w:hint="eastAsia" w:ascii="宋体" w:hAnsi="宋体" w:cs="宋体"/>
                <w:color w:val="auto"/>
                <w:sz w:val="24"/>
                <w:szCs w:val="24"/>
              </w:rPr>
              <w:t>面积</w:t>
            </w:r>
            <w:r>
              <w:rPr>
                <w:rFonts w:ascii="宋体" w:hAnsi="宋体" w:cs="宋体"/>
                <w:color w:val="auto"/>
                <w:sz w:val="24"/>
                <w:szCs w:val="24"/>
              </w:rPr>
              <w:t>/</w:t>
            </w:r>
            <w:r>
              <w:rPr>
                <w:rFonts w:hint="eastAsia" w:ascii="宋体" w:hAnsi="宋体" w:cs="宋体"/>
                <w:color w:val="auto"/>
                <w:sz w:val="24"/>
                <w:szCs w:val="24"/>
              </w:rPr>
              <w:t>周长</w:t>
            </w:r>
            <w:r>
              <w:rPr>
                <w:rFonts w:ascii="宋体" w:hAnsi="宋体" w:cs="宋体"/>
                <w:color w:val="auto"/>
                <w:sz w:val="24"/>
                <w:szCs w:val="24"/>
              </w:rPr>
              <w:t>/</w:t>
            </w:r>
            <w:r>
              <w:rPr>
                <w:rFonts w:hint="eastAsia" w:ascii="宋体" w:hAnsi="宋体" w:cs="宋体"/>
                <w:color w:val="auto"/>
                <w:sz w:val="24"/>
                <w:szCs w:val="24"/>
              </w:rPr>
              <w:t>密度或</w:t>
            </w:r>
            <w:r>
              <w:rPr>
                <w:rFonts w:ascii="宋体" w:hAnsi="宋体" w:cs="宋体"/>
                <w:color w:val="auto"/>
                <w:sz w:val="24"/>
                <w:szCs w:val="24"/>
              </w:rPr>
              <w:t>CT</w:t>
            </w:r>
            <w:r>
              <w:rPr>
                <w:rFonts w:hint="eastAsia" w:ascii="宋体" w:hAnsi="宋体" w:cs="宋体"/>
                <w:color w:val="auto"/>
                <w:sz w:val="24"/>
                <w:szCs w:val="24"/>
              </w:rPr>
              <w:t>值测量</w:t>
            </w:r>
          </w:p>
          <w:p>
            <w:pPr>
              <w:spacing w:before="156" w:after="156" w:line="360" w:lineRule="auto"/>
              <w:rPr>
                <w:rFonts w:ascii="宋体"/>
                <w:color w:val="auto"/>
                <w:sz w:val="24"/>
                <w:szCs w:val="24"/>
              </w:rPr>
            </w:pPr>
            <w:r>
              <w:rPr>
                <w:rFonts w:ascii="宋体" w:hAnsi="宋体" w:cs="宋体"/>
                <w:color w:val="auto"/>
                <w:sz w:val="24"/>
                <w:szCs w:val="24"/>
              </w:rPr>
              <w:t>15</w:t>
            </w:r>
            <w:r>
              <w:rPr>
                <w:rFonts w:hint="eastAsia" w:ascii="宋体" w:hAnsi="宋体" w:cs="宋体"/>
                <w:color w:val="auto"/>
                <w:sz w:val="24"/>
                <w:szCs w:val="24"/>
              </w:rPr>
              <w:t>、任意形面积</w:t>
            </w:r>
            <w:r>
              <w:rPr>
                <w:rFonts w:ascii="宋体" w:hAnsi="宋体" w:cs="宋体"/>
                <w:color w:val="auto"/>
                <w:sz w:val="24"/>
                <w:szCs w:val="24"/>
              </w:rPr>
              <w:t>/</w:t>
            </w:r>
            <w:r>
              <w:rPr>
                <w:rFonts w:hint="eastAsia" w:ascii="宋体" w:hAnsi="宋体" w:cs="宋体"/>
                <w:color w:val="auto"/>
                <w:sz w:val="24"/>
                <w:szCs w:val="24"/>
              </w:rPr>
              <w:t>周长测量</w:t>
            </w:r>
          </w:p>
          <w:p>
            <w:pPr>
              <w:spacing w:before="156" w:after="156" w:line="360" w:lineRule="auto"/>
              <w:rPr>
                <w:rFonts w:ascii="宋体"/>
                <w:color w:val="auto"/>
              </w:rPr>
            </w:pPr>
            <w:r>
              <w:rPr>
                <w:rFonts w:ascii="宋体" w:hAnsi="宋体" w:cs="宋体"/>
                <w:color w:val="auto"/>
                <w:sz w:val="24"/>
                <w:szCs w:val="24"/>
              </w:rPr>
              <w:t>16</w:t>
            </w:r>
            <w:r>
              <w:rPr>
                <w:rFonts w:hint="eastAsia" w:ascii="宋体" w:hAnsi="宋体" w:cs="宋体"/>
                <w:color w:val="auto"/>
                <w:sz w:val="24"/>
                <w:szCs w:val="24"/>
              </w:rPr>
              <w:t>、任意图形、文字标注功能（可动态调节字体</w:t>
            </w:r>
            <w:r>
              <w:rPr>
                <w:rFonts w:ascii="宋体" w:hAnsi="宋体" w:cs="宋体"/>
                <w:color w:val="auto"/>
                <w:sz w:val="24"/>
                <w:szCs w:val="24"/>
              </w:rPr>
              <w:t>/</w:t>
            </w:r>
            <w:r>
              <w:rPr>
                <w:rFonts w:hint="eastAsia" w:ascii="宋体" w:hAnsi="宋体" w:cs="宋体"/>
                <w:color w:val="auto"/>
                <w:sz w:val="24"/>
                <w:szCs w:val="24"/>
              </w:rPr>
              <w:t>颜色）</w:t>
            </w:r>
          </w:p>
        </w:tc>
      </w:tr>
    </w:tbl>
    <w:p>
      <w:pPr>
        <w:pStyle w:val="6"/>
        <w:rPr>
          <w:rFonts w:ascii="宋体" w:hAnsi="宋体" w:eastAsia="宋体" w:cs="Times New Roman"/>
          <w:color w:val="auto"/>
        </w:rPr>
      </w:pPr>
      <w:r>
        <w:rPr>
          <w:rFonts w:ascii="宋体" w:hAnsi="宋体" w:eastAsia="宋体" w:cs="宋体"/>
          <w:color w:val="auto"/>
        </w:rPr>
        <w:t>4.11. 5</w:t>
      </w:r>
      <w:r>
        <w:rPr>
          <w:rFonts w:hint="eastAsia" w:ascii="宋体" w:hAnsi="宋体" w:eastAsia="宋体" w:cs="宋体"/>
          <w:color w:val="auto"/>
        </w:rPr>
        <w:t>、胶片自助打印系统</w:t>
      </w:r>
    </w:p>
    <w:tbl>
      <w:tblPr>
        <w:tblStyle w:val="21"/>
        <w:tblW w:w="10289" w:type="dxa"/>
        <w:tblInd w:w="-607" w:type="dxa"/>
        <w:tblLayout w:type="autofit"/>
        <w:tblCellMar>
          <w:top w:w="0" w:type="dxa"/>
          <w:left w:w="10" w:type="dxa"/>
          <w:bottom w:w="0" w:type="dxa"/>
          <w:right w:w="10" w:type="dxa"/>
        </w:tblCellMar>
      </w:tblPr>
      <w:tblGrid>
        <w:gridCol w:w="993"/>
        <w:gridCol w:w="9296"/>
      </w:tblGrid>
      <w:tr>
        <w:tblPrEx>
          <w:tblCellMar>
            <w:top w:w="0" w:type="dxa"/>
            <w:left w:w="10" w:type="dxa"/>
            <w:bottom w:w="0" w:type="dxa"/>
            <w:right w:w="10" w:type="dxa"/>
          </w:tblCellMar>
        </w:tblPrEx>
        <w:trPr>
          <w:trHeight w:val="363"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29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5"/>
              </w:tabs>
              <w:spacing w:before="156" w:after="156" w:line="360" w:lineRule="auto"/>
              <w:jc w:val="center"/>
              <w:rPr>
                <w:rFonts w:ascii="宋体"/>
                <w:color w:val="auto"/>
                <w:sz w:val="22"/>
                <w:szCs w:val="22"/>
              </w:rPr>
            </w:pPr>
            <w:r>
              <w:rPr>
                <w:rFonts w:ascii="宋体" w:hAnsi="宋体" w:cs="宋体"/>
                <w:color w:val="auto"/>
                <w:sz w:val="22"/>
                <w:szCs w:val="22"/>
              </w:rPr>
              <w:t>1</w:t>
            </w:r>
          </w:p>
        </w:tc>
        <w:tc>
          <w:tcPr>
            <w:tcW w:w="929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患者通过使用</w:t>
            </w:r>
            <w:r>
              <w:rPr>
                <w:rFonts w:ascii="宋体" w:hAnsi="宋体" w:cs="宋体"/>
                <w:color w:val="auto"/>
                <w:sz w:val="24"/>
                <w:szCs w:val="24"/>
              </w:rPr>
              <w:t>IC</w:t>
            </w:r>
            <w:r>
              <w:rPr>
                <w:rFonts w:hint="eastAsia" w:ascii="宋体" w:hAnsi="宋体" w:cs="宋体"/>
                <w:color w:val="auto"/>
                <w:sz w:val="24"/>
                <w:szCs w:val="24"/>
              </w:rPr>
              <w:t>医保卡、条形码、就诊卡等即可自助取得胶片和诊断报告。</w:t>
            </w:r>
          </w:p>
        </w:tc>
      </w:tr>
      <w:tr>
        <w:tblPrEx>
          <w:tblCellMar>
            <w:top w:w="0" w:type="dxa"/>
            <w:left w:w="10" w:type="dxa"/>
            <w:bottom w:w="0" w:type="dxa"/>
            <w:right w:w="10" w:type="dxa"/>
          </w:tblCellMar>
        </w:tblPrEx>
        <w:trPr>
          <w:trHeight w:val="363"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5"/>
              </w:tabs>
              <w:spacing w:before="156" w:after="156" w:line="360" w:lineRule="auto"/>
              <w:jc w:val="center"/>
              <w:rPr>
                <w:rFonts w:ascii="宋体"/>
                <w:color w:val="auto"/>
                <w:sz w:val="22"/>
                <w:szCs w:val="22"/>
              </w:rPr>
            </w:pPr>
            <w:r>
              <w:rPr>
                <w:rFonts w:ascii="宋体" w:hAnsi="宋体" w:cs="宋体"/>
                <w:color w:val="auto"/>
                <w:sz w:val="22"/>
                <w:szCs w:val="22"/>
              </w:rPr>
              <w:t>2</w:t>
            </w:r>
          </w:p>
        </w:tc>
        <w:tc>
          <w:tcPr>
            <w:tcW w:w="929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帮助影像科室建立科室的影像胶片和影像报告打印任务的集中管理和控制。</w:t>
            </w:r>
          </w:p>
        </w:tc>
      </w:tr>
      <w:tr>
        <w:tblPrEx>
          <w:tblCellMar>
            <w:top w:w="0" w:type="dxa"/>
            <w:left w:w="10" w:type="dxa"/>
            <w:bottom w:w="0" w:type="dxa"/>
            <w:right w:w="10" w:type="dxa"/>
          </w:tblCellMar>
        </w:tblPrEx>
        <w:trPr>
          <w:trHeight w:val="363"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5"/>
              </w:tabs>
              <w:spacing w:before="156" w:after="156" w:line="360" w:lineRule="auto"/>
              <w:jc w:val="center"/>
              <w:rPr>
                <w:rFonts w:ascii="宋体"/>
                <w:color w:val="auto"/>
                <w:sz w:val="22"/>
                <w:szCs w:val="22"/>
              </w:rPr>
            </w:pPr>
            <w:r>
              <w:rPr>
                <w:rFonts w:ascii="宋体" w:hAnsi="宋体" w:cs="宋体"/>
                <w:color w:val="auto"/>
                <w:sz w:val="22"/>
                <w:szCs w:val="22"/>
              </w:rPr>
              <w:t>3</w:t>
            </w:r>
          </w:p>
        </w:tc>
        <w:tc>
          <w:tcPr>
            <w:tcW w:w="929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保证患者同一次检查产生的报告和影像打印输出</w:t>
            </w:r>
            <w:r>
              <w:rPr>
                <w:rFonts w:ascii="宋体" w:hAnsi="宋体" w:cs="宋体"/>
                <w:color w:val="auto"/>
                <w:sz w:val="24"/>
                <w:szCs w:val="24"/>
              </w:rPr>
              <w:t>/</w:t>
            </w:r>
            <w:r>
              <w:rPr>
                <w:rFonts w:hint="eastAsia" w:ascii="宋体" w:hAnsi="宋体" w:cs="宋体"/>
                <w:color w:val="auto"/>
                <w:sz w:val="24"/>
                <w:szCs w:val="24"/>
              </w:rPr>
              <w:t>分发结果的一致性和可重复性。</w:t>
            </w:r>
          </w:p>
        </w:tc>
      </w:tr>
      <w:tr>
        <w:tblPrEx>
          <w:tblCellMar>
            <w:top w:w="0" w:type="dxa"/>
            <w:left w:w="10" w:type="dxa"/>
            <w:bottom w:w="0" w:type="dxa"/>
            <w:right w:w="10" w:type="dxa"/>
          </w:tblCellMar>
        </w:tblPrEx>
        <w:trPr>
          <w:trHeight w:val="363"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5"/>
              </w:tabs>
              <w:spacing w:before="156" w:after="156" w:line="360" w:lineRule="auto"/>
              <w:jc w:val="center"/>
              <w:rPr>
                <w:rFonts w:ascii="宋体"/>
                <w:color w:val="auto"/>
                <w:sz w:val="22"/>
                <w:szCs w:val="22"/>
              </w:rPr>
            </w:pPr>
            <w:r>
              <w:rPr>
                <w:rFonts w:ascii="宋体" w:hAnsi="宋体" w:cs="宋体"/>
                <w:color w:val="auto"/>
                <w:sz w:val="22"/>
                <w:szCs w:val="22"/>
              </w:rPr>
              <w:t>4</w:t>
            </w:r>
          </w:p>
        </w:tc>
        <w:tc>
          <w:tcPr>
            <w:tcW w:w="929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实现对打印任务－打印时间－打印操作人员的关联控制和备案查询。</w:t>
            </w:r>
          </w:p>
        </w:tc>
      </w:tr>
      <w:tr>
        <w:tblPrEx>
          <w:tblCellMar>
            <w:top w:w="0" w:type="dxa"/>
            <w:left w:w="10" w:type="dxa"/>
            <w:bottom w:w="0" w:type="dxa"/>
            <w:right w:w="10" w:type="dxa"/>
          </w:tblCellMar>
        </w:tblPrEx>
        <w:trPr>
          <w:trHeight w:val="363" w:hRule="atLeast"/>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25"/>
              </w:tabs>
              <w:spacing w:before="156" w:after="156" w:line="360" w:lineRule="auto"/>
              <w:jc w:val="center"/>
              <w:rPr>
                <w:rFonts w:ascii="宋体"/>
                <w:color w:val="auto"/>
                <w:sz w:val="22"/>
                <w:szCs w:val="22"/>
              </w:rPr>
            </w:pPr>
            <w:r>
              <w:rPr>
                <w:rFonts w:ascii="宋体" w:hAnsi="宋体" w:cs="宋体"/>
                <w:color w:val="auto"/>
                <w:sz w:val="22"/>
                <w:szCs w:val="22"/>
              </w:rPr>
              <w:t>5</w:t>
            </w:r>
          </w:p>
        </w:tc>
        <w:tc>
          <w:tcPr>
            <w:tcW w:w="9296"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建立一体化集成的科室管理工作流。</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4.11.6</w:t>
      </w:r>
      <w:r>
        <w:rPr>
          <w:rFonts w:hint="eastAsia" w:ascii="宋体" w:hAnsi="宋体" w:eastAsia="宋体" w:cs="宋体"/>
          <w:color w:val="auto"/>
        </w:rPr>
        <w:t>、放射科管理系统</w:t>
      </w:r>
    </w:p>
    <w:tbl>
      <w:tblPr>
        <w:tblStyle w:val="21"/>
        <w:tblW w:w="10311" w:type="dxa"/>
        <w:tblInd w:w="-629" w:type="dxa"/>
        <w:tblLayout w:type="autofit"/>
        <w:tblCellMar>
          <w:top w:w="0" w:type="dxa"/>
          <w:left w:w="10" w:type="dxa"/>
          <w:bottom w:w="0" w:type="dxa"/>
          <w:right w:w="10" w:type="dxa"/>
        </w:tblCellMar>
      </w:tblPr>
      <w:tblGrid>
        <w:gridCol w:w="796"/>
        <w:gridCol w:w="9515"/>
      </w:tblGrid>
      <w:tr>
        <w:tblPrEx>
          <w:tblCellMar>
            <w:top w:w="0" w:type="dxa"/>
            <w:left w:w="10" w:type="dxa"/>
            <w:bottom w:w="0" w:type="dxa"/>
            <w:right w:w="10" w:type="dxa"/>
          </w:tblCellMar>
        </w:tblPrEx>
        <w:trPr>
          <w:trHeight w:val="607"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761"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w:t>
            </w:r>
            <w:r>
              <w:rPr>
                <w:rFonts w:ascii="宋体" w:hAnsi="宋体" w:cs="宋体"/>
                <w:color w:val="auto"/>
                <w:sz w:val="24"/>
                <w:szCs w:val="24"/>
              </w:rPr>
              <w:t>DICOM worklist</w:t>
            </w:r>
            <w:r>
              <w:rPr>
                <w:rFonts w:hint="eastAsia" w:ascii="宋体" w:hAnsi="宋体" w:cs="宋体"/>
                <w:color w:val="auto"/>
                <w:sz w:val="24"/>
                <w:szCs w:val="24"/>
              </w:rPr>
              <w:t>服务；针对配置</w:t>
            </w:r>
            <w:r>
              <w:rPr>
                <w:rFonts w:ascii="宋体" w:hAnsi="宋体" w:cs="宋体"/>
                <w:color w:val="auto"/>
                <w:sz w:val="24"/>
                <w:szCs w:val="24"/>
              </w:rPr>
              <w:t>DICOM Modality Worklist</w:t>
            </w:r>
            <w:r>
              <w:rPr>
                <w:rFonts w:hint="eastAsia" w:ascii="宋体" w:hAnsi="宋体" w:cs="宋体"/>
                <w:color w:val="auto"/>
                <w:sz w:val="24"/>
                <w:szCs w:val="24"/>
              </w:rPr>
              <w:t>服务的影像设备，实现</w:t>
            </w:r>
            <w:r>
              <w:rPr>
                <w:rFonts w:ascii="宋体" w:hAnsi="宋体" w:cs="宋体"/>
                <w:color w:val="auto"/>
                <w:sz w:val="24"/>
                <w:szCs w:val="24"/>
              </w:rPr>
              <w:t>worklist</w:t>
            </w:r>
            <w:r>
              <w:rPr>
                <w:rFonts w:hint="eastAsia" w:ascii="宋体" w:hAnsi="宋体" w:cs="宋体"/>
                <w:color w:val="auto"/>
                <w:sz w:val="24"/>
                <w:szCs w:val="24"/>
              </w:rPr>
              <w:t>功能，优化工作流程，提高效率。</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支持多个预约队列，能够方便地在不同队列间切换，对已经安排的预约提供改约和取消预约功能</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3</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预约和检查注意事项能够反馈给申请医生和科室</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4</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可定制的影像号分配策略，可统一分配，也可按设备分配。</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5</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支持多种病人信息</w:t>
            </w:r>
            <w:r>
              <w:rPr>
                <w:rFonts w:ascii="宋体" w:hAnsi="宋体" w:cs="宋体"/>
                <w:color w:val="auto"/>
                <w:sz w:val="24"/>
                <w:szCs w:val="24"/>
              </w:rPr>
              <w:t>/</w:t>
            </w:r>
            <w:r>
              <w:rPr>
                <w:rFonts w:hint="eastAsia" w:ascii="宋体" w:hAnsi="宋体" w:cs="宋体"/>
                <w:color w:val="auto"/>
                <w:sz w:val="24"/>
                <w:szCs w:val="24"/>
              </w:rPr>
              <w:t>申请单信息录入方式（包括病人的基本信息及申请单信息）：包括手工录入、条形码识别、</w:t>
            </w:r>
            <w:r>
              <w:rPr>
                <w:rFonts w:ascii="宋体" w:hAnsi="宋体" w:cs="宋体"/>
                <w:color w:val="auto"/>
                <w:sz w:val="24"/>
                <w:szCs w:val="24"/>
              </w:rPr>
              <w:t>HIS/EMR</w:t>
            </w:r>
            <w:r>
              <w:rPr>
                <w:rFonts w:hint="eastAsia" w:ascii="宋体" w:hAnsi="宋体" w:cs="宋体"/>
                <w:color w:val="auto"/>
                <w:sz w:val="24"/>
                <w:szCs w:val="24"/>
              </w:rPr>
              <w:t>获取、磁卡读取等。同时支持通过扫描仪、数码相机等方式将申请单输入到计算机，保存临床申请信息，并与患者信息、影像对应存档。</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6</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支持集中登记、分部门登记两种登记方式；能够进行多部位的同时登记分诊。能够进行退登记、患者查询操作。可进行病人复诊登记，对重复登记项目内容自行预设与维护。</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7</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支持绿色通道处理机制，可以在特殊紧急状况完成病人的紧急登记注册和检查，检查完成后自动和手动执行病人信息的匹配、校正和合并操作。</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8</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自动查询并使用（或不使用）复诊病人过去检查信息，使用其检查序号，并记录其检查频次。</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9</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支持多媒体查询功能，病人可通过一卡通、条码、及</w:t>
            </w:r>
            <w:r>
              <w:rPr>
                <w:rFonts w:ascii="宋体" w:hAnsi="宋体" w:cs="宋体"/>
                <w:color w:val="auto"/>
                <w:sz w:val="24"/>
                <w:szCs w:val="24"/>
              </w:rPr>
              <w:t>ID</w:t>
            </w:r>
            <w:r>
              <w:rPr>
                <w:rFonts w:hint="eastAsia" w:ascii="宋体" w:hAnsi="宋体" w:cs="宋体"/>
                <w:color w:val="auto"/>
                <w:sz w:val="24"/>
                <w:szCs w:val="24"/>
              </w:rPr>
              <w:t>号等进行个人诊断状态查询。</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10</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可按多种方式进行全科信息资料检索、查询及统计如统计阴性率阳性率、工作量、检查次数、部位、住院病人、外院病人、平诊病人、急诊病人、病人性别、年龄段等。</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11</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分级用户权限管理；</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12</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支持排队叫号系统</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13</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可进行病人复诊登记、对重复登记项目内容自行预设与维护；</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14</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对不同类型检查的收费可自行预设及维护，并自动进行计算显示；</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15</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内置诊断报告模板生成、编辑及管理机制。</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16</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可以将当前报告直接存为报告模板。</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17</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提供查询前级医师报告和既往检查报告能力。</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18</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可直接调用当前报告患者检查申请单内容参考。</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19</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提供从报告界面直接执行报告打印预览能力。</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20</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提供报告界面直接执行报告打印输出能力。</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21</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可与</w:t>
            </w:r>
            <w:r>
              <w:rPr>
                <w:rFonts w:ascii="宋体" w:hAnsi="宋体" w:cs="宋体"/>
                <w:color w:val="auto"/>
                <w:sz w:val="24"/>
                <w:szCs w:val="24"/>
              </w:rPr>
              <w:t>PACS</w:t>
            </w:r>
            <w:r>
              <w:rPr>
                <w:rFonts w:hint="eastAsia" w:ascii="宋体" w:hAnsi="宋体" w:cs="宋体"/>
                <w:color w:val="auto"/>
                <w:sz w:val="24"/>
                <w:szCs w:val="24"/>
              </w:rPr>
              <w:t>影像工作站软件流程集成和数据通讯，执行图文一体化诊断报告构建和输出；在诊断报告过程启动时，自动触发和激活影像终端侧同步执行当前患者影像序列查询、自动装载和浏览过程。</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22</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可自动查询并获取当前患者检查的影像在线状态（</w:t>
            </w:r>
            <w:r>
              <w:rPr>
                <w:rFonts w:ascii="宋体" w:hAnsi="宋体" w:cs="宋体"/>
                <w:color w:val="auto"/>
                <w:sz w:val="24"/>
                <w:szCs w:val="24"/>
              </w:rPr>
              <w:t>IHE</w:t>
            </w:r>
            <w:r>
              <w:rPr>
                <w:rFonts w:hint="eastAsia" w:ascii="宋体" w:hAnsi="宋体" w:cs="宋体"/>
                <w:color w:val="auto"/>
                <w:sz w:val="24"/>
                <w:szCs w:val="24"/>
              </w:rPr>
              <w:t>，</w:t>
            </w:r>
            <w:r>
              <w:rPr>
                <w:rFonts w:ascii="宋体" w:hAnsi="宋体" w:cs="宋体"/>
                <w:color w:val="auto"/>
                <w:sz w:val="24"/>
                <w:szCs w:val="24"/>
              </w:rPr>
              <w:t>Image Availability)</w:t>
            </w:r>
            <w:r>
              <w:rPr>
                <w:rFonts w:hint="eastAsia" w:ascii="宋体" w:hAnsi="宋体" w:cs="宋体"/>
                <w:color w:val="auto"/>
                <w:sz w:val="24"/>
                <w:szCs w:val="24"/>
              </w:rPr>
              <w:t>，为医师第一时间启动患者软拷贝诊断操作提供基础。</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23</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报告编辑书写过程支持对电子申请单的浏览。</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24</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支持急诊病人报告由写报告的医生自审核功能，强制将除急诊以外的所有影像检查报告提交审核。</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25</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支持阅读审核后的报告的功能，提供与审核前报告的对比功能或在阅读已审核报告时提示审核修改前的内容（修改痕迹保留）。</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26</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支持打印审核后的报告和重打功能。</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27</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支持各种形式的病人、报告、影像资料、临床诊断、影像诊断等查询或组合查询。可以对报告描述、诊断结果中的词句进行模糊查询</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28</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根据医生权限不同，每台诊断工作站均可以做报告审核，取决于医生的权限。</w:t>
            </w:r>
          </w:p>
        </w:tc>
      </w:tr>
      <w:tr>
        <w:tblPrEx>
          <w:tblCellMar>
            <w:top w:w="0" w:type="dxa"/>
            <w:left w:w="10" w:type="dxa"/>
            <w:bottom w:w="0" w:type="dxa"/>
            <w:right w:w="10" w:type="dxa"/>
          </w:tblCellMar>
        </w:tblPrEx>
        <w:trPr>
          <w:trHeight w:val="363" w:hRule="atLeast"/>
        </w:trPr>
        <w:tc>
          <w:tcPr>
            <w:tcW w:w="7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sz w:val="22"/>
                <w:szCs w:val="22"/>
              </w:rPr>
            </w:pPr>
            <w:r>
              <w:rPr>
                <w:rFonts w:ascii="宋体" w:hAnsi="宋体" w:cs="宋体"/>
                <w:color w:val="auto"/>
                <w:sz w:val="22"/>
                <w:szCs w:val="22"/>
              </w:rPr>
              <w:t>29</w:t>
            </w:r>
          </w:p>
        </w:tc>
        <w:tc>
          <w:tcPr>
            <w:tcW w:w="951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提供使用过程中的安全管理机制。</w:t>
            </w:r>
          </w:p>
        </w:tc>
      </w:tr>
    </w:tbl>
    <w:p>
      <w:pPr>
        <w:pStyle w:val="6"/>
        <w:rPr>
          <w:rFonts w:ascii="宋体" w:hAnsi="宋体" w:eastAsia="宋体" w:cs="Times New Roman"/>
          <w:color w:val="auto"/>
        </w:rPr>
      </w:pPr>
      <w:r>
        <w:rPr>
          <w:rFonts w:ascii="宋体" w:hAnsi="宋体" w:eastAsia="宋体" w:cs="宋体"/>
          <w:color w:val="auto"/>
        </w:rPr>
        <w:t>4.11.7</w:t>
      </w:r>
      <w:r>
        <w:rPr>
          <w:rFonts w:hint="eastAsia" w:ascii="宋体" w:hAnsi="宋体" w:eastAsia="宋体" w:cs="宋体"/>
          <w:color w:val="auto"/>
        </w:rPr>
        <w:t>、超声科管理系统</w:t>
      </w:r>
    </w:p>
    <w:tbl>
      <w:tblPr>
        <w:tblStyle w:val="21"/>
        <w:tblW w:w="10101" w:type="dxa"/>
        <w:tblInd w:w="-618" w:type="dxa"/>
        <w:tblLayout w:type="autofit"/>
        <w:tblCellMar>
          <w:top w:w="0" w:type="dxa"/>
          <w:left w:w="10" w:type="dxa"/>
          <w:bottom w:w="0" w:type="dxa"/>
          <w:right w:w="10" w:type="dxa"/>
        </w:tblCellMar>
      </w:tblPr>
      <w:tblGrid>
        <w:gridCol w:w="807"/>
        <w:gridCol w:w="9294"/>
      </w:tblGrid>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支持多种病人信息</w:t>
            </w:r>
            <w:r>
              <w:rPr>
                <w:rFonts w:ascii="宋体" w:hAnsi="宋体" w:cs="宋体"/>
                <w:color w:val="auto"/>
                <w:sz w:val="24"/>
                <w:szCs w:val="24"/>
              </w:rPr>
              <w:t>/</w:t>
            </w:r>
            <w:r>
              <w:rPr>
                <w:rFonts w:hint="eastAsia" w:ascii="宋体" w:hAnsi="宋体" w:cs="宋体"/>
                <w:color w:val="auto"/>
                <w:sz w:val="24"/>
                <w:szCs w:val="24"/>
              </w:rPr>
              <w:t>申请单信息录入方式（包括病人的基本信息及申请单信息）：包括手工录入、条形码识别、</w:t>
            </w:r>
            <w:r>
              <w:rPr>
                <w:rFonts w:ascii="宋体" w:hAnsi="宋体" w:cs="宋体"/>
                <w:color w:val="auto"/>
                <w:sz w:val="24"/>
                <w:szCs w:val="24"/>
              </w:rPr>
              <w:t>HIS/EMR</w:t>
            </w:r>
            <w:r>
              <w:rPr>
                <w:rFonts w:hint="eastAsia" w:ascii="宋体" w:hAnsi="宋体" w:cs="宋体"/>
                <w:color w:val="auto"/>
                <w:sz w:val="24"/>
                <w:szCs w:val="24"/>
              </w:rPr>
              <w:t>获取、磁卡读取等。同时支持通过扫描仪、数码相机等方式将申请单输入到计算机，保存临床申请信息，并与患者信息、影像对应存档。</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支持自动叫号排队系统。</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3</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支持检查预约</w:t>
            </w:r>
            <w:r>
              <w:rPr>
                <w:rFonts w:ascii="宋体" w:hAnsi="宋体" w:cs="宋体"/>
                <w:color w:val="auto"/>
                <w:sz w:val="24"/>
                <w:szCs w:val="24"/>
              </w:rPr>
              <w:t>/</w:t>
            </w:r>
            <w:r>
              <w:rPr>
                <w:rFonts w:hint="eastAsia" w:ascii="宋体" w:hAnsi="宋体" w:cs="宋体"/>
                <w:color w:val="auto"/>
                <w:sz w:val="24"/>
                <w:szCs w:val="24"/>
              </w:rPr>
              <w:t>取消，登记</w:t>
            </w:r>
            <w:r>
              <w:rPr>
                <w:rFonts w:ascii="宋体" w:hAnsi="宋体" w:cs="宋体"/>
                <w:color w:val="auto"/>
                <w:sz w:val="24"/>
                <w:szCs w:val="24"/>
              </w:rPr>
              <w:t>/</w:t>
            </w:r>
            <w:r>
              <w:rPr>
                <w:rFonts w:hint="eastAsia" w:ascii="宋体" w:hAnsi="宋体" w:cs="宋体"/>
                <w:color w:val="auto"/>
                <w:sz w:val="24"/>
                <w:szCs w:val="24"/>
              </w:rPr>
              <w:t>取消。</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4</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支持预约单</w:t>
            </w:r>
            <w:r>
              <w:rPr>
                <w:rFonts w:ascii="宋体" w:hAnsi="宋体" w:cs="宋体"/>
                <w:color w:val="auto"/>
                <w:sz w:val="24"/>
                <w:szCs w:val="24"/>
              </w:rPr>
              <w:t>/</w:t>
            </w:r>
            <w:r>
              <w:rPr>
                <w:rFonts w:hint="eastAsia" w:ascii="宋体" w:hAnsi="宋体" w:cs="宋体"/>
                <w:color w:val="auto"/>
                <w:sz w:val="24"/>
                <w:szCs w:val="24"/>
              </w:rPr>
              <w:t>检查单打印，可打印条码；检查单</w:t>
            </w:r>
            <w:r>
              <w:rPr>
                <w:rFonts w:ascii="宋体" w:hAnsi="宋体" w:cs="宋体"/>
                <w:color w:val="auto"/>
                <w:sz w:val="24"/>
                <w:szCs w:val="24"/>
              </w:rPr>
              <w:t>/</w:t>
            </w:r>
            <w:r>
              <w:rPr>
                <w:rFonts w:hint="eastAsia" w:ascii="宋体" w:hAnsi="宋体" w:cs="宋体"/>
                <w:color w:val="auto"/>
                <w:sz w:val="24"/>
                <w:szCs w:val="24"/>
              </w:rPr>
              <w:t>预约单可以按检查类型和检查项目自由配置格式和内容。</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5</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支持急诊、门诊、住院、体检等各种病人类型的登记，并支持优先级设置。</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6</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w:t>
            </w:r>
            <w:r>
              <w:rPr>
                <w:rFonts w:ascii="宋体" w:hAnsi="宋体" w:cs="宋体"/>
                <w:color w:val="auto"/>
                <w:sz w:val="24"/>
                <w:szCs w:val="24"/>
              </w:rPr>
              <w:t>DICOM</w:t>
            </w:r>
            <w:r>
              <w:rPr>
                <w:rFonts w:hint="eastAsia" w:ascii="宋体" w:hAnsi="宋体" w:cs="宋体"/>
                <w:color w:val="auto"/>
                <w:sz w:val="24"/>
                <w:szCs w:val="24"/>
              </w:rPr>
              <w:t>方式采集超声影像。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7</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支持非</w:t>
            </w:r>
            <w:r>
              <w:rPr>
                <w:rFonts w:ascii="宋体" w:hAnsi="宋体" w:cs="宋体"/>
                <w:color w:val="auto"/>
                <w:sz w:val="24"/>
                <w:szCs w:val="24"/>
              </w:rPr>
              <w:t>DICOM</w:t>
            </w:r>
            <w:r>
              <w:rPr>
                <w:rFonts w:hint="eastAsia" w:ascii="宋体" w:hAnsi="宋体" w:cs="宋体"/>
                <w:color w:val="auto"/>
                <w:sz w:val="24"/>
                <w:szCs w:val="24"/>
              </w:rPr>
              <w:t>影像设备的图像采集，并可转换为</w:t>
            </w:r>
            <w:r>
              <w:rPr>
                <w:rFonts w:ascii="宋体" w:hAnsi="宋体" w:cs="宋体"/>
                <w:color w:val="auto"/>
                <w:sz w:val="24"/>
                <w:szCs w:val="24"/>
              </w:rPr>
              <w:t>DICOM</w:t>
            </w:r>
            <w:r>
              <w:rPr>
                <w:rFonts w:hint="eastAsia" w:ascii="宋体" w:hAnsi="宋体" w:cs="宋体"/>
                <w:color w:val="auto"/>
                <w:sz w:val="24"/>
                <w:szCs w:val="24"/>
              </w:rPr>
              <w:t>标准格式。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8</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支持超声影像动态采集及录像结果（</w:t>
            </w:r>
            <w:r>
              <w:rPr>
                <w:rFonts w:ascii="宋体" w:hAnsi="宋体" w:cs="宋体"/>
                <w:color w:val="auto"/>
                <w:sz w:val="24"/>
                <w:szCs w:val="24"/>
              </w:rPr>
              <w:t>AVI</w:t>
            </w:r>
            <w:r>
              <w:rPr>
                <w:rFonts w:hint="eastAsia" w:ascii="宋体" w:hAnsi="宋体" w:cs="宋体"/>
                <w:color w:val="auto"/>
                <w:sz w:val="24"/>
                <w:szCs w:val="24"/>
              </w:rPr>
              <w:t>）回放。</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9</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支持在动态回放过程中采集单帧影像。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10</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支持图像导入、导出功能，支持</w:t>
            </w:r>
            <w:r>
              <w:rPr>
                <w:rFonts w:ascii="宋体" w:hAnsi="宋体" w:cs="宋体"/>
                <w:color w:val="auto"/>
                <w:sz w:val="24"/>
                <w:szCs w:val="24"/>
              </w:rPr>
              <w:t>BMP/JPG</w:t>
            </w:r>
            <w:r>
              <w:rPr>
                <w:rFonts w:hint="eastAsia" w:ascii="宋体" w:hAnsi="宋体" w:cs="宋体"/>
                <w:color w:val="auto"/>
                <w:sz w:val="24"/>
                <w:szCs w:val="24"/>
              </w:rPr>
              <w:t>格式。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11</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可以前台采集和后台采集图像，特殊患者可以先进行图像采集，把图像保存在工作站上，可以集中地把急诊患者图像采集下来。</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12</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所见及所得报告编写方式，丰富的模板库，科室医生可以结合自己的习惯把诊断用语分为公有和私有模板。</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13</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超声诊断工作站可以看到此患者的放射报告和图像资料。可以提取到临床的医嘱，检验的结果等。</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14</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历史诊断报告列表功能，医生可随时查看当前病人的所有历史检查信息和历史诊断报告。</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15</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提供医学的特殊字符、疾病报告模板。</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16</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支持为诊断报告设置疾病分类关键词。</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17</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报告单样式管理功能，可以随意设置多种格式的报告单样式。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18</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支持将典型报告内容保存为教学用报告的功能。</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19</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可通过检查号、姓名（模糊查询）、年龄（岁、月、天）、性别、设备明细、检查状态、检查时间组合查询。</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20</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可以通过病人的类型（住院、门诊、体检）以及编号、检查部位、检查项目、申请科室、报告医生、审核医生、是否急诊等组合查询。</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21</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可以对报告描述、诊断结果中的词句进行模糊查询。</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22</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支持诊断结论查询，并可将查询结果导出到</w:t>
            </w:r>
            <w:r>
              <w:rPr>
                <w:rFonts w:ascii="宋体" w:hAnsi="宋体" w:cs="宋体"/>
                <w:color w:val="auto"/>
                <w:sz w:val="24"/>
                <w:szCs w:val="24"/>
              </w:rPr>
              <w:t>EXCEL</w:t>
            </w:r>
            <w:r>
              <w:rPr>
                <w:rFonts w:hint="eastAsia" w:ascii="宋体" w:hAnsi="宋体" w:cs="宋体"/>
                <w:color w:val="auto"/>
                <w:sz w:val="24"/>
                <w:szCs w:val="24"/>
              </w:rPr>
              <w:t>作进一步统计打印。</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23</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锁定系统，保证在用户暂时离开时，系统不被非法使用。</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24</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常用信息项目维护，添加</w:t>
            </w:r>
            <w:r>
              <w:rPr>
                <w:rFonts w:ascii="宋体" w:hAnsi="宋体" w:cs="宋体"/>
                <w:color w:val="auto"/>
                <w:sz w:val="24"/>
                <w:szCs w:val="24"/>
              </w:rPr>
              <w:t>/</w:t>
            </w:r>
            <w:r>
              <w:rPr>
                <w:rFonts w:hint="eastAsia" w:ascii="宋体" w:hAnsi="宋体" w:cs="宋体"/>
                <w:color w:val="auto"/>
                <w:sz w:val="24"/>
                <w:szCs w:val="24"/>
              </w:rPr>
              <w:t>修改</w:t>
            </w:r>
            <w:r>
              <w:rPr>
                <w:rFonts w:ascii="宋体" w:hAnsi="宋体" w:cs="宋体"/>
                <w:color w:val="auto"/>
                <w:sz w:val="24"/>
                <w:szCs w:val="24"/>
              </w:rPr>
              <w:t>/</w:t>
            </w:r>
            <w:r>
              <w:rPr>
                <w:rFonts w:hint="eastAsia" w:ascii="宋体" w:hAnsi="宋体" w:cs="宋体"/>
                <w:color w:val="auto"/>
                <w:sz w:val="24"/>
                <w:szCs w:val="24"/>
              </w:rPr>
              <w:t>删除检查设备、职业、收费类型、检查科室、民族、患者来源、检查医生等信息项目。</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25</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诊断语句维护，添加</w:t>
            </w:r>
            <w:r>
              <w:rPr>
                <w:rFonts w:ascii="宋体" w:hAnsi="宋体" w:cs="宋体"/>
                <w:color w:val="auto"/>
                <w:sz w:val="24"/>
                <w:szCs w:val="24"/>
              </w:rPr>
              <w:t>/</w:t>
            </w:r>
            <w:r>
              <w:rPr>
                <w:rFonts w:hint="eastAsia" w:ascii="宋体" w:hAnsi="宋体" w:cs="宋体"/>
                <w:color w:val="auto"/>
                <w:sz w:val="24"/>
                <w:szCs w:val="24"/>
              </w:rPr>
              <w:t>修改</w:t>
            </w:r>
            <w:r>
              <w:rPr>
                <w:rFonts w:ascii="宋体" w:hAnsi="宋体" w:cs="宋体"/>
                <w:color w:val="auto"/>
                <w:sz w:val="24"/>
                <w:szCs w:val="24"/>
              </w:rPr>
              <w:t>/</w:t>
            </w:r>
            <w:r>
              <w:rPr>
                <w:rFonts w:hint="eastAsia" w:ascii="宋体" w:hAnsi="宋体" w:cs="宋体"/>
                <w:color w:val="auto"/>
                <w:sz w:val="24"/>
                <w:szCs w:val="24"/>
              </w:rPr>
              <w:t>删除诊断模板、诊断词条；对诊断词条的显示进行排序。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26</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提供数据备份，可导出当前系统配置信息、患者检查信息、采集的图像信息，进行数据备份，防止硬盘损坏、病毒破坏、操作系统崩溃等意外造成的数据丢失。</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27</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提供数据恢复，在意外发生时，恢复备份的系统配置信息、患者检查信息、采集的图像信息，保证系统数据和患者数据不丢失。</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28</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加载患者历史检查报告和图像。</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29</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可在所见即所得的图文报告书写页面上进行患者基本信息的登记。</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30</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可以在打印报告时选择打印机、进行打印参数调整、指定报告打印份数以及打印报告的特定页（多页报告）。</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31</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可以对诊断模板树进行自定义的分层结构。</w:t>
            </w:r>
          </w:p>
        </w:tc>
      </w:tr>
      <w:tr>
        <w:tblPrEx>
          <w:tblCellMar>
            <w:top w:w="0" w:type="dxa"/>
            <w:left w:w="10" w:type="dxa"/>
            <w:bottom w:w="0" w:type="dxa"/>
            <w:right w:w="10" w:type="dxa"/>
          </w:tblCellMar>
        </w:tblPrEx>
        <w:trPr>
          <w:trHeight w:val="363" w:hRule="atLeast"/>
        </w:trPr>
        <w:tc>
          <w:tcPr>
            <w:tcW w:w="8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ind w:left="142"/>
              <w:jc w:val="center"/>
              <w:rPr>
                <w:rFonts w:ascii="宋体"/>
                <w:color w:val="auto"/>
                <w:sz w:val="22"/>
                <w:szCs w:val="22"/>
              </w:rPr>
            </w:pPr>
            <w:r>
              <w:rPr>
                <w:rFonts w:ascii="宋体" w:hAnsi="宋体" w:cs="宋体"/>
                <w:color w:val="auto"/>
                <w:sz w:val="22"/>
                <w:szCs w:val="22"/>
              </w:rPr>
              <w:t>32</w:t>
            </w:r>
          </w:p>
        </w:tc>
        <w:tc>
          <w:tcPr>
            <w:tcW w:w="9294"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可以设置诊断内容的字体样式包括大小、颜色、粗细等。</w:t>
            </w:r>
          </w:p>
        </w:tc>
      </w:tr>
    </w:tbl>
    <w:p>
      <w:pPr>
        <w:pStyle w:val="6"/>
        <w:rPr>
          <w:rFonts w:ascii="宋体" w:hAnsi="宋体" w:eastAsia="宋体" w:cs="Times New Roman"/>
          <w:color w:val="auto"/>
        </w:rPr>
      </w:pPr>
      <w:r>
        <w:rPr>
          <w:rFonts w:ascii="宋体" w:hAnsi="宋体" w:eastAsia="宋体" w:cs="宋体"/>
          <w:color w:val="auto"/>
        </w:rPr>
        <w:t>4.11.8</w:t>
      </w:r>
      <w:r>
        <w:rPr>
          <w:rFonts w:hint="eastAsia" w:ascii="宋体" w:hAnsi="宋体" w:eastAsia="宋体" w:cs="宋体"/>
          <w:color w:val="auto"/>
        </w:rPr>
        <w:t>、内镜管理系统</w:t>
      </w:r>
    </w:p>
    <w:tbl>
      <w:tblPr>
        <w:tblStyle w:val="21"/>
        <w:tblW w:w="10150" w:type="dxa"/>
        <w:tblInd w:w="-640" w:type="dxa"/>
        <w:tblLayout w:type="autofit"/>
        <w:tblCellMar>
          <w:top w:w="0" w:type="dxa"/>
          <w:left w:w="10" w:type="dxa"/>
          <w:bottom w:w="0" w:type="dxa"/>
          <w:right w:w="10" w:type="dxa"/>
        </w:tblCellMar>
      </w:tblPr>
      <w:tblGrid>
        <w:gridCol w:w="818"/>
        <w:gridCol w:w="9332"/>
      </w:tblGrid>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33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933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支持十二指肠镜、膀胱镜、鼻咽喉镜、妇科腹腔镜、宫腔镜、结肠镜、胃镜、腹腔镜、支气管镜等设备。</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2</w:t>
            </w:r>
          </w:p>
        </w:tc>
        <w:tc>
          <w:tcPr>
            <w:tcW w:w="933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在编写报告时，可显示患者历史资料及历史影像，以供对照报告编写调用，报告中对当前已选择的影像可以单独进行文字说明，并可由用户自行选择体位标记。编写报告操作简单，采用一个界面即可完成编写报告工作，操作流程序符合内窥镜诊断流程。提供丰富的范本，用户可以自行添加修改范本。</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3</w:t>
            </w:r>
          </w:p>
        </w:tc>
        <w:tc>
          <w:tcPr>
            <w:tcW w:w="933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图像采集可实时显示设备传过来的图像，可一键式采集，采集的图像可以供报告系统调用可导出至其他存储设备。</w:t>
            </w:r>
          </w:p>
        </w:tc>
      </w:tr>
      <w:tr>
        <w:tblPrEx>
          <w:tblCellMar>
            <w:top w:w="0" w:type="dxa"/>
            <w:left w:w="10" w:type="dxa"/>
            <w:bottom w:w="0" w:type="dxa"/>
            <w:right w:w="10" w:type="dxa"/>
          </w:tblCellMar>
        </w:tblPrEx>
        <w:trPr>
          <w:trHeight w:val="363" w:hRule="atLeast"/>
        </w:trPr>
        <w:tc>
          <w:tcPr>
            <w:tcW w:w="8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4</w:t>
            </w:r>
          </w:p>
        </w:tc>
        <w:tc>
          <w:tcPr>
            <w:tcW w:w="933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支持动态采集，动态回放，动态图像回放提取功能。</w:t>
            </w:r>
          </w:p>
        </w:tc>
      </w:tr>
    </w:tbl>
    <w:p>
      <w:pPr>
        <w:spacing w:before="156" w:after="156" w:line="360" w:lineRule="auto"/>
        <w:rPr>
          <w:rFonts w:ascii="宋体"/>
          <w:color w:val="auto"/>
          <w:sz w:val="24"/>
          <w:szCs w:val="24"/>
        </w:rPr>
      </w:pPr>
    </w:p>
    <w:p>
      <w:pPr>
        <w:pStyle w:val="6"/>
        <w:rPr>
          <w:rFonts w:ascii="宋体" w:hAnsi="宋体" w:eastAsia="宋体" w:cs="Times New Roman"/>
          <w:color w:val="auto"/>
        </w:rPr>
      </w:pPr>
      <w:r>
        <w:rPr>
          <w:rFonts w:ascii="宋体" w:hAnsi="宋体" w:eastAsia="宋体" w:cs="宋体"/>
          <w:color w:val="auto"/>
        </w:rPr>
        <w:t>4.11.9</w:t>
      </w:r>
      <w:r>
        <w:rPr>
          <w:rFonts w:hint="eastAsia" w:ascii="宋体" w:hAnsi="宋体" w:eastAsia="宋体" w:cs="宋体"/>
          <w:color w:val="auto"/>
        </w:rPr>
        <w:t>、全院影像共享系统</w:t>
      </w:r>
    </w:p>
    <w:tbl>
      <w:tblPr>
        <w:tblStyle w:val="21"/>
        <w:tblW w:w="9868" w:type="dxa"/>
        <w:tblInd w:w="-465" w:type="dxa"/>
        <w:tblLayout w:type="autofit"/>
        <w:tblCellMar>
          <w:top w:w="0" w:type="dxa"/>
          <w:left w:w="10" w:type="dxa"/>
          <w:bottom w:w="0" w:type="dxa"/>
          <w:right w:w="10" w:type="dxa"/>
        </w:tblCellMar>
      </w:tblPr>
      <w:tblGrid>
        <w:gridCol w:w="763"/>
        <w:gridCol w:w="9105"/>
      </w:tblGrid>
      <w:tr>
        <w:tblPrEx>
          <w:tblCellMar>
            <w:top w:w="0" w:type="dxa"/>
            <w:left w:w="10" w:type="dxa"/>
            <w:bottom w:w="0" w:type="dxa"/>
            <w:right w:w="10" w:type="dxa"/>
          </w:tblCellMar>
        </w:tblPrEx>
        <w:trPr>
          <w:trHeight w:val="363" w:hRule="atLeast"/>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910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363" w:hRule="atLeast"/>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jc w:val="center"/>
              <w:rPr>
                <w:rFonts w:ascii="宋体"/>
                <w:color w:val="auto"/>
                <w:sz w:val="22"/>
                <w:szCs w:val="22"/>
              </w:rPr>
            </w:pPr>
            <w:r>
              <w:rPr>
                <w:rFonts w:ascii="宋体" w:hAnsi="宋体" w:cs="宋体"/>
                <w:color w:val="auto"/>
                <w:sz w:val="22"/>
                <w:szCs w:val="22"/>
              </w:rPr>
              <w:t>1</w:t>
            </w:r>
          </w:p>
        </w:tc>
        <w:tc>
          <w:tcPr>
            <w:tcW w:w="910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支持全院影像科室如超声、放射、内镜、病理的报告共享，供医生站调阅浏览。</w:t>
            </w:r>
          </w:p>
        </w:tc>
      </w:tr>
    </w:tbl>
    <w:p>
      <w:pPr>
        <w:keepNext/>
        <w:keepLines/>
        <w:spacing w:before="156" w:after="156" w:line="416" w:lineRule="auto"/>
        <w:outlineLvl w:val="1"/>
        <w:rPr>
          <w:rFonts w:ascii="宋体"/>
          <w:b/>
          <w:bCs/>
          <w:color w:val="auto"/>
          <w:sz w:val="32"/>
          <w:szCs w:val="32"/>
        </w:rPr>
      </w:pPr>
      <w:bookmarkStart w:id="1026" w:name="_Toc13114"/>
      <w:bookmarkStart w:id="1027" w:name="_Toc82882805"/>
      <w:bookmarkStart w:id="1028" w:name="_Toc24800"/>
      <w:r>
        <w:rPr>
          <w:rFonts w:ascii="宋体" w:hAnsi="宋体" w:cs="宋体"/>
          <w:b/>
          <w:bCs/>
          <w:color w:val="auto"/>
          <w:sz w:val="32"/>
          <w:szCs w:val="32"/>
        </w:rPr>
        <w:t>4.12</w:t>
      </w:r>
      <w:r>
        <w:rPr>
          <w:rFonts w:hint="eastAsia" w:ascii="宋体" w:hAnsi="宋体" w:cs="宋体"/>
          <w:b/>
          <w:bCs/>
          <w:color w:val="auto"/>
          <w:sz w:val="32"/>
          <w:szCs w:val="32"/>
        </w:rPr>
        <w:t>、检验管理</w:t>
      </w:r>
      <w:bookmarkEnd w:id="1026"/>
      <w:bookmarkEnd w:id="1027"/>
      <w:bookmarkEnd w:id="1028"/>
    </w:p>
    <w:p>
      <w:pPr>
        <w:pStyle w:val="6"/>
        <w:rPr>
          <w:rFonts w:ascii="宋体" w:hAnsi="宋体" w:eastAsia="宋体" w:cs="Times New Roman"/>
          <w:color w:val="auto"/>
        </w:rPr>
      </w:pPr>
      <w:r>
        <w:rPr>
          <w:rFonts w:ascii="宋体" w:hAnsi="宋体" w:eastAsia="宋体" w:cs="宋体"/>
          <w:color w:val="auto"/>
        </w:rPr>
        <w:t>4.12.1</w:t>
      </w:r>
      <w:r>
        <w:rPr>
          <w:rFonts w:hint="eastAsia" w:ascii="宋体" w:hAnsi="宋体" w:eastAsia="宋体" w:cs="宋体"/>
          <w:color w:val="auto"/>
        </w:rPr>
        <w:t>、检验管理系统</w:t>
      </w:r>
    </w:p>
    <w:p>
      <w:pPr>
        <w:pStyle w:val="7"/>
        <w:rPr>
          <w:rFonts w:ascii="宋体"/>
          <w:color w:val="auto"/>
        </w:rPr>
      </w:pPr>
      <w:r>
        <w:rPr>
          <w:rFonts w:ascii="宋体" w:hAnsi="宋体" w:cs="宋体"/>
          <w:color w:val="auto"/>
        </w:rPr>
        <w:t>4.12.1.1</w:t>
      </w:r>
      <w:r>
        <w:rPr>
          <w:rFonts w:hint="eastAsia" w:ascii="宋体" w:hAnsi="宋体" w:cs="宋体"/>
          <w:color w:val="auto"/>
        </w:rPr>
        <w:t>、检验主业务系统</w:t>
      </w:r>
    </w:p>
    <w:p>
      <w:pPr>
        <w:spacing w:before="156" w:after="156" w:line="360" w:lineRule="auto"/>
        <w:ind w:firstLine="480"/>
        <w:rPr>
          <w:rFonts w:ascii="宋体"/>
          <w:color w:val="auto"/>
          <w:sz w:val="24"/>
          <w:szCs w:val="24"/>
        </w:rPr>
      </w:pPr>
      <w:r>
        <w:rPr>
          <w:rFonts w:hint="eastAsia" w:ascii="宋体" w:hAnsi="宋体" w:cs="宋体"/>
          <w:color w:val="auto"/>
          <w:sz w:val="24"/>
          <w:szCs w:val="24"/>
        </w:rPr>
        <w:t>检验主业务系统主要完成来自门诊、住院、体检、外单位的标本登记、结果的输入、结果审核、报告单打印、查询统计以及基础数据维护等。</w:t>
      </w:r>
    </w:p>
    <w:p>
      <w:pPr>
        <w:spacing w:before="156" w:after="156" w:line="360" w:lineRule="auto"/>
        <w:ind w:firstLine="480"/>
        <w:rPr>
          <w:rFonts w:ascii="宋体"/>
          <w:color w:val="auto"/>
          <w:sz w:val="24"/>
          <w:szCs w:val="24"/>
        </w:rPr>
      </w:pPr>
      <w:r>
        <w:rPr>
          <w:rFonts w:hint="eastAsia" w:ascii="宋体" w:hAnsi="宋体" w:cs="宋体"/>
          <w:color w:val="auto"/>
          <w:sz w:val="24"/>
          <w:szCs w:val="24"/>
        </w:rPr>
        <w:t>系统涵盖生化、免疫、常规、急诊等科室。</w:t>
      </w:r>
    </w:p>
    <w:p>
      <w:pPr>
        <w:spacing w:line="360" w:lineRule="auto"/>
        <w:rPr>
          <w:rFonts w:ascii="宋体"/>
          <w:b/>
          <w:bCs/>
          <w:color w:val="auto"/>
          <w:sz w:val="24"/>
          <w:szCs w:val="24"/>
        </w:rPr>
      </w:pPr>
      <w:r>
        <w:rPr>
          <w:rFonts w:ascii="宋体" w:hAnsi="宋体" w:cs="宋体"/>
          <w:color w:val="auto"/>
        </w:rPr>
        <w:t>4.12.1.1.1</w:t>
      </w:r>
      <w:r>
        <w:rPr>
          <w:rFonts w:hint="eastAsia" w:ascii="宋体" w:hAnsi="宋体" w:cs="宋体"/>
          <w:b/>
          <w:bCs/>
          <w:color w:val="auto"/>
          <w:sz w:val="24"/>
          <w:szCs w:val="24"/>
        </w:rPr>
        <w:t>技师工作站：（含生化、免疫、常规等）</w:t>
      </w:r>
    </w:p>
    <w:tbl>
      <w:tblPr>
        <w:tblStyle w:val="21"/>
        <w:tblW w:w="9597" w:type="dxa"/>
        <w:jc w:val="center"/>
        <w:tblLayout w:type="autofit"/>
        <w:tblCellMar>
          <w:top w:w="0" w:type="dxa"/>
          <w:left w:w="10" w:type="dxa"/>
          <w:bottom w:w="0" w:type="dxa"/>
          <w:right w:w="10" w:type="dxa"/>
        </w:tblCellMar>
      </w:tblPr>
      <w:tblGrid>
        <w:gridCol w:w="1577"/>
        <w:gridCol w:w="8020"/>
      </w:tblGrid>
      <w:tr>
        <w:tblPrEx>
          <w:tblCellMar>
            <w:top w:w="0" w:type="dxa"/>
            <w:left w:w="10" w:type="dxa"/>
            <w:bottom w:w="0" w:type="dxa"/>
            <w:right w:w="10" w:type="dxa"/>
          </w:tblCellMar>
        </w:tblPrEx>
        <w:trPr>
          <w:trHeight w:val="585"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w:t>
            </w:r>
          </w:p>
        </w:tc>
        <w:tc>
          <w:tcPr>
            <w:tcW w:w="8020" w:type="dxa"/>
            <w:tcBorders>
              <w:top w:val="single" w:color="000000" w:sz="4" w:space="0"/>
              <w:left w:val="single" w:color="000000" w:sz="6" w:space="0"/>
              <w:bottom w:val="single" w:color="000000" w:sz="4" w:space="0"/>
              <w:right w:val="single" w:color="000000" w:sz="4" w:space="0"/>
            </w:tcBorders>
            <w:shd w:val="clear" w:color="auto"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标本登记</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主要是完成来自门诊或病房的化验申请单的手工登记工作。</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批量处理</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完成对病人资料和结果数据的成批修改、删除，以及对体检标本的成批登记。</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结果输入</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主要对手工结果的输入和修改，以及对一些阴阳性结果的成批输入。</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标本核收</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通过扫描条码接收病区中合格的标本并自动完成计费，并把不合格的标本退回病区。</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科研</w:t>
            </w:r>
            <w:r>
              <w:rPr>
                <w:rFonts w:ascii="宋体" w:hAnsi="宋体" w:cs="宋体"/>
                <w:color w:val="auto"/>
                <w:sz w:val="24"/>
                <w:szCs w:val="24"/>
              </w:rPr>
              <w:t>/</w:t>
            </w:r>
            <w:r>
              <w:rPr>
                <w:rFonts w:hint="eastAsia" w:ascii="宋体" w:hAnsi="宋体" w:cs="宋体"/>
                <w:color w:val="auto"/>
                <w:sz w:val="24"/>
                <w:szCs w:val="24"/>
              </w:rPr>
              <w:t>学习登记</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主要登记科研人员的科研成果，以便主任奖励或管理人员。</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历史结果回顾</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病人在系统中的唯一编号查询本次检验项目对应的历史结果和现结果进行的比较。</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结果审核</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系统根据审核人员事先设定的审核条件对病人的检验结果进行智能分析，并根据不同的结果提示，决定报告单是否签发、是否需重做或需重采集标本等等处理意见。</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系统误差纠正</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主要完成对同一批标本的结果根据当天的质控情况，确定截距和斜率对标本的结果进行系统误差的纠正。</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报告单查询</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根据提供的标本信息综合查询符合条件的报告单。</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传染病报卡</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该窗口的功能是把符合某一种传染病条件的结果作为查询条件，检索出符合条件的病人信息，并打印出来报给防疫站。</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结果趋势查询</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查询某一病人在一段时期内，某一项目的结果变化的趋势情况。</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工作量统计</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统计检验科的工作量情况，可以按检验部门、检查项目、申请医生、操作人员、病人的就诊类别综合和分开统计工作量。</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工作进度分析</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主要是用来分析当天的各类标本的工作进度情况。</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信息修改查询</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查询操作者修改过的病人的基本信息及结果。</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科研统计</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统计某一段时间内某个项目的标准差、最大最小值及把某一段时间内的项目结果导成</w:t>
            </w:r>
            <w:r>
              <w:rPr>
                <w:rFonts w:ascii="宋体" w:hAnsi="宋体" w:cs="宋体"/>
                <w:color w:val="auto"/>
                <w:sz w:val="24"/>
                <w:szCs w:val="24"/>
              </w:rPr>
              <w:t>Excel</w:t>
            </w:r>
            <w:r>
              <w:rPr>
                <w:rFonts w:hint="eastAsia" w:ascii="宋体" w:hAnsi="宋体" w:cs="宋体"/>
                <w:color w:val="auto"/>
                <w:sz w:val="24"/>
                <w:szCs w:val="24"/>
              </w:rPr>
              <w:t>文件。</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报告单打印</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用于打印报告单，操作界面与主业务窗口的报告单打印。</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工作清单打印</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用来打印当天检验科本部门所做的各病人的汇总情况，操作界面如同测定清单打印。</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测定清单打印</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主要用于打印当天的测定清单，用于归档和纸质保存。</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异常结果打印</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主要用来打印当天体检病人中结果不正常的病人信息和结果信息，操作界面如同测定清单打印。</w:t>
            </w:r>
          </w:p>
        </w:tc>
      </w:tr>
      <w:tr>
        <w:tblPrEx>
          <w:tblCellMar>
            <w:top w:w="0" w:type="dxa"/>
            <w:left w:w="10" w:type="dxa"/>
            <w:bottom w:w="0" w:type="dxa"/>
            <w:right w:w="10" w:type="dxa"/>
          </w:tblCellMar>
        </w:tblPrEx>
        <w:trPr>
          <w:trHeight w:val="1"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标本、报告单收发记录表</w:t>
            </w:r>
          </w:p>
        </w:tc>
        <w:tc>
          <w:tcPr>
            <w:tcW w:w="802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记录标本接收及报告单发送的详细情况统记。</w:t>
            </w:r>
          </w:p>
        </w:tc>
      </w:tr>
    </w:tbl>
    <w:p>
      <w:pPr>
        <w:keepNext/>
        <w:keepLines/>
        <w:spacing w:before="156" w:after="156" w:line="376" w:lineRule="auto"/>
        <w:rPr>
          <w:rFonts w:ascii="宋体"/>
          <w:b/>
          <w:bCs/>
          <w:color w:val="auto"/>
          <w:sz w:val="28"/>
          <w:szCs w:val="28"/>
        </w:rPr>
      </w:pPr>
      <w:r>
        <w:rPr>
          <w:rFonts w:ascii="宋体" w:hAnsi="宋体" w:cs="宋体"/>
          <w:color w:val="auto"/>
        </w:rPr>
        <w:t>4.12.1.1.2</w:t>
      </w:r>
      <w:r>
        <w:rPr>
          <w:rFonts w:hint="eastAsia" w:ascii="宋体" w:hAnsi="宋体" w:cs="宋体"/>
          <w:b/>
          <w:bCs/>
          <w:color w:val="auto"/>
          <w:sz w:val="28"/>
          <w:szCs w:val="28"/>
        </w:rPr>
        <w:t>通讯系统</w:t>
      </w:r>
    </w:p>
    <w:p>
      <w:pPr>
        <w:spacing w:before="156" w:after="156" w:line="360" w:lineRule="auto"/>
        <w:ind w:firstLine="480"/>
        <w:rPr>
          <w:rFonts w:ascii="宋体"/>
          <w:color w:val="auto"/>
          <w:sz w:val="24"/>
          <w:szCs w:val="24"/>
        </w:rPr>
      </w:pPr>
      <w:r>
        <w:rPr>
          <w:rFonts w:hint="eastAsia" w:ascii="宋体" w:hAnsi="宋体" w:cs="宋体"/>
          <w:color w:val="auto"/>
          <w:sz w:val="24"/>
          <w:szCs w:val="24"/>
        </w:rPr>
        <w:t>完成仪器原始数据采集及解析，包括各种传输模式（串口、网口、</w:t>
      </w:r>
      <w:r>
        <w:rPr>
          <w:rFonts w:ascii="宋体" w:hAnsi="宋体" w:cs="宋体"/>
          <w:color w:val="auto"/>
          <w:sz w:val="24"/>
          <w:szCs w:val="24"/>
        </w:rPr>
        <w:t>USB</w:t>
      </w:r>
      <w:r>
        <w:rPr>
          <w:rFonts w:hint="eastAsia" w:ascii="宋体" w:hAnsi="宋体" w:cs="宋体"/>
          <w:color w:val="auto"/>
          <w:sz w:val="24"/>
          <w:szCs w:val="24"/>
        </w:rPr>
        <w:t>、读文件等）。</w:t>
      </w:r>
    </w:p>
    <w:p>
      <w:pPr>
        <w:spacing w:line="360" w:lineRule="auto"/>
        <w:rPr>
          <w:rFonts w:ascii="宋体"/>
          <w:b/>
          <w:bCs/>
          <w:color w:val="auto"/>
          <w:sz w:val="24"/>
          <w:szCs w:val="24"/>
        </w:rPr>
      </w:pPr>
      <w:r>
        <w:rPr>
          <w:rFonts w:ascii="宋体" w:hAnsi="宋体" w:cs="宋体"/>
          <w:color w:val="auto"/>
        </w:rPr>
        <w:t>4.12.1.1.3</w:t>
      </w:r>
      <w:r>
        <w:rPr>
          <w:rFonts w:hint="eastAsia" w:ascii="宋体" w:hAnsi="宋体" w:cs="宋体"/>
          <w:b/>
          <w:bCs/>
          <w:color w:val="auto"/>
          <w:sz w:val="24"/>
          <w:szCs w:val="24"/>
        </w:rPr>
        <w:t>双向通信</w:t>
      </w:r>
    </w:p>
    <w:p>
      <w:pPr>
        <w:spacing w:before="156" w:after="156" w:line="360" w:lineRule="auto"/>
        <w:ind w:firstLine="480"/>
        <w:rPr>
          <w:rFonts w:ascii="宋体"/>
          <w:color w:val="auto"/>
          <w:sz w:val="24"/>
          <w:szCs w:val="24"/>
        </w:rPr>
      </w:pPr>
      <w:r>
        <w:rPr>
          <w:rFonts w:hint="eastAsia" w:ascii="宋体" w:hAnsi="宋体" w:cs="宋体"/>
          <w:color w:val="auto"/>
          <w:sz w:val="24"/>
          <w:szCs w:val="24"/>
        </w:rPr>
        <w:t>对于支持条码读取的仪器，本模块可以使仪器实现双向通信的功能，仪器可以通过读取试管上的条码，自动获取条码信息对应的检验医嘱信息，自动测试检验项目，仪器不会漏检检验项目，并且与标本放的位置也无关，只与条码信息相关。</w:t>
      </w:r>
    </w:p>
    <w:p>
      <w:pPr>
        <w:spacing w:line="360" w:lineRule="auto"/>
        <w:rPr>
          <w:rFonts w:ascii="宋体"/>
          <w:b/>
          <w:bCs/>
          <w:color w:val="auto"/>
          <w:sz w:val="24"/>
          <w:szCs w:val="24"/>
        </w:rPr>
      </w:pPr>
      <w:r>
        <w:rPr>
          <w:rFonts w:ascii="宋体" w:hAnsi="宋体" w:cs="宋体"/>
          <w:color w:val="auto"/>
        </w:rPr>
        <w:t>4.12.1.1.4</w:t>
      </w:r>
      <w:r>
        <w:rPr>
          <w:rFonts w:hint="eastAsia" w:ascii="宋体" w:hAnsi="宋体" w:cs="宋体"/>
          <w:b/>
          <w:bCs/>
          <w:color w:val="auto"/>
          <w:sz w:val="24"/>
          <w:szCs w:val="24"/>
        </w:rPr>
        <w:t>酶标仪测定</w:t>
      </w:r>
    </w:p>
    <w:p>
      <w:pPr>
        <w:spacing w:before="156" w:after="156" w:line="360" w:lineRule="auto"/>
        <w:ind w:firstLine="480"/>
        <w:rPr>
          <w:rFonts w:ascii="宋体"/>
          <w:color w:val="auto"/>
          <w:sz w:val="24"/>
          <w:szCs w:val="24"/>
        </w:rPr>
      </w:pPr>
      <w:r>
        <w:rPr>
          <w:rFonts w:hint="eastAsia" w:ascii="宋体" w:hAnsi="宋体" w:cs="宋体"/>
          <w:color w:val="auto"/>
          <w:sz w:val="24"/>
          <w:szCs w:val="24"/>
        </w:rPr>
        <w:t>主要用来测定肝炎系列、</w:t>
      </w:r>
      <w:r>
        <w:rPr>
          <w:rFonts w:ascii="宋体" w:hAnsi="宋体" w:cs="宋体"/>
          <w:color w:val="auto"/>
          <w:sz w:val="24"/>
          <w:szCs w:val="24"/>
        </w:rPr>
        <w:t>HIV</w:t>
      </w:r>
      <w:r>
        <w:rPr>
          <w:rFonts w:hint="eastAsia" w:ascii="宋体" w:hAnsi="宋体" w:cs="宋体"/>
          <w:color w:val="auto"/>
          <w:sz w:val="24"/>
          <w:szCs w:val="24"/>
        </w:rPr>
        <w:t>等的项目，项目测定前先维护好每个项目的测定参数，如测量模式、主次波长、阴性计算公式等，测定的界面的布置与实际的酶标板一致，标本的排列可以根据板的类型和操作人员的习惯选择横排或竖排等，阴阳性对照标本、空白和质控标本的位置可以任意放置。系统直接控制酶标仪的测试过程，直接读取酶标仪的原始对应的板孔的吸光度值，系统自动计算</w:t>
      </w:r>
      <w:r>
        <w:rPr>
          <w:rFonts w:ascii="宋体" w:hAnsi="宋体" w:cs="宋体"/>
          <w:color w:val="auto"/>
          <w:sz w:val="24"/>
          <w:szCs w:val="24"/>
        </w:rPr>
        <w:t>CUTOFF</w:t>
      </w:r>
      <w:r>
        <w:rPr>
          <w:rFonts w:hint="eastAsia" w:ascii="宋体" w:hAnsi="宋体" w:cs="宋体"/>
          <w:color w:val="auto"/>
          <w:sz w:val="24"/>
          <w:szCs w:val="24"/>
        </w:rPr>
        <w:t>值，自动判断阴阳性结果，根据卫生部的要求保存各个板的原始的</w:t>
      </w:r>
      <w:r>
        <w:rPr>
          <w:rFonts w:ascii="宋体" w:hAnsi="宋体" w:cs="宋体"/>
          <w:color w:val="auto"/>
          <w:sz w:val="24"/>
          <w:szCs w:val="24"/>
        </w:rPr>
        <w:t>OD</w:t>
      </w:r>
      <w:r>
        <w:rPr>
          <w:rFonts w:hint="eastAsia" w:ascii="宋体" w:hAnsi="宋体" w:cs="宋体"/>
          <w:color w:val="auto"/>
          <w:sz w:val="24"/>
          <w:szCs w:val="24"/>
        </w:rPr>
        <w:t>值、测定方法、</w:t>
      </w:r>
      <w:r>
        <w:rPr>
          <w:rFonts w:ascii="宋体" w:hAnsi="宋体" w:cs="宋体"/>
          <w:color w:val="auto"/>
          <w:sz w:val="24"/>
          <w:szCs w:val="24"/>
        </w:rPr>
        <w:t>CUTOFF</w:t>
      </w:r>
      <w:r>
        <w:rPr>
          <w:rFonts w:hint="eastAsia" w:ascii="宋体" w:hAnsi="宋体" w:cs="宋体"/>
          <w:color w:val="auto"/>
          <w:sz w:val="24"/>
          <w:szCs w:val="24"/>
        </w:rPr>
        <w:t>值及</w:t>
      </w:r>
      <w:r>
        <w:rPr>
          <w:rFonts w:ascii="宋体" w:hAnsi="宋体" w:cs="宋体"/>
          <w:color w:val="auto"/>
          <w:sz w:val="24"/>
          <w:szCs w:val="24"/>
        </w:rPr>
        <w:t>S/CO</w:t>
      </w:r>
      <w:r>
        <w:rPr>
          <w:rFonts w:hint="eastAsia" w:ascii="宋体" w:hAnsi="宋体" w:cs="宋体"/>
          <w:color w:val="auto"/>
          <w:sz w:val="24"/>
          <w:szCs w:val="24"/>
        </w:rPr>
        <w:t>值，并打印原始数据的报表，以备上级主管部门的检查。</w:t>
      </w:r>
    </w:p>
    <w:p>
      <w:pPr>
        <w:pStyle w:val="7"/>
        <w:rPr>
          <w:rFonts w:ascii="宋体"/>
          <w:color w:val="auto"/>
        </w:rPr>
      </w:pPr>
      <w:r>
        <w:rPr>
          <w:rFonts w:ascii="宋体" w:hAnsi="宋体" w:cs="宋体"/>
          <w:color w:val="auto"/>
        </w:rPr>
        <w:t>4.12.1.2</w:t>
      </w:r>
      <w:r>
        <w:rPr>
          <w:rFonts w:hint="eastAsia" w:ascii="宋体" w:hAnsi="宋体" w:cs="宋体"/>
          <w:color w:val="auto"/>
        </w:rPr>
        <w:t>、质控管理系统</w:t>
      </w:r>
    </w:p>
    <w:p>
      <w:pPr>
        <w:spacing w:before="156" w:after="156" w:line="360" w:lineRule="auto"/>
        <w:ind w:firstLine="480"/>
        <w:rPr>
          <w:rFonts w:ascii="宋体"/>
          <w:color w:val="auto"/>
          <w:sz w:val="24"/>
          <w:szCs w:val="24"/>
        </w:rPr>
      </w:pPr>
      <w:r>
        <w:rPr>
          <w:rFonts w:hint="eastAsia" w:ascii="宋体" w:hAnsi="宋体" w:cs="宋体"/>
          <w:color w:val="auto"/>
          <w:sz w:val="24"/>
          <w:szCs w:val="24"/>
        </w:rPr>
        <w:t>实验室室内质控管理，包括质控规划、失控分析、质控报表等。</w:t>
      </w:r>
    </w:p>
    <w:p>
      <w:pPr>
        <w:spacing w:line="360" w:lineRule="auto"/>
        <w:rPr>
          <w:rFonts w:ascii="宋体"/>
          <w:b/>
          <w:bCs/>
          <w:color w:val="auto"/>
          <w:sz w:val="24"/>
          <w:szCs w:val="24"/>
        </w:rPr>
      </w:pPr>
      <w:r>
        <w:rPr>
          <w:rFonts w:ascii="宋体" w:hAnsi="宋体" w:cs="宋体"/>
          <w:color w:val="auto"/>
        </w:rPr>
        <w:t>4.12.1.2.1</w:t>
      </w:r>
      <w:r>
        <w:rPr>
          <w:rFonts w:hint="eastAsia" w:ascii="宋体" w:hAnsi="宋体" w:cs="宋体"/>
          <w:b/>
          <w:bCs/>
          <w:color w:val="auto"/>
          <w:sz w:val="24"/>
          <w:szCs w:val="24"/>
        </w:rPr>
        <w:t>系统的主要功能包括：</w:t>
      </w:r>
    </w:p>
    <w:tbl>
      <w:tblPr>
        <w:tblStyle w:val="21"/>
        <w:tblW w:w="9392" w:type="dxa"/>
        <w:jc w:val="center"/>
        <w:tblLayout w:type="autofit"/>
        <w:tblCellMar>
          <w:top w:w="0" w:type="dxa"/>
          <w:left w:w="10" w:type="dxa"/>
          <w:bottom w:w="0" w:type="dxa"/>
          <w:right w:w="10" w:type="dxa"/>
        </w:tblCellMar>
      </w:tblPr>
      <w:tblGrid>
        <w:gridCol w:w="1590"/>
        <w:gridCol w:w="7802"/>
      </w:tblGrid>
      <w:tr>
        <w:tblPrEx>
          <w:tblCellMar>
            <w:top w:w="0" w:type="dxa"/>
            <w:left w:w="10" w:type="dxa"/>
            <w:bottom w:w="0" w:type="dxa"/>
            <w:right w:w="10" w:type="dxa"/>
          </w:tblCellMar>
        </w:tblPrEx>
        <w:trPr>
          <w:trHeight w:val="585"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w:t>
            </w:r>
          </w:p>
        </w:tc>
        <w:tc>
          <w:tcPr>
            <w:tcW w:w="780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质控批号输入</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用于设置仪器当前使用的质控批号、质控水平、质控代码以及使用的仪器。</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质控靶值输入</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设置各台仪器对应的每个批号中每个质控项目的靶值和标准差。</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质控规划</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设置质控的报表类型、批号及完成时间，及质控的失控规则等</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质控数据输入</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用于修改或删除当天的质控数据，以及输入一些手工的质控数据和打印当月的质控数据。</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失控处理</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对失控的数据进行分析及处理</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质控比对</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不同仪器的质控结果比对，包括比对仪器及项目设置、结果导入、比对报表</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质控月报表</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用来显示各批号的各种质控图（包括</w:t>
            </w:r>
            <w:r>
              <w:rPr>
                <w:rFonts w:ascii="宋体" w:hAnsi="宋体" w:cs="宋体"/>
                <w:color w:val="auto"/>
                <w:sz w:val="24"/>
                <w:szCs w:val="24"/>
              </w:rPr>
              <w:t>Westgard</w:t>
            </w:r>
            <w:r>
              <w:rPr>
                <w:rFonts w:hint="eastAsia" w:ascii="宋体" w:hAnsi="宋体" w:cs="宋体"/>
                <w:color w:val="auto"/>
                <w:sz w:val="24"/>
                <w:szCs w:val="24"/>
              </w:rPr>
              <w:t>图、</w:t>
            </w:r>
            <w:r>
              <w:rPr>
                <w:rFonts w:ascii="宋体" w:hAnsi="宋体" w:cs="宋体"/>
                <w:color w:val="auto"/>
                <w:sz w:val="24"/>
                <w:szCs w:val="24"/>
              </w:rPr>
              <w:t>Monica</w:t>
            </w:r>
            <w:r>
              <w:rPr>
                <w:rFonts w:hint="eastAsia" w:ascii="宋体" w:hAnsi="宋体" w:cs="宋体"/>
                <w:color w:val="auto"/>
                <w:sz w:val="24"/>
                <w:szCs w:val="24"/>
              </w:rPr>
              <w:t>图、</w:t>
            </w:r>
            <w:r>
              <w:rPr>
                <w:rFonts w:ascii="宋体" w:hAnsi="宋体" w:cs="宋体"/>
                <w:color w:val="auto"/>
                <w:sz w:val="24"/>
                <w:szCs w:val="24"/>
              </w:rPr>
              <w:t>Youden</w:t>
            </w:r>
            <w:r>
              <w:rPr>
                <w:rFonts w:hint="eastAsia" w:ascii="宋体" w:hAnsi="宋体" w:cs="宋体"/>
                <w:color w:val="auto"/>
                <w:sz w:val="24"/>
                <w:szCs w:val="24"/>
              </w:rPr>
              <w:t>图、误差累积图、多规则</w:t>
            </w:r>
            <w:r>
              <w:rPr>
                <w:rFonts w:ascii="宋体" w:hAnsi="宋体" w:cs="宋体"/>
                <w:color w:val="auto"/>
                <w:sz w:val="24"/>
                <w:szCs w:val="24"/>
              </w:rPr>
              <w:t>Sheward</w:t>
            </w:r>
            <w:r>
              <w:rPr>
                <w:rFonts w:hint="eastAsia" w:ascii="宋体" w:hAnsi="宋体" w:cs="宋体"/>
                <w:color w:val="auto"/>
                <w:sz w:val="24"/>
                <w:szCs w:val="24"/>
              </w:rPr>
              <w:t>图等等），并根据各个质控图的失控规则，来判断该项目是否失控。</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质控日报表</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主要用于查询每天的质控日报，本科室各个项目的</w:t>
            </w:r>
            <w:r>
              <w:rPr>
                <w:rFonts w:ascii="宋体" w:hAnsi="宋体" w:cs="宋体"/>
                <w:color w:val="auto"/>
                <w:sz w:val="24"/>
                <w:szCs w:val="24"/>
              </w:rPr>
              <w:t>VIS</w:t>
            </w:r>
            <w:r>
              <w:rPr>
                <w:rFonts w:hint="eastAsia" w:ascii="宋体" w:hAnsi="宋体" w:cs="宋体"/>
                <w:color w:val="auto"/>
                <w:sz w:val="24"/>
                <w:szCs w:val="24"/>
              </w:rPr>
              <w:t>值。</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结果累计质控</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统计一段时间内病人所做项目的结果来确定本实验室质控情况的一种新方法。</w:t>
            </w:r>
          </w:p>
        </w:tc>
      </w:tr>
      <w:tr>
        <w:tblPrEx>
          <w:tblCellMar>
            <w:top w:w="0" w:type="dxa"/>
            <w:left w:w="10" w:type="dxa"/>
            <w:bottom w:w="0" w:type="dxa"/>
            <w:right w:w="10" w:type="dxa"/>
          </w:tblCellMar>
        </w:tblPrEx>
        <w:trPr>
          <w:trHeight w:val="1" w:hRule="atLeast"/>
          <w:jc w:val="center"/>
        </w:trPr>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质控小助手</w:t>
            </w:r>
          </w:p>
        </w:tc>
        <w:tc>
          <w:tcPr>
            <w:tcW w:w="78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实时提醒质控未做项目及失控项目</w:t>
            </w:r>
          </w:p>
        </w:tc>
      </w:tr>
    </w:tbl>
    <w:p>
      <w:pPr>
        <w:pStyle w:val="6"/>
        <w:rPr>
          <w:rFonts w:ascii="宋体" w:hAnsi="宋体" w:eastAsia="宋体" w:cs="Times New Roman"/>
          <w:color w:val="auto"/>
          <w:sz w:val="30"/>
          <w:szCs w:val="30"/>
          <w:shd w:val="clear" w:color="auto" w:fill="FFFFFF"/>
        </w:rPr>
      </w:pPr>
      <w:r>
        <w:rPr>
          <w:rFonts w:ascii="宋体" w:hAnsi="宋体" w:eastAsia="宋体" w:cs="宋体"/>
          <w:color w:val="auto"/>
          <w:sz w:val="30"/>
          <w:szCs w:val="30"/>
          <w:shd w:val="clear" w:color="auto" w:fill="FFFFFF"/>
        </w:rPr>
        <w:t>4.12.2</w:t>
      </w:r>
      <w:r>
        <w:rPr>
          <w:rFonts w:hint="eastAsia" w:ascii="宋体" w:hAnsi="宋体" w:eastAsia="宋体" w:cs="宋体"/>
          <w:color w:val="auto"/>
          <w:sz w:val="30"/>
          <w:szCs w:val="30"/>
          <w:shd w:val="clear" w:color="auto" w:fill="FFFFFF"/>
        </w:rPr>
        <w:t>、检验条码打印系统</w:t>
      </w:r>
    </w:p>
    <w:p>
      <w:pPr>
        <w:spacing w:before="156" w:after="156" w:line="440" w:lineRule="auto"/>
        <w:ind w:firstLine="480"/>
        <w:rPr>
          <w:rFonts w:ascii="宋体"/>
          <w:color w:val="auto"/>
          <w:sz w:val="24"/>
          <w:szCs w:val="24"/>
        </w:rPr>
      </w:pPr>
      <w:r>
        <w:rPr>
          <w:rFonts w:hint="eastAsia" w:ascii="宋体" w:hAnsi="宋体" w:cs="宋体"/>
          <w:color w:val="auto"/>
          <w:sz w:val="24"/>
          <w:szCs w:val="24"/>
        </w:rPr>
        <w:t>本模块提供给医生各种标准组合项目、自定义组合项目和单项目的选择开单，根据医院的一贯的习惯和新的政策可以维护各种标准组合和自定义组合，提高医生的工作效率。在医生给病人开完电子申请单后，可打印检验指引单，病人完成收费后可至门诊采血处采集标本，标本完成检验后医生可以直接通过开单模块查看报告单的结果。对于一些新开展的项目，临床医生通过系统可以查看测试项目的临床意义等信息。</w:t>
      </w:r>
    </w:p>
    <w:p>
      <w:pPr>
        <w:keepNext/>
        <w:keepLines/>
        <w:spacing w:before="156" w:after="156" w:line="416" w:lineRule="auto"/>
        <w:outlineLvl w:val="1"/>
        <w:rPr>
          <w:rFonts w:ascii="宋体"/>
          <w:b/>
          <w:bCs/>
          <w:color w:val="auto"/>
          <w:sz w:val="32"/>
          <w:szCs w:val="32"/>
        </w:rPr>
      </w:pPr>
      <w:bookmarkStart w:id="1029" w:name="_Toc18968"/>
      <w:bookmarkStart w:id="1030" w:name="_Toc27931"/>
      <w:bookmarkStart w:id="1031" w:name="_Toc82882806"/>
      <w:r>
        <w:rPr>
          <w:rFonts w:ascii="宋体" w:hAnsi="宋体" w:cs="宋体"/>
          <w:b/>
          <w:bCs/>
          <w:color w:val="auto"/>
          <w:sz w:val="32"/>
          <w:szCs w:val="32"/>
        </w:rPr>
        <w:t>4.13</w:t>
      </w:r>
      <w:r>
        <w:rPr>
          <w:rFonts w:hint="eastAsia" w:ascii="宋体" w:hAnsi="宋体" w:cs="宋体"/>
          <w:b/>
          <w:bCs/>
          <w:color w:val="auto"/>
          <w:sz w:val="32"/>
          <w:szCs w:val="32"/>
        </w:rPr>
        <w:t>、后勤管理</w:t>
      </w:r>
      <w:bookmarkEnd w:id="1029"/>
      <w:bookmarkEnd w:id="1030"/>
      <w:bookmarkEnd w:id="1031"/>
    </w:p>
    <w:p>
      <w:pPr>
        <w:pStyle w:val="6"/>
        <w:rPr>
          <w:rFonts w:ascii="宋体" w:hAnsi="宋体" w:eastAsia="宋体" w:cs="Times New Roman"/>
          <w:color w:val="auto"/>
        </w:rPr>
      </w:pPr>
      <w:r>
        <w:rPr>
          <w:rFonts w:ascii="宋体" w:hAnsi="宋体" w:eastAsia="宋体" w:cs="宋体"/>
          <w:color w:val="auto"/>
        </w:rPr>
        <w:t>4.13.1</w:t>
      </w:r>
      <w:r>
        <w:rPr>
          <w:rFonts w:hint="eastAsia" w:ascii="宋体" w:hAnsi="宋体" w:eastAsia="宋体" w:cs="宋体"/>
          <w:color w:val="auto"/>
        </w:rPr>
        <w:t>、物资库房管理系统</w:t>
      </w:r>
    </w:p>
    <w:tbl>
      <w:tblPr>
        <w:tblStyle w:val="21"/>
        <w:tblW w:w="10398" w:type="dxa"/>
        <w:tblInd w:w="-716" w:type="dxa"/>
        <w:tblLayout w:type="autofit"/>
        <w:tblCellMar>
          <w:top w:w="0" w:type="dxa"/>
          <w:left w:w="10" w:type="dxa"/>
          <w:bottom w:w="0" w:type="dxa"/>
          <w:right w:w="10" w:type="dxa"/>
        </w:tblCellMar>
      </w:tblPr>
      <w:tblGrid>
        <w:gridCol w:w="742"/>
        <w:gridCol w:w="1745"/>
        <w:gridCol w:w="7911"/>
      </w:tblGrid>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序号</w:t>
            </w:r>
          </w:p>
        </w:tc>
        <w:tc>
          <w:tcPr>
            <w:tcW w:w="1745"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功能分类</w:t>
            </w:r>
          </w:p>
        </w:tc>
        <w:tc>
          <w:tcPr>
            <w:tcW w:w="7911" w:type="dxa"/>
            <w:tcBorders>
              <w:top w:val="single" w:color="000000" w:sz="4" w:space="0"/>
              <w:left w:val="single" w:color="000000" w:sz="4" w:space="0"/>
              <w:bottom w:val="single" w:color="000000" w:sz="4" w:space="0"/>
              <w:right w:val="single" w:color="000000" w:sz="4" w:space="0"/>
            </w:tcBorders>
            <w:shd w:val="clear" w:color="auto" w:fill="D8D8D8"/>
            <w:tcMar>
              <w:left w:w="108" w:type="dxa"/>
              <w:right w:w="108" w:type="dxa"/>
            </w:tcMar>
          </w:tcPr>
          <w:p>
            <w:pPr>
              <w:spacing w:before="156" w:after="156" w:line="360" w:lineRule="auto"/>
              <w:jc w:val="center"/>
              <w:rPr>
                <w:rFonts w:ascii="宋体"/>
                <w:color w:val="auto"/>
              </w:rPr>
            </w:pPr>
            <w:r>
              <w:rPr>
                <w:rFonts w:hint="eastAsia" w:ascii="宋体" w:hAnsi="宋体" w:cs="宋体"/>
                <w:b/>
                <w:bCs/>
                <w:color w:val="auto"/>
                <w:sz w:val="24"/>
                <w:szCs w:val="24"/>
              </w:rPr>
              <w:t>功能参数需求</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1</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物资入库业务</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、提供二级库房的物资入库管理功能，一般用于调整二级库房的数据，也支持二级库房从外单位购入物资的管理。</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、支持多种入库方式。</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2</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物资出库业务</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提供二级库房的物资出库管理功能，一般用于调整二级库房的数据，也支持二级库房将物资出库到其他科室。</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3</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物资申领登记</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、提供二级库房填写物资申领单并提交到一级库房，若申领控制已启用，则申领数量</w:t>
            </w:r>
            <w:r>
              <w:rPr>
                <w:rFonts w:ascii="宋体" w:hAnsi="宋体" w:cs="宋体"/>
                <w:color w:val="auto"/>
                <w:sz w:val="24"/>
                <w:szCs w:val="24"/>
              </w:rPr>
              <w:t>&gt;</w:t>
            </w:r>
            <w:r>
              <w:rPr>
                <w:rFonts w:hint="eastAsia" w:ascii="宋体" w:hAnsi="宋体" w:cs="宋体"/>
                <w:color w:val="auto"/>
                <w:sz w:val="24"/>
                <w:szCs w:val="24"/>
              </w:rPr>
              <w:t>库存数量时，不允许提交。</w:t>
            </w:r>
          </w:p>
          <w:p>
            <w:pPr>
              <w:spacing w:before="156" w:after="156" w:line="360" w:lineRule="auto"/>
              <w:rPr>
                <w:rFonts w:ascii="宋体"/>
                <w:color w:val="auto"/>
              </w:rPr>
            </w:pPr>
            <w:r>
              <w:rPr>
                <w:rFonts w:ascii="宋体" w:hAnsi="宋体" w:cs="宋体"/>
                <w:color w:val="auto"/>
                <w:sz w:val="24"/>
                <w:szCs w:val="24"/>
              </w:rPr>
              <w:t>2</w:t>
            </w:r>
            <w:r>
              <w:rPr>
                <w:rFonts w:hint="eastAsia" w:ascii="宋体" w:hAnsi="宋体" w:cs="宋体"/>
                <w:color w:val="auto"/>
                <w:sz w:val="24"/>
                <w:szCs w:val="24"/>
              </w:rPr>
              <w:t>、支持二级库房向总务库房，提交下个月采购计划。</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4</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物资申领确认</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支持一级库房申领出库记账后，二级库房需在此窗口进行入库确认，若是二级建库物资，则物资入库后建立库存账。</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5</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物资消耗管理</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、门诊医生开单或门诊收费处录入费用项目，在门诊收费窗口收费后，将在开单科室对应库房中生成材料消耗单据，根据材料消耗单可生成材料出库单据。</w:t>
            </w:r>
          </w:p>
          <w:p>
            <w:pPr>
              <w:spacing w:before="156" w:after="156" w:line="360" w:lineRule="auto"/>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、住院医生开单或病区录入费用医嘱，执行后，将在执行科室对应库房中生成材料消耗单据，根据材料消耗单可生成材料出库单据。</w:t>
            </w:r>
          </w:p>
          <w:p>
            <w:pPr>
              <w:spacing w:before="156" w:after="156" w:line="360" w:lineRule="auto"/>
              <w:rPr>
                <w:rFonts w:ascii="宋体"/>
                <w:color w:val="auto"/>
              </w:rPr>
            </w:pPr>
            <w:r>
              <w:rPr>
                <w:rFonts w:ascii="宋体" w:hAnsi="宋体" w:cs="宋体"/>
                <w:color w:val="auto"/>
                <w:sz w:val="24"/>
                <w:szCs w:val="24"/>
              </w:rPr>
              <w:t>3</w:t>
            </w:r>
            <w:r>
              <w:rPr>
                <w:rFonts w:hint="eastAsia" w:ascii="宋体" w:hAnsi="宋体" w:cs="宋体"/>
                <w:color w:val="auto"/>
                <w:sz w:val="24"/>
                <w:szCs w:val="24"/>
              </w:rPr>
              <w:t>、支持物资消耗管理实时追踪功能。</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6</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库房盘点业务</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支持对二级库房帐库存进行盘点库存校对和改正工作，以使得库房的帐页库存和实际库存保持一致，保证基本业务的正常进行。</w:t>
            </w:r>
          </w:p>
        </w:tc>
      </w:tr>
      <w:tr>
        <w:tblPrEx>
          <w:tblCellMar>
            <w:top w:w="0" w:type="dxa"/>
            <w:left w:w="10" w:type="dxa"/>
            <w:bottom w:w="0" w:type="dxa"/>
            <w:right w:w="10" w:type="dxa"/>
          </w:tblCellMar>
        </w:tblPrEx>
        <w:trPr>
          <w:trHeight w:val="1" w:hRule="atLeast"/>
        </w:trPr>
        <w:tc>
          <w:tcPr>
            <w:tcW w:w="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ascii="宋体" w:hAnsi="宋体" w:cs="宋体"/>
                <w:color w:val="auto"/>
                <w:sz w:val="24"/>
                <w:szCs w:val="24"/>
              </w:rPr>
              <w:t>7</w:t>
            </w:r>
          </w:p>
        </w:tc>
        <w:tc>
          <w:tcPr>
            <w:tcW w:w="1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360" w:lineRule="auto"/>
              <w:rPr>
                <w:rFonts w:ascii="宋体"/>
                <w:color w:val="auto"/>
              </w:rPr>
            </w:pPr>
            <w:r>
              <w:rPr>
                <w:rFonts w:hint="eastAsia" w:ascii="宋体" w:hAnsi="宋体" w:cs="宋体"/>
                <w:color w:val="auto"/>
                <w:sz w:val="24"/>
                <w:szCs w:val="24"/>
              </w:rPr>
              <w:t>库房月结管理</w:t>
            </w:r>
          </w:p>
        </w:tc>
        <w:tc>
          <w:tcPr>
            <w:tcW w:w="79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56" w:after="156" w:line="360" w:lineRule="auto"/>
              <w:rPr>
                <w:rFonts w:ascii="宋体"/>
                <w:color w:val="auto"/>
              </w:rPr>
            </w:pPr>
            <w:r>
              <w:rPr>
                <w:rFonts w:hint="eastAsia" w:ascii="宋体" w:hAnsi="宋体" w:cs="宋体"/>
                <w:color w:val="auto"/>
                <w:sz w:val="24"/>
                <w:szCs w:val="24"/>
              </w:rPr>
              <w:t>支持对库房月结业务，对二级库房的物资要及时登记有关帐簿，月末结出余额，并与财务科同期余额进行核对，生成该月各帐簿的收支月报表，并将各帐簿的期末数据转成下个会计期间的期初数据。</w:t>
            </w:r>
          </w:p>
        </w:tc>
      </w:tr>
    </w:tbl>
    <w:p>
      <w:pPr>
        <w:keepNext/>
        <w:keepLines/>
        <w:spacing w:before="156" w:after="156" w:line="578" w:lineRule="auto"/>
        <w:outlineLvl w:val="0"/>
        <w:rPr>
          <w:rFonts w:ascii="宋体"/>
          <w:b/>
          <w:bCs/>
          <w:color w:val="auto"/>
          <w:sz w:val="32"/>
          <w:szCs w:val="32"/>
        </w:rPr>
      </w:pPr>
      <w:bookmarkStart w:id="1032" w:name="_Toc82882807"/>
      <w:bookmarkStart w:id="1033" w:name="_Toc5279"/>
      <w:bookmarkStart w:id="1034" w:name="_Toc31811"/>
      <w:r>
        <w:rPr>
          <w:rFonts w:ascii="宋体" w:hAnsi="宋体" w:cs="宋体"/>
          <w:b/>
          <w:bCs/>
          <w:color w:val="auto"/>
          <w:sz w:val="32"/>
          <w:szCs w:val="32"/>
        </w:rPr>
        <w:t>4.14</w:t>
      </w:r>
      <w:r>
        <w:rPr>
          <w:rFonts w:hint="eastAsia" w:ascii="宋体" w:hAnsi="宋体" w:cs="宋体"/>
          <w:b/>
          <w:bCs/>
          <w:color w:val="auto"/>
          <w:sz w:val="32"/>
          <w:szCs w:val="32"/>
        </w:rPr>
        <w:t>健康体检管理系统</w:t>
      </w:r>
      <w:bookmarkEnd w:id="1032"/>
      <w:bookmarkEnd w:id="1033"/>
      <w:bookmarkEnd w:id="1034"/>
    </w:p>
    <w:p>
      <w:pPr>
        <w:spacing w:line="360" w:lineRule="auto"/>
        <w:rPr>
          <w:rFonts w:ascii="宋体"/>
          <w:color w:val="auto"/>
          <w:sz w:val="24"/>
          <w:szCs w:val="24"/>
        </w:rPr>
      </w:pPr>
      <w:r>
        <w:rPr>
          <w:rFonts w:hint="eastAsia" w:ascii="宋体" w:hAnsi="宋体" w:cs="宋体"/>
          <w:color w:val="auto"/>
          <w:sz w:val="24"/>
          <w:szCs w:val="24"/>
        </w:rPr>
        <w:t>体检系统满足以下功能：</w:t>
      </w:r>
      <w:r>
        <w:rPr>
          <w:rFonts w:ascii="宋体" w:hAnsi="宋体" w:cs="宋体"/>
          <w:color w:val="auto"/>
          <w:sz w:val="24"/>
          <w:szCs w:val="24"/>
        </w:rPr>
        <w:t xml:space="preserve"> </w:t>
      </w:r>
    </w:p>
    <w:tbl>
      <w:tblPr>
        <w:tblStyle w:val="21"/>
        <w:tblW w:w="10288" w:type="dxa"/>
        <w:tblInd w:w="-694" w:type="dxa"/>
        <w:tblLayout w:type="fixed"/>
        <w:tblCellMar>
          <w:top w:w="0" w:type="dxa"/>
          <w:left w:w="108" w:type="dxa"/>
          <w:bottom w:w="0" w:type="dxa"/>
          <w:right w:w="108" w:type="dxa"/>
        </w:tblCellMar>
      </w:tblPr>
      <w:tblGrid>
        <w:gridCol w:w="687"/>
        <w:gridCol w:w="1451"/>
        <w:gridCol w:w="8150"/>
      </w:tblGrid>
      <w:tr>
        <w:tblPrEx>
          <w:tblCellMar>
            <w:top w:w="0" w:type="dxa"/>
            <w:left w:w="108" w:type="dxa"/>
            <w:bottom w:w="0" w:type="dxa"/>
            <w:right w:w="108" w:type="dxa"/>
          </w:tblCellMar>
        </w:tblPrEx>
        <w:trPr>
          <w:trHeight w:val="499" w:hRule="atLeast"/>
        </w:trPr>
        <w:tc>
          <w:tcPr>
            <w:tcW w:w="687" w:type="dxa"/>
            <w:tcBorders>
              <w:top w:val="single" w:color="auto" w:sz="4" w:space="0"/>
              <w:left w:val="single" w:color="auto" w:sz="4" w:space="0"/>
              <w:bottom w:val="single" w:color="auto" w:sz="4" w:space="0"/>
              <w:right w:val="single" w:color="auto" w:sz="4" w:space="0"/>
            </w:tcBorders>
            <w:vAlign w:val="center"/>
          </w:tcPr>
          <w:p>
            <w:pPr>
              <w:tabs>
                <w:tab w:val="left" w:pos="1260"/>
              </w:tabs>
              <w:adjustRightInd w:val="0"/>
              <w:jc w:val="center"/>
              <w:rPr>
                <w:rFonts w:ascii="宋体"/>
                <w:color w:val="auto"/>
              </w:rPr>
            </w:pPr>
            <w:r>
              <w:rPr>
                <w:rFonts w:hint="eastAsia" w:ascii="宋体" w:hAnsi="宋体" w:cs="宋体"/>
                <w:color w:val="auto"/>
              </w:rPr>
              <w:t>序号</w:t>
            </w: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260"/>
              </w:tabs>
              <w:adjustRightInd w:val="0"/>
              <w:jc w:val="center"/>
              <w:rPr>
                <w:rFonts w:ascii="宋体"/>
                <w:color w:val="auto"/>
              </w:rPr>
            </w:pPr>
            <w:r>
              <w:rPr>
                <w:rFonts w:hint="eastAsia" w:ascii="宋体" w:hAnsi="宋体" w:cs="宋体"/>
                <w:color w:val="auto"/>
              </w:rPr>
              <w:t>功能模块</w:t>
            </w:r>
          </w:p>
        </w:tc>
        <w:tc>
          <w:tcPr>
            <w:tcW w:w="8150" w:type="dxa"/>
            <w:tcBorders>
              <w:top w:val="single" w:color="auto" w:sz="4" w:space="0"/>
              <w:left w:val="nil"/>
              <w:bottom w:val="single" w:color="auto" w:sz="4" w:space="0"/>
              <w:right w:val="single" w:color="auto" w:sz="4" w:space="0"/>
            </w:tcBorders>
            <w:vAlign w:val="center"/>
          </w:tcPr>
          <w:p>
            <w:pPr>
              <w:tabs>
                <w:tab w:val="left" w:pos="1260"/>
              </w:tabs>
              <w:adjustRightInd w:val="0"/>
              <w:jc w:val="center"/>
              <w:rPr>
                <w:rFonts w:ascii="宋体"/>
                <w:color w:val="auto"/>
              </w:rPr>
            </w:pPr>
            <w:r>
              <w:rPr>
                <w:rFonts w:hint="eastAsia" w:ascii="宋体" w:hAnsi="宋体" w:cs="宋体"/>
                <w:color w:val="auto"/>
              </w:rPr>
              <w:t>功能描述</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系统维护</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、提供设定体检项目、体检套餐，支持健康体检、干部保健体检、职业健康体检、入职体检、学生体检、个人体检等不同体检类别，能从医保系统等中读取体检者信息；</w:t>
            </w:r>
          </w:p>
          <w:p>
            <w:pPr>
              <w:jc w:val="left"/>
              <w:rPr>
                <w:rFonts w:ascii="宋体"/>
                <w:color w:val="auto"/>
              </w:rPr>
            </w:pPr>
            <w:r>
              <w:rPr>
                <w:rFonts w:ascii="宋体" w:hAnsi="宋体" w:cs="宋体"/>
                <w:color w:val="auto"/>
              </w:rPr>
              <w:t>2</w:t>
            </w:r>
            <w:r>
              <w:rPr>
                <w:rFonts w:hint="eastAsia" w:ascii="宋体" w:hAnsi="宋体" w:cs="宋体"/>
                <w:color w:val="auto"/>
              </w:rPr>
              <w:t>、支持体检信息的导入、导出</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预约管理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、提供诊疗卡登记预约功能，支持手工录入或从系统中获取个体或者集体体检者基本信息和诊疗信息；</w:t>
            </w:r>
          </w:p>
          <w:p>
            <w:pPr>
              <w:jc w:val="left"/>
              <w:rPr>
                <w:rFonts w:ascii="宋体"/>
                <w:color w:val="auto"/>
              </w:rPr>
            </w:pPr>
            <w:r>
              <w:rPr>
                <w:rFonts w:ascii="宋体" w:hAnsi="宋体" w:cs="宋体"/>
                <w:color w:val="auto"/>
              </w:rPr>
              <w:t>2</w:t>
            </w:r>
            <w:r>
              <w:rPr>
                <w:rFonts w:hint="eastAsia" w:ascii="宋体" w:hAnsi="宋体" w:cs="宋体"/>
                <w:color w:val="auto"/>
              </w:rPr>
              <w:t>、能根据前次体检自动生成复检项目，能手工增加或删除项目；</w:t>
            </w:r>
          </w:p>
          <w:p>
            <w:pPr>
              <w:jc w:val="left"/>
              <w:rPr>
                <w:rFonts w:ascii="宋体"/>
                <w:color w:val="auto"/>
              </w:rPr>
            </w:pPr>
            <w:r>
              <w:rPr>
                <w:rFonts w:ascii="宋体" w:hAnsi="宋体" w:cs="宋体"/>
                <w:color w:val="auto"/>
              </w:rPr>
              <w:t>3</w:t>
            </w:r>
            <w:r>
              <w:rPr>
                <w:rFonts w:hint="eastAsia" w:ascii="宋体" w:hAnsi="宋体" w:cs="宋体"/>
                <w:color w:val="auto"/>
              </w:rPr>
              <w:t>、支持通过二代身份证阅读器直接读取体检者基本信息；</w:t>
            </w:r>
          </w:p>
          <w:p>
            <w:pPr>
              <w:jc w:val="left"/>
              <w:rPr>
                <w:rFonts w:ascii="宋体"/>
                <w:color w:val="auto"/>
                <w:kern w:val="0"/>
              </w:rPr>
            </w:pPr>
            <w:r>
              <w:rPr>
                <w:rFonts w:ascii="宋体" w:hAnsi="宋体" w:cs="宋体"/>
                <w:color w:val="auto"/>
              </w:rPr>
              <w:t>4</w:t>
            </w:r>
            <w:r>
              <w:rPr>
                <w:rFonts w:hint="eastAsia" w:ascii="宋体" w:hAnsi="宋体" w:cs="宋体"/>
                <w:color w:val="auto"/>
              </w:rPr>
              <w:t>、支持体检条形码和导引单生成与打印</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身份证登记识别</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hint="eastAsia" w:ascii="宋体" w:hAnsi="宋体" w:cs="宋体"/>
                <w:color w:val="auto"/>
              </w:rPr>
              <w:t>可在体检登记处增加一二代身份证识别仪的接口，连接二代身份证扫描仪进行体检登记，通过身份证扫描可以获取姓名、性别、年龄、出生年月、住址、照片等信息。使用身份证号码可以自动归档历史档案信息，可以查看和对比历史体检数据。</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历史数据对比</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hint="eastAsia" w:ascii="宋体" w:hAnsi="宋体" w:cs="宋体"/>
                <w:color w:val="auto"/>
              </w:rPr>
              <w:t>系统在录入身份证号码的时候，如果检测到有相同的身份证号码，可以自动进行归档，对于</w:t>
            </w:r>
            <w:r>
              <w:rPr>
                <w:rFonts w:ascii="宋体" w:hAnsi="宋体" w:cs="宋体"/>
                <w:color w:val="auto"/>
              </w:rPr>
              <w:t>2</w:t>
            </w:r>
            <w:r>
              <w:rPr>
                <w:rFonts w:hint="eastAsia" w:ascii="宋体" w:hAnsi="宋体" w:cs="宋体"/>
                <w:color w:val="auto"/>
              </w:rPr>
              <w:t>次以上来体检的客人，可以查看以前的历史体检情况并进行比对。</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电子照相管理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hint="eastAsia" w:ascii="宋体" w:hAnsi="宋体" w:cs="宋体"/>
                <w:color w:val="auto"/>
              </w:rPr>
              <w:t>提供摄像、照相、编制及管理功能；</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申请管理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hint="eastAsia" w:ascii="宋体" w:hAnsi="宋体" w:cs="宋体"/>
                <w:color w:val="auto"/>
              </w:rPr>
              <w:t>支持下达体检申请，并直接传送至临床服务部分相应分系统</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收费管理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、支持体检项目自动计费管理；</w:t>
            </w:r>
          </w:p>
          <w:p>
            <w:pPr>
              <w:jc w:val="left"/>
              <w:rPr>
                <w:rFonts w:ascii="宋体"/>
                <w:color w:val="auto"/>
                <w:kern w:val="0"/>
              </w:rPr>
            </w:pPr>
            <w:r>
              <w:rPr>
                <w:rFonts w:ascii="宋体" w:hAnsi="宋体" w:cs="宋体"/>
                <w:color w:val="auto"/>
              </w:rPr>
              <w:t>2</w:t>
            </w:r>
            <w:r>
              <w:rPr>
                <w:rFonts w:hint="eastAsia" w:ascii="宋体" w:hAnsi="宋体" w:cs="宋体"/>
                <w:color w:val="auto"/>
              </w:rPr>
              <w:t>、支持自动生成团体交费、打折收费等</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采样管理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、支持单人、集体采集样本的录入；</w:t>
            </w:r>
          </w:p>
          <w:p>
            <w:pPr>
              <w:jc w:val="left"/>
              <w:rPr>
                <w:rFonts w:ascii="宋体"/>
                <w:color w:val="auto"/>
                <w:kern w:val="0"/>
              </w:rPr>
            </w:pPr>
            <w:r>
              <w:rPr>
                <w:rFonts w:ascii="宋体" w:hAnsi="宋体" w:cs="宋体"/>
                <w:color w:val="auto"/>
              </w:rPr>
              <w:t>2</w:t>
            </w:r>
            <w:r>
              <w:rPr>
                <w:rFonts w:hint="eastAsia" w:ascii="宋体" w:hAnsi="宋体" w:cs="宋体"/>
                <w:color w:val="auto"/>
              </w:rPr>
              <w:t>、支持显示体检者电子相片</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检查结果管理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、支持单人、集体批量结果录入；</w:t>
            </w:r>
          </w:p>
          <w:p>
            <w:pPr>
              <w:jc w:val="left"/>
              <w:rPr>
                <w:rFonts w:ascii="宋体"/>
                <w:color w:val="auto"/>
              </w:rPr>
            </w:pPr>
            <w:r>
              <w:rPr>
                <w:rFonts w:ascii="宋体" w:hAnsi="宋体" w:cs="宋体"/>
                <w:color w:val="auto"/>
              </w:rPr>
              <w:t>2</w:t>
            </w:r>
            <w:r>
              <w:rPr>
                <w:rFonts w:hint="eastAsia" w:ascii="宋体" w:hAnsi="宋体" w:cs="宋体"/>
                <w:color w:val="auto"/>
              </w:rPr>
              <w:t>、提供正常值比对、异常和可疑结果提示功能</w:t>
            </w:r>
          </w:p>
          <w:p>
            <w:pPr>
              <w:jc w:val="left"/>
              <w:rPr>
                <w:rFonts w:ascii="宋体"/>
                <w:color w:val="auto"/>
              </w:rPr>
            </w:pPr>
            <w:r>
              <w:rPr>
                <w:rFonts w:ascii="宋体" w:hAnsi="宋体" w:cs="宋体"/>
                <w:color w:val="auto"/>
              </w:rPr>
              <w:t>3</w:t>
            </w:r>
            <w:r>
              <w:rPr>
                <w:rFonts w:hint="eastAsia" w:ascii="宋体" w:hAnsi="宋体" w:cs="宋体"/>
                <w:color w:val="auto"/>
              </w:rPr>
              <w:t>、能自动获取医技检查结果信息；</w:t>
            </w:r>
          </w:p>
          <w:p>
            <w:pPr>
              <w:jc w:val="left"/>
              <w:rPr>
                <w:rFonts w:ascii="宋体"/>
                <w:color w:val="auto"/>
                <w:kern w:val="0"/>
              </w:rPr>
            </w:pPr>
            <w:r>
              <w:rPr>
                <w:rFonts w:ascii="宋体" w:hAnsi="宋体" w:cs="宋体"/>
                <w:color w:val="auto"/>
              </w:rPr>
              <w:t>4</w:t>
            </w:r>
            <w:r>
              <w:rPr>
                <w:rFonts w:hint="eastAsia" w:ascii="宋体" w:hAnsi="宋体" w:cs="宋体"/>
                <w:color w:val="auto"/>
              </w:rPr>
              <w:t>、支持查体、检查结果录入窗体显示体检者电子相片</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报告管理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、支持自动生成健康评估报告，包括体检结果、综述报告及医生建议等；</w:t>
            </w:r>
          </w:p>
          <w:p>
            <w:pPr>
              <w:jc w:val="left"/>
              <w:rPr>
                <w:rFonts w:ascii="宋体"/>
                <w:color w:val="auto"/>
              </w:rPr>
            </w:pPr>
            <w:r>
              <w:rPr>
                <w:rFonts w:ascii="宋体" w:hAnsi="宋体" w:cs="宋体"/>
                <w:color w:val="auto"/>
              </w:rPr>
              <w:t>2</w:t>
            </w:r>
            <w:r>
              <w:rPr>
                <w:rFonts w:hint="eastAsia" w:ascii="宋体" w:hAnsi="宋体" w:cs="宋体"/>
                <w:color w:val="auto"/>
              </w:rPr>
              <w:t>、提供建立体检人员个人档案，可查阅历史体检记录，并支持体检者历次档案的对比分析</w:t>
            </w:r>
          </w:p>
          <w:p>
            <w:pPr>
              <w:jc w:val="left"/>
              <w:rPr>
                <w:rFonts w:ascii="宋体"/>
                <w:color w:val="auto"/>
              </w:rPr>
            </w:pPr>
            <w:r>
              <w:rPr>
                <w:rFonts w:ascii="宋体" w:hAnsi="宋体" w:cs="宋体"/>
                <w:color w:val="auto"/>
              </w:rPr>
              <w:t>3</w:t>
            </w:r>
            <w:r>
              <w:rPr>
                <w:rFonts w:hint="eastAsia" w:ascii="宋体" w:hAnsi="宋体" w:cs="宋体"/>
                <w:color w:val="auto"/>
              </w:rPr>
              <w:t>、提供健康证和其他体检结果通知的打印功能；</w:t>
            </w:r>
          </w:p>
          <w:p>
            <w:pPr>
              <w:jc w:val="left"/>
              <w:rPr>
                <w:rFonts w:ascii="宋体"/>
                <w:color w:val="auto"/>
                <w:kern w:val="0"/>
              </w:rPr>
            </w:pPr>
            <w:r>
              <w:rPr>
                <w:rFonts w:ascii="宋体" w:hAnsi="宋体" w:cs="宋体"/>
                <w:color w:val="auto"/>
              </w:rPr>
              <w:t>4</w:t>
            </w:r>
            <w:r>
              <w:rPr>
                <w:rFonts w:hint="eastAsia" w:ascii="宋体" w:hAnsi="宋体" w:cs="宋体"/>
                <w:color w:val="auto"/>
              </w:rPr>
              <w:t>、支持档案批量保存</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复检管理</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、提供根据设置自动选择复检项目，手工增加或删除项目；</w:t>
            </w:r>
          </w:p>
          <w:p>
            <w:pPr>
              <w:jc w:val="left"/>
              <w:rPr>
                <w:rFonts w:ascii="宋体"/>
                <w:color w:val="auto"/>
                <w:kern w:val="0"/>
              </w:rPr>
            </w:pPr>
            <w:r>
              <w:rPr>
                <w:rFonts w:ascii="宋体" w:hAnsi="宋体" w:cs="宋体"/>
                <w:color w:val="auto"/>
              </w:rPr>
              <w:t>2</w:t>
            </w:r>
            <w:r>
              <w:rPr>
                <w:rFonts w:hint="eastAsia" w:ascii="宋体" w:hAnsi="宋体" w:cs="宋体"/>
                <w:color w:val="auto"/>
              </w:rPr>
              <w:t>、提供打印复检单、复检报告和对比报告功能</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体检排队叫号</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、提供整个体检流程的排号、叫号功能；</w:t>
            </w:r>
          </w:p>
          <w:p>
            <w:pPr>
              <w:jc w:val="left"/>
              <w:rPr>
                <w:rFonts w:ascii="宋体"/>
                <w:color w:val="auto"/>
                <w:kern w:val="0"/>
              </w:rPr>
            </w:pPr>
            <w:r>
              <w:rPr>
                <w:rFonts w:ascii="宋体" w:hAnsi="宋体" w:cs="宋体"/>
                <w:color w:val="auto"/>
              </w:rPr>
              <w:t>2</w:t>
            </w:r>
            <w:r>
              <w:rPr>
                <w:rFonts w:hint="eastAsia" w:ascii="宋体" w:hAnsi="宋体" w:cs="宋体"/>
                <w:color w:val="auto"/>
              </w:rPr>
              <w:t>、提供根据体检者检查项目实时自动计算最优流程，指引体检者以最快的速度完成检查</w:t>
            </w:r>
          </w:p>
        </w:tc>
      </w:tr>
      <w:tr>
        <w:tblPrEx>
          <w:tblCellMar>
            <w:top w:w="0" w:type="dxa"/>
            <w:left w:w="108" w:type="dxa"/>
            <w:bottom w:w="0" w:type="dxa"/>
            <w:right w:w="108" w:type="dxa"/>
          </w:tblCellMar>
        </w:tblPrEx>
        <w:trPr>
          <w:trHeight w:val="499" w:hRule="atLeast"/>
        </w:trPr>
        <w:tc>
          <w:tcPr>
            <w:tcW w:w="687" w:type="dxa"/>
            <w:tcBorders>
              <w:top w:val="nil"/>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nil"/>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查询与统计</w:t>
            </w:r>
          </w:p>
        </w:tc>
        <w:tc>
          <w:tcPr>
            <w:tcW w:w="8150" w:type="dxa"/>
            <w:tcBorders>
              <w:top w:val="nil"/>
              <w:left w:val="nil"/>
              <w:bottom w:val="single" w:color="auto" w:sz="4" w:space="0"/>
              <w:right w:val="single" w:color="auto" w:sz="4" w:space="0"/>
            </w:tcBorders>
            <w:vAlign w:val="center"/>
          </w:tcPr>
          <w:p>
            <w:pPr>
              <w:jc w:val="left"/>
              <w:rPr>
                <w:rFonts w:ascii="宋体"/>
                <w:color w:val="auto"/>
              </w:rPr>
            </w:pPr>
            <w:r>
              <w:rPr>
                <w:rFonts w:ascii="宋体" w:hAnsi="宋体" w:cs="宋体"/>
                <w:color w:val="auto"/>
              </w:rPr>
              <w:t>1</w:t>
            </w:r>
            <w:r>
              <w:rPr>
                <w:rFonts w:hint="eastAsia" w:ascii="宋体" w:hAnsi="宋体" w:cs="宋体"/>
                <w:color w:val="auto"/>
              </w:rPr>
              <w:t>、提供体检结果查询功能，包括体检结果、体检报告、体检综述报告、体检人员名单和复查人员等；</w:t>
            </w:r>
          </w:p>
          <w:p>
            <w:pPr>
              <w:jc w:val="left"/>
              <w:rPr>
                <w:rFonts w:ascii="宋体"/>
                <w:color w:val="auto"/>
              </w:rPr>
            </w:pPr>
            <w:r>
              <w:rPr>
                <w:rFonts w:ascii="宋体" w:hAnsi="宋体" w:cs="宋体"/>
                <w:color w:val="auto"/>
              </w:rPr>
              <w:t>2</w:t>
            </w:r>
            <w:r>
              <w:rPr>
                <w:rFonts w:hint="eastAsia" w:ascii="宋体" w:hAnsi="宋体" w:cs="宋体"/>
                <w:color w:val="auto"/>
              </w:rPr>
              <w:t>、提供各种体检结果统计、体检科室和人员工作量统计功能；</w:t>
            </w:r>
          </w:p>
          <w:p>
            <w:pPr>
              <w:jc w:val="left"/>
              <w:rPr>
                <w:rFonts w:ascii="宋体"/>
                <w:color w:val="auto"/>
              </w:rPr>
            </w:pPr>
            <w:r>
              <w:rPr>
                <w:rFonts w:ascii="宋体" w:hAnsi="宋体" w:cs="宋体"/>
                <w:color w:val="auto"/>
              </w:rPr>
              <w:t>3</w:t>
            </w:r>
            <w:r>
              <w:rPr>
                <w:rFonts w:hint="eastAsia" w:ascii="宋体" w:hAnsi="宋体" w:cs="宋体"/>
                <w:color w:val="auto"/>
              </w:rPr>
              <w:t>、支持网上查询体检结果；</w:t>
            </w:r>
          </w:p>
          <w:p>
            <w:pPr>
              <w:jc w:val="left"/>
              <w:rPr>
                <w:rFonts w:ascii="宋体"/>
                <w:color w:val="auto"/>
                <w:kern w:val="0"/>
              </w:rPr>
            </w:pPr>
            <w:r>
              <w:rPr>
                <w:rFonts w:ascii="宋体" w:hAnsi="宋体" w:cs="宋体"/>
                <w:color w:val="auto"/>
              </w:rPr>
              <w:t>4</w:t>
            </w:r>
            <w:r>
              <w:rPr>
                <w:rFonts w:hint="eastAsia" w:ascii="宋体" w:hAnsi="宋体" w:cs="宋体"/>
                <w:color w:val="auto"/>
              </w:rPr>
              <w:t>、提供阳性结果汇总、疾患清单、疾病趋势统计、疾病种类等疾病流行病学和科研信息统计功能</w:t>
            </w:r>
          </w:p>
        </w:tc>
      </w:tr>
      <w:tr>
        <w:tblPrEx>
          <w:tblCellMar>
            <w:top w:w="0" w:type="dxa"/>
            <w:left w:w="108" w:type="dxa"/>
            <w:bottom w:w="0" w:type="dxa"/>
            <w:right w:w="108" w:type="dxa"/>
          </w:tblCellMar>
        </w:tblPrEx>
        <w:trPr>
          <w:trHeight w:val="499" w:hRule="atLeast"/>
        </w:trPr>
        <w:tc>
          <w:tcPr>
            <w:tcW w:w="687" w:type="dxa"/>
            <w:tcBorders>
              <w:top w:val="single" w:color="auto" w:sz="4" w:space="0"/>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短信发布系统</w:t>
            </w:r>
          </w:p>
        </w:tc>
        <w:tc>
          <w:tcPr>
            <w:tcW w:w="8150"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auto"/>
              </w:rPr>
            </w:pPr>
            <w:r>
              <w:rPr>
                <w:rFonts w:hint="eastAsia" w:ascii="宋体" w:hAnsi="宋体" w:cs="宋体"/>
                <w:color w:val="auto"/>
              </w:rPr>
              <w:t>主要用于体检过程中的短信管理。实现体检完毕后，自动短信通知体检人员。同时可进行随时手工提示温馨祝福短信等。包含短信发布管理模块。</w:t>
            </w:r>
          </w:p>
        </w:tc>
      </w:tr>
      <w:tr>
        <w:tblPrEx>
          <w:tblCellMar>
            <w:top w:w="0" w:type="dxa"/>
            <w:left w:w="108" w:type="dxa"/>
            <w:bottom w:w="0" w:type="dxa"/>
            <w:right w:w="108" w:type="dxa"/>
          </w:tblCellMar>
        </w:tblPrEx>
        <w:trPr>
          <w:trHeight w:val="499" w:hRule="atLeast"/>
        </w:trPr>
        <w:tc>
          <w:tcPr>
            <w:tcW w:w="687" w:type="dxa"/>
            <w:tcBorders>
              <w:top w:val="single" w:color="auto" w:sz="4" w:space="0"/>
              <w:left w:val="single" w:color="auto" w:sz="4" w:space="0"/>
              <w:bottom w:val="single" w:color="auto" w:sz="4" w:space="0"/>
              <w:right w:val="single" w:color="auto" w:sz="4" w:space="0"/>
            </w:tcBorders>
            <w:vAlign w:val="center"/>
          </w:tcPr>
          <w:p>
            <w:pPr>
              <w:pStyle w:val="65"/>
              <w:numPr>
                <w:ilvl w:val="0"/>
                <w:numId w:val="44"/>
              </w:numPr>
              <w:ind w:firstLineChars="0"/>
              <w:rPr>
                <w:rFonts w:ascii="宋体"/>
                <w:color w:val="auto"/>
              </w:rPr>
            </w:pPr>
          </w:p>
        </w:tc>
        <w:tc>
          <w:tcPr>
            <w:tcW w:w="1451"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r>
              <w:rPr>
                <w:rFonts w:hint="eastAsia" w:ascii="宋体" w:hAnsi="宋体" w:cs="宋体"/>
                <w:color w:val="auto"/>
              </w:rPr>
              <w:t>网上发布和微信预约系统</w:t>
            </w:r>
          </w:p>
        </w:tc>
        <w:tc>
          <w:tcPr>
            <w:tcW w:w="8150"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auto"/>
              </w:rPr>
            </w:pPr>
            <w:r>
              <w:rPr>
                <w:rFonts w:hint="eastAsia" w:ascii="宋体" w:hAnsi="宋体" w:cs="宋体"/>
                <w:color w:val="auto"/>
              </w:rPr>
              <w:t>通过网上发布平台软件，将体检报告发布到医院的</w:t>
            </w:r>
            <w:r>
              <w:rPr>
                <w:rFonts w:ascii="宋体" w:hAnsi="宋体" w:cs="宋体"/>
                <w:color w:val="auto"/>
              </w:rPr>
              <w:t>WEB</w:t>
            </w:r>
            <w:r>
              <w:rPr>
                <w:rFonts w:hint="eastAsia" w:ascii="宋体" w:hAnsi="宋体" w:cs="宋体"/>
                <w:color w:val="auto"/>
              </w:rPr>
              <w:t>网站上，体检人员直接登陆医院网站通过体检编号和密码查询体检报告。</w:t>
            </w:r>
          </w:p>
        </w:tc>
      </w:tr>
    </w:tbl>
    <w:p>
      <w:pPr>
        <w:keepNext/>
        <w:keepLines/>
        <w:spacing w:before="156" w:after="156" w:line="578" w:lineRule="auto"/>
        <w:outlineLvl w:val="0"/>
        <w:rPr>
          <w:rFonts w:ascii="宋体"/>
          <w:b/>
          <w:bCs/>
          <w:color w:val="auto"/>
          <w:sz w:val="32"/>
          <w:szCs w:val="32"/>
        </w:rPr>
      </w:pPr>
      <w:bookmarkStart w:id="1035" w:name="_Toc82882808"/>
      <w:bookmarkStart w:id="1036" w:name="_Toc16316"/>
      <w:bookmarkStart w:id="1037" w:name="_Toc17356"/>
      <w:r>
        <w:rPr>
          <w:rFonts w:ascii="宋体" w:hAnsi="宋体" w:cs="宋体"/>
          <w:b/>
          <w:bCs/>
          <w:color w:val="auto"/>
          <w:sz w:val="32"/>
          <w:szCs w:val="32"/>
        </w:rPr>
        <w:t>4.15</w:t>
      </w:r>
      <w:r>
        <w:rPr>
          <w:rFonts w:hint="eastAsia" w:ascii="宋体" w:hAnsi="宋体" w:cs="宋体"/>
          <w:b/>
          <w:bCs/>
          <w:color w:val="auto"/>
          <w:sz w:val="32"/>
          <w:szCs w:val="32"/>
        </w:rPr>
        <w:t>智能预问诊系统</w:t>
      </w:r>
      <w:bookmarkEnd w:id="1035"/>
      <w:bookmarkEnd w:id="1036"/>
      <w:bookmarkEnd w:id="1037"/>
    </w:p>
    <w:p>
      <w:pPr>
        <w:widowControl/>
        <w:ind w:firstLine="315" w:firstLineChars="150"/>
        <w:jc w:val="left"/>
        <w:rPr>
          <w:rFonts w:ascii="宋体"/>
          <w:color w:val="auto"/>
        </w:rPr>
      </w:pPr>
      <w:r>
        <w:rPr>
          <w:rFonts w:hint="eastAsia" w:ascii="宋体" w:hAnsi="宋体" w:cs="宋体"/>
          <w:color w:val="auto"/>
        </w:rPr>
        <w:t>为了医院更好的开展疫情防控工作，我院导诊工作人员需对入院就诊患者进行就诊前的问诊工作。</w:t>
      </w:r>
    </w:p>
    <w:tbl>
      <w:tblPr>
        <w:tblStyle w:val="21"/>
        <w:tblW w:w="10217" w:type="dxa"/>
        <w:jc w:val="center"/>
        <w:tblLayout w:type="fixed"/>
        <w:tblCellMar>
          <w:top w:w="0" w:type="dxa"/>
          <w:left w:w="108" w:type="dxa"/>
          <w:bottom w:w="0" w:type="dxa"/>
          <w:right w:w="108" w:type="dxa"/>
        </w:tblCellMar>
      </w:tblPr>
      <w:tblGrid>
        <w:gridCol w:w="656"/>
        <w:gridCol w:w="1460"/>
        <w:gridCol w:w="1326"/>
        <w:gridCol w:w="6775"/>
      </w:tblGrid>
      <w:tr>
        <w:tblPrEx>
          <w:tblCellMar>
            <w:top w:w="0" w:type="dxa"/>
            <w:left w:w="108" w:type="dxa"/>
            <w:bottom w:w="0" w:type="dxa"/>
            <w:right w:w="108" w:type="dxa"/>
          </w:tblCellMar>
        </w:tblPrEx>
        <w:trPr>
          <w:trHeight w:val="399"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b/>
                <w:bCs/>
                <w:color w:val="auto"/>
                <w:kern w:val="0"/>
              </w:rPr>
            </w:pPr>
            <w:r>
              <w:rPr>
                <w:rFonts w:hint="eastAsia" w:ascii="宋体" w:hAnsi="宋体" w:cs="宋体"/>
                <w:b/>
                <w:bCs/>
                <w:color w:val="auto"/>
                <w:kern w:val="0"/>
              </w:rPr>
              <w:t>序号</w:t>
            </w:r>
          </w:p>
        </w:tc>
        <w:tc>
          <w:tcPr>
            <w:tcW w:w="1460" w:type="dxa"/>
            <w:tcBorders>
              <w:top w:val="single" w:color="auto" w:sz="4" w:space="0"/>
              <w:left w:val="nil"/>
              <w:bottom w:val="single" w:color="auto" w:sz="4" w:space="0"/>
              <w:right w:val="single" w:color="auto" w:sz="4" w:space="0"/>
            </w:tcBorders>
            <w:noWrap/>
            <w:vAlign w:val="center"/>
          </w:tcPr>
          <w:p>
            <w:pPr>
              <w:widowControl/>
              <w:jc w:val="left"/>
              <w:rPr>
                <w:rFonts w:ascii="宋体"/>
                <w:b/>
                <w:bCs/>
                <w:color w:val="auto"/>
                <w:kern w:val="0"/>
              </w:rPr>
            </w:pPr>
            <w:r>
              <w:rPr>
                <w:rFonts w:hint="eastAsia" w:ascii="宋体" w:hAnsi="宋体" w:cs="宋体"/>
                <w:b/>
                <w:bCs/>
                <w:color w:val="auto"/>
                <w:kern w:val="0"/>
              </w:rPr>
              <w:t>系统名称</w:t>
            </w:r>
          </w:p>
        </w:tc>
        <w:tc>
          <w:tcPr>
            <w:tcW w:w="81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b/>
                <w:bCs/>
                <w:color w:val="auto"/>
                <w:kern w:val="0"/>
              </w:rPr>
            </w:pPr>
            <w:r>
              <w:rPr>
                <w:rFonts w:hint="eastAsia" w:ascii="宋体" w:hAnsi="宋体" w:cs="宋体"/>
                <w:b/>
                <w:bCs/>
                <w:color w:val="auto"/>
                <w:kern w:val="0"/>
              </w:rPr>
              <w:t>技术指标</w:t>
            </w:r>
          </w:p>
        </w:tc>
      </w:tr>
      <w:tr>
        <w:tblPrEx>
          <w:tblCellMar>
            <w:top w:w="0" w:type="dxa"/>
            <w:left w:w="108" w:type="dxa"/>
            <w:bottom w:w="0" w:type="dxa"/>
            <w:right w:w="108" w:type="dxa"/>
          </w:tblCellMar>
        </w:tblPrEx>
        <w:trPr>
          <w:trHeight w:val="1203" w:hRule="atLeast"/>
          <w:jc w:val="center"/>
        </w:trPr>
        <w:tc>
          <w:tcPr>
            <w:tcW w:w="65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olor w:val="auto"/>
                <w:kern w:val="0"/>
              </w:rPr>
            </w:pPr>
            <w:r>
              <w:rPr>
                <w:rFonts w:ascii="宋体" w:hAnsi="宋体" w:cs="宋体"/>
                <w:color w:val="auto"/>
                <w:kern w:val="0"/>
              </w:rPr>
              <w:t>1</w:t>
            </w:r>
          </w:p>
        </w:tc>
        <w:tc>
          <w:tcPr>
            <w:tcW w:w="1460"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hAnsi="宋体" w:cs="宋体"/>
                <w:color w:val="auto"/>
              </w:rPr>
              <w:t>问卷管理</w:t>
            </w:r>
          </w:p>
        </w:tc>
        <w:tc>
          <w:tcPr>
            <w:tcW w:w="8101" w:type="dxa"/>
            <w:gridSpan w:val="2"/>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问卷管理模块用来对问卷进行管理维护，主要功能包括问卷定义、问卷问题的定义和问卷问题选项的定义，最终按科室分类构建完整的问卷模板。问卷的内容可以由医生或者相关部门维护，也支持由问卷模板对接导入的功能。</w:t>
            </w:r>
          </w:p>
        </w:tc>
      </w:tr>
      <w:tr>
        <w:tblPrEx>
          <w:tblCellMar>
            <w:top w:w="0" w:type="dxa"/>
            <w:left w:w="108" w:type="dxa"/>
            <w:bottom w:w="0" w:type="dxa"/>
            <w:right w:w="108" w:type="dxa"/>
          </w:tblCellMar>
        </w:tblPrEx>
        <w:trPr>
          <w:trHeight w:val="791"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kern w:val="0"/>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326"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问卷定义</w:t>
            </w:r>
          </w:p>
        </w:tc>
        <w:tc>
          <w:tcPr>
            <w:tcW w:w="6775"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在问题管理模块中，按照科室定义问卷，主要包括问卷的名称、问卷所属类别（科室）、问卷发布状态和问卷的有效状态。</w:t>
            </w:r>
          </w:p>
        </w:tc>
      </w:tr>
      <w:tr>
        <w:tblPrEx>
          <w:tblCellMar>
            <w:top w:w="0" w:type="dxa"/>
            <w:left w:w="108" w:type="dxa"/>
            <w:bottom w:w="0" w:type="dxa"/>
            <w:right w:w="108" w:type="dxa"/>
          </w:tblCellMar>
        </w:tblPrEx>
        <w:trPr>
          <w:trHeight w:val="1772"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kern w:val="0"/>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326" w:type="dxa"/>
            <w:tcBorders>
              <w:top w:val="nil"/>
              <w:left w:val="nil"/>
              <w:bottom w:val="single" w:color="auto" w:sz="4" w:space="0"/>
              <w:right w:val="single" w:color="auto" w:sz="4" w:space="0"/>
            </w:tcBorders>
            <w:vAlign w:val="center"/>
          </w:tcPr>
          <w:p>
            <w:pPr>
              <w:widowControl/>
              <w:jc w:val="left"/>
              <w:rPr>
                <w:rFonts w:ascii="宋体"/>
                <w:b/>
                <w:bCs/>
                <w:color w:val="auto"/>
              </w:rPr>
            </w:pPr>
            <w:r>
              <w:rPr>
                <w:rFonts w:hint="eastAsia" w:ascii="宋体" w:hAnsi="宋体" w:cs="宋体"/>
                <w:b/>
                <w:bCs/>
                <w:color w:val="auto"/>
              </w:rPr>
              <w:t>定义问题</w:t>
            </w:r>
          </w:p>
        </w:tc>
        <w:tc>
          <w:tcPr>
            <w:tcW w:w="6775" w:type="dxa"/>
            <w:tcBorders>
              <w:top w:val="nil"/>
              <w:left w:val="nil"/>
              <w:bottom w:val="single" w:color="auto" w:sz="4" w:space="0"/>
              <w:right w:val="single" w:color="auto" w:sz="4" w:space="0"/>
            </w:tcBorders>
            <w:vAlign w:val="center"/>
          </w:tcPr>
          <w:p>
            <w:pPr>
              <w:widowControl/>
              <w:jc w:val="left"/>
              <w:rPr>
                <w:rFonts w:ascii="宋体"/>
                <w:b/>
                <w:bCs/>
                <w:color w:val="auto"/>
              </w:rPr>
            </w:pPr>
            <w:r>
              <w:rPr>
                <w:rFonts w:hint="eastAsia" w:ascii="宋体" w:hAnsi="宋体" w:cs="宋体"/>
                <w:b/>
                <w:bCs/>
                <w:color w:val="auto"/>
              </w:rPr>
              <w:t>每个问卷中涵盖多个问题，每一个问题包括问题描述、问题类型、问题排序、是否必填、是否显示、是否只读、是否有效。其中问题类型涵盖单选题、多选题、问答题，同时问题类型在技术上应当能够支持数值、字符、日期、下拉框等等各位要求。问卷中多个问题之间是否有互斥关系，选中一个问题之后，就不再需要显示其他问题。（需现场演示）</w:t>
            </w:r>
          </w:p>
        </w:tc>
      </w:tr>
      <w:tr>
        <w:tblPrEx>
          <w:tblCellMar>
            <w:top w:w="0" w:type="dxa"/>
            <w:left w:w="108" w:type="dxa"/>
            <w:bottom w:w="0" w:type="dxa"/>
            <w:right w:w="108" w:type="dxa"/>
          </w:tblCellMar>
        </w:tblPrEx>
        <w:trPr>
          <w:trHeight w:val="886"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kern w:val="0"/>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326"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定义选项</w:t>
            </w:r>
          </w:p>
        </w:tc>
        <w:tc>
          <w:tcPr>
            <w:tcW w:w="6775"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针对每种类型的问题分别定义问题的选项，包括选项的内容、是否有默认选项。选项之间需要有互斥关系（选中一个选项这后，就不能再选择别的选项。）</w:t>
            </w:r>
          </w:p>
        </w:tc>
      </w:tr>
      <w:tr>
        <w:tblPrEx>
          <w:tblCellMar>
            <w:top w:w="0" w:type="dxa"/>
            <w:left w:w="108" w:type="dxa"/>
            <w:bottom w:w="0" w:type="dxa"/>
            <w:right w:w="108" w:type="dxa"/>
          </w:tblCellMar>
        </w:tblPrEx>
        <w:trPr>
          <w:trHeight w:val="1182"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kern w:val="0"/>
              </w:rPr>
            </w:pPr>
          </w:p>
        </w:tc>
        <w:tc>
          <w:tcPr>
            <w:tcW w:w="1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326"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其他需求</w:t>
            </w:r>
          </w:p>
        </w:tc>
        <w:tc>
          <w:tcPr>
            <w:tcW w:w="6775"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关于问卷内容的维护分两个部分，首先可以通过接口从系统信息系统平台把问卷模板落地到预问诊系统中，其次可以通过人工手动维护问卷内容。改问卷模板可支持全泽普县区域使用，各医院可免费使用，并由医院自行维护。</w:t>
            </w:r>
          </w:p>
        </w:tc>
      </w:tr>
      <w:tr>
        <w:tblPrEx>
          <w:tblCellMar>
            <w:top w:w="0" w:type="dxa"/>
            <w:left w:w="108" w:type="dxa"/>
            <w:bottom w:w="0" w:type="dxa"/>
            <w:right w:w="108" w:type="dxa"/>
          </w:tblCellMar>
        </w:tblPrEx>
        <w:trPr>
          <w:trHeight w:val="992" w:hRule="atLeast"/>
          <w:jc w:val="center"/>
        </w:trPr>
        <w:tc>
          <w:tcPr>
            <w:tcW w:w="65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olor w:val="auto"/>
                <w:kern w:val="0"/>
              </w:rPr>
            </w:pPr>
            <w:r>
              <w:rPr>
                <w:rFonts w:ascii="宋体" w:hAnsi="宋体" w:cs="宋体"/>
                <w:color w:val="auto"/>
                <w:kern w:val="0"/>
              </w:rPr>
              <w:t>2</w:t>
            </w: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b/>
                <w:bCs/>
                <w:color w:val="auto"/>
              </w:rPr>
            </w:pPr>
            <w:r>
              <w:rPr>
                <w:rFonts w:hint="eastAsia" w:ascii="宋体" w:hAnsi="宋体" w:cs="宋体"/>
                <w:b/>
                <w:bCs/>
                <w:color w:val="auto"/>
              </w:rPr>
              <w:t>问卷调用</w:t>
            </w:r>
          </w:p>
        </w:tc>
        <w:tc>
          <w:tcPr>
            <w:tcW w:w="8101" w:type="dxa"/>
            <w:gridSpan w:val="2"/>
            <w:tcBorders>
              <w:top w:val="nil"/>
              <w:left w:val="nil"/>
              <w:bottom w:val="single" w:color="auto" w:sz="4" w:space="0"/>
              <w:right w:val="single" w:color="auto" w:sz="4" w:space="0"/>
            </w:tcBorders>
            <w:vAlign w:val="center"/>
          </w:tcPr>
          <w:p>
            <w:pPr>
              <w:widowControl/>
              <w:jc w:val="left"/>
              <w:rPr>
                <w:rFonts w:ascii="宋体"/>
                <w:b/>
                <w:bCs/>
                <w:color w:val="auto"/>
              </w:rPr>
            </w:pPr>
            <w:r>
              <w:rPr>
                <w:rFonts w:hint="eastAsia" w:ascii="宋体" w:hAnsi="宋体" w:cs="宋体"/>
                <w:b/>
                <w:bCs/>
                <w:color w:val="auto"/>
              </w:rPr>
              <w:t>在问卷模板定义好之后，可以对问卷进行调用，调用的场景支持医院微信公众号的预约挂号之后的调用或者互联网医院预约挂号之后的调用等，以及医疗机构院内二维码扫描的调用。（需现场演示）</w:t>
            </w:r>
          </w:p>
        </w:tc>
      </w:tr>
      <w:tr>
        <w:tblPrEx>
          <w:tblCellMar>
            <w:top w:w="0" w:type="dxa"/>
            <w:left w:w="108" w:type="dxa"/>
            <w:bottom w:w="0" w:type="dxa"/>
            <w:right w:w="108" w:type="dxa"/>
          </w:tblCellMar>
        </w:tblPrEx>
        <w:trPr>
          <w:trHeight w:val="38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kern w:val="0"/>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auto"/>
              </w:rPr>
            </w:pPr>
          </w:p>
        </w:tc>
        <w:tc>
          <w:tcPr>
            <w:tcW w:w="8101" w:type="dxa"/>
            <w:gridSpan w:val="2"/>
            <w:tcBorders>
              <w:top w:val="nil"/>
              <w:left w:val="nil"/>
              <w:bottom w:val="single" w:color="auto" w:sz="4" w:space="0"/>
              <w:right w:val="single" w:color="auto" w:sz="4" w:space="0"/>
            </w:tcBorders>
            <w:vAlign w:val="center"/>
          </w:tcPr>
          <w:p>
            <w:pPr>
              <w:widowControl/>
              <w:jc w:val="left"/>
              <w:rPr>
                <w:rFonts w:ascii="宋体"/>
                <w:b/>
                <w:bCs/>
                <w:color w:val="auto"/>
              </w:rPr>
            </w:pPr>
            <w:r>
              <w:rPr>
                <w:rFonts w:hint="eastAsia" w:ascii="宋体" w:hAnsi="宋体" w:cs="宋体"/>
                <w:b/>
                <w:bCs/>
                <w:color w:val="auto"/>
              </w:rPr>
              <w:t>二维码扫描功能主要针对线下挂号的患者，医院系统可按照预问诊系统提供的接口规范，将预约挂号信息传到预问诊系统中，然后与问卷进行关联。（需现场演示）</w:t>
            </w:r>
          </w:p>
        </w:tc>
      </w:tr>
      <w:tr>
        <w:tblPrEx>
          <w:tblCellMar>
            <w:top w:w="0" w:type="dxa"/>
            <w:left w:w="108" w:type="dxa"/>
            <w:bottom w:w="0" w:type="dxa"/>
            <w:right w:w="108" w:type="dxa"/>
          </w:tblCellMar>
        </w:tblPrEx>
        <w:trPr>
          <w:trHeight w:val="786" w:hRule="atLeast"/>
          <w:jc w:val="center"/>
        </w:trPr>
        <w:tc>
          <w:tcPr>
            <w:tcW w:w="656" w:type="dxa"/>
            <w:tcBorders>
              <w:top w:val="nil"/>
              <w:left w:val="single" w:color="auto" w:sz="4" w:space="0"/>
              <w:bottom w:val="single" w:color="auto" w:sz="4" w:space="0"/>
              <w:right w:val="single" w:color="auto" w:sz="4" w:space="0"/>
            </w:tcBorders>
            <w:noWrap/>
            <w:vAlign w:val="center"/>
          </w:tcPr>
          <w:p>
            <w:pPr>
              <w:widowControl/>
              <w:jc w:val="center"/>
              <w:rPr>
                <w:rFonts w:ascii="宋体"/>
                <w:color w:val="auto"/>
                <w:kern w:val="0"/>
              </w:rPr>
            </w:pPr>
            <w:r>
              <w:rPr>
                <w:rFonts w:ascii="宋体" w:hAnsi="宋体" w:cs="宋体"/>
                <w:color w:val="auto"/>
                <w:kern w:val="0"/>
              </w:rPr>
              <w:t>3</w:t>
            </w:r>
          </w:p>
        </w:tc>
        <w:tc>
          <w:tcPr>
            <w:tcW w:w="1460" w:type="dxa"/>
            <w:tcBorders>
              <w:top w:val="single" w:color="auto" w:sz="4" w:space="0"/>
              <w:left w:val="nil"/>
              <w:bottom w:val="single" w:color="auto" w:sz="4" w:space="0"/>
              <w:right w:val="single" w:color="auto" w:sz="4" w:space="0"/>
            </w:tcBorders>
            <w:noWrap/>
            <w:vAlign w:val="center"/>
          </w:tcPr>
          <w:p>
            <w:pPr>
              <w:widowControl/>
              <w:jc w:val="left"/>
              <w:rPr>
                <w:rFonts w:ascii="宋体"/>
                <w:b/>
                <w:bCs/>
                <w:color w:val="auto"/>
              </w:rPr>
            </w:pPr>
            <w:r>
              <w:rPr>
                <w:rFonts w:hint="eastAsia" w:ascii="宋体" w:hAnsi="宋体" w:cs="宋体"/>
                <w:b/>
                <w:bCs/>
                <w:color w:val="auto"/>
              </w:rPr>
              <w:t>问卷填报</w:t>
            </w:r>
          </w:p>
        </w:tc>
        <w:tc>
          <w:tcPr>
            <w:tcW w:w="8101" w:type="dxa"/>
            <w:gridSpan w:val="2"/>
            <w:tcBorders>
              <w:top w:val="nil"/>
              <w:left w:val="nil"/>
              <w:bottom w:val="single" w:color="auto" w:sz="4" w:space="0"/>
              <w:right w:val="single" w:color="auto" w:sz="4" w:space="0"/>
            </w:tcBorders>
            <w:vAlign w:val="center"/>
          </w:tcPr>
          <w:p>
            <w:pPr>
              <w:widowControl/>
              <w:jc w:val="left"/>
              <w:rPr>
                <w:rFonts w:ascii="宋体"/>
                <w:b/>
                <w:bCs/>
                <w:color w:val="auto"/>
              </w:rPr>
            </w:pPr>
            <w:r>
              <w:rPr>
                <w:rFonts w:hint="eastAsia" w:ascii="宋体" w:hAnsi="宋体" w:cs="宋体"/>
                <w:b/>
                <w:bCs/>
                <w:color w:val="auto"/>
              </w:rPr>
              <w:t>患者进行问卷填报时，系统应当完整记录每个患者预问诊记录和问卷填报结果信息。预问诊记录包括患者基本信息、预约医院、科室、时间等信息以及预问诊问卷填报结果信息。（需现场演示）</w:t>
            </w:r>
          </w:p>
        </w:tc>
      </w:tr>
      <w:tr>
        <w:tblPrEx>
          <w:tblCellMar>
            <w:top w:w="0" w:type="dxa"/>
            <w:left w:w="108" w:type="dxa"/>
            <w:bottom w:w="0" w:type="dxa"/>
            <w:right w:w="108" w:type="dxa"/>
          </w:tblCellMar>
        </w:tblPrEx>
        <w:trPr>
          <w:trHeight w:val="754" w:hRule="atLeast"/>
          <w:jc w:val="center"/>
        </w:trPr>
        <w:tc>
          <w:tcPr>
            <w:tcW w:w="65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olor w:val="auto"/>
                <w:kern w:val="0"/>
              </w:rPr>
            </w:pPr>
            <w:r>
              <w:rPr>
                <w:rFonts w:ascii="宋体" w:hAnsi="宋体" w:cs="宋体"/>
                <w:color w:val="auto"/>
                <w:kern w:val="0"/>
              </w:rPr>
              <w:t>4</w:t>
            </w: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hAnsi="宋体" w:cs="宋体"/>
                <w:color w:val="auto"/>
              </w:rPr>
              <w:t>问卷结果对接</w:t>
            </w:r>
          </w:p>
        </w:tc>
        <w:tc>
          <w:tcPr>
            <w:tcW w:w="8101" w:type="dxa"/>
            <w:gridSpan w:val="2"/>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b/>
                <w:bCs/>
                <w:color w:val="auto"/>
              </w:rPr>
              <w:t>智能预问诊系统提供服务接口，</w:t>
            </w:r>
            <w:r>
              <w:rPr>
                <w:rFonts w:ascii="宋体" w:hAnsi="宋体" w:cs="宋体"/>
                <w:b/>
                <w:bCs/>
                <w:color w:val="auto"/>
              </w:rPr>
              <w:t>HIS</w:t>
            </w:r>
            <w:r>
              <w:rPr>
                <w:rFonts w:hint="eastAsia" w:ascii="宋体" w:hAnsi="宋体" w:cs="宋体"/>
                <w:b/>
                <w:bCs/>
                <w:color w:val="auto"/>
              </w:rPr>
              <w:t>以及微信公众号或互联网医院平台根据预问诊接口服务完成预问诊问卷填报结果的对接。医生应能能够根据问卷填报结果选择内容生成患者主诉。系统能与</w:t>
            </w:r>
            <w:r>
              <w:rPr>
                <w:rFonts w:ascii="宋体" w:hAnsi="宋体" w:cs="宋体"/>
                <w:b/>
                <w:bCs/>
                <w:color w:val="auto"/>
              </w:rPr>
              <w:t>HIS</w:t>
            </w:r>
            <w:r>
              <w:rPr>
                <w:rFonts w:hint="eastAsia" w:ascii="宋体" w:hAnsi="宋体" w:cs="宋体"/>
                <w:b/>
                <w:bCs/>
                <w:color w:val="auto"/>
              </w:rPr>
              <w:t>的电子病历系统作无缝衔接。（需现场演示）</w:t>
            </w:r>
          </w:p>
        </w:tc>
      </w:tr>
      <w:tr>
        <w:tblPrEx>
          <w:tblCellMar>
            <w:top w:w="0" w:type="dxa"/>
            <w:left w:w="108" w:type="dxa"/>
            <w:bottom w:w="0" w:type="dxa"/>
            <w:right w:w="108" w:type="dxa"/>
          </w:tblCellMar>
        </w:tblPrEx>
        <w:trPr>
          <w:trHeight w:val="332"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kern w:val="0"/>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p>
        </w:tc>
        <w:tc>
          <w:tcPr>
            <w:tcW w:w="8101" w:type="dxa"/>
            <w:gridSpan w:val="2"/>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hAnsi="宋体" w:cs="宋体"/>
                <w:color w:val="auto"/>
              </w:rPr>
              <w:t>综合医院直接下载维护好的问卷，实现与</w:t>
            </w:r>
            <w:r>
              <w:rPr>
                <w:rFonts w:ascii="宋体" w:hAnsi="宋体" w:cs="宋体"/>
                <w:color w:val="auto"/>
              </w:rPr>
              <w:t>HIS</w:t>
            </w:r>
            <w:r>
              <w:rPr>
                <w:rFonts w:hint="eastAsia" w:ascii="宋体" w:hAnsi="宋体" w:cs="宋体"/>
                <w:color w:val="auto"/>
              </w:rPr>
              <w:t>系统的对接。</w:t>
            </w:r>
          </w:p>
        </w:tc>
      </w:tr>
    </w:tbl>
    <w:p>
      <w:pPr>
        <w:pStyle w:val="2"/>
        <w:ind w:firstLine="0"/>
        <w:rPr>
          <w:rFonts w:hAnsi="宋体" w:cs="Times New Roman"/>
          <w:b/>
          <w:bCs/>
          <w:color w:val="auto"/>
          <w:sz w:val="32"/>
          <w:szCs w:val="32"/>
        </w:rPr>
      </w:pPr>
    </w:p>
    <w:p>
      <w:pPr>
        <w:spacing w:line="560" w:lineRule="exact"/>
        <w:outlineLvl w:val="1"/>
        <w:rPr>
          <w:rFonts w:ascii="宋体"/>
          <w:color w:val="auto"/>
        </w:rPr>
      </w:pPr>
      <w:bookmarkStart w:id="1038" w:name="_Toc15637"/>
      <w:bookmarkStart w:id="1039" w:name="_Toc2722"/>
      <w:bookmarkStart w:id="1040" w:name="_Toc19043"/>
      <w:bookmarkStart w:id="1041" w:name="_Toc27144"/>
      <w:bookmarkStart w:id="1042" w:name="_Toc27913"/>
      <w:bookmarkStart w:id="1043" w:name="_Toc254"/>
      <w:bookmarkStart w:id="1044" w:name="_Toc5512"/>
      <w:bookmarkStart w:id="1045" w:name="_Toc30264"/>
      <w:bookmarkStart w:id="1046" w:name="_Toc31658"/>
      <w:r>
        <w:rPr>
          <w:rFonts w:hint="eastAsia" w:ascii="宋体" w:hAnsi="宋体" w:cs="宋体"/>
          <w:b/>
          <w:bCs/>
          <w:color w:val="auto"/>
          <w:sz w:val="32"/>
          <w:szCs w:val="32"/>
        </w:rPr>
        <w:t>二、项目要求：</w:t>
      </w:r>
      <w:bookmarkEnd w:id="805"/>
      <w:bookmarkEnd w:id="1038"/>
      <w:bookmarkEnd w:id="1039"/>
      <w:bookmarkEnd w:id="1040"/>
      <w:bookmarkEnd w:id="1041"/>
      <w:bookmarkEnd w:id="1042"/>
      <w:bookmarkEnd w:id="1043"/>
      <w:bookmarkEnd w:id="1044"/>
      <w:bookmarkEnd w:id="1045"/>
      <w:bookmarkEnd w:id="1046"/>
    </w:p>
    <w:p>
      <w:pPr>
        <w:keepNext/>
        <w:keepLines/>
        <w:spacing w:before="156" w:after="156" w:line="400" w:lineRule="exact"/>
        <w:outlineLvl w:val="0"/>
        <w:rPr>
          <w:rFonts w:ascii="宋体"/>
          <w:b/>
          <w:bCs/>
          <w:color w:val="auto"/>
          <w:sz w:val="36"/>
          <w:szCs w:val="36"/>
        </w:rPr>
      </w:pPr>
      <w:bookmarkStart w:id="1047" w:name="_Toc20792"/>
      <w:bookmarkStart w:id="1048" w:name="_Toc11441"/>
      <w:bookmarkStart w:id="1049" w:name="_Toc82882809"/>
      <w:bookmarkStart w:id="1050" w:name="_Toc11259"/>
      <w:r>
        <w:rPr>
          <w:rFonts w:ascii="宋体" w:hAnsi="宋体" w:cs="宋体"/>
          <w:b/>
          <w:bCs/>
          <w:color w:val="auto"/>
          <w:sz w:val="36"/>
          <w:szCs w:val="36"/>
        </w:rPr>
        <w:t>5</w:t>
      </w:r>
      <w:r>
        <w:rPr>
          <w:rFonts w:hint="eastAsia" w:ascii="宋体" w:hAnsi="宋体" w:cs="宋体"/>
          <w:b/>
          <w:bCs/>
          <w:color w:val="auto"/>
          <w:sz w:val="36"/>
          <w:szCs w:val="36"/>
        </w:rPr>
        <w:t>、实施与服务要求</w:t>
      </w:r>
      <w:bookmarkEnd w:id="1047"/>
      <w:bookmarkEnd w:id="1048"/>
      <w:bookmarkEnd w:id="1049"/>
    </w:p>
    <w:p>
      <w:pPr>
        <w:keepNext/>
        <w:keepLines/>
        <w:spacing w:before="156" w:after="156" w:line="400" w:lineRule="exact"/>
        <w:outlineLvl w:val="1"/>
        <w:rPr>
          <w:rFonts w:ascii="宋体"/>
          <w:b/>
          <w:bCs/>
          <w:color w:val="auto"/>
        </w:rPr>
      </w:pPr>
      <w:bookmarkStart w:id="1051" w:name="_Toc13624"/>
      <w:bookmarkStart w:id="1052" w:name="_Toc82882810"/>
      <w:bookmarkStart w:id="1053" w:name="_Toc10774"/>
      <w:r>
        <w:rPr>
          <w:rFonts w:ascii="宋体" w:hAnsi="宋体" w:cs="宋体"/>
          <w:b/>
          <w:bCs/>
          <w:color w:val="auto"/>
        </w:rPr>
        <w:t xml:space="preserve">5.1 </w:t>
      </w:r>
      <w:r>
        <w:rPr>
          <w:rFonts w:hint="eastAsia" w:ascii="宋体" w:hAnsi="宋体" w:cs="宋体"/>
          <w:b/>
          <w:bCs/>
          <w:color w:val="auto"/>
        </w:rPr>
        <w:t>实施方案（具体要求详见评分表）</w:t>
      </w:r>
      <w:bookmarkEnd w:id="1051"/>
      <w:bookmarkEnd w:id="1052"/>
      <w:bookmarkEnd w:id="1053"/>
    </w:p>
    <w:p>
      <w:pPr>
        <w:spacing w:before="156" w:after="156" w:line="400" w:lineRule="exact"/>
        <w:ind w:firstLine="480"/>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）建设周期：自合同签订之日起</w:t>
      </w:r>
      <w:r>
        <w:rPr>
          <w:rFonts w:ascii="宋体" w:hAnsi="宋体" w:cs="宋体"/>
          <w:color w:val="auto"/>
        </w:rPr>
        <w:t xml:space="preserve"> 3 </w:t>
      </w:r>
      <w:r>
        <w:rPr>
          <w:rFonts w:hint="eastAsia" w:ascii="宋体" w:hAnsi="宋体" w:cs="宋体"/>
          <w:color w:val="auto"/>
        </w:rPr>
        <w:t>个月内完成安装、调试并交付使用；</w:t>
      </w:r>
    </w:p>
    <w:p>
      <w:pPr>
        <w:spacing w:before="156" w:after="156" w:line="400" w:lineRule="exact"/>
        <w:ind w:firstLine="420" w:firstLineChars="200"/>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安装、调试、验收流程：设备到货后及时派遣有资质的工程师进行硬件安装，软件调试，操作人员使用培训。培训完成后由用户操作人员进行实验操作，我公司工程师跟踪实验过程，确认仪器运行良好后，由用户签字验收；详细方案</w:t>
      </w:r>
      <w:r>
        <w:rPr>
          <w:rFonts w:ascii="宋体" w:hAnsi="宋体" w:cs="宋体"/>
          <w:color w:val="auto"/>
        </w:rPr>
        <w:t>:</w:t>
      </w:r>
      <w:r>
        <w:rPr>
          <w:rFonts w:hint="eastAsia" w:ascii="宋体" w:hAnsi="宋体" w:cs="宋体"/>
          <w:color w:val="auto"/>
        </w:rPr>
        <w:t>（</w:t>
      </w:r>
      <w:r>
        <w:rPr>
          <w:rFonts w:ascii="宋体" w:hAnsi="宋体" w:cs="宋体"/>
          <w:color w:val="auto"/>
        </w:rPr>
        <w:t>1</w:t>
      </w:r>
      <w:r>
        <w:rPr>
          <w:rFonts w:hint="eastAsia" w:ascii="宋体" w:hAnsi="宋体" w:cs="宋体"/>
          <w:color w:val="auto"/>
        </w:rPr>
        <w:t>）核对安装环境是否符合要求：①检查工作台面及承重；②检查电源、电压。（</w:t>
      </w:r>
      <w:r>
        <w:rPr>
          <w:rFonts w:ascii="宋体" w:hAnsi="宋体" w:cs="宋体"/>
          <w:color w:val="auto"/>
        </w:rPr>
        <w:t>2</w:t>
      </w:r>
      <w:r>
        <w:rPr>
          <w:rFonts w:hint="eastAsia" w:ascii="宋体" w:hAnsi="宋体" w:cs="宋体"/>
          <w:color w:val="auto"/>
        </w:rPr>
        <w:t>）开箱验收：①检查外观和包装是否完整；②核对型号是否正确；③清单清点零件，部件，附件，备用品，专用工具，说明书，仪器的出厂合格证书及其他技术文件。（</w:t>
      </w:r>
      <w:r>
        <w:rPr>
          <w:rFonts w:ascii="宋体" w:hAnsi="宋体" w:cs="宋体"/>
          <w:color w:val="auto"/>
        </w:rPr>
        <w:t>3</w:t>
      </w:r>
      <w:r>
        <w:rPr>
          <w:rFonts w:hint="eastAsia" w:ascii="宋体" w:hAnsi="宋体" w:cs="宋体"/>
          <w:color w:val="auto"/>
        </w:rPr>
        <w:t>）安装仪器：①按说明书要求搬运设备；②按说明书要求安装设备。（</w:t>
      </w:r>
      <w:r>
        <w:rPr>
          <w:rFonts w:ascii="宋体" w:hAnsi="宋体" w:cs="宋体"/>
          <w:color w:val="auto"/>
        </w:rPr>
        <w:t>4</w:t>
      </w:r>
      <w:r>
        <w:rPr>
          <w:rFonts w:hint="eastAsia" w:ascii="宋体" w:hAnsi="宋体" w:cs="宋体"/>
          <w:color w:val="auto"/>
        </w:rPr>
        <w:t>）调试设备：①一般检查：应本机身各功能控制开关正常，设备各部件的初始位置和初始化正常，关机状态下确认设备的各模块和轨道滑行顺畅，整车能正常运转。（</w:t>
      </w:r>
      <w:r>
        <w:rPr>
          <w:rFonts w:ascii="宋体" w:hAnsi="宋体" w:cs="宋体"/>
          <w:color w:val="auto"/>
        </w:rPr>
        <w:t>5</w:t>
      </w:r>
      <w:r>
        <w:rPr>
          <w:rFonts w:hint="eastAsia" w:ascii="宋体" w:hAnsi="宋体" w:cs="宋体"/>
          <w:color w:val="auto"/>
        </w:rPr>
        <w:t>）性能确认：培训</w:t>
      </w:r>
      <w:r>
        <w:rPr>
          <w:rFonts w:ascii="宋体" w:hAnsi="宋体" w:cs="宋体"/>
          <w:color w:val="auto"/>
        </w:rPr>
        <w:t>:</w:t>
      </w:r>
      <w:r>
        <w:rPr>
          <w:rFonts w:hint="eastAsia" w:ascii="宋体" w:hAnsi="宋体" w:cs="宋体"/>
          <w:color w:val="auto"/>
        </w:rPr>
        <w:t>工程师对设备的使用人员进行规范的培训并考核合格。验收</w:t>
      </w:r>
      <w:r>
        <w:rPr>
          <w:rFonts w:ascii="宋体" w:hAnsi="宋体" w:cs="宋体"/>
          <w:color w:val="auto"/>
        </w:rPr>
        <w:t>:</w:t>
      </w:r>
      <w:r>
        <w:rPr>
          <w:rFonts w:hint="eastAsia" w:ascii="宋体" w:hAnsi="宋体" w:cs="宋体"/>
          <w:color w:val="auto"/>
        </w:rPr>
        <w:t>确认仪器运行良好后，由用户签字验收。</w:t>
      </w:r>
    </w:p>
    <w:p>
      <w:pPr>
        <w:spacing w:before="156" w:after="156" w:line="400" w:lineRule="exact"/>
        <w:ind w:firstLine="420" w:firstLineChars="200"/>
        <w:rPr>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①提供的设备是全新的、符合国家相关技术标准或行业标准、国内相关部门手续完备、具有制造商质量保证书（或合格证明）的设备；②产品的规格尺寸按甲方提供的技术资料要求执行；③送货时需提供材料设备的合格证。每批货物进场，我方必须出具产品合格证，招标方收后留存。保证投标设备用合理的工艺和合格的材料制造而成</w:t>
      </w:r>
      <w:r>
        <w:rPr>
          <w:rFonts w:ascii="宋体" w:cs="宋体"/>
          <w:color w:val="auto"/>
        </w:rPr>
        <w:t>,</w:t>
      </w:r>
      <w:r>
        <w:rPr>
          <w:rFonts w:hint="eastAsia" w:ascii="宋体" w:hAnsi="宋体" w:cs="宋体"/>
          <w:color w:val="auto"/>
        </w:rPr>
        <w:t>并符合规定的质量、规格和性能要求。并严格执行质量管理体系要求生产。保证产品经正确安装、正常运行和保养，在其使用寿命内具有满意的性能。设备制造完成后，生产商对设备质量、性能要求按规定进行详细而全面的检查，质量达到要求。④建立产品质量回访、保修档案资料，并及时做好签证入档工作。</w:t>
      </w:r>
    </w:p>
    <w:p>
      <w:pPr>
        <w:spacing w:before="156" w:after="156" w:line="400" w:lineRule="exact"/>
        <w:ind w:firstLine="480"/>
        <w:rPr>
          <w:rFonts w:ascii="宋体"/>
          <w:color w:val="auto"/>
          <w:sz w:val="22"/>
          <w:szCs w:val="22"/>
        </w:rPr>
      </w:pPr>
      <w:r>
        <w:rPr>
          <w:rFonts w:hint="eastAsia" w:ascii="宋体" w:hAnsi="宋体" w:cs="宋体"/>
          <w:color w:val="auto"/>
        </w:rPr>
        <w:t>（</w:t>
      </w:r>
      <w:r>
        <w:rPr>
          <w:rFonts w:ascii="宋体" w:hAnsi="宋体" w:cs="宋体"/>
          <w:color w:val="auto"/>
        </w:rPr>
        <w:t>4</w:t>
      </w:r>
      <w:r>
        <w:rPr>
          <w:rFonts w:hint="eastAsia" w:ascii="宋体" w:hAnsi="宋体" w:cs="宋体"/>
          <w:color w:val="auto"/>
        </w:rPr>
        <w:t>）重点难点分析等：从</w:t>
      </w:r>
      <w:r>
        <w:rPr>
          <w:rFonts w:hint="eastAsia" w:ascii="宋体" w:hAnsi="宋体" w:cs="宋体"/>
          <w:color w:val="auto"/>
          <w:sz w:val="22"/>
          <w:szCs w:val="22"/>
        </w:rPr>
        <w:t>服务器宕机、网络大面积瘫痪、数据库故障、信息安全、制度培训、应急方案等重大问题进行分析并制作应对措施。维修响应</w:t>
      </w:r>
      <w:r>
        <w:rPr>
          <w:rFonts w:ascii="宋体" w:hAnsi="宋体" w:cs="宋体"/>
          <w:color w:val="auto"/>
          <w:sz w:val="22"/>
          <w:szCs w:val="22"/>
        </w:rPr>
        <w:t>7x24</w:t>
      </w:r>
      <w:r>
        <w:rPr>
          <w:rFonts w:hint="eastAsia" w:ascii="宋体" w:hAnsi="宋体" w:cs="宋体"/>
          <w:color w:val="auto"/>
          <w:sz w:val="22"/>
          <w:szCs w:val="22"/>
        </w:rPr>
        <w:t>小时响应，在质保期内出现故障中标单位在接到故障报修电话后，</w:t>
      </w:r>
      <w:r>
        <w:rPr>
          <w:rFonts w:ascii="宋体" w:hAnsi="宋体" w:cs="宋体"/>
          <w:color w:val="auto"/>
          <w:sz w:val="22"/>
          <w:szCs w:val="22"/>
        </w:rPr>
        <w:t>2</w:t>
      </w:r>
      <w:r>
        <w:rPr>
          <w:rFonts w:hint="eastAsia" w:ascii="宋体" w:hAnsi="宋体" w:cs="宋体"/>
          <w:color w:val="auto"/>
          <w:sz w:val="22"/>
          <w:szCs w:val="22"/>
        </w:rPr>
        <w:t>天内必须赶到现场解决故障。</w:t>
      </w:r>
    </w:p>
    <w:p>
      <w:pPr>
        <w:spacing w:before="156" w:after="156" w:line="400" w:lineRule="exact"/>
        <w:ind w:firstLine="480"/>
        <w:rPr>
          <w:rFonts w:ascii="宋体"/>
          <w:color w:val="auto"/>
        </w:rPr>
      </w:pPr>
      <w:r>
        <w:rPr>
          <w:rFonts w:hint="eastAsia" w:ascii="宋体" w:hAnsi="宋体" w:cs="宋体"/>
          <w:color w:val="auto"/>
          <w:sz w:val="22"/>
          <w:szCs w:val="22"/>
        </w:rPr>
        <w:t>（</w:t>
      </w:r>
      <w:r>
        <w:rPr>
          <w:rFonts w:ascii="宋体" w:hAnsi="宋体" w:cs="宋体"/>
          <w:color w:val="auto"/>
          <w:sz w:val="22"/>
          <w:szCs w:val="22"/>
        </w:rPr>
        <w:t>5</w:t>
      </w:r>
      <w:r>
        <w:rPr>
          <w:rFonts w:hint="eastAsia" w:ascii="宋体" w:hAnsi="宋体" w:cs="宋体"/>
          <w:color w:val="auto"/>
          <w:sz w:val="22"/>
          <w:szCs w:val="22"/>
        </w:rPr>
        <w:t>）</w:t>
      </w:r>
      <w:r>
        <w:rPr>
          <w:rFonts w:hint="eastAsia" w:ascii="宋体" w:hAnsi="宋体" w:cs="宋体"/>
          <w:color w:val="auto"/>
        </w:rPr>
        <w:t>从投标人应在系统实施方案中描述具体的实施团队的组成、工作的内容、投入人员、项目进程表及采购人的配合等内容。在所有工作开展之前，公司的实施人员应制定一套完整科学可行的实施方案，作为工程实施的总体计划和步骤。实施方案内容大致包括：</w:t>
      </w:r>
    </w:p>
    <w:p>
      <w:pPr>
        <w:spacing w:before="156" w:after="156" w:line="400" w:lineRule="exact"/>
        <w:ind w:firstLine="566"/>
        <w:rPr>
          <w:rFonts w:ascii="宋体"/>
          <w:color w:val="auto"/>
        </w:rPr>
      </w:pPr>
      <w:r>
        <w:rPr>
          <w:rFonts w:hint="eastAsia" w:ascii="宋体" w:hAnsi="宋体" w:cs="宋体"/>
          <w:color w:val="auto"/>
        </w:rPr>
        <w:t>①组织保障安排：成立领导小组，领导小组中的责任分工等。</w:t>
      </w:r>
    </w:p>
    <w:p>
      <w:pPr>
        <w:spacing w:before="156" w:after="156" w:line="400" w:lineRule="exact"/>
        <w:ind w:firstLine="566"/>
        <w:rPr>
          <w:rFonts w:ascii="宋体"/>
          <w:color w:val="auto"/>
        </w:rPr>
      </w:pPr>
      <w:r>
        <w:rPr>
          <w:rFonts w:hint="eastAsia" w:ascii="宋体" w:hAnsi="宋体" w:cs="宋体"/>
          <w:color w:val="auto"/>
        </w:rPr>
        <w:t>②制定具体的实施流程、实施内容。</w:t>
      </w:r>
    </w:p>
    <w:p>
      <w:pPr>
        <w:spacing w:before="156" w:after="156" w:line="400" w:lineRule="exact"/>
        <w:ind w:firstLine="420" w:firstLineChars="200"/>
        <w:rPr>
          <w:rFonts w:ascii="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）投标人应承诺在项目建设及维护过程中，如医院需要，中标人应与医院共同定制开发信息系统产品，并承诺完成软件著作权登记证书的申请和办理等工作。</w:t>
      </w:r>
    </w:p>
    <w:p>
      <w:pPr>
        <w:snapToGrid w:val="0"/>
        <w:spacing w:line="400" w:lineRule="exact"/>
        <w:ind w:firstLine="420" w:firstLineChars="200"/>
        <w:jc w:val="left"/>
        <w:rPr>
          <w:rFonts w:ascii="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）整体交付：原厂商需提供本地化的服务。</w:t>
      </w:r>
    </w:p>
    <w:p>
      <w:pPr>
        <w:keepNext/>
        <w:keepLines/>
        <w:spacing w:before="156" w:after="156" w:line="400" w:lineRule="exact"/>
        <w:outlineLvl w:val="1"/>
        <w:rPr>
          <w:rFonts w:ascii="宋体"/>
          <w:b/>
          <w:bCs/>
          <w:color w:val="auto"/>
        </w:rPr>
      </w:pPr>
      <w:bookmarkStart w:id="1054" w:name="_Toc935"/>
      <w:bookmarkStart w:id="1055" w:name="_Toc82882811"/>
      <w:bookmarkStart w:id="1056" w:name="_Toc9745"/>
      <w:r>
        <w:rPr>
          <w:rFonts w:ascii="宋体" w:hAnsi="宋体" w:cs="宋体"/>
          <w:b/>
          <w:bCs/>
          <w:color w:val="auto"/>
        </w:rPr>
        <w:t xml:space="preserve">5.2 </w:t>
      </w:r>
      <w:r>
        <w:rPr>
          <w:rFonts w:hint="eastAsia" w:ascii="宋体" w:hAnsi="宋体" w:cs="宋体"/>
          <w:b/>
          <w:bCs/>
          <w:color w:val="auto"/>
        </w:rPr>
        <w:t>验收要求</w:t>
      </w:r>
      <w:bookmarkEnd w:id="1054"/>
      <w:bookmarkEnd w:id="1055"/>
      <w:bookmarkEnd w:id="1056"/>
    </w:p>
    <w:p>
      <w:pPr>
        <w:spacing w:before="156" w:after="156" w:line="400" w:lineRule="exact"/>
        <w:ind w:firstLine="480"/>
        <w:rPr>
          <w:rFonts w:ascii="宋体"/>
          <w:color w:val="auto"/>
        </w:rPr>
      </w:pPr>
      <w:r>
        <w:rPr>
          <w:rFonts w:hint="eastAsia" w:ascii="宋体" w:hAnsi="宋体" w:cs="宋体"/>
          <w:color w:val="auto"/>
        </w:rPr>
        <w:t>本项目由中标人提出申请，招标人组织验收。验收合格，双方签字确认后视为实施完成。</w:t>
      </w:r>
    </w:p>
    <w:p>
      <w:pPr>
        <w:spacing w:before="156" w:after="156" w:line="400" w:lineRule="exact"/>
        <w:ind w:firstLine="480"/>
        <w:rPr>
          <w:rFonts w:ascii="宋体"/>
          <w:color w:val="auto"/>
        </w:rPr>
      </w:pPr>
      <w:r>
        <w:rPr>
          <w:rFonts w:hint="eastAsia" w:ascii="宋体" w:hAnsi="宋体" w:cs="宋体"/>
          <w:color w:val="auto"/>
        </w:rPr>
        <w:t>验收标准：招标文件、投标文件、合同规定的标准。</w:t>
      </w:r>
    </w:p>
    <w:p>
      <w:pPr>
        <w:keepNext/>
        <w:keepLines/>
        <w:spacing w:before="156" w:after="156" w:line="400" w:lineRule="exact"/>
        <w:outlineLvl w:val="1"/>
        <w:rPr>
          <w:rFonts w:ascii="宋体"/>
          <w:b/>
          <w:bCs/>
          <w:color w:val="auto"/>
        </w:rPr>
      </w:pPr>
      <w:bookmarkStart w:id="1057" w:name="_Toc82882812"/>
      <w:bookmarkStart w:id="1058" w:name="_Toc7781"/>
      <w:bookmarkStart w:id="1059" w:name="_Toc25213"/>
      <w:r>
        <w:rPr>
          <w:rFonts w:ascii="宋体" w:hAnsi="宋体" w:cs="宋体"/>
          <w:b/>
          <w:bCs/>
          <w:color w:val="auto"/>
        </w:rPr>
        <w:t xml:space="preserve">5.3 </w:t>
      </w:r>
      <w:r>
        <w:rPr>
          <w:rFonts w:hint="eastAsia" w:ascii="宋体" w:hAnsi="宋体" w:cs="宋体"/>
          <w:b/>
          <w:bCs/>
          <w:color w:val="auto"/>
        </w:rPr>
        <w:t>培训要求（具体要求详见评分表）</w:t>
      </w:r>
      <w:bookmarkEnd w:id="1057"/>
      <w:bookmarkEnd w:id="1058"/>
      <w:bookmarkEnd w:id="1059"/>
    </w:p>
    <w:p>
      <w:pPr>
        <w:spacing w:before="156" w:after="156" w:line="400" w:lineRule="exact"/>
        <w:ind w:firstLine="484"/>
        <w:rPr>
          <w:rFonts w:ascii="宋体"/>
          <w:color w:val="auto"/>
        </w:rPr>
      </w:pPr>
      <w:r>
        <w:rPr>
          <w:rFonts w:hint="eastAsia" w:ascii="宋体" w:hAnsi="宋体" w:cs="宋体"/>
          <w:color w:val="auto"/>
        </w:rPr>
        <w:t>中标方必须向招标方提供免费培训，培训方式应包括理论培训和现场培训。中标方须针对不同的培训对象，在投标文件中提出全面、详细的培训计划，包括但不限于培训内容（硬件及软件部分操作过程）、培训时间、地点、授课老师等。</w:t>
      </w:r>
    </w:p>
    <w:p>
      <w:pPr>
        <w:spacing w:before="156" w:after="156" w:line="400" w:lineRule="exact"/>
        <w:ind w:firstLine="484"/>
        <w:rPr>
          <w:rFonts w:ascii="宋体"/>
          <w:color w:val="auto"/>
        </w:rPr>
      </w:pPr>
      <w:r>
        <w:rPr>
          <w:rFonts w:hint="eastAsia" w:ascii="宋体" w:hAnsi="宋体" w:cs="宋体"/>
          <w:color w:val="auto"/>
        </w:rPr>
        <w:t>中标方派出的培训教员应具备丰富的相同课程教学经验，所有的培训教员必须中文授课，中标方必须为所有被培训人员提供培训用文字资料和讲义等相关用品。</w:t>
      </w:r>
    </w:p>
    <w:p>
      <w:pPr>
        <w:spacing w:before="156" w:after="156" w:line="400" w:lineRule="exact"/>
        <w:ind w:firstLine="484"/>
        <w:rPr>
          <w:rFonts w:ascii="宋体"/>
          <w:color w:val="auto"/>
        </w:rPr>
      </w:pPr>
      <w:r>
        <w:rPr>
          <w:rFonts w:hint="eastAsia" w:ascii="宋体" w:hAnsi="宋体" w:cs="宋体"/>
          <w:color w:val="auto"/>
        </w:rPr>
        <w:t>中标方应按招标方约定合理地安排培训时间。</w:t>
      </w:r>
    </w:p>
    <w:p>
      <w:pPr>
        <w:keepNext/>
        <w:keepLines/>
        <w:spacing w:before="156" w:after="156" w:line="400" w:lineRule="exact"/>
        <w:outlineLvl w:val="1"/>
        <w:rPr>
          <w:rFonts w:ascii="宋体"/>
          <w:b/>
          <w:bCs/>
          <w:color w:val="auto"/>
        </w:rPr>
      </w:pPr>
      <w:bookmarkStart w:id="1060" w:name="_Toc82882813"/>
      <w:bookmarkStart w:id="1061" w:name="_Toc3908"/>
      <w:bookmarkStart w:id="1062" w:name="_Toc16839"/>
      <w:r>
        <w:rPr>
          <w:rFonts w:ascii="宋体" w:hAnsi="宋体" w:cs="宋体"/>
          <w:b/>
          <w:bCs/>
          <w:color w:val="auto"/>
        </w:rPr>
        <w:t xml:space="preserve">5.4 </w:t>
      </w:r>
      <w:r>
        <w:rPr>
          <w:rFonts w:hint="eastAsia" w:ascii="宋体" w:hAnsi="宋体" w:cs="宋体"/>
          <w:b/>
          <w:bCs/>
          <w:color w:val="auto"/>
        </w:rPr>
        <w:t>售后服务要求（具体要求详见评分表）</w:t>
      </w:r>
      <w:bookmarkEnd w:id="1060"/>
      <w:bookmarkEnd w:id="1061"/>
      <w:bookmarkEnd w:id="1062"/>
    </w:p>
    <w:p>
      <w:pPr>
        <w:spacing w:before="156" w:after="156" w:line="400" w:lineRule="exact"/>
        <w:ind w:firstLine="484"/>
        <w:rPr>
          <w:rFonts w:ascii="宋体"/>
          <w:color w:val="auto"/>
        </w:rPr>
      </w:pPr>
      <w:r>
        <w:rPr>
          <w:rFonts w:ascii="宋体" w:hAnsi="宋体" w:cs="宋体"/>
          <w:color w:val="auto"/>
        </w:rPr>
        <w:t>5.4.1</w:t>
      </w:r>
      <w:r>
        <w:rPr>
          <w:rFonts w:hint="eastAsia" w:ascii="宋体" w:hAnsi="宋体" w:cs="宋体"/>
          <w:color w:val="auto"/>
        </w:rPr>
        <w:t>投标方应具备与本项目匹配的服务能力，以响应招标人的技术服务要求。</w:t>
      </w:r>
    </w:p>
    <w:p>
      <w:pPr>
        <w:pStyle w:val="2"/>
        <w:ind w:firstLine="480"/>
        <w:rPr>
          <w:rFonts w:cs="Times New Roman"/>
          <w:color w:val="auto"/>
          <w:sz w:val="21"/>
          <w:szCs w:val="21"/>
        </w:rPr>
      </w:pPr>
      <w:r>
        <w:rPr>
          <w:rFonts w:hAnsi="宋体"/>
          <w:color w:val="auto"/>
          <w:sz w:val="21"/>
          <w:szCs w:val="21"/>
        </w:rPr>
        <w:t>5.4.2</w:t>
      </w:r>
      <w:r>
        <w:rPr>
          <w:rFonts w:hint="eastAsia" w:hAnsi="宋体"/>
          <w:color w:val="auto"/>
          <w:sz w:val="21"/>
          <w:szCs w:val="21"/>
        </w:rPr>
        <w:t>投标人应满足采购需求中所有硬件及软件技术指标要求，可高于但不得低于技术指标。</w:t>
      </w:r>
    </w:p>
    <w:p>
      <w:pPr>
        <w:spacing w:before="156" w:after="156" w:line="400" w:lineRule="exact"/>
        <w:ind w:firstLine="480"/>
        <w:rPr>
          <w:rFonts w:ascii="宋体"/>
          <w:color w:val="auto"/>
        </w:rPr>
      </w:pPr>
      <w:r>
        <w:rPr>
          <w:rFonts w:ascii="宋体" w:hAnsi="宋体" w:cs="宋体"/>
          <w:color w:val="auto"/>
        </w:rPr>
        <w:t>5.4.3</w:t>
      </w:r>
      <w:r>
        <w:rPr>
          <w:rFonts w:hint="eastAsia" w:ascii="宋体" w:hAnsi="宋体" w:cs="宋体"/>
          <w:color w:val="auto"/>
        </w:rPr>
        <w:t>承建厂家需承诺：所有硬件设备质保及维保</w:t>
      </w:r>
      <w:r>
        <w:rPr>
          <w:rFonts w:ascii="宋体" w:hAnsi="宋体" w:cs="宋体"/>
          <w:color w:val="auto"/>
        </w:rPr>
        <w:t>3</w:t>
      </w:r>
      <w:r>
        <w:rPr>
          <w:rFonts w:hint="eastAsia" w:ascii="宋体" w:hAnsi="宋体" w:cs="宋体"/>
          <w:color w:val="auto"/>
        </w:rPr>
        <w:t>年。所有软件验收后免费质保</w:t>
      </w:r>
      <w:r>
        <w:rPr>
          <w:rFonts w:ascii="宋体" w:hAnsi="宋体" w:cs="宋体"/>
          <w:color w:val="auto"/>
        </w:rPr>
        <w:t>1</w:t>
      </w:r>
      <w:r>
        <w:rPr>
          <w:rFonts w:hint="eastAsia" w:ascii="宋体" w:hAnsi="宋体" w:cs="宋体"/>
          <w:color w:val="auto"/>
        </w:rPr>
        <w:t>年。</w:t>
      </w:r>
    </w:p>
    <w:p>
      <w:pPr>
        <w:tabs>
          <w:tab w:val="left" w:pos="540"/>
          <w:tab w:val="left" w:pos="839"/>
        </w:tabs>
        <w:spacing w:before="156" w:after="156" w:line="400" w:lineRule="exact"/>
        <w:ind w:firstLine="480"/>
        <w:rPr>
          <w:rFonts w:ascii="宋体"/>
          <w:color w:val="auto"/>
        </w:rPr>
      </w:pPr>
      <w:r>
        <w:rPr>
          <w:rFonts w:ascii="宋体" w:hAnsi="宋体" w:cs="宋体"/>
          <w:color w:val="auto"/>
        </w:rPr>
        <w:t>5.4.4</w:t>
      </w:r>
      <w:r>
        <w:rPr>
          <w:rFonts w:hint="eastAsia" w:ascii="宋体" w:hAnsi="宋体" w:cs="宋体"/>
          <w:color w:val="auto"/>
        </w:rPr>
        <w:t>工程建设期间及质保期均属于免费服务期，该期限内的所有售后服务，包括软件维护所产生的费用均由中标方承担。</w:t>
      </w:r>
    </w:p>
    <w:p>
      <w:pPr>
        <w:spacing w:before="156" w:after="156" w:line="400" w:lineRule="exact"/>
        <w:ind w:firstLine="480"/>
        <w:rPr>
          <w:rFonts w:ascii="宋体"/>
          <w:color w:val="auto"/>
        </w:rPr>
      </w:pPr>
      <w:r>
        <w:rPr>
          <w:rFonts w:ascii="宋体" w:hAnsi="宋体" w:cs="宋体"/>
          <w:color w:val="auto"/>
        </w:rPr>
        <w:t>5.4.5</w:t>
      </w:r>
      <w:r>
        <w:rPr>
          <w:rFonts w:hint="eastAsia" w:ascii="宋体" w:hAnsi="宋体" w:cs="宋体"/>
          <w:color w:val="auto"/>
        </w:rPr>
        <w:t>响应时间：中标方在投标文件中必须明确承诺售后服务响应时间，并不得低于以下标准：承建厂家需在项目所在地有专业的驻场实施工程师，提供</w:t>
      </w:r>
      <w:r>
        <w:rPr>
          <w:rFonts w:ascii="宋体" w:hAnsi="宋体" w:cs="宋体"/>
          <w:color w:val="auto"/>
        </w:rPr>
        <w:t>7</w:t>
      </w:r>
      <w:r>
        <w:rPr>
          <w:rFonts w:hint="eastAsia" w:ascii="宋体" w:hAnsi="宋体" w:cs="宋体"/>
          <w:color w:val="auto"/>
        </w:rPr>
        <w:t>×</w:t>
      </w:r>
      <w:r>
        <w:rPr>
          <w:rFonts w:ascii="宋体" w:hAnsi="宋体" w:cs="宋体"/>
          <w:color w:val="auto"/>
        </w:rPr>
        <w:t>24</w:t>
      </w:r>
      <w:r>
        <w:rPr>
          <w:rFonts w:hint="eastAsia" w:ascii="宋体" w:hAnsi="宋体" w:cs="宋体"/>
          <w:color w:val="auto"/>
        </w:rPr>
        <w:t>电话或电子邮件服务，若系统出现问题，工程师需保证</w:t>
      </w:r>
      <w:r>
        <w:rPr>
          <w:rFonts w:ascii="宋体" w:hAnsi="宋体" w:cs="宋体"/>
          <w:color w:val="auto"/>
        </w:rPr>
        <w:t>2</w:t>
      </w:r>
      <w:r>
        <w:rPr>
          <w:rFonts w:hint="eastAsia" w:ascii="宋体" w:hAnsi="宋体" w:cs="宋体"/>
          <w:color w:val="auto"/>
        </w:rPr>
        <w:t>小时内响应并到达现场，最迟</w:t>
      </w:r>
      <w:r>
        <w:rPr>
          <w:rFonts w:ascii="宋体" w:hAnsi="宋体" w:cs="宋体"/>
          <w:color w:val="auto"/>
        </w:rPr>
        <w:t>4</w:t>
      </w:r>
      <w:r>
        <w:rPr>
          <w:rFonts w:hint="eastAsia" w:ascii="宋体" w:hAnsi="宋体" w:cs="宋体"/>
          <w:color w:val="auto"/>
        </w:rPr>
        <w:t>小时内解决问题。</w:t>
      </w:r>
    </w:p>
    <w:p>
      <w:pPr>
        <w:tabs>
          <w:tab w:val="left" w:pos="540"/>
          <w:tab w:val="left" w:pos="839"/>
        </w:tabs>
        <w:spacing w:before="156" w:after="156" w:line="400" w:lineRule="exact"/>
        <w:ind w:firstLine="480"/>
        <w:rPr>
          <w:rFonts w:ascii="宋体"/>
          <w:color w:val="auto"/>
        </w:rPr>
      </w:pPr>
      <w:r>
        <w:rPr>
          <w:rFonts w:ascii="宋体" w:hAnsi="宋体" w:cs="宋体"/>
          <w:color w:val="auto"/>
        </w:rPr>
        <w:t>5.4.6</w:t>
      </w:r>
      <w:r>
        <w:rPr>
          <w:rFonts w:hint="eastAsia" w:ascii="宋体" w:hAnsi="宋体" w:cs="宋体"/>
          <w:color w:val="auto"/>
        </w:rPr>
        <w:t>中标方在质保期满后向招标方提供如质保期内的售后服务，并经双方协商后收取相应费用。</w:t>
      </w:r>
    </w:p>
    <w:p>
      <w:pPr>
        <w:spacing w:before="156" w:after="156" w:line="400" w:lineRule="exact"/>
        <w:ind w:firstLine="480"/>
        <w:rPr>
          <w:rFonts w:ascii="宋体"/>
          <w:color w:val="auto"/>
        </w:rPr>
      </w:pPr>
      <w:r>
        <w:rPr>
          <w:rFonts w:ascii="宋体" w:hAnsi="宋体" w:cs="宋体"/>
          <w:color w:val="auto"/>
        </w:rPr>
        <w:t>5.4.7</w:t>
      </w:r>
      <w:r>
        <w:rPr>
          <w:rFonts w:hint="eastAsia" w:ascii="宋体" w:hAnsi="宋体" w:cs="宋体"/>
          <w:color w:val="auto"/>
        </w:rPr>
        <w:t>若后期国家医保政策发生改变，</w:t>
      </w:r>
      <w:r>
        <w:rPr>
          <w:rFonts w:ascii="宋体" w:hAnsi="宋体" w:cs="宋体"/>
          <w:color w:val="auto"/>
        </w:rPr>
        <w:t>HIS</w:t>
      </w:r>
      <w:r>
        <w:rPr>
          <w:rFonts w:hint="eastAsia" w:ascii="宋体" w:hAnsi="宋体" w:cs="宋体"/>
          <w:color w:val="auto"/>
        </w:rPr>
        <w:t>系统需要及时响应并对医院系统进行升级，使医院发展跟国家政策保持在同一路线。</w:t>
      </w:r>
    </w:p>
    <w:p>
      <w:pPr>
        <w:spacing w:before="156" w:after="156" w:line="400" w:lineRule="exact"/>
        <w:ind w:firstLine="480"/>
        <w:rPr>
          <w:rFonts w:ascii="宋体"/>
          <w:color w:val="auto"/>
        </w:rPr>
      </w:pPr>
      <w:r>
        <w:rPr>
          <w:rFonts w:ascii="宋体" w:hAnsi="宋体" w:cs="宋体"/>
          <w:color w:val="auto"/>
        </w:rPr>
        <w:t>5.4.8</w:t>
      </w:r>
      <w:r>
        <w:rPr>
          <w:rFonts w:hint="eastAsia" w:ascii="宋体" w:hAnsi="宋体" w:cs="宋体"/>
          <w:color w:val="auto"/>
        </w:rPr>
        <w:t>医院现有检查检验设备，</w:t>
      </w:r>
      <w:r>
        <w:rPr>
          <w:rFonts w:ascii="宋体" w:hAnsi="宋体" w:cs="宋体"/>
          <w:color w:val="auto"/>
        </w:rPr>
        <w:t>HIS</w:t>
      </w:r>
      <w:r>
        <w:rPr>
          <w:rFonts w:hint="eastAsia" w:ascii="宋体" w:hAnsi="宋体" w:cs="宋体"/>
          <w:color w:val="auto"/>
        </w:rPr>
        <w:t>、</w:t>
      </w:r>
      <w:r>
        <w:rPr>
          <w:rFonts w:ascii="宋体" w:hAnsi="宋体" w:cs="宋体"/>
          <w:color w:val="auto"/>
        </w:rPr>
        <w:t>LIS</w:t>
      </w:r>
      <w:r>
        <w:rPr>
          <w:rFonts w:hint="eastAsia" w:ascii="宋体" w:hAnsi="宋体" w:cs="宋体"/>
          <w:color w:val="auto"/>
        </w:rPr>
        <w:t>、</w:t>
      </w:r>
      <w:r>
        <w:rPr>
          <w:rFonts w:ascii="宋体" w:hAnsi="宋体" w:cs="宋体"/>
          <w:color w:val="auto"/>
        </w:rPr>
        <w:t>PACS</w:t>
      </w:r>
      <w:r>
        <w:rPr>
          <w:rFonts w:hint="eastAsia" w:ascii="宋体" w:hAnsi="宋体" w:cs="宋体"/>
          <w:color w:val="auto"/>
        </w:rPr>
        <w:t>系统需免费对接，后续医院若有新增设备可根据实际工作量另行收取费用。</w:t>
      </w:r>
    </w:p>
    <w:p>
      <w:pPr>
        <w:spacing w:before="156" w:after="156" w:line="400" w:lineRule="exact"/>
        <w:ind w:firstLine="480"/>
        <w:rPr>
          <w:rFonts w:ascii="宋体"/>
          <w:color w:val="auto"/>
        </w:rPr>
      </w:pPr>
      <w:r>
        <w:rPr>
          <w:rFonts w:ascii="宋体" w:hAnsi="宋体" w:cs="宋体"/>
          <w:color w:val="auto"/>
        </w:rPr>
        <w:t>5.4.9</w:t>
      </w:r>
      <w:r>
        <w:rPr>
          <w:rFonts w:hint="eastAsia" w:ascii="宋体" w:hAnsi="宋体" w:cs="宋体"/>
          <w:color w:val="auto"/>
        </w:rPr>
        <w:t>为更好的保质保量完工且更好的为患者做好服务，要求医院信息管理系统的原厂商参与项目实施工作并且在项目所在地有驻场人员等。</w:t>
      </w:r>
    </w:p>
    <w:p>
      <w:pPr>
        <w:spacing w:before="156" w:after="156" w:line="400" w:lineRule="exact"/>
        <w:ind w:firstLine="480"/>
        <w:rPr>
          <w:rFonts w:ascii="宋体"/>
          <w:color w:val="auto"/>
        </w:rPr>
      </w:pPr>
      <w:r>
        <w:rPr>
          <w:rFonts w:ascii="宋体" w:hAnsi="宋体" w:cs="宋体"/>
          <w:color w:val="auto"/>
        </w:rPr>
        <w:t>5.4.9</w:t>
      </w:r>
      <w:r>
        <w:rPr>
          <w:rFonts w:hint="eastAsia" w:ascii="宋体" w:hAnsi="宋体" w:cs="宋体"/>
          <w:color w:val="auto"/>
        </w:rPr>
        <w:t>投标人或软件产品供应商在新疆设有售后服务机构，以提供的本地分公司营业执照、或授权服务合作协议、或租房合同的复印件为准；为了更好的做好售后服务，提供医院所在地本地服务人员。</w:t>
      </w:r>
    </w:p>
    <w:p>
      <w:pPr>
        <w:pStyle w:val="9"/>
        <w:ind w:firstLine="420" w:firstLineChars="200"/>
        <w:rPr>
          <w:rFonts w:cs="Times New Roman"/>
          <w:color w:val="auto"/>
          <w:sz w:val="21"/>
          <w:szCs w:val="21"/>
        </w:rPr>
      </w:pPr>
      <w:r>
        <w:rPr>
          <w:color w:val="auto"/>
          <w:sz w:val="21"/>
          <w:szCs w:val="21"/>
        </w:rPr>
        <w:t>5.4.10</w:t>
      </w:r>
      <w:r>
        <w:rPr>
          <w:rFonts w:hint="eastAsia"/>
          <w:color w:val="auto"/>
          <w:sz w:val="21"/>
          <w:szCs w:val="21"/>
        </w:rPr>
        <w:t>为了更好的做好售后服务，供应商提供本地的服务人员。</w:t>
      </w:r>
    </w:p>
    <w:p>
      <w:pPr>
        <w:keepNext/>
        <w:keepLines/>
        <w:spacing w:before="156" w:after="156" w:line="400" w:lineRule="exact"/>
        <w:outlineLvl w:val="1"/>
        <w:rPr>
          <w:rFonts w:ascii="宋体"/>
          <w:b/>
          <w:bCs/>
          <w:color w:val="auto"/>
        </w:rPr>
      </w:pPr>
      <w:bookmarkStart w:id="1063" w:name="_Toc32513"/>
      <w:bookmarkStart w:id="1064" w:name="_Toc30206"/>
      <w:bookmarkStart w:id="1065" w:name="_Toc82882814"/>
      <w:r>
        <w:rPr>
          <w:rFonts w:ascii="宋体" w:hAnsi="宋体" w:cs="宋体"/>
          <w:b/>
          <w:bCs/>
          <w:color w:val="auto"/>
        </w:rPr>
        <w:t xml:space="preserve">5.5  </w:t>
      </w:r>
      <w:r>
        <w:rPr>
          <w:rFonts w:hint="eastAsia" w:ascii="宋体" w:hAnsi="宋体" w:cs="宋体"/>
          <w:b/>
          <w:bCs/>
          <w:color w:val="auto"/>
        </w:rPr>
        <w:t>文档要求</w:t>
      </w:r>
      <w:bookmarkEnd w:id="1063"/>
      <w:bookmarkEnd w:id="1064"/>
      <w:bookmarkEnd w:id="1065"/>
    </w:p>
    <w:p>
      <w:pPr>
        <w:tabs>
          <w:tab w:val="left" w:pos="540"/>
          <w:tab w:val="left" w:pos="839"/>
        </w:tabs>
        <w:spacing w:before="156" w:after="156" w:line="400" w:lineRule="exact"/>
        <w:ind w:firstLine="480"/>
        <w:rPr>
          <w:rFonts w:ascii="宋体"/>
          <w:color w:val="auto"/>
        </w:rPr>
      </w:pPr>
      <w:r>
        <w:rPr>
          <w:rFonts w:hint="eastAsia" w:ascii="宋体" w:hAnsi="宋体" w:cs="宋体"/>
          <w:color w:val="auto"/>
        </w:rPr>
        <w:t>中标人必须提供完整的软件安装、操作、使用、测试、控制和维护手册。</w:t>
      </w:r>
    </w:p>
    <w:p>
      <w:pPr>
        <w:spacing w:line="560" w:lineRule="exact"/>
        <w:rPr>
          <w:rFonts w:ascii="宋体"/>
          <w:b/>
          <w:bCs/>
          <w:color w:val="auto"/>
        </w:rPr>
      </w:pPr>
      <w:r>
        <w:rPr>
          <w:rFonts w:ascii="宋体" w:hAnsi="宋体" w:cs="宋体"/>
          <w:b/>
          <w:bCs/>
          <w:color w:val="auto"/>
        </w:rPr>
        <w:t xml:space="preserve">5.6  </w:t>
      </w:r>
      <w:r>
        <w:rPr>
          <w:rFonts w:hint="eastAsia" w:ascii="宋体" w:hAnsi="宋体" w:cs="宋体"/>
          <w:b/>
          <w:bCs/>
          <w:color w:val="auto"/>
        </w:rPr>
        <w:t>所招设备的质量要求</w:t>
      </w:r>
    </w:p>
    <w:p>
      <w:pPr>
        <w:spacing w:line="560" w:lineRule="exact"/>
        <w:ind w:firstLine="420" w:firstLineChars="200"/>
        <w:rPr>
          <w:rFonts w:ascii="宋体"/>
          <w:color w:val="auto"/>
        </w:rPr>
      </w:pPr>
      <w:r>
        <w:rPr>
          <w:rFonts w:ascii="宋体" w:hAnsi="宋体" w:cs="宋体"/>
          <w:color w:val="auto"/>
        </w:rPr>
        <w:t>5.6.1</w:t>
      </w:r>
      <w:r>
        <w:rPr>
          <w:rFonts w:hint="eastAsia" w:ascii="宋体" w:hAnsi="宋体" w:cs="宋体"/>
          <w:color w:val="auto"/>
        </w:rPr>
        <w:t>提供所投设备的技术支持文件，必须为所投设备制造商官方公开发行的技术资料，内容应完整明确</w:t>
      </w:r>
      <w:r>
        <w:rPr>
          <w:rFonts w:ascii="宋体" w:hAnsi="宋体" w:cs="宋体"/>
          <w:color w:val="auto"/>
        </w:rPr>
        <w:t>(</w:t>
      </w:r>
      <w:r>
        <w:rPr>
          <w:rFonts w:hint="eastAsia" w:ascii="宋体" w:hAnsi="宋体" w:cs="宋体"/>
          <w:color w:val="auto"/>
        </w:rPr>
        <w:t>包括详细的技术参数描述、配置情况说明等</w:t>
      </w:r>
      <w:r>
        <w:rPr>
          <w:rFonts w:ascii="宋体" w:hAnsi="宋体" w:cs="宋体"/>
          <w:color w:val="auto"/>
        </w:rPr>
        <w:t>)</w:t>
      </w:r>
      <w:r>
        <w:rPr>
          <w:rFonts w:hint="eastAsia" w:ascii="宋体" w:hAnsi="宋体" w:cs="宋体"/>
          <w:color w:val="auto"/>
        </w:rPr>
        <w:t>。</w:t>
      </w:r>
    </w:p>
    <w:p>
      <w:pPr>
        <w:spacing w:line="560" w:lineRule="exact"/>
        <w:ind w:firstLine="420" w:firstLineChars="200"/>
        <w:rPr>
          <w:rFonts w:ascii="宋体"/>
          <w:color w:val="auto"/>
        </w:rPr>
      </w:pPr>
      <w:r>
        <w:rPr>
          <w:rFonts w:ascii="宋体" w:hAnsi="宋体" w:cs="宋体"/>
          <w:color w:val="auto"/>
        </w:rPr>
        <w:t>5.6.2</w:t>
      </w:r>
      <w:r>
        <w:rPr>
          <w:rFonts w:hint="eastAsia" w:ascii="宋体" w:hAnsi="宋体" w:cs="宋体"/>
          <w:color w:val="auto"/>
        </w:rPr>
        <w:t>投标商在制作投标文件时，根据自己所投货物实际指标来撰写响应于招标文件要求的指标。</w:t>
      </w:r>
    </w:p>
    <w:p>
      <w:pPr>
        <w:spacing w:line="560" w:lineRule="exact"/>
        <w:ind w:firstLine="422" w:firstLineChars="200"/>
        <w:rPr>
          <w:rFonts w:ascii="宋体"/>
          <w:b/>
          <w:bCs/>
          <w:color w:val="auto"/>
        </w:rPr>
      </w:pPr>
      <w:r>
        <w:rPr>
          <w:rFonts w:ascii="宋体" w:hAnsi="宋体" w:cs="宋体"/>
          <w:b/>
          <w:bCs/>
          <w:color w:val="auto"/>
        </w:rPr>
        <w:t>5.6.3</w:t>
      </w:r>
      <w:r>
        <w:rPr>
          <w:rFonts w:hint="eastAsia" w:ascii="宋体" w:hAnsi="宋体" w:cs="宋体"/>
          <w:b/>
          <w:bCs/>
          <w:color w:val="auto"/>
        </w:rPr>
        <w:t>投标商需进行本项目现场踏勘，了解妇幼保健院建设情况及要求，根据现场踏勘的情况提供项目总体设计简易草图。简易草图要求设计点位全面、结构清晰、布局合理、可操作性强。踏勘于开标时间前</w:t>
      </w:r>
      <w:r>
        <w:rPr>
          <w:rFonts w:ascii="宋体" w:hAnsi="宋体" w:cs="宋体"/>
          <w:b/>
          <w:bCs/>
          <w:color w:val="auto"/>
        </w:rPr>
        <w:t>10</w:t>
      </w:r>
      <w:r>
        <w:rPr>
          <w:rFonts w:hint="eastAsia" w:ascii="宋体" w:hAnsi="宋体" w:cs="宋体"/>
          <w:b/>
          <w:bCs/>
          <w:color w:val="auto"/>
        </w:rPr>
        <w:t>天内完成。</w:t>
      </w:r>
    </w:p>
    <w:p>
      <w:pPr>
        <w:spacing w:line="560" w:lineRule="exact"/>
        <w:ind w:firstLine="422" w:firstLineChars="200"/>
        <w:rPr>
          <w:rFonts w:ascii="宋体"/>
          <w:b/>
          <w:bCs/>
          <w:color w:val="auto"/>
        </w:rPr>
      </w:pPr>
      <w:r>
        <w:rPr>
          <w:rFonts w:hint="eastAsia" w:ascii="宋体" w:hAnsi="宋体" w:cs="宋体"/>
          <w:b/>
          <w:bCs/>
          <w:color w:val="auto"/>
        </w:rPr>
        <w:t>联系人：阿布都拉江；联系电话：</w:t>
      </w:r>
      <w:r>
        <w:rPr>
          <w:rFonts w:ascii="宋体" w:hAnsi="宋体" w:cs="宋体"/>
          <w:b/>
          <w:bCs/>
          <w:color w:val="auto"/>
        </w:rPr>
        <w:t>13657550708</w:t>
      </w:r>
      <w:r>
        <w:rPr>
          <w:rFonts w:hint="eastAsia" w:ascii="宋体" w:hAnsi="宋体" w:cs="宋体"/>
          <w:b/>
          <w:bCs/>
          <w:color w:val="auto"/>
        </w:rPr>
        <w:t>。（具体要求详见评分表）</w:t>
      </w:r>
    </w:p>
    <w:p>
      <w:pPr>
        <w:spacing w:line="560" w:lineRule="exact"/>
        <w:rPr>
          <w:rFonts w:ascii="宋体"/>
          <w:b/>
          <w:bCs/>
          <w:color w:val="auto"/>
        </w:rPr>
      </w:pPr>
      <w:r>
        <w:rPr>
          <w:rFonts w:ascii="宋体" w:hAnsi="宋体" w:cs="宋体"/>
          <w:b/>
          <w:bCs/>
          <w:color w:val="auto"/>
        </w:rPr>
        <w:t xml:space="preserve">5.7  </w:t>
      </w:r>
      <w:r>
        <w:rPr>
          <w:rFonts w:hint="eastAsia" w:ascii="宋体" w:hAnsi="宋体" w:cs="宋体"/>
          <w:b/>
          <w:bCs/>
          <w:color w:val="auto"/>
        </w:rPr>
        <w:t>设备性能要求</w:t>
      </w:r>
    </w:p>
    <w:p>
      <w:pPr>
        <w:spacing w:line="560" w:lineRule="exact"/>
        <w:ind w:firstLine="420" w:firstLineChars="200"/>
        <w:rPr>
          <w:rFonts w:ascii="宋体"/>
          <w:color w:val="auto"/>
        </w:rPr>
      </w:pPr>
      <w:r>
        <w:rPr>
          <w:rFonts w:ascii="宋体" w:hAnsi="宋体" w:cs="宋体"/>
          <w:color w:val="auto"/>
        </w:rPr>
        <w:t>5.7.1</w:t>
      </w:r>
      <w:r>
        <w:rPr>
          <w:rFonts w:hint="eastAsia" w:ascii="宋体" w:hAnsi="宋体" w:cs="宋体"/>
          <w:color w:val="auto"/>
        </w:rPr>
        <w:t>凡技术参数指标中若有指向某品牌的指标描述均为参考指标。</w:t>
      </w:r>
    </w:p>
    <w:p>
      <w:pPr>
        <w:spacing w:line="560" w:lineRule="exact"/>
        <w:ind w:firstLine="420" w:firstLineChars="200"/>
        <w:rPr>
          <w:rFonts w:ascii="宋体"/>
          <w:color w:val="auto"/>
        </w:rPr>
      </w:pPr>
      <w:r>
        <w:rPr>
          <w:rFonts w:ascii="宋体" w:hAnsi="宋体" w:cs="宋体"/>
          <w:color w:val="auto"/>
        </w:rPr>
        <w:t>5.7.2</w:t>
      </w:r>
      <w:r>
        <w:rPr>
          <w:rFonts w:hint="eastAsia" w:ascii="宋体" w:hAnsi="宋体" w:cs="宋体"/>
          <w:color w:val="auto"/>
        </w:rPr>
        <w:t>满足技术性能指标的供应商可根据相应设备选择设备品牌型号。</w:t>
      </w:r>
    </w:p>
    <w:p>
      <w:pPr>
        <w:spacing w:line="560" w:lineRule="exact"/>
        <w:ind w:firstLine="420" w:firstLineChars="200"/>
        <w:rPr>
          <w:color w:val="auto"/>
        </w:rPr>
      </w:pPr>
      <w:r>
        <w:rPr>
          <w:rFonts w:ascii="宋体" w:hAnsi="宋体" w:cs="宋体"/>
          <w:color w:val="auto"/>
        </w:rPr>
        <w:t>5.7.3</w:t>
      </w:r>
      <w:r>
        <w:rPr>
          <w:rFonts w:hint="eastAsia" w:ascii="宋体" w:hAnsi="宋体" w:cs="宋体"/>
          <w:color w:val="auto"/>
        </w:rPr>
        <w:t>技术参数中存在“正偏离”需设备真实图和说明。未提供的不得作为正偏离。</w:t>
      </w:r>
    </w:p>
    <w:p>
      <w:pPr>
        <w:keepNext/>
        <w:keepLines/>
        <w:spacing w:before="156" w:after="156" w:line="400" w:lineRule="exact"/>
        <w:outlineLvl w:val="1"/>
        <w:rPr>
          <w:rFonts w:ascii="宋体"/>
          <w:b/>
          <w:bCs/>
          <w:color w:val="auto"/>
        </w:rPr>
      </w:pPr>
      <w:bookmarkStart w:id="1066" w:name="_Toc2723"/>
      <w:bookmarkStart w:id="1067" w:name="_Toc275"/>
      <w:bookmarkStart w:id="1068" w:name="_Toc82882815"/>
      <w:r>
        <w:rPr>
          <w:rFonts w:ascii="宋体" w:hAnsi="宋体" w:cs="宋体"/>
          <w:b/>
          <w:bCs/>
          <w:color w:val="auto"/>
        </w:rPr>
        <w:t xml:space="preserve">5.8  </w:t>
      </w:r>
      <w:r>
        <w:rPr>
          <w:rFonts w:hint="eastAsia" w:ascii="宋体" w:hAnsi="宋体" w:cs="宋体"/>
          <w:b/>
          <w:bCs/>
          <w:color w:val="auto"/>
        </w:rPr>
        <w:t>其他要求：（具体要求详见评分表）</w:t>
      </w:r>
      <w:bookmarkEnd w:id="1066"/>
      <w:bookmarkEnd w:id="1067"/>
      <w:bookmarkEnd w:id="1068"/>
    </w:p>
    <w:p>
      <w:pPr>
        <w:spacing w:line="560" w:lineRule="exact"/>
        <w:ind w:firstLine="420" w:firstLineChars="200"/>
        <w:rPr>
          <w:rFonts w:ascii="宋体"/>
          <w:color w:val="auto"/>
        </w:rPr>
      </w:pPr>
      <w:r>
        <w:rPr>
          <w:rFonts w:ascii="宋体" w:hAnsi="宋体" w:cs="宋体"/>
          <w:color w:val="auto"/>
        </w:rPr>
        <w:t xml:space="preserve">5.8.1 </w:t>
      </w:r>
      <w:r>
        <w:rPr>
          <w:rFonts w:hint="eastAsia" w:ascii="宋体" w:hAnsi="宋体" w:cs="宋体"/>
          <w:color w:val="auto"/>
        </w:rPr>
        <w:t>投标人或软件产品供应商提供检验管理系统、医学影像管理系统、门诊医生工作站、住院医护工作站、电子病历编辑器、病历质量控制、临床路径、处方点评等软件功能开发证明文件，电子与智能化工程专业承包资质、通信工程施工总承包资质。</w:t>
      </w:r>
    </w:p>
    <w:p>
      <w:pPr>
        <w:spacing w:line="560" w:lineRule="exact"/>
        <w:ind w:firstLine="420" w:firstLineChars="200"/>
        <w:rPr>
          <w:rFonts w:ascii="宋体"/>
          <w:color w:val="auto"/>
        </w:rPr>
      </w:pPr>
      <w:r>
        <w:rPr>
          <w:rFonts w:ascii="宋体" w:hAnsi="宋体" w:cs="宋体"/>
          <w:color w:val="auto"/>
        </w:rPr>
        <w:t xml:space="preserve">5.8.2 </w:t>
      </w:r>
      <w:r>
        <w:rPr>
          <w:rFonts w:hint="eastAsia" w:ascii="宋体" w:hAnsi="宋体" w:cs="宋体"/>
          <w:color w:val="auto"/>
        </w:rPr>
        <w:t>投标人或软件产品供应商需提供近三年类似项目的业绩。</w:t>
      </w:r>
    </w:p>
    <w:p>
      <w:pPr>
        <w:spacing w:line="560" w:lineRule="exact"/>
        <w:ind w:firstLine="420" w:firstLineChars="200"/>
        <w:rPr>
          <w:rFonts w:ascii="宋体"/>
          <w:color w:val="auto"/>
        </w:rPr>
      </w:pPr>
      <w:r>
        <w:rPr>
          <w:rFonts w:ascii="宋体" w:hAnsi="宋体" w:cs="宋体"/>
          <w:color w:val="auto"/>
        </w:rPr>
        <w:t>5.8.3</w:t>
      </w:r>
      <w:r>
        <w:rPr>
          <w:rFonts w:hint="eastAsia" w:ascii="宋体" w:hAnsi="宋体" w:cs="宋体"/>
          <w:color w:val="auto"/>
        </w:rPr>
        <w:t>投标人或软件产品供应商拟派的项目经理具有信息系统项目管理师（高级）及高级工程师资质，参与并具有担任同等规模二级医院或以上信息化项目经理经验，且需提供上述人员资质证书、项目经验证明及简历表。</w:t>
      </w:r>
    </w:p>
    <w:p>
      <w:pPr>
        <w:spacing w:line="560" w:lineRule="exact"/>
        <w:ind w:firstLine="420" w:firstLineChars="200"/>
        <w:rPr>
          <w:rFonts w:ascii="宋体"/>
          <w:color w:val="auto"/>
        </w:rPr>
      </w:pPr>
      <w:r>
        <w:rPr>
          <w:rFonts w:ascii="宋体" w:hAnsi="宋体" w:cs="宋体"/>
          <w:color w:val="auto"/>
        </w:rPr>
        <w:t>5.8.4</w:t>
      </w:r>
      <w:r>
        <w:rPr>
          <w:rFonts w:hint="eastAsia" w:ascii="宋体" w:hAnsi="宋体" w:cs="宋体"/>
          <w:color w:val="auto"/>
        </w:rPr>
        <w:t>投标人或软件产品供应商派驻的项目实施小组成员应不少于以下配置：系统分析师</w:t>
      </w:r>
      <w:r>
        <w:rPr>
          <w:rFonts w:ascii="宋体" w:hAnsi="宋体" w:cs="宋体"/>
          <w:color w:val="auto"/>
        </w:rPr>
        <w:t>1</w:t>
      </w:r>
      <w:r>
        <w:rPr>
          <w:rFonts w:hint="eastAsia" w:ascii="宋体" w:hAnsi="宋体" w:cs="宋体"/>
          <w:color w:val="auto"/>
        </w:rPr>
        <w:t>名、系统架构师</w:t>
      </w:r>
      <w:r>
        <w:rPr>
          <w:rFonts w:ascii="宋体" w:hAnsi="宋体" w:cs="宋体"/>
          <w:color w:val="auto"/>
        </w:rPr>
        <w:t>1</w:t>
      </w:r>
      <w:r>
        <w:rPr>
          <w:rFonts w:hint="eastAsia" w:ascii="宋体" w:hAnsi="宋体" w:cs="宋体"/>
          <w:color w:val="auto"/>
        </w:rPr>
        <w:t>名、软件设计师</w:t>
      </w:r>
      <w:r>
        <w:rPr>
          <w:rFonts w:ascii="宋体" w:hAnsi="宋体" w:cs="宋体"/>
          <w:color w:val="auto"/>
        </w:rPr>
        <w:t>3</w:t>
      </w:r>
      <w:r>
        <w:rPr>
          <w:rFonts w:hint="eastAsia" w:ascii="宋体" w:hAnsi="宋体" w:cs="宋体"/>
          <w:color w:val="auto"/>
        </w:rPr>
        <w:t>名、网络工程师</w:t>
      </w:r>
      <w:r>
        <w:rPr>
          <w:rFonts w:ascii="宋体" w:hAnsi="宋体" w:cs="宋体"/>
          <w:color w:val="auto"/>
        </w:rPr>
        <w:t>1</w:t>
      </w:r>
      <w:r>
        <w:rPr>
          <w:rFonts w:hint="eastAsia" w:ascii="宋体" w:hAnsi="宋体" w:cs="宋体"/>
          <w:color w:val="auto"/>
        </w:rPr>
        <w:t>名、数据库系统工程师</w:t>
      </w:r>
      <w:r>
        <w:rPr>
          <w:rFonts w:ascii="宋体" w:hAnsi="宋体" w:cs="宋体"/>
          <w:color w:val="auto"/>
        </w:rPr>
        <w:t>1</w:t>
      </w:r>
      <w:r>
        <w:rPr>
          <w:rFonts w:hint="eastAsia" w:ascii="宋体" w:hAnsi="宋体" w:cs="宋体"/>
          <w:color w:val="auto"/>
        </w:rPr>
        <w:t>名和测试工程师</w:t>
      </w:r>
      <w:r>
        <w:rPr>
          <w:rFonts w:ascii="宋体" w:hAnsi="宋体" w:cs="宋体"/>
          <w:color w:val="auto"/>
        </w:rPr>
        <w:t>1</w:t>
      </w:r>
      <w:r>
        <w:rPr>
          <w:rFonts w:hint="eastAsia" w:ascii="宋体" w:hAnsi="宋体" w:cs="宋体"/>
          <w:color w:val="auto"/>
        </w:rPr>
        <w:t>名。需提供在上述人员资质证书及人员名单。</w:t>
      </w:r>
    </w:p>
    <w:p>
      <w:pPr>
        <w:spacing w:line="560" w:lineRule="exact"/>
        <w:ind w:firstLine="422" w:firstLineChars="200"/>
        <w:rPr>
          <w:rFonts w:ascii="宋体"/>
          <w:b/>
          <w:bCs/>
          <w:color w:val="auto"/>
        </w:rPr>
      </w:pPr>
      <w:r>
        <w:rPr>
          <w:rFonts w:ascii="宋体" w:hAnsi="宋体" w:cs="宋体"/>
          <w:b/>
          <w:bCs/>
          <w:color w:val="auto"/>
        </w:rPr>
        <w:t>5.8.5</w:t>
      </w:r>
      <w:r>
        <w:rPr>
          <w:rFonts w:hint="eastAsia" w:ascii="宋体" w:hAnsi="宋体" w:cs="宋体"/>
          <w:b/>
          <w:bCs/>
          <w:color w:val="auto"/>
        </w:rPr>
        <w:t>演示时间限制十五分钟之内，投标方需将所演示产品（智能预问诊系统）内容录制成视频，视频内容需有第三人称讲解演示内容。储存于</w:t>
      </w:r>
      <w:r>
        <w:rPr>
          <w:rFonts w:ascii="宋体" w:hAnsi="宋体" w:cs="宋体"/>
          <w:b/>
          <w:bCs/>
          <w:color w:val="auto"/>
        </w:rPr>
        <w:t>U</w:t>
      </w:r>
      <w:r>
        <w:rPr>
          <w:rFonts w:hint="eastAsia" w:ascii="宋体" w:hAnsi="宋体" w:cs="宋体"/>
          <w:b/>
          <w:bCs/>
          <w:color w:val="auto"/>
        </w:rPr>
        <w:t>盘或光盘中，于截标时间前同投标文件一起递交，</w:t>
      </w:r>
      <w:r>
        <w:rPr>
          <w:rFonts w:ascii="宋体" w:hAnsi="宋体" w:cs="宋体"/>
          <w:b/>
          <w:bCs/>
          <w:color w:val="auto"/>
        </w:rPr>
        <w:t>U</w:t>
      </w:r>
      <w:r>
        <w:rPr>
          <w:rFonts w:hint="eastAsia" w:ascii="宋体" w:hAnsi="宋体" w:cs="宋体"/>
          <w:b/>
          <w:bCs/>
          <w:color w:val="auto"/>
        </w:rPr>
        <w:t>盘或光盘如有损坏，视频无法播放，投标方自行承担后果。如有提供虚假资料，中标后取消中标资格。（视频播放格式：</w:t>
      </w:r>
      <w:r>
        <w:rPr>
          <w:rFonts w:ascii="微软雅黑" w:hAnsi="微软雅黑" w:eastAsia="微软雅黑" w:cs="微软雅黑"/>
          <w:b/>
          <w:bCs/>
          <w:color w:val="auto"/>
          <w:sz w:val="19"/>
          <w:szCs w:val="19"/>
          <w:shd w:val="clear" w:color="auto" w:fill="FFFFFF"/>
        </w:rPr>
        <w:t>wmv</w:t>
      </w:r>
      <w:r>
        <w:rPr>
          <w:rFonts w:hint="eastAsia" w:ascii="微软雅黑" w:hAnsi="微软雅黑" w:eastAsia="微软雅黑" w:cs="微软雅黑"/>
          <w:b/>
          <w:bCs/>
          <w:color w:val="auto"/>
          <w:sz w:val="19"/>
          <w:szCs w:val="19"/>
          <w:shd w:val="clear" w:color="auto" w:fill="FFFFFF"/>
        </w:rPr>
        <w:t>、</w:t>
      </w:r>
      <w:r>
        <w:rPr>
          <w:rFonts w:ascii="微软雅黑" w:hAnsi="微软雅黑" w:eastAsia="微软雅黑" w:cs="微软雅黑"/>
          <w:b/>
          <w:bCs/>
          <w:color w:val="auto"/>
          <w:sz w:val="19"/>
          <w:szCs w:val="19"/>
          <w:shd w:val="clear" w:color="auto" w:fill="FFFFFF"/>
        </w:rPr>
        <w:t>mp4</w:t>
      </w:r>
      <w:r>
        <w:rPr>
          <w:rFonts w:hint="eastAsia" w:ascii="微软雅黑" w:hAnsi="微软雅黑" w:eastAsia="微软雅黑" w:cs="微软雅黑"/>
          <w:b/>
          <w:bCs/>
          <w:color w:val="auto"/>
          <w:sz w:val="19"/>
          <w:szCs w:val="19"/>
          <w:shd w:val="clear" w:color="auto" w:fill="FFFFFF"/>
        </w:rPr>
        <w:t>、</w:t>
      </w:r>
      <w:r>
        <w:rPr>
          <w:rFonts w:ascii="微软雅黑" w:hAnsi="微软雅黑" w:eastAsia="微软雅黑" w:cs="微软雅黑"/>
          <w:b/>
          <w:bCs/>
          <w:color w:val="auto"/>
          <w:sz w:val="19"/>
          <w:szCs w:val="19"/>
          <w:shd w:val="clear" w:color="auto" w:fill="FFFFFF"/>
        </w:rPr>
        <w:t>avi</w:t>
      </w:r>
      <w:r>
        <w:rPr>
          <w:rFonts w:hint="eastAsia" w:ascii="微软雅黑" w:hAnsi="微软雅黑" w:eastAsia="微软雅黑" w:cs="微软雅黑"/>
          <w:b/>
          <w:bCs/>
          <w:color w:val="auto"/>
          <w:sz w:val="19"/>
          <w:szCs w:val="19"/>
          <w:shd w:val="clear" w:color="auto" w:fill="FFFFFF"/>
        </w:rPr>
        <w:t>、</w:t>
      </w:r>
      <w:r>
        <w:rPr>
          <w:rFonts w:ascii="微软雅黑" w:hAnsi="微软雅黑" w:eastAsia="微软雅黑" w:cs="微软雅黑"/>
          <w:b/>
          <w:bCs/>
          <w:color w:val="auto"/>
          <w:sz w:val="19"/>
          <w:szCs w:val="19"/>
          <w:shd w:val="clear" w:color="auto" w:fill="FFFFFF"/>
        </w:rPr>
        <w:t>rmvb</w:t>
      </w:r>
      <w:r>
        <w:rPr>
          <w:rFonts w:hint="eastAsia" w:ascii="微软雅黑" w:hAnsi="微软雅黑" w:eastAsia="微软雅黑" w:cs="微软雅黑"/>
          <w:b/>
          <w:bCs/>
          <w:color w:val="auto"/>
          <w:sz w:val="19"/>
          <w:szCs w:val="19"/>
          <w:shd w:val="clear" w:color="auto" w:fill="FFFFFF"/>
        </w:rPr>
        <w:t>、</w:t>
      </w:r>
      <w:r>
        <w:rPr>
          <w:rFonts w:ascii="微软雅黑" w:hAnsi="微软雅黑" w:eastAsia="微软雅黑" w:cs="微软雅黑"/>
          <w:b/>
          <w:bCs/>
          <w:color w:val="auto"/>
          <w:sz w:val="19"/>
          <w:szCs w:val="19"/>
          <w:shd w:val="clear" w:color="auto" w:fill="FFFFFF"/>
        </w:rPr>
        <w:t>mov</w:t>
      </w:r>
      <w:r>
        <w:rPr>
          <w:rFonts w:hint="eastAsia" w:ascii="宋体" w:hAnsi="宋体" w:cs="宋体"/>
          <w:b/>
          <w:bCs/>
          <w:color w:val="auto"/>
        </w:rPr>
        <w:t>）</w:t>
      </w:r>
    </w:p>
    <w:p>
      <w:pPr>
        <w:pStyle w:val="20"/>
        <w:ind w:firstLine="0" w:firstLineChars="0"/>
        <w:rPr>
          <w:rFonts w:ascii="宋体"/>
          <w:color w:val="auto"/>
        </w:rPr>
      </w:pPr>
    </w:p>
    <w:p>
      <w:pPr>
        <w:jc w:val="center"/>
        <w:outlineLvl w:val="0"/>
        <w:rPr>
          <w:rFonts w:ascii="宋体"/>
          <w:color w:val="auto"/>
        </w:rPr>
      </w:pPr>
      <w:bookmarkStart w:id="1069" w:name="_Toc20154"/>
      <w:r>
        <w:rPr>
          <w:rStyle w:val="27"/>
          <w:rFonts w:hint="eastAsia" w:hAnsi="宋体"/>
          <w:color w:val="auto"/>
          <w:sz w:val="32"/>
          <w:szCs w:val="32"/>
        </w:rPr>
        <w:t>第</w:t>
      </w:r>
      <w:r>
        <w:rPr>
          <w:rStyle w:val="27"/>
          <w:rFonts w:hAnsi="宋体"/>
          <w:color w:val="auto"/>
          <w:sz w:val="32"/>
          <w:szCs w:val="32"/>
        </w:rPr>
        <w:t>6</w:t>
      </w:r>
      <w:r>
        <w:rPr>
          <w:rStyle w:val="27"/>
          <w:rFonts w:hint="eastAsia" w:hAnsi="宋体"/>
          <w:color w:val="auto"/>
          <w:sz w:val="32"/>
          <w:szCs w:val="32"/>
        </w:rPr>
        <w:t>章</w:t>
      </w:r>
      <w:r>
        <w:rPr>
          <w:rStyle w:val="27"/>
          <w:rFonts w:hAnsi="宋体"/>
          <w:color w:val="auto"/>
          <w:sz w:val="32"/>
          <w:szCs w:val="32"/>
        </w:rPr>
        <w:t xml:space="preserve">  </w:t>
      </w:r>
      <w:r>
        <w:rPr>
          <w:rStyle w:val="27"/>
          <w:rFonts w:hint="eastAsia" w:hAnsi="宋体"/>
          <w:color w:val="auto"/>
          <w:sz w:val="32"/>
          <w:szCs w:val="32"/>
        </w:rPr>
        <w:t>评标方法和标准</w:t>
      </w:r>
      <w:bookmarkEnd w:id="788"/>
      <w:bookmarkEnd w:id="789"/>
      <w:bookmarkEnd w:id="790"/>
      <w:bookmarkEnd w:id="791"/>
      <w:bookmarkEnd w:id="792"/>
      <w:bookmarkEnd w:id="793"/>
      <w:bookmarkEnd w:id="794"/>
      <w:bookmarkEnd w:id="1050"/>
      <w:bookmarkEnd w:id="1069"/>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本项目将按照招标文件第一章供应商须知中“五</w:t>
      </w:r>
      <w:r>
        <w:rPr>
          <w:color w:val="auto"/>
          <w:sz w:val="21"/>
          <w:szCs w:val="21"/>
        </w:rPr>
        <w:t xml:space="preserve"> </w:t>
      </w:r>
      <w:r>
        <w:rPr>
          <w:rFonts w:hint="eastAsia"/>
          <w:color w:val="auto"/>
          <w:sz w:val="21"/>
          <w:szCs w:val="21"/>
        </w:rPr>
        <w:t>开标及评标”、“六</w:t>
      </w:r>
      <w:r>
        <w:rPr>
          <w:color w:val="auto"/>
          <w:sz w:val="21"/>
          <w:szCs w:val="21"/>
        </w:rPr>
        <w:t xml:space="preserve"> </w:t>
      </w:r>
      <w:r>
        <w:rPr>
          <w:rFonts w:hint="eastAsia"/>
          <w:color w:val="auto"/>
          <w:sz w:val="21"/>
          <w:szCs w:val="21"/>
        </w:rPr>
        <w:t>确定中标”及本章的规定评标。</w:t>
      </w:r>
    </w:p>
    <w:p>
      <w:pPr>
        <w:pStyle w:val="9"/>
        <w:tabs>
          <w:tab w:val="clear" w:pos="567"/>
        </w:tabs>
        <w:spacing w:before="0" w:line="400" w:lineRule="exact"/>
        <w:ind w:firstLine="474" w:firstLineChars="225"/>
        <w:rPr>
          <w:rFonts w:cs="Times New Roman"/>
          <w:b/>
          <w:bCs/>
          <w:color w:val="auto"/>
          <w:sz w:val="21"/>
          <w:szCs w:val="21"/>
        </w:rPr>
      </w:pPr>
      <w:r>
        <w:rPr>
          <w:rFonts w:hint="eastAsia"/>
          <w:b/>
          <w:bCs/>
          <w:color w:val="auto"/>
          <w:sz w:val="21"/>
          <w:szCs w:val="21"/>
        </w:rPr>
        <w:t>注：</w:t>
      </w:r>
      <w:r>
        <w:rPr>
          <w:b/>
          <w:bCs/>
          <w:color w:val="auto"/>
          <w:sz w:val="21"/>
          <w:szCs w:val="21"/>
        </w:rPr>
        <w:t>1.</w:t>
      </w:r>
      <w:r>
        <w:rPr>
          <w:rFonts w:hint="eastAsia"/>
          <w:b/>
          <w:bCs/>
          <w:color w:val="auto"/>
          <w:sz w:val="21"/>
          <w:szCs w:val="21"/>
        </w:rPr>
        <w:t>投标无效的情形：</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w:t>
      </w:r>
      <w:r>
        <w:rPr>
          <w:rFonts w:hint="eastAsia"/>
          <w:color w:val="auto"/>
          <w:sz w:val="21"/>
          <w:szCs w:val="21"/>
        </w:rPr>
        <w:t>）单位负责人为同一人或者存在直接控股、管理关系的不同供应商，其相关投标将被认定为投标无效。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2</w:t>
      </w:r>
      <w:r>
        <w:rPr>
          <w:rFonts w:hint="eastAsia"/>
          <w:color w:val="auto"/>
          <w:sz w:val="21"/>
          <w:szCs w:val="21"/>
        </w:rPr>
        <w:t>）若供应商须知资料表中未写明允许采购进口产品，如供应商所投产品为进口产品，其投标将被认定为投标无效。</w:t>
      </w:r>
    </w:p>
    <w:p>
      <w:pPr>
        <w:pStyle w:val="9"/>
        <w:tabs>
          <w:tab w:val="clear" w:pos="567"/>
        </w:tabs>
        <w:spacing w:before="0" w:line="400" w:lineRule="exact"/>
        <w:ind w:firstLine="472" w:firstLineChars="225"/>
        <w:rPr>
          <w:rFonts w:cs="Times New Roman"/>
          <w:color w:val="auto"/>
          <w:sz w:val="21"/>
          <w:szCs w:val="21"/>
        </w:rPr>
      </w:pPr>
      <w:r>
        <w:rPr>
          <w:color w:val="auto"/>
          <w:sz w:val="21"/>
          <w:szCs w:val="21"/>
        </w:rPr>
        <w:t xml:space="preserve"> </w:t>
      </w:r>
      <w:r>
        <w:rPr>
          <w:rFonts w:hint="eastAsia"/>
          <w:color w:val="auto"/>
          <w:sz w:val="21"/>
          <w:szCs w:val="21"/>
        </w:rPr>
        <w:t>（</w:t>
      </w:r>
      <w:r>
        <w:rPr>
          <w:color w:val="auto"/>
          <w:sz w:val="21"/>
          <w:szCs w:val="21"/>
        </w:rPr>
        <w:t>3</w:t>
      </w:r>
      <w:r>
        <w:rPr>
          <w:rFonts w:hint="eastAsia"/>
          <w:color w:val="auto"/>
          <w:sz w:val="21"/>
          <w:szCs w:val="21"/>
        </w:rPr>
        <w:t>）为本项目提供过整体设计、规范编制或者项目管理、监理、检测等服务的供应商，不得再参加本项目上述服务以外的其他采购活动。否则其投标将被认定为投标无效。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供应商在投标过程中不得向采购人提供、给予任何有价值的物品，影响其正常决策行为。一经发现，其将被认定为投标无效。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4</w:t>
      </w:r>
      <w:r>
        <w:rPr>
          <w:rFonts w:hint="eastAsia"/>
          <w:color w:val="auto"/>
          <w:sz w:val="21"/>
          <w:szCs w:val="21"/>
        </w:rPr>
        <w:t>）供应商报价超过招标文件规定的预算金额或者分项、分包最高限价的，其投标将被认定为投标无效。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5</w:t>
      </w:r>
      <w:r>
        <w:rPr>
          <w:rFonts w:hint="eastAsia"/>
          <w:color w:val="auto"/>
          <w:sz w:val="21"/>
          <w:szCs w:val="21"/>
        </w:rPr>
        <w:t>）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9"/>
        <w:tabs>
          <w:tab w:val="clear" w:pos="567"/>
        </w:tabs>
        <w:spacing w:before="0" w:line="400" w:lineRule="exact"/>
        <w:ind w:firstLine="472" w:firstLineChars="225"/>
        <w:rPr>
          <w:rFonts w:cs="Times New Roman"/>
          <w:color w:val="auto"/>
          <w:sz w:val="21"/>
          <w:szCs w:val="21"/>
        </w:rPr>
      </w:pPr>
      <w:r>
        <w:rPr>
          <w:color w:val="auto"/>
          <w:sz w:val="21"/>
          <w:szCs w:val="21"/>
        </w:rPr>
        <w:t xml:space="preserve"> </w:t>
      </w:r>
      <w:r>
        <w:rPr>
          <w:rFonts w:hint="eastAsia"/>
          <w:color w:val="auto"/>
          <w:sz w:val="21"/>
          <w:szCs w:val="21"/>
        </w:rPr>
        <w:t>（</w:t>
      </w:r>
      <w:r>
        <w:rPr>
          <w:color w:val="auto"/>
          <w:sz w:val="21"/>
          <w:szCs w:val="21"/>
        </w:rPr>
        <w:t>6</w:t>
      </w:r>
      <w:r>
        <w:rPr>
          <w:rFonts w:hint="eastAsia"/>
          <w:color w:val="auto"/>
          <w:sz w:val="21"/>
          <w:szCs w:val="21"/>
        </w:rPr>
        <w:t>）供应商应当对所投分包招标文件中“货物需求”所列的所有内容进行投标，如仅响应某一包中的部分内容，其该包投标将被认定为投标无效。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7</w:t>
      </w:r>
      <w:r>
        <w:rPr>
          <w:rFonts w:hint="eastAsia"/>
          <w:color w:val="auto"/>
          <w:sz w:val="21"/>
          <w:szCs w:val="21"/>
        </w:rPr>
        <w:t>）供应商未按本须知第</w:t>
      </w:r>
      <w:r>
        <w:rPr>
          <w:color w:val="auto"/>
          <w:sz w:val="21"/>
          <w:szCs w:val="21"/>
        </w:rPr>
        <w:t>12.1</w:t>
      </w:r>
      <w:r>
        <w:rPr>
          <w:rFonts w:hint="eastAsia"/>
          <w:color w:val="auto"/>
          <w:sz w:val="21"/>
          <w:szCs w:val="21"/>
        </w:rPr>
        <w:t>和</w:t>
      </w:r>
      <w:r>
        <w:rPr>
          <w:color w:val="auto"/>
          <w:sz w:val="21"/>
          <w:szCs w:val="21"/>
        </w:rPr>
        <w:t>12.3</w:t>
      </w:r>
      <w:r>
        <w:rPr>
          <w:rFonts w:hint="eastAsia"/>
          <w:color w:val="auto"/>
          <w:sz w:val="21"/>
          <w:szCs w:val="21"/>
        </w:rPr>
        <w:t>条规定提交投标保证金的，其投标将被认定为投标无效。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8</w:t>
      </w:r>
      <w:r>
        <w:rPr>
          <w:rFonts w:hint="eastAsia"/>
          <w:color w:val="auto"/>
          <w:sz w:val="21"/>
          <w:szCs w:val="21"/>
        </w:rPr>
        <w:t>）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9</w:t>
      </w:r>
      <w:r>
        <w:rPr>
          <w:rFonts w:hint="eastAsia"/>
          <w:color w:val="auto"/>
          <w:sz w:val="21"/>
          <w:szCs w:val="21"/>
        </w:rPr>
        <w:t>）供应商所报的各分项投标单价在合同履行过程中是固定不变的，不得以任何理由予以变更。任何包含价格调整要求的投标，其投标将被认定为投标无效。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10</w:t>
      </w:r>
      <w:r>
        <w:rPr>
          <w:rFonts w:hint="eastAsia"/>
          <w:color w:val="auto"/>
          <w:sz w:val="21"/>
          <w:szCs w:val="21"/>
        </w:rPr>
        <w:t>）投标应在供应商须知资料表中规定时间内保持有效。投标有效期不满足要求的投标，其投标将被认定为投标无效。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11</w:t>
      </w:r>
      <w:r>
        <w:rPr>
          <w:rFonts w:hint="eastAsia"/>
          <w:color w:val="auto"/>
          <w:sz w:val="21"/>
          <w:szCs w:val="21"/>
        </w:rPr>
        <w:t>）所有投标文件采用不可拆装的胶订方式装订，否则其投标将被认定为投标无效。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12</w:t>
      </w:r>
      <w:r>
        <w:rPr>
          <w:rFonts w:hint="eastAsia"/>
          <w:color w:val="auto"/>
          <w:sz w:val="21"/>
          <w:szCs w:val="21"/>
        </w:rPr>
        <w:t>）采购人或采购代理机构将在开标前</w:t>
      </w:r>
      <w:r>
        <w:rPr>
          <w:color w:val="auto"/>
          <w:sz w:val="21"/>
          <w:szCs w:val="21"/>
        </w:rPr>
        <w:t>1</w:t>
      </w:r>
      <w:r>
        <w:rPr>
          <w:rFonts w:hint="eastAsia"/>
          <w:color w:val="auto"/>
          <w:sz w:val="21"/>
          <w:szCs w:val="21"/>
        </w:rPr>
        <w:t>个工作日至投标截止后</w:t>
      </w:r>
      <w:r>
        <w:rPr>
          <w:color w:val="auto"/>
          <w:sz w:val="21"/>
          <w:szCs w:val="21"/>
        </w:rPr>
        <w:t>1</w:t>
      </w:r>
      <w:r>
        <w:rPr>
          <w:rFonts w:hint="eastAsia"/>
          <w:color w:val="auto"/>
          <w:sz w:val="21"/>
          <w:szCs w:val="21"/>
        </w:rPr>
        <w:t>小时的期间内查询供应商的信用记录。供应商存在不良信用记录的，其投标将被认定为投标无效。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13</w:t>
      </w:r>
      <w:r>
        <w:rPr>
          <w:rFonts w:hint="eastAsia"/>
          <w:color w:val="auto"/>
          <w:sz w:val="21"/>
          <w:szCs w:val="21"/>
        </w:rPr>
        <w:t>）总价金额与按单价汇总金额不一致的，以单价金额计算结果为准。同时出现两种以上不一致的，按照前款规定的顺序修正。修正后的报价按照第</w:t>
      </w:r>
      <w:r>
        <w:rPr>
          <w:color w:val="auto"/>
          <w:sz w:val="21"/>
          <w:szCs w:val="21"/>
        </w:rPr>
        <w:t>20.2</w:t>
      </w:r>
      <w:r>
        <w:rPr>
          <w:rFonts w:hint="eastAsia"/>
          <w:color w:val="auto"/>
          <w:sz w:val="21"/>
          <w:szCs w:val="21"/>
        </w:rPr>
        <w:t>条的规定经供应商确认后产生约束力，供应商不确认的，其投标将被认定为投标无效。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14</w:t>
      </w:r>
      <w:r>
        <w:rPr>
          <w:rFonts w:hint="eastAsia"/>
          <w:color w:val="auto"/>
          <w:sz w:val="21"/>
          <w:szCs w:val="21"/>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w:t>
      </w:r>
      <w:r>
        <w:rPr>
          <w:color w:val="auto"/>
          <w:sz w:val="21"/>
          <w:szCs w:val="21"/>
        </w:rPr>
        <w:t>15</w:t>
      </w:r>
      <w:r>
        <w:rPr>
          <w:rFonts w:hint="eastAsia"/>
          <w:color w:val="auto"/>
          <w:sz w:val="21"/>
          <w:szCs w:val="21"/>
        </w:rPr>
        <w:t>）如发现下列情况之一的，其投标将被认定为投标无效：</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9"/>
        <w:tabs>
          <w:tab w:val="clear" w:pos="567"/>
        </w:tabs>
        <w:spacing w:before="0" w:line="400" w:lineRule="exact"/>
        <w:ind w:firstLine="472" w:firstLineChars="225"/>
        <w:rPr>
          <w:rFonts w:cs="Times New Roman"/>
          <w:b/>
          <w:bCs/>
          <w:color w:val="auto"/>
          <w:sz w:val="21"/>
          <w:szCs w:val="21"/>
        </w:rPr>
      </w:pPr>
      <w:r>
        <w:rPr>
          <w:color w:val="auto"/>
          <w:sz w:val="21"/>
          <w:szCs w:val="21"/>
        </w:rPr>
        <w:t>2.</w:t>
      </w:r>
      <w:r>
        <w:rPr>
          <w:rFonts w:hint="eastAsia"/>
          <w:b/>
          <w:bCs/>
          <w:color w:val="auto"/>
          <w:sz w:val="21"/>
          <w:szCs w:val="21"/>
        </w:rPr>
        <w:t>根据《政府采购促进中小企业发展管理办法》（财库</w:t>
      </w:r>
      <w:r>
        <w:rPr>
          <w:b/>
          <w:bCs/>
          <w:color w:val="auto"/>
          <w:sz w:val="21"/>
          <w:szCs w:val="21"/>
        </w:rPr>
        <w:t>[2020]46</w:t>
      </w:r>
      <w:r>
        <w:rPr>
          <w:rFonts w:hint="eastAsia"/>
          <w:b/>
          <w:bCs/>
          <w:color w:val="auto"/>
          <w:sz w:val="21"/>
          <w:szCs w:val="21"/>
        </w:rPr>
        <w:t>号）、《财政部</w:t>
      </w:r>
      <w:r>
        <w:rPr>
          <w:b/>
          <w:bCs/>
          <w:color w:val="auto"/>
          <w:sz w:val="21"/>
          <w:szCs w:val="21"/>
        </w:rPr>
        <w:t xml:space="preserve"> </w:t>
      </w:r>
      <w:r>
        <w:rPr>
          <w:rFonts w:hint="eastAsia"/>
          <w:b/>
          <w:bCs/>
          <w:color w:val="auto"/>
          <w:sz w:val="21"/>
          <w:szCs w:val="21"/>
        </w:rPr>
        <w:t>司法部关于政府采购支持监狱企业发展有关问题的通知》（财库〔</w:t>
      </w:r>
      <w:r>
        <w:rPr>
          <w:b/>
          <w:bCs/>
          <w:color w:val="auto"/>
          <w:sz w:val="21"/>
          <w:szCs w:val="21"/>
        </w:rPr>
        <w:t>2014</w:t>
      </w:r>
      <w:r>
        <w:rPr>
          <w:rFonts w:hint="eastAsia"/>
          <w:b/>
          <w:bCs/>
          <w:color w:val="auto"/>
          <w:sz w:val="21"/>
          <w:szCs w:val="21"/>
        </w:rPr>
        <w:t>〕</w:t>
      </w:r>
      <w:r>
        <w:rPr>
          <w:b/>
          <w:bCs/>
          <w:color w:val="auto"/>
          <w:sz w:val="21"/>
          <w:szCs w:val="21"/>
        </w:rPr>
        <w:t>68</w:t>
      </w:r>
      <w:r>
        <w:rPr>
          <w:rFonts w:hint="eastAsia"/>
          <w:b/>
          <w:bCs/>
          <w:color w:val="auto"/>
          <w:sz w:val="21"/>
          <w:szCs w:val="21"/>
        </w:rPr>
        <w:t>号）和《三部门联合发布关于促进残疾人就业政府采购政策的通知》（财库〔</w:t>
      </w:r>
      <w:r>
        <w:rPr>
          <w:b/>
          <w:bCs/>
          <w:color w:val="auto"/>
          <w:sz w:val="21"/>
          <w:szCs w:val="21"/>
        </w:rPr>
        <w:t>2017</w:t>
      </w:r>
      <w:r>
        <w:rPr>
          <w:rFonts w:hint="eastAsia"/>
          <w:b/>
          <w:bCs/>
          <w:color w:val="auto"/>
          <w:sz w:val="21"/>
          <w:szCs w:val="21"/>
        </w:rPr>
        <w:t>〕</w:t>
      </w:r>
      <w:r>
        <w:rPr>
          <w:b/>
          <w:bCs/>
          <w:color w:val="auto"/>
          <w:sz w:val="21"/>
          <w:szCs w:val="21"/>
        </w:rPr>
        <w:t>141</w:t>
      </w:r>
      <w:r>
        <w:rPr>
          <w:rFonts w:hint="eastAsia"/>
          <w:b/>
          <w:bCs/>
          <w:color w:val="auto"/>
          <w:sz w:val="21"/>
          <w:szCs w:val="21"/>
        </w:rPr>
        <w:t>号）的规定，对满足价格扣除条件且在投标文件中提交了《供应商企业类型声明函》、《残疾人福利性单位声明函》或省级以上监狱管理局、戒毒管理局（含新疆生产建设兵团）出具的属于监狱企业的证明文件的供应商，其投标报价扣除</w:t>
      </w:r>
      <w:r>
        <w:rPr>
          <w:b/>
          <w:bCs/>
          <w:color w:val="auto"/>
          <w:sz w:val="21"/>
          <w:szCs w:val="21"/>
        </w:rPr>
        <w:t xml:space="preserve"> 6 %</w:t>
      </w:r>
      <w:r>
        <w:rPr>
          <w:rFonts w:hint="eastAsia"/>
          <w:b/>
          <w:bCs/>
          <w:color w:val="auto"/>
          <w:sz w:val="21"/>
          <w:szCs w:val="21"/>
        </w:rPr>
        <w:t>后参与评审。对于同时属于小微企业、监狱企业或残疾人福利性单位的，不重复进行投标报价扣除。</w:t>
      </w:r>
    </w:p>
    <w:p>
      <w:pPr>
        <w:pStyle w:val="9"/>
        <w:tabs>
          <w:tab w:val="clear" w:pos="567"/>
        </w:tabs>
        <w:spacing w:before="0" w:line="400" w:lineRule="exact"/>
        <w:ind w:firstLine="472" w:firstLineChars="225"/>
        <w:rPr>
          <w:rFonts w:cs="Times New Roman"/>
          <w:color w:val="auto"/>
          <w:sz w:val="21"/>
          <w:szCs w:val="21"/>
        </w:rPr>
      </w:pPr>
      <w:r>
        <w:rPr>
          <w:color w:val="auto"/>
          <w:sz w:val="21"/>
          <w:szCs w:val="21"/>
        </w:rPr>
        <w:t>3.</w:t>
      </w:r>
      <w:r>
        <w:rPr>
          <w:rFonts w:hint="eastAsia"/>
          <w:color w:val="auto"/>
          <w:sz w:val="21"/>
          <w:szCs w:val="21"/>
        </w:rPr>
        <w:t>联合协议中约定，小型、微型企业和监狱企业的协议合同金额占到联合体协议合同总金额</w:t>
      </w:r>
      <w:r>
        <w:rPr>
          <w:color w:val="auto"/>
          <w:sz w:val="21"/>
          <w:szCs w:val="21"/>
        </w:rPr>
        <w:t>30%</w:t>
      </w:r>
      <w:r>
        <w:rPr>
          <w:rFonts w:hint="eastAsia"/>
          <w:color w:val="auto"/>
          <w:sz w:val="21"/>
          <w:szCs w:val="21"/>
        </w:rPr>
        <w:t>以上的，可给予联合体</w:t>
      </w:r>
      <w:r>
        <w:rPr>
          <w:color w:val="auto"/>
          <w:sz w:val="21"/>
          <w:szCs w:val="21"/>
        </w:rPr>
        <w:t>2-3%</w:t>
      </w:r>
      <w:r>
        <w:rPr>
          <w:rFonts w:hint="eastAsia"/>
          <w:color w:val="auto"/>
          <w:sz w:val="21"/>
          <w:szCs w:val="21"/>
        </w:rPr>
        <w:t>的价格扣除。（本项目不适用）</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联合体各方均为小型、微型企业和监狱企业的，联合体视同为小型、微型企业和监狱企业。</w:t>
      </w:r>
    </w:p>
    <w:p>
      <w:pPr>
        <w:pStyle w:val="9"/>
        <w:tabs>
          <w:tab w:val="clear" w:pos="567"/>
        </w:tabs>
        <w:spacing w:before="0" w:line="400" w:lineRule="exact"/>
        <w:ind w:firstLine="472" w:firstLineChars="225"/>
        <w:rPr>
          <w:rFonts w:cs="Times New Roman"/>
          <w:color w:val="auto"/>
          <w:sz w:val="21"/>
          <w:szCs w:val="21"/>
        </w:rPr>
      </w:pPr>
      <w:r>
        <w:rPr>
          <w:color w:val="auto"/>
          <w:sz w:val="21"/>
          <w:szCs w:val="21"/>
        </w:rPr>
        <w:t>4.</w:t>
      </w:r>
      <w:r>
        <w:rPr>
          <w:rFonts w:hint="eastAsia"/>
          <w:color w:val="auto"/>
          <w:sz w:val="21"/>
          <w:szCs w:val="21"/>
        </w:rPr>
        <w:t>供应商所投产品如被列入财政部与国家主管部门颁发的节能产品目录或环境标志产品目录或无线局域网产品目录，应提供相关证明，在评标时予以优先采购，具体优惠措施为：</w:t>
      </w:r>
      <w:r>
        <w:rPr>
          <w:color w:val="auto"/>
          <w:sz w:val="21"/>
          <w:szCs w:val="21"/>
        </w:rPr>
        <w:t xml:space="preserve"> </w:t>
      </w:r>
      <w:r>
        <w:rPr>
          <w:rFonts w:hint="eastAsia"/>
          <w:color w:val="auto"/>
          <w:sz w:val="21"/>
          <w:szCs w:val="21"/>
        </w:rPr>
        <w:t>投标商所投产品应优先选择《财政部</w:t>
      </w:r>
      <w:r>
        <w:rPr>
          <w:color w:val="auto"/>
          <w:sz w:val="21"/>
          <w:szCs w:val="21"/>
        </w:rPr>
        <w:t xml:space="preserve"> </w:t>
      </w:r>
      <w:r>
        <w:rPr>
          <w:rFonts w:hint="eastAsia"/>
          <w:color w:val="auto"/>
          <w:sz w:val="21"/>
          <w:szCs w:val="21"/>
        </w:rPr>
        <w:t>国家发展改革委关于调整公布第二十四期节能产品政府采购清单的通知》（财库〔</w:t>
      </w:r>
      <w:r>
        <w:rPr>
          <w:color w:val="auto"/>
          <w:sz w:val="21"/>
          <w:szCs w:val="21"/>
        </w:rPr>
        <w:t>2018</w:t>
      </w:r>
      <w:r>
        <w:rPr>
          <w:rFonts w:hint="eastAsia"/>
          <w:color w:val="auto"/>
          <w:sz w:val="21"/>
          <w:szCs w:val="21"/>
        </w:rPr>
        <w:t>〕</w:t>
      </w:r>
      <w:r>
        <w:rPr>
          <w:color w:val="auto"/>
          <w:sz w:val="21"/>
          <w:szCs w:val="21"/>
        </w:rPr>
        <w:t>73</w:t>
      </w:r>
      <w:r>
        <w:rPr>
          <w:rFonts w:hint="eastAsia"/>
          <w:color w:val="auto"/>
          <w:sz w:val="21"/>
          <w:szCs w:val="21"/>
        </w:rPr>
        <w:t>号）、《财政部</w:t>
      </w:r>
      <w:r>
        <w:rPr>
          <w:color w:val="auto"/>
          <w:sz w:val="21"/>
          <w:szCs w:val="21"/>
        </w:rPr>
        <w:t xml:space="preserve"> </w:t>
      </w:r>
      <w:r>
        <w:rPr>
          <w:rFonts w:hint="eastAsia"/>
          <w:color w:val="auto"/>
          <w:sz w:val="21"/>
          <w:szCs w:val="21"/>
        </w:rPr>
        <w:t>环境保护部关于调整公布第二十二期环境标志产品政府采购清单的通知》（财库〔</w:t>
      </w:r>
      <w:r>
        <w:rPr>
          <w:color w:val="auto"/>
          <w:sz w:val="21"/>
          <w:szCs w:val="21"/>
        </w:rPr>
        <w:t>2018</w:t>
      </w:r>
      <w:r>
        <w:rPr>
          <w:rFonts w:hint="eastAsia"/>
          <w:color w:val="auto"/>
          <w:sz w:val="21"/>
          <w:szCs w:val="21"/>
        </w:rPr>
        <w:t>〕</w:t>
      </w:r>
      <w:r>
        <w:rPr>
          <w:color w:val="auto"/>
          <w:sz w:val="21"/>
          <w:szCs w:val="21"/>
        </w:rPr>
        <w:t>70</w:t>
      </w:r>
      <w:r>
        <w:rPr>
          <w:rFonts w:hint="eastAsia"/>
          <w:color w:val="auto"/>
          <w:sz w:val="21"/>
          <w:szCs w:val="21"/>
        </w:rPr>
        <w:t>号）目录内的产品（须提供节能、环保认证证书复印件加盖公章）。</w:t>
      </w:r>
    </w:p>
    <w:p>
      <w:pPr>
        <w:pStyle w:val="9"/>
        <w:tabs>
          <w:tab w:val="clear" w:pos="567"/>
        </w:tabs>
        <w:spacing w:before="0" w:line="400" w:lineRule="exact"/>
        <w:ind w:firstLine="472" w:firstLineChars="225"/>
        <w:rPr>
          <w:rFonts w:cs="Times New Roman"/>
          <w:color w:val="auto"/>
          <w:sz w:val="21"/>
          <w:szCs w:val="21"/>
        </w:rPr>
      </w:pPr>
      <w:r>
        <w:rPr>
          <w:color w:val="auto"/>
          <w:sz w:val="21"/>
          <w:szCs w:val="21"/>
        </w:rPr>
        <w:t>5.</w:t>
      </w:r>
      <w:r>
        <w:rPr>
          <w:rFonts w:hint="eastAsia"/>
          <w:color w:val="auto"/>
          <w:sz w:val="21"/>
          <w:szCs w:val="21"/>
        </w:rPr>
        <w:t>如采购人所采购产品为政府强制采购的节能产品，供应商所投产品的品牌及型号必须为清单中有效期内产品并提供证明文件，否则其投标将被认定为投标无效。</w:t>
      </w:r>
    </w:p>
    <w:p>
      <w:pPr>
        <w:pStyle w:val="9"/>
        <w:tabs>
          <w:tab w:val="clear" w:pos="567"/>
        </w:tabs>
        <w:spacing w:before="0" w:line="400" w:lineRule="exact"/>
        <w:ind w:firstLine="472" w:firstLineChars="225"/>
        <w:rPr>
          <w:color w:val="auto"/>
          <w:sz w:val="21"/>
          <w:szCs w:val="21"/>
        </w:rPr>
      </w:pPr>
      <w:r>
        <w:rPr>
          <w:color w:val="auto"/>
          <w:sz w:val="21"/>
          <w:szCs w:val="21"/>
        </w:rPr>
        <w:t>6.</w:t>
      </w:r>
      <w:r>
        <w:rPr>
          <w:rFonts w:hint="eastAsia"/>
          <w:color w:val="auto"/>
          <w:sz w:val="21"/>
          <w:szCs w:val="21"/>
        </w:rPr>
        <w:t>对创新产品或创新性企业的优惠措施为：</w:t>
      </w:r>
      <w:r>
        <w:rPr>
          <w:color w:val="auto"/>
          <w:sz w:val="21"/>
          <w:szCs w:val="21"/>
        </w:rPr>
        <w:t xml:space="preserve">    /       </w:t>
      </w:r>
    </w:p>
    <w:p>
      <w:pPr>
        <w:pStyle w:val="9"/>
        <w:tabs>
          <w:tab w:val="clear" w:pos="567"/>
        </w:tabs>
        <w:spacing w:before="0" w:line="400" w:lineRule="exact"/>
        <w:ind w:firstLine="472" w:firstLineChars="225"/>
        <w:rPr>
          <w:rFonts w:cs="Times New Roman"/>
          <w:color w:val="auto"/>
          <w:sz w:val="21"/>
          <w:szCs w:val="21"/>
        </w:rPr>
      </w:pPr>
      <w:r>
        <w:rPr>
          <w:color w:val="auto"/>
          <w:sz w:val="21"/>
          <w:szCs w:val="21"/>
        </w:rPr>
        <w:t>7.</w:t>
      </w:r>
      <w:r>
        <w:rPr>
          <w:rFonts w:hint="eastAsia"/>
          <w:color w:val="auto"/>
          <w:sz w:val="21"/>
          <w:szCs w:val="21"/>
        </w:rPr>
        <w:t>同品牌处理办法：</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如采用综合评标法，则：提供相同品牌产品且通过资格审查、符合性审查的不同供应商参加同一合同项下投标的，按一家供应商计算，评审后得分最高的同品牌供应商获得中标人推荐资格</w:t>
      </w:r>
      <w:r>
        <w:rPr>
          <w:color w:val="auto"/>
          <w:sz w:val="21"/>
          <w:szCs w:val="21"/>
        </w:rPr>
        <w:t>;</w:t>
      </w:r>
      <w:r>
        <w:rPr>
          <w:rFonts w:hint="eastAsia"/>
          <w:color w:val="auto"/>
          <w:sz w:val="21"/>
          <w:szCs w:val="21"/>
        </w:rPr>
        <w:t>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9"/>
        <w:tabs>
          <w:tab w:val="clear" w:pos="567"/>
        </w:tabs>
        <w:spacing w:before="0" w:line="400" w:lineRule="exact"/>
        <w:ind w:firstLine="472" w:firstLineChars="225"/>
        <w:rPr>
          <w:color w:val="auto"/>
          <w:sz w:val="21"/>
          <w:szCs w:val="21"/>
        </w:rPr>
      </w:pPr>
      <w:r>
        <w:rPr>
          <w:color w:val="auto"/>
          <w:sz w:val="21"/>
          <w:szCs w:val="21"/>
        </w:rPr>
        <w:t>8.</w:t>
      </w:r>
      <w:r>
        <w:rPr>
          <w:rFonts w:hint="eastAsia"/>
          <w:color w:val="auto"/>
          <w:sz w:val="21"/>
          <w:szCs w:val="21"/>
        </w:rPr>
        <w:t>中标候选人并列式时的处理方式：</w:t>
      </w:r>
      <w:r>
        <w:rPr>
          <w:color w:val="auto"/>
          <w:sz w:val="21"/>
          <w:szCs w:val="21"/>
        </w:rPr>
        <w:t xml:space="preserve">    </w:t>
      </w:r>
    </w:p>
    <w:p>
      <w:pPr>
        <w:pStyle w:val="9"/>
        <w:tabs>
          <w:tab w:val="clear" w:pos="567"/>
        </w:tabs>
        <w:spacing w:before="0" w:line="400" w:lineRule="exact"/>
        <w:ind w:firstLine="472" w:firstLineChars="225"/>
        <w:rPr>
          <w:rFonts w:cs="Times New Roman"/>
          <w:color w:val="auto"/>
          <w:sz w:val="21"/>
          <w:szCs w:val="21"/>
        </w:rPr>
      </w:pPr>
      <w:r>
        <w:rPr>
          <w:rFonts w:hint="eastAsia"/>
          <w:color w:val="auto"/>
          <w:sz w:val="21"/>
          <w:szCs w:val="21"/>
        </w:rPr>
        <w:t>如采用综合评标法，则：</w:t>
      </w:r>
      <w:r>
        <w:rPr>
          <w:color w:val="auto"/>
          <w:sz w:val="21"/>
          <w:szCs w:val="21"/>
        </w:rPr>
        <w:t xml:space="preserve"> </w:t>
      </w:r>
      <w:r>
        <w:rPr>
          <w:rFonts w:hint="eastAsia"/>
          <w:color w:val="auto"/>
          <w:sz w:val="21"/>
          <w:szCs w:val="21"/>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
        <w:numPr>
          <w:ilvl w:val="0"/>
          <w:numId w:val="45"/>
        </w:numPr>
        <w:tabs>
          <w:tab w:val="clear" w:pos="312"/>
          <w:tab w:val="clear" w:pos="567"/>
        </w:tabs>
        <w:spacing w:before="0" w:line="400" w:lineRule="exact"/>
        <w:ind w:firstLine="472" w:firstLineChars="225"/>
        <w:rPr>
          <w:rFonts w:cs="Times New Roman"/>
          <w:color w:val="auto"/>
          <w:sz w:val="21"/>
          <w:szCs w:val="21"/>
        </w:rPr>
      </w:pPr>
      <w:r>
        <w:rPr>
          <w:rFonts w:hint="eastAsia"/>
          <w:color w:val="auto"/>
          <w:sz w:val="21"/>
          <w:szCs w:val="21"/>
        </w:rPr>
        <w:t>详细的评标标准：（具体内容详见综合评分表）</w:t>
      </w:r>
    </w:p>
    <w:p>
      <w:pPr>
        <w:pStyle w:val="9"/>
        <w:tabs>
          <w:tab w:val="clear" w:pos="567"/>
        </w:tabs>
        <w:spacing w:before="0" w:line="360" w:lineRule="auto"/>
        <w:ind w:firstLine="472" w:firstLineChars="225"/>
        <w:rPr>
          <w:rFonts w:cs="Times New Roman"/>
          <w:color w:val="auto"/>
          <w:sz w:val="21"/>
          <w:szCs w:val="21"/>
        </w:rPr>
      </w:pPr>
      <w:r>
        <w:rPr>
          <w:rFonts w:hint="eastAsia"/>
          <w:color w:val="auto"/>
          <w:sz w:val="21"/>
          <w:szCs w:val="21"/>
        </w:rPr>
        <w:t>价格分占</w:t>
      </w:r>
      <w:r>
        <w:rPr>
          <w:color w:val="auto"/>
          <w:sz w:val="21"/>
          <w:szCs w:val="21"/>
        </w:rPr>
        <w:t>30%</w:t>
      </w:r>
      <w:r>
        <w:rPr>
          <w:rFonts w:hint="eastAsia"/>
          <w:color w:val="auto"/>
          <w:sz w:val="21"/>
          <w:szCs w:val="21"/>
        </w:rPr>
        <w:t>，评标基准价</w:t>
      </w:r>
      <w:r>
        <w:rPr>
          <w:color w:val="auto"/>
          <w:sz w:val="21"/>
          <w:szCs w:val="21"/>
        </w:rPr>
        <w:t>=</w:t>
      </w:r>
      <w:r>
        <w:rPr>
          <w:rFonts w:hint="eastAsia"/>
          <w:color w:val="auto"/>
          <w:sz w:val="21"/>
          <w:szCs w:val="21"/>
        </w:rPr>
        <w:t>有效投标报价的最低值，有效投标报价等于基准值的得满分</w:t>
      </w:r>
      <w:r>
        <w:rPr>
          <w:color w:val="auto"/>
          <w:sz w:val="21"/>
          <w:szCs w:val="21"/>
        </w:rPr>
        <w:t>30</w:t>
      </w:r>
      <w:r>
        <w:rPr>
          <w:rFonts w:hint="eastAsia"/>
          <w:color w:val="auto"/>
          <w:sz w:val="21"/>
          <w:szCs w:val="21"/>
        </w:rPr>
        <w:t>分，投标报价得分</w:t>
      </w:r>
      <w:r>
        <w:rPr>
          <w:color w:val="auto"/>
          <w:sz w:val="21"/>
          <w:szCs w:val="21"/>
        </w:rPr>
        <w:t>=</w:t>
      </w:r>
      <w:r>
        <w:rPr>
          <w:rFonts w:hint="eastAsia"/>
          <w:color w:val="auto"/>
          <w:sz w:val="21"/>
          <w:szCs w:val="21"/>
        </w:rPr>
        <w:t>（评标基准价</w:t>
      </w:r>
      <w:r>
        <w:rPr>
          <w:color w:val="auto"/>
          <w:sz w:val="21"/>
          <w:szCs w:val="21"/>
        </w:rPr>
        <w:t>/</w:t>
      </w:r>
      <w:r>
        <w:rPr>
          <w:rFonts w:hint="eastAsia"/>
          <w:color w:val="auto"/>
          <w:sz w:val="21"/>
          <w:szCs w:val="21"/>
        </w:rPr>
        <w:t>投标报价）×价格权重×</w:t>
      </w:r>
      <w:r>
        <w:rPr>
          <w:color w:val="auto"/>
          <w:sz w:val="21"/>
          <w:szCs w:val="21"/>
        </w:rPr>
        <w:t>100</w:t>
      </w:r>
      <w:r>
        <w:rPr>
          <w:rFonts w:hint="eastAsia"/>
          <w:color w:val="auto"/>
          <w:sz w:val="21"/>
          <w:szCs w:val="21"/>
        </w:rPr>
        <w:t>；有效投标报价为通过资格性审查及符合性审查的供应商报价。</w:t>
      </w:r>
    </w:p>
    <w:p>
      <w:pPr>
        <w:pStyle w:val="9"/>
        <w:tabs>
          <w:tab w:val="clear" w:pos="567"/>
        </w:tabs>
        <w:spacing w:before="0" w:line="360" w:lineRule="auto"/>
        <w:ind w:firstLine="472" w:firstLineChars="225"/>
        <w:rPr>
          <w:rFonts w:cs="Times New Roman"/>
          <w:color w:val="auto"/>
          <w:sz w:val="21"/>
          <w:szCs w:val="21"/>
        </w:rPr>
      </w:pPr>
      <w:r>
        <w:rPr>
          <w:rFonts w:hint="eastAsia"/>
          <w:color w:val="auto"/>
          <w:kern w:val="0"/>
          <w:sz w:val="21"/>
          <w:szCs w:val="21"/>
        </w:rPr>
        <w:t>商务占</w:t>
      </w:r>
      <w:r>
        <w:rPr>
          <w:color w:val="auto"/>
          <w:kern w:val="0"/>
          <w:sz w:val="21"/>
          <w:szCs w:val="21"/>
        </w:rPr>
        <w:t>7%</w:t>
      </w:r>
      <w:r>
        <w:rPr>
          <w:rFonts w:hint="eastAsia"/>
          <w:color w:val="auto"/>
          <w:kern w:val="0"/>
          <w:sz w:val="21"/>
          <w:szCs w:val="21"/>
        </w:rPr>
        <w:t>，包含业绩、综合实力</w:t>
      </w:r>
      <w:r>
        <w:rPr>
          <w:rFonts w:hint="eastAsia"/>
          <w:color w:val="auto"/>
          <w:sz w:val="21"/>
          <w:szCs w:val="21"/>
        </w:rPr>
        <w:t>。</w:t>
      </w:r>
    </w:p>
    <w:p>
      <w:pPr>
        <w:pStyle w:val="20"/>
        <w:ind w:firstLine="31680"/>
        <w:jc w:val="left"/>
        <w:rPr>
          <w:rFonts w:ascii="宋体"/>
          <w:color w:val="auto"/>
          <w:sz w:val="21"/>
          <w:szCs w:val="21"/>
        </w:rPr>
      </w:pPr>
      <w:r>
        <w:rPr>
          <w:rFonts w:hint="eastAsia" w:ascii="宋体" w:hAnsi="宋体" w:cs="宋体"/>
          <w:color w:val="auto"/>
          <w:kern w:val="0"/>
          <w:sz w:val="21"/>
          <w:szCs w:val="21"/>
        </w:rPr>
        <w:t>技术占</w:t>
      </w:r>
      <w:r>
        <w:rPr>
          <w:rFonts w:ascii="宋体" w:hAnsi="宋体" w:cs="宋体"/>
          <w:color w:val="auto"/>
          <w:kern w:val="0"/>
          <w:sz w:val="21"/>
          <w:szCs w:val="21"/>
        </w:rPr>
        <w:t>63%</w:t>
      </w:r>
      <w:r>
        <w:rPr>
          <w:rFonts w:hint="eastAsia" w:ascii="宋体" w:hAnsi="宋体" w:cs="宋体"/>
          <w:color w:val="auto"/>
          <w:kern w:val="0"/>
          <w:sz w:val="21"/>
          <w:szCs w:val="21"/>
        </w:rPr>
        <w:t>，包括技术参数、项目总体方案设计、项目实施方案、人员配备、售后服务</w:t>
      </w:r>
      <w:r>
        <w:rPr>
          <w:rFonts w:hint="eastAsia" w:ascii="宋体" w:hAnsi="宋体" w:cs="宋体"/>
          <w:color w:val="auto"/>
          <w:sz w:val="21"/>
          <w:szCs w:val="21"/>
        </w:rPr>
        <w:t>。</w:t>
      </w:r>
    </w:p>
    <w:p>
      <w:pPr>
        <w:pStyle w:val="9"/>
        <w:tabs>
          <w:tab w:val="clear" w:pos="567"/>
        </w:tabs>
        <w:spacing w:before="0" w:line="400" w:lineRule="exact"/>
        <w:rPr>
          <w:rFonts w:cs="Times New Roman"/>
          <w:color w:val="auto"/>
        </w:rPr>
      </w:pPr>
    </w:p>
    <w:p>
      <w:pPr>
        <w:spacing w:line="300" w:lineRule="auto"/>
        <w:jc w:val="center"/>
        <w:outlineLvl w:val="0"/>
        <w:rPr>
          <w:rFonts w:ascii="宋体"/>
          <w:b/>
          <w:bCs/>
          <w:color w:val="auto"/>
        </w:rPr>
      </w:pPr>
      <w:bookmarkStart w:id="1070" w:name="_Toc1126"/>
      <w:bookmarkStart w:id="1071" w:name="_Toc12716"/>
      <w:bookmarkStart w:id="1072" w:name="_Toc25224"/>
      <w:bookmarkStart w:id="1073" w:name="_Toc19633"/>
      <w:bookmarkStart w:id="1074" w:name="_Toc27829"/>
      <w:bookmarkStart w:id="1075" w:name="_Toc12438"/>
      <w:bookmarkStart w:id="1076" w:name="_Toc13711"/>
      <w:bookmarkStart w:id="1077" w:name="_Toc18687"/>
      <w:bookmarkStart w:id="1078" w:name="_Toc25776"/>
      <w:bookmarkStart w:id="1079" w:name="_Toc3470"/>
      <w:bookmarkStart w:id="1080" w:name="_Toc1545"/>
      <w:bookmarkStart w:id="1081" w:name="_Toc22779"/>
      <w:bookmarkStart w:id="1082" w:name="_Toc26572"/>
      <w:bookmarkStart w:id="1083" w:name="_Toc32167"/>
      <w:bookmarkStart w:id="1084" w:name="_Toc7251"/>
      <w:bookmarkStart w:id="1085" w:name="_Toc13647"/>
      <w:bookmarkStart w:id="1086" w:name="_Toc21250"/>
      <w:r>
        <w:rPr>
          <w:rFonts w:hint="eastAsia" w:ascii="宋体" w:hAnsi="宋体" w:cs="宋体"/>
          <w:b/>
          <w:bCs/>
          <w:color w:val="auto"/>
        </w:rPr>
        <w:t>初步评审</w:t>
      </w:r>
      <w:r>
        <w:rPr>
          <w:rFonts w:ascii="宋体" w:hAnsi="宋体" w:cs="宋体"/>
          <w:b/>
          <w:bCs/>
          <w:color w:val="auto"/>
        </w:rPr>
        <w:t>—</w:t>
      </w:r>
      <w:r>
        <w:rPr>
          <w:rFonts w:hint="eastAsia" w:ascii="宋体" w:hAnsi="宋体" w:cs="宋体"/>
          <w:b/>
          <w:bCs/>
          <w:color w:val="auto"/>
        </w:rPr>
        <w:t>资格性审查表</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tbl>
      <w:tblPr>
        <w:tblStyle w:val="21"/>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032"/>
        <w:gridCol w:w="820"/>
        <w:gridCol w:w="843"/>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pPr>
              <w:spacing w:line="400" w:lineRule="exact"/>
              <w:rPr>
                <w:rFonts w:ascii="宋体"/>
                <w:b/>
                <w:bCs/>
                <w:color w:val="auto"/>
              </w:rPr>
            </w:pPr>
            <w:r>
              <w:rPr>
                <w:rFonts w:hint="eastAsia" w:ascii="宋体" w:hAnsi="宋体" w:cs="宋体"/>
                <w:b/>
                <w:bCs/>
                <w:color w:val="auto"/>
              </w:rPr>
              <w:t>序号</w:t>
            </w:r>
          </w:p>
        </w:tc>
        <w:tc>
          <w:tcPr>
            <w:tcW w:w="7032" w:type="dxa"/>
            <w:vMerge w:val="restart"/>
            <w:vAlign w:val="center"/>
          </w:tcPr>
          <w:p>
            <w:pPr>
              <w:spacing w:line="400" w:lineRule="exact"/>
              <w:rPr>
                <w:rFonts w:ascii="宋体"/>
                <w:b/>
                <w:bCs/>
                <w:color w:val="auto"/>
              </w:rPr>
            </w:pPr>
            <w:r>
              <w:rPr>
                <w:rFonts w:hint="eastAsia" w:ascii="宋体" w:hAnsi="宋体" w:cs="宋体"/>
                <w:b/>
                <w:bCs/>
                <w:color w:val="auto"/>
              </w:rPr>
              <w:t>评审内容</w:t>
            </w:r>
          </w:p>
        </w:tc>
        <w:tc>
          <w:tcPr>
            <w:tcW w:w="2459" w:type="dxa"/>
            <w:gridSpan w:val="3"/>
            <w:vAlign w:val="center"/>
          </w:tcPr>
          <w:p>
            <w:pPr>
              <w:spacing w:line="400" w:lineRule="exact"/>
              <w:jc w:val="center"/>
              <w:rPr>
                <w:rFonts w:ascii="宋体"/>
                <w:b/>
                <w:bCs/>
                <w:color w:val="auto"/>
              </w:rPr>
            </w:pPr>
            <w:r>
              <w:rPr>
                <w:rFonts w:hint="eastAsia" w:ascii="宋体" w:hAnsi="宋体" w:cs="宋体"/>
                <w:b/>
                <w:bCs/>
                <w:color w:val="auto"/>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pPr>
              <w:spacing w:line="400" w:lineRule="exact"/>
              <w:rPr>
                <w:rFonts w:ascii="宋体"/>
                <w:b/>
                <w:bCs/>
                <w:color w:val="auto"/>
              </w:rPr>
            </w:pPr>
          </w:p>
        </w:tc>
        <w:tc>
          <w:tcPr>
            <w:tcW w:w="7032" w:type="dxa"/>
            <w:vMerge w:val="continue"/>
            <w:vAlign w:val="center"/>
          </w:tcPr>
          <w:p>
            <w:pPr>
              <w:spacing w:line="400" w:lineRule="exact"/>
              <w:rPr>
                <w:rFonts w:ascii="宋体"/>
                <w:b/>
                <w:bCs/>
                <w:color w:val="auto"/>
              </w:rPr>
            </w:pPr>
          </w:p>
        </w:tc>
        <w:tc>
          <w:tcPr>
            <w:tcW w:w="820" w:type="dxa"/>
            <w:vAlign w:val="center"/>
          </w:tcPr>
          <w:p>
            <w:pPr>
              <w:spacing w:line="400" w:lineRule="exact"/>
              <w:rPr>
                <w:rFonts w:ascii="宋体"/>
                <w:b/>
                <w:bCs/>
                <w:color w:val="auto"/>
              </w:rPr>
            </w:pPr>
            <w:r>
              <w:rPr>
                <w:rFonts w:hint="eastAsia" w:ascii="宋体" w:hAnsi="宋体" w:cs="宋体"/>
                <w:b/>
                <w:bCs/>
                <w:color w:val="auto"/>
              </w:rPr>
              <w:t>是否合格</w:t>
            </w:r>
          </w:p>
        </w:tc>
        <w:tc>
          <w:tcPr>
            <w:tcW w:w="843" w:type="dxa"/>
            <w:vAlign w:val="center"/>
          </w:tcPr>
          <w:p>
            <w:pPr>
              <w:spacing w:line="400" w:lineRule="exact"/>
              <w:rPr>
                <w:rFonts w:ascii="宋体"/>
                <w:b/>
                <w:bCs/>
                <w:color w:val="auto"/>
              </w:rPr>
            </w:pPr>
            <w:r>
              <w:rPr>
                <w:rFonts w:hint="eastAsia" w:ascii="宋体" w:hAnsi="宋体" w:cs="宋体"/>
                <w:b/>
                <w:bCs/>
                <w:color w:val="auto"/>
              </w:rPr>
              <w:t>是否合格</w:t>
            </w:r>
          </w:p>
        </w:tc>
        <w:tc>
          <w:tcPr>
            <w:tcW w:w="796" w:type="dxa"/>
            <w:vAlign w:val="center"/>
          </w:tcPr>
          <w:p>
            <w:pPr>
              <w:spacing w:line="400" w:lineRule="exact"/>
              <w:rPr>
                <w:rFonts w:ascii="宋体"/>
                <w:b/>
                <w:bCs/>
                <w:color w:val="auto"/>
              </w:rPr>
            </w:pPr>
            <w:r>
              <w:rPr>
                <w:rFonts w:hint="eastAsia" w:ascii="宋体" w:hAnsi="宋体" w:cs="宋体"/>
                <w:b/>
                <w:bCs/>
                <w:color w:val="auto"/>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ascii="宋体"/>
                <w:color w:val="auto"/>
              </w:rPr>
            </w:pPr>
            <w:r>
              <w:rPr>
                <w:rFonts w:ascii="宋体" w:hAnsi="宋体" w:cs="宋体"/>
                <w:color w:val="auto"/>
              </w:rPr>
              <w:t>1</w:t>
            </w:r>
          </w:p>
        </w:tc>
        <w:tc>
          <w:tcPr>
            <w:tcW w:w="7032" w:type="dxa"/>
            <w:vAlign w:val="center"/>
          </w:tcPr>
          <w:p>
            <w:pPr>
              <w:spacing w:line="380" w:lineRule="exact"/>
              <w:rPr>
                <w:rFonts w:ascii="宋体"/>
                <w:color w:val="auto"/>
              </w:rPr>
            </w:pPr>
            <w:r>
              <w:rPr>
                <w:rFonts w:hint="eastAsia" w:ascii="宋体" w:hAnsi="宋体" w:cs="宋体"/>
                <w:color w:val="auto"/>
              </w:rPr>
              <w:t>具有有效的独立法人营业执照；</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ascii="宋体"/>
                <w:color w:val="auto"/>
              </w:rPr>
            </w:pPr>
            <w:r>
              <w:rPr>
                <w:rFonts w:ascii="宋体" w:hAnsi="宋体" w:cs="宋体"/>
                <w:color w:val="auto"/>
              </w:rPr>
              <w:t>2</w:t>
            </w:r>
          </w:p>
        </w:tc>
        <w:tc>
          <w:tcPr>
            <w:tcW w:w="7032" w:type="dxa"/>
            <w:vAlign w:val="center"/>
          </w:tcPr>
          <w:p>
            <w:pPr>
              <w:spacing w:line="380" w:lineRule="exact"/>
              <w:rPr>
                <w:rFonts w:ascii="宋体"/>
                <w:color w:val="auto"/>
              </w:rPr>
            </w:pPr>
            <w:r>
              <w:rPr>
                <w:rFonts w:hint="eastAsia" w:ascii="宋体" w:hAnsi="宋体" w:cs="宋体"/>
                <w:color w:val="auto"/>
              </w:rPr>
              <w:t>法人代表资格证明书及授权书、被授权人身份证；</w:t>
            </w:r>
            <w:r>
              <w:rPr>
                <w:rFonts w:ascii="宋体" w:hAnsi="宋体" w:cs="宋体"/>
                <w:color w:val="auto"/>
              </w:rPr>
              <w:t>(</w:t>
            </w:r>
            <w:r>
              <w:rPr>
                <w:rFonts w:hint="eastAsia" w:ascii="宋体" w:hAnsi="宋体" w:cs="宋体"/>
                <w:color w:val="auto"/>
              </w:rPr>
              <w:t>法人投标需提供法人身份证及法人代表资格证明书</w:t>
            </w:r>
            <w:r>
              <w:rPr>
                <w:rFonts w:ascii="宋体" w:hAnsi="宋体" w:cs="宋体"/>
                <w:color w:val="auto"/>
              </w:rPr>
              <w:t>)</w:t>
            </w:r>
            <w:r>
              <w:rPr>
                <w:rFonts w:hint="eastAsia" w:ascii="宋体" w:hAnsi="宋体" w:cs="宋体"/>
                <w:color w:val="auto"/>
              </w:rPr>
              <w:t>；</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69" w:type="dxa"/>
            <w:vAlign w:val="center"/>
          </w:tcPr>
          <w:p>
            <w:pPr>
              <w:spacing w:line="380" w:lineRule="exact"/>
              <w:jc w:val="center"/>
              <w:rPr>
                <w:rFonts w:ascii="宋体"/>
                <w:color w:val="auto"/>
              </w:rPr>
            </w:pPr>
            <w:r>
              <w:rPr>
                <w:rFonts w:ascii="宋体" w:hAnsi="宋体" w:cs="宋体"/>
                <w:color w:val="auto"/>
              </w:rPr>
              <w:t>3</w:t>
            </w:r>
          </w:p>
        </w:tc>
        <w:tc>
          <w:tcPr>
            <w:tcW w:w="7032" w:type="dxa"/>
            <w:vAlign w:val="center"/>
          </w:tcPr>
          <w:p>
            <w:pPr>
              <w:spacing w:line="380" w:lineRule="exact"/>
              <w:rPr>
                <w:rFonts w:ascii="宋体"/>
                <w:color w:val="auto"/>
              </w:rPr>
            </w:pPr>
            <w:r>
              <w:rPr>
                <w:rFonts w:hint="eastAsia" w:ascii="宋体" w:hAnsi="宋体" w:cs="宋体"/>
                <w:color w:val="auto"/>
              </w:rPr>
              <w:t>财务状况报告近二年任意一年经审计的财务报告</w:t>
            </w:r>
            <w:r>
              <w:rPr>
                <w:rFonts w:ascii="宋体" w:cs="宋体"/>
                <w:color w:val="auto"/>
              </w:rPr>
              <w:t>,</w:t>
            </w:r>
            <w:r>
              <w:rPr>
                <w:rFonts w:hint="eastAsia" w:ascii="宋体" w:hAnsi="宋体" w:cs="宋体"/>
                <w:color w:val="auto"/>
              </w:rPr>
              <w:t>或新公司出具近</w:t>
            </w:r>
            <w:r>
              <w:rPr>
                <w:rFonts w:ascii="宋体" w:hAnsi="宋体" w:cs="宋体"/>
                <w:color w:val="auto"/>
              </w:rPr>
              <w:t>6</w:t>
            </w:r>
            <w:r>
              <w:rPr>
                <w:rFonts w:hint="eastAsia" w:ascii="宋体" w:hAnsi="宋体" w:cs="宋体"/>
                <w:color w:val="auto"/>
              </w:rPr>
              <w:t>个月任意一个月的银行资信证明；</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9" w:type="dxa"/>
            <w:vAlign w:val="center"/>
          </w:tcPr>
          <w:p>
            <w:pPr>
              <w:spacing w:line="380" w:lineRule="exact"/>
              <w:jc w:val="center"/>
              <w:rPr>
                <w:rFonts w:ascii="宋体"/>
                <w:color w:val="auto"/>
              </w:rPr>
            </w:pPr>
            <w:r>
              <w:rPr>
                <w:rFonts w:ascii="宋体" w:hAnsi="宋体" w:cs="宋体"/>
                <w:color w:val="auto"/>
              </w:rPr>
              <w:t>4</w:t>
            </w:r>
          </w:p>
        </w:tc>
        <w:tc>
          <w:tcPr>
            <w:tcW w:w="7032" w:type="dxa"/>
            <w:vAlign w:val="center"/>
          </w:tcPr>
          <w:p>
            <w:pPr>
              <w:spacing w:line="380" w:lineRule="exact"/>
              <w:rPr>
                <w:rFonts w:ascii="宋体"/>
                <w:color w:val="auto"/>
              </w:rPr>
            </w:pPr>
            <w:r>
              <w:rPr>
                <w:rFonts w:hint="eastAsia" w:ascii="宋体" w:hAnsi="宋体" w:cs="宋体"/>
                <w:color w:val="auto"/>
              </w:rPr>
              <w:t>依法缴纳近</w:t>
            </w:r>
            <w:r>
              <w:rPr>
                <w:rFonts w:ascii="宋体" w:hAnsi="宋体" w:cs="宋体"/>
                <w:color w:val="auto"/>
              </w:rPr>
              <w:t>6</w:t>
            </w:r>
            <w:r>
              <w:rPr>
                <w:rFonts w:hint="eastAsia" w:ascii="宋体" w:hAnsi="宋体" w:cs="宋体"/>
                <w:color w:val="auto"/>
              </w:rPr>
              <w:t>个月任意一个月社会保险的凭据；</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9" w:type="dxa"/>
            <w:vAlign w:val="center"/>
          </w:tcPr>
          <w:p>
            <w:pPr>
              <w:spacing w:line="380" w:lineRule="exact"/>
              <w:jc w:val="center"/>
              <w:rPr>
                <w:rFonts w:ascii="宋体"/>
                <w:color w:val="auto"/>
              </w:rPr>
            </w:pPr>
            <w:r>
              <w:rPr>
                <w:rFonts w:ascii="宋体" w:hAnsi="宋体" w:cs="宋体"/>
                <w:color w:val="auto"/>
              </w:rPr>
              <w:t>5</w:t>
            </w:r>
          </w:p>
        </w:tc>
        <w:tc>
          <w:tcPr>
            <w:tcW w:w="7032" w:type="dxa"/>
            <w:vAlign w:val="center"/>
          </w:tcPr>
          <w:p>
            <w:pPr>
              <w:spacing w:line="380" w:lineRule="exact"/>
              <w:rPr>
                <w:rFonts w:ascii="宋体"/>
                <w:color w:val="auto"/>
              </w:rPr>
            </w:pPr>
            <w:r>
              <w:rPr>
                <w:rFonts w:hint="eastAsia" w:ascii="宋体" w:hAnsi="宋体" w:cs="宋体"/>
                <w:color w:val="auto"/>
              </w:rPr>
              <w:t>提供税务部门出具的近</w:t>
            </w:r>
            <w:r>
              <w:rPr>
                <w:rFonts w:ascii="宋体" w:hAnsi="宋体" w:cs="宋体"/>
                <w:color w:val="auto"/>
              </w:rPr>
              <w:t>6</w:t>
            </w:r>
            <w:r>
              <w:rPr>
                <w:rFonts w:hint="eastAsia" w:ascii="宋体" w:hAnsi="宋体" w:cs="宋体"/>
                <w:color w:val="auto"/>
              </w:rPr>
              <w:t>个月任意一个月的完税证明；</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9" w:type="dxa"/>
            <w:vAlign w:val="center"/>
          </w:tcPr>
          <w:p>
            <w:pPr>
              <w:spacing w:line="380" w:lineRule="exact"/>
              <w:jc w:val="center"/>
              <w:rPr>
                <w:rFonts w:ascii="宋体"/>
                <w:color w:val="auto"/>
              </w:rPr>
            </w:pPr>
            <w:r>
              <w:rPr>
                <w:rFonts w:ascii="宋体" w:hAnsi="宋体" w:cs="宋体"/>
                <w:color w:val="auto"/>
              </w:rPr>
              <w:t>6</w:t>
            </w:r>
          </w:p>
        </w:tc>
        <w:tc>
          <w:tcPr>
            <w:tcW w:w="7032" w:type="dxa"/>
            <w:vAlign w:val="center"/>
          </w:tcPr>
          <w:p>
            <w:pPr>
              <w:spacing w:line="380" w:lineRule="exact"/>
              <w:rPr>
                <w:rFonts w:ascii="宋体"/>
                <w:color w:val="auto"/>
              </w:rPr>
            </w:pPr>
            <w:r>
              <w:rPr>
                <w:rFonts w:hint="eastAsia" w:ascii="宋体" w:hAnsi="宋体" w:cs="宋体"/>
                <w:color w:val="auto"/>
              </w:rPr>
              <w:t>参与政府采购活动前</w:t>
            </w:r>
            <w:r>
              <w:rPr>
                <w:rFonts w:ascii="宋体" w:hAnsi="宋体" w:cs="宋体"/>
                <w:color w:val="auto"/>
              </w:rPr>
              <w:t>3</w:t>
            </w:r>
            <w:r>
              <w:rPr>
                <w:rFonts w:hint="eastAsia" w:ascii="宋体" w:hAnsi="宋体" w:cs="宋体"/>
                <w:color w:val="auto"/>
              </w:rPr>
              <w:t>年内未被列入失信、重大税收违法案件、财政部门禁止参加政府采购活动的承诺书；</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ascii="宋体"/>
                <w:color w:val="auto"/>
              </w:rPr>
            </w:pPr>
            <w:r>
              <w:rPr>
                <w:rFonts w:ascii="宋体" w:hAnsi="宋体" w:cs="宋体"/>
                <w:color w:val="auto"/>
              </w:rPr>
              <w:t>7</w:t>
            </w:r>
          </w:p>
        </w:tc>
        <w:tc>
          <w:tcPr>
            <w:tcW w:w="7032" w:type="dxa"/>
            <w:vAlign w:val="center"/>
          </w:tcPr>
          <w:p>
            <w:pPr>
              <w:spacing w:line="380" w:lineRule="exact"/>
              <w:rPr>
                <w:rFonts w:ascii="宋体"/>
                <w:color w:val="auto"/>
              </w:rPr>
            </w:pPr>
            <w:r>
              <w:rPr>
                <w:rFonts w:hint="eastAsia" w:ascii="宋体" w:hAnsi="宋体" w:cs="宋体"/>
                <w:color w:val="auto"/>
              </w:rPr>
              <w:t>根据《财政部关于在政府采购活动中查询及使用信用记录有关问题的通知》（财库﹝</w:t>
            </w:r>
            <w:r>
              <w:rPr>
                <w:rFonts w:ascii="宋体" w:hAnsi="宋体" w:cs="宋体"/>
                <w:color w:val="auto"/>
              </w:rPr>
              <w:t>2016</w:t>
            </w:r>
            <w:r>
              <w:rPr>
                <w:rFonts w:hint="eastAsia" w:ascii="宋体" w:hAnsi="宋体" w:cs="宋体"/>
                <w:color w:val="auto"/>
              </w:rPr>
              <w:t>﹞</w:t>
            </w:r>
            <w:r>
              <w:rPr>
                <w:rFonts w:ascii="宋体" w:hAnsi="宋体" w:cs="宋体"/>
                <w:color w:val="auto"/>
              </w:rPr>
              <w:t>125</w:t>
            </w:r>
            <w:r>
              <w:rPr>
                <w:rFonts w:hint="eastAsia" w:ascii="宋体" w:hAnsi="宋体" w:cs="宋体"/>
                <w:color w:val="auto"/>
              </w:rPr>
              <w:t>号）的要求，凡拟参加本次招标项目的供应商，如在“信用中国”网站（</w:t>
            </w:r>
            <w:r>
              <w:rPr>
                <w:rFonts w:ascii="宋体" w:hAnsi="宋体" w:cs="宋体"/>
                <w:color w:val="auto"/>
              </w:rPr>
              <w:t xml:space="preserve"> www.creditchina.gov.cn</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被列入失信被执行人、重大税收违法案件当事人名单</w:t>
            </w:r>
            <w:r>
              <w:rPr>
                <w:rFonts w:ascii="宋体" w:hAnsi="宋体" w:cs="宋体"/>
                <w:color w:val="auto"/>
              </w:rPr>
              <w:t>(</w:t>
            </w:r>
            <w:r>
              <w:rPr>
                <w:rFonts w:hint="eastAsia" w:ascii="宋体" w:hAnsi="宋体" w:cs="宋体"/>
                <w:color w:val="auto"/>
              </w:rPr>
              <w:t>信用服务</w:t>
            </w:r>
            <w:r>
              <w:rPr>
                <w:rFonts w:ascii="宋体" w:cs="宋体"/>
                <w:color w:val="auto"/>
              </w:rPr>
              <w:t>-</w:t>
            </w:r>
            <w:r>
              <w:rPr>
                <w:rFonts w:hint="eastAsia" w:ascii="宋体" w:hAnsi="宋体" w:cs="宋体"/>
                <w:color w:val="auto"/>
              </w:rPr>
              <w:t>失信惩戒对象查询</w:t>
            </w:r>
            <w:r>
              <w:rPr>
                <w:rFonts w:ascii="宋体" w:cs="宋体"/>
                <w:color w:val="auto"/>
              </w:rPr>
              <w:t>-</w:t>
            </w:r>
            <w:r>
              <w:rPr>
                <w:rFonts w:hint="eastAsia" w:ascii="宋体" w:hAnsi="宋体" w:cs="宋体"/>
                <w:color w:val="auto"/>
              </w:rPr>
              <w:t>搜索栏输入单位全称</w:t>
            </w:r>
            <w:r>
              <w:rPr>
                <w:rFonts w:ascii="宋体" w:cs="宋体"/>
                <w:color w:val="auto"/>
              </w:rPr>
              <w:t>-</w:t>
            </w:r>
            <w:r>
              <w:rPr>
                <w:rFonts w:hint="eastAsia" w:ascii="宋体" w:hAnsi="宋体" w:cs="宋体"/>
                <w:color w:val="auto"/>
              </w:rPr>
              <w:t>截图</w:t>
            </w:r>
            <w:r>
              <w:rPr>
                <w:rFonts w:ascii="宋体" w:hAnsi="宋体" w:cs="宋体"/>
                <w:color w:val="auto"/>
              </w:rPr>
              <w:t>)</w:t>
            </w:r>
            <w:r>
              <w:rPr>
                <w:rFonts w:hint="eastAsia" w:ascii="宋体" w:hAnsi="宋体" w:cs="宋体"/>
                <w:color w:val="auto"/>
              </w:rPr>
              <w:t>、中国政府采购网（</w:t>
            </w:r>
            <w:r>
              <w:rPr>
                <w:rFonts w:ascii="宋体" w:hAnsi="宋体" w:cs="宋体"/>
                <w:color w:val="auto"/>
              </w:rPr>
              <w:t>http://www.ccgp.gov.cn/search/cr/</w:t>
            </w:r>
            <w:r>
              <w:rPr>
                <w:rFonts w:hint="eastAsia" w:ascii="宋体" w:hAnsi="宋体" w:cs="宋体"/>
                <w:color w:val="auto"/>
              </w:rPr>
              <w:t>）严重违法失信行为记录名单的（尚在处罚期内的），“国家企业信用信息公示系统（</w:t>
            </w:r>
            <w:r>
              <w:rPr>
                <w:rFonts w:ascii="宋体" w:hAnsi="宋体" w:cs="宋体"/>
                <w:color w:val="auto"/>
              </w:rPr>
              <w:t>http://www.gsxt.gov.cn</w:t>
            </w:r>
            <w:r>
              <w:rPr>
                <w:rFonts w:hint="eastAsia" w:ascii="宋体" w:hAnsi="宋体" w:cs="宋体"/>
                <w:color w:val="auto"/>
              </w:rPr>
              <w:t>）”列入经营异常名录信息、列入严重违法失信企业名单（黑名单）信息及企业信用信息公示报告；将拒绝其参加本次招标活动；</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ascii="宋体"/>
                <w:color w:val="auto"/>
              </w:rPr>
            </w:pPr>
            <w:r>
              <w:rPr>
                <w:rFonts w:ascii="宋体" w:hAnsi="宋体" w:cs="宋体"/>
                <w:color w:val="auto"/>
              </w:rPr>
              <w:t>8</w:t>
            </w:r>
          </w:p>
        </w:tc>
        <w:tc>
          <w:tcPr>
            <w:tcW w:w="7032" w:type="dxa"/>
            <w:vAlign w:val="center"/>
          </w:tcPr>
          <w:p>
            <w:pPr>
              <w:spacing w:line="380" w:lineRule="exact"/>
              <w:rPr>
                <w:rFonts w:ascii="宋体"/>
                <w:color w:val="auto"/>
              </w:rPr>
            </w:pPr>
            <w:r>
              <w:rPr>
                <w:rFonts w:hint="eastAsia" w:ascii="宋体" w:hAnsi="宋体" w:cs="宋体"/>
                <w:color w:val="auto"/>
              </w:rPr>
              <w:t>提供针对本次项目《反商业贿赂承诺书》；</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ascii="宋体"/>
                <w:color w:val="auto"/>
              </w:rPr>
            </w:pPr>
            <w:r>
              <w:rPr>
                <w:rFonts w:ascii="宋体" w:hAnsi="宋体" w:cs="宋体"/>
                <w:color w:val="auto"/>
              </w:rPr>
              <w:t>9</w:t>
            </w:r>
          </w:p>
        </w:tc>
        <w:tc>
          <w:tcPr>
            <w:tcW w:w="7032" w:type="dxa"/>
            <w:vAlign w:val="center"/>
          </w:tcPr>
          <w:p>
            <w:pPr>
              <w:spacing w:line="380" w:lineRule="exact"/>
              <w:rPr>
                <w:rFonts w:ascii="宋体"/>
                <w:color w:val="auto"/>
              </w:rPr>
            </w:pPr>
            <w:r>
              <w:rPr>
                <w:rFonts w:hint="eastAsia" w:ascii="宋体" w:hAnsi="宋体" w:cs="宋体"/>
                <w:color w:val="auto"/>
              </w:rPr>
              <w:t>缴纳投标保证金银行转账回执单复印件；</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400" w:lineRule="exact"/>
              <w:rPr>
                <w:rFonts w:ascii="宋体"/>
                <w:color w:val="auto"/>
              </w:rPr>
            </w:pPr>
          </w:p>
        </w:tc>
        <w:tc>
          <w:tcPr>
            <w:tcW w:w="7032" w:type="dxa"/>
            <w:vAlign w:val="center"/>
          </w:tcPr>
          <w:p>
            <w:pPr>
              <w:spacing w:line="400" w:lineRule="exact"/>
              <w:rPr>
                <w:rFonts w:ascii="宋体"/>
                <w:color w:val="auto"/>
              </w:rPr>
            </w:pPr>
            <w:r>
              <w:rPr>
                <w:rFonts w:hint="eastAsia" w:ascii="宋体" w:hAnsi="宋体" w:cs="宋体"/>
                <w:color w:val="auto"/>
              </w:rPr>
              <w:t>结论</w:t>
            </w:r>
          </w:p>
        </w:tc>
        <w:tc>
          <w:tcPr>
            <w:tcW w:w="820" w:type="dxa"/>
            <w:vAlign w:val="center"/>
          </w:tcPr>
          <w:p>
            <w:pPr>
              <w:spacing w:line="400" w:lineRule="exact"/>
              <w:rPr>
                <w:rFonts w:ascii="宋体"/>
                <w:color w:val="auto"/>
              </w:rPr>
            </w:pPr>
          </w:p>
        </w:tc>
        <w:tc>
          <w:tcPr>
            <w:tcW w:w="843" w:type="dxa"/>
            <w:vAlign w:val="center"/>
          </w:tcPr>
          <w:p>
            <w:pPr>
              <w:spacing w:line="400" w:lineRule="exact"/>
              <w:rPr>
                <w:rFonts w:ascii="宋体"/>
                <w:color w:val="auto"/>
              </w:rPr>
            </w:pPr>
          </w:p>
        </w:tc>
        <w:tc>
          <w:tcPr>
            <w:tcW w:w="796" w:type="dxa"/>
            <w:vAlign w:val="center"/>
          </w:tcPr>
          <w:p>
            <w:pPr>
              <w:spacing w:line="400" w:lineRule="exact"/>
              <w:rPr>
                <w:rFonts w:ascii="宋体"/>
                <w:color w:val="auto"/>
              </w:rPr>
            </w:pPr>
          </w:p>
        </w:tc>
      </w:tr>
    </w:tbl>
    <w:p>
      <w:pPr>
        <w:pStyle w:val="2"/>
        <w:ind w:firstLine="0"/>
        <w:rPr>
          <w:rFonts w:hAnsi="宋体" w:cs="Times New Roman"/>
          <w:b/>
          <w:bCs/>
          <w:color w:val="auto"/>
          <w:sz w:val="21"/>
          <w:szCs w:val="21"/>
        </w:rPr>
      </w:pPr>
    </w:p>
    <w:p>
      <w:pPr>
        <w:spacing w:line="300" w:lineRule="auto"/>
        <w:rPr>
          <w:rFonts w:ascii="宋体"/>
          <w:color w:val="auto"/>
        </w:rPr>
      </w:pPr>
      <w:r>
        <w:rPr>
          <w:rFonts w:hint="eastAsia" w:ascii="宋体" w:hAnsi="宋体" w:cs="宋体"/>
          <w:color w:val="auto"/>
        </w:rPr>
        <w:t>说明：（</w:t>
      </w:r>
      <w:r>
        <w:rPr>
          <w:rFonts w:ascii="宋体" w:hAnsi="宋体" w:cs="宋体"/>
          <w:color w:val="auto"/>
        </w:rPr>
        <w:t>1</w:t>
      </w:r>
      <w:r>
        <w:rPr>
          <w:rFonts w:hint="eastAsia" w:ascii="宋体" w:hAnsi="宋体" w:cs="宋体"/>
          <w:color w:val="auto"/>
        </w:rPr>
        <w:t>）上述各项中用“√”表示通过，“×”表示不通过；</w:t>
      </w:r>
    </w:p>
    <w:p>
      <w:pPr>
        <w:spacing w:line="300" w:lineRule="auto"/>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）上述各项中如有一项为“×”，则结论为“×”，表示该投标文件中存在重大偏差，不能通过初步评审；评委对某一分项评审认为不合格时，必须要写明原因。</w:t>
      </w:r>
    </w:p>
    <w:p>
      <w:pPr>
        <w:spacing w:line="300" w:lineRule="auto"/>
        <w:ind w:left="60"/>
        <w:rPr>
          <w:rFonts w:asci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）投标文件最终合格与否，以所有评委的评审意见中少数服从多数为原则定论。</w:t>
      </w:r>
    </w:p>
    <w:p>
      <w:pPr>
        <w:spacing w:line="240" w:lineRule="atLeast"/>
        <w:rPr>
          <w:rFonts w:ascii="宋体"/>
          <w:b/>
          <w:bCs/>
          <w:color w:val="auto"/>
        </w:rPr>
      </w:pPr>
      <w:r>
        <w:rPr>
          <w:rFonts w:hint="eastAsia" w:ascii="宋体" w:hAnsi="宋体" w:cs="宋体"/>
          <w:b/>
          <w:bCs/>
          <w:color w:val="auto"/>
        </w:rPr>
        <w:t>未通过资格审查的供应商不进入评标；通过资格审查的供应商少于不足三家的，不得评标。</w:t>
      </w:r>
    </w:p>
    <w:p>
      <w:pPr>
        <w:pStyle w:val="2"/>
        <w:spacing w:line="300" w:lineRule="auto"/>
        <w:ind w:firstLine="0"/>
        <w:jc w:val="both"/>
        <w:rPr>
          <w:rFonts w:hAnsi="宋体" w:cs="Times New Roman"/>
          <w:b/>
          <w:bCs/>
          <w:color w:val="auto"/>
          <w:sz w:val="21"/>
          <w:szCs w:val="21"/>
        </w:rPr>
      </w:pPr>
    </w:p>
    <w:p>
      <w:pPr>
        <w:pStyle w:val="2"/>
        <w:spacing w:line="300" w:lineRule="auto"/>
        <w:ind w:firstLine="0"/>
        <w:jc w:val="both"/>
        <w:rPr>
          <w:rFonts w:hAnsi="宋体" w:cs="Times New Roman"/>
          <w:b/>
          <w:bCs/>
          <w:color w:val="auto"/>
          <w:sz w:val="21"/>
          <w:szCs w:val="21"/>
        </w:rPr>
      </w:pPr>
    </w:p>
    <w:p>
      <w:pPr>
        <w:rPr>
          <w:rFonts w:ascii="宋体"/>
          <w:color w:val="auto"/>
        </w:rPr>
      </w:pPr>
    </w:p>
    <w:p>
      <w:pPr>
        <w:rPr>
          <w:rFonts w:ascii="宋体"/>
          <w:b/>
          <w:bCs/>
          <w:color w:val="auto"/>
        </w:rPr>
      </w:pPr>
    </w:p>
    <w:p>
      <w:pPr>
        <w:pStyle w:val="2"/>
        <w:spacing w:line="300" w:lineRule="auto"/>
        <w:ind w:firstLine="0"/>
        <w:jc w:val="center"/>
        <w:outlineLvl w:val="0"/>
        <w:rPr>
          <w:rFonts w:hAnsi="宋体" w:cs="Times New Roman"/>
          <w:b/>
          <w:bCs/>
          <w:color w:val="auto"/>
          <w:sz w:val="21"/>
          <w:szCs w:val="21"/>
        </w:rPr>
      </w:pPr>
      <w:bookmarkStart w:id="1087" w:name="_Toc8628"/>
      <w:bookmarkStart w:id="1088" w:name="_Toc7343"/>
      <w:bookmarkStart w:id="1089" w:name="_Toc19523"/>
      <w:bookmarkStart w:id="1090" w:name="_Toc20635"/>
      <w:bookmarkStart w:id="1091" w:name="_Toc12096"/>
      <w:bookmarkStart w:id="1092" w:name="_Toc24305"/>
      <w:bookmarkStart w:id="1093" w:name="_Toc946"/>
      <w:bookmarkStart w:id="1094" w:name="_Toc70"/>
      <w:bookmarkStart w:id="1095" w:name="_Toc22718"/>
      <w:bookmarkStart w:id="1096" w:name="_Toc14391"/>
      <w:bookmarkStart w:id="1097" w:name="_Toc11241"/>
      <w:bookmarkStart w:id="1098" w:name="_Toc29061"/>
      <w:bookmarkStart w:id="1099" w:name="_Toc1293"/>
      <w:bookmarkStart w:id="1100" w:name="_Toc28345"/>
      <w:bookmarkStart w:id="1101" w:name="_Toc8771"/>
      <w:bookmarkStart w:id="1102" w:name="_Toc23770"/>
      <w:bookmarkStart w:id="1103" w:name="_Toc4255"/>
      <w:r>
        <w:rPr>
          <w:rFonts w:hint="eastAsia" w:hAnsi="宋体"/>
          <w:b/>
          <w:bCs/>
          <w:color w:val="auto"/>
          <w:sz w:val="21"/>
          <w:szCs w:val="21"/>
        </w:rPr>
        <w:t>初步评审</w:t>
      </w:r>
      <w:r>
        <w:rPr>
          <w:rFonts w:hAnsi="宋体"/>
          <w:b/>
          <w:bCs/>
          <w:color w:val="auto"/>
          <w:sz w:val="21"/>
          <w:szCs w:val="21"/>
        </w:rPr>
        <w:t>—</w:t>
      </w:r>
      <w:r>
        <w:rPr>
          <w:rFonts w:hint="eastAsia" w:hAnsi="宋体"/>
          <w:b/>
          <w:bCs/>
          <w:color w:val="auto"/>
          <w:sz w:val="21"/>
          <w:szCs w:val="21"/>
        </w:rPr>
        <w:t>符合性审查表</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tbl>
      <w:tblPr>
        <w:tblStyle w:val="21"/>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ascii="宋体"/>
                <w:color w:val="auto"/>
                <w:spacing w:val="-2"/>
                <w:sz w:val="24"/>
                <w:szCs w:val="24"/>
              </w:rPr>
            </w:pPr>
            <w:r>
              <w:rPr>
                <w:rFonts w:hint="eastAsia" w:ascii="宋体" w:hAnsi="宋体" w:cs="宋体"/>
                <w:color w:val="auto"/>
                <w:spacing w:val="-2"/>
                <w:sz w:val="24"/>
                <w:szCs w:val="24"/>
              </w:rPr>
              <w:t>评审内容</w:t>
            </w:r>
          </w:p>
        </w:tc>
        <w:tc>
          <w:tcPr>
            <w:tcW w:w="1637" w:type="dxa"/>
            <w:vAlign w:val="center"/>
          </w:tcPr>
          <w:p>
            <w:pPr>
              <w:spacing w:line="300" w:lineRule="auto"/>
              <w:jc w:val="center"/>
              <w:rPr>
                <w:rFonts w:ascii="宋体"/>
                <w:color w:val="auto"/>
                <w:spacing w:val="-2"/>
                <w:sz w:val="24"/>
                <w:szCs w:val="24"/>
              </w:rPr>
            </w:pPr>
            <w:r>
              <w:rPr>
                <w:rFonts w:hint="eastAsia" w:ascii="宋体" w:hAnsi="宋体" w:cs="宋体"/>
                <w:b/>
                <w:bCs/>
                <w:color w:val="auto"/>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ascii="宋体"/>
                <w:color w:val="auto"/>
                <w:sz w:val="24"/>
                <w:szCs w:val="24"/>
              </w:rPr>
            </w:pPr>
            <w:r>
              <w:rPr>
                <w:rFonts w:hint="eastAsia" w:ascii="宋体" w:hAnsi="宋体" w:cs="宋体"/>
                <w:color w:val="auto"/>
                <w:sz w:val="24"/>
                <w:szCs w:val="24"/>
              </w:rPr>
              <w:t>序号</w:t>
            </w:r>
          </w:p>
        </w:tc>
        <w:tc>
          <w:tcPr>
            <w:tcW w:w="6755" w:type="dxa"/>
            <w:vAlign w:val="center"/>
          </w:tcPr>
          <w:p>
            <w:pPr>
              <w:spacing w:line="300" w:lineRule="auto"/>
              <w:rPr>
                <w:rFonts w:ascii="宋体"/>
                <w:color w:val="auto"/>
                <w:spacing w:val="-2"/>
                <w:sz w:val="24"/>
                <w:szCs w:val="24"/>
              </w:rPr>
            </w:pPr>
          </w:p>
        </w:tc>
        <w:tc>
          <w:tcPr>
            <w:tcW w:w="1637" w:type="dxa"/>
            <w:vAlign w:val="center"/>
          </w:tcPr>
          <w:p>
            <w:pPr>
              <w:spacing w:line="300" w:lineRule="auto"/>
              <w:jc w:val="center"/>
              <w:rPr>
                <w:rFonts w:ascii="宋体"/>
                <w:color w:val="auto"/>
                <w:spacing w:val="-2"/>
                <w:sz w:val="24"/>
                <w:szCs w:val="24"/>
              </w:rPr>
            </w:pPr>
            <w:r>
              <w:rPr>
                <w:rFonts w:hint="eastAsia" w:ascii="宋体" w:hAnsi="宋体" w:cs="宋体"/>
                <w:color w:val="auto"/>
                <w:spacing w:val="-2"/>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1</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各供应商投标报价未高于预算金额；</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2</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评标委员会认为供应商的报价无明显低于其他通过符合性审查供应商的报价的，供应商的报价不存在异常一致并成规律性的，其报价合理。</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3</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供应商按招标文件规定提交投标文件份数。</w:t>
            </w:r>
          </w:p>
        </w:tc>
        <w:tc>
          <w:tcPr>
            <w:tcW w:w="1637" w:type="dxa"/>
            <w:vAlign w:val="center"/>
          </w:tcPr>
          <w:p>
            <w:pPr>
              <w:spacing w:line="30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4</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投标文件按照招标文件的规定编制、标记及签署盖章的，法定代表人或其授权代表签字（章）和加盖供应商公章的（投标文件正本的印章和签字不能为复印件）；</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5</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按招标文件规定的格式填写，内容全或关键字迹清晰、数量等齐全的。</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6</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没有采购人不能接受的附加条件的</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7</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b/>
                <w:bCs/>
                <w:color w:val="auto"/>
                <w:spacing w:val="-2"/>
                <w:sz w:val="24"/>
                <w:szCs w:val="24"/>
              </w:rPr>
              <w:t>符合招标文件中规定的其他实质性要求（建设周期等）</w:t>
            </w:r>
            <w:r>
              <w:rPr>
                <w:rFonts w:hint="eastAsia" w:ascii="宋体" w:hAnsi="宋体" w:cs="宋体"/>
                <w:color w:val="auto"/>
                <w:spacing w:val="-2"/>
                <w:sz w:val="24"/>
                <w:szCs w:val="24"/>
              </w:rPr>
              <w:t>；</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ascii="宋体"/>
                <w:color w:val="auto"/>
                <w:spacing w:val="-2"/>
                <w:sz w:val="24"/>
                <w:szCs w:val="24"/>
              </w:rPr>
            </w:pPr>
            <w:r>
              <w:rPr>
                <w:rFonts w:ascii="宋体" w:hAnsi="宋体" w:cs="宋体"/>
                <w:color w:val="auto"/>
                <w:sz w:val="24"/>
                <w:szCs w:val="24"/>
              </w:rPr>
              <w:t>8</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不同供应商的投标文件没有错漏一致的情况</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9</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供应商附有详细地址、联系人、电话标明的。</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pPr>
              <w:spacing w:line="360" w:lineRule="auto"/>
              <w:jc w:val="center"/>
              <w:rPr>
                <w:rFonts w:ascii="宋体"/>
                <w:color w:val="auto"/>
                <w:sz w:val="24"/>
                <w:szCs w:val="24"/>
              </w:rPr>
            </w:pPr>
            <w:r>
              <w:rPr>
                <w:rFonts w:ascii="宋体" w:hAnsi="宋体" w:cs="宋体"/>
                <w:color w:val="auto"/>
                <w:sz w:val="24"/>
                <w:szCs w:val="24"/>
              </w:rPr>
              <w:t>10</w:t>
            </w:r>
          </w:p>
        </w:tc>
        <w:tc>
          <w:tcPr>
            <w:tcW w:w="6755" w:type="dxa"/>
            <w:vAlign w:val="center"/>
          </w:tcPr>
          <w:p>
            <w:pPr>
              <w:spacing w:line="300" w:lineRule="auto"/>
              <w:jc w:val="left"/>
              <w:rPr>
                <w:rFonts w:ascii="宋体"/>
                <w:color w:val="auto"/>
                <w:spacing w:val="-2"/>
                <w:sz w:val="24"/>
                <w:szCs w:val="24"/>
              </w:rPr>
            </w:pPr>
            <w:r>
              <w:rPr>
                <w:rFonts w:hint="eastAsia" w:ascii="宋体" w:hAnsi="宋体" w:cs="宋体"/>
                <w:color w:val="auto"/>
                <w:spacing w:val="-2"/>
                <w:sz w:val="24"/>
                <w:szCs w:val="24"/>
              </w:rPr>
              <w:t>投标文件没有散页、活页、未胶装的。</w:t>
            </w:r>
          </w:p>
        </w:tc>
        <w:tc>
          <w:tcPr>
            <w:tcW w:w="1637" w:type="dxa"/>
            <w:vAlign w:val="center"/>
          </w:tcPr>
          <w:p>
            <w:pPr>
              <w:spacing w:line="300" w:lineRule="auto"/>
              <w:rPr>
                <w:rFonts w:ascii="宋体"/>
                <w:color w:val="auto"/>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424" w:firstLineChars="180"/>
              <w:rPr>
                <w:rFonts w:ascii="宋体"/>
                <w:color w:val="auto"/>
                <w:spacing w:val="-2"/>
                <w:sz w:val="24"/>
                <w:szCs w:val="24"/>
              </w:rPr>
            </w:pPr>
            <w:r>
              <w:rPr>
                <w:rFonts w:hint="eastAsia" w:ascii="宋体" w:hAnsi="宋体" w:cs="宋体"/>
                <w:color w:val="auto"/>
                <w:spacing w:val="-2"/>
                <w:sz w:val="24"/>
                <w:szCs w:val="24"/>
              </w:rPr>
              <w:t>结论：通过评审打“√”，未通过评审打“×”</w:t>
            </w:r>
          </w:p>
        </w:tc>
        <w:tc>
          <w:tcPr>
            <w:tcW w:w="1637" w:type="dxa"/>
            <w:vAlign w:val="center"/>
          </w:tcPr>
          <w:p>
            <w:pPr>
              <w:spacing w:line="300" w:lineRule="auto"/>
              <w:ind w:firstLine="424" w:firstLineChars="180"/>
              <w:rPr>
                <w:rFonts w:ascii="宋体"/>
                <w:color w:val="auto"/>
                <w:spacing w:val="-2"/>
                <w:sz w:val="24"/>
                <w:szCs w:val="24"/>
              </w:rPr>
            </w:pPr>
          </w:p>
        </w:tc>
      </w:tr>
    </w:tbl>
    <w:p>
      <w:pPr>
        <w:spacing w:line="300" w:lineRule="auto"/>
        <w:ind w:left="60"/>
        <w:rPr>
          <w:rFonts w:ascii="宋体"/>
          <w:color w:val="auto"/>
        </w:rPr>
      </w:pPr>
      <w:r>
        <w:rPr>
          <w:rFonts w:hint="eastAsia" w:ascii="宋体" w:hAnsi="宋体" w:cs="宋体"/>
          <w:color w:val="auto"/>
        </w:rPr>
        <w:t>说明：</w:t>
      </w:r>
    </w:p>
    <w:p>
      <w:pPr>
        <w:spacing w:line="300" w:lineRule="auto"/>
        <w:ind w:left="60"/>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）上述各项中用“√”表示合格，“×”表示不合格；</w:t>
      </w:r>
    </w:p>
    <w:p>
      <w:pPr>
        <w:spacing w:line="300" w:lineRule="auto"/>
        <w:ind w:left="689" w:leftChars="28" w:hanging="630" w:hangingChars="300"/>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）上述各项中如有一项为“×”，则结论为“×”，表示该投标文件中存在重大偏差，不能通过初步评审；评委对某一分项评审认为不合格时，必须要写明原因。</w:t>
      </w:r>
    </w:p>
    <w:p>
      <w:pPr>
        <w:pStyle w:val="2"/>
        <w:spacing w:line="300" w:lineRule="auto"/>
        <w:ind w:firstLine="0"/>
        <w:jc w:val="both"/>
        <w:rPr>
          <w:rFonts w:hAnsi="宋体" w:cs="Times New Roman"/>
          <w:color w:val="auto"/>
          <w:sz w:val="21"/>
          <w:szCs w:val="21"/>
        </w:rPr>
      </w:pPr>
      <w:r>
        <w:rPr>
          <w:rFonts w:hint="eastAsia" w:hAnsi="宋体"/>
          <w:color w:val="auto"/>
          <w:sz w:val="21"/>
          <w:szCs w:val="21"/>
        </w:rPr>
        <w:t>（</w:t>
      </w:r>
      <w:r>
        <w:rPr>
          <w:rFonts w:hAnsi="宋体"/>
          <w:color w:val="auto"/>
          <w:sz w:val="21"/>
          <w:szCs w:val="21"/>
        </w:rPr>
        <w:t>3</w:t>
      </w:r>
      <w:r>
        <w:rPr>
          <w:rFonts w:hint="eastAsia" w:hAnsi="宋体"/>
          <w:color w:val="auto"/>
          <w:sz w:val="21"/>
          <w:szCs w:val="21"/>
        </w:rPr>
        <w:t>）投标文件最终合格与否，以所有评委的评审意见中少数服从多数为原则定论。</w:t>
      </w:r>
    </w:p>
    <w:p>
      <w:pPr>
        <w:spacing w:line="240" w:lineRule="atLeast"/>
        <w:rPr>
          <w:rFonts w:ascii="宋体"/>
          <w:color w:val="auto"/>
        </w:rPr>
        <w:sectPr>
          <w:headerReference r:id="rId8" w:type="default"/>
          <w:footerReference r:id="rId9" w:type="default"/>
          <w:pgSz w:w="11905" w:h="16838"/>
          <w:pgMar w:top="1440" w:right="1797" w:bottom="1440" w:left="1797" w:header="851" w:footer="992" w:gutter="0"/>
          <w:cols w:space="0" w:num="1"/>
          <w:docGrid w:linePitch="312" w:charSpace="0"/>
        </w:sectPr>
      </w:pPr>
      <w:r>
        <w:rPr>
          <w:rFonts w:hint="eastAsia" w:ascii="宋体" w:hAnsi="宋体" w:cs="宋体"/>
          <w:b/>
          <w:bCs/>
          <w:color w:val="auto"/>
        </w:rPr>
        <w:t>未通过符合性审查的供应商不进入评标；通过符合性审查的供应商少于不足三家的，不得评标。</w:t>
      </w:r>
    </w:p>
    <w:p>
      <w:pPr>
        <w:pStyle w:val="2"/>
        <w:ind w:firstLine="0"/>
        <w:rPr>
          <w:rFonts w:hAnsi="宋体" w:cs="Times New Roman"/>
          <w:color w:val="auto"/>
        </w:rPr>
      </w:pPr>
    </w:p>
    <w:p>
      <w:pPr>
        <w:pStyle w:val="2"/>
        <w:ind w:firstLine="0"/>
        <w:jc w:val="center"/>
        <w:outlineLvl w:val="1"/>
        <w:rPr>
          <w:rFonts w:hAnsi="宋体" w:cs="Times New Roman"/>
          <w:b/>
          <w:bCs/>
          <w:color w:val="auto"/>
          <w:sz w:val="21"/>
          <w:szCs w:val="21"/>
        </w:rPr>
      </w:pPr>
      <w:bookmarkStart w:id="1104" w:name="_Toc8805"/>
      <w:bookmarkStart w:id="1105" w:name="_Toc20505"/>
      <w:bookmarkStart w:id="1106" w:name="_Toc5375"/>
      <w:bookmarkStart w:id="1107" w:name="_Toc29006"/>
      <w:bookmarkStart w:id="1108" w:name="_Toc3812"/>
      <w:bookmarkStart w:id="1109" w:name="_Toc476"/>
      <w:bookmarkStart w:id="1110" w:name="_Toc17586"/>
      <w:bookmarkStart w:id="1111" w:name="_Toc11123"/>
      <w:bookmarkStart w:id="1112" w:name="_Toc29025"/>
      <w:bookmarkStart w:id="1113" w:name="_Toc11449"/>
      <w:bookmarkStart w:id="1114" w:name="_Toc8966"/>
      <w:bookmarkStart w:id="1115" w:name="_Toc21350"/>
      <w:bookmarkStart w:id="1116" w:name="_Toc359"/>
      <w:bookmarkStart w:id="1117" w:name="_Toc21392"/>
      <w:bookmarkStart w:id="1118" w:name="_Toc19967"/>
      <w:bookmarkStart w:id="1119" w:name="_Toc31737"/>
      <w:bookmarkStart w:id="1120" w:name="_Toc4034"/>
      <w:r>
        <w:rPr>
          <w:rFonts w:hint="eastAsia" w:hAnsi="宋体"/>
          <w:b/>
          <w:bCs/>
          <w:color w:val="auto"/>
          <w:sz w:val="32"/>
          <w:szCs w:val="32"/>
        </w:rPr>
        <w:t>综合评分表</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Start w:id="1121" w:name="_Toc507399904"/>
    </w:p>
    <w:tbl>
      <w:tblPr>
        <w:tblStyle w:val="21"/>
        <w:tblW w:w="10771" w:type="dxa"/>
        <w:jc w:val="center"/>
        <w:tblLayout w:type="autofit"/>
        <w:tblCellMar>
          <w:top w:w="0" w:type="dxa"/>
          <w:left w:w="10" w:type="dxa"/>
          <w:bottom w:w="0" w:type="dxa"/>
          <w:right w:w="10" w:type="dxa"/>
        </w:tblCellMar>
      </w:tblPr>
      <w:tblGrid>
        <w:gridCol w:w="631"/>
        <w:gridCol w:w="856"/>
        <w:gridCol w:w="1192"/>
        <w:gridCol w:w="859"/>
        <w:gridCol w:w="6147"/>
        <w:gridCol w:w="1086"/>
      </w:tblGrid>
      <w:tr>
        <w:tblPrEx>
          <w:tblCellMar>
            <w:top w:w="0" w:type="dxa"/>
            <w:left w:w="10" w:type="dxa"/>
            <w:bottom w:w="0" w:type="dxa"/>
            <w:right w:w="10" w:type="dxa"/>
          </w:tblCellMar>
        </w:tblPrEx>
        <w:trPr>
          <w:cantSplit/>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序号</w:t>
            </w: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分项</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评分因素</w:t>
            </w:r>
          </w:p>
          <w:p>
            <w:pPr>
              <w:spacing w:before="50" w:after="50" w:line="400" w:lineRule="exact"/>
              <w:ind w:firstLine="28"/>
              <w:jc w:val="center"/>
              <w:rPr>
                <w:rFonts w:ascii="宋体"/>
                <w:color w:val="auto"/>
              </w:rPr>
            </w:pPr>
            <w:r>
              <w:rPr>
                <w:rFonts w:hint="eastAsia" w:ascii="宋体" w:hAnsi="宋体" w:cs="宋体"/>
                <w:color w:val="auto"/>
              </w:rPr>
              <w:t>及权重</w:t>
            </w:r>
          </w:p>
        </w:tc>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分值</w:t>
            </w:r>
          </w:p>
        </w:tc>
        <w:tc>
          <w:tcPr>
            <w:tcW w:w="61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评分标准</w:t>
            </w:r>
          </w:p>
          <w:p>
            <w:pPr>
              <w:spacing w:before="50" w:after="50" w:line="400" w:lineRule="exact"/>
              <w:ind w:firstLine="28"/>
              <w:jc w:val="center"/>
              <w:rPr>
                <w:rFonts w:ascii="宋体"/>
                <w:color w:val="auto"/>
              </w:rPr>
            </w:pPr>
            <w:r>
              <w:rPr>
                <w:rFonts w:hint="eastAsia" w:ascii="宋体" w:hAnsi="宋体" w:cs="宋体"/>
                <w:color w:val="auto"/>
              </w:rPr>
              <w:t>价</w:t>
            </w:r>
            <w:r>
              <w:rPr>
                <w:rFonts w:ascii="宋体" w:hAnsi="宋体" w:cs="宋体"/>
                <w:color w:val="auto"/>
              </w:rPr>
              <w:t xml:space="preserve">   </w:t>
            </w:r>
            <w:r>
              <w:rPr>
                <w:rFonts w:hint="eastAsia" w:ascii="宋体" w:hAnsi="宋体" w:cs="宋体"/>
                <w:color w:val="auto"/>
              </w:rPr>
              <w:t>格：</w:t>
            </w:r>
            <w:r>
              <w:rPr>
                <w:rFonts w:ascii="宋体" w:hAnsi="宋体" w:cs="宋体"/>
                <w:color w:val="auto"/>
              </w:rPr>
              <w:t>30</w:t>
            </w:r>
            <w:r>
              <w:rPr>
                <w:rFonts w:hint="eastAsia" w:ascii="宋体" w:hAnsi="宋体" w:cs="宋体"/>
                <w:color w:val="auto"/>
              </w:rPr>
              <w:t>分</w:t>
            </w:r>
            <w:r>
              <w:rPr>
                <w:rFonts w:ascii="宋体" w:hAnsi="宋体" w:cs="宋体"/>
                <w:color w:val="auto"/>
              </w:rPr>
              <w:t xml:space="preserve">  </w:t>
            </w:r>
            <w:r>
              <w:rPr>
                <w:rFonts w:hint="eastAsia" w:ascii="宋体" w:hAnsi="宋体" w:cs="宋体"/>
                <w:color w:val="auto"/>
              </w:rPr>
              <w:t>商</w:t>
            </w:r>
            <w:r>
              <w:rPr>
                <w:rFonts w:ascii="宋体" w:hAnsi="宋体" w:cs="宋体"/>
                <w:color w:val="auto"/>
              </w:rPr>
              <w:t xml:space="preserve">   </w:t>
            </w:r>
            <w:r>
              <w:rPr>
                <w:rFonts w:hint="eastAsia" w:ascii="宋体" w:hAnsi="宋体" w:cs="宋体"/>
                <w:color w:val="auto"/>
              </w:rPr>
              <w:t>务：</w:t>
            </w:r>
            <w:r>
              <w:rPr>
                <w:rFonts w:ascii="宋体" w:hAnsi="宋体" w:cs="宋体"/>
                <w:color w:val="auto"/>
              </w:rPr>
              <w:t>7</w:t>
            </w:r>
            <w:r>
              <w:rPr>
                <w:rFonts w:hint="eastAsia" w:ascii="宋体" w:hAnsi="宋体" w:cs="宋体"/>
                <w:color w:val="auto"/>
              </w:rPr>
              <w:t>分</w:t>
            </w:r>
            <w:r>
              <w:rPr>
                <w:rFonts w:ascii="宋体" w:hAnsi="宋体" w:cs="宋体"/>
                <w:color w:val="auto"/>
              </w:rPr>
              <w:t xml:space="preserve">   </w:t>
            </w:r>
            <w:r>
              <w:rPr>
                <w:rFonts w:hint="eastAsia" w:ascii="宋体" w:hAnsi="宋体" w:cs="宋体"/>
                <w:color w:val="auto"/>
              </w:rPr>
              <w:t>技</w:t>
            </w:r>
            <w:r>
              <w:rPr>
                <w:rFonts w:ascii="宋体" w:hAnsi="宋体" w:cs="宋体"/>
                <w:color w:val="auto"/>
              </w:rPr>
              <w:t xml:space="preserve">   </w:t>
            </w:r>
            <w:r>
              <w:rPr>
                <w:rFonts w:hint="eastAsia" w:ascii="宋体" w:hAnsi="宋体" w:cs="宋体"/>
                <w:color w:val="auto"/>
              </w:rPr>
              <w:t>术：</w:t>
            </w:r>
            <w:r>
              <w:rPr>
                <w:rFonts w:ascii="宋体" w:hAnsi="宋体" w:cs="宋体"/>
                <w:color w:val="auto"/>
              </w:rPr>
              <w:t>63</w:t>
            </w:r>
            <w:r>
              <w:rPr>
                <w:rFonts w:hint="eastAsia" w:ascii="宋体" w:hAnsi="宋体" w:cs="宋体"/>
                <w:color w:val="auto"/>
              </w:rPr>
              <w:t>分</w:t>
            </w:r>
            <w:r>
              <w:rPr>
                <w:rFonts w:ascii="宋体" w:hAnsi="宋体" w:cs="宋体"/>
                <w:color w:val="auto"/>
              </w:rPr>
              <w:t xml:space="preserve"> </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exact"/>
              <w:jc w:val="center"/>
              <w:rPr>
                <w:rFonts w:ascii="宋体"/>
                <w:color w:val="auto"/>
              </w:rPr>
            </w:pPr>
            <w:r>
              <w:rPr>
                <w:rFonts w:hint="eastAsia" w:ascii="宋体" w:hAnsi="宋体" w:cs="宋体"/>
                <w:color w:val="auto"/>
              </w:rPr>
              <w:t>说明</w:t>
            </w:r>
          </w:p>
        </w:tc>
      </w:tr>
      <w:tr>
        <w:tblPrEx>
          <w:tblCellMar>
            <w:top w:w="0" w:type="dxa"/>
            <w:left w:w="10" w:type="dxa"/>
            <w:bottom w:w="0" w:type="dxa"/>
            <w:right w:w="10" w:type="dxa"/>
          </w:tblCellMar>
        </w:tblPrEx>
        <w:trPr>
          <w:trHeight w:val="1256"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ascii="宋体" w:hAnsi="宋体" w:cs="宋体"/>
                <w:color w:val="auto"/>
              </w:rPr>
              <w:t>1</w:t>
            </w: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olor w:val="auto"/>
              </w:rPr>
            </w:pPr>
            <w:r>
              <w:rPr>
                <w:rFonts w:hint="eastAsia" w:ascii="宋体" w:hAnsi="宋体" w:cs="宋体"/>
                <w:color w:val="auto"/>
              </w:rPr>
              <w:t>价格评分标准</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投标报价</w:t>
            </w:r>
          </w:p>
        </w:tc>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30</w:t>
            </w:r>
          </w:p>
        </w:tc>
        <w:tc>
          <w:tcPr>
            <w:tcW w:w="61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完全满足招标文件参数的投标报价中的最低价为评标基准价，按照下列公示计算每个投标人的投标价格得分。投标报价得分</w:t>
            </w:r>
            <w:r>
              <w:rPr>
                <w:rFonts w:ascii="宋体" w:hAnsi="宋体" w:cs="宋体"/>
                <w:color w:val="auto"/>
              </w:rPr>
              <w:t>=</w:t>
            </w:r>
            <w:r>
              <w:rPr>
                <w:rFonts w:hint="eastAsia" w:ascii="宋体" w:hAnsi="宋体" w:cs="宋体"/>
                <w:color w:val="auto"/>
              </w:rPr>
              <w:t>（基准价</w:t>
            </w:r>
            <w:r>
              <w:rPr>
                <w:rFonts w:ascii="宋体" w:hAnsi="宋体" w:cs="宋体"/>
                <w:color w:val="auto"/>
              </w:rPr>
              <w:t>/</w:t>
            </w:r>
            <w:r>
              <w:rPr>
                <w:rFonts w:hint="eastAsia" w:ascii="宋体" w:hAnsi="宋体" w:cs="宋体"/>
                <w:color w:val="auto"/>
              </w:rPr>
              <w:t>投标报价）×价格权重×</w:t>
            </w:r>
            <w:r>
              <w:rPr>
                <w:rFonts w:ascii="宋体" w:hAnsi="宋体" w:cs="宋体"/>
                <w:color w:val="auto"/>
              </w:rPr>
              <w:t>100%</w:t>
            </w:r>
            <w:r>
              <w:rPr>
                <w:rFonts w:hint="eastAsia" w:ascii="宋体" w:hAnsi="宋体" w:cs="宋体"/>
                <w:color w:val="auto"/>
              </w:rPr>
              <w:t>。</w:t>
            </w:r>
            <w:r>
              <w:rPr>
                <w:rFonts w:hint="eastAsia" w:ascii="宋体" w:hAnsi="宋体" w:cs="宋体"/>
                <w:b/>
                <w:bCs/>
                <w:color w:val="auto"/>
              </w:rPr>
              <w:t>（注：若为中小企业，其投标报价扣除</w:t>
            </w:r>
            <w:r>
              <w:rPr>
                <w:rFonts w:ascii="宋体" w:hAnsi="宋体" w:cs="宋体"/>
                <w:b/>
                <w:bCs/>
                <w:color w:val="auto"/>
              </w:rPr>
              <w:t xml:space="preserve"> 6 %</w:t>
            </w:r>
            <w:r>
              <w:rPr>
                <w:rFonts w:hint="eastAsia" w:ascii="宋体" w:hAnsi="宋体" w:cs="宋体"/>
                <w:b/>
                <w:bCs/>
                <w:color w:val="auto"/>
              </w:rPr>
              <w:t>后参与评审，提供相关证明资料，否则无效。）</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b/>
                <w:bCs/>
                <w:color w:val="auto"/>
              </w:rPr>
              <w:t>投标报价超过采购预算价的按废标处理</w:t>
            </w:r>
          </w:p>
        </w:tc>
      </w:tr>
      <w:tr>
        <w:trPr>
          <w:trHeight w:val="753"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ascii="宋体" w:hAnsi="宋体" w:cs="宋体"/>
                <w:color w:val="auto"/>
              </w:rPr>
              <w:t>2</w:t>
            </w:r>
          </w:p>
        </w:tc>
        <w:tc>
          <w:tcPr>
            <w:tcW w:w="85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olor w:val="auto"/>
              </w:rPr>
            </w:pPr>
            <w:r>
              <w:rPr>
                <w:rFonts w:hint="eastAsia" w:ascii="宋体" w:hAnsi="宋体" w:cs="宋体"/>
                <w:color w:val="auto"/>
              </w:rPr>
              <w:t>商务评分标准</w:t>
            </w:r>
          </w:p>
        </w:tc>
        <w:tc>
          <w:tcPr>
            <w:tcW w:w="1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业绩</w:t>
            </w:r>
          </w:p>
        </w:tc>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w:t>
            </w:r>
          </w:p>
        </w:tc>
        <w:tc>
          <w:tcPr>
            <w:tcW w:w="61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投标人或软件产品供应商需提供近三年类似项目的业绩，每提供一个得</w:t>
            </w:r>
            <w:r>
              <w:rPr>
                <w:rFonts w:ascii="宋体" w:hAnsi="宋体" w:cs="宋体"/>
                <w:color w:val="auto"/>
              </w:rPr>
              <w:t>0.5</w:t>
            </w:r>
            <w:r>
              <w:rPr>
                <w:rFonts w:hint="eastAsia" w:ascii="宋体" w:hAnsi="宋体" w:cs="宋体"/>
                <w:color w:val="auto"/>
              </w:rPr>
              <w:t>分，最高不得超过</w:t>
            </w:r>
            <w:r>
              <w:rPr>
                <w:rFonts w:ascii="宋体" w:hAnsi="宋体" w:cs="宋体"/>
                <w:color w:val="auto"/>
              </w:rPr>
              <w:t>2</w:t>
            </w:r>
            <w:r>
              <w:rPr>
                <w:rFonts w:hint="eastAsia" w:ascii="宋体" w:hAnsi="宋体" w:cs="宋体"/>
                <w:color w:val="auto"/>
              </w:rPr>
              <w:t>分；证明材料为加盖公章的合同或中标通知书复印件，不提供不得分。</w:t>
            </w:r>
          </w:p>
        </w:tc>
        <w:tc>
          <w:tcPr>
            <w:tcW w:w="108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b/>
                <w:bCs/>
                <w:color w:val="auto"/>
              </w:rPr>
              <w:t>根据需求提供必要的证明资料</w:t>
            </w:r>
          </w:p>
        </w:tc>
      </w:tr>
      <w:tr>
        <w:tblPrEx>
          <w:tblCellMar>
            <w:top w:w="0" w:type="dxa"/>
            <w:left w:w="10" w:type="dxa"/>
            <w:bottom w:w="0" w:type="dxa"/>
            <w:right w:w="10" w:type="dxa"/>
          </w:tblCellMar>
        </w:tblPrEx>
        <w:trPr>
          <w:trHeight w:val="2238"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ascii="宋体" w:hAnsi="宋体" w:cs="宋体"/>
                <w:color w:val="auto"/>
              </w:rPr>
              <w:t>3</w:t>
            </w:r>
          </w:p>
        </w:tc>
        <w:tc>
          <w:tcPr>
            <w:tcW w:w="85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hint="eastAsia" w:ascii="宋体" w:hAnsi="宋体" w:cs="宋体"/>
                <w:color w:val="auto"/>
              </w:rPr>
              <w:t>综合实力</w:t>
            </w:r>
            <w:r>
              <w:rPr>
                <w:rFonts w:ascii="宋体" w:hAnsi="宋体" w:cs="宋体"/>
                <w:color w:val="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5</w:t>
            </w:r>
          </w:p>
        </w:tc>
        <w:tc>
          <w:tcPr>
            <w:tcW w:w="61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投标人或软件产品供应商提供</w:t>
            </w:r>
            <w:r>
              <w:rPr>
                <w:rFonts w:hint="eastAsia" w:ascii="宋体" w:hAnsi="宋体" w:cs="宋体"/>
                <w:color w:val="auto"/>
                <w:lang w:val="en-US" w:eastAsia="zh-CN"/>
              </w:rPr>
              <w:t>的</w:t>
            </w:r>
            <w:r>
              <w:rPr>
                <w:rFonts w:hint="eastAsia" w:ascii="宋体" w:hAnsi="宋体" w:cs="宋体"/>
                <w:color w:val="auto"/>
              </w:rPr>
              <w:t>检验管理系统、医学影像管理系统、门诊医生工作站、住院医护工作站、电子病历编辑器、病历质量控制、临床路径、处方点评等软件功能开发证明文件</w:t>
            </w:r>
            <w:r>
              <w:rPr>
                <w:rFonts w:hint="eastAsia" w:ascii="宋体" w:hAnsi="宋体" w:cs="宋体"/>
                <w:color w:val="auto"/>
                <w:lang w:val="en-US" w:eastAsia="zh-CN"/>
              </w:rPr>
              <w:t>是由国家版权局出具的</w:t>
            </w:r>
            <w:r>
              <w:rPr>
                <w:rFonts w:hint="eastAsia" w:ascii="宋体" w:hAnsi="宋体" w:cs="宋体"/>
                <w:color w:val="auto"/>
              </w:rPr>
              <w:t>，电子与智能化工程专业承包资质、通信工程施工总承包资质</w:t>
            </w:r>
            <w:r>
              <w:rPr>
                <w:rFonts w:hint="eastAsia" w:ascii="宋体" w:hAnsi="宋体" w:cs="宋体"/>
                <w:color w:val="auto"/>
                <w:lang w:val="en-US" w:eastAsia="zh-CN"/>
              </w:rPr>
              <w:t>是由各省住房和城乡建设厅出具</w:t>
            </w:r>
            <w:r>
              <w:rPr>
                <w:rFonts w:hint="eastAsia" w:ascii="宋体" w:hAnsi="宋体" w:cs="宋体"/>
                <w:color w:val="auto"/>
              </w:rPr>
              <w:t>，每提供一个得</w:t>
            </w:r>
            <w:r>
              <w:rPr>
                <w:rFonts w:ascii="宋体" w:hAnsi="宋体" w:cs="宋体"/>
                <w:color w:val="auto"/>
              </w:rPr>
              <w:t>0.5</w:t>
            </w:r>
            <w:r>
              <w:rPr>
                <w:rFonts w:hint="eastAsia" w:ascii="宋体" w:hAnsi="宋体" w:cs="宋体"/>
                <w:color w:val="auto"/>
              </w:rPr>
              <w:t>分，最高得</w:t>
            </w:r>
            <w:r>
              <w:rPr>
                <w:rFonts w:ascii="宋体" w:hAnsi="宋体" w:cs="宋体"/>
                <w:color w:val="auto"/>
              </w:rPr>
              <w:t>5</w:t>
            </w:r>
            <w:r>
              <w:rPr>
                <w:rFonts w:hint="eastAsia" w:ascii="宋体" w:hAnsi="宋体" w:cs="宋体"/>
                <w:color w:val="auto"/>
              </w:rPr>
              <w:t>分。（注：若因所提供的产品出现知识产权纠纷，一切责任和损失由供应商单独承担。）</w:t>
            </w:r>
          </w:p>
        </w:tc>
        <w:tc>
          <w:tcPr>
            <w:tcW w:w="108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p>
        </w:tc>
      </w:tr>
      <w:tr>
        <w:tblPrEx>
          <w:tblCellMar>
            <w:top w:w="0" w:type="dxa"/>
            <w:left w:w="10" w:type="dxa"/>
            <w:bottom w:w="0" w:type="dxa"/>
            <w:right w:w="10" w:type="dxa"/>
          </w:tblCellMar>
        </w:tblPrEx>
        <w:trPr>
          <w:trHeight w:val="90" w:hRule="atLeast"/>
          <w:jc w:val="center"/>
        </w:trPr>
        <w:tc>
          <w:tcPr>
            <w:tcW w:w="631" w:type="dxa"/>
            <w:tcBorders>
              <w:top w:val="single" w:color="000000" w:sz="4" w:space="0"/>
              <w:left w:val="single" w:color="000000"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ascii="宋体" w:hAnsi="宋体" w:cs="宋体"/>
                <w:color w:val="auto"/>
              </w:rPr>
              <w:t>4</w:t>
            </w:r>
          </w:p>
        </w:tc>
        <w:tc>
          <w:tcPr>
            <w:tcW w:w="856"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color w:val="auto"/>
              </w:rPr>
            </w:pPr>
            <w:r>
              <w:rPr>
                <w:rFonts w:hint="eastAsia" w:ascii="宋体" w:hAnsi="宋体" w:cs="宋体"/>
                <w:color w:val="auto"/>
              </w:rPr>
              <w:t>技术评分标准</w:t>
            </w:r>
          </w:p>
        </w:tc>
        <w:tc>
          <w:tcPr>
            <w:tcW w:w="11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技术参数</w:t>
            </w:r>
          </w:p>
        </w:tc>
        <w:tc>
          <w:tcPr>
            <w:tcW w:w="859" w:type="dxa"/>
            <w:tcBorders>
              <w:top w:val="single" w:color="000000"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25</w:t>
            </w:r>
          </w:p>
        </w:tc>
        <w:tc>
          <w:tcPr>
            <w:tcW w:w="6147"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根据所投产品的配置与性能指标响应程度打分完全满足招标要求的得</w:t>
            </w:r>
            <w:r>
              <w:rPr>
                <w:rFonts w:hint="eastAsia" w:ascii="宋体" w:hAnsi="宋体" w:cs="宋体"/>
                <w:color w:val="auto"/>
                <w:lang w:val="en-US" w:eastAsia="zh-CN"/>
              </w:rPr>
              <w:t>20</w:t>
            </w:r>
            <w:r>
              <w:rPr>
                <w:rFonts w:hint="eastAsia" w:ascii="宋体" w:hAnsi="宋体" w:cs="宋体"/>
                <w:color w:val="auto"/>
              </w:rPr>
              <w:t>分，技术参数每有一项</w:t>
            </w:r>
            <w:r>
              <w:rPr>
                <w:rFonts w:hint="eastAsia" w:ascii="宋体" w:hAnsi="宋体" w:cs="宋体"/>
                <w:color w:val="auto"/>
                <w:lang w:val="en-US" w:eastAsia="zh-CN"/>
              </w:rPr>
              <w:t>正</w:t>
            </w:r>
            <w:r>
              <w:rPr>
                <w:rFonts w:hint="eastAsia" w:ascii="宋体" w:hAnsi="宋体" w:cs="宋体"/>
                <w:color w:val="auto"/>
              </w:rPr>
              <w:t>偏离</w:t>
            </w:r>
            <w:r>
              <w:rPr>
                <w:rFonts w:hint="eastAsia" w:ascii="宋体" w:hAnsi="宋体" w:cs="宋体"/>
                <w:color w:val="auto"/>
                <w:lang w:val="en-US" w:eastAsia="zh-CN"/>
              </w:rPr>
              <w:t>加1分，最高加5分；</w:t>
            </w:r>
            <w:r>
              <w:rPr>
                <w:rFonts w:hint="eastAsia" w:ascii="宋体" w:hAnsi="宋体" w:cs="宋体"/>
                <w:color w:val="auto"/>
              </w:rPr>
              <w:t>技术参数“★”负偏离扣</w:t>
            </w:r>
            <w:r>
              <w:rPr>
                <w:rFonts w:ascii="宋体" w:hAnsi="宋体" w:cs="宋体"/>
                <w:color w:val="auto"/>
              </w:rPr>
              <w:t>2</w:t>
            </w:r>
            <w:r>
              <w:rPr>
                <w:rFonts w:hint="eastAsia" w:ascii="宋体" w:hAnsi="宋体" w:cs="宋体"/>
                <w:color w:val="auto"/>
              </w:rPr>
              <w:t>分，一般参数负偏离扣</w:t>
            </w:r>
            <w:r>
              <w:rPr>
                <w:rFonts w:ascii="宋体" w:hAnsi="宋体" w:cs="宋体"/>
                <w:color w:val="auto"/>
              </w:rPr>
              <w:t>1</w:t>
            </w:r>
            <w:r>
              <w:rPr>
                <w:rFonts w:hint="eastAsia" w:ascii="宋体" w:hAnsi="宋体" w:cs="宋体"/>
                <w:color w:val="auto"/>
              </w:rPr>
              <w:t>分，直至扣完为止。</w:t>
            </w:r>
          </w:p>
        </w:tc>
        <w:tc>
          <w:tcPr>
            <w:tcW w:w="1086" w:type="dxa"/>
            <w:vMerge w:val="restart"/>
            <w:tcBorders>
              <w:top w:val="single" w:color="000000" w:sz="4" w:space="0"/>
              <w:left w:val="single" w:color="000000"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b/>
                <w:bCs/>
                <w:color w:val="auto"/>
              </w:rPr>
              <w:t>根据需求提供必要的证明资料</w:t>
            </w:r>
          </w:p>
        </w:tc>
      </w:tr>
      <w:tr>
        <w:trPr>
          <w:trHeight w:val="90" w:hRule="atLeast"/>
          <w:jc w:val="center"/>
        </w:trPr>
        <w:tc>
          <w:tcPr>
            <w:tcW w:w="631"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ascii="宋体" w:hAnsi="宋体" w:cs="宋体"/>
                <w:color w:val="auto"/>
              </w:rPr>
              <w:t>5</w:t>
            </w: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r>
              <w:rPr>
                <w:rFonts w:hint="eastAsia" w:ascii="宋体" w:hAnsi="宋体" w:cs="宋体"/>
                <w:color w:val="auto"/>
              </w:rPr>
              <w:t>现场演示</w:t>
            </w:r>
          </w:p>
        </w:tc>
        <w:tc>
          <w:tcPr>
            <w:tcW w:w="7006"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b/>
                <w:bCs/>
                <w:color w:val="auto"/>
              </w:rPr>
              <w:t>演示时间限制十五分钟之内，投标方需将所演示产品（智能预问诊系统）内容录制成视频，视频内容需有第三人称讲解演示内容。储存于</w:t>
            </w:r>
            <w:r>
              <w:rPr>
                <w:rFonts w:ascii="宋体" w:hAnsi="宋体" w:cs="宋体"/>
                <w:b/>
                <w:bCs/>
                <w:color w:val="auto"/>
              </w:rPr>
              <w:t>U</w:t>
            </w:r>
            <w:r>
              <w:rPr>
                <w:rFonts w:hint="eastAsia" w:ascii="宋体" w:hAnsi="宋体" w:cs="宋体"/>
                <w:b/>
                <w:bCs/>
                <w:color w:val="auto"/>
              </w:rPr>
              <w:t>盘或光盘中，于截标时间前同投标文件一起递交，</w:t>
            </w:r>
            <w:r>
              <w:rPr>
                <w:rFonts w:ascii="宋体" w:hAnsi="宋体" w:cs="宋体"/>
                <w:b/>
                <w:bCs/>
                <w:color w:val="auto"/>
              </w:rPr>
              <w:t>U</w:t>
            </w:r>
            <w:r>
              <w:rPr>
                <w:rFonts w:hint="eastAsia" w:ascii="宋体" w:hAnsi="宋体" w:cs="宋体"/>
                <w:b/>
                <w:bCs/>
                <w:color w:val="auto"/>
              </w:rPr>
              <w:t>盘或光盘如有损坏，视频无法播放，投标方自行承担后果。如有提供虚假资料，中标后取消中标资格。（</w:t>
            </w:r>
            <w:r>
              <w:rPr>
                <w:rFonts w:ascii="宋体" w:hAnsi="宋体" w:cs="宋体"/>
                <w:b/>
                <w:bCs/>
                <w:color w:val="auto"/>
              </w:rPr>
              <w:t>10</w:t>
            </w:r>
            <w:r>
              <w:rPr>
                <w:rFonts w:hint="eastAsia" w:ascii="宋体" w:hAnsi="宋体" w:cs="宋体"/>
                <w:b/>
                <w:bCs/>
                <w:color w:val="auto"/>
              </w:rPr>
              <w:t>分）</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731" w:hRule="atLeast"/>
          <w:jc w:val="center"/>
        </w:trPr>
        <w:tc>
          <w:tcPr>
            <w:tcW w:w="631" w:type="dxa"/>
            <w:vMerge w:val="continue"/>
            <w:tcBorders>
              <w:left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每个问卷中涵盖多个问题，每一个问题包括问题描述、问题类型、问题排序、是否必填、是否显示、是否只读、是否有效。其中问题类型涵盖单选题、多选题、问答题，同时问题类型在技术上应当能够支持数值、字符、日期、下拉框等要求。问卷中多个问题之间是否有互斥关系，选中一个问题之后，就不再需要显示其他问题。</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1125" w:hRule="atLeast"/>
          <w:jc w:val="center"/>
        </w:trPr>
        <w:tc>
          <w:tcPr>
            <w:tcW w:w="631" w:type="dxa"/>
            <w:vMerge w:val="continue"/>
            <w:tcBorders>
              <w:left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在问卷模板定义好之后，可以对问卷进行调用，调用的场景支持医院微信公众号的预约挂号之后的调用或者互联网医院预约挂号之后的调用等，以及医疗机构院内二维码扫描的调用。</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851" w:hRule="atLeast"/>
          <w:jc w:val="center"/>
        </w:trPr>
        <w:tc>
          <w:tcPr>
            <w:tcW w:w="631" w:type="dxa"/>
            <w:vMerge w:val="continue"/>
            <w:tcBorders>
              <w:left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vMerge w:val="continue"/>
            <w:tcBorders>
              <w:top w:val="single" w:color="auto" w:sz="4" w:space="0"/>
              <w:left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二维码扫描功能主要针对线下挂号的患者，医院系统可按照预问诊系统提供的接口规范，将预约挂号信息传到预问诊系统中，然后与问卷进行关联。</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895" w:hRule="atLeast"/>
          <w:jc w:val="center"/>
        </w:trPr>
        <w:tc>
          <w:tcPr>
            <w:tcW w:w="631" w:type="dxa"/>
            <w:vMerge w:val="continue"/>
            <w:tcBorders>
              <w:left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vMerge w:val="continue"/>
            <w:tcBorders>
              <w:left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患者进行问卷填报时，系统应当完整记录每个患者预问诊记录和问卷填报结果信息。预问诊记录包括患者基本信息、预约医院、科室、时间等信息以及预问诊问卷填报结果信息。</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90" w:hRule="atLeast"/>
          <w:jc w:val="center"/>
        </w:trPr>
        <w:tc>
          <w:tcPr>
            <w:tcW w:w="631"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2</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智能预问诊系统提供服务接口，</w:t>
            </w:r>
            <w:r>
              <w:rPr>
                <w:rFonts w:ascii="宋体" w:hAnsi="宋体" w:cs="宋体"/>
                <w:color w:val="auto"/>
              </w:rPr>
              <w:t>HIS</w:t>
            </w:r>
            <w:r>
              <w:rPr>
                <w:rFonts w:hint="eastAsia" w:ascii="宋体" w:hAnsi="宋体" w:cs="宋体"/>
                <w:color w:val="auto"/>
              </w:rPr>
              <w:t>以及微信公众号或互联网医院平台根据预问诊接口服务完成预问诊问卷填报结果的对接。医生应能能够根据问卷填报结果选择内容生成患者主诉。系统能与</w:t>
            </w:r>
            <w:r>
              <w:rPr>
                <w:rFonts w:ascii="宋体" w:hAnsi="宋体" w:cs="宋体"/>
                <w:color w:val="auto"/>
              </w:rPr>
              <w:t>HIS</w:t>
            </w:r>
            <w:r>
              <w:rPr>
                <w:rFonts w:hint="eastAsia" w:ascii="宋体" w:hAnsi="宋体" w:cs="宋体"/>
                <w:color w:val="auto"/>
              </w:rPr>
              <w:t>的电子病历系统作无缝衔接。</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2541" w:hRule="atLeast"/>
          <w:jc w:val="center"/>
        </w:trPr>
        <w:tc>
          <w:tcPr>
            <w:tcW w:w="63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ind w:firstLine="28"/>
              <w:jc w:val="center"/>
              <w:rPr>
                <w:rFonts w:ascii="宋体"/>
                <w:color w:val="auto"/>
              </w:rPr>
            </w:pPr>
            <w:r>
              <w:rPr>
                <w:rFonts w:ascii="宋体" w:hAnsi="宋体" w:cs="宋体"/>
                <w:color w:val="auto"/>
              </w:rPr>
              <w:t>6</w:t>
            </w: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rPr>
            </w:pPr>
          </w:p>
        </w:tc>
        <w:tc>
          <w:tcPr>
            <w:tcW w:w="11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line="400" w:lineRule="exact"/>
              <w:jc w:val="center"/>
              <w:rPr>
                <w:rFonts w:ascii="宋体"/>
                <w:color w:val="auto"/>
                <w:highlight w:val="yellow"/>
              </w:rPr>
            </w:pPr>
            <w:r>
              <w:rPr>
                <w:rFonts w:hint="eastAsia" w:ascii="宋体" w:hAnsi="宋体" w:cs="宋体"/>
                <w:color w:val="auto"/>
              </w:rPr>
              <w:t>项目总体方案设计</w:t>
            </w:r>
            <w:r>
              <w:rPr>
                <w:rFonts w:ascii="宋体" w:hAnsi="宋体" w:cs="宋体"/>
                <w:color w:val="auto"/>
              </w:rPr>
              <w:t xml:space="preserve">   </w:t>
            </w: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highlight w:val="yellow"/>
              </w:rPr>
            </w:pPr>
            <w:r>
              <w:rPr>
                <w:rFonts w:ascii="宋体" w:cs="宋体"/>
                <w:color w:val="auto"/>
              </w:rPr>
              <w:t>6</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highlight w:val="red"/>
              </w:rPr>
            </w:pPr>
            <w:r>
              <w:rPr>
                <w:rFonts w:hint="eastAsia" w:ascii="宋体" w:hAnsi="宋体" w:cs="宋体"/>
                <w:color w:val="auto"/>
              </w:rPr>
              <w:t>投标人根据项目实施地踏勘情况，制定医院信息设备拓扑图、楼层信息点位分布图、安全监控网络拓扑图、医院网络拓扑图、中心机房</w:t>
            </w:r>
            <w:r>
              <w:rPr>
                <w:rFonts w:ascii="宋体" w:hAnsi="宋体" w:cs="宋体"/>
                <w:color w:val="auto"/>
              </w:rPr>
              <w:t>/</w:t>
            </w:r>
            <w:r>
              <w:rPr>
                <w:rFonts w:hint="eastAsia" w:ascii="宋体" w:hAnsi="宋体" w:cs="宋体"/>
                <w:color w:val="auto"/>
              </w:rPr>
              <w:t>监控室平面设计图、中心机房</w:t>
            </w:r>
            <w:r>
              <w:rPr>
                <w:rFonts w:ascii="宋体" w:hAnsi="宋体" w:cs="宋体"/>
                <w:color w:val="auto"/>
              </w:rPr>
              <w:t>/</w:t>
            </w:r>
            <w:r>
              <w:rPr>
                <w:rFonts w:hint="eastAsia" w:ascii="宋体" w:hAnsi="宋体" w:cs="宋体"/>
                <w:color w:val="auto"/>
              </w:rPr>
              <w:t>监控机房</w:t>
            </w:r>
            <w:r>
              <w:rPr>
                <w:rFonts w:ascii="宋体" w:hAnsi="宋体" w:cs="宋体"/>
                <w:color w:val="auto"/>
              </w:rPr>
              <w:t>VR</w:t>
            </w:r>
            <w:r>
              <w:rPr>
                <w:rFonts w:hint="eastAsia" w:ascii="宋体" w:hAnsi="宋体" w:cs="宋体"/>
                <w:color w:val="auto"/>
              </w:rPr>
              <w:t>全景效果图、会议室大屏设计效果图（投标正本要求彩色打印图纸效果图，副本无要求）等。评委根据投标人设计方案进行横向对比：设计方案优于其他方案的得</w:t>
            </w:r>
            <w:r>
              <w:rPr>
                <w:rFonts w:ascii="宋体" w:hAnsi="宋体" w:cs="宋体"/>
                <w:color w:val="auto"/>
              </w:rPr>
              <w:t>6</w:t>
            </w:r>
            <w:r>
              <w:rPr>
                <w:rFonts w:hint="eastAsia" w:ascii="宋体" w:hAnsi="宋体" w:cs="宋体"/>
                <w:color w:val="auto"/>
              </w:rPr>
              <w:t>分，方案满足招标文件要求得</w:t>
            </w:r>
            <w:r>
              <w:rPr>
                <w:rFonts w:ascii="宋体" w:hAnsi="宋体" w:cs="宋体"/>
                <w:color w:val="auto"/>
              </w:rPr>
              <w:t>3</w:t>
            </w:r>
            <w:r>
              <w:rPr>
                <w:rFonts w:hint="eastAsia" w:ascii="宋体" w:hAnsi="宋体" w:cs="宋体"/>
                <w:color w:val="auto"/>
              </w:rPr>
              <w:t>分，方案不全面、不具体、可行性低得</w:t>
            </w:r>
            <w:r>
              <w:rPr>
                <w:rFonts w:ascii="宋体" w:hAnsi="宋体" w:cs="宋体"/>
                <w:color w:val="auto"/>
              </w:rPr>
              <w:t>1</w:t>
            </w:r>
            <w:r>
              <w:rPr>
                <w:rFonts w:hint="eastAsia" w:ascii="宋体" w:hAnsi="宋体" w:cs="宋体"/>
                <w:color w:val="auto"/>
              </w:rPr>
              <w:t>分，无内容不得分。</w:t>
            </w:r>
            <w:r>
              <w:rPr>
                <w:rFonts w:ascii="宋体" w:hAnsi="宋体" w:cs="宋体"/>
                <w:color w:val="auto"/>
              </w:rPr>
              <w:t xml:space="preserve"> </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421" w:hRule="atLeast"/>
          <w:jc w:val="center"/>
        </w:trPr>
        <w:tc>
          <w:tcPr>
            <w:tcW w:w="63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cs="宋体"/>
                <w:color w:val="auto"/>
              </w:rPr>
              <w:t>7</w:t>
            </w: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left"/>
              <w:rPr>
                <w:rFonts w:ascii="宋体"/>
                <w:color w:val="auto"/>
              </w:rPr>
            </w:pPr>
          </w:p>
        </w:tc>
        <w:tc>
          <w:tcPr>
            <w:tcW w:w="11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left"/>
              <w:rPr>
                <w:rFonts w:ascii="宋体"/>
                <w:color w:val="auto"/>
              </w:rPr>
            </w:pPr>
            <w:r>
              <w:rPr>
                <w:rFonts w:hint="eastAsia" w:ascii="宋体" w:hAnsi="宋体" w:cs="宋体"/>
                <w:color w:val="auto"/>
              </w:rPr>
              <w:t>项目实施方案</w:t>
            </w:r>
            <w:r>
              <w:rPr>
                <w:rFonts w:ascii="宋体" w:hAnsi="宋体" w:cs="宋体"/>
                <w:color w:val="auto"/>
              </w:rPr>
              <w:t xml:space="preserve">    </w:t>
            </w: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8</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）供应商根据本项目具体特点及实际需求提供项目安装调试方案及供货组织方案、设备质量保证、验收等方面情况进行横向对比：优于其他方案的得</w:t>
            </w:r>
            <w:r>
              <w:rPr>
                <w:rFonts w:ascii="宋体" w:hAnsi="宋体" w:cs="宋体"/>
                <w:color w:val="auto"/>
              </w:rPr>
              <w:t>3</w:t>
            </w:r>
            <w:r>
              <w:rPr>
                <w:rFonts w:hint="eastAsia" w:ascii="宋体" w:hAnsi="宋体" w:cs="宋体"/>
                <w:color w:val="auto"/>
              </w:rPr>
              <w:t>分，方案满足招标文件要求得</w:t>
            </w:r>
            <w:r>
              <w:rPr>
                <w:rFonts w:ascii="宋体" w:hAnsi="宋体" w:cs="宋体"/>
                <w:color w:val="auto"/>
              </w:rPr>
              <w:t>2</w:t>
            </w:r>
            <w:r>
              <w:rPr>
                <w:rFonts w:hint="eastAsia" w:ascii="宋体" w:hAnsi="宋体" w:cs="宋体"/>
                <w:color w:val="auto"/>
              </w:rPr>
              <w:t>分，方案不全面、不具体、可行性低得</w:t>
            </w:r>
            <w:r>
              <w:rPr>
                <w:rFonts w:ascii="宋体" w:hAnsi="宋体" w:cs="宋体"/>
                <w:color w:val="auto"/>
              </w:rPr>
              <w:t>1</w:t>
            </w:r>
            <w:r>
              <w:rPr>
                <w:rFonts w:hint="eastAsia" w:ascii="宋体" w:hAnsi="宋体" w:cs="宋体"/>
                <w:color w:val="auto"/>
              </w:rPr>
              <w:t>分，无内容不得分。</w:t>
            </w:r>
          </w:p>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）投标人应有完善的培训体系和运行服务体系，针对本项目制定科学合理可行的培训方案、现场响应时间、运行服务方案，对投标人提供的方案进行横向对比：优于其他方案的得</w:t>
            </w:r>
            <w:r>
              <w:rPr>
                <w:rFonts w:ascii="宋体" w:hAnsi="宋体" w:cs="宋体"/>
                <w:color w:val="auto"/>
              </w:rPr>
              <w:t>2</w:t>
            </w:r>
            <w:r>
              <w:rPr>
                <w:rFonts w:hint="eastAsia" w:ascii="宋体" w:hAnsi="宋体" w:cs="宋体"/>
                <w:color w:val="auto"/>
              </w:rPr>
              <w:t>分，方案满足招标文件要求得</w:t>
            </w:r>
            <w:r>
              <w:rPr>
                <w:rFonts w:ascii="宋体" w:hAnsi="宋体" w:cs="宋体"/>
                <w:color w:val="auto"/>
              </w:rPr>
              <w:t>1</w:t>
            </w:r>
            <w:r>
              <w:rPr>
                <w:rFonts w:hint="eastAsia" w:ascii="宋体" w:hAnsi="宋体" w:cs="宋体"/>
                <w:color w:val="auto"/>
              </w:rPr>
              <w:t>分，方案不全面、不具体、可行性低得</w:t>
            </w:r>
            <w:r>
              <w:rPr>
                <w:rFonts w:ascii="宋体" w:cs="宋体"/>
                <w:color w:val="auto"/>
              </w:rPr>
              <w:t>0</w:t>
            </w:r>
            <w:r>
              <w:rPr>
                <w:rFonts w:hint="eastAsia" w:ascii="宋体" w:hAnsi="宋体" w:cs="宋体"/>
                <w:color w:val="auto"/>
              </w:rPr>
              <w:t>分。</w:t>
            </w:r>
            <w:r>
              <w:rPr>
                <w:rFonts w:ascii="宋体" w:hAnsi="宋体" w:cs="宋体"/>
                <w:color w:val="auto"/>
              </w:rPr>
              <w:t xml:space="preserve"> </w:t>
            </w:r>
          </w:p>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）投标人对项目重点难点、应对措施及响应时间情况进行分析，评委根据投标方案内容进行横向对比打分：优于其他方案的得</w:t>
            </w:r>
            <w:r>
              <w:rPr>
                <w:rFonts w:ascii="宋体" w:hAnsi="宋体" w:cs="宋体"/>
                <w:color w:val="auto"/>
              </w:rPr>
              <w:t>3</w:t>
            </w:r>
            <w:r>
              <w:rPr>
                <w:rFonts w:hint="eastAsia" w:ascii="宋体" w:hAnsi="宋体" w:cs="宋体"/>
                <w:color w:val="auto"/>
              </w:rPr>
              <w:t>分，方案满足招标文件要求得</w:t>
            </w:r>
            <w:r>
              <w:rPr>
                <w:rFonts w:ascii="宋体" w:hAnsi="宋体" w:cs="宋体"/>
                <w:color w:val="auto"/>
              </w:rPr>
              <w:t>2</w:t>
            </w:r>
            <w:r>
              <w:rPr>
                <w:rFonts w:hint="eastAsia" w:ascii="宋体" w:hAnsi="宋体" w:cs="宋体"/>
                <w:color w:val="auto"/>
              </w:rPr>
              <w:t>分，方案不全面、不具体、可行性低得</w:t>
            </w:r>
            <w:r>
              <w:rPr>
                <w:rFonts w:ascii="宋体" w:hAnsi="宋体" w:cs="宋体"/>
                <w:color w:val="auto"/>
              </w:rPr>
              <w:t>1</w:t>
            </w:r>
            <w:r>
              <w:rPr>
                <w:rFonts w:hint="eastAsia" w:ascii="宋体" w:hAnsi="宋体" w:cs="宋体"/>
                <w:color w:val="auto"/>
              </w:rPr>
              <w:t>分，无内容不得分。</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rPr>
          <w:trHeight w:val="1240" w:hRule="atLeast"/>
          <w:jc w:val="center"/>
        </w:trPr>
        <w:tc>
          <w:tcPr>
            <w:tcW w:w="63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cs="宋体"/>
                <w:color w:val="auto"/>
              </w:rPr>
              <w:t>8</w:t>
            </w: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left"/>
              <w:rPr>
                <w:rFonts w:ascii="宋体"/>
                <w:color w:val="auto"/>
              </w:rPr>
            </w:pPr>
          </w:p>
        </w:tc>
        <w:tc>
          <w:tcPr>
            <w:tcW w:w="11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left"/>
              <w:rPr>
                <w:rFonts w:ascii="宋体"/>
                <w:color w:val="auto"/>
              </w:rPr>
            </w:pPr>
            <w:r>
              <w:rPr>
                <w:rFonts w:hint="eastAsia" w:ascii="宋体" w:hAnsi="宋体" w:cs="宋体"/>
                <w:color w:val="auto"/>
              </w:rPr>
              <w:t>人员配备</w:t>
            </w: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5</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）投标人或软件产品供应商拟派的项目经理具有信息系统项目管理师（高级）及高级工程师资质，参与并具有担任同等规模二级医院或以上信息化项目经理经验，满足要求的得</w:t>
            </w:r>
            <w:r>
              <w:rPr>
                <w:rFonts w:ascii="宋体" w:hAnsi="宋体" w:cs="宋体"/>
                <w:color w:val="auto"/>
              </w:rPr>
              <w:t>2</w:t>
            </w:r>
            <w:r>
              <w:rPr>
                <w:rFonts w:hint="eastAsia" w:ascii="宋体" w:hAnsi="宋体" w:cs="宋体"/>
                <w:color w:val="auto"/>
              </w:rPr>
              <w:t>分，否则不得分。（注：需提供上述人员资质证书复印件、项目经验证明及简历表）</w:t>
            </w:r>
          </w:p>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）投标人或软件产品供应商派驻的项目实施小组成员应不少于以下配置：系统分析师</w:t>
            </w:r>
            <w:r>
              <w:rPr>
                <w:rFonts w:ascii="宋体" w:hAnsi="宋体" w:cs="宋体"/>
                <w:color w:val="auto"/>
              </w:rPr>
              <w:t>1</w:t>
            </w:r>
            <w:r>
              <w:rPr>
                <w:rFonts w:hint="eastAsia" w:ascii="宋体" w:hAnsi="宋体" w:cs="宋体"/>
                <w:color w:val="auto"/>
              </w:rPr>
              <w:t>名、系统架构师</w:t>
            </w:r>
            <w:r>
              <w:rPr>
                <w:rFonts w:ascii="宋体" w:hAnsi="宋体" w:cs="宋体"/>
                <w:color w:val="auto"/>
              </w:rPr>
              <w:t>1</w:t>
            </w:r>
            <w:r>
              <w:rPr>
                <w:rFonts w:hint="eastAsia" w:ascii="宋体" w:hAnsi="宋体" w:cs="宋体"/>
                <w:color w:val="auto"/>
              </w:rPr>
              <w:t>名、软件设计师</w:t>
            </w:r>
            <w:r>
              <w:rPr>
                <w:rFonts w:ascii="宋体" w:hAnsi="宋体" w:cs="宋体"/>
                <w:color w:val="auto"/>
              </w:rPr>
              <w:t>3</w:t>
            </w:r>
            <w:r>
              <w:rPr>
                <w:rFonts w:hint="eastAsia" w:ascii="宋体" w:hAnsi="宋体" w:cs="宋体"/>
                <w:color w:val="auto"/>
              </w:rPr>
              <w:t>名、网络工程师</w:t>
            </w:r>
            <w:r>
              <w:rPr>
                <w:rFonts w:ascii="宋体" w:hAnsi="宋体" w:cs="宋体"/>
                <w:color w:val="auto"/>
              </w:rPr>
              <w:t>1</w:t>
            </w:r>
            <w:r>
              <w:rPr>
                <w:rFonts w:hint="eastAsia" w:ascii="宋体" w:hAnsi="宋体" w:cs="宋体"/>
                <w:color w:val="auto"/>
              </w:rPr>
              <w:t>名、数据库系统工程师</w:t>
            </w:r>
            <w:r>
              <w:rPr>
                <w:rFonts w:ascii="宋体" w:hAnsi="宋体" w:cs="宋体"/>
                <w:color w:val="auto"/>
              </w:rPr>
              <w:t>1</w:t>
            </w:r>
            <w:r>
              <w:rPr>
                <w:rFonts w:hint="eastAsia" w:ascii="宋体" w:hAnsi="宋体" w:cs="宋体"/>
                <w:color w:val="auto"/>
              </w:rPr>
              <w:t>名。完全满足的得</w:t>
            </w:r>
            <w:r>
              <w:rPr>
                <w:rFonts w:ascii="宋体" w:hAnsi="宋体" w:cs="宋体"/>
                <w:color w:val="auto"/>
              </w:rPr>
              <w:t>3</w:t>
            </w:r>
            <w:r>
              <w:rPr>
                <w:rFonts w:hint="eastAsia" w:ascii="宋体" w:hAnsi="宋体" w:cs="宋体"/>
                <w:color w:val="auto"/>
              </w:rPr>
              <w:t>分，否则不得分。（注：需提供在上述人员资质证书复印件及提供人员社保名单。）</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r>
        <w:tblPrEx>
          <w:tblCellMar>
            <w:top w:w="0" w:type="dxa"/>
            <w:left w:w="10" w:type="dxa"/>
            <w:bottom w:w="0" w:type="dxa"/>
            <w:right w:w="10" w:type="dxa"/>
          </w:tblCellMar>
        </w:tblPrEx>
        <w:trPr>
          <w:trHeight w:val="5626" w:hRule="atLeast"/>
          <w:jc w:val="center"/>
        </w:trPr>
        <w:tc>
          <w:tcPr>
            <w:tcW w:w="63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9</w:t>
            </w:r>
          </w:p>
        </w:tc>
        <w:tc>
          <w:tcPr>
            <w:tcW w:w="85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p>
        </w:tc>
        <w:tc>
          <w:tcPr>
            <w:tcW w:w="1192"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hint="eastAsia" w:ascii="宋体" w:hAnsi="宋体" w:cs="宋体"/>
                <w:color w:val="auto"/>
              </w:rPr>
              <w:t>售后服务</w:t>
            </w:r>
          </w:p>
        </w:tc>
        <w:tc>
          <w:tcPr>
            <w:tcW w:w="85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jc w:val="center"/>
              <w:rPr>
                <w:rFonts w:ascii="宋体"/>
                <w:color w:val="auto"/>
              </w:rPr>
            </w:pPr>
            <w:r>
              <w:rPr>
                <w:rFonts w:ascii="宋体" w:hAnsi="宋体" w:cs="宋体"/>
                <w:color w:val="auto"/>
              </w:rPr>
              <w:t>9</w:t>
            </w:r>
          </w:p>
        </w:tc>
        <w:tc>
          <w:tcPr>
            <w:tcW w:w="614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）投标人或软件产品供应商应具有稳定可靠的售后维护服务方案（包含响应时间、驻场人员、后期维护、服务承诺等），根据所提供的项目售后维护服务方案进行横向对比打分：优于其他方案的得</w:t>
            </w:r>
            <w:r>
              <w:rPr>
                <w:rFonts w:ascii="宋体" w:hAnsi="宋体" w:cs="宋体"/>
                <w:color w:val="auto"/>
              </w:rPr>
              <w:t>3</w:t>
            </w:r>
            <w:r>
              <w:rPr>
                <w:rFonts w:hint="eastAsia" w:ascii="宋体" w:hAnsi="宋体" w:cs="宋体"/>
                <w:color w:val="auto"/>
              </w:rPr>
              <w:t>分，方案满足招标文件要求得</w:t>
            </w:r>
            <w:r>
              <w:rPr>
                <w:rFonts w:ascii="宋体" w:hAnsi="宋体" w:cs="宋体"/>
                <w:color w:val="auto"/>
              </w:rPr>
              <w:t>2</w:t>
            </w:r>
            <w:r>
              <w:rPr>
                <w:rFonts w:hint="eastAsia" w:ascii="宋体" w:hAnsi="宋体" w:cs="宋体"/>
                <w:color w:val="auto"/>
              </w:rPr>
              <w:t>分，方案不全面、不具体、可行性低得</w:t>
            </w:r>
            <w:r>
              <w:rPr>
                <w:rFonts w:ascii="宋体" w:hAnsi="宋体" w:cs="宋体"/>
                <w:color w:val="auto"/>
              </w:rPr>
              <w:t>1</w:t>
            </w:r>
            <w:r>
              <w:rPr>
                <w:rFonts w:hint="eastAsia" w:ascii="宋体" w:hAnsi="宋体" w:cs="宋体"/>
                <w:color w:val="auto"/>
              </w:rPr>
              <w:t>分，无内容不得分。</w:t>
            </w:r>
          </w:p>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）投标人或软件产品供应商在</w:t>
            </w:r>
            <w:r>
              <w:rPr>
                <w:rFonts w:hint="eastAsia" w:ascii="宋体" w:hAnsi="宋体" w:cs="宋体"/>
                <w:color w:val="auto"/>
                <w:lang w:val="en-US" w:eastAsia="zh-CN"/>
              </w:rPr>
              <w:t>本地</w:t>
            </w:r>
            <w:r>
              <w:rPr>
                <w:rFonts w:hint="eastAsia" w:ascii="宋体" w:hAnsi="宋体" w:cs="宋体"/>
                <w:color w:val="auto"/>
              </w:rPr>
              <w:t>设有售后服务机构，以提供</w:t>
            </w:r>
            <w:r>
              <w:rPr>
                <w:rFonts w:hint="eastAsia" w:ascii="宋体" w:hAnsi="宋体" w:cs="宋体"/>
                <w:color w:val="auto"/>
                <w:lang w:val="en-US" w:eastAsia="zh-CN"/>
              </w:rPr>
              <w:t>售后服务机构的营业执照</w:t>
            </w:r>
            <w:r>
              <w:rPr>
                <w:rFonts w:hint="eastAsia" w:ascii="宋体" w:hAnsi="宋体" w:cs="宋体"/>
                <w:color w:val="auto"/>
              </w:rPr>
              <w:t>或租房合同的复印件为准，满足得</w:t>
            </w:r>
            <w:r>
              <w:rPr>
                <w:rFonts w:hint="eastAsia" w:ascii="宋体" w:hAnsi="宋体" w:cs="宋体"/>
                <w:color w:val="auto"/>
                <w:lang w:val="en-US" w:eastAsia="zh-CN"/>
              </w:rPr>
              <w:t>2</w:t>
            </w:r>
            <w:r>
              <w:rPr>
                <w:rFonts w:hint="eastAsia" w:ascii="宋体" w:hAnsi="宋体" w:cs="宋体"/>
                <w:color w:val="auto"/>
              </w:rPr>
              <w:t>分，无法提供者不得分。（复印件加盖投标人公章）。</w:t>
            </w:r>
          </w:p>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）为了更好的做好售后服务，若投标人或软件产品供应商在本地</w:t>
            </w:r>
            <w:r>
              <w:rPr>
                <w:rFonts w:hint="eastAsia" w:ascii="宋体" w:hAnsi="宋体" w:cs="宋体"/>
                <w:color w:val="auto"/>
                <w:lang w:val="en-US" w:eastAsia="zh-CN"/>
              </w:rPr>
              <w:t>提供</w:t>
            </w:r>
            <w:r>
              <w:rPr>
                <w:rFonts w:hint="eastAsia" w:ascii="宋体" w:hAnsi="宋体" w:cs="宋体"/>
                <w:color w:val="auto"/>
              </w:rPr>
              <w:t>服务人员</w:t>
            </w:r>
            <w:r>
              <w:rPr>
                <w:rFonts w:hint="eastAsia" w:ascii="宋体" w:hAnsi="宋体" w:cs="宋体"/>
                <w:color w:val="auto"/>
                <w:lang w:val="en-US" w:eastAsia="zh-CN"/>
              </w:rPr>
              <w:t>名单的得2分</w:t>
            </w:r>
            <w:r>
              <w:rPr>
                <w:rFonts w:hint="eastAsia" w:ascii="宋体" w:hAnsi="宋体" w:cs="宋体"/>
                <w:color w:val="auto"/>
              </w:rPr>
              <w:t>。（提供本地服务人员</w:t>
            </w:r>
            <w:r>
              <w:rPr>
                <w:rFonts w:hint="eastAsia" w:ascii="宋体" w:hAnsi="宋体" w:cs="宋体"/>
                <w:color w:val="auto"/>
                <w:lang w:val="en-US" w:eastAsia="zh-CN"/>
              </w:rPr>
              <w:t>名单</w:t>
            </w:r>
            <w:r>
              <w:rPr>
                <w:rFonts w:hint="eastAsia" w:ascii="宋体" w:hAnsi="宋体" w:cs="宋体"/>
                <w:color w:val="auto"/>
              </w:rPr>
              <w:t>的相关证明材料即可）</w:t>
            </w:r>
          </w:p>
          <w:p>
            <w:pPr>
              <w:spacing w:before="50" w:after="50" w:line="400" w:lineRule="exact"/>
              <w:rPr>
                <w:rFonts w:ascii="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）质保维保（</w:t>
            </w:r>
            <w:r>
              <w:rPr>
                <w:rFonts w:ascii="宋体" w:hAnsi="宋体" w:cs="宋体"/>
                <w:color w:val="auto"/>
              </w:rPr>
              <w:t>2</w:t>
            </w:r>
            <w:r>
              <w:rPr>
                <w:rFonts w:hint="eastAsia" w:ascii="宋体" w:hAnsi="宋体" w:cs="宋体"/>
                <w:color w:val="auto"/>
              </w:rPr>
              <w:t>分）：投标人提供的硬件产品质保维保期限每增加一年得</w:t>
            </w:r>
            <w:r>
              <w:rPr>
                <w:rFonts w:ascii="宋体" w:hAnsi="宋体" w:cs="宋体"/>
                <w:color w:val="auto"/>
              </w:rPr>
              <w:t>1</w:t>
            </w:r>
            <w:r>
              <w:rPr>
                <w:rFonts w:hint="eastAsia" w:ascii="宋体" w:hAnsi="宋体" w:cs="宋体"/>
                <w:color w:val="auto"/>
              </w:rPr>
              <w:t>分，最高得</w:t>
            </w:r>
            <w:r>
              <w:rPr>
                <w:rFonts w:ascii="宋体" w:hAnsi="宋体" w:cs="宋体"/>
                <w:color w:val="auto"/>
              </w:rPr>
              <w:t>2</w:t>
            </w:r>
            <w:r>
              <w:rPr>
                <w:rFonts w:hint="eastAsia" w:ascii="宋体" w:hAnsi="宋体" w:cs="宋体"/>
                <w:color w:val="auto"/>
              </w:rPr>
              <w:t>分，满足质保维保期限要求的不得分。</w:t>
            </w:r>
          </w:p>
        </w:tc>
        <w:tc>
          <w:tcPr>
            <w:tcW w:w="1086"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spacing w:before="50" w:after="50" w:line="400" w:lineRule="exact"/>
              <w:rPr>
                <w:rFonts w:ascii="宋体"/>
                <w:color w:val="auto"/>
              </w:rPr>
            </w:pPr>
          </w:p>
        </w:tc>
      </w:tr>
    </w:tbl>
    <w:p>
      <w:pPr>
        <w:pStyle w:val="2"/>
        <w:ind w:firstLine="0"/>
        <w:rPr>
          <w:rFonts w:hAnsi="宋体" w:cs="Times New Roman"/>
          <w:b/>
          <w:bCs/>
          <w:color w:val="auto"/>
          <w:sz w:val="32"/>
          <w:szCs w:val="32"/>
        </w:rPr>
      </w:pPr>
    </w:p>
    <w:p>
      <w:pPr>
        <w:pStyle w:val="2"/>
        <w:rPr>
          <w:rFonts w:hAnsi="宋体" w:cs="Times New Roman"/>
          <w:b/>
          <w:bCs/>
          <w:color w:val="auto"/>
          <w:sz w:val="32"/>
          <w:szCs w:val="32"/>
        </w:rPr>
      </w:pPr>
    </w:p>
    <w:p>
      <w:pPr>
        <w:pStyle w:val="2"/>
        <w:rPr>
          <w:rFonts w:hAnsi="宋体" w:cs="Times New Roman"/>
          <w:b/>
          <w:bCs/>
          <w:color w:val="auto"/>
          <w:sz w:val="32"/>
          <w:szCs w:val="32"/>
        </w:rPr>
      </w:pPr>
    </w:p>
    <w:p>
      <w:pPr>
        <w:rPr>
          <w:rFonts w:ascii="宋体"/>
          <w:b/>
          <w:bCs/>
          <w:color w:val="auto"/>
          <w:sz w:val="32"/>
          <w:szCs w:val="32"/>
        </w:rPr>
      </w:pPr>
    </w:p>
    <w:p>
      <w:pPr>
        <w:pStyle w:val="20"/>
        <w:ind w:firstLine="31680"/>
        <w:rPr>
          <w:rFonts w:ascii="宋体"/>
          <w:b/>
          <w:bCs/>
          <w:color w:val="auto"/>
          <w:sz w:val="44"/>
          <w:szCs w:val="44"/>
        </w:rPr>
      </w:pPr>
    </w:p>
    <w:p>
      <w:pPr>
        <w:pStyle w:val="20"/>
        <w:ind w:firstLine="31680"/>
        <w:rPr>
          <w:rFonts w:ascii="宋体"/>
          <w:b/>
          <w:bCs/>
          <w:color w:val="auto"/>
          <w:sz w:val="44"/>
          <w:szCs w:val="44"/>
        </w:rPr>
      </w:pPr>
    </w:p>
    <w:p>
      <w:pPr>
        <w:pStyle w:val="20"/>
        <w:ind w:firstLine="31680"/>
        <w:rPr>
          <w:rFonts w:ascii="宋体"/>
          <w:b/>
          <w:bCs/>
          <w:color w:val="auto"/>
          <w:sz w:val="44"/>
          <w:szCs w:val="44"/>
        </w:rPr>
      </w:pPr>
    </w:p>
    <w:p>
      <w:pPr>
        <w:pStyle w:val="20"/>
        <w:ind w:firstLine="31680"/>
        <w:rPr>
          <w:rFonts w:ascii="宋体"/>
          <w:b/>
          <w:bCs/>
          <w:color w:val="auto"/>
          <w:sz w:val="44"/>
          <w:szCs w:val="44"/>
        </w:rPr>
      </w:pPr>
    </w:p>
    <w:p>
      <w:pPr>
        <w:spacing w:line="240" w:lineRule="atLeast"/>
        <w:jc w:val="center"/>
        <w:rPr>
          <w:rFonts w:ascii="宋体"/>
          <w:b/>
          <w:bCs/>
          <w:color w:val="auto"/>
          <w:sz w:val="44"/>
          <w:szCs w:val="44"/>
        </w:rPr>
      </w:pPr>
      <w:r>
        <w:rPr>
          <w:rFonts w:hint="eastAsia" w:ascii="宋体" w:hAnsi="宋体" w:cs="宋体"/>
          <w:b/>
          <w:bCs/>
          <w:color w:val="auto"/>
          <w:sz w:val="44"/>
          <w:szCs w:val="44"/>
        </w:rPr>
        <w:t>招</w:t>
      </w:r>
      <w:r>
        <w:rPr>
          <w:rFonts w:ascii="宋体" w:hAnsi="宋体" w:cs="宋体"/>
          <w:b/>
          <w:bCs/>
          <w:color w:val="auto"/>
          <w:sz w:val="44"/>
          <w:szCs w:val="44"/>
        </w:rPr>
        <w:t xml:space="preserve"> </w:t>
      </w:r>
      <w:r>
        <w:rPr>
          <w:rFonts w:hint="eastAsia" w:ascii="宋体" w:hAnsi="宋体" w:cs="宋体"/>
          <w:b/>
          <w:bCs/>
          <w:color w:val="auto"/>
          <w:sz w:val="44"/>
          <w:szCs w:val="44"/>
        </w:rPr>
        <w:t>标</w:t>
      </w:r>
      <w:r>
        <w:rPr>
          <w:rFonts w:ascii="宋体" w:hAnsi="宋体" w:cs="宋体"/>
          <w:b/>
          <w:bCs/>
          <w:color w:val="auto"/>
          <w:sz w:val="44"/>
          <w:szCs w:val="44"/>
        </w:rPr>
        <w:t xml:space="preserve"> </w:t>
      </w:r>
      <w:r>
        <w:rPr>
          <w:rFonts w:hint="eastAsia" w:ascii="宋体" w:hAnsi="宋体" w:cs="宋体"/>
          <w:b/>
          <w:bCs/>
          <w:color w:val="auto"/>
          <w:sz w:val="44"/>
          <w:szCs w:val="44"/>
        </w:rPr>
        <w:t>文</w:t>
      </w:r>
      <w:r>
        <w:rPr>
          <w:rFonts w:ascii="宋体" w:hAnsi="宋体" w:cs="宋体"/>
          <w:b/>
          <w:bCs/>
          <w:color w:val="auto"/>
          <w:sz w:val="44"/>
          <w:szCs w:val="44"/>
        </w:rPr>
        <w:t xml:space="preserve"> </w:t>
      </w:r>
      <w:r>
        <w:rPr>
          <w:rFonts w:hint="eastAsia" w:ascii="宋体" w:hAnsi="宋体" w:cs="宋体"/>
          <w:b/>
          <w:bCs/>
          <w:color w:val="auto"/>
          <w:sz w:val="44"/>
          <w:szCs w:val="44"/>
        </w:rPr>
        <w:t>件</w:t>
      </w:r>
    </w:p>
    <w:p>
      <w:pPr>
        <w:spacing w:line="240" w:lineRule="atLeast"/>
        <w:jc w:val="center"/>
        <w:rPr>
          <w:rFonts w:ascii="宋体"/>
          <w:b/>
          <w:bCs/>
          <w:color w:val="auto"/>
          <w:sz w:val="40"/>
          <w:szCs w:val="40"/>
        </w:rPr>
      </w:pPr>
    </w:p>
    <w:p>
      <w:pPr>
        <w:spacing w:line="240" w:lineRule="atLeast"/>
        <w:jc w:val="center"/>
        <w:rPr>
          <w:rFonts w:ascii="宋体"/>
          <w:b/>
          <w:bCs/>
          <w:color w:val="auto"/>
          <w:sz w:val="40"/>
          <w:szCs w:val="40"/>
        </w:rPr>
      </w:pPr>
      <w:r>
        <w:rPr>
          <w:rFonts w:hint="eastAsia" w:ascii="宋体" w:hAnsi="宋体" w:cs="宋体"/>
          <w:b/>
          <w:bCs/>
          <w:color w:val="auto"/>
          <w:sz w:val="40"/>
          <w:szCs w:val="40"/>
        </w:rPr>
        <w:t>项目编号：</w:t>
      </w:r>
      <w:r>
        <w:rPr>
          <w:rFonts w:ascii="宋体" w:hAnsi="宋体" w:cs="宋体"/>
          <w:b/>
          <w:bCs/>
          <w:color w:val="auto"/>
          <w:sz w:val="40"/>
          <w:szCs w:val="40"/>
        </w:rPr>
        <w:t>ZJ(GK)-21094</w:t>
      </w:r>
    </w:p>
    <w:p>
      <w:pPr>
        <w:pStyle w:val="2"/>
        <w:rPr>
          <w:rFonts w:hAnsi="宋体" w:cs="Times New Roman"/>
          <w:color w:val="auto"/>
        </w:rPr>
      </w:pPr>
    </w:p>
    <w:p>
      <w:pPr>
        <w:pStyle w:val="2"/>
        <w:rPr>
          <w:rFonts w:hAnsi="宋体" w:cs="Times New Roman"/>
          <w:color w:val="auto"/>
        </w:rPr>
      </w:pPr>
    </w:p>
    <w:p>
      <w:pPr>
        <w:spacing w:line="240" w:lineRule="atLeast"/>
        <w:jc w:val="center"/>
        <w:outlineLvl w:val="0"/>
        <w:rPr>
          <w:rFonts w:ascii="宋体"/>
          <w:b/>
          <w:bCs/>
          <w:color w:val="auto"/>
          <w:sz w:val="40"/>
          <w:szCs w:val="40"/>
        </w:rPr>
      </w:pPr>
      <w:bookmarkStart w:id="1122" w:name="_Toc30135"/>
      <w:bookmarkStart w:id="1123" w:name="_Toc2497"/>
      <w:bookmarkStart w:id="1124" w:name="_Toc29605"/>
      <w:bookmarkStart w:id="1125" w:name="_Toc25236"/>
      <w:bookmarkStart w:id="1126" w:name="_Toc10296"/>
      <w:bookmarkStart w:id="1127" w:name="_Toc11428"/>
      <w:bookmarkStart w:id="1128" w:name="_Toc21397"/>
      <w:bookmarkStart w:id="1129" w:name="_Toc997"/>
      <w:bookmarkStart w:id="1130" w:name="_Toc11667"/>
      <w:bookmarkStart w:id="1131" w:name="_Toc27374"/>
      <w:bookmarkStart w:id="1132" w:name="_Toc16427"/>
      <w:bookmarkStart w:id="1133" w:name="_Toc14078"/>
      <w:bookmarkStart w:id="1134" w:name="_Toc8709"/>
      <w:bookmarkStart w:id="1135" w:name="_Toc5580"/>
      <w:bookmarkStart w:id="1136" w:name="_Toc20854"/>
      <w:r>
        <w:rPr>
          <w:rFonts w:hint="eastAsia" w:ascii="宋体" w:hAnsi="宋体" w:cs="宋体"/>
          <w:b/>
          <w:bCs/>
          <w:color w:val="auto"/>
          <w:sz w:val="40"/>
          <w:szCs w:val="40"/>
        </w:rPr>
        <w:t>第</w:t>
      </w:r>
      <w:r>
        <w:rPr>
          <w:rFonts w:ascii="宋体" w:hAnsi="宋体" w:cs="宋体"/>
          <w:b/>
          <w:bCs/>
          <w:color w:val="auto"/>
          <w:sz w:val="40"/>
          <w:szCs w:val="40"/>
        </w:rPr>
        <w:t xml:space="preserve"> </w:t>
      </w:r>
      <w:r>
        <w:rPr>
          <w:rFonts w:hint="eastAsia" w:ascii="宋体" w:hAnsi="宋体" w:cs="宋体"/>
          <w:b/>
          <w:bCs/>
          <w:color w:val="auto"/>
          <w:sz w:val="40"/>
          <w:szCs w:val="40"/>
        </w:rPr>
        <w:t>三</w:t>
      </w:r>
      <w:r>
        <w:rPr>
          <w:rFonts w:ascii="宋体" w:hAnsi="宋体" w:cs="宋体"/>
          <w:b/>
          <w:bCs/>
          <w:color w:val="auto"/>
          <w:sz w:val="40"/>
          <w:szCs w:val="40"/>
        </w:rPr>
        <w:t xml:space="preserve"> </w:t>
      </w:r>
      <w:r>
        <w:rPr>
          <w:rFonts w:hint="eastAsia" w:ascii="宋体" w:hAnsi="宋体" w:cs="宋体"/>
          <w:b/>
          <w:bCs/>
          <w:color w:val="auto"/>
          <w:sz w:val="40"/>
          <w:szCs w:val="40"/>
        </w:rPr>
        <w:t>册</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pPr>
        <w:spacing w:line="240" w:lineRule="atLeast"/>
        <w:jc w:val="center"/>
        <w:rPr>
          <w:rFonts w:ascii="宋体"/>
          <w:b/>
          <w:bCs/>
          <w:color w:val="auto"/>
          <w:sz w:val="32"/>
          <w:szCs w:val="32"/>
        </w:rPr>
      </w:pPr>
    </w:p>
    <w:p>
      <w:pPr>
        <w:spacing w:line="240" w:lineRule="atLeast"/>
        <w:ind w:left="1080" w:leftChars="257" w:hanging="540"/>
        <w:jc w:val="center"/>
        <w:rPr>
          <w:rFonts w:ascii="宋体"/>
          <w:b/>
          <w:bCs/>
          <w:color w:val="auto"/>
          <w:sz w:val="52"/>
          <w:szCs w:val="52"/>
        </w:rPr>
      </w:pPr>
    </w:p>
    <w:p>
      <w:pPr>
        <w:spacing w:line="240" w:lineRule="atLeast"/>
        <w:ind w:left="1080" w:leftChars="257" w:hanging="540"/>
        <w:jc w:val="center"/>
        <w:rPr>
          <w:rFonts w:ascii="宋体"/>
          <w:b/>
          <w:bCs/>
          <w:color w:val="auto"/>
          <w:sz w:val="52"/>
          <w:szCs w:val="52"/>
        </w:rPr>
      </w:pPr>
    </w:p>
    <w:p>
      <w:pPr>
        <w:spacing w:line="240" w:lineRule="atLeast"/>
        <w:ind w:left="1080" w:leftChars="257" w:hanging="540"/>
        <w:jc w:val="center"/>
        <w:rPr>
          <w:rFonts w:ascii="宋体"/>
          <w:b/>
          <w:bCs/>
          <w:color w:val="auto"/>
          <w:sz w:val="52"/>
          <w:szCs w:val="52"/>
        </w:rPr>
      </w:pPr>
    </w:p>
    <w:p>
      <w:pPr>
        <w:pStyle w:val="2"/>
        <w:rPr>
          <w:rFonts w:hAnsi="宋体" w:cs="Times New Roman"/>
          <w:b/>
          <w:bCs/>
          <w:color w:val="auto"/>
          <w:sz w:val="52"/>
          <w:szCs w:val="52"/>
        </w:rPr>
      </w:pPr>
    </w:p>
    <w:p>
      <w:pPr>
        <w:spacing w:line="240" w:lineRule="atLeast"/>
        <w:rPr>
          <w:rFonts w:ascii="宋体"/>
          <w:b/>
          <w:bCs/>
          <w:color w:val="auto"/>
          <w:sz w:val="52"/>
          <w:szCs w:val="52"/>
        </w:rPr>
        <w:sectPr>
          <w:headerReference r:id="rId10" w:type="default"/>
          <w:footerReference r:id="rId11" w:type="default"/>
          <w:pgSz w:w="11907" w:h="16840"/>
          <w:pgMar w:top="1474" w:right="1814" w:bottom="1474" w:left="1814" w:header="851" w:footer="851" w:gutter="0"/>
          <w:cols w:space="720" w:num="1"/>
          <w:docGrid w:linePitch="462" w:charSpace="0"/>
        </w:sectPr>
      </w:pPr>
    </w:p>
    <w:bookmarkEnd w:id="1121"/>
    <w:p>
      <w:pPr>
        <w:pStyle w:val="3"/>
        <w:rPr>
          <w:rFonts w:hAnsi="宋体" w:cs="Times New Roman"/>
          <w:color w:val="auto"/>
        </w:rPr>
      </w:pPr>
      <w:bookmarkStart w:id="1137" w:name="_Toc6865"/>
      <w:bookmarkStart w:id="1138" w:name="_Toc17162"/>
      <w:bookmarkStart w:id="1139" w:name="_Toc515647833"/>
      <w:bookmarkStart w:id="1140" w:name="_Toc4796"/>
      <w:bookmarkStart w:id="1141" w:name="_Toc12089"/>
      <w:r>
        <w:rPr>
          <w:rFonts w:hint="eastAsia" w:hAnsi="宋体"/>
          <w:color w:val="auto"/>
        </w:rPr>
        <w:t>第</w:t>
      </w:r>
      <w:r>
        <w:rPr>
          <w:rFonts w:hAnsi="宋体"/>
          <w:color w:val="auto"/>
        </w:rPr>
        <w:t>7</w:t>
      </w:r>
      <w:r>
        <w:rPr>
          <w:rFonts w:hint="eastAsia" w:hAnsi="宋体"/>
          <w:color w:val="auto"/>
        </w:rPr>
        <w:t>章</w:t>
      </w:r>
      <w:r>
        <w:rPr>
          <w:rFonts w:hAnsi="宋体"/>
          <w:color w:val="auto"/>
        </w:rPr>
        <w:t xml:space="preserve"> </w:t>
      </w:r>
      <w:r>
        <w:rPr>
          <w:rFonts w:hint="eastAsia" w:hAnsi="宋体"/>
          <w:color w:val="auto"/>
        </w:rPr>
        <w:t>政府采购合同</w:t>
      </w:r>
      <w:bookmarkEnd w:id="1137"/>
      <w:bookmarkEnd w:id="1138"/>
      <w:bookmarkEnd w:id="1139"/>
      <w:bookmarkEnd w:id="1140"/>
      <w:bookmarkEnd w:id="1141"/>
      <w:bookmarkStart w:id="1142" w:name="_Hlt487972895"/>
      <w:bookmarkEnd w:id="1142"/>
      <w:bookmarkStart w:id="1143" w:name="_Toc216513788"/>
      <w:bookmarkStart w:id="1144" w:name="_Toc487900382"/>
    </w:p>
    <w:bookmarkEnd w:id="1143"/>
    <w:bookmarkEnd w:id="1144"/>
    <w:p>
      <w:pPr>
        <w:rPr>
          <w:rFonts w:ascii="宋体"/>
          <w:color w:val="auto"/>
        </w:rPr>
      </w:pPr>
    </w:p>
    <w:p>
      <w:pPr>
        <w:rPr>
          <w:rFonts w:ascii="宋体"/>
          <w:color w:val="auto"/>
        </w:rPr>
      </w:pPr>
      <w:r>
        <w:rPr>
          <w:rFonts w:hint="eastAsia" w:ascii="宋体" w:hAnsi="宋体" w:cs="宋体"/>
          <w:color w:val="auto"/>
          <w:sz w:val="24"/>
          <w:szCs w:val="24"/>
        </w:rPr>
        <w:t>合同编号：</w:t>
      </w:r>
      <w:r>
        <w:rPr>
          <w:rFonts w:ascii="宋体" w:hAnsi="宋体" w:cs="宋体"/>
          <w:color w:val="auto"/>
          <w:sz w:val="24"/>
          <w:szCs w:val="24"/>
        </w:rPr>
        <w:t xml:space="preserve">   </w:t>
      </w:r>
      <w:r>
        <w:rPr>
          <w:rFonts w:ascii="宋体" w:hAnsi="宋体" w:cs="宋体"/>
          <w:color w:val="auto"/>
        </w:rPr>
        <w:t xml:space="preserve">        </w:t>
      </w:r>
    </w:p>
    <w:p>
      <w:pPr>
        <w:rPr>
          <w:rFonts w:ascii="宋体"/>
          <w:color w:val="auto"/>
        </w:rPr>
      </w:pPr>
    </w:p>
    <w:p>
      <w:pPr>
        <w:rPr>
          <w:rFonts w:ascii="宋体"/>
          <w:color w:val="auto"/>
        </w:rPr>
      </w:pPr>
    </w:p>
    <w:p>
      <w:pPr>
        <w:rPr>
          <w:rFonts w:ascii="宋体"/>
          <w:color w:val="auto"/>
        </w:rPr>
      </w:pPr>
    </w:p>
    <w:p>
      <w:pPr>
        <w:spacing w:line="500" w:lineRule="exact"/>
        <w:jc w:val="center"/>
        <w:rPr>
          <w:rFonts w:ascii="宋体"/>
          <w:b/>
          <w:bCs/>
          <w:color w:val="auto"/>
          <w:sz w:val="44"/>
          <w:szCs w:val="44"/>
        </w:rPr>
      </w:pPr>
      <w:r>
        <w:rPr>
          <w:rFonts w:hint="eastAsia" w:ascii="宋体" w:hAnsi="宋体" w:cs="宋体"/>
          <w:b/>
          <w:bCs/>
          <w:color w:val="auto"/>
          <w:sz w:val="44"/>
          <w:szCs w:val="44"/>
        </w:rPr>
        <w:t>政府采购合同参考范本</w:t>
      </w:r>
    </w:p>
    <w:p>
      <w:pPr>
        <w:spacing w:line="500" w:lineRule="exact"/>
        <w:jc w:val="center"/>
        <w:rPr>
          <w:rFonts w:ascii="宋体"/>
          <w:b/>
          <w:bCs/>
          <w:color w:val="auto"/>
          <w:sz w:val="24"/>
          <w:szCs w:val="24"/>
        </w:rPr>
      </w:pPr>
      <w:r>
        <w:rPr>
          <w:rFonts w:hint="eastAsia" w:ascii="宋体" w:hAnsi="宋体" w:cs="宋体"/>
          <w:b/>
          <w:bCs/>
          <w:color w:val="auto"/>
          <w:sz w:val="24"/>
          <w:szCs w:val="24"/>
        </w:rPr>
        <w:t>（货物类）</w:t>
      </w:r>
    </w:p>
    <w:p>
      <w:pPr>
        <w:rPr>
          <w:rFonts w:ascii="宋体"/>
          <w:color w:val="auto"/>
        </w:rPr>
      </w:pPr>
    </w:p>
    <w:p>
      <w:pPr>
        <w:rPr>
          <w:rFonts w:ascii="宋体"/>
          <w:color w:val="auto"/>
        </w:rPr>
      </w:pPr>
    </w:p>
    <w:p>
      <w:pPr>
        <w:pStyle w:val="42"/>
        <w:spacing w:line="360" w:lineRule="exact"/>
        <w:ind w:firstLine="0"/>
        <w:jc w:val="center"/>
        <w:rPr>
          <w:rFonts w:hAnsi="宋体" w:cs="Times New Roman"/>
          <w:b/>
          <w:bCs/>
          <w:color w:val="auto"/>
        </w:rPr>
      </w:pPr>
      <w:r>
        <w:rPr>
          <w:rFonts w:hint="eastAsia" w:hAnsi="宋体"/>
          <w:b/>
          <w:bCs/>
          <w:color w:val="auto"/>
        </w:rPr>
        <w:t>第一部分</w:t>
      </w:r>
      <w:r>
        <w:rPr>
          <w:rFonts w:hAnsi="宋体"/>
          <w:b/>
          <w:bCs/>
          <w:color w:val="auto"/>
        </w:rPr>
        <w:t xml:space="preserve"> </w:t>
      </w:r>
      <w:r>
        <w:rPr>
          <w:rFonts w:hint="eastAsia" w:hAnsi="宋体"/>
          <w:b/>
          <w:bCs/>
          <w:color w:val="auto"/>
        </w:rPr>
        <w:t>合同书</w:t>
      </w:r>
    </w:p>
    <w:p>
      <w:pPr>
        <w:rPr>
          <w:rFonts w:ascii="宋体"/>
          <w:color w:val="auto"/>
        </w:rPr>
      </w:pPr>
    </w:p>
    <w:p>
      <w:pPr>
        <w:spacing w:before="120" w:line="360" w:lineRule="exact"/>
        <w:ind w:left="960"/>
        <w:rPr>
          <w:rFonts w:ascii="宋体"/>
          <w:color w:val="auto"/>
          <w:sz w:val="24"/>
          <w:szCs w:val="24"/>
        </w:rPr>
      </w:pPr>
      <w:r>
        <w:rPr>
          <w:rFonts w:hint="eastAsia" w:ascii="宋体" w:hAnsi="宋体" w:cs="宋体"/>
          <w:color w:val="auto"/>
          <w:sz w:val="24"/>
          <w:szCs w:val="24"/>
        </w:rPr>
        <w:t>项目名称：</w:t>
      </w:r>
      <w:r>
        <w:rPr>
          <w:rFonts w:ascii="宋体" w:hAnsi="宋体" w:cs="宋体"/>
          <w:color w:val="auto"/>
          <w:sz w:val="24"/>
          <w:szCs w:val="24"/>
          <w:u w:val="single"/>
        </w:rPr>
        <w:t xml:space="preserve">                                   </w:t>
      </w:r>
    </w:p>
    <w:p>
      <w:pPr>
        <w:pStyle w:val="43"/>
        <w:spacing w:before="120" w:line="360" w:lineRule="exact"/>
        <w:rPr>
          <w:rFonts w:ascii="宋体" w:hAnsi="宋体" w:eastAsia="宋体" w:cs="Times New Roman"/>
          <w:color w:val="auto"/>
        </w:rPr>
      </w:pPr>
    </w:p>
    <w:p>
      <w:pPr>
        <w:pStyle w:val="43"/>
        <w:spacing w:before="120" w:line="360" w:lineRule="exact"/>
        <w:rPr>
          <w:rFonts w:ascii="宋体" w:hAnsi="宋体" w:eastAsia="宋体" w:cs="Times New Roman"/>
          <w:color w:val="auto"/>
        </w:rPr>
      </w:pPr>
    </w:p>
    <w:p>
      <w:pPr>
        <w:spacing w:line="360" w:lineRule="exact"/>
        <w:rPr>
          <w:rFonts w:ascii="宋体"/>
          <w:color w:val="auto"/>
        </w:rPr>
      </w:pPr>
    </w:p>
    <w:p>
      <w:pPr>
        <w:spacing w:before="120" w:line="360" w:lineRule="exact"/>
        <w:ind w:left="960"/>
        <w:rPr>
          <w:rFonts w:ascii="宋体"/>
          <w:color w:val="auto"/>
          <w:sz w:val="24"/>
          <w:szCs w:val="24"/>
          <w:u w:val="single"/>
        </w:rPr>
      </w:pPr>
      <w:r>
        <w:rPr>
          <w:rFonts w:hint="eastAsia" w:ascii="宋体" w:hAnsi="宋体" w:cs="宋体"/>
          <w:color w:val="auto"/>
          <w:sz w:val="24"/>
          <w:szCs w:val="24"/>
        </w:rPr>
        <w:t>甲方：</w:t>
      </w:r>
      <w:r>
        <w:rPr>
          <w:rFonts w:ascii="宋体" w:hAnsi="宋体" w:cs="宋体"/>
          <w:color w:val="auto"/>
          <w:sz w:val="24"/>
          <w:szCs w:val="24"/>
          <w:u w:val="single"/>
        </w:rPr>
        <w:t xml:space="preserve">                                       </w:t>
      </w:r>
    </w:p>
    <w:p>
      <w:pPr>
        <w:spacing w:before="120" w:line="360" w:lineRule="exact"/>
        <w:rPr>
          <w:rFonts w:ascii="宋体"/>
          <w:color w:val="auto"/>
          <w:sz w:val="24"/>
          <w:szCs w:val="24"/>
        </w:rPr>
      </w:pPr>
    </w:p>
    <w:p>
      <w:pPr>
        <w:spacing w:before="120" w:line="360" w:lineRule="exact"/>
        <w:ind w:left="960"/>
        <w:rPr>
          <w:rFonts w:ascii="宋体"/>
          <w:color w:val="auto"/>
          <w:sz w:val="24"/>
          <w:szCs w:val="24"/>
          <w:u w:val="single"/>
        </w:rPr>
      </w:pPr>
      <w:r>
        <w:rPr>
          <w:rFonts w:hint="eastAsia" w:ascii="宋体" w:hAnsi="宋体" w:cs="宋体"/>
          <w:color w:val="auto"/>
          <w:sz w:val="24"/>
          <w:szCs w:val="24"/>
        </w:rPr>
        <w:t>乙方：</w:t>
      </w:r>
      <w:r>
        <w:rPr>
          <w:rFonts w:ascii="宋体" w:hAnsi="宋体" w:cs="宋体"/>
          <w:color w:val="auto"/>
          <w:sz w:val="24"/>
          <w:szCs w:val="24"/>
          <w:u w:val="single"/>
        </w:rPr>
        <w:t xml:space="preserve">                                       </w:t>
      </w:r>
    </w:p>
    <w:p>
      <w:pPr>
        <w:spacing w:before="120" w:line="360" w:lineRule="exact"/>
        <w:rPr>
          <w:rFonts w:ascii="宋体"/>
          <w:color w:val="auto"/>
          <w:sz w:val="24"/>
          <w:szCs w:val="24"/>
        </w:rPr>
      </w:pPr>
    </w:p>
    <w:p>
      <w:pPr>
        <w:spacing w:before="120" w:line="360" w:lineRule="exact"/>
        <w:ind w:firstLine="960" w:firstLineChars="400"/>
        <w:rPr>
          <w:rFonts w:ascii="宋体"/>
          <w:color w:val="auto"/>
          <w:sz w:val="24"/>
          <w:szCs w:val="24"/>
          <w:u w:val="single"/>
        </w:rPr>
      </w:pPr>
      <w:r>
        <w:rPr>
          <w:rFonts w:hint="eastAsia" w:ascii="宋体" w:hAnsi="宋体" w:cs="宋体"/>
          <w:color w:val="auto"/>
          <w:sz w:val="24"/>
          <w:szCs w:val="24"/>
        </w:rPr>
        <w:t>签订地：</w:t>
      </w:r>
      <w:r>
        <w:rPr>
          <w:rFonts w:ascii="宋体" w:hAnsi="宋体" w:cs="宋体"/>
          <w:color w:val="auto"/>
          <w:sz w:val="24"/>
          <w:szCs w:val="24"/>
          <w:u w:val="single"/>
        </w:rPr>
        <w:t xml:space="preserve">                                     </w:t>
      </w:r>
    </w:p>
    <w:p>
      <w:pPr>
        <w:spacing w:before="120" w:line="360" w:lineRule="exact"/>
        <w:rPr>
          <w:rFonts w:ascii="宋体"/>
          <w:color w:val="auto"/>
          <w:sz w:val="24"/>
          <w:szCs w:val="24"/>
        </w:rPr>
      </w:pPr>
    </w:p>
    <w:p>
      <w:pPr>
        <w:spacing w:before="120" w:line="360" w:lineRule="exact"/>
        <w:ind w:firstLine="960" w:firstLineChars="400"/>
        <w:rPr>
          <w:rFonts w:ascii="宋体"/>
          <w:color w:val="auto"/>
          <w:sz w:val="24"/>
          <w:szCs w:val="24"/>
          <w:u w:val="single"/>
        </w:rPr>
      </w:pPr>
      <w:r>
        <w:rPr>
          <w:rFonts w:hint="eastAsia" w:ascii="宋体" w:hAnsi="宋体" w:cs="宋体"/>
          <w:color w:val="auto"/>
          <w:sz w:val="24"/>
          <w:szCs w:val="24"/>
        </w:rPr>
        <w:t>签订日期：</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rPr>
        <w:t>日</w:t>
      </w:r>
    </w:p>
    <w:p>
      <w:pPr>
        <w:autoSpaceDE w:val="0"/>
        <w:autoSpaceDN w:val="0"/>
        <w:adjustRightInd w:val="0"/>
        <w:spacing w:line="360" w:lineRule="exact"/>
        <w:ind w:firstLine="640"/>
        <w:jc w:val="center"/>
        <w:rPr>
          <w:rFonts w:ascii="宋体"/>
          <w:color w:val="auto"/>
          <w:sz w:val="24"/>
          <w:szCs w:val="24"/>
        </w:rPr>
        <w:sectPr>
          <w:footerReference r:id="rId12" w:type="default"/>
          <w:pgSz w:w="11907" w:h="16840"/>
          <w:pgMar w:top="1474" w:right="1814" w:bottom="1474" w:left="1814" w:header="851" w:footer="851" w:gutter="0"/>
          <w:cols w:space="720" w:num="1"/>
          <w:docGrid w:linePitch="462" w:charSpace="0"/>
        </w:sectPr>
      </w:pPr>
    </w:p>
    <w:p>
      <w:pPr>
        <w:spacing w:line="360" w:lineRule="exact"/>
        <w:ind w:firstLine="480" w:firstLineChars="200"/>
        <w:rPr>
          <w:rFonts w:ascii="宋体"/>
          <w:color w:val="auto"/>
          <w:sz w:val="24"/>
          <w:szCs w:val="24"/>
        </w:rPr>
      </w:pPr>
      <w:bookmarkStart w:id="1145" w:name="_Toc2659"/>
      <w:bookmarkStart w:id="1146" w:name="_Toc24059"/>
      <w:bookmarkStart w:id="1147" w:name="_Toc3029"/>
      <w:bookmarkStart w:id="1148" w:name="_Toc2232"/>
      <w:bookmarkStart w:id="1149" w:name="_Toc26721"/>
      <w:bookmarkStart w:id="1150" w:name="_Toc1846"/>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年</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月</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日</w:t>
      </w:r>
      <w:r>
        <w:rPr>
          <w:rFonts w:hint="eastAsia" w:ascii="宋体" w:hAnsi="宋体" w:cs="宋体"/>
          <w:color w:val="auto"/>
          <w:sz w:val="24"/>
          <w:szCs w:val="24"/>
        </w:rPr>
        <w:t>，</w:t>
      </w:r>
      <w:r>
        <w:rPr>
          <w:rFonts w:ascii="宋体" w:hAnsi="宋体" w:cs="宋体"/>
          <w:color w:val="auto"/>
          <w:sz w:val="24"/>
          <w:szCs w:val="24"/>
          <w:u w:val="single"/>
        </w:rPr>
        <w:t xml:space="preserve">   </w:t>
      </w:r>
      <w:r>
        <w:rPr>
          <w:rFonts w:hint="eastAsia" w:ascii="宋体" w:hAnsi="宋体" w:cs="宋体"/>
          <w:color w:val="auto"/>
          <w:sz w:val="24"/>
          <w:szCs w:val="24"/>
          <w:u w:val="single"/>
        </w:rPr>
        <w:t>（采购人名称）</w:t>
      </w:r>
      <w:r>
        <w:rPr>
          <w:rFonts w:ascii="宋体" w:hAnsi="宋体" w:cs="宋体"/>
          <w:color w:val="auto"/>
          <w:sz w:val="24"/>
          <w:szCs w:val="24"/>
          <w:u w:val="single"/>
        </w:rPr>
        <w:t xml:space="preserve">   </w:t>
      </w:r>
      <w:r>
        <w:rPr>
          <w:rFonts w:hint="eastAsia" w:ascii="宋体" w:hAnsi="宋体" w:cs="宋体"/>
          <w:color w:val="auto"/>
          <w:sz w:val="24"/>
          <w:szCs w:val="24"/>
        </w:rPr>
        <w:t>以</w:t>
      </w:r>
      <w:r>
        <w:rPr>
          <w:rFonts w:ascii="宋体" w:hAnsi="宋体" w:cs="宋体"/>
          <w:color w:val="auto"/>
          <w:sz w:val="24"/>
          <w:szCs w:val="24"/>
          <w:u w:val="single"/>
        </w:rPr>
        <w:t xml:space="preserve">   </w:t>
      </w:r>
      <w:r>
        <w:rPr>
          <w:rFonts w:hint="eastAsia" w:ascii="宋体" w:hAnsi="宋体" w:cs="宋体"/>
          <w:color w:val="auto"/>
          <w:sz w:val="24"/>
          <w:szCs w:val="24"/>
          <w:u w:val="single"/>
        </w:rPr>
        <w:t>（政府采购方式）</w:t>
      </w:r>
      <w:r>
        <w:rPr>
          <w:rFonts w:ascii="宋体" w:hAnsi="宋体" w:cs="宋体"/>
          <w:color w:val="auto"/>
          <w:sz w:val="24"/>
          <w:szCs w:val="24"/>
          <w:u w:val="single"/>
        </w:rPr>
        <w:t xml:space="preserve">  </w:t>
      </w:r>
      <w:r>
        <w:rPr>
          <w:rFonts w:hint="eastAsia" w:ascii="宋体" w:hAnsi="宋体" w:cs="宋体"/>
          <w:color w:val="auto"/>
          <w:sz w:val="24"/>
          <w:szCs w:val="24"/>
        </w:rPr>
        <w:t>对</w:t>
      </w:r>
      <w:r>
        <w:rPr>
          <w:rFonts w:ascii="宋体" w:hAnsi="宋体" w:cs="宋体"/>
          <w:color w:val="auto"/>
          <w:sz w:val="24"/>
          <w:szCs w:val="24"/>
          <w:u w:val="single"/>
        </w:rPr>
        <w:t xml:space="preserve">   </w:t>
      </w:r>
      <w:r>
        <w:rPr>
          <w:rFonts w:hint="eastAsia" w:ascii="宋体" w:hAnsi="宋体" w:cs="宋体"/>
          <w:color w:val="auto"/>
          <w:sz w:val="24"/>
          <w:szCs w:val="24"/>
          <w:u w:val="single"/>
        </w:rPr>
        <w:t>（同前页项目名称）</w:t>
      </w:r>
      <w:r>
        <w:rPr>
          <w:rFonts w:ascii="宋体" w:hAnsi="宋体" w:cs="宋体"/>
          <w:color w:val="auto"/>
          <w:sz w:val="24"/>
          <w:szCs w:val="24"/>
          <w:u w:val="single"/>
        </w:rPr>
        <w:t xml:space="preserve">   </w:t>
      </w:r>
      <w:r>
        <w:rPr>
          <w:rFonts w:hint="eastAsia" w:ascii="宋体" w:hAnsi="宋体" w:cs="宋体"/>
          <w:color w:val="auto"/>
          <w:sz w:val="24"/>
          <w:szCs w:val="24"/>
        </w:rPr>
        <w:t>项目进行了采购。经</w:t>
      </w:r>
      <w:r>
        <w:rPr>
          <w:rFonts w:ascii="宋体" w:hAnsi="宋体" w:cs="宋体"/>
          <w:color w:val="auto"/>
          <w:sz w:val="24"/>
          <w:szCs w:val="24"/>
          <w:u w:val="single"/>
        </w:rPr>
        <w:t xml:space="preserve">   </w:t>
      </w:r>
      <w:r>
        <w:rPr>
          <w:rFonts w:hint="eastAsia" w:ascii="宋体" w:hAnsi="宋体" w:cs="宋体"/>
          <w:color w:val="auto"/>
          <w:sz w:val="24"/>
          <w:szCs w:val="24"/>
          <w:u w:val="single"/>
        </w:rPr>
        <w:t>（相关评定主体名称）</w:t>
      </w:r>
      <w:r>
        <w:rPr>
          <w:rFonts w:ascii="宋体" w:hAnsi="宋体" w:cs="宋体"/>
          <w:color w:val="auto"/>
          <w:sz w:val="24"/>
          <w:szCs w:val="24"/>
          <w:u w:val="single"/>
        </w:rPr>
        <w:t xml:space="preserve">   </w:t>
      </w:r>
      <w:r>
        <w:rPr>
          <w:rFonts w:hint="eastAsia" w:ascii="宋体" w:hAnsi="宋体" w:cs="宋体"/>
          <w:color w:val="auto"/>
          <w:sz w:val="24"/>
          <w:szCs w:val="24"/>
        </w:rPr>
        <w:t>评定，</w:t>
      </w:r>
      <w:r>
        <w:rPr>
          <w:rFonts w:ascii="宋体" w:hAnsi="宋体" w:cs="宋体"/>
          <w:color w:val="auto"/>
          <w:sz w:val="24"/>
          <w:szCs w:val="24"/>
          <w:u w:val="single"/>
        </w:rPr>
        <w:t xml:space="preserve">   </w:t>
      </w:r>
      <w:r>
        <w:rPr>
          <w:rFonts w:hint="eastAsia" w:ascii="宋体" w:hAnsi="宋体" w:cs="宋体"/>
          <w:color w:val="auto"/>
          <w:sz w:val="24"/>
          <w:szCs w:val="24"/>
          <w:u w:val="single"/>
        </w:rPr>
        <w:t>（中标供应商名称）</w:t>
      </w:r>
      <w:r>
        <w:rPr>
          <w:rFonts w:hint="eastAsia" w:ascii="宋体" w:hAnsi="宋体" w:cs="宋体"/>
          <w:color w:val="auto"/>
          <w:sz w:val="24"/>
          <w:szCs w:val="24"/>
        </w:rPr>
        <w:t>为该项目中标供应商。现于中标通知书发出之日起三十日内，按照采购文件确定的事项签订本合同。</w:t>
      </w:r>
    </w:p>
    <w:p>
      <w:pPr>
        <w:spacing w:line="360" w:lineRule="exact"/>
        <w:ind w:firstLine="480" w:firstLineChars="200"/>
        <w:rPr>
          <w:rFonts w:ascii="宋体"/>
          <w:color w:val="auto"/>
          <w:sz w:val="24"/>
          <w:szCs w:val="24"/>
        </w:rPr>
      </w:pPr>
      <w:r>
        <w:rPr>
          <w:rFonts w:hint="eastAsia" w:ascii="宋体" w:hAnsi="宋体" w:cs="宋体"/>
          <w:color w:val="auto"/>
          <w:sz w:val="24"/>
          <w:szCs w:val="24"/>
          <w:lang w:val="zh-CN"/>
        </w:rPr>
        <w:t>根据《中华人民共和国合同法》、《中华人民共和国政府采购法》等相关法律法规之规定，按照平等、自愿、公平和诚实信用的原则，经</w:t>
      </w:r>
      <w:r>
        <w:rPr>
          <w:rFonts w:ascii="宋体" w:hAnsi="宋体" w:cs="宋体"/>
          <w:color w:val="auto"/>
          <w:sz w:val="24"/>
          <w:szCs w:val="24"/>
          <w:u w:val="single"/>
        </w:rPr>
        <w:t xml:space="preserve">   </w:t>
      </w:r>
      <w:r>
        <w:rPr>
          <w:rFonts w:hint="eastAsia" w:ascii="宋体" w:hAnsi="宋体" w:cs="宋体"/>
          <w:color w:val="auto"/>
          <w:sz w:val="24"/>
          <w:szCs w:val="24"/>
          <w:u w:val="single"/>
        </w:rPr>
        <w:t>（采购人名称）</w:t>
      </w:r>
      <w:r>
        <w:rPr>
          <w:rFonts w:ascii="宋体" w:hAnsi="宋体" w:cs="宋体"/>
          <w:color w:val="auto"/>
          <w:sz w:val="24"/>
          <w:szCs w:val="24"/>
          <w:u w:val="single"/>
        </w:rPr>
        <w:t xml:space="preserve">   </w:t>
      </w:r>
      <w:r>
        <w:rPr>
          <w:rFonts w:ascii="宋体" w:hAnsi="宋体" w:cs="宋体"/>
          <w:color w:val="auto"/>
          <w:sz w:val="24"/>
          <w:szCs w:val="24"/>
          <w:lang w:val="zh-CN"/>
        </w:rPr>
        <w:t>(</w:t>
      </w:r>
      <w:r>
        <w:rPr>
          <w:rFonts w:hint="eastAsia" w:ascii="宋体" w:hAnsi="宋体" w:cs="宋体"/>
          <w:color w:val="auto"/>
          <w:sz w:val="24"/>
          <w:szCs w:val="24"/>
          <w:lang w:val="zh-CN"/>
        </w:rPr>
        <w:t>以下简称：甲方</w:t>
      </w:r>
      <w:r>
        <w:rPr>
          <w:rFonts w:ascii="宋体" w:hAnsi="宋体" w:cs="宋体"/>
          <w:color w:val="auto"/>
          <w:sz w:val="24"/>
          <w:szCs w:val="24"/>
          <w:lang w:val="zh-CN"/>
        </w:rPr>
        <w:t>)</w:t>
      </w:r>
      <w:r>
        <w:rPr>
          <w:rFonts w:hint="eastAsia" w:ascii="宋体" w:hAnsi="宋体" w:cs="宋体"/>
          <w:color w:val="auto"/>
          <w:sz w:val="24"/>
          <w:szCs w:val="24"/>
          <w:lang w:val="zh-CN"/>
        </w:rPr>
        <w:t>和</w:t>
      </w:r>
      <w:r>
        <w:rPr>
          <w:rFonts w:ascii="宋体" w:hAnsi="宋体" w:cs="宋体"/>
          <w:color w:val="auto"/>
          <w:sz w:val="24"/>
          <w:szCs w:val="24"/>
          <w:u w:val="single"/>
        </w:rPr>
        <w:t xml:space="preserve">   </w:t>
      </w:r>
      <w:r>
        <w:rPr>
          <w:rFonts w:hint="eastAsia" w:ascii="宋体" w:hAnsi="宋体" w:cs="宋体"/>
          <w:color w:val="auto"/>
          <w:sz w:val="24"/>
          <w:szCs w:val="24"/>
          <w:u w:val="single"/>
        </w:rPr>
        <w:t>（中标供应商名称）</w:t>
      </w:r>
      <w:r>
        <w:rPr>
          <w:rFonts w:ascii="宋体" w:hAnsi="宋体" w:cs="宋体"/>
          <w:color w:val="auto"/>
          <w:sz w:val="24"/>
          <w:szCs w:val="24"/>
          <w:u w:val="single"/>
        </w:rPr>
        <w:t xml:space="preserve">   </w:t>
      </w:r>
      <w:r>
        <w:rPr>
          <w:rFonts w:ascii="宋体" w:hAnsi="宋体" w:cs="宋体"/>
          <w:color w:val="auto"/>
          <w:sz w:val="24"/>
          <w:szCs w:val="24"/>
          <w:lang w:val="zh-CN"/>
        </w:rPr>
        <w:t>(</w:t>
      </w:r>
      <w:r>
        <w:rPr>
          <w:rFonts w:hint="eastAsia" w:ascii="宋体" w:hAnsi="宋体" w:cs="宋体"/>
          <w:color w:val="auto"/>
          <w:sz w:val="24"/>
          <w:szCs w:val="24"/>
          <w:lang w:val="zh-CN"/>
        </w:rPr>
        <w:t>以下简称：乙方</w:t>
      </w:r>
      <w:r>
        <w:rPr>
          <w:rFonts w:ascii="宋体" w:hAnsi="宋体" w:cs="宋体"/>
          <w:color w:val="auto"/>
          <w:sz w:val="24"/>
          <w:szCs w:val="24"/>
          <w:lang w:val="zh-CN"/>
        </w:rPr>
        <w:t>)</w:t>
      </w:r>
      <w:r>
        <w:rPr>
          <w:rFonts w:hint="eastAsia" w:ascii="宋体" w:hAnsi="宋体" w:cs="宋体"/>
          <w:color w:val="auto"/>
          <w:sz w:val="24"/>
          <w:szCs w:val="24"/>
          <w:lang w:val="zh-CN"/>
        </w:rPr>
        <w:t>协商一致，约定以下合同</w:t>
      </w:r>
      <w:r>
        <w:rPr>
          <w:rFonts w:hint="eastAsia" w:ascii="宋体" w:hAnsi="宋体" w:cs="宋体"/>
          <w:color w:val="auto"/>
          <w:sz w:val="24"/>
          <w:szCs w:val="24"/>
        </w:rPr>
        <w:t>条款，以兹共同遵守、全面履行。</w:t>
      </w:r>
    </w:p>
    <w:bookmarkEnd w:id="1145"/>
    <w:bookmarkEnd w:id="1146"/>
    <w:bookmarkEnd w:id="1147"/>
    <w:bookmarkEnd w:id="1148"/>
    <w:bookmarkEnd w:id="1149"/>
    <w:bookmarkEnd w:id="1150"/>
    <w:p>
      <w:pPr>
        <w:spacing w:line="360" w:lineRule="exact"/>
        <w:ind w:firstLine="482" w:firstLineChars="200"/>
        <w:outlineLvl w:val="0"/>
        <w:rPr>
          <w:rFonts w:ascii="宋体"/>
          <w:b/>
          <w:bCs/>
          <w:color w:val="auto"/>
          <w:sz w:val="24"/>
          <w:szCs w:val="24"/>
        </w:rPr>
      </w:pPr>
      <w:bookmarkStart w:id="1151" w:name="_Toc2048"/>
      <w:bookmarkStart w:id="1152" w:name="_Toc4498"/>
      <w:bookmarkStart w:id="1153" w:name="_Toc27963"/>
      <w:bookmarkStart w:id="1154" w:name="_Toc25352"/>
      <w:bookmarkStart w:id="1155" w:name="_Toc28090"/>
      <w:bookmarkStart w:id="1156" w:name="_Toc18247"/>
      <w:bookmarkStart w:id="1157" w:name="_Toc14766"/>
      <w:bookmarkStart w:id="1158" w:name="_Toc24186"/>
      <w:bookmarkStart w:id="1159" w:name="_Toc29481"/>
      <w:bookmarkStart w:id="1160" w:name="_Toc27428"/>
      <w:bookmarkStart w:id="1161" w:name="_Toc30575"/>
      <w:bookmarkStart w:id="1162" w:name="_Toc21386"/>
      <w:bookmarkStart w:id="1163" w:name="_Toc6038"/>
      <w:bookmarkStart w:id="1164" w:name="_Toc4751"/>
      <w:bookmarkStart w:id="1165" w:name="_Toc29751"/>
      <w:r>
        <w:rPr>
          <w:rFonts w:ascii="宋体" w:hAnsi="宋体" w:cs="宋体"/>
          <w:b/>
          <w:bCs/>
          <w:color w:val="auto"/>
          <w:sz w:val="24"/>
          <w:szCs w:val="24"/>
        </w:rPr>
        <w:t xml:space="preserve">1.1 </w:t>
      </w:r>
      <w:r>
        <w:rPr>
          <w:rFonts w:hint="eastAsia" w:ascii="宋体" w:hAnsi="宋体" w:cs="宋体"/>
          <w:b/>
          <w:bCs/>
          <w:color w:val="auto"/>
          <w:sz w:val="24"/>
          <w:szCs w:val="24"/>
        </w:rPr>
        <w:t>合同组成部分</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spacing w:line="360" w:lineRule="exact"/>
        <w:ind w:firstLine="480" w:firstLineChars="200"/>
        <w:rPr>
          <w:rFonts w:ascii="宋体"/>
          <w:color w:val="auto"/>
          <w:sz w:val="24"/>
          <w:szCs w:val="24"/>
        </w:rPr>
      </w:pPr>
      <w:r>
        <w:rPr>
          <w:rFonts w:hint="eastAsia" w:ascii="宋体" w:hAnsi="宋体" w:cs="宋体"/>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1.1.1 </w:t>
      </w:r>
      <w:r>
        <w:rPr>
          <w:rFonts w:hint="eastAsia" w:ascii="宋体" w:hAnsi="宋体" w:cs="宋体"/>
          <w:color w:val="auto"/>
          <w:sz w:val="24"/>
          <w:szCs w:val="24"/>
        </w:rPr>
        <w:t>本合同及其补充合同、变更协议；</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1.1.2 </w:t>
      </w:r>
      <w:r>
        <w:rPr>
          <w:rFonts w:hint="eastAsia" w:ascii="宋体" w:hAnsi="宋体" w:cs="宋体"/>
          <w:color w:val="auto"/>
          <w:sz w:val="24"/>
          <w:szCs w:val="24"/>
        </w:rPr>
        <w:t>中标通知书；</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1.1.3 </w:t>
      </w:r>
      <w:r>
        <w:rPr>
          <w:rFonts w:hint="eastAsia" w:ascii="宋体" w:hAnsi="宋体" w:cs="宋体"/>
          <w:color w:val="auto"/>
          <w:sz w:val="24"/>
          <w:szCs w:val="24"/>
        </w:rPr>
        <w:t>投标文件（含澄清或者说明文件）；</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1.1.4 </w:t>
      </w:r>
      <w:r>
        <w:rPr>
          <w:rFonts w:hint="eastAsia" w:ascii="宋体" w:hAnsi="宋体" w:cs="宋体"/>
          <w:color w:val="auto"/>
          <w:sz w:val="24"/>
          <w:szCs w:val="24"/>
        </w:rPr>
        <w:t>招标文件（含澄清或者修改文件）；</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1.1.5 </w:t>
      </w:r>
      <w:r>
        <w:rPr>
          <w:rFonts w:hint="eastAsia" w:ascii="宋体" w:hAnsi="宋体" w:cs="宋体"/>
          <w:color w:val="auto"/>
          <w:sz w:val="24"/>
          <w:szCs w:val="24"/>
        </w:rPr>
        <w:t>其他相关采购文件。</w:t>
      </w:r>
    </w:p>
    <w:p>
      <w:pPr>
        <w:spacing w:line="360" w:lineRule="exact"/>
        <w:ind w:firstLine="482" w:firstLineChars="200"/>
        <w:outlineLvl w:val="0"/>
        <w:rPr>
          <w:rFonts w:ascii="宋体"/>
          <w:b/>
          <w:bCs/>
          <w:color w:val="auto"/>
          <w:sz w:val="24"/>
          <w:szCs w:val="24"/>
        </w:rPr>
      </w:pPr>
      <w:bookmarkStart w:id="1166" w:name="_Toc11238"/>
      <w:bookmarkStart w:id="1167" w:name="_Toc15345"/>
      <w:bookmarkStart w:id="1168" w:name="_Toc25402"/>
      <w:bookmarkStart w:id="1169" w:name="_Toc21690"/>
      <w:bookmarkStart w:id="1170" w:name="_Toc25735"/>
      <w:bookmarkStart w:id="1171" w:name="_Toc4735"/>
      <w:bookmarkStart w:id="1172" w:name="_Toc19432"/>
      <w:bookmarkStart w:id="1173" w:name="_Toc27126"/>
      <w:bookmarkStart w:id="1174" w:name="_Toc5906"/>
      <w:bookmarkStart w:id="1175" w:name="_Toc14235"/>
      <w:bookmarkStart w:id="1176" w:name="_Toc9006"/>
      <w:bookmarkStart w:id="1177" w:name="_Toc31638"/>
      <w:bookmarkStart w:id="1178" w:name="_Toc27318"/>
      <w:bookmarkStart w:id="1179" w:name="_Toc1446"/>
      <w:bookmarkStart w:id="1180" w:name="_Toc31632"/>
      <w:bookmarkStart w:id="1181" w:name="_Toc24300"/>
      <w:bookmarkStart w:id="1182" w:name="_Toc13138"/>
      <w:bookmarkStart w:id="1183" w:name="_Toc21295"/>
      <w:bookmarkStart w:id="1184" w:name="_Toc7977"/>
      <w:bookmarkStart w:id="1185" w:name="_Toc21217"/>
      <w:bookmarkStart w:id="1186" w:name="_Toc8631"/>
      <w:r>
        <w:rPr>
          <w:rFonts w:ascii="宋体" w:hAnsi="宋体" w:cs="宋体"/>
          <w:b/>
          <w:bCs/>
          <w:color w:val="auto"/>
          <w:sz w:val="24"/>
          <w:szCs w:val="24"/>
        </w:rPr>
        <w:t xml:space="preserve">1.2 </w:t>
      </w:r>
      <w:r>
        <w:rPr>
          <w:rFonts w:hint="eastAsia" w:ascii="宋体" w:hAnsi="宋体" w:cs="宋体"/>
          <w:b/>
          <w:bCs/>
          <w:color w:val="auto"/>
          <w:sz w:val="24"/>
          <w:szCs w:val="24"/>
        </w:rPr>
        <w:t>货物</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pPr>
        <w:spacing w:line="360" w:lineRule="exact"/>
        <w:ind w:firstLine="480" w:firstLineChars="200"/>
        <w:rPr>
          <w:rFonts w:ascii="宋体"/>
          <w:color w:val="auto"/>
          <w:sz w:val="24"/>
          <w:szCs w:val="24"/>
          <w:u w:val="single"/>
        </w:rPr>
      </w:pPr>
      <w:r>
        <w:rPr>
          <w:rFonts w:ascii="宋体" w:hAnsi="宋体" w:cs="宋体"/>
          <w:color w:val="auto"/>
          <w:sz w:val="24"/>
          <w:szCs w:val="24"/>
        </w:rPr>
        <w:t xml:space="preserve">1.2.1 </w:t>
      </w:r>
      <w:r>
        <w:rPr>
          <w:rFonts w:hint="eastAsia" w:ascii="宋体" w:hAnsi="宋体" w:cs="宋体"/>
          <w:color w:val="auto"/>
          <w:sz w:val="24"/>
          <w:szCs w:val="24"/>
        </w:rPr>
        <w:t>货物名称：</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0" w:firstLineChars="200"/>
        <w:rPr>
          <w:rFonts w:ascii="宋体"/>
          <w:color w:val="auto"/>
          <w:sz w:val="24"/>
          <w:szCs w:val="24"/>
          <w:u w:val="single"/>
        </w:rPr>
      </w:pPr>
      <w:r>
        <w:rPr>
          <w:rFonts w:ascii="宋体" w:hAnsi="宋体" w:cs="宋体"/>
          <w:color w:val="auto"/>
          <w:sz w:val="24"/>
          <w:szCs w:val="24"/>
        </w:rPr>
        <w:t xml:space="preserve">1.2.2 </w:t>
      </w:r>
      <w:r>
        <w:rPr>
          <w:rFonts w:hint="eastAsia" w:ascii="宋体" w:hAnsi="宋体" w:cs="宋体"/>
          <w:color w:val="auto"/>
          <w:sz w:val="24"/>
          <w:szCs w:val="24"/>
        </w:rPr>
        <w:t>货物数量：</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1.2.3 </w:t>
      </w:r>
      <w:r>
        <w:rPr>
          <w:rFonts w:hint="eastAsia" w:ascii="宋体" w:hAnsi="宋体" w:cs="宋体"/>
          <w:color w:val="auto"/>
          <w:sz w:val="24"/>
          <w:szCs w:val="24"/>
        </w:rPr>
        <w:t>货物质量：</w:t>
      </w:r>
      <w:r>
        <w:rPr>
          <w:rFonts w:hint="eastAsia" w:ascii="宋体" w:hAnsi="宋体" w:cs="宋体"/>
          <w:color w:val="auto"/>
          <w:sz w:val="24"/>
          <w:szCs w:val="24"/>
          <w:u w:val="single"/>
        </w:rPr>
        <w:t>　　　　　　　　　</w:t>
      </w:r>
      <w:r>
        <w:rPr>
          <w:rFonts w:ascii="宋体" w:hAnsi="宋体" w:cs="宋体"/>
          <w:color w:val="auto"/>
          <w:sz w:val="24"/>
          <w:szCs w:val="24"/>
          <w:u w:val="single"/>
        </w:rPr>
        <w:t xml:space="preserve">                      </w:t>
      </w:r>
      <w:r>
        <w:rPr>
          <w:rFonts w:hint="eastAsia" w:ascii="宋体" w:hAnsi="宋体" w:cs="宋体"/>
          <w:color w:val="auto"/>
          <w:sz w:val="24"/>
          <w:szCs w:val="24"/>
          <w:u w:val="single"/>
        </w:rPr>
        <w:t>　</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187" w:name="_Toc21631"/>
      <w:bookmarkStart w:id="1188" w:name="_Toc12266"/>
      <w:bookmarkStart w:id="1189" w:name="_Toc10942"/>
      <w:bookmarkStart w:id="1190" w:name="_Toc19682"/>
      <w:bookmarkStart w:id="1191" w:name="_Toc23292"/>
      <w:bookmarkStart w:id="1192" w:name="_Toc633"/>
      <w:bookmarkStart w:id="1193" w:name="_Toc9271"/>
      <w:bookmarkStart w:id="1194" w:name="_Toc8386"/>
      <w:bookmarkStart w:id="1195" w:name="_Toc30667"/>
      <w:bookmarkStart w:id="1196" w:name="_Toc9364"/>
      <w:bookmarkStart w:id="1197" w:name="_Toc21551"/>
      <w:bookmarkStart w:id="1198" w:name="_Toc21040"/>
      <w:bookmarkStart w:id="1199" w:name="_Toc1267"/>
      <w:bookmarkStart w:id="1200" w:name="_Toc25368"/>
      <w:bookmarkStart w:id="1201" w:name="_Toc1528"/>
      <w:bookmarkStart w:id="1202" w:name="_Toc30755"/>
      <w:bookmarkStart w:id="1203" w:name="_Toc13898"/>
      <w:bookmarkStart w:id="1204" w:name="_Toc2897"/>
      <w:bookmarkStart w:id="1205" w:name="_Toc29540"/>
      <w:bookmarkStart w:id="1206" w:name="_Toc11045"/>
      <w:bookmarkStart w:id="1207" w:name="_Toc27282"/>
      <w:r>
        <w:rPr>
          <w:rFonts w:ascii="宋体" w:hAnsi="宋体" w:cs="宋体"/>
          <w:b/>
          <w:bCs/>
          <w:color w:val="auto"/>
          <w:sz w:val="24"/>
          <w:szCs w:val="24"/>
        </w:rPr>
        <w:t xml:space="preserve">1.3 </w:t>
      </w:r>
      <w:r>
        <w:rPr>
          <w:rFonts w:hint="eastAsia" w:ascii="宋体" w:hAnsi="宋体" w:cs="宋体"/>
          <w:b/>
          <w:bCs/>
          <w:color w:val="auto"/>
          <w:sz w:val="24"/>
          <w:szCs w:val="24"/>
        </w:rPr>
        <w:t>价款</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pPr>
        <w:spacing w:line="360" w:lineRule="exact"/>
        <w:ind w:firstLine="480" w:firstLineChars="200"/>
        <w:rPr>
          <w:rFonts w:ascii="宋体"/>
          <w:color w:val="auto"/>
          <w:sz w:val="24"/>
          <w:szCs w:val="24"/>
        </w:rPr>
      </w:pPr>
      <w:r>
        <w:rPr>
          <w:rFonts w:hint="eastAsia" w:ascii="宋体" w:hAnsi="宋体" w:cs="宋体"/>
          <w:color w:val="auto"/>
          <w:sz w:val="24"/>
          <w:szCs w:val="24"/>
        </w:rPr>
        <w:t>本合同总价为：￥</w:t>
      </w:r>
      <w:r>
        <w:rPr>
          <w:rFonts w:ascii="宋体" w:hAnsi="宋体" w:cs="宋体"/>
          <w:color w:val="auto"/>
          <w:sz w:val="24"/>
          <w:szCs w:val="24"/>
          <w:u w:val="single"/>
        </w:rPr>
        <w:t xml:space="preserve">           </w:t>
      </w:r>
      <w:r>
        <w:rPr>
          <w:rFonts w:hint="eastAsia" w:ascii="宋体" w:hAnsi="宋体" w:cs="宋体"/>
          <w:color w:val="auto"/>
          <w:sz w:val="24"/>
          <w:szCs w:val="24"/>
        </w:rPr>
        <w:t>元（大写：</w:t>
      </w:r>
      <w:r>
        <w:rPr>
          <w:rFonts w:ascii="宋体" w:hAnsi="宋体" w:cs="宋体"/>
          <w:color w:val="auto"/>
          <w:sz w:val="24"/>
          <w:szCs w:val="24"/>
          <w:u w:val="single"/>
        </w:rPr>
        <w:t xml:space="preserve">                 </w:t>
      </w:r>
      <w:r>
        <w:rPr>
          <w:rFonts w:hint="eastAsia" w:ascii="宋体" w:hAnsi="宋体" w:cs="宋体"/>
          <w:color w:val="auto"/>
          <w:sz w:val="24"/>
          <w:szCs w:val="24"/>
        </w:rPr>
        <w:t>元人民币）。</w:t>
      </w:r>
    </w:p>
    <w:p>
      <w:pPr>
        <w:spacing w:line="360" w:lineRule="exact"/>
        <w:ind w:firstLine="480" w:firstLineChars="200"/>
        <w:rPr>
          <w:rFonts w:ascii="宋体"/>
          <w:color w:val="auto"/>
          <w:sz w:val="24"/>
          <w:szCs w:val="24"/>
          <w:u w:val="single"/>
        </w:rPr>
      </w:pPr>
      <w:r>
        <w:rPr>
          <w:rFonts w:hint="eastAsia" w:ascii="宋体" w:hAnsi="宋体" w:cs="宋体"/>
          <w:color w:val="auto"/>
          <w:sz w:val="24"/>
          <w:szCs w:val="24"/>
        </w:rPr>
        <w:t>分项价格：</w:t>
      </w:r>
    </w:p>
    <w:tbl>
      <w:tblPr>
        <w:tblStyle w:val="21"/>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4"/>
              <w:spacing w:line="360" w:lineRule="exact"/>
              <w:jc w:val="center"/>
              <w:rPr>
                <w:rFonts w:hAnsi="宋体" w:cs="Times New Roman"/>
                <w:color w:val="auto"/>
                <w:kern w:val="2"/>
                <w:sz w:val="24"/>
                <w:szCs w:val="24"/>
              </w:rPr>
            </w:pPr>
            <w:r>
              <w:rPr>
                <w:rFonts w:hint="eastAsia" w:hAnsi="宋体"/>
                <w:color w:val="auto"/>
                <w:kern w:val="2"/>
                <w:sz w:val="24"/>
                <w:szCs w:val="24"/>
              </w:rPr>
              <w:t>序号</w:t>
            </w:r>
          </w:p>
        </w:tc>
        <w:tc>
          <w:tcPr>
            <w:tcW w:w="3738" w:type="dxa"/>
            <w:vAlign w:val="center"/>
          </w:tcPr>
          <w:p>
            <w:pPr>
              <w:pStyle w:val="44"/>
              <w:spacing w:line="360" w:lineRule="exact"/>
              <w:ind w:firstLine="200"/>
              <w:jc w:val="center"/>
              <w:rPr>
                <w:rFonts w:hAnsi="宋体" w:cs="Times New Roman"/>
                <w:color w:val="auto"/>
                <w:kern w:val="2"/>
                <w:sz w:val="24"/>
                <w:szCs w:val="24"/>
              </w:rPr>
            </w:pPr>
            <w:r>
              <w:rPr>
                <w:rFonts w:hint="eastAsia" w:hAnsi="宋体"/>
                <w:color w:val="auto"/>
                <w:kern w:val="2"/>
                <w:sz w:val="24"/>
                <w:szCs w:val="24"/>
              </w:rPr>
              <w:t>分项名称</w:t>
            </w:r>
          </w:p>
        </w:tc>
        <w:tc>
          <w:tcPr>
            <w:tcW w:w="2803" w:type="dxa"/>
            <w:vAlign w:val="center"/>
          </w:tcPr>
          <w:p>
            <w:pPr>
              <w:pStyle w:val="44"/>
              <w:spacing w:line="360" w:lineRule="exact"/>
              <w:jc w:val="center"/>
              <w:rPr>
                <w:rFonts w:hAnsi="宋体" w:cs="Times New Roman"/>
                <w:color w:val="auto"/>
                <w:kern w:val="2"/>
                <w:sz w:val="24"/>
                <w:szCs w:val="24"/>
              </w:rPr>
            </w:pPr>
            <w:r>
              <w:rPr>
                <w:rFonts w:hint="eastAsia" w:hAnsi="宋体"/>
                <w:color w:val="auto"/>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4"/>
              <w:spacing w:line="360" w:lineRule="exact"/>
              <w:ind w:firstLine="200"/>
              <w:jc w:val="center"/>
              <w:rPr>
                <w:rFonts w:hAnsi="宋体" w:cs="Times New Roman"/>
                <w:color w:val="auto"/>
                <w:kern w:val="2"/>
                <w:sz w:val="24"/>
                <w:szCs w:val="24"/>
              </w:rPr>
            </w:pPr>
          </w:p>
        </w:tc>
        <w:tc>
          <w:tcPr>
            <w:tcW w:w="3738" w:type="dxa"/>
            <w:vAlign w:val="center"/>
          </w:tcPr>
          <w:p>
            <w:pPr>
              <w:pStyle w:val="44"/>
              <w:spacing w:line="360" w:lineRule="exact"/>
              <w:ind w:firstLine="200"/>
              <w:jc w:val="center"/>
              <w:rPr>
                <w:rFonts w:hAnsi="宋体" w:cs="Times New Roman"/>
                <w:color w:val="auto"/>
                <w:kern w:val="2"/>
                <w:sz w:val="24"/>
                <w:szCs w:val="24"/>
              </w:rPr>
            </w:pPr>
          </w:p>
        </w:tc>
        <w:tc>
          <w:tcPr>
            <w:tcW w:w="2803" w:type="dxa"/>
            <w:vAlign w:val="center"/>
          </w:tcPr>
          <w:p>
            <w:pPr>
              <w:pStyle w:val="44"/>
              <w:spacing w:line="360" w:lineRule="exact"/>
              <w:ind w:firstLine="200"/>
              <w:jc w:val="center"/>
              <w:rPr>
                <w:rFonts w:hAnsi="宋体"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4"/>
              <w:spacing w:line="360" w:lineRule="exact"/>
              <w:ind w:firstLine="200"/>
              <w:jc w:val="center"/>
              <w:rPr>
                <w:rFonts w:hAnsi="宋体" w:cs="Times New Roman"/>
                <w:color w:val="auto"/>
                <w:kern w:val="2"/>
                <w:sz w:val="24"/>
                <w:szCs w:val="24"/>
              </w:rPr>
            </w:pPr>
          </w:p>
        </w:tc>
        <w:tc>
          <w:tcPr>
            <w:tcW w:w="3738" w:type="dxa"/>
            <w:vAlign w:val="center"/>
          </w:tcPr>
          <w:p>
            <w:pPr>
              <w:pStyle w:val="44"/>
              <w:spacing w:line="360" w:lineRule="exact"/>
              <w:ind w:firstLine="200"/>
              <w:jc w:val="center"/>
              <w:rPr>
                <w:rFonts w:hAnsi="宋体" w:cs="Times New Roman"/>
                <w:color w:val="auto"/>
                <w:kern w:val="2"/>
                <w:sz w:val="24"/>
                <w:szCs w:val="24"/>
              </w:rPr>
            </w:pPr>
          </w:p>
        </w:tc>
        <w:tc>
          <w:tcPr>
            <w:tcW w:w="2803" w:type="dxa"/>
            <w:vAlign w:val="center"/>
          </w:tcPr>
          <w:p>
            <w:pPr>
              <w:pStyle w:val="44"/>
              <w:spacing w:line="360" w:lineRule="exact"/>
              <w:ind w:firstLine="200"/>
              <w:jc w:val="center"/>
              <w:rPr>
                <w:rFonts w:hAnsi="宋体"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44"/>
              <w:spacing w:line="360" w:lineRule="exact"/>
              <w:ind w:firstLine="200"/>
              <w:jc w:val="center"/>
              <w:rPr>
                <w:rFonts w:hAnsi="宋体" w:cs="Times New Roman"/>
                <w:color w:val="auto"/>
                <w:kern w:val="2"/>
                <w:sz w:val="24"/>
                <w:szCs w:val="24"/>
              </w:rPr>
            </w:pPr>
            <w:r>
              <w:rPr>
                <w:rFonts w:hint="eastAsia" w:hAnsi="宋体"/>
                <w:color w:val="auto"/>
                <w:kern w:val="2"/>
                <w:sz w:val="24"/>
                <w:szCs w:val="24"/>
              </w:rPr>
              <w:t>总价</w:t>
            </w:r>
          </w:p>
        </w:tc>
        <w:tc>
          <w:tcPr>
            <w:tcW w:w="2803" w:type="dxa"/>
            <w:vAlign w:val="center"/>
          </w:tcPr>
          <w:p>
            <w:pPr>
              <w:pStyle w:val="44"/>
              <w:spacing w:line="360" w:lineRule="exact"/>
              <w:ind w:firstLine="200"/>
              <w:jc w:val="center"/>
              <w:rPr>
                <w:rFonts w:hAnsi="宋体" w:cs="Times New Roman"/>
                <w:color w:val="auto"/>
                <w:kern w:val="2"/>
                <w:sz w:val="24"/>
                <w:szCs w:val="24"/>
              </w:rPr>
            </w:pPr>
          </w:p>
        </w:tc>
      </w:tr>
    </w:tbl>
    <w:p>
      <w:pPr>
        <w:spacing w:line="360" w:lineRule="exact"/>
        <w:ind w:firstLine="482" w:firstLineChars="200"/>
        <w:outlineLvl w:val="0"/>
        <w:rPr>
          <w:rFonts w:ascii="宋体"/>
          <w:b/>
          <w:bCs/>
          <w:color w:val="auto"/>
          <w:sz w:val="24"/>
          <w:szCs w:val="24"/>
        </w:rPr>
      </w:pPr>
      <w:bookmarkStart w:id="1208" w:name="_Toc22618"/>
      <w:bookmarkStart w:id="1209" w:name="_Toc1814"/>
      <w:bookmarkStart w:id="1210" w:name="_Toc5736"/>
      <w:bookmarkStart w:id="1211" w:name="_Toc27817"/>
      <w:bookmarkStart w:id="1212" w:name="_Toc7801"/>
      <w:bookmarkStart w:id="1213" w:name="_Toc10340"/>
      <w:bookmarkStart w:id="1214" w:name="_Toc7458"/>
      <w:bookmarkStart w:id="1215" w:name="_Toc44"/>
      <w:bookmarkStart w:id="1216" w:name="_Toc21104"/>
      <w:bookmarkStart w:id="1217" w:name="_Toc26112"/>
      <w:bookmarkStart w:id="1218" w:name="_Toc30643"/>
      <w:bookmarkStart w:id="1219" w:name="_Toc27811"/>
      <w:bookmarkStart w:id="1220" w:name="_Toc26470"/>
      <w:bookmarkStart w:id="1221" w:name="_Toc8933"/>
      <w:bookmarkStart w:id="1222" w:name="_Toc21349"/>
      <w:bookmarkStart w:id="1223" w:name="_Toc24781"/>
      <w:bookmarkStart w:id="1224" w:name="_Toc10086"/>
      <w:bookmarkStart w:id="1225" w:name="_Toc27654"/>
      <w:bookmarkStart w:id="1226" w:name="_Toc4585"/>
      <w:bookmarkStart w:id="1227" w:name="_Toc28773"/>
      <w:r>
        <w:rPr>
          <w:rFonts w:ascii="宋体" w:hAnsi="宋体" w:cs="宋体"/>
          <w:b/>
          <w:bCs/>
          <w:color w:val="auto"/>
          <w:sz w:val="24"/>
          <w:szCs w:val="24"/>
        </w:rPr>
        <w:t xml:space="preserve">1.4 </w:t>
      </w:r>
      <w:r>
        <w:rPr>
          <w:rFonts w:hint="eastAsia" w:ascii="宋体" w:hAnsi="宋体" w:cs="宋体"/>
          <w:b/>
          <w:bCs/>
          <w:color w:val="auto"/>
          <w:sz w:val="24"/>
          <w:szCs w:val="24"/>
        </w:rPr>
        <w:t>付款方式和发票开具方式</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spacing w:line="360" w:lineRule="exact"/>
        <w:ind w:firstLine="480" w:firstLineChars="200"/>
        <w:rPr>
          <w:rFonts w:ascii="宋体"/>
          <w:color w:val="auto"/>
          <w:sz w:val="24"/>
          <w:szCs w:val="24"/>
        </w:rPr>
      </w:pPr>
      <w:r>
        <w:rPr>
          <w:rFonts w:ascii="宋体" w:hAnsi="宋体" w:cs="宋体"/>
          <w:color w:val="auto"/>
          <w:sz w:val="24"/>
          <w:szCs w:val="24"/>
        </w:rPr>
        <w:t xml:space="preserve">1.4.1 </w:t>
      </w:r>
      <w:r>
        <w:rPr>
          <w:rFonts w:hint="eastAsia" w:ascii="宋体" w:hAnsi="宋体" w:cs="宋体"/>
          <w:color w:val="auto"/>
          <w:sz w:val="24"/>
          <w:szCs w:val="24"/>
        </w:rPr>
        <w:t>付款方式：</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1.4.2 </w:t>
      </w:r>
      <w:r>
        <w:rPr>
          <w:rFonts w:hint="eastAsia" w:ascii="宋体" w:hAnsi="宋体" w:cs="宋体"/>
          <w:color w:val="auto"/>
          <w:sz w:val="24"/>
          <w:szCs w:val="24"/>
        </w:rPr>
        <w:t>发票开具方式：</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228" w:name="_Toc2083"/>
      <w:bookmarkStart w:id="1229" w:name="_Toc10276"/>
      <w:bookmarkStart w:id="1230" w:name="_Toc17179"/>
      <w:bookmarkStart w:id="1231" w:name="_Toc19304"/>
      <w:bookmarkStart w:id="1232" w:name="_Toc4377"/>
      <w:bookmarkStart w:id="1233" w:name="_Toc30447"/>
      <w:bookmarkStart w:id="1234" w:name="_Toc2846"/>
      <w:bookmarkStart w:id="1235" w:name="_Toc9478"/>
      <w:bookmarkStart w:id="1236" w:name="_Toc23862"/>
      <w:bookmarkStart w:id="1237" w:name="_Toc30563"/>
      <w:bookmarkStart w:id="1238" w:name="_Toc26187"/>
      <w:bookmarkStart w:id="1239" w:name="_Toc25427"/>
      <w:bookmarkStart w:id="1240" w:name="_Toc17448"/>
      <w:bookmarkStart w:id="1241" w:name="_Toc16823"/>
      <w:bookmarkStart w:id="1242" w:name="_Toc11682"/>
      <w:bookmarkStart w:id="1243" w:name="_Toc4501"/>
      <w:bookmarkStart w:id="1244" w:name="_Toc22861"/>
      <w:bookmarkStart w:id="1245" w:name="_Toc25278"/>
      <w:bookmarkStart w:id="1246" w:name="_Toc32071"/>
      <w:bookmarkStart w:id="1247" w:name="_Toc2750"/>
      <w:bookmarkStart w:id="1248" w:name="_Toc2852"/>
      <w:r>
        <w:rPr>
          <w:rFonts w:ascii="宋体" w:hAnsi="宋体" w:cs="宋体"/>
          <w:b/>
          <w:bCs/>
          <w:color w:val="auto"/>
          <w:sz w:val="24"/>
          <w:szCs w:val="24"/>
        </w:rPr>
        <w:t xml:space="preserve">1.5 </w:t>
      </w:r>
      <w:r>
        <w:rPr>
          <w:rFonts w:hint="eastAsia" w:ascii="宋体" w:hAnsi="宋体" w:cs="宋体"/>
          <w:b/>
          <w:bCs/>
          <w:color w:val="auto"/>
          <w:sz w:val="24"/>
          <w:szCs w:val="24"/>
        </w:rPr>
        <w:t>货物交付期限、地点和方式</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spacing w:line="360" w:lineRule="exact"/>
        <w:ind w:firstLine="480" w:firstLineChars="200"/>
        <w:rPr>
          <w:rFonts w:ascii="宋体"/>
          <w:color w:val="auto"/>
          <w:sz w:val="24"/>
          <w:szCs w:val="24"/>
          <w:u w:val="single"/>
        </w:rPr>
      </w:pPr>
      <w:r>
        <w:rPr>
          <w:rFonts w:ascii="宋体" w:hAnsi="宋体" w:cs="宋体"/>
          <w:color w:val="auto"/>
          <w:sz w:val="24"/>
          <w:szCs w:val="24"/>
        </w:rPr>
        <w:t xml:space="preserve">1.5.1 </w:t>
      </w:r>
      <w:r>
        <w:rPr>
          <w:rFonts w:hint="eastAsia" w:ascii="宋体" w:hAnsi="宋体" w:cs="宋体"/>
          <w:color w:val="auto"/>
          <w:sz w:val="24"/>
          <w:szCs w:val="24"/>
        </w:rPr>
        <w:t>交付期限：</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1.5.2 </w:t>
      </w:r>
      <w:r>
        <w:rPr>
          <w:rFonts w:hint="eastAsia" w:ascii="宋体" w:hAnsi="宋体" w:cs="宋体"/>
          <w:color w:val="auto"/>
          <w:sz w:val="24"/>
          <w:szCs w:val="24"/>
        </w:rPr>
        <w:t>交付地点：</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1.5.3 </w:t>
      </w:r>
      <w:r>
        <w:rPr>
          <w:rFonts w:hint="eastAsia" w:ascii="宋体" w:hAnsi="宋体" w:cs="宋体"/>
          <w:color w:val="auto"/>
          <w:sz w:val="24"/>
          <w:szCs w:val="24"/>
        </w:rPr>
        <w:t>交付方式：</w:t>
      </w:r>
      <w:r>
        <w:rPr>
          <w:rFonts w:hint="eastAsia" w:ascii="宋体" w:hAnsi="宋体" w:cs="宋体"/>
          <w:color w:val="auto"/>
          <w:sz w:val="24"/>
          <w:szCs w:val="24"/>
          <w:u w:val="single"/>
        </w:rPr>
        <w:t>　　　　　　　　　</w:t>
      </w:r>
      <w:r>
        <w:rPr>
          <w:rFonts w:ascii="宋体" w:hAnsi="宋体" w:cs="宋体"/>
          <w:color w:val="auto"/>
          <w:sz w:val="24"/>
          <w:szCs w:val="24"/>
          <w:u w:val="single"/>
        </w:rPr>
        <w:t xml:space="preserve">                      </w:t>
      </w:r>
      <w:r>
        <w:rPr>
          <w:rFonts w:hint="eastAsia" w:ascii="宋体" w:hAnsi="宋体" w:cs="宋体"/>
          <w:color w:val="auto"/>
          <w:sz w:val="24"/>
          <w:szCs w:val="24"/>
          <w:u w:val="single"/>
        </w:rPr>
        <w:t>　</w:t>
      </w:r>
      <w:r>
        <w:rPr>
          <w:rFonts w:ascii="宋体" w:hAnsi="宋体" w:cs="宋体"/>
          <w:color w:val="auto"/>
          <w:sz w:val="24"/>
          <w:szCs w:val="24"/>
          <w:u w:val="single"/>
        </w:rPr>
        <w:t xml:space="preserve">      </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249" w:name="_Toc6841"/>
      <w:bookmarkStart w:id="1250" w:name="_Toc28455"/>
      <w:bookmarkStart w:id="1251" w:name="_Toc8754"/>
      <w:bookmarkStart w:id="1252" w:name="_Toc27250"/>
      <w:bookmarkStart w:id="1253" w:name="_Toc26850"/>
      <w:bookmarkStart w:id="1254" w:name="_Toc12629"/>
      <w:bookmarkStart w:id="1255" w:name="_Toc27247"/>
      <w:bookmarkStart w:id="1256" w:name="_Toc29769"/>
      <w:bookmarkStart w:id="1257" w:name="_Toc21423"/>
      <w:bookmarkStart w:id="1258" w:name="_Toc12988"/>
      <w:bookmarkStart w:id="1259" w:name="_Toc8569"/>
      <w:bookmarkStart w:id="1260" w:name="_Toc10320"/>
      <w:bookmarkStart w:id="1261" w:name="_Toc12753"/>
      <w:bookmarkStart w:id="1262" w:name="_Toc1835"/>
      <w:bookmarkStart w:id="1263" w:name="_Toc19554"/>
      <w:bookmarkStart w:id="1264" w:name="_Toc21406"/>
      <w:bookmarkStart w:id="1265" w:name="_Toc13854"/>
      <w:bookmarkStart w:id="1266" w:name="_Toc11237"/>
      <w:bookmarkStart w:id="1267" w:name="_Toc13569"/>
      <w:bookmarkStart w:id="1268" w:name="_Toc15865"/>
      <w:bookmarkStart w:id="1269" w:name="_Toc4190"/>
      <w:r>
        <w:rPr>
          <w:rFonts w:ascii="宋体" w:hAnsi="宋体" w:cs="宋体"/>
          <w:b/>
          <w:bCs/>
          <w:color w:val="auto"/>
          <w:sz w:val="24"/>
          <w:szCs w:val="24"/>
        </w:rPr>
        <w:t xml:space="preserve">1.6 </w:t>
      </w:r>
      <w:r>
        <w:rPr>
          <w:rFonts w:hint="eastAsia" w:ascii="宋体" w:hAnsi="宋体" w:cs="宋体"/>
          <w:b/>
          <w:bCs/>
          <w:color w:val="auto"/>
          <w:sz w:val="24"/>
          <w:szCs w:val="24"/>
        </w:rPr>
        <w:t>违约责任</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pPr>
        <w:spacing w:line="360" w:lineRule="exact"/>
        <w:ind w:firstLine="480" w:firstLineChars="200"/>
        <w:rPr>
          <w:rFonts w:ascii="宋体"/>
          <w:color w:val="auto"/>
          <w:sz w:val="24"/>
          <w:szCs w:val="24"/>
        </w:rPr>
      </w:pPr>
      <w:r>
        <w:rPr>
          <w:rFonts w:ascii="宋体" w:hAnsi="宋体" w:cs="宋体"/>
          <w:color w:val="auto"/>
          <w:sz w:val="24"/>
          <w:szCs w:val="24"/>
        </w:rPr>
        <w:t xml:space="preserve">1.6.1 </w:t>
      </w:r>
      <w:r>
        <w:rPr>
          <w:rFonts w:hint="eastAsia" w:ascii="宋体" w:hAnsi="宋体" w:cs="宋体"/>
          <w:color w:val="auto"/>
          <w:sz w:val="24"/>
          <w:szCs w:val="24"/>
        </w:rPr>
        <w:t>除不可抗力外，如果乙方没有按照本合同约定的期限、地点和方式交付货物，那么甲方可要求乙方支付违约金，违约金按每迟延交付货物一日的应交付而未交付货物价格的</w:t>
      </w:r>
      <w:r>
        <w:rPr>
          <w:rFonts w:ascii="宋体" w:hAnsi="宋体" w:cs="宋体"/>
          <w:color w:val="auto"/>
          <w:sz w:val="24"/>
          <w:szCs w:val="24"/>
          <w:u w:val="single"/>
        </w:rPr>
        <w:t xml:space="preserve">    </w:t>
      </w:r>
      <w:r>
        <w:rPr>
          <w:rFonts w:ascii="宋体" w:hAnsi="宋体" w:cs="宋体"/>
          <w:color w:val="auto"/>
          <w:sz w:val="24"/>
          <w:szCs w:val="24"/>
        </w:rPr>
        <w:t>%</w:t>
      </w:r>
      <w:r>
        <w:rPr>
          <w:rFonts w:hint="eastAsia" w:ascii="宋体" w:hAnsi="宋体" w:cs="宋体"/>
          <w:color w:val="auto"/>
          <w:sz w:val="24"/>
          <w:szCs w:val="24"/>
        </w:rPr>
        <w:t>计算，最高限额为本合同总价的</w:t>
      </w:r>
      <w:r>
        <w:rPr>
          <w:rFonts w:ascii="宋体" w:hAnsi="宋体" w:cs="宋体"/>
          <w:color w:val="auto"/>
          <w:sz w:val="24"/>
          <w:szCs w:val="24"/>
          <w:u w:val="single"/>
        </w:rPr>
        <w:t xml:space="preserve">     </w:t>
      </w:r>
      <w:r>
        <w:rPr>
          <w:rFonts w:ascii="宋体" w:hAnsi="宋体" w:cs="宋体"/>
          <w:color w:val="auto"/>
          <w:sz w:val="24"/>
          <w:szCs w:val="24"/>
        </w:rPr>
        <w:t>%</w:t>
      </w:r>
      <w:r>
        <w:rPr>
          <w:rFonts w:hint="eastAsia" w:ascii="宋体" w:hAnsi="宋体" w:cs="宋体"/>
          <w:color w:val="auto"/>
          <w:sz w:val="24"/>
          <w:szCs w:val="24"/>
        </w:rPr>
        <w:t>；迟延交付货物的违约金计算数额达到前述最高限额之日起，甲方有权在要求乙方支付违约金的同时，书面通知乙方解除本合同；</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1.6.2 </w:t>
      </w:r>
      <w:r>
        <w:rPr>
          <w:rFonts w:hint="eastAsia" w:ascii="宋体" w:hAnsi="宋体" w:cs="宋体"/>
          <w:color w:val="auto"/>
          <w:sz w:val="24"/>
          <w:szCs w:val="24"/>
        </w:rPr>
        <w:t>除不可抗力外，如果甲方没有按照本合同约定的付款方式付款，那么乙方可要求甲方支付违约金，违约金按每迟延付款一日的应付而未付款的</w:t>
      </w:r>
      <w:r>
        <w:rPr>
          <w:rFonts w:ascii="宋体" w:hAnsi="宋体" w:cs="宋体"/>
          <w:color w:val="auto"/>
          <w:sz w:val="24"/>
          <w:szCs w:val="24"/>
          <w:u w:val="single"/>
        </w:rPr>
        <w:t xml:space="preserve">    </w:t>
      </w:r>
      <w:r>
        <w:rPr>
          <w:rFonts w:ascii="宋体" w:hAnsi="宋体" w:cs="宋体"/>
          <w:color w:val="auto"/>
          <w:sz w:val="24"/>
          <w:szCs w:val="24"/>
        </w:rPr>
        <w:t>%</w:t>
      </w:r>
      <w:r>
        <w:rPr>
          <w:rFonts w:hint="eastAsia" w:ascii="宋体" w:hAnsi="宋体" w:cs="宋体"/>
          <w:color w:val="auto"/>
          <w:sz w:val="24"/>
          <w:szCs w:val="24"/>
        </w:rPr>
        <w:t>计算，最高限额为本合同总价的</w:t>
      </w:r>
      <w:r>
        <w:rPr>
          <w:rFonts w:ascii="宋体" w:hAnsi="宋体" w:cs="宋体"/>
          <w:color w:val="auto"/>
          <w:sz w:val="24"/>
          <w:szCs w:val="24"/>
          <w:u w:val="single"/>
        </w:rPr>
        <w:t xml:space="preserve">     </w:t>
      </w:r>
      <w:r>
        <w:rPr>
          <w:rFonts w:ascii="宋体" w:hAnsi="宋体" w:cs="宋体"/>
          <w:color w:val="auto"/>
          <w:sz w:val="24"/>
          <w:szCs w:val="24"/>
        </w:rPr>
        <w:t>%</w:t>
      </w:r>
      <w:r>
        <w:rPr>
          <w:rFonts w:hint="eastAsia" w:ascii="宋体" w:hAnsi="宋体" w:cs="宋体"/>
          <w:color w:val="auto"/>
          <w:sz w:val="24"/>
          <w:szCs w:val="24"/>
        </w:rPr>
        <w:t>；迟延付款的违约金计算数额达到前述最高限额之日起，乙方有权在要求甲方支付违约金的同时，书面通知甲方解除本合同；</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1.6.3 </w:t>
      </w:r>
      <w:r>
        <w:rPr>
          <w:rFonts w:hint="eastAsia" w:ascii="宋体" w:hAnsi="宋体" w:cs="宋体"/>
          <w:color w:val="auto"/>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1.6.4 </w:t>
      </w:r>
      <w:r>
        <w:rPr>
          <w:rFonts w:hint="eastAsia" w:ascii="宋体" w:hAnsi="宋体" w:cs="宋体"/>
          <w:color w:val="auto"/>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1.6.5 </w:t>
      </w:r>
      <w:r>
        <w:rPr>
          <w:rFonts w:hint="eastAsia" w:ascii="宋体" w:hAnsi="宋体" w:cs="宋体"/>
          <w:color w:val="auto"/>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1.6.6 </w:t>
      </w:r>
      <w:r>
        <w:rPr>
          <w:rFonts w:hint="eastAsia" w:ascii="宋体" w:hAnsi="宋体" w:cs="宋体"/>
          <w:color w:val="auto"/>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2" w:firstLineChars="200"/>
        <w:outlineLvl w:val="0"/>
        <w:rPr>
          <w:rFonts w:ascii="宋体"/>
          <w:b/>
          <w:bCs/>
          <w:color w:val="auto"/>
          <w:sz w:val="24"/>
          <w:szCs w:val="24"/>
        </w:rPr>
      </w:pPr>
      <w:bookmarkStart w:id="1270" w:name="_Toc7216"/>
      <w:bookmarkStart w:id="1271" w:name="_Toc15583"/>
      <w:bookmarkStart w:id="1272" w:name="_Toc22341"/>
      <w:bookmarkStart w:id="1273" w:name="_Toc23654"/>
      <w:bookmarkStart w:id="1274" w:name="_Toc28375"/>
      <w:bookmarkStart w:id="1275" w:name="_Toc6344"/>
      <w:bookmarkStart w:id="1276" w:name="_Toc9202"/>
      <w:bookmarkStart w:id="1277" w:name="_Toc8914"/>
      <w:bookmarkStart w:id="1278" w:name="_Toc3403"/>
      <w:bookmarkStart w:id="1279" w:name="_Toc24393"/>
      <w:bookmarkStart w:id="1280" w:name="_Toc31145"/>
      <w:bookmarkStart w:id="1281" w:name="_Toc20610"/>
      <w:bookmarkStart w:id="1282" w:name="_Toc25915"/>
      <w:bookmarkStart w:id="1283" w:name="_Toc5482"/>
      <w:bookmarkStart w:id="1284" w:name="_Toc29338"/>
      <w:bookmarkStart w:id="1285" w:name="_Toc16341"/>
      <w:bookmarkStart w:id="1286" w:name="_Toc27762"/>
      <w:bookmarkStart w:id="1287" w:name="_Toc16021"/>
      <w:bookmarkStart w:id="1288" w:name="_Toc27927"/>
      <w:bookmarkStart w:id="1289" w:name="_Toc20497"/>
      <w:bookmarkStart w:id="1290" w:name="_Toc19011"/>
      <w:r>
        <w:rPr>
          <w:rFonts w:ascii="宋体" w:hAnsi="宋体" w:cs="宋体"/>
          <w:b/>
          <w:bCs/>
          <w:color w:val="auto"/>
          <w:sz w:val="24"/>
          <w:szCs w:val="24"/>
        </w:rPr>
        <w:t xml:space="preserve">1.7 </w:t>
      </w:r>
      <w:r>
        <w:rPr>
          <w:rFonts w:hint="eastAsia" w:ascii="宋体" w:hAnsi="宋体" w:cs="宋体"/>
          <w:b/>
          <w:bCs/>
          <w:color w:val="auto"/>
          <w:sz w:val="24"/>
          <w:szCs w:val="24"/>
        </w:rPr>
        <w:t>合同争议的解决</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pPr>
        <w:spacing w:line="360" w:lineRule="exact"/>
        <w:ind w:firstLine="480" w:firstLineChars="200"/>
        <w:rPr>
          <w:rFonts w:ascii="宋体"/>
          <w:color w:val="auto"/>
          <w:sz w:val="24"/>
          <w:szCs w:val="24"/>
        </w:rPr>
      </w:pPr>
      <w:r>
        <w:rPr>
          <w:rFonts w:hint="eastAsia" w:ascii="宋体" w:hAnsi="宋体" w:cs="宋体"/>
          <w:color w:val="auto"/>
          <w:sz w:val="24"/>
          <w:szCs w:val="24"/>
        </w:rPr>
        <w:t>本合同履行过程中发生的任何争议，双方当事人均可通过和解或者调解解决；不愿和解、调解或者和解、调解不成的，可以选择下列第</w:t>
      </w:r>
      <w:r>
        <w:rPr>
          <w:rFonts w:ascii="宋体" w:hAnsi="宋体" w:cs="宋体"/>
          <w:color w:val="auto"/>
          <w:sz w:val="24"/>
          <w:szCs w:val="24"/>
          <w:u w:val="single"/>
        </w:rPr>
        <w:t xml:space="preserve">    </w:t>
      </w:r>
      <w:r>
        <w:rPr>
          <w:rFonts w:hint="eastAsia" w:ascii="宋体" w:hAnsi="宋体" w:cs="宋体"/>
          <w:color w:val="auto"/>
          <w:sz w:val="24"/>
          <w:szCs w:val="24"/>
        </w:rPr>
        <w:t>种方式解决：</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1.7.1 </w:t>
      </w:r>
      <w:r>
        <w:rPr>
          <w:rFonts w:hint="eastAsia" w:ascii="宋体" w:hAnsi="宋体" w:cs="宋体"/>
          <w:color w:val="auto"/>
          <w:sz w:val="24"/>
          <w:szCs w:val="24"/>
        </w:rPr>
        <w:t>将争议提交</w:t>
      </w:r>
      <w:r>
        <w:rPr>
          <w:rFonts w:ascii="宋体" w:hAnsi="宋体" w:cs="宋体"/>
          <w:color w:val="auto"/>
          <w:sz w:val="24"/>
          <w:szCs w:val="24"/>
          <w:u w:val="single"/>
        </w:rPr>
        <w:t xml:space="preserve">              </w:t>
      </w:r>
      <w:r>
        <w:rPr>
          <w:rFonts w:hint="eastAsia" w:ascii="宋体" w:hAnsi="宋体" w:cs="宋体"/>
          <w:color w:val="auto"/>
          <w:sz w:val="24"/>
          <w:szCs w:val="24"/>
        </w:rPr>
        <w:t>仲裁委员会依申请仲裁时其现行有效的仲裁规则裁决；</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1.7.2 </w:t>
      </w:r>
      <w:r>
        <w:rPr>
          <w:rFonts w:hint="eastAsia" w:ascii="宋体" w:hAnsi="宋体" w:cs="宋体"/>
          <w:color w:val="auto"/>
          <w:sz w:val="24"/>
          <w:szCs w:val="24"/>
        </w:rPr>
        <w:t>向</w:t>
      </w:r>
      <w:r>
        <w:rPr>
          <w:rFonts w:ascii="宋体" w:hAnsi="宋体" w:cs="宋体"/>
          <w:color w:val="auto"/>
          <w:sz w:val="24"/>
          <w:szCs w:val="24"/>
          <w:u w:val="single"/>
        </w:rPr>
        <w:t xml:space="preserve">   </w:t>
      </w:r>
      <w:r>
        <w:rPr>
          <w:rFonts w:hint="eastAsia" w:ascii="宋体" w:hAnsi="宋体" w:cs="宋体"/>
          <w:color w:val="auto"/>
          <w:sz w:val="24"/>
          <w:szCs w:val="24"/>
          <w:u w:val="single"/>
        </w:rPr>
        <w:t>（被告住所地、合同履行地、合同签订地、原告住所地、标的物所在地等与争议有实际联系的地点中选出的人民法院名称）</w:t>
      </w:r>
      <w:r>
        <w:rPr>
          <w:rFonts w:ascii="宋体" w:hAnsi="宋体" w:cs="宋体"/>
          <w:color w:val="auto"/>
          <w:sz w:val="24"/>
          <w:szCs w:val="24"/>
          <w:u w:val="single"/>
        </w:rPr>
        <w:t xml:space="preserve">    </w:t>
      </w:r>
      <w:r>
        <w:rPr>
          <w:rFonts w:hint="eastAsia" w:ascii="宋体" w:hAnsi="宋体" w:cs="宋体"/>
          <w:color w:val="auto"/>
          <w:sz w:val="24"/>
          <w:szCs w:val="24"/>
        </w:rPr>
        <w:t>人民法院起诉。</w:t>
      </w:r>
    </w:p>
    <w:p>
      <w:pPr>
        <w:spacing w:line="360" w:lineRule="exact"/>
        <w:ind w:firstLine="482" w:firstLineChars="200"/>
        <w:outlineLvl w:val="0"/>
        <w:rPr>
          <w:rFonts w:ascii="宋体"/>
          <w:b/>
          <w:bCs/>
          <w:color w:val="auto"/>
          <w:sz w:val="24"/>
          <w:szCs w:val="24"/>
        </w:rPr>
      </w:pPr>
      <w:bookmarkStart w:id="1291" w:name="_Toc14796"/>
      <w:bookmarkStart w:id="1292" w:name="_Toc17113"/>
      <w:bookmarkStart w:id="1293" w:name="_Toc518"/>
      <w:bookmarkStart w:id="1294" w:name="_Toc10255"/>
      <w:bookmarkStart w:id="1295" w:name="_Toc20192"/>
      <w:bookmarkStart w:id="1296" w:name="_Toc10429"/>
      <w:bookmarkStart w:id="1297" w:name="_Toc4516"/>
      <w:bookmarkStart w:id="1298" w:name="_Toc7245"/>
      <w:bookmarkStart w:id="1299" w:name="_Toc15322"/>
      <w:bookmarkStart w:id="1300" w:name="_Toc2894"/>
      <w:bookmarkStart w:id="1301" w:name="_Toc6411"/>
      <w:bookmarkStart w:id="1302" w:name="_Toc10043"/>
      <w:bookmarkStart w:id="1303" w:name="_Toc12946"/>
      <w:bookmarkStart w:id="1304" w:name="_Toc16410"/>
      <w:bookmarkStart w:id="1305" w:name="_Toc11173"/>
      <w:bookmarkStart w:id="1306" w:name="_Toc29292"/>
      <w:bookmarkStart w:id="1307" w:name="_Toc2901"/>
      <w:bookmarkStart w:id="1308" w:name="_Toc1647"/>
      <w:bookmarkStart w:id="1309" w:name="_Toc9329"/>
      <w:bookmarkStart w:id="1310" w:name="_Toc20305"/>
      <w:bookmarkStart w:id="1311" w:name="_Toc30260"/>
      <w:r>
        <w:rPr>
          <w:rFonts w:ascii="宋体" w:hAnsi="宋体" w:cs="宋体"/>
          <w:b/>
          <w:bCs/>
          <w:color w:val="auto"/>
          <w:sz w:val="24"/>
          <w:szCs w:val="24"/>
        </w:rPr>
        <w:t xml:space="preserve">1.8 </w:t>
      </w:r>
      <w:r>
        <w:rPr>
          <w:rFonts w:hint="eastAsia" w:ascii="宋体" w:hAnsi="宋体" w:cs="宋体"/>
          <w:b/>
          <w:bCs/>
          <w:color w:val="auto"/>
          <w:sz w:val="24"/>
          <w:szCs w:val="24"/>
        </w:rPr>
        <w:t>合同生效</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pPr>
        <w:spacing w:line="360" w:lineRule="exact"/>
        <w:ind w:firstLine="480" w:firstLineChars="200"/>
        <w:rPr>
          <w:rFonts w:ascii="宋体"/>
          <w:b/>
          <w:bCs/>
          <w:color w:val="auto"/>
          <w:sz w:val="24"/>
          <w:szCs w:val="24"/>
        </w:rPr>
      </w:pPr>
      <w:r>
        <w:rPr>
          <w:rFonts w:hint="eastAsia" w:ascii="宋体" w:hAnsi="宋体" w:cs="宋体"/>
          <w:color w:val="auto"/>
          <w:sz w:val="24"/>
          <w:szCs w:val="24"/>
        </w:rPr>
        <w:t>本合同自双方当事人盖章或者签字时生效。</w:t>
      </w:r>
    </w:p>
    <w:p>
      <w:pPr>
        <w:autoSpaceDE w:val="0"/>
        <w:autoSpaceDN w:val="0"/>
        <w:adjustRightInd w:val="0"/>
        <w:spacing w:line="360" w:lineRule="exact"/>
        <w:rPr>
          <w:rFonts w:ascii="宋体"/>
          <w:color w:val="auto"/>
          <w:sz w:val="24"/>
          <w:szCs w:val="24"/>
          <w:lang w:val="zh-CN"/>
        </w:rPr>
      </w:pPr>
    </w:p>
    <w:p>
      <w:pPr>
        <w:autoSpaceDE w:val="0"/>
        <w:autoSpaceDN w:val="0"/>
        <w:adjustRightInd w:val="0"/>
        <w:spacing w:line="360" w:lineRule="exact"/>
        <w:rPr>
          <w:rFonts w:ascii="宋体"/>
          <w:color w:val="auto"/>
          <w:sz w:val="24"/>
          <w:szCs w:val="24"/>
          <w:lang w:val="zh-CN"/>
        </w:rPr>
      </w:pPr>
      <w:r>
        <w:rPr>
          <w:rFonts w:hint="eastAsia" w:ascii="宋体" w:hAnsi="宋体" w:cs="宋体"/>
          <w:b/>
          <w:bCs/>
          <w:color w:val="auto"/>
          <w:sz w:val="24"/>
          <w:szCs w:val="24"/>
          <w:lang w:val="zh-CN"/>
        </w:rPr>
        <w:t>甲方</w:t>
      </w:r>
      <w:r>
        <w:rPr>
          <w:rFonts w:hint="eastAsia" w:ascii="宋体" w:hAnsi="宋体" w:cs="宋体"/>
          <w:color w:val="auto"/>
          <w:sz w:val="24"/>
          <w:szCs w:val="24"/>
          <w:lang w:val="zh-CN"/>
        </w:rPr>
        <w:t>：</w:t>
      </w:r>
      <w:r>
        <w:rPr>
          <w:rFonts w:ascii="宋体" w:hAnsi="宋体" w:cs="宋体"/>
          <w:color w:val="auto"/>
          <w:sz w:val="24"/>
          <w:szCs w:val="24"/>
          <w:lang w:val="zh-CN"/>
        </w:rPr>
        <w:t xml:space="preserve">                             </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乙方</w:t>
      </w:r>
      <w:r>
        <w:rPr>
          <w:rFonts w:hint="eastAsia" w:ascii="宋体" w:hAnsi="宋体" w:cs="宋体"/>
          <w:color w:val="auto"/>
          <w:sz w:val="24"/>
          <w:szCs w:val="24"/>
          <w:lang w:val="zh-CN"/>
        </w:rPr>
        <w:t>：</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统一社会信用代码：</w:t>
      </w:r>
      <w:r>
        <w:rPr>
          <w:rFonts w:ascii="宋体" w:hAnsi="宋体" w:cs="宋体"/>
          <w:color w:val="auto"/>
          <w:sz w:val="24"/>
          <w:szCs w:val="24"/>
          <w:lang w:val="zh-CN"/>
        </w:rPr>
        <w:t xml:space="preserve">                        </w:t>
      </w:r>
      <w:r>
        <w:rPr>
          <w:rFonts w:hint="eastAsia" w:ascii="宋体" w:hAnsi="宋体" w:cs="宋体"/>
          <w:color w:val="auto"/>
          <w:sz w:val="24"/>
          <w:szCs w:val="24"/>
          <w:lang w:val="zh-CN"/>
        </w:rPr>
        <w:t>统一社会信用代码或身份证号码：</w:t>
      </w:r>
    </w:p>
    <w:p>
      <w:pPr>
        <w:autoSpaceDE w:val="0"/>
        <w:autoSpaceDN w:val="0"/>
        <w:adjustRightInd w:val="0"/>
        <w:spacing w:line="360" w:lineRule="exact"/>
        <w:rPr>
          <w:rFonts w:ascii="宋体"/>
          <w:color w:val="auto"/>
          <w:sz w:val="24"/>
          <w:szCs w:val="24"/>
          <w:lang w:val="zh-CN"/>
        </w:rPr>
      </w:pP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住所：</w:t>
      </w:r>
      <w:r>
        <w:rPr>
          <w:rFonts w:ascii="宋体" w:hAnsi="宋体" w:cs="宋体"/>
          <w:color w:val="auto"/>
          <w:sz w:val="24"/>
          <w:szCs w:val="24"/>
          <w:lang w:val="zh-CN"/>
        </w:rPr>
        <w:t xml:space="preserve">                                   </w:t>
      </w:r>
      <w:r>
        <w:rPr>
          <w:rFonts w:hint="eastAsia" w:ascii="宋体" w:hAnsi="宋体" w:cs="宋体"/>
          <w:color w:val="auto"/>
          <w:sz w:val="24"/>
          <w:szCs w:val="24"/>
          <w:lang w:val="zh-CN"/>
        </w:rPr>
        <w:t>住所：</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法定代表人或</w:t>
      </w:r>
      <w:r>
        <w:rPr>
          <w:rFonts w:ascii="宋体" w:hAnsi="宋体" w:cs="宋体"/>
          <w:color w:val="auto"/>
          <w:sz w:val="24"/>
          <w:szCs w:val="24"/>
          <w:lang w:val="zh-CN"/>
        </w:rPr>
        <w:t xml:space="preserve">                             </w:t>
      </w:r>
      <w:r>
        <w:rPr>
          <w:rFonts w:hint="eastAsia" w:ascii="宋体" w:hAnsi="宋体" w:cs="宋体"/>
          <w:color w:val="auto"/>
          <w:sz w:val="24"/>
          <w:szCs w:val="24"/>
          <w:lang w:val="zh-CN"/>
        </w:rPr>
        <w:t>法定代表人</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授权代表（签字）：</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r>
        <w:rPr>
          <w:rFonts w:ascii="宋体" w:hAnsi="宋体" w:cs="宋体"/>
          <w:color w:val="auto"/>
          <w:sz w:val="24"/>
          <w:szCs w:val="24"/>
          <w:lang w:val="zh-CN"/>
        </w:rPr>
        <w:t xml:space="preserve">: </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联系人：</w:t>
      </w:r>
      <w:r>
        <w:rPr>
          <w:rFonts w:ascii="宋体" w:hAnsi="宋体" w:cs="宋体"/>
          <w:color w:val="auto"/>
          <w:sz w:val="24"/>
          <w:szCs w:val="24"/>
          <w:lang w:val="zh-CN"/>
        </w:rPr>
        <w:t xml:space="preserve">                                 </w:t>
      </w:r>
      <w:r>
        <w:rPr>
          <w:rFonts w:hint="eastAsia" w:ascii="宋体" w:hAnsi="宋体" w:cs="宋体"/>
          <w:color w:val="auto"/>
          <w:sz w:val="24"/>
          <w:szCs w:val="24"/>
          <w:lang w:val="zh-CN"/>
        </w:rPr>
        <w:t>联系人：</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约定送达地址：</w:t>
      </w:r>
      <w:r>
        <w:rPr>
          <w:rFonts w:ascii="宋体" w:hAnsi="宋体" w:cs="宋体"/>
          <w:color w:val="auto"/>
          <w:sz w:val="24"/>
          <w:szCs w:val="24"/>
          <w:lang w:val="zh-CN"/>
        </w:rPr>
        <w:t xml:space="preserve">                           </w:t>
      </w:r>
      <w:r>
        <w:rPr>
          <w:rFonts w:hint="eastAsia" w:ascii="宋体" w:hAnsi="宋体" w:cs="宋体"/>
          <w:color w:val="auto"/>
          <w:sz w:val="24"/>
          <w:szCs w:val="24"/>
          <w:lang w:val="zh-CN"/>
        </w:rPr>
        <w:t>约定送达地址：</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邮政编码：</w:t>
      </w:r>
      <w:r>
        <w:rPr>
          <w:rFonts w:ascii="宋体" w:hAnsi="宋体" w:cs="宋体"/>
          <w:color w:val="auto"/>
          <w:sz w:val="24"/>
          <w:szCs w:val="24"/>
          <w:lang w:val="zh-CN"/>
        </w:rPr>
        <w:t xml:space="preserve">                               </w:t>
      </w:r>
      <w:r>
        <w:rPr>
          <w:rFonts w:hint="eastAsia" w:ascii="宋体" w:hAnsi="宋体" w:cs="宋体"/>
          <w:color w:val="auto"/>
          <w:sz w:val="24"/>
          <w:szCs w:val="24"/>
          <w:lang w:val="zh-CN"/>
        </w:rPr>
        <w:t>邮政编码：</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电话</w:t>
      </w:r>
      <w:r>
        <w:rPr>
          <w:rFonts w:ascii="宋体" w:hAnsi="宋体" w:cs="宋体"/>
          <w:color w:val="auto"/>
          <w:sz w:val="24"/>
          <w:szCs w:val="24"/>
          <w:lang w:val="zh-CN"/>
        </w:rPr>
        <w:t xml:space="preserve">:                                    </w:t>
      </w:r>
      <w:r>
        <w:rPr>
          <w:rFonts w:hint="eastAsia" w:ascii="宋体" w:hAnsi="宋体" w:cs="宋体"/>
          <w:color w:val="auto"/>
          <w:sz w:val="24"/>
          <w:szCs w:val="24"/>
          <w:lang w:val="zh-CN"/>
        </w:rPr>
        <w:t>电话</w:t>
      </w:r>
      <w:r>
        <w:rPr>
          <w:rFonts w:ascii="宋体" w:hAnsi="宋体" w:cs="宋体"/>
          <w:color w:val="auto"/>
          <w:sz w:val="24"/>
          <w:szCs w:val="24"/>
          <w:lang w:val="zh-CN"/>
        </w:rPr>
        <w:t xml:space="preserve">: </w:t>
      </w:r>
    </w:p>
    <w:p>
      <w:pPr>
        <w:autoSpaceDE w:val="0"/>
        <w:autoSpaceDN w:val="0"/>
        <w:adjustRightInd w:val="0"/>
        <w:spacing w:line="360" w:lineRule="exact"/>
        <w:rPr>
          <w:rFonts w:ascii="宋体"/>
          <w:color w:val="auto"/>
          <w:sz w:val="24"/>
          <w:szCs w:val="24"/>
          <w:lang w:val="zh-CN"/>
        </w:rPr>
      </w:pPr>
      <w:r>
        <w:rPr>
          <w:rFonts w:hint="eastAsia" w:ascii="宋体" w:hAnsi="宋体" w:cs="宋体"/>
          <w:color w:val="auto"/>
          <w:sz w:val="24"/>
          <w:szCs w:val="24"/>
          <w:lang w:val="zh-CN"/>
        </w:rPr>
        <w:t>传真</w:t>
      </w:r>
      <w:r>
        <w:rPr>
          <w:rFonts w:ascii="宋体" w:hAnsi="宋体" w:cs="宋体"/>
          <w:color w:val="auto"/>
          <w:sz w:val="24"/>
          <w:szCs w:val="24"/>
          <w:lang w:val="zh-CN"/>
        </w:rPr>
        <w:t xml:space="preserve">:                                    </w:t>
      </w:r>
      <w:r>
        <w:rPr>
          <w:rFonts w:hint="eastAsia" w:ascii="宋体" w:hAnsi="宋体" w:cs="宋体"/>
          <w:color w:val="auto"/>
          <w:sz w:val="24"/>
          <w:szCs w:val="24"/>
          <w:lang w:val="zh-CN"/>
        </w:rPr>
        <w:t>传真</w:t>
      </w:r>
      <w:r>
        <w:rPr>
          <w:rFonts w:ascii="宋体" w:hAnsi="宋体" w:cs="宋体"/>
          <w:color w:val="auto"/>
          <w:sz w:val="24"/>
          <w:szCs w:val="24"/>
          <w:lang w:val="zh-CN"/>
        </w:rPr>
        <w:t>:</w:t>
      </w:r>
    </w:p>
    <w:p>
      <w:pPr>
        <w:autoSpaceDE w:val="0"/>
        <w:autoSpaceDN w:val="0"/>
        <w:adjustRightInd w:val="0"/>
        <w:spacing w:line="360" w:lineRule="exact"/>
        <w:rPr>
          <w:rFonts w:ascii="宋体"/>
          <w:color w:val="auto"/>
          <w:sz w:val="24"/>
          <w:szCs w:val="24"/>
        </w:rPr>
      </w:pPr>
      <w:r>
        <w:rPr>
          <w:rFonts w:hint="eastAsia" w:ascii="宋体" w:hAnsi="宋体" w:cs="宋体"/>
          <w:color w:val="auto"/>
          <w:sz w:val="24"/>
          <w:szCs w:val="24"/>
          <w:lang w:val="zh-CN"/>
        </w:rPr>
        <w:t>电子邮箱：</w:t>
      </w:r>
      <w:r>
        <w:rPr>
          <w:rFonts w:ascii="宋体" w:hAnsi="宋体" w:cs="宋体"/>
          <w:color w:val="auto"/>
          <w:sz w:val="24"/>
          <w:szCs w:val="24"/>
          <w:lang w:val="zh-CN"/>
        </w:rPr>
        <w:t xml:space="preserve">                               </w:t>
      </w:r>
      <w:r>
        <w:rPr>
          <w:rFonts w:hint="eastAsia" w:ascii="宋体" w:hAnsi="宋体" w:cs="宋体"/>
          <w:color w:val="auto"/>
          <w:sz w:val="24"/>
          <w:szCs w:val="24"/>
          <w:lang w:val="zh-CN"/>
        </w:rPr>
        <w:t>电子邮箱：</w:t>
      </w:r>
    </w:p>
    <w:p>
      <w:pPr>
        <w:autoSpaceDE w:val="0"/>
        <w:autoSpaceDN w:val="0"/>
        <w:adjustRightInd w:val="0"/>
        <w:spacing w:line="360" w:lineRule="exact"/>
        <w:rPr>
          <w:rFonts w:ascii="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r>
        <w:rPr>
          <w:rFonts w:ascii="宋体" w:hAnsi="宋体" w:cs="宋体"/>
          <w:color w:val="auto"/>
          <w:sz w:val="24"/>
          <w:szCs w:val="24"/>
        </w:rPr>
        <w:t xml:space="preserve"> </w:t>
      </w:r>
    </w:p>
    <w:p>
      <w:pPr>
        <w:autoSpaceDE w:val="0"/>
        <w:autoSpaceDN w:val="0"/>
        <w:adjustRightInd w:val="0"/>
        <w:spacing w:line="360" w:lineRule="exact"/>
        <w:rPr>
          <w:rFonts w:ascii="宋体"/>
          <w:color w:val="auto"/>
          <w:sz w:val="24"/>
          <w:szCs w:val="24"/>
        </w:rPr>
      </w:pPr>
      <w:r>
        <w:rPr>
          <w:rFonts w:hint="eastAsia" w:ascii="宋体" w:hAnsi="宋体" w:cs="宋体"/>
          <w:color w:val="auto"/>
          <w:sz w:val="24"/>
          <w:szCs w:val="24"/>
        </w:rPr>
        <w:t>开户名称：</w:t>
      </w:r>
      <w:r>
        <w:rPr>
          <w:rFonts w:ascii="宋体" w:hAnsi="宋体" w:cs="宋体"/>
          <w:color w:val="auto"/>
          <w:sz w:val="24"/>
          <w:szCs w:val="24"/>
        </w:rPr>
        <w:t xml:space="preserve">                               </w:t>
      </w:r>
      <w:r>
        <w:rPr>
          <w:rFonts w:hint="eastAsia" w:ascii="宋体" w:hAnsi="宋体" w:cs="宋体"/>
          <w:color w:val="auto"/>
          <w:sz w:val="24"/>
          <w:szCs w:val="24"/>
        </w:rPr>
        <w:t>开户名称：</w:t>
      </w:r>
      <w:r>
        <w:rPr>
          <w:rFonts w:ascii="宋体" w:hAnsi="宋体" w:cs="宋体"/>
          <w:color w:val="auto"/>
          <w:sz w:val="24"/>
          <w:szCs w:val="24"/>
        </w:rPr>
        <w:t xml:space="preserve"> </w:t>
      </w:r>
    </w:p>
    <w:p>
      <w:pPr>
        <w:autoSpaceDE w:val="0"/>
        <w:autoSpaceDN w:val="0"/>
        <w:adjustRightInd w:val="0"/>
        <w:spacing w:line="360" w:lineRule="exact"/>
        <w:rPr>
          <w:rFonts w:ascii="宋体"/>
          <w:color w:val="auto"/>
          <w:sz w:val="24"/>
          <w:szCs w:val="24"/>
        </w:rPr>
      </w:pPr>
      <w:r>
        <w:rPr>
          <w:rFonts w:hint="eastAsia" w:ascii="宋体" w:hAnsi="宋体" w:cs="宋体"/>
          <w:color w:val="auto"/>
          <w:sz w:val="24"/>
          <w:szCs w:val="24"/>
        </w:rPr>
        <w:t>开户账号：</w:t>
      </w:r>
      <w:r>
        <w:rPr>
          <w:rFonts w:ascii="宋体" w:hAnsi="宋体" w:cs="宋体"/>
          <w:color w:val="auto"/>
          <w:sz w:val="24"/>
          <w:szCs w:val="24"/>
          <w:lang w:val="zh-CN"/>
        </w:rPr>
        <w:t xml:space="preserve">                               </w:t>
      </w:r>
      <w:r>
        <w:rPr>
          <w:rFonts w:hint="eastAsia" w:ascii="宋体" w:hAnsi="宋体" w:cs="宋体"/>
          <w:color w:val="auto"/>
          <w:sz w:val="24"/>
          <w:szCs w:val="24"/>
        </w:rPr>
        <w:t>开户账号：</w:t>
      </w:r>
    </w:p>
    <w:p>
      <w:pPr>
        <w:widowControl/>
        <w:spacing w:line="360" w:lineRule="exact"/>
        <w:jc w:val="left"/>
        <w:rPr>
          <w:rFonts w:ascii="宋体"/>
          <w:b/>
          <w:bCs/>
          <w:color w:val="auto"/>
        </w:rPr>
      </w:pPr>
      <w:bookmarkStart w:id="1312" w:name="_Toc331685783"/>
    </w:p>
    <w:p>
      <w:pPr>
        <w:widowControl/>
        <w:spacing w:line="360" w:lineRule="exact"/>
        <w:jc w:val="left"/>
        <w:rPr>
          <w:rFonts w:ascii="宋体"/>
          <w:b/>
          <w:bCs/>
          <w:color w:val="auto"/>
        </w:rPr>
      </w:pPr>
    </w:p>
    <w:p>
      <w:pPr>
        <w:pStyle w:val="42"/>
        <w:spacing w:line="360" w:lineRule="exact"/>
        <w:ind w:firstLine="200"/>
        <w:jc w:val="center"/>
        <w:rPr>
          <w:rFonts w:hAnsi="宋体" w:cs="Times New Roman"/>
          <w:b/>
          <w:bCs/>
          <w:color w:val="auto"/>
        </w:rPr>
      </w:pPr>
      <w:r>
        <w:rPr>
          <w:rFonts w:hint="eastAsia" w:hAnsi="宋体"/>
          <w:b/>
          <w:bCs/>
          <w:color w:val="auto"/>
        </w:rPr>
        <w:t>第二部分</w:t>
      </w:r>
      <w:r>
        <w:rPr>
          <w:rFonts w:hAnsi="宋体"/>
          <w:b/>
          <w:bCs/>
          <w:color w:val="auto"/>
        </w:rPr>
        <w:t xml:space="preserve"> </w:t>
      </w:r>
      <w:r>
        <w:rPr>
          <w:rFonts w:hint="eastAsia" w:hAnsi="宋体"/>
          <w:b/>
          <w:bCs/>
          <w:color w:val="auto"/>
        </w:rPr>
        <w:t>合同一般条款</w:t>
      </w:r>
      <w:bookmarkEnd w:id="1312"/>
    </w:p>
    <w:p>
      <w:pPr>
        <w:spacing w:line="360" w:lineRule="exact"/>
        <w:ind w:firstLine="482" w:firstLineChars="200"/>
        <w:outlineLvl w:val="0"/>
        <w:rPr>
          <w:rFonts w:ascii="宋体"/>
          <w:b/>
          <w:bCs/>
          <w:color w:val="auto"/>
          <w:sz w:val="24"/>
          <w:szCs w:val="24"/>
        </w:rPr>
      </w:pPr>
      <w:bookmarkStart w:id="1313" w:name="_Ref467379225"/>
      <w:bookmarkStart w:id="1314" w:name="_Toc25554"/>
      <w:bookmarkStart w:id="1315" w:name="_Toc28763"/>
      <w:bookmarkStart w:id="1316" w:name="_Toc26415"/>
      <w:bookmarkStart w:id="1317" w:name="_Toc17718"/>
      <w:bookmarkStart w:id="1318" w:name="_Ref467379214"/>
      <w:bookmarkStart w:id="1319" w:name="_Ref467379101"/>
      <w:bookmarkStart w:id="1320" w:name="_Toc31417"/>
      <w:bookmarkStart w:id="1321" w:name="_Toc487900349"/>
      <w:bookmarkStart w:id="1322" w:name="_Ref467379094"/>
      <w:bookmarkStart w:id="1323" w:name="_Toc3091"/>
      <w:bookmarkStart w:id="1324" w:name="_Toc15647"/>
      <w:bookmarkStart w:id="1325" w:name="_Toc5579"/>
      <w:bookmarkStart w:id="1326" w:name="_Toc19614"/>
      <w:bookmarkStart w:id="1327" w:name="_Toc28865"/>
      <w:bookmarkStart w:id="1328" w:name="_Ref467378463"/>
      <w:bookmarkStart w:id="1329" w:name="_Toc26936"/>
      <w:bookmarkStart w:id="1330" w:name="_Toc20709"/>
      <w:bookmarkStart w:id="1331" w:name="_Toc28547"/>
      <w:bookmarkStart w:id="1332" w:name="_Toc32624"/>
      <w:bookmarkStart w:id="1333" w:name="_Toc2854"/>
      <w:bookmarkStart w:id="1334" w:name="_Ref467378404"/>
      <w:bookmarkStart w:id="1335" w:name="_Toc14827"/>
      <w:bookmarkStart w:id="1336" w:name="_Toc16917"/>
      <w:bookmarkStart w:id="1337" w:name="_Ref467379109"/>
      <w:bookmarkStart w:id="1338" w:name="_Toc279701240"/>
      <w:bookmarkStart w:id="1339" w:name="_Ref467378499"/>
      <w:bookmarkStart w:id="1340" w:name="_Ref467379205"/>
      <w:bookmarkStart w:id="1341" w:name="_Toc29659"/>
      <w:bookmarkStart w:id="1342" w:name="_Ref467379195"/>
      <w:bookmarkStart w:id="1343" w:name="_Toc26015"/>
      <w:bookmarkStart w:id="1344" w:name="_Toc510"/>
      <w:bookmarkStart w:id="1345" w:name="_Toc2034"/>
      <w:bookmarkStart w:id="1346" w:name="_Toc259093669"/>
      <w:r>
        <w:rPr>
          <w:rFonts w:ascii="宋体" w:hAnsi="宋体" w:cs="宋体"/>
          <w:b/>
          <w:bCs/>
          <w:color w:val="auto"/>
          <w:sz w:val="24"/>
          <w:szCs w:val="24"/>
        </w:rPr>
        <w:t xml:space="preserve">2.1 </w:t>
      </w:r>
      <w:r>
        <w:rPr>
          <w:rFonts w:hint="eastAsia" w:ascii="宋体" w:hAnsi="宋体" w:cs="宋体"/>
          <w:b/>
          <w:bCs/>
          <w:color w:val="auto"/>
          <w:sz w:val="24"/>
          <w:szCs w:val="24"/>
        </w:rPr>
        <w:t>定义</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spacing w:line="360" w:lineRule="exact"/>
        <w:ind w:firstLine="480" w:firstLineChars="200"/>
        <w:rPr>
          <w:rFonts w:ascii="宋体"/>
          <w:color w:val="auto"/>
          <w:sz w:val="24"/>
          <w:szCs w:val="24"/>
        </w:rPr>
      </w:pPr>
      <w:r>
        <w:rPr>
          <w:rFonts w:hint="eastAsia" w:ascii="宋体" w:hAnsi="宋体" w:cs="宋体"/>
          <w:color w:val="auto"/>
          <w:sz w:val="24"/>
          <w:szCs w:val="24"/>
        </w:rPr>
        <w:t>本合同中的下列词语应按以下内容进行解释：</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2.1.1 </w:t>
      </w:r>
      <w:r>
        <w:rPr>
          <w:rFonts w:hint="eastAsia" w:ascii="宋体" w:hAnsi="宋体" w:cs="宋体"/>
          <w:color w:val="auto"/>
          <w:sz w:val="24"/>
          <w:szCs w:val="24"/>
        </w:rPr>
        <w:t>“合同”系指采购人和中标供应商签订的载明双方当事人所达成的协议，并包括所有的附件、附录和构成合同的其他文件。</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2.1.2 </w:t>
      </w:r>
      <w:r>
        <w:rPr>
          <w:rFonts w:hint="eastAsia" w:ascii="宋体" w:hAnsi="宋体" w:cs="宋体"/>
          <w:color w:val="auto"/>
          <w:sz w:val="24"/>
          <w:szCs w:val="24"/>
        </w:rPr>
        <w:t>“合同价”系指根据合同约定，中标供应商在完全履行合同义务后，采购人应支付给中标供应商的价格。</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2.1.3 </w:t>
      </w:r>
      <w:r>
        <w:rPr>
          <w:rFonts w:hint="eastAsia" w:ascii="宋体" w:hAnsi="宋体" w:cs="宋体"/>
          <w:color w:val="auto"/>
          <w:sz w:val="24"/>
          <w:szCs w:val="24"/>
        </w:rPr>
        <w:t>“货物”系指中标供应商根据合同约定应向采购人交付的一切各种形态和种类的物品，包括原材料、燃料、设备、机械、仪表、备件、计算机软件、产品等，并包括工具、手册等其他相关资料。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ascii="宋体"/>
          <w:color w:val="auto"/>
          <w:sz w:val="24"/>
          <w:szCs w:val="24"/>
        </w:rPr>
      </w:pPr>
      <w:bookmarkStart w:id="1347" w:name="_Ref467378840"/>
      <w:r>
        <w:rPr>
          <w:rFonts w:ascii="宋体" w:hAnsi="宋体" w:cs="宋体"/>
          <w:color w:val="auto"/>
          <w:sz w:val="24"/>
          <w:szCs w:val="24"/>
        </w:rPr>
        <w:t xml:space="preserve">2.1.4 </w:t>
      </w:r>
      <w:r>
        <w:rPr>
          <w:rFonts w:hint="eastAsia" w:ascii="宋体" w:hAnsi="宋体" w:cs="宋体"/>
          <w:color w:val="auto"/>
          <w:sz w:val="24"/>
          <w:szCs w:val="24"/>
        </w:rPr>
        <w:t>“甲方”系指与中标供应商签署合同的采购人</w:t>
      </w:r>
      <w:bookmarkEnd w:id="1347"/>
      <w:r>
        <w:rPr>
          <w:rFonts w:hint="eastAsia" w:ascii="宋体" w:hAnsi="宋体" w:cs="宋体"/>
          <w:color w:val="auto"/>
          <w:sz w:val="24"/>
          <w:szCs w:val="24"/>
        </w:rPr>
        <w:t>；采购人委托采购代理机构代表其与乙方签订合同的，采购人的授权委托书作为合同附件。</w:t>
      </w:r>
    </w:p>
    <w:p>
      <w:pPr>
        <w:spacing w:line="360" w:lineRule="exact"/>
        <w:ind w:firstLine="480" w:firstLineChars="200"/>
        <w:rPr>
          <w:rFonts w:ascii="宋体"/>
          <w:color w:val="auto"/>
          <w:sz w:val="24"/>
          <w:szCs w:val="24"/>
        </w:rPr>
      </w:pPr>
      <w:bookmarkStart w:id="1348" w:name="_Ref467379400"/>
      <w:r>
        <w:rPr>
          <w:rFonts w:ascii="宋体" w:hAnsi="宋体" w:cs="宋体"/>
          <w:color w:val="auto"/>
          <w:sz w:val="24"/>
          <w:szCs w:val="24"/>
        </w:rPr>
        <w:t xml:space="preserve">2.1.5 </w:t>
      </w:r>
      <w:r>
        <w:rPr>
          <w:rFonts w:hint="eastAsia" w:ascii="宋体" w:hAnsi="宋体" w:cs="宋体"/>
          <w:color w:val="auto"/>
          <w:sz w:val="24"/>
          <w:szCs w:val="24"/>
        </w:rPr>
        <w:t>“乙方”系指根据合同约定交付货物的中标供应商</w:t>
      </w:r>
      <w:bookmarkEnd w:id="1348"/>
      <w:r>
        <w:rPr>
          <w:rFonts w:hint="eastAsia" w:ascii="宋体" w:hAnsi="宋体" w:cs="宋体"/>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ascii="宋体"/>
          <w:color w:val="auto"/>
          <w:sz w:val="24"/>
          <w:szCs w:val="24"/>
        </w:rPr>
      </w:pPr>
      <w:bookmarkStart w:id="1349" w:name="_Ref467379436"/>
      <w:r>
        <w:rPr>
          <w:rFonts w:ascii="宋体" w:hAnsi="宋体" w:cs="宋体"/>
          <w:color w:val="auto"/>
          <w:sz w:val="24"/>
          <w:szCs w:val="24"/>
        </w:rPr>
        <w:t xml:space="preserve">2.1.6 </w:t>
      </w:r>
      <w:r>
        <w:rPr>
          <w:rFonts w:hint="eastAsia" w:ascii="宋体" w:hAnsi="宋体" w:cs="宋体"/>
          <w:color w:val="auto"/>
          <w:sz w:val="24"/>
          <w:szCs w:val="24"/>
        </w:rPr>
        <w:t>“现场”系指合同约定货物将要运至或者安装的地点。</w:t>
      </w:r>
      <w:bookmarkEnd w:id="1349"/>
    </w:p>
    <w:p>
      <w:pPr>
        <w:spacing w:line="360" w:lineRule="exact"/>
        <w:ind w:firstLine="482" w:firstLineChars="200"/>
        <w:outlineLvl w:val="0"/>
        <w:rPr>
          <w:rFonts w:ascii="宋体"/>
          <w:b/>
          <w:bCs/>
          <w:color w:val="auto"/>
          <w:sz w:val="24"/>
          <w:szCs w:val="24"/>
        </w:rPr>
      </w:pPr>
      <w:bookmarkStart w:id="1350" w:name="_Toc3193"/>
      <w:bookmarkStart w:id="1351" w:name="_Toc22104"/>
      <w:bookmarkStart w:id="1352" w:name="_Toc7416"/>
      <w:bookmarkStart w:id="1353" w:name="_Toc22122"/>
      <w:bookmarkStart w:id="1354" w:name="_Toc25269"/>
      <w:bookmarkStart w:id="1355" w:name="_Toc17151"/>
      <w:bookmarkStart w:id="1356" w:name="_Toc3949"/>
      <w:bookmarkStart w:id="1357" w:name="_Toc487900350"/>
      <w:bookmarkStart w:id="1358" w:name="_Toc11142"/>
      <w:bookmarkStart w:id="1359" w:name="_Toc1183"/>
      <w:bookmarkStart w:id="1360" w:name="_Toc5592"/>
      <w:bookmarkStart w:id="1361" w:name="_Toc1352"/>
      <w:bookmarkStart w:id="1362" w:name="_Toc32504"/>
      <w:bookmarkStart w:id="1363" w:name="_Toc1447"/>
      <w:bookmarkStart w:id="1364" w:name="_Toc13336"/>
      <w:bookmarkStart w:id="1365" w:name="_Toc7048"/>
      <w:bookmarkStart w:id="1366" w:name="_Toc279701241"/>
      <w:bookmarkStart w:id="1367" w:name="_Toc259093670"/>
      <w:bookmarkStart w:id="1368" w:name="_Toc25266"/>
      <w:bookmarkStart w:id="1369" w:name="_Toc24792"/>
      <w:bookmarkStart w:id="1370" w:name="_Toc23689"/>
      <w:bookmarkStart w:id="1371" w:name="_Toc27635"/>
      <w:bookmarkStart w:id="1372" w:name="_Toc1221"/>
      <w:bookmarkStart w:id="1373" w:name="_Toc24523"/>
      <w:r>
        <w:rPr>
          <w:rFonts w:ascii="宋体" w:hAnsi="宋体" w:cs="宋体"/>
          <w:b/>
          <w:bCs/>
          <w:color w:val="auto"/>
          <w:sz w:val="24"/>
          <w:szCs w:val="24"/>
        </w:rPr>
        <w:t xml:space="preserve">2.2 </w:t>
      </w:r>
      <w:r>
        <w:rPr>
          <w:rFonts w:hint="eastAsia" w:ascii="宋体" w:hAnsi="宋体" w:cs="宋体"/>
          <w:b/>
          <w:bCs/>
          <w:color w:val="auto"/>
          <w:sz w:val="24"/>
          <w:szCs w:val="24"/>
        </w:rPr>
        <w:t>技术规范</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pPr>
        <w:spacing w:line="360" w:lineRule="exact"/>
        <w:ind w:firstLine="480" w:firstLineChars="200"/>
        <w:rPr>
          <w:rFonts w:ascii="宋体"/>
          <w:color w:val="auto"/>
          <w:sz w:val="24"/>
          <w:szCs w:val="24"/>
        </w:rPr>
      </w:pPr>
      <w:r>
        <w:rPr>
          <w:rFonts w:hint="eastAsia" w:ascii="宋体" w:hAnsi="宋体" w:cs="宋体"/>
          <w:color w:val="auto"/>
          <w:sz w:val="24"/>
          <w:szCs w:val="24"/>
        </w:rPr>
        <w:t>货物所应遵守的技术规范应与采购文件规定的技术规范和技术规范附件</w:t>
      </w:r>
      <w:r>
        <w:rPr>
          <w:rFonts w:ascii="宋体" w:hAnsi="宋体" w:cs="宋体"/>
          <w:color w:val="auto"/>
          <w:sz w:val="24"/>
          <w:szCs w:val="24"/>
        </w:rPr>
        <w:t>(</w:t>
      </w:r>
      <w:r>
        <w:rPr>
          <w:rFonts w:hint="eastAsia" w:ascii="宋体" w:hAnsi="宋体" w:cs="宋体"/>
          <w:color w:val="auto"/>
          <w:sz w:val="24"/>
          <w:szCs w:val="24"/>
        </w:rPr>
        <w:t>如果有的话</w:t>
      </w:r>
      <w:r>
        <w:rPr>
          <w:rFonts w:ascii="宋体" w:hAnsi="宋体" w:cs="宋体"/>
          <w:color w:val="auto"/>
          <w:sz w:val="24"/>
          <w:szCs w:val="24"/>
        </w:rPr>
        <w:t>)</w:t>
      </w:r>
      <w:r>
        <w:rPr>
          <w:rFonts w:hint="eastAsia" w:ascii="宋体" w:hAnsi="宋体" w:cs="宋体"/>
          <w:color w:val="auto"/>
          <w:sz w:val="24"/>
          <w:szCs w:val="24"/>
        </w:rPr>
        <w:t>及其技术规范偏差表</w:t>
      </w:r>
      <w:r>
        <w:rPr>
          <w:rFonts w:ascii="宋体" w:hAnsi="宋体" w:cs="宋体"/>
          <w:color w:val="auto"/>
          <w:sz w:val="24"/>
          <w:szCs w:val="24"/>
        </w:rPr>
        <w:t>(</w:t>
      </w:r>
      <w:r>
        <w:rPr>
          <w:rFonts w:hint="eastAsia" w:ascii="宋体" w:hAnsi="宋体" w:cs="宋体"/>
          <w:color w:val="auto"/>
          <w:sz w:val="24"/>
          <w:szCs w:val="24"/>
        </w:rPr>
        <w:t>如果被甲方接受的话</w:t>
      </w:r>
      <w:r>
        <w:rPr>
          <w:rFonts w:ascii="宋体" w:hAnsi="宋体" w:cs="宋体"/>
          <w:color w:val="auto"/>
          <w:sz w:val="24"/>
          <w:szCs w:val="24"/>
        </w:rPr>
        <w:t>)</w:t>
      </w:r>
      <w:r>
        <w:rPr>
          <w:rFonts w:hint="eastAsia" w:ascii="宋体" w:hAnsi="宋体" w:cs="宋体"/>
          <w:color w:val="auto"/>
          <w:sz w:val="24"/>
          <w:szCs w:val="24"/>
        </w:rPr>
        <w:t>相一致；如果采购文件中没有技术规范的相应说明，那么应以国家有关部门最新颁布的相应标准和规范为准。</w:t>
      </w:r>
    </w:p>
    <w:p>
      <w:pPr>
        <w:spacing w:line="360" w:lineRule="exact"/>
        <w:ind w:firstLine="482" w:firstLineChars="200"/>
        <w:outlineLvl w:val="0"/>
        <w:rPr>
          <w:rFonts w:ascii="宋体"/>
          <w:b/>
          <w:bCs/>
          <w:color w:val="auto"/>
          <w:sz w:val="24"/>
          <w:szCs w:val="24"/>
        </w:rPr>
      </w:pPr>
      <w:bookmarkStart w:id="1374" w:name="_Toc15733"/>
      <w:bookmarkStart w:id="1375" w:name="_Toc9829"/>
      <w:bookmarkStart w:id="1376" w:name="_Toc30700"/>
      <w:bookmarkStart w:id="1377" w:name="_Toc24537"/>
      <w:bookmarkStart w:id="1378" w:name="_Toc279701242"/>
      <w:bookmarkStart w:id="1379" w:name="_Toc30552"/>
      <w:bookmarkStart w:id="1380" w:name="_Toc23649"/>
      <w:bookmarkStart w:id="1381" w:name="_Toc14632"/>
      <w:bookmarkStart w:id="1382" w:name="_Toc6121"/>
      <w:bookmarkStart w:id="1383" w:name="_Toc20130"/>
      <w:bookmarkStart w:id="1384" w:name="_Toc32048"/>
      <w:bookmarkStart w:id="1385" w:name="_Toc10461"/>
      <w:bookmarkStart w:id="1386" w:name="_Toc23791"/>
      <w:bookmarkStart w:id="1387" w:name="_Toc975"/>
      <w:bookmarkStart w:id="1388" w:name="_Toc28662"/>
      <w:bookmarkStart w:id="1389" w:name="_Toc31634"/>
      <w:bookmarkStart w:id="1390" w:name="_Toc487900351"/>
      <w:bookmarkStart w:id="1391" w:name="_Toc4029"/>
      <w:bookmarkStart w:id="1392" w:name="_Toc27853"/>
      <w:bookmarkStart w:id="1393" w:name="_Toc259093671"/>
      <w:bookmarkStart w:id="1394" w:name="_Toc28946"/>
      <w:bookmarkStart w:id="1395" w:name="_Toc7722"/>
      <w:bookmarkStart w:id="1396" w:name="_Toc3854"/>
      <w:bookmarkStart w:id="1397" w:name="_Toc4916"/>
      <w:r>
        <w:rPr>
          <w:rFonts w:ascii="宋体" w:hAnsi="宋体" w:cs="宋体"/>
          <w:b/>
          <w:bCs/>
          <w:color w:val="auto"/>
          <w:sz w:val="24"/>
          <w:szCs w:val="24"/>
        </w:rPr>
        <w:t xml:space="preserve">2.3 </w:t>
      </w:r>
      <w:r>
        <w:rPr>
          <w:rFonts w:hint="eastAsia" w:ascii="宋体" w:hAnsi="宋体" w:cs="宋体"/>
          <w:b/>
          <w:bCs/>
          <w:color w:val="auto"/>
          <w:sz w:val="24"/>
          <w:szCs w:val="24"/>
        </w:rPr>
        <w:t>知识产权</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pPr>
        <w:spacing w:line="360" w:lineRule="exact"/>
        <w:ind w:firstLine="480" w:firstLineChars="200"/>
        <w:rPr>
          <w:rFonts w:ascii="宋体"/>
          <w:color w:val="auto"/>
          <w:sz w:val="24"/>
          <w:szCs w:val="24"/>
        </w:rPr>
      </w:pPr>
      <w:r>
        <w:rPr>
          <w:rFonts w:ascii="宋体" w:hAnsi="宋体" w:cs="宋体"/>
          <w:color w:val="auto"/>
          <w:sz w:val="24"/>
          <w:szCs w:val="24"/>
        </w:rPr>
        <w:t xml:space="preserve">2.3.1 </w:t>
      </w:r>
      <w:r>
        <w:rPr>
          <w:rFonts w:hint="eastAsia" w:ascii="宋体" w:hAnsi="宋体" w:cs="宋体"/>
          <w:color w:val="auto"/>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ascii="宋体"/>
          <w:color w:val="auto"/>
          <w:sz w:val="24"/>
          <w:szCs w:val="24"/>
        </w:rPr>
      </w:pPr>
      <w:r>
        <w:rPr>
          <w:rFonts w:ascii="宋体" w:hAnsi="宋体" w:cs="宋体"/>
          <w:color w:val="auto"/>
          <w:sz w:val="24"/>
          <w:szCs w:val="24"/>
        </w:rPr>
        <w:t>2.3.2</w:t>
      </w:r>
      <w:r>
        <w:rPr>
          <w:rFonts w:hint="eastAsia" w:ascii="宋体" w:hAnsi="宋体" w:cs="宋体"/>
          <w:color w:val="auto"/>
          <w:sz w:val="24"/>
          <w:szCs w:val="24"/>
        </w:rPr>
        <w:t>具有知识产权的计算机软件等货物的知识产权归属，详见</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398" w:name="_Toc8795"/>
      <w:bookmarkStart w:id="1399" w:name="_Toc10546"/>
      <w:bookmarkStart w:id="1400" w:name="_Toc4194"/>
      <w:bookmarkStart w:id="1401" w:name="_Toc24384"/>
      <w:bookmarkStart w:id="1402" w:name="_Toc19638"/>
      <w:bookmarkStart w:id="1403" w:name="_Toc20620"/>
      <w:bookmarkStart w:id="1404" w:name="_Toc6781"/>
      <w:bookmarkStart w:id="1405" w:name="_Toc17080"/>
      <w:bookmarkStart w:id="1406" w:name="_Toc28170"/>
      <w:bookmarkStart w:id="1407" w:name="_Toc3486"/>
      <w:bookmarkStart w:id="1408" w:name="_Toc28714"/>
      <w:bookmarkStart w:id="1409" w:name="_Toc12219"/>
      <w:bookmarkStart w:id="1410" w:name="_Toc26731"/>
      <w:bookmarkStart w:id="1411" w:name="_Toc10970"/>
      <w:bookmarkStart w:id="1412" w:name="_Toc25767"/>
      <w:bookmarkStart w:id="1413" w:name="_Toc9470"/>
      <w:bookmarkStart w:id="1414" w:name="_Toc5395"/>
      <w:bookmarkStart w:id="1415" w:name="_Toc23105"/>
      <w:bookmarkStart w:id="1416" w:name="_Toc29149"/>
      <w:bookmarkStart w:id="1417" w:name="_Toc18554"/>
      <w:bookmarkStart w:id="1418" w:name="_Toc11932"/>
      <w:r>
        <w:rPr>
          <w:rFonts w:ascii="宋体" w:hAnsi="宋体" w:cs="宋体"/>
          <w:b/>
          <w:bCs/>
          <w:color w:val="auto"/>
          <w:sz w:val="24"/>
          <w:szCs w:val="24"/>
        </w:rPr>
        <w:t xml:space="preserve">2.4 </w:t>
      </w:r>
      <w:r>
        <w:rPr>
          <w:rFonts w:hint="eastAsia" w:ascii="宋体" w:hAnsi="宋体" w:cs="宋体"/>
          <w:b/>
          <w:bCs/>
          <w:color w:val="auto"/>
          <w:sz w:val="24"/>
          <w:szCs w:val="24"/>
        </w:rPr>
        <w:t>包装和装运</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spacing w:line="360" w:lineRule="exact"/>
        <w:ind w:firstLine="480" w:firstLineChars="200"/>
        <w:rPr>
          <w:rFonts w:ascii="宋体"/>
          <w:color w:val="auto"/>
          <w:sz w:val="24"/>
          <w:szCs w:val="24"/>
        </w:rPr>
      </w:pPr>
      <w:r>
        <w:rPr>
          <w:rFonts w:ascii="宋体" w:hAnsi="宋体" w:cs="宋体"/>
          <w:color w:val="auto"/>
          <w:sz w:val="24"/>
          <w:szCs w:val="24"/>
        </w:rPr>
        <w:t>2.4.1</w:t>
      </w:r>
      <w:r>
        <w:rPr>
          <w:rFonts w:hint="eastAsia" w:ascii="宋体" w:hAnsi="宋体" w:cs="宋体"/>
          <w:color w:val="auto"/>
          <w:sz w:val="24"/>
          <w:szCs w:val="24"/>
        </w:rPr>
        <w:t>除</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另有约定外</w:t>
      </w:r>
      <w:r>
        <w:rPr>
          <w:rFonts w:ascii="宋体" w:cs="宋体"/>
          <w:color w:val="auto"/>
          <w:sz w:val="24"/>
          <w:szCs w:val="24"/>
        </w:rPr>
        <w:t>,</w:t>
      </w:r>
      <w:r>
        <w:rPr>
          <w:rFonts w:hint="eastAsia" w:ascii="宋体" w:hAnsi="宋体" w:cs="宋体"/>
          <w:color w:val="auto"/>
          <w:sz w:val="24"/>
          <w:szCs w:val="24"/>
        </w:rPr>
        <w:t>乙方交付的全部货物</w:t>
      </w:r>
      <w:r>
        <w:rPr>
          <w:rFonts w:ascii="宋体" w:cs="宋体"/>
          <w:color w:val="auto"/>
          <w:sz w:val="24"/>
          <w:szCs w:val="24"/>
        </w:rPr>
        <w:t>,</w:t>
      </w:r>
      <w:r>
        <w:rPr>
          <w:rFonts w:hint="eastAsia" w:ascii="宋体" w:hAnsi="宋体" w:cs="宋体"/>
          <w:color w:val="auto"/>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2.4.2 </w:t>
      </w:r>
      <w:r>
        <w:rPr>
          <w:rFonts w:hint="eastAsia" w:ascii="宋体" w:hAnsi="宋体" w:cs="宋体"/>
          <w:color w:val="auto"/>
          <w:sz w:val="24"/>
          <w:szCs w:val="24"/>
        </w:rPr>
        <w:t>装运货物的要求和通知，详见</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419" w:name="_Toc487900354"/>
      <w:bookmarkStart w:id="1420" w:name="_Ref467378591"/>
      <w:bookmarkStart w:id="1421" w:name="_Toc279701245"/>
      <w:bookmarkStart w:id="1422" w:name="_Ref467379527"/>
      <w:bookmarkStart w:id="1423" w:name="_Ref467379542"/>
      <w:bookmarkStart w:id="1424" w:name="_Ref467378541"/>
      <w:bookmarkStart w:id="1425" w:name="_Toc259093674"/>
      <w:bookmarkStart w:id="1426" w:name="_Ref467379536"/>
      <w:bookmarkStart w:id="1427" w:name="_Toc10209"/>
      <w:bookmarkStart w:id="1428" w:name="_Toc18307"/>
      <w:bookmarkStart w:id="1429" w:name="_Toc18515"/>
      <w:bookmarkStart w:id="1430" w:name="_Toc21198"/>
      <w:bookmarkStart w:id="1431" w:name="_Toc26182"/>
      <w:bookmarkStart w:id="1432" w:name="_Toc31437"/>
      <w:bookmarkStart w:id="1433" w:name="_Toc4831"/>
      <w:bookmarkStart w:id="1434" w:name="_Toc24299"/>
      <w:bookmarkStart w:id="1435" w:name="_Toc28324"/>
      <w:bookmarkStart w:id="1436" w:name="_Toc30516"/>
      <w:bookmarkStart w:id="1437" w:name="_Toc15512"/>
      <w:bookmarkStart w:id="1438" w:name="_Toc5927"/>
      <w:bookmarkStart w:id="1439" w:name="_Toc2815"/>
      <w:bookmarkStart w:id="1440" w:name="_Toc24935"/>
      <w:bookmarkStart w:id="1441" w:name="_Toc19074"/>
      <w:bookmarkStart w:id="1442" w:name="_Toc28937"/>
      <w:bookmarkStart w:id="1443" w:name="_Toc7299"/>
      <w:bookmarkStart w:id="1444" w:name="_Toc30272"/>
      <w:bookmarkStart w:id="1445" w:name="_Toc21410"/>
      <w:bookmarkStart w:id="1446" w:name="_Toc14100"/>
      <w:bookmarkStart w:id="1447" w:name="_Toc12428"/>
      <w:r>
        <w:rPr>
          <w:rFonts w:ascii="宋体" w:hAnsi="宋体" w:cs="宋体"/>
          <w:b/>
          <w:bCs/>
          <w:color w:val="auto"/>
          <w:sz w:val="24"/>
          <w:szCs w:val="24"/>
        </w:rPr>
        <w:t>2.</w:t>
      </w:r>
      <w:bookmarkEnd w:id="1419"/>
      <w:bookmarkEnd w:id="1420"/>
      <w:bookmarkEnd w:id="1421"/>
      <w:bookmarkEnd w:id="1422"/>
      <w:bookmarkEnd w:id="1423"/>
      <w:bookmarkEnd w:id="1424"/>
      <w:bookmarkEnd w:id="1425"/>
      <w:bookmarkEnd w:id="1426"/>
      <w:r>
        <w:rPr>
          <w:rFonts w:ascii="宋体" w:hAnsi="宋体" w:cs="宋体"/>
          <w:b/>
          <w:bCs/>
          <w:color w:val="auto"/>
          <w:sz w:val="24"/>
          <w:szCs w:val="24"/>
        </w:rPr>
        <w:t xml:space="preserve">5 </w:t>
      </w:r>
      <w:r>
        <w:rPr>
          <w:rFonts w:hint="eastAsia" w:ascii="宋体" w:hAnsi="宋体" w:cs="宋体"/>
          <w:b/>
          <w:bCs/>
          <w:color w:val="auto"/>
          <w:sz w:val="24"/>
          <w:szCs w:val="24"/>
        </w:rPr>
        <w:t>履约检查和问题反馈</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pPr>
        <w:spacing w:line="360" w:lineRule="exact"/>
        <w:ind w:firstLine="480" w:firstLineChars="200"/>
        <w:rPr>
          <w:rFonts w:ascii="宋体"/>
          <w:color w:val="auto"/>
          <w:sz w:val="24"/>
          <w:szCs w:val="24"/>
        </w:rPr>
      </w:pPr>
      <w:bookmarkStart w:id="1448" w:name="_Ref467379657"/>
      <w:r>
        <w:rPr>
          <w:rFonts w:ascii="宋体" w:hAnsi="宋体" w:cs="宋体"/>
          <w:color w:val="auto"/>
          <w:sz w:val="24"/>
          <w:szCs w:val="24"/>
        </w:rPr>
        <w:t>2.5.1</w:t>
      </w:r>
      <w:bookmarkEnd w:id="1448"/>
      <w:bookmarkStart w:id="1449" w:name="_Toc186431854"/>
      <w:bookmarkStart w:id="1450" w:name="_Ref467379807"/>
      <w:bookmarkStart w:id="1451" w:name="_Ref467379793"/>
      <w:bookmarkStart w:id="1452" w:name="_Toc279701247"/>
      <w:bookmarkStart w:id="1453" w:name="_Toc487900357"/>
      <w:bookmarkStart w:id="1454" w:name="_Toc259093676"/>
      <w:r>
        <w:rPr>
          <w:rFonts w:hint="eastAsia" w:ascii="宋体" w:hAnsi="宋体" w:cs="宋体"/>
          <w:color w:val="auto"/>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2.5.2 </w:t>
      </w:r>
      <w:r>
        <w:rPr>
          <w:rFonts w:hint="eastAsia" w:ascii="宋体" w:hAnsi="宋体" w:cs="宋体"/>
          <w:color w:val="auto"/>
          <w:sz w:val="24"/>
          <w:szCs w:val="24"/>
        </w:rPr>
        <w:t>合同履行期间，甲方有权将履行过程中出现的问题反馈给乙方，双方当事人应以书面形式约定需要完善和改进的内容</w:t>
      </w:r>
      <w:bookmarkEnd w:id="1449"/>
      <w:bookmarkStart w:id="1455" w:name="_Toc186431855"/>
      <w:r>
        <w:rPr>
          <w:rFonts w:hint="eastAsia" w:ascii="宋体" w:hAnsi="宋体" w:cs="宋体"/>
          <w:color w:val="auto"/>
          <w:sz w:val="24"/>
          <w:szCs w:val="24"/>
        </w:rPr>
        <w:t>。</w:t>
      </w:r>
    </w:p>
    <w:bookmarkEnd w:id="1455"/>
    <w:p>
      <w:pPr>
        <w:spacing w:line="360" w:lineRule="exact"/>
        <w:ind w:firstLine="482" w:firstLineChars="200"/>
        <w:outlineLvl w:val="0"/>
        <w:rPr>
          <w:rFonts w:ascii="宋体"/>
          <w:b/>
          <w:bCs/>
          <w:color w:val="auto"/>
          <w:sz w:val="24"/>
          <w:szCs w:val="24"/>
        </w:rPr>
      </w:pPr>
      <w:bookmarkStart w:id="1456" w:name="_Toc28451"/>
      <w:bookmarkStart w:id="1457" w:name="_Toc5363"/>
      <w:bookmarkStart w:id="1458" w:name="_Toc582"/>
      <w:bookmarkStart w:id="1459" w:name="_Toc12377"/>
      <w:bookmarkStart w:id="1460" w:name="_Toc31520"/>
      <w:bookmarkStart w:id="1461" w:name="_Toc5304"/>
      <w:bookmarkStart w:id="1462" w:name="_Toc10980"/>
      <w:bookmarkStart w:id="1463" w:name="_Toc19219"/>
      <w:bookmarkStart w:id="1464" w:name="_Toc26232"/>
      <w:bookmarkStart w:id="1465" w:name="_Toc26298"/>
      <w:bookmarkStart w:id="1466" w:name="_Toc234"/>
      <w:bookmarkStart w:id="1467" w:name="_Toc2067"/>
      <w:bookmarkStart w:id="1468" w:name="_Toc11522"/>
      <w:bookmarkStart w:id="1469" w:name="_Toc7836"/>
      <w:bookmarkStart w:id="1470" w:name="_Toc17283"/>
      <w:bookmarkStart w:id="1471" w:name="_Toc12360"/>
      <w:bookmarkStart w:id="1472" w:name="_Toc23261"/>
      <w:bookmarkStart w:id="1473" w:name="_Toc9092"/>
      <w:bookmarkStart w:id="1474" w:name="_Toc30354"/>
      <w:bookmarkStart w:id="1475" w:name="_Toc26245"/>
      <w:bookmarkStart w:id="1476" w:name="_Toc15854"/>
      <w:r>
        <w:rPr>
          <w:rFonts w:ascii="宋体" w:hAnsi="宋体" w:cs="宋体"/>
          <w:b/>
          <w:bCs/>
          <w:color w:val="auto"/>
          <w:sz w:val="24"/>
          <w:szCs w:val="24"/>
        </w:rPr>
        <w:t xml:space="preserve">2.6 </w:t>
      </w:r>
      <w:r>
        <w:rPr>
          <w:rFonts w:hint="eastAsia" w:ascii="宋体" w:hAnsi="宋体" w:cs="宋体"/>
          <w:b/>
          <w:bCs/>
          <w:color w:val="auto"/>
          <w:sz w:val="24"/>
          <w:szCs w:val="24"/>
        </w:rPr>
        <w:t>结算方式和付款条件</w:t>
      </w:r>
      <w:bookmarkEnd w:id="1450"/>
      <w:bookmarkEnd w:id="1451"/>
      <w:bookmarkEnd w:id="1452"/>
      <w:bookmarkEnd w:id="1453"/>
      <w:bookmarkEnd w:id="1454"/>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pPr>
        <w:spacing w:line="360" w:lineRule="exact"/>
        <w:ind w:firstLine="480" w:firstLineChars="200"/>
        <w:rPr>
          <w:rFonts w:ascii="宋体"/>
          <w:color w:val="auto"/>
          <w:sz w:val="24"/>
          <w:szCs w:val="24"/>
        </w:rPr>
      </w:pPr>
      <w:r>
        <w:rPr>
          <w:rFonts w:hint="eastAsia" w:ascii="宋体" w:hAnsi="宋体" w:cs="宋体"/>
          <w:color w:val="auto"/>
          <w:sz w:val="24"/>
          <w:szCs w:val="24"/>
        </w:rPr>
        <w:t>详见</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477" w:name="_Toc279701248"/>
      <w:bookmarkStart w:id="1478" w:name="_Toc487900358"/>
      <w:bookmarkStart w:id="1479" w:name="_Ref467379863"/>
      <w:bookmarkStart w:id="1480" w:name="_Toc259093677"/>
      <w:bookmarkStart w:id="1481" w:name="_Ref467379852"/>
      <w:bookmarkStart w:id="1482" w:name="_Ref467379923"/>
      <w:bookmarkStart w:id="1483" w:name="_Toc14491"/>
      <w:bookmarkStart w:id="1484" w:name="_Toc11615"/>
      <w:bookmarkStart w:id="1485" w:name="_Toc10114"/>
      <w:bookmarkStart w:id="1486" w:name="_Toc29616"/>
      <w:bookmarkStart w:id="1487" w:name="_Toc13023"/>
      <w:bookmarkStart w:id="1488" w:name="_Toc3225"/>
      <w:bookmarkStart w:id="1489" w:name="_Toc31971"/>
      <w:bookmarkStart w:id="1490" w:name="_Toc31305"/>
      <w:bookmarkStart w:id="1491" w:name="_Toc11236"/>
      <w:bookmarkStart w:id="1492" w:name="_Toc9845"/>
      <w:bookmarkStart w:id="1493" w:name="_Toc17136"/>
      <w:bookmarkStart w:id="1494" w:name="_Toc17607"/>
      <w:bookmarkStart w:id="1495" w:name="_Toc6635"/>
      <w:bookmarkStart w:id="1496" w:name="_Toc14432"/>
      <w:bookmarkStart w:id="1497" w:name="_Toc29030"/>
      <w:bookmarkStart w:id="1498" w:name="_Toc17051"/>
      <w:bookmarkStart w:id="1499" w:name="_Toc1200"/>
      <w:bookmarkStart w:id="1500" w:name="_Toc774"/>
      <w:bookmarkStart w:id="1501" w:name="_Toc24083"/>
      <w:bookmarkStart w:id="1502" w:name="_Toc28781"/>
      <w:bookmarkStart w:id="1503" w:name="_Toc16110"/>
      <w:r>
        <w:rPr>
          <w:rFonts w:ascii="宋体" w:hAnsi="宋体" w:cs="宋体"/>
          <w:b/>
          <w:bCs/>
          <w:color w:val="auto"/>
          <w:sz w:val="24"/>
          <w:szCs w:val="24"/>
        </w:rPr>
        <w:t xml:space="preserve">2.7 </w:t>
      </w:r>
      <w:r>
        <w:rPr>
          <w:rFonts w:hint="eastAsia" w:ascii="宋体" w:hAnsi="宋体" w:cs="宋体"/>
          <w:b/>
          <w:bCs/>
          <w:color w:val="auto"/>
          <w:sz w:val="24"/>
          <w:szCs w:val="24"/>
        </w:rPr>
        <w:t>技术资料</w:t>
      </w:r>
      <w:bookmarkEnd w:id="1477"/>
      <w:bookmarkEnd w:id="1478"/>
      <w:bookmarkEnd w:id="1479"/>
      <w:bookmarkEnd w:id="1480"/>
      <w:bookmarkEnd w:id="1481"/>
      <w:bookmarkEnd w:id="1482"/>
      <w:r>
        <w:rPr>
          <w:rFonts w:hint="eastAsia" w:ascii="宋体" w:hAnsi="宋体" w:cs="宋体"/>
          <w:b/>
          <w:bCs/>
          <w:color w:val="auto"/>
          <w:sz w:val="24"/>
          <w:szCs w:val="24"/>
        </w:rPr>
        <w:t>和保密义务</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pPr>
        <w:spacing w:line="360" w:lineRule="exact"/>
        <w:ind w:firstLine="480" w:firstLineChars="200"/>
        <w:rPr>
          <w:rFonts w:ascii="宋体"/>
          <w:color w:val="auto"/>
          <w:sz w:val="24"/>
          <w:szCs w:val="24"/>
        </w:rPr>
      </w:pPr>
      <w:r>
        <w:rPr>
          <w:rFonts w:ascii="宋体" w:hAnsi="宋体" w:cs="宋体"/>
          <w:color w:val="auto"/>
          <w:sz w:val="24"/>
          <w:szCs w:val="24"/>
        </w:rPr>
        <w:t xml:space="preserve">2.7.1 </w:t>
      </w:r>
      <w:r>
        <w:rPr>
          <w:rFonts w:hint="eastAsia" w:ascii="宋体" w:hAnsi="宋体" w:cs="宋体"/>
          <w:color w:val="auto"/>
          <w:sz w:val="24"/>
          <w:szCs w:val="24"/>
        </w:rPr>
        <w:t>乙方有权依据合同约定和项目需要，向甲方了解有关情况，调阅有关资料等，甲方应予积极配合；</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2.7.2 </w:t>
      </w:r>
      <w:r>
        <w:rPr>
          <w:rFonts w:hint="eastAsia" w:ascii="宋体" w:hAnsi="宋体" w:cs="宋体"/>
          <w:color w:val="auto"/>
          <w:sz w:val="24"/>
          <w:szCs w:val="24"/>
        </w:rPr>
        <w:t>乙方有义务妥善保管和保护由甲方提供的前款信息和资料等；</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2.7.3 </w:t>
      </w:r>
      <w:r>
        <w:rPr>
          <w:rFonts w:hint="eastAsia" w:ascii="宋体" w:hAnsi="宋体" w:cs="宋体"/>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2" w:firstLineChars="200"/>
        <w:outlineLvl w:val="0"/>
        <w:rPr>
          <w:rFonts w:ascii="宋体"/>
          <w:b/>
          <w:bCs/>
          <w:color w:val="auto"/>
          <w:sz w:val="24"/>
          <w:szCs w:val="24"/>
        </w:rPr>
      </w:pPr>
      <w:bookmarkStart w:id="1504" w:name="_Toc10326"/>
      <w:bookmarkStart w:id="1505" w:name="_Toc30503"/>
      <w:bookmarkStart w:id="1506" w:name="_Toc30477"/>
      <w:bookmarkStart w:id="1507" w:name="_Toc4779"/>
      <w:bookmarkStart w:id="1508" w:name="_Toc21267"/>
      <w:bookmarkStart w:id="1509" w:name="_Toc27453"/>
      <w:bookmarkStart w:id="1510" w:name="_Toc30167"/>
      <w:bookmarkStart w:id="1511" w:name="_Toc122"/>
      <w:bookmarkStart w:id="1512" w:name="_Toc18231"/>
      <w:bookmarkStart w:id="1513" w:name="_Toc3156"/>
      <w:bookmarkStart w:id="1514" w:name="_Toc11530"/>
      <w:bookmarkStart w:id="1515" w:name="_Toc26425"/>
      <w:bookmarkStart w:id="1516" w:name="_Toc5200"/>
      <w:bookmarkStart w:id="1517" w:name="_Toc8288"/>
      <w:bookmarkStart w:id="1518" w:name="_Toc7860"/>
      <w:bookmarkStart w:id="1519" w:name="_Toc16190"/>
      <w:bookmarkStart w:id="1520" w:name="_Toc23081"/>
      <w:bookmarkStart w:id="1521" w:name="_Toc11328"/>
      <w:bookmarkStart w:id="1522" w:name="_Toc18551"/>
      <w:r>
        <w:rPr>
          <w:rFonts w:ascii="宋体" w:hAnsi="宋体" w:cs="宋体"/>
          <w:b/>
          <w:bCs/>
          <w:color w:val="auto"/>
          <w:sz w:val="24"/>
          <w:szCs w:val="24"/>
        </w:rPr>
        <w:t xml:space="preserve">2.8 </w:t>
      </w:r>
      <w:r>
        <w:rPr>
          <w:rFonts w:hint="eastAsia" w:ascii="宋体" w:hAnsi="宋体" w:cs="宋体"/>
          <w:b/>
          <w:bCs/>
          <w:color w:val="auto"/>
          <w:sz w:val="24"/>
          <w:szCs w:val="24"/>
        </w:rPr>
        <w:t>质量保证</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pPr>
        <w:spacing w:line="360" w:lineRule="exact"/>
        <w:ind w:firstLine="480" w:firstLineChars="200"/>
        <w:rPr>
          <w:rFonts w:ascii="宋体"/>
          <w:color w:val="auto"/>
          <w:sz w:val="24"/>
          <w:szCs w:val="24"/>
        </w:rPr>
      </w:pPr>
      <w:r>
        <w:rPr>
          <w:rFonts w:ascii="宋体" w:hAnsi="宋体" w:cs="宋体"/>
          <w:color w:val="auto"/>
          <w:sz w:val="24"/>
          <w:szCs w:val="24"/>
        </w:rPr>
        <w:t xml:space="preserve">2.8.1 </w:t>
      </w:r>
      <w:r>
        <w:rPr>
          <w:rFonts w:hint="eastAsia" w:ascii="宋体" w:hAnsi="宋体" w:cs="宋体"/>
          <w:color w:val="auto"/>
          <w:sz w:val="24"/>
          <w:szCs w:val="24"/>
        </w:rPr>
        <w:t>乙方应建立和完善履行合同的内部质量保证体系，并提供相关内部规章制度给甲方，以便甲方进行监督检查；</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2.8.2 </w:t>
      </w:r>
      <w:r>
        <w:rPr>
          <w:rFonts w:hint="eastAsia" w:ascii="宋体" w:hAnsi="宋体" w:cs="宋体"/>
          <w:color w:val="auto"/>
          <w:sz w:val="24"/>
          <w:szCs w:val="24"/>
        </w:rPr>
        <w:t>乙方应保证履行合同的人员数量和素质、软件和硬件设备的配置、场地、环境和设施等满足全面履行合同的要求，并应接受甲方的监督检查。</w:t>
      </w:r>
    </w:p>
    <w:p>
      <w:pPr>
        <w:spacing w:line="360" w:lineRule="exact"/>
        <w:ind w:firstLine="482" w:firstLineChars="200"/>
        <w:outlineLvl w:val="0"/>
        <w:rPr>
          <w:rFonts w:ascii="宋体"/>
          <w:b/>
          <w:bCs/>
          <w:color w:val="auto"/>
          <w:sz w:val="24"/>
          <w:szCs w:val="24"/>
        </w:rPr>
      </w:pPr>
      <w:bookmarkStart w:id="1523" w:name="_Toc801"/>
      <w:bookmarkStart w:id="1524" w:name="_Toc17497"/>
      <w:bookmarkStart w:id="1525" w:name="_Toc26555"/>
      <w:bookmarkStart w:id="1526" w:name="_Toc23172"/>
      <w:bookmarkStart w:id="1527" w:name="_Toc3300"/>
      <w:bookmarkStart w:id="1528" w:name="_Toc28147"/>
      <w:bookmarkStart w:id="1529" w:name="_Toc27234"/>
      <w:bookmarkStart w:id="1530" w:name="_Toc12010"/>
      <w:bookmarkStart w:id="1531" w:name="_Toc22016"/>
      <w:bookmarkStart w:id="1532" w:name="_Toc31920"/>
      <w:bookmarkStart w:id="1533" w:name="_Toc12966"/>
      <w:bookmarkStart w:id="1534" w:name="_Toc812"/>
      <w:bookmarkStart w:id="1535" w:name="_Toc14663"/>
      <w:bookmarkStart w:id="1536" w:name="_Toc27238"/>
      <w:bookmarkStart w:id="1537" w:name="_Toc13812"/>
      <w:bookmarkStart w:id="1538" w:name="_Toc17030"/>
      <w:bookmarkStart w:id="1539" w:name="_Toc14596"/>
      <w:bookmarkStart w:id="1540" w:name="_Toc17244"/>
      <w:bookmarkStart w:id="1541" w:name="_Toc25529"/>
      <w:bookmarkStart w:id="1542" w:name="_Toc259093681"/>
      <w:bookmarkStart w:id="1543" w:name="_Toc279701252"/>
      <w:bookmarkStart w:id="1544" w:name="_Toc487900362"/>
      <w:r>
        <w:rPr>
          <w:rFonts w:ascii="宋体" w:hAnsi="宋体" w:cs="宋体"/>
          <w:b/>
          <w:bCs/>
          <w:color w:val="auto"/>
          <w:sz w:val="24"/>
          <w:szCs w:val="24"/>
        </w:rPr>
        <w:t xml:space="preserve">2.9 </w:t>
      </w:r>
      <w:r>
        <w:rPr>
          <w:rFonts w:hint="eastAsia" w:ascii="宋体" w:hAnsi="宋体" w:cs="宋体"/>
          <w:b/>
          <w:bCs/>
          <w:color w:val="auto"/>
          <w:sz w:val="24"/>
          <w:szCs w:val="24"/>
        </w:rPr>
        <w:t>货物的风险负担</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spacing w:line="360" w:lineRule="exact"/>
        <w:ind w:firstLine="480" w:firstLineChars="200"/>
        <w:rPr>
          <w:rFonts w:ascii="宋体"/>
          <w:b/>
          <w:bCs/>
          <w:color w:val="auto"/>
          <w:sz w:val="24"/>
          <w:szCs w:val="24"/>
        </w:rPr>
      </w:pPr>
      <w:r>
        <w:rPr>
          <w:rFonts w:hint="eastAsia" w:ascii="宋体" w:hAnsi="宋体" w:cs="宋体"/>
          <w:color w:val="auto"/>
          <w:sz w:val="24"/>
          <w:szCs w:val="24"/>
        </w:rPr>
        <w:t>货物或者在途货物或者交付给第一承运人后的货物毁损、灭失的风险负担详见</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w:t>
      </w:r>
    </w:p>
    <w:p>
      <w:pPr>
        <w:spacing w:line="360" w:lineRule="exact"/>
        <w:ind w:firstLine="482" w:firstLineChars="200"/>
        <w:outlineLvl w:val="0"/>
        <w:rPr>
          <w:rFonts w:ascii="宋体"/>
          <w:b/>
          <w:bCs/>
          <w:color w:val="auto"/>
          <w:sz w:val="24"/>
          <w:szCs w:val="24"/>
        </w:rPr>
      </w:pPr>
      <w:bookmarkStart w:id="1545" w:name="_Toc5196"/>
      <w:bookmarkStart w:id="1546" w:name="_Toc26567"/>
      <w:bookmarkStart w:id="1547" w:name="_Toc15465"/>
      <w:bookmarkStart w:id="1548" w:name="_Toc25663"/>
      <w:bookmarkStart w:id="1549" w:name="_Toc7986"/>
      <w:bookmarkStart w:id="1550" w:name="_Toc22674"/>
      <w:bookmarkStart w:id="1551" w:name="_Toc29192"/>
      <w:bookmarkStart w:id="1552" w:name="_Toc15972"/>
      <w:bookmarkStart w:id="1553" w:name="_Toc20457"/>
      <w:bookmarkStart w:id="1554" w:name="_Toc11963"/>
      <w:bookmarkStart w:id="1555" w:name="_Toc19684"/>
      <w:bookmarkStart w:id="1556" w:name="_Toc6602"/>
      <w:bookmarkStart w:id="1557" w:name="_Toc14055"/>
      <w:bookmarkStart w:id="1558" w:name="_Toc14698"/>
      <w:bookmarkStart w:id="1559" w:name="_Toc2"/>
      <w:bookmarkStart w:id="1560" w:name="_Toc20938"/>
      <w:bookmarkStart w:id="1561" w:name="_Toc1299"/>
      <w:bookmarkStart w:id="1562" w:name="_Toc29837"/>
      <w:bookmarkStart w:id="1563" w:name="_Toc16001"/>
      <w:r>
        <w:rPr>
          <w:rFonts w:ascii="宋体" w:hAnsi="宋体" w:cs="宋体"/>
          <w:b/>
          <w:bCs/>
          <w:color w:val="auto"/>
          <w:sz w:val="24"/>
          <w:szCs w:val="24"/>
        </w:rPr>
        <w:t xml:space="preserve">2.10 </w:t>
      </w:r>
      <w:r>
        <w:rPr>
          <w:rFonts w:hint="eastAsia" w:ascii="宋体" w:hAnsi="宋体" w:cs="宋体"/>
          <w:b/>
          <w:bCs/>
          <w:color w:val="auto"/>
          <w:sz w:val="24"/>
          <w:szCs w:val="24"/>
        </w:rPr>
        <w:t>延迟交货</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spacing w:line="360" w:lineRule="exact"/>
        <w:ind w:firstLine="480" w:firstLineChars="200"/>
        <w:rPr>
          <w:rFonts w:ascii="宋体"/>
          <w:color w:val="auto"/>
          <w:sz w:val="24"/>
          <w:szCs w:val="24"/>
        </w:rPr>
      </w:pPr>
      <w:r>
        <w:rPr>
          <w:rFonts w:hint="eastAsia" w:ascii="宋体" w:hAnsi="宋体" w:cs="宋体"/>
          <w:color w:val="auto"/>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2" w:firstLineChars="200"/>
        <w:outlineLvl w:val="0"/>
        <w:rPr>
          <w:rFonts w:ascii="宋体"/>
          <w:b/>
          <w:bCs/>
          <w:color w:val="auto"/>
          <w:sz w:val="24"/>
          <w:szCs w:val="24"/>
        </w:rPr>
      </w:pPr>
      <w:bookmarkStart w:id="1564" w:name="_Toc29075"/>
      <w:bookmarkStart w:id="1565" w:name="_Toc25717"/>
      <w:bookmarkStart w:id="1566" w:name="_Toc14851"/>
      <w:bookmarkStart w:id="1567" w:name="_Toc31403"/>
      <w:bookmarkStart w:id="1568" w:name="_Toc23198"/>
      <w:bookmarkStart w:id="1569" w:name="_Toc8441"/>
      <w:bookmarkStart w:id="1570" w:name="_Toc12175"/>
      <w:bookmarkStart w:id="1571" w:name="_Toc16810"/>
      <w:bookmarkStart w:id="1572" w:name="_Toc507"/>
      <w:bookmarkStart w:id="1573" w:name="_Toc8126"/>
      <w:bookmarkStart w:id="1574" w:name="_Toc7444"/>
      <w:bookmarkStart w:id="1575" w:name="_Toc10956"/>
      <w:bookmarkStart w:id="1576" w:name="_Toc15143"/>
      <w:bookmarkStart w:id="1577" w:name="_Toc4586"/>
      <w:bookmarkStart w:id="1578" w:name="_Toc7502"/>
      <w:bookmarkStart w:id="1579" w:name="_Toc3064"/>
      <w:bookmarkStart w:id="1580" w:name="_Toc16528"/>
      <w:bookmarkStart w:id="1581" w:name="_Toc18704"/>
      <w:bookmarkStart w:id="1582" w:name="_Toc17237"/>
      <w:bookmarkStart w:id="1583" w:name="_Toc279701254"/>
      <w:bookmarkStart w:id="1584" w:name="_Toc487900364"/>
      <w:bookmarkStart w:id="1585" w:name="_Ref467378121"/>
      <w:bookmarkStart w:id="1586" w:name="_Toc259093683"/>
      <w:r>
        <w:rPr>
          <w:rFonts w:ascii="宋体" w:hAnsi="宋体" w:cs="宋体"/>
          <w:b/>
          <w:bCs/>
          <w:color w:val="auto"/>
          <w:sz w:val="24"/>
          <w:szCs w:val="24"/>
        </w:rPr>
        <w:t xml:space="preserve">2.11 </w:t>
      </w:r>
      <w:r>
        <w:rPr>
          <w:rFonts w:hint="eastAsia" w:ascii="宋体" w:hAnsi="宋体" w:cs="宋体"/>
          <w:b/>
          <w:bCs/>
          <w:color w:val="auto"/>
          <w:sz w:val="24"/>
          <w:szCs w:val="24"/>
        </w:rPr>
        <w:t>合同变更</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spacing w:line="360" w:lineRule="exact"/>
        <w:ind w:firstLine="480" w:firstLineChars="200"/>
        <w:rPr>
          <w:rFonts w:ascii="宋体"/>
          <w:color w:val="auto"/>
          <w:sz w:val="24"/>
          <w:szCs w:val="24"/>
        </w:rPr>
      </w:pPr>
      <w:r>
        <w:rPr>
          <w:rFonts w:ascii="宋体" w:hAnsi="宋体" w:cs="宋体"/>
          <w:color w:val="auto"/>
          <w:sz w:val="24"/>
          <w:szCs w:val="24"/>
        </w:rPr>
        <w:t>2.11.1</w:t>
      </w:r>
      <w:r>
        <w:rPr>
          <w:rFonts w:hint="eastAsia" w:ascii="宋体" w:hAnsi="宋体" w:cs="宋体"/>
          <w:color w:val="auto"/>
          <w:sz w:val="24"/>
          <w:szCs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宋体" w:hAnsi="宋体" w:cs="宋体"/>
          <w:color w:val="auto"/>
          <w:sz w:val="24"/>
          <w:szCs w:val="24"/>
        </w:rPr>
        <w:t>10%</w:t>
      </w:r>
      <w:r>
        <w:rPr>
          <w:rFonts w:hint="eastAsia" w:ascii="宋体" w:hAnsi="宋体" w:cs="宋体"/>
          <w:color w:val="auto"/>
          <w:sz w:val="24"/>
          <w:szCs w:val="24"/>
        </w:rPr>
        <w:t>；</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2.11.2 </w:t>
      </w:r>
      <w:r>
        <w:rPr>
          <w:rFonts w:hint="eastAsia" w:ascii="宋体" w:hAnsi="宋体" w:cs="宋体"/>
          <w:color w:val="auto"/>
          <w:sz w:val="24"/>
          <w:szCs w:val="24"/>
        </w:rPr>
        <w:t>合同继续履行将损害国家利益和社会公共利益的，双方当事人应当以书面形式变更合同。有过错的一方应当承担赔偿责任，双方当事人都有过错的，各自承担相应的责任。</w:t>
      </w:r>
      <w:bookmarkStart w:id="1587" w:name="_Toc259093688"/>
      <w:bookmarkStart w:id="1588" w:name="_Toc487900369"/>
      <w:bookmarkStart w:id="1589" w:name="_Toc279701259"/>
    </w:p>
    <w:p>
      <w:pPr>
        <w:spacing w:line="360" w:lineRule="exact"/>
        <w:ind w:firstLine="482" w:firstLineChars="200"/>
        <w:outlineLvl w:val="0"/>
        <w:rPr>
          <w:rFonts w:ascii="宋体"/>
          <w:b/>
          <w:bCs/>
          <w:color w:val="auto"/>
          <w:sz w:val="24"/>
          <w:szCs w:val="24"/>
        </w:rPr>
      </w:pPr>
      <w:bookmarkStart w:id="1590" w:name="_Toc3931"/>
      <w:bookmarkStart w:id="1591" w:name="_Toc11626"/>
      <w:bookmarkStart w:id="1592" w:name="_Toc21753"/>
      <w:bookmarkStart w:id="1593" w:name="_Toc3062"/>
      <w:bookmarkStart w:id="1594" w:name="_Toc22955"/>
      <w:bookmarkStart w:id="1595" w:name="_Toc24511"/>
      <w:bookmarkStart w:id="1596" w:name="_Toc10366"/>
      <w:bookmarkStart w:id="1597" w:name="_Toc2157"/>
      <w:bookmarkStart w:id="1598" w:name="_Toc32581"/>
      <w:bookmarkStart w:id="1599" w:name="_Toc25508"/>
      <w:bookmarkStart w:id="1600" w:name="_Toc8679"/>
      <w:bookmarkStart w:id="1601" w:name="_Toc26224"/>
      <w:bookmarkStart w:id="1602" w:name="_Toc15237"/>
      <w:bookmarkStart w:id="1603" w:name="_Toc26864"/>
      <w:bookmarkStart w:id="1604" w:name="_Toc27772"/>
      <w:bookmarkStart w:id="1605" w:name="_Toc3928"/>
      <w:bookmarkStart w:id="1606" w:name="_Toc10537"/>
      <w:bookmarkStart w:id="1607" w:name="_Toc23079"/>
      <w:bookmarkStart w:id="1608" w:name="_Toc3825"/>
      <w:bookmarkStart w:id="1609" w:name="_Toc19380"/>
      <w:bookmarkStart w:id="1610" w:name="_Toc14895"/>
      <w:r>
        <w:rPr>
          <w:rFonts w:ascii="宋体" w:hAnsi="宋体" w:cs="宋体"/>
          <w:b/>
          <w:bCs/>
          <w:color w:val="auto"/>
          <w:sz w:val="24"/>
          <w:szCs w:val="24"/>
        </w:rPr>
        <w:t xml:space="preserve">2.12 </w:t>
      </w:r>
      <w:r>
        <w:rPr>
          <w:rFonts w:hint="eastAsia" w:ascii="宋体" w:hAnsi="宋体" w:cs="宋体"/>
          <w:b/>
          <w:bCs/>
          <w:color w:val="auto"/>
          <w:sz w:val="24"/>
          <w:szCs w:val="24"/>
        </w:rPr>
        <w:t>合同转让</w:t>
      </w:r>
      <w:bookmarkEnd w:id="1587"/>
      <w:bookmarkEnd w:id="1588"/>
      <w:bookmarkEnd w:id="1589"/>
      <w:r>
        <w:rPr>
          <w:rFonts w:hint="eastAsia" w:ascii="宋体" w:hAnsi="宋体" w:cs="宋体"/>
          <w:b/>
          <w:bCs/>
          <w:color w:val="auto"/>
          <w:sz w:val="24"/>
          <w:szCs w:val="24"/>
        </w:rPr>
        <w:t>和分包</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spacing w:line="360" w:lineRule="exact"/>
        <w:ind w:firstLine="480" w:firstLineChars="200"/>
        <w:rPr>
          <w:rFonts w:ascii="宋体"/>
          <w:color w:val="auto"/>
          <w:sz w:val="24"/>
          <w:szCs w:val="24"/>
        </w:rPr>
      </w:pPr>
      <w:r>
        <w:rPr>
          <w:rFonts w:hint="eastAsia" w:ascii="宋体" w:hAnsi="宋体" w:cs="宋体"/>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2" w:firstLineChars="200"/>
        <w:outlineLvl w:val="0"/>
        <w:rPr>
          <w:rFonts w:ascii="宋体"/>
          <w:b/>
          <w:bCs/>
          <w:color w:val="auto"/>
          <w:sz w:val="24"/>
          <w:szCs w:val="24"/>
        </w:rPr>
      </w:pPr>
      <w:bookmarkStart w:id="1611" w:name="_Toc13566"/>
      <w:bookmarkStart w:id="1612" w:name="_Toc32426"/>
      <w:bookmarkStart w:id="1613" w:name="_Toc8114"/>
      <w:bookmarkStart w:id="1614" w:name="_Toc19750"/>
      <w:bookmarkStart w:id="1615" w:name="_Toc32515"/>
      <w:bookmarkStart w:id="1616" w:name="_Toc3533"/>
      <w:bookmarkStart w:id="1617" w:name="_Toc17498"/>
      <w:bookmarkStart w:id="1618" w:name="_Toc14564"/>
      <w:bookmarkStart w:id="1619" w:name="_Toc15741"/>
      <w:bookmarkStart w:id="1620" w:name="_Toc12165"/>
      <w:bookmarkStart w:id="1621" w:name="_Toc12809"/>
      <w:bookmarkStart w:id="1622" w:name="_Toc5484"/>
      <w:bookmarkStart w:id="1623" w:name="_Toc13557"/>
      <w:bookmarkStart w:id="1624" w:name="_Toc14066"/>
      <w:bookmarkStart w:id="1625" w:name="_Toc14752"/>
      <w:bookmarkStart w:id="1626" w:name="_Toc11104"/>
      <w:bookmarkStart w:id="1627" w:name="_Toc4540"/>
      <w:bookmarkStart w:id="1628" w:name="_Toc24741"/>
      <w:bookmarkStart w:id="1629" w:name="_Toc16508"/>
      <w:bookmarkStart w:id="1630" w:name="_Toc2586"/>
      <w:bookmarkStart w:id="1631" w:name="_Toc16893"/>
      <w:r>
        <w:rPr>
          <w:rFonts w:ascii="宋体" w:hAnsi="宋体" w:cs="宋体"/>
          <w:b/>
          <w:bCs/>
          <w:color w:val="auto"/>
          <w:sz w:val="24"/>
          <w:szCs w:val="24"/>
        </w:rPr>
        <w:t xml:space="preserve">2.13 </w:t>
      </w:r>
      <w:r>
        <w:rPr>
          <w:rFonts w:hint="eastAsia" w:ascii="宋体" w:hAnsi="宋体" w:cs="宋体"/>
          <w:b/>
          <w:bCs/>
          <w:color w:val="auto"/>
          <w:sz w:val="24"/>
          <w:szCs w:val="24"/>
        </w:rPr>
        <w:t>不可抗力</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pPr>
        <w:spacing w:line="360" w:lineRule="exact"/>
        <w:ind w:firstLine="480" w:firstLineChars="200"/>
        <w:rPr>
          <w:rFonts w:ascii="宋体"/>
          <w:color w:val="auto"/>
          <w:sz w:val="24"/>
          <w:szCs w:val="24"/>
        </w:rPr>
      </w:pPr>
      <w:r>
        <w:rPr>
          <w:rFonts w:ascii="宋体" w:hAnsi="宋体" w:cs="宋体"/>
          <w:color w:val="auto"/>
          <w:sz w:val="24"/>
          <w:szCs w:val="24"/>
        </w:rPr>
        <w:t>2.13.1</w:t>
      </w:r>
      <w:r>
        <w:rPr>
          <w:rFonts w:hint="eastAsia" w:ascii="宋体" w:hAnsi="宋体" w:cs="宋体"/>
          <w:color w:val="auto"/>
          <w:sz w:val="24"/>
          <w:szCs w:val="24"/>
        </w:rPr>
        <w:t>如果任何一方遭遇法律规定的不可抗力，致使合同履行受阻时，履行合同的期限应予延长，延长的期限应相当于不可抗力所影响的时间；</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2.13.2 </w:t>
      </w:r>
      <w:r>
        <w:rPr>
          <w:rFonts w:hint="eastAsia" w:ascii="宋体" w:hAnsi="宋体" w:cs="宋体"/>
          <w:color w:val="auto"/>
          <w:sz w:val="24"/>
          <w:szCs w:val="24"/>
        </w:rPr>
        <w:t>因不可抗力致使不能实现合同目的的，当事人可以解除合同；</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2.13.3 </w:t>
      </w:r>
      <w:r>
        <w:rPr>
          <w:rFonts w:hint="eastAsia" w:ascii="宋体" w:hAnsi="宋体" w:cs="宋体"/>
          <w:color w:val="auto"/>
          <w:sz w:val="24"/>
          <w:szCs w:val="24"/>
        </w:rPr>
        <w:t>因不可抗力致使合同有变更必要的，双方当事人应在</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约定时间内以书面形式变更合同；</w:t>
      </w:r>
    </w:p>
    <w:p>
      <w:pPr>
        <w:spacing w:line="360" w:lineRule="exact"/>
        <w:ind w:firstLine="480" w:firstLineChars="200"/>
        <w:rPr>
          <w:rFonts w:ascii="宋体"/>
          <w:color w:val="auto"/>
          <w:sz w:val="24"/>
          <w:szCs w:val="24"/>
        </w:rPr>
      </w:pPr>
      <w:r>
        <w:rPr>
          <w:rFonts w:ascii="宋体" w:hAnsi="宋体" w:cs="宋体"/>
          <w:color w:val="auto"/>
          <w:sz w:val="24"/>
          <w:szCs w:val="24"/>
        </w:rPr>
        <w:t>2.13.4</w:t>
      </w:r>
      <w:r>
        <w:rPr>
          <w:rFonts w:hint="eastAsia" w:ascii="宋体" w:hAnsi="宋体" w:cs="宋体"/>
          <w:color w:val="auto"/>
          <w:sz w:val="24"/>
          <w:szCs w:val="24"/>
        </w:rPr>
        <w:t>受不可抗力影响的一方在不可抗力发生后，应在</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约定时间内以书面形式通知对方当事人，并在</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约定时间内，将有关部门出具的证明文件送达对方当事人。</w:t>
      </w:r>
    </w:p>
    <w:p>
      <w:pPr>
        <w:spacing w:line="360" w:lineRule="exact"/>
        <w:ind w:firstLine="482" w:firstLineChars="200"/>
        <w:outlineLvl w:val="0"/>
        <w:rPr>
          <w:rFonts w:ascii="宋体"/>
          <w:b/>
          <w:bCs/>
          <w:color w:val="auto"/>
          <w:sz w:val="24"/>
          <w:szCs w:val="24"/>
        </w:rPr>
      </w:pPr>
      <w:bookmarkStart w:id="1632" w:name="_Toc259093684"/>
      <w:bookmarkStart w:id="1633" w:name="_Toc1584"/>
      <w:bookmarkStart w:id="1634" w:name="_Toc6676"/>
      <w:bookmarkStart w:id="1635" w:name="_Toc6288"/>
      <w:bookmarkStart w:id="1636" w:name="_Toc13910"/>
      <w:bookmarkStart w:id="1637" w:name="_Toc11423"/>
      <w:bookmarkStart w:id="1638" w:name="_Toc26085"/>
      <w:bookmarkStart w:id="1639" w:name="_Toc6047"/>
      <w:bookmarkStart w:id="1640" w:name="_Toc4006"/>
      <w:bookmarkStart w:id="1641" w:name="_Toc28117"/>
      <w:bookmarkStart w:id="1642" w:name="_Toc30676"/>
      <w:bookmarkStart w:id="1643" w:name="_Toc10528"/>
      <w:bookmarkStart w:id="1644" w:name="_Toc25124"/>
      <w:bookmarkStart w:id="1645" w:name="_Toc689"/>
      <w:bookmarkStart w:id="1646" w:name="_Toc5884"/>
      <w:bookmarkStart w:id="1647" w:name="_Toc7145"/>
      <w:bookmarkStart w:id="1648" w:name="_Toc6969"/>
      <w:bookmarkStart w:id="1649" w:name="_Toc487900365"/>
      <w:bookmarkStart w:id="1650" w:name="_Toc19677"/>
      <w:bookmarkStart w:id="1651" w:name="_Toc31597"/>
      <w:bookmarkStart w:id="1652" w:name="_Toc32764"/>
      <w:bookmarkStart w:id="1653" w:name="_Toc16229"/>
      <w:bookmarkStart w:id="1654" w:name="_Toc11876"/>
      <w:bookmarkStart w:id="1655" w:name="_Toc279701255"/>
      <w:r>
        <w:rPr>
          <w:rFonts w:ascii="宋体" w:hAnsi="宋体" w:cs="宋体"/>
          <w:b/>
          <w:bCs/>
          <w:color w:val="auto"/>
          <w:sz w:val="24"/>
          <w:szCs w:val="24"/>
        </w:rPr>
        <w:t xml:space="preserve">2.14 </w:t>
      </w:r>
      <w:r>
        <w:rPr>
          <w:rFonts w:hint="eastAsia" w:ascii="宋体" w:hAnsi="宋体" w:cs="宋体"/>
          <w:b/>
          <w:bCs/>
          <w:color w:val="auto"/>
          <w:sz w:val="24"/>
          <w:szCs w:val="24"/>
        </w:rPr>
        <w:t>税费</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spacing w:line="360" w:lineRule="exact"/>
        <w:ind w:firstLine="480" w:firstLineChars="200"/>
        <w:rPr>
          <w:rFonts w:ascii="宋体"/>
          <w:color w:val="auto"/>
          <w:sz w:val="24"/>
          <w:szCs w:val="24"/>
        </w:rPr>
      </w:pPr>
      <w:r>
        <w:rPr>
          <w:rFonts w:hint="eastAsia" w:ascii="宋体" w:hAnsi="宋体" w:cs="宋体"/>
          <w:color w:val="auto"/>
          <w:sz w:val="24"/>
          <w:szCs w:val="24"/>
        </w:rPr>
        <w:t>与合同有关的一切税费，均按照中华人民共和国法律的相关规定。</w:t>
      </w:r>
    </w:p>
    <w:p>
      <w:pPr>
        <w:spacing w:line="360" w:lineRule="exact"/>
        <w:ind w:firstLine="482" w:firstLineChars="200"/>
        <w:outlineLvl w:val="0"/>
        <w:rPr>
          <w:rFonts w:ascii="宋体"/>
          <w:b/>
          <w:bCs/>
          <w:color w:val="auto"/>
          <w:sz w:val="24"/>
          <w:szCs w:val="24"/>
        </w:rPr>
      </w:pPr>
      <w:bookmarkStart w:id="1656" w:name="_Toc8934"/>
      <w:bookmarkStart w:id="1657" w:name="_Toc20594"/>
      <w:bookmarkStart w:id="1658" w:name="_Toc12141"/>
      <w:bookmarkStart w:id="1659" w:name="_Toc7102"/>
      <w:bookmarkStart w:id="1660" w:name="_Toc13626"/>
      <w:bookmarkStart w:id="1661" w:name="_Toc7117"/>
      <w:bookmarkStart w:id="1662" w:name="_Toc8298"/>
      <w:bookmarkStart w:id="1663" w:name="_Toc4812"/>
      <w:bookmarkStart w:id="1664" w:name="_Toc24862"/>
      <w:bookmarkStart w:id="1665" w:name="_Toc29869"/>
      <w:bookmarkStart w:id="1666" w:name="_Toc17523"/>
      <w:bookmarkStart w:id="1667" w:name="_Toc21290"/>
      <w:bookmarkStart w:id="1668" w:name="_Toc11308"/>
      <w:bookmarkStart w:id="1669" w:name="_Toc25260"/>
      <w:bookmarkStart w:id="1670" w:name="_Toc279701258"/>
      <w:bookmarkStart w:id="1671" w:name="_Toc487900368"/>
      <w:bookmarkStart w:id="1672" w:name="_Toc15527"/>
      <w:bookmarkStart w:id="1673" w:name="_Toc14403"/>
      <w:bookmarkStart w:id="1674" w:name="_Toc16959"/>
      <w:bookmarkStart w:id="1675" w:name="_Toc515"/>
      <w:bookmarkStart w:id="1676" w:name="_Toc259093687"/>
      <w:bookmarkStart w:id="1677" w:name="_Toc22239"/>
      <w:bookmarkStart w:id="1678" w:name="_Toc23266"/>
      <w:bookmarkStart w:id="1679" w:name="_Toc29993"/>
      <w:r>
        <w:rPr>
          <w:rFonts w:ascii="宋体" w:hAnsi="宋体" w:cs="宋体"/>
          <w:b/>
          <w:bCs/>
          <w:color w:val="auto"/>
          <w:sz w:val="24"/>
          <w:szCs w:val="24"/>
        </w:rPr>
        <w:t xml:space="preserve">2.15 </w:t>
      </w:r>
      <w:r>
        <w:rPr>
          <w:rFonts w:hint="eastAsia" w:ascii="宋体" w:hAnsi="宋体" w:cs="宋体"/>
          <w:b/>
          <w:bCs/>
          <w:color w:val="auto"/>
          <w:sz w:val="24"/>
          <w:szCs w:val="24"/>
        </w:rPr>
        <w:t>乙方破产</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pPr>
        <w:spacing w:line="360" w:lineRule="exact"/>
        <w:ind w:firstLine="480" w:firstLineChars="200"/>
        <w:rPr>
          <w:rFonts w:ascii="宋体"/>
          <w:color w:val="auto"/>
          <w:sz w:val="24"/>
          <w:szCs w:val="24"/>
        </w:rPr>
      </w:pPr>
      <w:r>
        <w:rPr>
          <w:rFonts w:hint="eastAsia" w:ascii="宋体" w:hAnsi="宋体" w:cs="宋体"/>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2" w:firstLineChars="200"/>
        <w:outlineLvl w:val="0"/>
        <w:rPr>
          <w:rFonts w:ascii="宋体"/>
          <w:b/>
          <w:bCs/>
          <w:color w:val="auto"/>
          <w:sz w:val="24"/>
          <w:szCs w:val="24"/>
        </w:rPr>
      </w:pPr>
      <w:bookmarkStart w:id="1680" w:name="_Toc29333"/>
      <w:bookmarkStart w:id="1681" w:name="_Toc25273"/>
      <w:bookmarkStart w:id="1682" w:name="_Toc12606"/>
      <w:bookmarkStart w:id="1683" w:name="_Toc32508"/>
      <w:bookmarkStart w:id="1684" w:name="_Toc24066"/>
      <w:bookmarkStart w:id="1685" w:name="_Toc15605"/>
      <w:bookmarkStart w:id="1686" w:name="_Toc15445"/>
      <w:bookmarkStart w:id="1687" w:name="_Toc31639"/>
      <w:bookmarkStart w:id="1688" w:name="_Toc29764"/>
      <w:bookmarkStart w:id="1689" w:name="_Toc1303"/>
      <w:bookmarkStart w:id="1690" w:name="_Toc24976"/>
      <w:bookmarkStart w:id="1691" w:name="_Toc26255"/>
      <w:bookmarkStart w:id="1692" w:name="_Toc24867"/>
      <w:bookmarkStart w:id="1693" w:name="_Toc818"/>
      <w:bookmarkStart w:id="1694" w:name="_Toc9318"/>
      <w:bookmarkStart w:id="1695" w:name="_Toc27106"/>
      <w:bookmarkStart w:id="1696" w:name="_Toc4013"/>
      <w:bookmarkStart w:id="1697" w:name="_Toc1942"/>
      <w:bookmarkStart w:id="1698" w:name="_Toc4227"/>
      <w:bookmarkStart w:id="1699" w:name="_Toc6134"/>
      <w:bookmarkStart w:id="1700" w:name="_Toc15387"/>
      <w:r>
        <w:rPr>
          <w:rFonts w:ascii="宋体" w:hAnsi="宋体" w:cs="宋体"/>
          <w:b/>
          <w:bCs/>
          <w:color w:val="auto"/>
          <w:sz w:val="24"/>
          <w:szCs w:val="24"/>
        </w:rPr>
        <w:t xml:space="preserve">2.16 </w:t>
      </w:r>
      <w:r>
        <w:rPr>
          <w:rFonts w:hint="eastAsia" w:ascii="宋体" w:hAnsi="宋体" w:cs="宋体"/>
          <w:b/>
          <w:bCs/>
          <w:color w:val="auto"/>
          <w:sz w:val="24"/>
          <w:szCs w:val="24"/>
        </w:rPr>
        <w:t>合同中止、终止</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pPr>
        <w:spacing w:line="360" w:lineRule="exact"/>
        <w:ind w:firstLine="480" w:firstLineChars="200"/>
        <w:rPr>
          <w:rFonts w:ascii="宋体"/>
          <w:color w:val="auto"/>
          <w:sz w:val="24"/>
          <w:szCs w:val="24"/>
        </w:rPr>
      </w:pPr>
      <w:r>
        <w:rPr>
          <w:rFonts w:ascii="宋体" w:hAnsi="宋体" w:cs="宋体"/>
          <w:color w:val="auto"/>
          <w:sz w:val="24"/>
          <w:szCs w:val="24"/>
        </w:rPr>
        <w:t xml:space="preserve">2.16.1 </w:t>
      </w:r>
      <w:r>
        <w:rPr>
          <w:rFonts w:hint="eastAsia" w:ascii="宋体" w:hAnsi="宋体" w:cs="宋体"/>
          <w:color w:val="auto"/>
          <w:sz w:val="24"/>
          <w:szCs w:val="24"/>
        </w:rPr>
        <w:t>双方当事人不得擅自中止或者终止合同；</w:t>
      </w:r>
    </w:p>
    <w:p>
      <w:pPr>
        <w:spacing w:line="360" w:lineRule="exact"/>
        <w:ind w:firstLine="480" w:firstLineChars="200"/>
        <w:rPr>
          <w:rFonts w:ascii="宋体"/>
          <w:color w:val="auto"/>
          <w:sz w:val="24"/>
          <w:szCs w:val="24"/>
        </w:rPr>
      </w:pPr>
      <w:r>
        <w:rPr>
          <w:rFonts w:ascii="宋体" w:hAnsi="宋体" w:cs="宋体"/>
          <w:color w:val="auto"/>
          <w:sz w:val="24"/>
          <w:szCs w:val="24"/>
        </w:rPr>
        <w:t>2.16.2</w:t>
      </w:r>
      <w:r>
        <w:rPr>
          <w:rFonts w:hint="eastAsia" w:ascii="宋体" w:hAnsi="宋体" w:cs="宋体"/>
          <w:color w:val="auto"/>
          <w:sz w:val="24"/>
          <w:szCs w:val="24"/>
        </w:rPr>
        <w:t>合同继续履行将损害国家利益和社会公共利益的，双方当事人应当中止或者终止合同。有过错的一方应当承担赔偿责任，双方当事人都有过错的，各自承担相应的责任。</w:t>
      </w:r>
    </w:p>
    <w:p>
      <w:pPr>
        <w:spacing w:line="360" w:lineRule="exact"/>
        <w:ind w:firstLine="482" w:firstLineChars="200"/>
        <w:outlineLvl w:val="0"/>
        <w:rPr>
          <w:rFonts w:ascii="宋体"/>
          <w:b/>
          <w:bCs/>
          <w:color w:val="auto"/>
          <w:sz w:val="24"/>
          <w:szCs w:val="24"/>
        </w:rPr>
      </w:pPr>
      <w:bookmarkStart w:id="1701" w:name="_Toc21636"/>
      <w:bookmarkStart w:id="1702" w:name="_Toc25710"/>
      <w:bookmarkStart w:id="1703" w:name="_Toc30476"/>
      <w:bookmarkStart w:id="1704" w:name="_Toc25358"/>
      <w:bookmarkStart w:id="1705" w:name="_Toc28047"/>
      <w:bookmarkStart w:id="1706" w:name="_Toc4111"/>
      <w:bookmarkStart w:id="1707" w:name="_Toc28303"/>
      <w:bookmarkStart w:id="1708" w:name="_Toc13150"/>
      <w:bookmarkStart w:id="1709" w:name="_Toc6596"/>
      <w:bookmarkStart w:id="1710" w:name="_Toc30133"/>
      <w:bookmarkStart w:id="1711" w:name="_Toc25230"/>
      <w:bookmarkStart w:id="1712" w:name="_Toc20145"/>
      <w:bookmarkStart w:id="1713" w:name="_Toc14890"/>
      <w:bookmarkStart w:id="1714" w:name="_Toc14563"/>
      <w:bookmarkStart w:id="1715" w:name="_Toc26299"/>
      <w:bookmarkStart w:id="1716" w:name="_Toc19755"/>
      <w:bookmarkStart w:id="1717" w:name="_Toc24731"/>
      <w:bookmarkStart w:id="1718" w:name="_Toc30958"/>
      <w:bookmarkStart w:id="1719" w:name="_Toc13848"/>
      <w:bookmarkStart w:id="1720" w:name="_Toc11658"/>
      <w:bookmarkStart w:id="1721" w:name="_Toc1125"/>
      <w:r>
        <w:rPr>
          <w:rFonts w:ascii="宋体" w:hAnsi="宋体" w:cs="宋体"/>
          <w:b/>
          <w:bCs/>
          <w:color w:val="auto"/>
          <w:sz w:val="24"/>
          <w:szCs w:val="24"/>
        </w:rPr>
        <w:t xml:space="preserve">2.17 </w:t>
      </w:r>
      <w:r>
        <w:rPr>
          <w:rFonts w:hint="eastAsia" w:ascii="宋体" w:hAnsi="宋体" w:cs="宋体"/>
          <w:b/>
          <w:bCs/>
          <w:color w:val="auto"/>
          <w:sz w:val="24"/>
          <w:szCs w:val="24"/>
        </w:rPr>
        <w:t>检验和验收</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tabs>
          <w:tab w:val="left" w:pos="360"/>
          <w:tab w:val="left" w:pos="540"/>
          <w:tab w:val="left" w:pos="1080"/>
        </w:tabs>
        <w:spacing w:line="360" w:lineRule="exact"/>
        <w:ind w:firstLine="480" w:firstLineChars="200"/>
        <w:rPr>
          <w:rFonts w:ascii="宋体"/>
          <w:color w:val="auto"/>
          <w:sz w:val="24"/>
          <w:szCs w:val="24"/>
        </w:rPr>
      </w:pPr>
      <w:r>
        <w:rPr>
          <w:rFonts w:ascii="宋体" w:hAnsi="宋体" w:cs="宋体"/>
          <w:color w:val="auto"/>
          <w:sz w:val="24"/>
          <w:szCs w:val="24"/>
        </w:rPr>
        <w:t>2.17.1</w:t>
      </w:r>
      <w:r>
        <w:rPr>
          <w:rFonts w:hint="eastAsia" w:ascii="宋体" w:hAnsi="宋体" w:cs="宋体"/>
          <w:color w:val="auto"/>
          <w:sz w:val="24"/>
          <w:szCs w:val="24"/>
        </w:rPr>
        <w:t>货物交付前，乙方应对货物的质量、数量等方面进行详细、全面的检验，并向甲方出具证明货物符合合同约定的文件；货物交付时，乙方在</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约定时间内组织验收，并可依法邀请相关方参加，验收应出具验收书。</w:t>
      </w:r>
    </w:p>
    <w:p>
      <w:pPr>
        <w:tabs>
          <w:tab w:val="left" w:pos="360"/>
          <w:tab w:val="left" w:pos="540"/>
          <w:tab w:val="left" w:pos="1080"/>
        </w:tabs>
        <w:spacing w:line="360" w:lineRule="exact"/>
        <w:ind w:firstLine="480" w:firstLineChars="200"/>
        <w:rPr>
          <w:rFonts w:ascii="宋体"/>
          <w:color w:val="auto"/>
          <w:sz w:val="24"/>
          <w:szCs w:val="24"/>
        </w:rPr>
      </w:pPr>
      <w:r>
        <w:rPr>
          <w:rFonts w:ascii="宋体" w:hAnsi="宋体" w:cs="宋体"/>
          <w:color w:val="auto"/>
          <w:sz w:val="24"/>
          <w:szCs w:val="24"/>
        </w:rPr>
        <w:t>2.17.2</w:t>
      </w:r>
      <w:r>
        <w:rPr>
          <w:rFonts w:hint="eastAsia" w:ascii="宋体" w:hAnsi="宋体" w:cs="宋体"/>
          <w:color w:val="auto"/>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ascii="宋体"/>
          <w:color w:val="auto"/>
          <w:sz w:val="24"/>
          <w:szCs w:val="24"/>
        </w:rPr>
      </w:pPr>
      <w:r>
        <w:rPr>
          <w:rFonts w:ascii="宋体" w:hAnsi="宋体" w:cs="宋体"/>
          <w:color w:val="auto"/>
          <w:sz w:val="24"/>
          <w:szCs w:val="24"/>
        </w:rPr>
        <w:t xml:space="preserve">2.17.3 </w:t>
      </w:r>
      <w:r>
        <w:rPr>
          <w:rFonts w:hint="eastAsia" w:ascii="宋体" w:hAnsi="宋体" w:cs="宋体"/>
          <w:color w:val="auto"/>
          <w:sz w:val="24"/>
          <w:szCs w:val="24"/>
        </w:rPr>
        <w:t>检验和验收标准、程序等具体内容以及前述验收书的效力详见</w:t>
      </w:r>
      <w:r>
        <w:rPr>
          <w:rFonts w:hint="eastAsia" w:ascii="宋体" w:hAnsi="宋体" w:cs="宋体"/>
          <w:b/>
          <w:bCs/>
          <w:i/>
          <w:iCs/>
          <w:color w:val="auto"/>
          <w:sz w:val="24"/>
          <w:szCs w:val="24"/>
          <w:u w:val="single"/>
        </w:rPr>
        <w:t>合同专用条款</w:t>
      </w:r>
      <w:r>
        <w:rPr>
          <w:rFonts w:hint="eastAsia" w:ascii="宋体" w:hAnsi="宋体" w:cs="宋体"/>
          <w:i/>
          <w:iCs/>
          <w:color w:val="auto"/>
          <w:sz w:val="24"/>
          <w:szCs w:val="24"/>
        </w:rPr>
        <w:t>。</w:t>
      </w:r>
    </w:p>
    <w:bookmarkEnd w:id="1583"/>
    <w:bookmarkEnd w:id="1584"/>
    <w:bookmarkEnd w:id="1585"/>
    <w:bookmarkEnd w:id="1586"/>
    <w:p>
      <w:pPr>
        <w:spacing w:line="360" w:lineRule="exact"/>
        <w:ind w:firstLine="482" w:firstLineChars="200"/>
        <w:outlineLvl w:val="0"/>
        <w:rPr>
          <w:rFonts w:ascii="宋体"/>
          <w:b/>
          <w:bCs/>
          <w:color w:val="auto"/>
          <w:sz w:val="24"/>
          <w:szCs w:val="24"/>
        </w:rPr>
      </w:pPr>
      <w:bookmarkStart w:id="1722" w:name="_Toc487900371"/>
      <w:bookmarkStart w:id="1723" w:name="_Toc279701261"/>
      <w:bookmarkStart w:id="1724" w:name="_Toc259093690"/>
      <w:bookmarkStart w:id="1725" w:name="_Toc10130"/>
      <w:bookmarkStart w:id="1726" w:name="_Toc26823"/>
      <w:bookmarkStart w:id="1727" w:name="_Toc15037"/>
      <w:bookmarkStart w:id="1728" w:name="_Toc22021"/>
      <w:bookmarkStart w:id="1729" w:name="_Toc17270"/>
      <w:bookmarkStart w:id="1730" w:name="_Toc26892"/>
      <w:bookmarkStart w:id="1731" w:name="_Toc19604"/>
      <w:bookmarkStart w:id="1732" w:name="_Toc27621"/>
      <w:bookmarkStart w:id="1733" w:name="_Toc9266"/>
      <w:bookmarkStart w:id="1734" w:name="_Toc725"/>
      <w:bookmarkStart w:id="1735" w:name="_Toc13220"/>
      <w:bookmarkStart w:id="1736" w:name="_Toc25182"/>
      <w:bookmarkStart w:id="1737" w:name="_Toc4983"/>
      <w:bookmarkStart w:id="1738" w:name="_Toc8096"/>
      <w:bookmarkStart w:id="1739" w:name="_Toc7641"/>
      <w:bookmarkStart w:id="1740" w:name="_Toc14242"/>
      <w:bookmarkStart w:id="1741" w:name="_Toc31945"/>
      <w:bookmarkStart w:id="1742" w:name="_Toc12493"/>
      <w:bookmarkStart w:id="1743" w:name="_Toc11284"/>
      <w:bookmarkStart w:id="1744" w:name="_Toc17313"/>
      <w:bookmarkStart w:id="1745" w:name="_Toc7660"/>
      <w:r>
        <w:rPr>
          <w:rFonts w:ascii="宋体" w:hAnsi="宋体" w:cs="宋体"/>
          <w:b/>
          <w:bCs/>
          <w:color w:val="auto"/>
          <w:sz w:val="24"/>
          <w:szCs w:val="24"/>
        </w:rPr>
        <w:t xml:space="preserve">2.18 </w:t>
      </w:r>
      <w:r>
        <w:rPr>
          <w:rFonts w:hint="eastAsia" w:ascii="宋体" w:hAnsi="宋体" w:cs="宋体"/>
          <w:b/>
          <w:bCs/>
          <w:color w:val="auto"/>
          <w:sz w:val="24"/>
          <w:szCs w:val="24"/>
        </w:rPr>
        <w:t>通知</w:t>
      </w:r>
      <w:bookmarkEnd w:id="1722"/>
      <w:bookmarkEnd w:id="1723"/>
      <w:bookmarkEnd w:id="1724"/>
      <w:r>
        <w:rPr>
          <w:rFonts w:hint="eastAsia" w:ascii="宋体" w:hAnsi="宋体" w:cs="宋体"/>
          <w:b/>
          <w:bCs/>
          <w:color w:val="auto"/>
          <w:sz w:val="24"/>
          <w:szCs w:val="24"/>
        </w:rPr>
        <w:t>和送达</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pPr>
        <w:spacing w:line="360" w:lineRule="exact"/>
        <w:ind w:firstLine="480" w:firstLineChars="200"/>
        <w:rPr>
          <w:rFonts w:ascii="宋体"/>
          <w:color w:val="auto"/>
          <w:sz w:val="24"/>
          <w:szCs w:val="24"/>
        </w:rPr>
      </w:pPr>
      <w:bookmarkStart w:id="1746" w:name="_Toc3135"/>
      <w:bookmarkStart w:id="1747" w:name="_Toc6698"/>
      <w:bookmarkStart w:id="1748" w:name="_Toc487900372"/>
      <w:bookmarkStart w:id="1749" w:name="_Toc279701262"/>
      <w:bookmarkStart w:id="1750" w:name="_Toc259093691"/>
      <w:r>
        <w:rPr>
          <w:rFonts w:ascii="宋体" w:hAnsi="宋体" w:cs="宋体"/>
          <w:color w:val="auto"/>
          <w:sz w:val="24"/>
          <w:szCs w:val="24"/>
        </w:rPr>
        <w:t xml:space="preserve">2.18.1 </w:t>
      </w:r>
      <w:r>
        <w:rPr>
          <w:rFonts w:hint="eastAsia" w:ascii="宋体" w:hAnsi="宋体" w:cs="宋体"/>
          <w:color w:val="auto"/>
          <w:sz w:val="24"/>
          <w:szCs w:val="24"/>
        </w:rPr>
        <w:t>任何一方因履行合同而以合同第一部分尾部所列明的</w:t>
      </w:r>
      <w:r>
        <w:rPr>
          <w:rFonts w:ascii="宋体" w:hAnsi="宋体" w:cs="宋体"/>
          <w:color w:val="auto"/>
          <w:sz w:val="24"/>
          <w:szCs w:val="24"/>
          <w:u w:val="single"/>
        </w:rPr>
        <w:t xml:space="preserve">          </w:t>
      </w:r>
      <w:r>
        <w:rPr>
          <w:rFonts w:hint="eastAsia" w:ascii="宋体" w:hAnsi="宋体" w:cs="宋体"/>
          <w:color w:val="auto"/>
          <w:sz w:val="24"/>
          <w:szCs w:val="24"/>
        </w:rPr>
        <w:t>发出的所有通知、文件、材料，均视为已向对方当事人送达；任何一方变更上述送达方式或者地址的，应于</w:t>
      </w:r>
      <w:r>
        <w:rPr>
          <w:rFonts w:ascii="宋体" w:hAnsi="宋体" w:cs="宋体"/>
          <w:color w:val="auto"/>
          <w:sz w:val="24"/>
          <w:szCs w:val="24"/>
          <w:u w:val="single"/>
        </w:rPr>
        <w:t xml:space="preserve">   </w:t>
      </w:r>
      <w:r>
        <w:rPr>
          <w:rFonts w:hint="eastAsia" w:ascii="宋体" w:hAnsi="宋体" w:cs="宋体"/>
          <w:color w:val="auto"/>
          <w:sz w:val="24"/>
          <w:szCs w:val="24"/>
        </w:rPr>
        <w:t>个工作日内书面通知对方当事人，在对方当事人收到有关变更通知之前，变更前的约定送达方式或者地址仍视为有效。</w:t>
      </w:r>
      <w:bookmarkEnd w:id="1746"/>
      <w:bookmarkEnd w:id="1747"/>
    </w:p>
    <w:p>
      <w:pPr>
        <w:spacing w:line="360" w:lineRule="exact"/>
        <w:ind w:firstLine="480" w:firstLineChars="200"/>
        <w:rPr>
          <w:rFonts w:ascii="宋体"/>
          <w:color w:val="auto"/>
          <w:sz w:val="24"/>
          <w:szCs w:val="24"/>
        </w:rPr>
      </w:pPr>
      <w:bookmarkStart w:id="1751" w:name="_Toc23294"/>
      <w:bookmarkStart w:id="1752" w:name="_Toc23128"/>
      <w:r>
        <w:rPr>
          <w:rFonts w:ascii="宋体" w:hAnsi="宋体" w:cs="宋体"/>
          <w:color w:val="auto"/>
          <w:sz w:val="24"/>
          <w:szCs w:val="24"/>
        </w:rPr>
        <w:t>2.18.2</w:t>
      </w:r>
      <w:r>
        <w:rPr>
          <w:rFonts w:hint="eastAsia" w:ascii="宋体" w:hAnsi="宋体" w:cs="宋体"/>
          <w:color w:val="auto"/>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751"/>
      <w:bookmarkEnd w:id="1752"/>
    </w:p>
    <w:p>
      <w:pPr>
        <w:spacing w:line="360" w:lineRule="exact"/>
        <w:ind w:firstLine="482" w:firstLineChars="200"/>
        <w:outlineLvl w:val="0"/>
        <w:rPr>
          <w:rFonts w:ascii="宋体"/>
          <w:b/>
          <w:bCs/>
          <w:color w:val="auto"/>
          <w:sz w:val="24"/>
          <w:szCs w:val="24"/>
        </w:rPr>
      </w:pPr>
      <w:bookmarkStart w:id="1753" w:name="_Toc30497"/>
      <w:bookmarkStart w:id="1754" w:name="_Toc2623"/>
      <w:bookmarkStart w:id="1755" w:name="_Toc4355"/>
      <w:bookmarkStart w:id="1756" w:name="_Toc4241"/>
      <w:bookmarkStart w:id="1757" w:name="_Toc20309"/>
      <w:bookmarkStart w:id="1758" w:name="_Toc14810"/>
      <w:bookmarkStart w:id="1759" w:name="_Toc18621"/>
      <w:bookmarkStart w:id="1760" w:name="_Toc31861"/>
      <w:bookmarkStart w:id="1761" w:name="_Toc30599"/>
      <w:bookmarkStart w:id="1762" w:name="_Toc15273"/>
      <w:bookmarkStart w:id="1763" w:name="_Toc4747"/>
      <w:bookmarkStart w:id="1764" w:name="_Toc20837"/>
      <w:bookmarkStart w:id="1765" w:name="_Toc11892"/>
      <w:bookmarkStart w:id="1766" w:name="_Toc27038"/>
      <w:bookmarkStart w:id="1767" w:name="_Toc20914"/>
      <w:bookmarkStart w:id="1768" w:name="_Toc10932"/>
      <w:bookmarkStart w:id="1769" w:name="_Toc21923"/>
      <w:bookmarkStart w:id="1770" w:name="_Toc29312"/>
      <w:bookmarkStart w:id="1771" w:name="_Toc12721"/>
      <w:bookmarkStart w:id="1772" w:name="_Toc18540"/>
      <w:bookmarkStart w:id="1773" w:name="_Toc9371"/>
      <w:r>
        <w:rPr>
          <w:rFonts w:ascii="宋体" w:hAnsi="宋体" w:cs="宋体"/>
          <w:b/>
          <w:bCs/>
          <w:color w:val="auto"/>
          <w:sz w:val="24"/>
          <w:szCs w:val="24"/>
        </w:rPr>
        <w:t xml:space="preserve">2.19 </w:t>
      </w:r>
      <w:r>
        <w:rPr>
          <w:rFonts w:hint="eastAsia" w:ascii="宋体" w:hAnsi="宋体" w:cs="宋体"/>
          <w:b/>
          <w:bCs/>
          <w:color w:val="auto"/>
          <w:sz w:val="24"/>
          <w:szCs w:val="24"/>
        </w:rPr>
        <w:t>计量单位</w:t>
      </w:r>
      <w:bookmarkEnd w:id="1748"/>
      <w:bookmarkEnd w:id="1749"/>
      <w:bookmarkEnd w:id="1750"/>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spacing w:line="360" w:lineRule="exact"/>
        <w:ind w:firstLine="480" w:firstLineChars="200"/>
        <w:rPr>
          <w:rFonts w:ascii="宋体"/>
          <w:color w:val="auto"/>
          <w:sz w:val="24"/>
          <w:szCs w:val="24"/>
        </w:rPr>
      </w:pPr>
      <w:r>
        <w:rPr>
          <w:rFonts w:hint="eastAsia" w:ascii="宋体" w:hAnsi="宋体" w:cs="宋体"/>
          <w:color w:val="auto"/>
          <w:sz w:val="24"/>
          <w:szCs w:val="24"/>
        </w:rPr>
        <w:t>除技术规范中另有规定外</w:t>
      </w:r>
      <w:r>
        <w:rPr>
          <w:rFonts w:ascii="宋体" w:cs="宋体"/>
          <w:color w:val="auto"/>
          <w:sz w:val="24"/>
          <w:szCs w:val="24"/>
        </w:rPr>
        <w:t>,</w:t>
      </w:r>
      <w:r>
        <w:rPr>
          <w:rFonts w:hint="eastAsia" w:ascii="宋体" w:hAnsi="宋体" w:cs="宋体"/>
          <w:color w:val="auto"/>
          <w:sz w:val="24"/>
          <w:szCs w:val="24"/>
        </w:rPr>
        <w:t>合同的计量单位均使用国家法定计量单位。</w:t>
      </w:r>
    </w:p>
    <w:p>
      <w:pPr>
        <w:spacing w:line="360" w:lineRule="exact"/>
        <w:ind w:firstLine="482" w:firstLineChars="200"/>
        <w:outlineLvl w:val="0"/>
        <w:rPr>
          <w:rFonts w:ascii="宋体"/>
          <w:b/>
          <w:bCs/>
          <w:color w:val="auto"/>
          <w:sz w:val="24"/>
          <w:szCs w:val="24"/>
        </w:rPr>
      </w:pPr>
      <w:bookmarkStart w:id="1774" w:name="_Toc28784"/>
      <w:bookmarkStart w:id="1775" w:name="_Toc32583"/>
      <w:bookmarkStart w:id="1776" w:name="_Toc10830"/>
      <w:bookmarkStart w:id="1777" w:name="_Toc279701263"/>
      <w:bookmarkStart w:id="1778" w:name="_Toc15261"/>
      <w:bookmarkStart w:id="1779" w:name="_Toc13041"/>
      <w:bookmarkStart w:id="1780" w:name="_Toc18567"/>
      <w:bookmarkStart w:id="1781" w:name="_Toc487900373"/>
      <w:bookmarkStart w:id="1782" w:name="_Toc16880"/>
      <w:bookmarkStart w:id="1783" w:name="_Toc12773"/>
      <w:bookmarkStart w:id="1784" w:name="_Toc27589"/>
      <w:bookmarkStart w:id="1785" w:name="_Toc19154"/>
      <w:bookmarkStart w:id="1786" w:name="_Toc11130"/>
      <w:bookmarkStart w:id="1787" w:name="_Toc10330"/>
      <w:bookmarkStart w:id="1788" w:name="_Toc259093692"/>
      <w:bookmarkStart w:id="1789" w:name="_Toc13131"/>
      <w:bookmarkStart w:id="1790" w:name="_Toc18634"/>
      <w:bookmarkStart w:id="1791" w:name="_Toc1728"/>
      <w:bookmarkStart w:id="1792" w:name="_Toc15428"/>
      <w:bookmarkStart w:id="1793" w:name="_Toc5796"/>
      <w:bookmarkStart w:id="1794" w:name="_Toc9626"/>
      <w:bookmarkStart w:id="1795" w:name="_Toc17517"/>
      <w:bookmarkStart w:id="1796" w:name="_Toc20624"/>
      <w:bookmarkStart w:id="1797" w:name="_Toc15868"/>
      <w:r>
        <w:rPr>
          <w:rFonts w:ascii="宋体" w:hAnsi="宋体" w:cs="宋体"/>
          <w:b/>
          <w:bCs/>
          <w:color w:val="auto"/>
          <w:sz w:val="24"/>
          <w:szCs w:val="24"/>
        </w:rPr>
        <w:t xml:space="preserve">2.20 </w:t>
      </w:r>
      <w:r>
        <w:rPr>
          <w:rFonts w:hint="eastAsia" w:ascii="宋体" w:hAnsi="宋体" w:cs="宋体"/>
          <w:b/>
          <w:bCs/>
          <w:color w:val="auto"/>
          <w:sz w:val="24"/>
          <w:szCs w:val="24"/>
        </w:rPr>
        <w:t>合同使用的文字和适用的法律</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spacing w:line="360" w:lineRule="exact"/>
        <w:ind w:firstLine="480" w:firstLineChars="200"/>
        <w:rPr>
          <w:rFonts w:ascii="宋体"/>
          <w:color w:val="auto"/>
          <w:sz w:val="24"/>
          <w:szCs w:val="24"/>
        </w:rPr>
      </w:pPr>
      <w:r>
        <w:rPr>
          <w:rFonts w:ascii="宋体" w:hAnsi="宋体" w:cs="宋体"/>
          <w:color w:val="auto"/>
          <w:sz w:val="24"/>
          <w:szCs w:val="24"/>
        </w:rPr>
        <w:t xml:space="preserve">2.20.1 </w:t>
      </w:r>
      <w:r>
        <w:rPr>
          <w:rFonts w:hint="eastAsia" w:ascii="宋体" w:hAnsi="宋体" w:cs="宋体"/>
          <w:color w:val="auto"/>
          <w:sz w:val="24"/>
          <w:szCs w:val="24"/>
        </w:rPr>
        <w:t>合同使用汉语书就、变更和解释；</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2.20.2 </w:t>
      </w:r>
      <w:r>
        <w:rPr>
          <w:rFonts w:hint="eastAsia" w:ascii="宋体" w:hAnsi="宋体" w:cs="宋体"/>
          <w:color w:val="auto"/>
          <w:sz w:val="24"/>
          <w:szCs w:val="24"/>
        </w:rPr>
        <w:t>合同适用中华人民共和国法律。</w:t>
      </w:r>
    </w:p>
    <w:p>
      <w:pPr>
        <w:spacing w:line="360" w:lineRule="exact"/>
        <w:ind w:firstLine="482" w:firstLineChars="200"/>
        <w:outlineLvl w:val="0"/>
        <w:rPr>
          <w:rFonts w:ascii="宋体"/>
          <w:b/>
          <w:bCs/>
          <w:color w:val="auto"/>
          <w:sz w:val="24"/>
          <w:szCs w:val="24"/>
        </w:rPr>
      </w:pPr>
      <w:bookmarkStart w:id="1798" w:name="_Toc25551"/>
      <w:bookmarkStart w:id="1799" w:name="_Toc5571"/>
      <w:bookmarkStart w:id="1800" w:name="_Toc26372"/>
      <w:bookmarkStart w:id="1801" w:name="_Toc3838"/>
      <w:bookmarkStart w:id="1802" w:name="_Toc1670"/>
      <w:bookmarkStart w:id="1803" w:name="_Toc30675"/>
      <w:bookmarkStart w:id="1804" w:name="_Toc279701264"/>
      <w:bookmarkStart w:id="1805" w:name="_Toc14308"/>
      <w:bookmarkStart w:id="1806" w:name="_Toc32497"/>
      <w:bookmarkStart w:id="1807" w:name="_Toc8602"/>
      <w:bookmarkStart w:id="1808" w:name="_Toc18845"/>
      <w:bookmarkStart w:id="1809" w:name="_Toc12004"/>
      <w:bookmarkStart w:id="1810" w:name="_Toc5000"/>
      <w:bookmarkStart w:id="1811" w:name="_Toc15434"/>
      <w:bookmarkStart w:id="1812" w:name="_Toc3148"/>
      <w:bookmarkStart w:id="1813" w:name="_Toc16673"/>
      <w:bookmarkStart w:id="1814" w:name="_Toc11628"/>
      <w:bookmarkStart w:id="1815" w:name="_Toc14964"/>
      <w:bookmarkStart w:id="1816" w:name="_Toc259093693"/>
      <w:bookmarkStart w:id="1817" w:name="_Toc638"/>
      <w:bookmarkStart w:id="1818" w:name="_Toc30511"/>
      <w:bookmarkStart w:id="1819" w:name="_Toc31790"/>
      <w:bookmarkStart w:id="1820" w:name="_Toc29073"/>
      <w:bookmarkStart w:id="1821" w:name="_Toc487900374"/>
      <w:r>
        <w:rPr>
          <w:rFonts w:ascii="宋体" w:hAnsi="宋体" w:cs="宋体"/>
          <w:b/>
          <w:bCs/>
          <w:color w:val="auto"/>
          <w:sz w:val="24"/>
          <w:szCs w:val="24"/>
        </w:rPr>
        <w:t xml:space="preserve">2.21 </w:t>
      </w:r>
      <w:r>
        <w:rPr>
          <w:rFonts w:hint="eastAsia" w:ascii="宋体" w:hAnsi="宋体" w:cs="宋体"/>
          <w:b/>
          <w:bCs/>
          <w:color w:val="auto"/>
          <w:sz w:val="24"/>
          <w:szCs w:val="24"/>
        </w:rPr>
        <w:t>履约保证金</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pPr>
        <w:spacing w:line="360" w:lineRule="exact"/>
        <w:ind w:firstLine="480" w:firstLineChars="200"/>
        <w:rPr>
          <w:rFonts w:ascii="宋体"/>
          <w:color w:val="auto"/>
          <w:sz w:val="24"/>
          <w:szCs w:val="24"/>
        </w:rPr>
      </w:pPr>
      <w:r>
        <w:rPr>
          <w:rFonts w:ascii="宋体" w:hAnsi="宋体" w:cs="宋体"/>
          <w:color w:val="auto"/>
          <w:sz w:val="24"/>
          <w:szCs w:val="24"/>
        </w:rPr>
        <w:t xml:space="preserve">2.21.1 </w:t>
      </w:r>
      <w:r>
        <w:rPr>
          <w:rFonts w:hint="eastAsia" w:ascii="宋体" w:hAnsi="宋体" w:cs="宋体"/>
          <w:color w:val="auto"/>
          <w:sz w:val="24"/>
          <w:szCs w:val="24"/>
        </w:rPr>
        <w:t>采购文件要求乙方提交履约保证金的，乙方应按</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约定的方式，以支票、汇票、本票或者金融机构、担保机构出具的保函等非现金形式，提交不超过合同价</w:t>
      </w:r>
      <w:r>
        <w:rPr>
          <w:rFonts w:ascii="宋体" w:hAnsi="宋体" w:cs="宋体"/>
          <w:color w:val="auto"/>
          <w:sz w:val="24"/>
          <w:szCs w:val="24"/>
        </w:rPr>
        <w:t>10%</w:t>
      </w:r>
      <w:r>
        <w:rPr>
          <w:rFonts w:hint="eastAsia" w:ascii="宋体" w:hAnsi="宋体" w:cs="宋体"/>
          <w:color w:val="auto"/>
          <w:sz w:val="24"/>
          <w:szCs w:val="24"/>
        </w:rPr>
        <w:t>的履约保证金；</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2.21.2  </w:t>
      </w:r>
      <w:r>
        <w:rPr>
          <w:rFonts w:hint="eastAsia" w:ascii="宋体" w:hAnsi="宋体" w:cs="宋体"/>
          <w:color w:val="auto"/>
          <w:sz w:val="24"/>
          <w:szCs w:val="24"/>
        </w:rPr>
        <w:t>履约保证金在</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约定期间内或者货物质量保证期内不予退还或者应完全有效，前述约定期间届满或者货物质量保证期届满之日起</w:t>
      </w:r>
      <w:r>
        <w:rPr>
          <w:rFonts w:ascii="宋体" w:hAnsi="宋体" w:cs="宋体"/>
          <w:color w:val="auto"/>
          <w:sz w:val="24"/>
          <w:szCs w:val="24"/>
          <w:u w:val="single"/>
        </w:rPr>
        <w:t xml:space="preserve">  </w:t>
      </w:r>
      <w:r>
        <w:rPr>
          <w:rFonts w:hint="eastAsia" w:ascii="宋体" w:hAnsi="宋体" w:cs="宋体"/>
          <w:color w:val="auto"/>
          <w:sz w:val="24"/>
          <w:szCs w:val="24"/>
        </w:rPr>
        <w:t>个工作日内，甲方应将履约保证金退还乙方；</w:t>
      </w:r>
    </w:p>
    <w:p>
      <w:pPr>
        <w:spacing w:line="360" w:lineRule="exact"/>
        <w:ind w:firstLine="480" w:firstLineChars="200"/>
        <w:rPr>
          <w:rFonts w:ascii="宋体"/>
          <w:color w:val="auto"/>
          <w:sz w:val="24"/>
          <w:szCs w:val="24"/>
        </w:rPr>
      </w:pPr>
      <w:r>
        <w:rPr>
          <w:rFonts w:ascii="宋体" w:hAnsi="宋体" w:cs="宋体"/>
          <w:color w:val="auto"/>
          <w:sz w:val="24"/>
          <w:szCs w:val="24"/>
        </w:rPr>
        <w:t xml:space="preserve">2.21.3 </w:t>
      </w:r>
      <w:r>
        <w:rPr>
          <w:rFonts w:hint="eastAsia" w:ascii="宋体" w:hAnsi="宋体" w:cs="宋体"/>
          <w:color w:val="auto"/>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21"/>
    <w:p>
      <w:pPr>
        <w:spacing w:line="360" w:lineRule="exact"/>
        <w:ind w:firstLine="482" w:firstLineChars="200"/>
        <w:outlineLvl w:val="0"/>
        <w:rPr>
          <w:rFonts w:ascii="宋体"/>
          <w:b/>
          <w:bCs/>
          <w:color w:val="auto"/>
          <w:sz w:val="24"/>
          <w:szCs w:val="24"/>
        </w:rPr>
      </w:pPr>
      <w:bookmarkStart w:id="1822" w:name="_Toc22496"/>
      <w:bookmarkStart w:id="1823" w:name="_Toc8495"/>
      <w:bookmarkStart w:id="1824" w:name="_Toc11103"/>
      <w:bookmarkStart w:id="1825" w:name="_Toc12034"/>
      <w:bookmarkStart w:id="1826" w:name="_Toc27563"/>
      <w:bookmarkStart w:id="1827" w:name="_Toc20802"/>
      <w:bookmarkStart w:id="1828" w:name="_Toc32408"/>
      <w:bookmarkStart w:id="1829" w:name="_Toc10801"/>
      <w:bookmarkStart w:id="1830" w:name="_Toc30847"/>
      <w:bookmarkStart w:id="1831" w:name="_Toc14001"/>
      <w:bookmarkStart w:id="1832" w:name="_Toc8867"/>
      <w:bookmarkStart w:id="1833" w:name="_Toc25691"/>
      <w:bookmarkStart w:id="1834" w:name="_Toc24006"/>
      <w:bookmarkStart w:id="1835" w:name="_Toc16431"/>
      <w:bookmarkStart w:id="1836" w:name="_Toc17310"/>
      <w:bookmarkStart w:id="1837" w:name="_Toc30496"/>
      <w:bookmarkStart w:id="1838" w:name="_Toc19890"/>
      <w:bookmarkStart w:id="1839" w:name="_Toc6885"/>
      <w:bookmarkStart w:id="1840" w:name="_Toc16450"/>
      <w:bookmarkStart w:id="1841" w:name="_Toc22821"/>
      <w:bookmarkStart w:id="1842" w:name="_Toc2720"/>
      <w:r>
        <w:rPr>
          <w:rFonts w:ascii="宋体" w:hAnsi="宋体" w:cs="宋体"/>
          <w:b/>
          <w:bCs/>
          <w:color w:val="auto"/>
          <w:sz w:val="24"/>
          <w:szCs w:val="24"/>
        </w:rPr>
        <w:t xml:space="preserve">2.22 </w:t>
      </w:r>
      <w:r>
        <w:rPr>
          <w:rFonts w:hint="eastAsia" w:ascii="宋体" w:hAnsi="宋体" w:cs="宋体"/>
          <w:b/>
          <w:bCs/>
          <w:color w:val="auto"/>
          <w:sz w:val="24"/>
          <w:szCs w:val="24"/>
        </w:rPr>
        <w:t>合同份数</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pPr>
        <w:spacing w:line="360" w:lineRule="exact"/>
        <w:ind w:firstLine="480" w:firstLineChars="200"/>
        <w:rPr>
          <w:rFonts w:ascii="宋体"/>
          <w:color w:val="auto"/>
          <w:sz w:val="24"/>
          <w:szCs w:val="24"/>
        </w:rPr>
      </w:pPr>
      <w:r>
        <w:rPr>
          <w:rFonts w:hint="eastAsia" w:ascii="宋体" w:hAnsi="宋体" w:cs="宋体"/>
          <w:color w:val="auto"/>
          <w:sz w:val="24"/>
          <w:szCs w:val="24"/>
        </w:rPr>
        <w:t>合同份数按</w:t>
      </w:r>
      <w:r>
        <w:rPr>
          <w:rFonts w:hint="eastAsia" w:ascii="宋体" w:hAnsi="宋体" w:cs="宋体"/>
          <w:b/>
          <w:bCs/>
          <w:i/>
          <w:iCs/>
          <w:color w:val="auto"/>
          <w:sz w:val="24"/>
          <w:szCs w:val="24"/>
          <w:u w:val="single"/>
        </w:rPr>
        <w:t>合同专用条款</w:t>
      </w:r>
      <w:r>
        <w:rPr>
          <w:rFonts w:hint="eastAsia" w:ascii="宋体" w:hAnsi="宋体" w:cs="宋体"/>
          <w:color w:val="auto"/>
          <w:sz w:val="24"/>
          <w:szCs w:val="24"/>
        </w:rPr>
        <w:t>规定，每份均具有同等法律效力。</w:t>
      </w:r>
    </w:p>
    <w:p>
      <w:pPr>
        <w:pStyle w:val="42"/>
        <w:spacing w:line="360" w:lineRule="exact"/>
        <w:ind w:firstLine="0"/>
        <w:jc w:val="center"/>
        <w:rPr>
          <w:rFonts w:hAnsi="宋体" w:cs="Times New Roman"/>
          <w:b/>
          <w:bCs/>
          <w:color w:val="auto"/>
        </w:rPr>
      </w:pPr>
      <w:bookmarkStart w:id="1843" w:name="_Toc331685784"/>
    </w:p>
    <w:p>
      <w:pPr>
        <w:pStyle w:val="42"/>
        <w:spacing w:line="360" w:lineRule="exact"/>
        <w:ind w:firstLine="0"/>
        <w:jc w:val="center"/>
        <w:rPr>
          <w:rFonts w:hAnsi="宋体" w:cs="Times New Roman"/>
          <w:b/>
          <w:bCs/>
          <w:color w:val="auto"/>
        </w:rPr>
      </w:pPr>
    </w:p>
    <w:p>
      <w:pPr>
        <w:pStyle w:val="42"/>
        <w:spacing w:line="360" w:lineRule="exact"/>
        <w:ind w:firstLine="0"/>
        <w:jc w:val="center"/>
        <w:rPr>
          <w:rFonts w:hAnsi="宋体" w:cs="Times New Roman"/>
          <w:b/>
          <w:bCs/>
          <w:color w:val="auto"/>
        </w:rPr>
      </w:pPr>
    </w:p>
    <w:p>
      <w:pPr>
        <w:pStyle w:val="42"/>
        <w:spacing w:line="360" w:lineRule="exact"/>
        <w:ind w:firstLine="0"/>
        <w:jc w:val="center"/>
        <w:rPr>
          <w:rFonts w:hAnsi="宋体" w:cs="Times New Roman"/>
          <w:b/>
          <w:bCs/>
          <w:color w:val="auto"/>
        </w:rPr>
      </w:pPr>
    </w:p>
    <w:p>
      <w:pPr>
        <w:pStyle w:val="42"/>
        <w:spacing w:line="360" w:lineRule="exact"/>
        <w:ind w:firstLine="0"/>
        <w:jc w:val="center"/>
        <w:rPr>
          <w:rFonts w:hAnsi="宋体" w:cs="Times New Roman"/>
          <w:b/>
          <w:bCs/>
          <w:color w:val="auto"/>
        </w:rPr>
      </w:pPr>
    </w:p>
    <w:p>
      <w:pPr>
        <w:pStyle w:val="42"/>
        <w:spacing w:line="360" w:lineRule="exact"/>
        <w:ind w:firstLine="0"/>
        <w:jc w:val="center"/>
        <w:rPr>
          <w:rFonts w:hAnsi="宋体" w:cs="Times New Roman"/>
          <w:b/>
          <w:bCs/>
          <w:color w:val="auto"/>
        </w:rPr>
      </w:pPr>
    </w:p>
    <w:p>
      <w:pPr>
        <w:pStyle w:val="42"/>
        <w:spacing w:line="360" w:lineRule="exact"/>
        <w:ind w:firstLine="0"/>
        <w:jc w:val="center"/>
        <w:rPr>
          <w:rFonts w:hAnsi="宋体" w:cs="Times New Roman"/>
          <w:b/>
          <w:bCs/>
          <w:color w:val="auto"/>
        </w:rPr>
      </w:pPr>
      <w:r>
        <w:rPr>
          <w:rFonts w:hint="eastAsia" w:hAnsi="宋体"/>
          <w:b/>
          <w:bCs/>
          <w:color w:val="auto"/>
        </w:rPr>
        <w:t>第三部分</w:t>
      </w:r>
      <w:r>
        <w:rPr>
          <w:rFonts w:hAnsi="宋体"/>
          <w:b/>
          <w:bCs/>
          <w:color w:val="auto"/>
        </w:rPr>
        <w:t xml:space="preserve">  </w:t>
      </w:r>
      <w:r>
        <w:rPr>
          <w:rFonts w:hint="eastAsia" w:hAnsi="宋体"/>
          <w:b/>
          <w:bCs/>
          <w:color w:val="auto"/>
        </w:rPr>
        <w:t>合同专用条款</w:t>
      </w:r>
      <w:bookmarkEnd w:id="1843"/>
    </w:p>
    <w:p>
      <w:pPr>
        <w:spacing w:line="360" w:lineRule="exact"/>
        <w:ind w:firstLine="480" w:firstLineChars="200"/>
        <w:rPr>
          <w:rFonts w:ascii="宋体"/>
          <w:color w:val="auto"/>
          <w:sz w:val="24"/>
          <w:szCs w:val="24"/>
        </w:rPr>
      </w:pPr>
      <w:r>
        <w:rPr>
          <w:rFonts w:hint="eastAsia" w:ascii="宋体" w:hAnsi="宋体" w:cs="宋体"/>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ascii="宋体"/>
                <w:b/>
                <w:bCs/>
                <w:color w:val="auto"/>
                <w:sz w:val="24"/>
                <w:szCs w:val="24"/>
              </w:rPr>
            </w:pPr>
            <w:r>
              <w:rPr>
                <w:rFonts w:hint="eastAsia" w:ascii="宋体" w:hAnsi="宋体" w:cs="宋体"/>
                <w:b/>
                <w:bCs/>
                <w:color w:val="auto"/>
                <w:sz w:val="24"/>
                <w:szCs w:val="24"/>
              </w:rPr>
              <w:t>条款号</w:t>
            </w:r>
          </w:p>
        </w:tc>
        <w:tc>
          <w:tcPr>
            <w:tcW w:w="7633" w:type="dxa"/>
            <w:vAlign w:val="center"/>
          </w:tcPr>
          <w:p>
            <w:pPr>
              <w:spacing w:line="360" w:lineRule="exact"/>
              <w:jc w:val="center"/>
              <w:rPr>
                <w:rFonts w:ascii="宋体"/>
                <w:b/>
                <w:bCs/>
                <w:color w:val="auto"/>
                <w:sz w:val="24"/>
                <w:szCs w:val="24"/>
              </w:rPr>
            </w:pPr>
            <w:r>
              <w:rPr>
                <w:rFonts w:hint="eastAsia" w:ascii="宋体" w:hAnsi="宋体" w:cs="宋体"/>
                <w:b/>
                <w:bCs/>
                <w:color w:val="auto"/>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ascii="宋体"/>
                <w:color w:val="auto"/>
                <w:sz w:val="24"/>
                <w:szCs w:val="24"/>
              </w:rPr>
            </w:pPr>
          </w:p>
        </w:tc>
        <w:tc>
          <w:tcPr>
            <w:tcW w:w="7633" w:type="dxa"/>
            <w:vAlign w:val="center"/>
          </w:tcPr>
          <w:p>
            <w:pPr>
              <w:spacing w:line="360" w:lineRule="exact"/>
              <w:rPr>
                <w:rFonts w:ascii="宋体"/>
                <w:color w:val="auto"/>
                <w:sz w:val="24"/>
                <w:szCs w:val="24"/>
              </w:rPr>
            </w:pPr>
          </w:p>
        </w:tc>
      </w:tr>
    </w:tbl>
    <w:p>
      <w:pPr>
        <w:pStyle w:val="2"/>
        <w:spacing w:line="360" w:lineRule="exact"/>
        <w:ind w:firstLine="0"/>
        <w:rPr>
          <w:rFonts w:hAnsi="宋体"/>
          <w:color w:val="auto"/>
          <w:sz w:val="28"/>
          <w:szCs w:val="28"/>
        </w:rPr>
      </w:pPr>
      <w:r>
        <w:rPr>
          <w:rFonts w:hAnsi="宋体"/>
          <w:color w:val="auto"/>
          <w:sz w:val="28"/>
          <w:szCs w:val="28"/>
        </w:rPr>
        <w:t xml:space="preserve"> </w:t>
      </w:r>
    </w:p>
    <w:p>
      <w:pPr>
        <w:rPr>
          <w:rFonts w:ascii="宋体"/>
          <w:color w:val="auto"/>
        </w:rPr>
      </w:pPr>
    </w:p>
    <w:p>
      <w:pPr>
        <w:pStyle w:val="2"/>
        <w:spacing w:line="240" w:lineRule="atLeast"/>
        <w:ind w:firstLine="0"/>
        <w:rPr>
          <w:rFonts w:hAnsi="宋体" w:cs="Times New Roman"/>
          <w:color w:val="auto"/>
          <w:sz w:val="28"/>
          <w:szCs w:val="28"/>
        </w:rPr>
      </w:pPr>
    </w:p>
    <w:p>
      <w:pPr>
        <w:rPr>
          <w:rFonts w:ascii="宋体"/>
          <w:color w:val="auto"/>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cs="Times New Roman"/>
      </w:rPr>
    </w:pP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pict>
        <v:rect id="4101" o:spid="_x0000_s2051" o:spt="1"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v:textbox inset="0mm,0mm,0mm,0mm" style="mso-fit-shape-to-text:t;">
            <w:txbxContent>
              <w:p>
                <w:pPr>
                  <w:pStyle w:val="13"/>
                  <w:rPr>
                    <w:rFonts w:cs="Times New Roman"/>
                  </w:rPr>
                </w:pPr>
                <w:r>
                  <w:fldChar w:fldCharType="begin"/>
                </w:r>
                <w:r>
                  <w:instrText xml:space="preserve"> PAGE  \* MERGEFORMAT </w:instrText>
                </w:r>
                <w:r>
                  <w:fldChar w:fldCharType="separate"/>
                </w:r>
                <w:r>
                  <w:t>1</w:t>
                </w:r>
                <w:r>
                  <w:fldChar w:fldCharType="end"/>
                </w:r>
              </w:p>
            </w:txbxContent>
          </v:textbox>
        </v:rect>
      </w:pict>
    </w: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pict>
        <v:rect id="4102" o:spid="_x0000_s2052" o:spt="1" style="position:absolute;left:0pt;margin-top:0pt;height:144pt;width:144pt;mso-position-horizontal:right;mso-position-horizontal-relative:margin;mso-wrap-style:none;z-index:251667456;mso-width-relative:page;mso-height-relative:page;" filled="f" stroked="f" coordsize="21600,21600">
          <v:path/>
          <v:fill on="f" focussize="0,0"/>
          <v:stroke on="f"/>
          <v:imagedata o:title=""/>
          <o:lock v:ext="edit"/>
          <v:textbox inset="0mm,0mm,0mm,0mm" style="mso-fit-shape-to-text:t;">
            <w:txbxContent>
              <w:p>
                <w:pPr>
                  <w:pStyle w:val="13"/>
                  <w:rPr>
                    <w:rFonts w:cs="Times New Roman"/>
                  </w:rPr>
                </w:pPr>
                <w:r>
                  <w:fldChar w:fldCharType="begin"/>
                </w:r>
                <w:r>
                  <w:instrText xml:space="preserve"> PAGE  \* MERGEFORMAT </w:instrText>
                </w:r>
                <w:r>
                  <w:fldChar w:fldCharType="separate"/>
                </w:r>
                <w:r>
                  <w:t>12</w:t>
                </w:r>
                <w:r>
                  <w:fldChar w:fldCharType="end"/>
                </w:r>
              </w:p>
            </w:txbxContent>
          </v:textbox>
        </v:rect>
      </w:pict>
    </w: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pict>
        <v:rect id="4105" o:spid="_x0000_s2054" o:spt="1" style="position:absolute;left:0pt;margin-top:0pt;height:144pt;width:144pt;mso-position-horizontal:right;mso-position-horizontal-relative:margin;mso-wrap-style:none;z-index:251669504;mso-width-relative:page;mso-height-relative:page;" filled="f" stroked="f" coordsize="21600,21600">
          <v:path/>
          <v:fill on="f" focussize="0,0"/>
          <v:stroke on="f"/>
          <v:imagedata o:title=""/>
          <o:lock v:ext="edit"/>
          <v:textbox inset="0mm,0mm,0mm,0mm" style="mso-fit-shape-to-text:t;">
            <w:txbxContent>
              <w:p>
                <w:pPr>
                  <w:pStyle w:val="13"/>
                  <w:rPr>
                    <w:rFonts w:cs="Times New Roman"/>
                  </w:rPr>
                </w:pPr>
                <w:r>
                  <w:fldChar w:fldCharType="begin"/>
                </w:r>
                <w:r>
                  <w:instrText xml:space="preserve"> PAGE  \* MERGEFORMAT </w:instrText>
                </w:r>
                <w:r>
                  <w:fldChar w:fldCharType="separate"/>
                </w:r>
                <w:r>
                  <w:t>55</w:t>
                </w:r>
                <w:r>
                  <w:fldChar w:fldCharType="end"/>
                </w:r>
              </w:p>
            </w:txbxContent>
          </v:textbox>
        </v:rect>
      </w:pict>
    </w: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pict>
        <v:rect id="4108" o:spid="_x0000_s2056" o:spt="1" style="position:absolute;left:0pt;margin-top:0pt;height:144pt;width:144pt;mso-position-horizontal:right;mso-position-horizontal-relative:margin;mso-wrap-style:none;z-index:251671552;mso-width-relative:page;mso-height-relative:page;" filled="f" stroked="f" coordsize="21600,21600">
          <v:path/>
          <v:fill on="f" focussize="0,0"/>
          <v:stroke on="f"/>
          <v:imagedata o:title=""/>
          <o:lock v:ext="edit"/>
          <v:textbox inset="0mm,0mm,0mm,0mm" style="mso-fit-shape-to-text:t;">
            <w:txbxContent>
              <w:p>
                <w:pPr>
                  <w:pStyle w:val="13"/>
                  <w:rPr>
                    <w:rFonts w:cs="Times New Roman"/>
                  </w:rPr>
                </w:pPr>
                <w:r>
                  <w:fldChar w:fldCharType="begin"/>
                </w:r>
                <w:r>
                  <w:instrText xml:space="preserve"> PAGE  \* MERGEFORMAT </w:instrText>
                </w:r>
                <w:r>
                  <w:fldChar w:fldCharType="separate"/>
                </w:r>
                <w:r>
                  <w:t>212</w:t>
                </w:r>
                <w:r>
                  <w:fldChar w:fldCharType="end"/>
                </w:r>
              </w:p>
            </w:txbxContent>
          </v:textbox>
        </v:rect>
      </w:pict>
    </w: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pict>
        <v:rect id="4109" o:spid="_x0000_s2057" o:spt="1" style="position:absolute;left:0pt;margin-top:0pt;height:144pt;width:144pt;mso-position-horizontal:right;mso-position-horizontal-relative:margin;mso-wrap-style:none;z-index:251672576;mso-width-relative:page;mso-height-relative:page;" filled="f" stroked="f" coordsize="21600,21600">
          <v:path/>
          <v:fill on="f" focussize="0,0"/>
          <v:stroke on="f"/>
          <v:imagedata o:title=""/>
          <o:lock v:ext="edit"/>
          <v:textbox inset="0mm,0mm,0mm,0mm" style="mso-fit-shape-to-text:t;">
            <w:txbxContent>
              <w:p>
                <w:pPr>
                  <w:pStyle w:val="13"/>
                  <w:rPr>
                    <w:rFonts w:cs="Times New Roman"/>
                  </w:rPr>
                </w:pPr>
                <w:r>
                  <w:fldChar w:fldCharType="begin"/>
                </w:r>
                <w:r>
                  <w:instrText xml:space="preserve"> PAGE  \* MERGEFORMAT </w:instrText>
                </w:r>
                <w:r>
                  <w:fldChar w:fldCharType="separate"/>
                </w:r>
                <w:r>
                  <w:t>213</w:t>
                </w:r>
                <w:r>
                  <w:fldChar w:fldCharType="end"/>
                </w:r>
              </w:p>
            </w:txbxContent>
          </v:textbox>
        </v:rect>
      </w:pict>
    </w:r>
  </w:p>
  <w:p>
    <w:pPr>
      <w:pStyle w:val="13"/>
      <w:ind w:right="360"/>
      <w:jc w:val="center"/>
      <w:rPr>
        <w:rFonts w:cs="Times New Roman"/>
      </w:rPr>
    </w:pP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pict>
        <v:rect id="4110" o:spid="_x0000_s2058" o:spt="1" style="position:absolute;left:0pt;margin-top:0pt;height:144pt;width:144pt;mso-position-horizontal:right;mso-position-horizontal-relative:margin;mso-wrap-style:none;z-index:251673600;mso-width-relative:page;mso-height-relative:page;" filled="f" stroked="f" coordsize="21600,21600">
          <v:path/>
          <v:fill on="f" focussize="0,0"/>
          <v:stroke on="f"/>
          <v:imagedata o:title=""/>
          <o:lock v:ext="edit"/>
          <v:textbox inset="0mm,0mm,0mm,0mm" style="mso-fit-shape-to-text:t;">
            <w:txbxContent>
              <w:p>
                <w:pPr>
                  <w:pStyle w:val="13"/>
                  <w:rPr>
                    <w:rFonts w:cs="Times New Roman"/>
                  </w:rPr>
                </w:pPr>
                <w:r>
                  <w:fldChar w:fldCharType="begin"/>
                </w:r>
                <w:r>
                  <w:instrText xml:space="preserve"> PAGE  \* MERGEFORMAT </w:instrText>
                </w:r>
                <w:r>
                  <w:fldChar w:fldCharType="separate"/>
                </w:r>
                <w:r>
                  <w:t>219</w:t>
                </w:r>
                <w:r>
                  <w:fldChar w:fldCharType="end"/>
                </w:r>
              </w:p>
            </w:txbxContent>
          </v:textbox>
        </v:rect>
      </w:pict>
    </w:r>
    <w:r>
      <w:rPr>
        <w:color w:val="800000"/>
      </w:rPr>
      <w:t>Add</w:t>
    </w:r>
    <w:r>
      <w:rPr>
        <w:rFonts w:hint="eastAsia"/>
        <w:color w:val="800000"/>
      </w:rPr>
      <w:t>：喀什市吐曼路</w:t>
    </w:r>
    <w:r>
      <w:rPr>
        <w:color w:val="800000"/>
      </w:rPr>
      <w:t>1</w:t>
    </w:r>
    <w:r>
      <w:rPr>
        <w:rFonts w:hint="eastAsia"/>
        <w:color w:val="800000"/>
      </w:rPr>
      <w:t>号财富大厦</w:t>
    </w:r>
    <w:r>
      <w:rPr>
        <w:color w:val="800000"/>
      </w:rPr>
      <w:t>6</w:t>
    </w:r>
    <w:r>
      <w:rPr>
        <w:rFonts w:hint="eastAsia"/>
        <w:color w:val="800000"/>
      </w:rPr>
      <w:t>楼</w:t>
    </w:r>
    <w:r>
      <w:rPr>
        <w:color w:val="800000"/>
      </w:rPr>
      <w:t>612</w:t>
    </w:r>
    <w:r>
      <w:rPr>
        <w:rFonts w:hint="eastAsia"/>
        <w:color w:val="800000"/>
      </w:rPr>
      <w:t>室</w:t>
    </w:r>
    <w:r>
      <w:rPr>
        <w:color w:val="800000"/>
      </w:rPr>
      <w:t xml:space="preserve">       Tel</w:t>
    </w:r>
    <w:r>
      <w:rPr>
        <w:rFonts w:hint="eastAsia"/>
        <w:color w:val="800000"/>
      </w:rPr>
      <w:t>：</w:t>
    </w:r>
    <w:r>
      <w:rPr>
        <w:color w:val="800000"/>
      </w:rPr>
      <w:t>15099650569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pict>
        <v:shape id="4097" o:spid="_x0000_s2049" o:spt="136" type="#_x0000_t136" style="position:absolute;left:0pt;margin-left:67.2pt;margin-top:32.95pt;height:15.6pt;width:152.25pt;z-index:251661312;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r>
      <w:pict>
        <v:shape id="_x0000_i1025" o:spt="75" type="#_x0000_t75" style="height:49.5pt;width:76.5pt;" filled="f" o:preferrelative="t" stroked="f" coordsize="21600,21600">
          <v:path/>
          <v:fill on="f" focussize="0,0"/>
          <v:stroke on="f" joinstyle="miter"/>
          <v:imagedata r:id="rId1" o:title=""/>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pict>
        <v:shape id="_x0000_i1026" o:spt="75" type="#_x0000_t75" style="height:49.5pt;width:76.5pt;" filled="f" o:preferrelative="t" stroked="f" coordsize="21600,21600">
          <v:path/>
          <v:fill on="f" focussize="0,0"/>
          <v:stroke on="f" joinstyle="miter"/>
          <v:imagedata r:id="rId1" o:title=""/>
          <o:lock v:ext="edit" aspectratio="t"/>
          <w10:wrap type="none"/>
          <w10:anchorlock/>
        </v:shape>
      </w:pict>
    </w:r>
    <w:r>
      <w:pict>
        <v:shape id="4100" o:spid="_x0000_s2050" o:spt="136" type="#_x0000_t136" style="position:absolute;left:0pt;margin-left:67.2pt;margin-top:32.95pt;height:15.6pt;width:152.25pt;z-index:251663360;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pict>
        <v:shape id="_x0000_i1027" o:spt="75" type="#_x0000_t75" style="height:49.5pt;width:76.5pt;" filled="f" o:preferrelative="t" stroked="f" coordsize="21600,21600">
          <v:path/>
          <v:fill on="f" focussize="0,0"/>
          <v:stroke on="f" joinstyle="miter"/>
          <v:imagedata r:id="rId1" o:title=""/>
          <o:lock v:ext="edit" aspectratio="t"/>
          <w10:wrap type="none"/>
          <w10:anchorlock/>
        </v:shape>
      </w:pict>
    </w:r>
    <w:r>
      <w:pict>
        <v:shape id="4104" o:spid="_x0000_s2053" o:spt="136" type="#_x0000_t136" style="position:absolute;left:0pt;margin-left:66.35pt;margin-top:32.95pt;height:15.6pt;width:152.25pt;z-index:251668480;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pict>
        <v:shape id="_x0000_i1028" o:spt="75" type="#_x0000_t75" style="height:49.5pt;width:76.5pt;" filled="f" o:preferrelative="t" stroked="f" coordsize="21600,21600">
          <v:path/>
          <v:fill on="f" focussize="0,0"/>
          <v:stroke on="f" joinstyle="miter"/>
          <v:imagedata r:id="rId1" o:title=""/>
          <o:lock v:ext="edit" aspectratio="t"/>
          <w10:wrap type="none"/>
          <w10:anchorlock/>
        </v:shape>
      </w:pict>
    </w:r>
    <w:r>
      <w:pict>
        <v:shape id="4107" o:spid="_x0000_s2055" o:spt="136" type="#_x0000_t136" style="position:absolute;left:0pt;margin-left:66.35pt;margin-top:32.95pt;height:15.6pt;width:152.25pt;z-index:251670528;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4"/>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6"/>
    <w:multiLevelType w:val="singleLevel"/>
    <w:tmpl w:val="00000006"/>
    <w:lvl w:ilvl="0" w:tentative="0">
      <w:start w:val="11"/>
      <w:numFmt w:val="decimal"/>
      <w:suff w:val="nothing"/>
      <w:lvlText w:val="%1、"/>
      <w:lvlJc w:val="left"/>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multilevel"/>
    <w:tmpl w:val="00000008"/>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00000009"/>
    <w:multiLevelType w:val="multilevel"/>
    <w:tmpl w:val="0000000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0A"/>
    <w:multiLevelType w:val="multilevel"/>
    <w:tmpl w:val="0000000A"/>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0000000B"/>
    <w:multiLevelType w:val="multilevel"/>
    <w:tmpl w:val="0000000B"/>
    <w:lvl w:ilvl="0" w:tentative="0">
      <w:start w:val="1"/>
      <w:numFmt w:val="decimal"/>
      <w:lvlText w:val="%1"/>
      <w:lvlJc w:val="left"/>
      <w:pPr>
        <w:ind w:left="432" w:hanging="432"/>
      </w:pPr>
    </w:lvl>
    <w:lvl w:ilvl="1" w:tentative="0">
      <w:start w:val="1"/>
      <w:numFmt w:val="decimal"/>
      <w:pStyle w:val="40"/>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0000000C"/>
    <w:multiLevelType w:val="singleLevel"/>
    <w:tmpl w:val="0000000C"/>
    <w:lvl w:ilvl="0" w:tentative="0">
      <w:start w:val="2"/>
      <w:numFmt w:val="chineseCounting"/>
      <w:suff w:val="space"/>
      <w:lvlText w:val="第%1部分"/>
      <w:lvlJc w:val="left"/>
      <w:rPr>
        <w:rFonts w:hint="eastAsia"/>
      </w:rPr>
    </w:lvl>
  </w:abstractNum>
  <w:abstractNum w:abstractNumId="12">
    <w:nsid w:val="0000000D"/>
    <w:multiLevelType w:val="singleLevel"/>
    <w:tmpl w:val="0000000D"/>
    <w:lvl w:ilvl="0" w:tentative="0">
      <w:start w:val="3"/>
      <w:numFmt w:val="decimal"/>
      <w:suff w:val="space"/>
      <w:lvlText w:val="第%1章"/>
      <w:lvlJc w:val="left"/>
    </w:lvl>
  </w:abstractNum>
  <w:abstractNum w:abstractNumId="13">
    <w:nsid w:val="0000000E"/>
    <w:multiLevelType w:val="singleLevel"/>
    <w:tmpl w:val="0000000E"/>
    <w:lvl w:ilvl="0" w:tentative="0">
      <w:start w:val="9"/>
      <w:numFmt w:val="decimal"/>
      <w:lvlText w:val="%1."/>
      <w:lvlJc w:val="left"/>
      <w:pPr>
        <w:tabs>
          <w:tab w:val="left" w:pos="312"/>
        </w:tabs>
      </w:pPr>
    </w:lvl>
  </w:abstractNum>
  <w:abstractNum w:abstractNumId="14">
    <w:nsid w:val="0000000F"/>
    <w:multiLevelType w:val="multilevel"/>
    <w:tmpl w:val="0000000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0010"/>
    <w:multiLevelType w:val="singleLevel"/>
    <w:tmpl w:val="00000010"/>
    <w:lvl w:ilvl="0" w:tentative="0">
      <w:start w:val="2"/>
      <w:numFmt w:val="decimal"/>
      <w:suff w:val="nothing"/>
      <w:lvlText w:val="%1、"/>
      <w:lvlJc w:val="left"/>
    </w:lvl>
  </w:abstractNum>
  <w:abstractNum w:abstractNumId="16">
    <w:nsid w:val="00000011"/>
    <w:multiLevelType w:val="multilevel"/>
    <w:tmpl w:val="00000011"/>
    <w:lvl w:ilvl="0" w:tentative="0">
      <w:start w:val="3"/>
      <w:numFmt w:val="decimal"/>
      <w:lvlText w:val="%1、"/>
      <w:lvlJc w:val="left"/>
      <w:pPr>
        <w:ind w:left="1296" w:hanging="720"/>
      </w:pPr>
      <w:rPr>
        <w:rFonts w:hint="default" w:ascii="宋体" w:eastAsia="宋体"/>
      </w:rPr>
    </w:lvl>
    <w:lvl w:ilvl="1" w:tentative="0">
      <w:start w:val="1"/>
      <w:numFmt w:val="lowerLetter"/>
      <w:lvlText w:val="%2)"/>
      <w:lvlJc w:val="left"/>
      <w:pPr>
        <w:ind w:left="1416" w:hanging="420"/>
      </w:pPr>
    </w:lvl>
    <w:lvl w:ilvl="2" w:tentative="0">
      <w:start w:val="1"/>
      <w:numFmt w:val="lowerRoman"/>
      <w:lvlText w:val="%3."/>
      <w:lvlJc w:val="right"/>
      <w:pPr>
        <w:ind w:left="1836" w:hanging="420"/>
      </w:pPr>
    </w:lvl>
    <w:lvl w:ilvl="3" w:tentative="0">
      <w:start w:val="1"/>
      <w:numFmt w:val="decimal"/>
      <w:lvlText w:val="%4."/>
      <w:lvlJc w:val="left"/>
      <w:pPr>
        <w:ind w:left="2256" w:hanging="420"/>
      </w:pPr>
    </w:lvl>
    <w:lvl w:ilvl="4" w:tentative="0">
      <w:start w:val="1"/>
      <w:numFmt w:val="lowerLetter"/>
      <w:lvlText w:val="%5)"/>
      <w:lvlJc w:val="left"/>
      <w:pPr>
        <w:ind w:left="2676" w:hanging="420"/>
      </w:pPr>
    </w:lvl>
    <w:lvl w:ilvl="5" w:tentative="0">
      <w:start w:val="1"/>
      <w:numFmt w:val="lowerRoman"/>
      <w:lvlText w:val="%6."/>
      <w:lvlJc w:val="right"/>
      <w:pPr>
        <w:ind w:left="3096" w:hanging="420"/>
      </w:pPr>
    </w:lvl>
    <w:lvl w:ilvl="6" w:tentative="0">
      <w:start w:val="1"/>
      <w:numFmt w:val="decimal"/>
      <w:lvlText w:val="%7."/>
      <w:lvlJc w:val="left"/>
      <w:pPr>
        <w:ind w:left="3516" w:hanging="420"/>
      </w:pPr>
    </w:lvl>
    <w:lvl w:ilvl="7" w:tentative="0">
      <w:start w:val="1"/>
      <w:numFmt w:val="lowerLetter"/>
      <w:lvlText w:val="%8)"/>
      <w:lvlJc w:val="left"/>
      <w:pPr>
        <w:ind w:left="3936" w:hanging="420"/>
      </w:pPr>
    </w:lvl>
    <w:lvl w:ilvl="8" w:tentative="0">
      <w:start w:val="1"/>
      <w:numFmt w:val="lowerRoman"/>
      <w:lvlText w:val="%9."/>
      <w:lvlJc w:val="right"/>
      <w:pPr>
        <w:ind w:left="4356" w:hanging="420"/>
      </w:pPr>
    </w:lvl>
  </w:abstractNum>
  <w:abstractNum w:abstractNumId="17">
    <w:nsid w:val="00000012"/>
    <w:multiLevelType w:val="multilevel"/>
    <w:tmpl w:val="0000001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0000013"/>
    <w:multiLevelType w:val="multilevel"/>
    <w:tmpl w:val="00000013"/>
    <w:lvl w:ilvl="0" w:tentative="0">
      <w:start w:val="3"/>
      <w:numFmt w:val="decimal"/>
      <w:lvlText w:val="%1."/>
      <w:lvlJc w:val="left"/>
      <w:pPr>
        <w:ind w:left="840" w:hanging="840"/>
      </w:pPr>
      <w:rPr>
        <w:rFonts w:hint="default" w:ascii="宋体" w:eastAsia="宋体"/>
        <w:sz w:val="32"/>
        <w:szCs w:val="32"/>
      </w:rPr>
    </w:lvl>
    <w:lvl w:ilvl="1" w:tentative="0">
      <w:start w:val="3"/>
      <w:numFmt w:val="decimal"/>
      <w:lvlText w:val="%1.%2、"/>
      <w:lvlJc w:val="left"/>
      <w:pPr>
        <w:ind w:left="1800" w:hanging="1080"/>
      </w:pPr>
      <w:rPr>
        <w:rFonts w:hint="default" w:ascii="宋体" w:eastAsia="宋体"/>
        <w:sz w:val="32"/>
        <w:szCs w:val="32"/>
      </w:rPr>
    </w:lvl>
    <w:lvl w:ilvl="2" w:tentative="0">
      <w:start w:val="1"/>
      <w:numFmt w:val="decimal"/>
      <w:lvlText w:val="%1.%2、%3."/>
      <w:lvlJc w:val="left"/>
      <w:pPr>
        <w:ind w:left="2880" w:hanging="1440"/>
      </w:pPr>
      <w:rPr>
        <w:rFonts w:hint="default" w:ascii="宋体" w:eastAsia="宋体"/>
        <w:sz w:val="32"/>
        <w:szCs w:val="32"/>
      </w:rPr>
    </w:lvl>
    <w:lvl w:ilvl="3" w:tentative="0">
      <w:start w:val="1"/>
      <w:numFmt w:val="decimal"/>
      <w:lvlText w:val="%1.%2、%3.%4."/>
      <w:lvlJc w:val="left"/>
      <w:pPr>
        <w:ind w:left="3960" w:hanging="1800"/>
      </w:pPr>
      <w:rPr>
        <w:rFonts w:hint="default" w:ascii="宋体" w:eastAsia="宋体"/>
        <w:sz w:val="32"/>
        <w:szCs w:val="32"/>
      </w:rPr>
    </w:lvl>
    <w:lvl w:ilvl="4" w:tentative="0">
      <w:start w:val="1"/>
      <w:numFmt w:val="decimal"/>
      <w:lvlText w:val="%1.%2、%3.%4.%5."/>
      <w:lvlJc w:val="left"/>
      <w:pPr>
        <w:ind w:left="5040" w:hanging="2160"/>
      </w:pPr>
      <w:rPr>
        <w:rFonts w:hint="default" w:ascii="宋体" w:eastAsia="宋体"/>
        <w:sz w:val="32"/>
        <w:szCs w:val="32"/>
      </w:rPr>
    </w:lvl>
    <w:lvl w:ilvl="5" w:tentative="0">
      <w:start w:val="1"/>
      <w:numFmt w:val="decimal"/>
      <w:lvlText w:val="%1.%2、%3.%4.%5.%6."/>
      <w:lvlJc w:val="left"/>
      <w:pPr>
        <w:ind w:left="5760" w:hanging="2160"/>
      </w:pPr>
      <w:rPr>
        <w:rFonts w:hint="default" w:ascii="宋体" w:eastAsia="宋体"/>
        <w:sz w:val="32"/>
        <w:szCs w:val="32"/>
      </w:rPr>
    </w:lvl>
    <w:lvl w:ilvl="6" w:tentative="0">
      <w:start w:val="1"/>
      <w:numFmt w:val="decimal"/>
      <w:lvlText w:val="%1.%2、%3.%4.%5.%6.%7."/>
      <w:lvlJc w:val="left"/>
      <w:pPr>
        <w:ind w:left="6840" w:hanging="2520"/>
      </w:pPr>
      <w:rPr>
        <w:rFonts w:hint="default" w:ascii="宋体" w:eastAsia="宋体"/>
        <w:sz w:val="32"/>
        <w:szCs w:val="32"/>
      </w:rPr>
    </w:lvl>
    <w:lvl w:ilvl="7" w:tentative="0">
      <w:start w:val="1"/>
      <w:numFmt w:val="decimal"/>
      <w:lvlText w:val="%1.%2、%3.%4.%5.%6.%7.%8."/>
      <w:lvlJc w:val="left"/>
      <w:pPr>
        <w:ind w:left="7920" w:hanging="2880"/>
      </w:pPr>
      <w:rPr>
        <w:rFonts w:hint="default" w:ascii="宋体" w:eastAsia="宋体"/>
        <w:sz w:val="32"/>
        <w:szCs w:val="32"/>
      </w:rPr>
    </w:lvl>
    <w:lvl w:ilvl="8" w:tentative="0">
      <w:start w:val="1"/>
      <w:numFmt w:val="decimal"/>
      <w:lvlText w:val="%1.%2、%3.%4.%5.%6.%7.%8.%9."/>
      <w:lvlJc w:val="left"/>
      <w:pPr>
        <w:ind w:left="9000" w:hanging="3240"/>
      </w:pPr>
      <w:rPr>
        <w:rFonts w:hint="default" w:ascii="宋体" w:eastAsia="宋体"/>
        <w:sz w:val="32"/>
        <w:szCs w:val="32"/>
      </w:rPr>
    </w:lvl>
  </w:abstractNum>
  <w:abstractNum w:abstractNumId="19">
    <w:nsid w:val="00000014"/>
    <w:multiLevelType w:val="singleLevel"/>
    <w:tmpl w:val="00000014"/>
    <w:lvl w:ilvl="0" w:tentative="0">
      <w:start w:val="1"/>
      <w:numFmt w:val="decimal"/>
      <w:suff w:val="nothing"/>
      <w:lvlText w:val="%1、"/>
      <w:lvlJc w:val="left"/>
    </w:lvl>
  </w:abstractNum>
  <w:abstractNum w:abstractNumId="20">
    <w:nsid w:val="00000015"/>
    <w:multiLevelType w:val="multilevel"/>
    <w:tmpl w:val="00000015"/>
    <w:lvl w:ilvl="0" w:tentative="0">
      <w:start w:val="1"/>
      <w:numFmt w:val="decimal"/>
      <w:lvlText w:val="%1."/>
      <w:lvlJc w:val="left"/>
      <w:pPr>
        <w:ind w:left="936" w:hanging="936"/>
      </w:pPr>
      <w:rPr>
        <w:rFonts w:hint="default" w:ascii="宋体" w:eastAsia="宋体"/>
      </w:rPr>
    </w:lvl>
    <w:lvl w:ilvl="1" w:tentative="0">
      <w:start w:val="2"/>
      <w:numFmt w:val="decimal"/>
      <w:lvlText w:val="%1.%2、"/>
      <w:lvlJc w:val="left"/>
      <w:pPr>
        <w:ind w:left="1656" w:hanging="1080"/>
      </w:pPr>
      <w:rPr>
        <w:rFonts w:hint="default" w:ascii="宋体" w:eastAsia="宋体"/>
      </w:rPr>
    </w:lvl>
    <w:lvl w:ilvl="2" w:tentative="0">
      <w:start w:val="1"/>
      <w:numFmt w:val="decimal"/>
      <w:lvlText w:val="%1.%2、%3."/>
      <w:lvlJc w:val="left"/>
      <w:pPr>
        <w:ind w:left="2592" w:hanging="1440"/>
      </w:pPr>
      <w:rPr>
        <w:rFonts w:hint="default" w:ascii="宋体" w:eastAsia="宋体"/>
      </w:rPr>
    </w:lvl>
    <w:lvl w:ilvl="3" w:tentative="0">
      <w:start w:val="1"/>
      <w:numFmt w:val="decimal"/>
      <w:lvlText w:val="%1.%2、%3.%4."/>
      <w:lvlJc w:val="left"/>
      <w:pPr>
        <w:ind w:left="3528" w:hanging="1800"/>
      </w:pPr>
      <w:rPr>
        <w:rFonts w:hint="default" w:ascii="宋体" w:eastAsia="宋体"/>
      </w:rPr>
    </w:lvl>
    <w:lvl w:ilvl="4" w:tentative="0">
      <w:start w:val="1"/>
      <w:numFmt w:val="decimal"/>
      <w:lvlText w:val="%1.%2、%3.%4.%5."/>
      <w:lvlJc w:val="left"/>
      <w:pPr>
        <w:ind w:left="4464" w:hanging="2160"/>
      </w:pPr>
      <w:rPr>
        <w:rFonts w:hint="default" w:ascii="宋体" w:eastAsia="宋体"/>
      </w:rPr>
    </w:lvl>
    <w:lvl w:ilvl="5" w:tentative="0">
      <w:start w:val="1"/>
      <w:numFmt w:val="decimal"/>
      <w:lvlText w:val="%1.%2、%3.%4.%5.%6."/>
      <w:lvlJc w:val="left"/>
      <w:pPr>
        <w:ind w:left="5040" w:hanging="2160"/>
      </w:pPr>
      <w:rPr>
        <w:rFonts w:hint="default" w:ascii="宋体" w:eastAsia="宋体"/>
      </w:rPr>
    </w:lvl>
    <w:lvl w:ilvl="6" w:tentative="0">
      <w:start w:val="1"/>
      <w:numFmt w:val="decimal"/>
      <w:lvlText w:val="%1.%2、%3.%4.%5.%6.%7."/>
      <w:lvlJc w:val="left"/>
      <w:pPr>
        <w:ind w:left="5976" w:hanging="2520"/>
      </w:pPr>
      <w:rPr>
        <w:rFonts w:hint="default" w:ascii="宋体" w:eastAsia="宋体"/>
      </w:rPr>
    </w:lvl>
    <w:lvl w:ilvl="7" w:tentative="0">
      <w:start w:val="1"/>
      <w:numFmt w:val="decimal"/>
      <w:lvlText w:val="%1.%2、%3.%4.%5.%6.%7.%8."/>
      <w:lvlJc w:val="left"/>
      <w:pPr>
        <w:ind w:left="6912" w:hanging="2880"/>
      </w:pPr>
      <w:rPr>
        <w:rFonts w:hint="default" w:ascii="宋体" w:eastAsia="宋体"/>
      </w:rPr>
    </w:lvl>
    <w:lvl w:ilvl="8" w:tentative="0">
      <w:start w:val="1"/>
      <w:numFmt w:val="decimal"/>
      <w:lvlText w:val="%1.%2、%3.%4.%5.%6.%7.%8.%9."/>
      <w:lvlJc w:val="left"/>
      <w:pPr>
        <w:ind w:left="7848" w:hanging="3240"/>
      </w:pPr>
      <w:rPr>
        <w:rFonts w:hint="default" w:ascii="宋体" w:eastAsia="宋体"/>
      </w:rPr>
    </w:lvl>
  </w:abstractNum>
  <w:abstractNum w:abstractNumId="21">
    <w:nsid w:val="00000016"/>
    <w:multiLevelType w:val="multilevel"/>
    <w:tmpl w:val="00000016"/>
    <w:lvl w:ilvl="0" w:tentative="0">
      <w:start w:val="1"/>
      <w:numFmt w:val="decimal"/>
      <w:lvlText w:val="%1."/>
      <w:lvlJc w:val="left"/>
      <w:pPr>
        <w:ind w:left="840" w:hanging="840"/>
      </w:pPr>
      <w:rPr>
        <w:rFonts w:hint="default" w:ascii="宋体" w:eastAsia="宋体"/>
      </w:rPr>
    </w:lvl>
    <w:lvl w:ilvl="1" w:tentative="0">
      <w:start w:val="2"/>
      <w:numFmt w:val="decimal"/>
      <w:lvlText w:val="%1.%2."/>
      <w:lvlJc w:val="left"/>
      <w:pPr>
        <w:ind w:left="1050" w:hanging="840"/>
      </w:pPr>
      <w:rPr>
        <w:rFonts w:hint="default" w:ascii="宋体" w:eastAsia="宋体"/>
      </w:rPr>
    </w:lvl>
    <w:lvl w:ilvl="2" w:tentative="0">
      <w:start w:val="1"/>
      <w:numFmt w:val="decimal"/>
      <w:lvlText w:val="%1.%2.%3、"/>
      <w:lvlJc w:val="left"/>
      <w:pPr>
        <w:ind w:left="1260" w:hanging="840"/>
      </w:pPr>
      <w:rPr>
        <w:rFonts w:hint="default" w:ascii="宋体" w:eastAsia="宋体"/>
      </w:rPr>
    </w:lvl>
    <w:lvl w:ilvl="3" w:tentative="0">
      <w:start w:val="1"/>
      <w:numFmt w:val="decimal"/>
      <w:lvlText w:val="%1.%2.%3、%4."/>
      <w:lvlJc w:val="left"/>
      <w:pPr>
        <w:ind w:left="1710" w:hanging="1080"/>
      </w:pPr>
      <w:rPr>
        <w:rFonts w:hint="default" w:ascii="宋体" w:eastAsia="宋体"/>
      </w:rPr>
    </w:lvl>
    <w:lvl w:ilvl="4" w:tentative="0">
      <w:start w:val="1"/>
      <w:numFmt w:val="decimal"/>
      <w:lvlText w:val="%1.%2.%3、%4.%5."/>
      <w:lvlJc w:val="left"/>
      <w:pPr>
        <w:ind w:left="1920" w:hanging="1080"/>
      </w:pPr>
      <w:rPr>
        <w:rFonts w:hint="default" w:ascii="宋体" w:eastAsia="宋体"/>
      </w:rPr>
    </w:lvl>
    <w:lvl w:ilvl="5" w:tentative="0">
      <w:start w:val="1"/>
      <w:numFmt w:val="decimal"/>
      <w:lvlText w:val="%1.%2.%3、%4.%5.%6."/>
      <w:lvlJc w:val="left"/>
      <w:pPr>
        <w:ind w:left="2490" w:hanging="1440"/>
      </w:pPr>
      <w:rPr>
        <w:rFonts w:hint="default" w:ascii="宋体" w:eastAsia="宋体"/>
      </w:rPr>
    </w:lvl>
    <w:lvl w:ilvl="6" w:tentative="0">
      <w:start w:val="1"/>
      <w:numFmt w:val="decimal"/>
      <w:lvlText w:val="%1.%2.%3、%4.%5.%6.%7."/>
      <w:lvlJc w:val="left"/>
      <w:pPr>
        <w:ind w:left="2700" w:hanging="1440"/>
      </w:pPr>
      <w:rPr>
        <w:rFonts w:hint="default" w:ascii="宋体" w:eastAsia="宋体"/>
      </w:rPr>
    </w:lvl>
    <w:lvl w:ilvl="7" w:tentative="0">
      <w:start w:val="1"/>
      <w:numFmt w:val="decimal"/>
      <w:lvlText w:val="%1.%2.%3、%4.%5.%6.%7.%8."/>
      <w:lvlJc w:val="left"/>
      <w:pPr>
        <w:ind w:left="3270" w:hanging="1800"/>
      </w:pPr>
      <w:rPr>
        <w:rFonts w:hint="default" w:ascii="宋体" w:eastAsia="宋体"/>
      </w:rPr>
    </w:lvl>
    <w:lvl w:ilvl="8" w:tentative="0">
      <w:start w:val="1"/>
      <w:numFmt w:val="decimal"/>
      <w:lvlText w:val="%1.%2.%3、%4.%5.%6.%7.%8.%9."/>
      <w:lvlJc w:val="left"/>
      <w:pPr>
        <w:ind w:left="3480" w:hanging="1800"/>
      </w:pPr>
      <w:rPr>
        <w:rFonts w:hint="default" w:ascii="宋体" w:eastAsia="宋体"/>
      </w:rPr>
    </w:lvl>
  </w:abstractNum>
  <w:abstractNum w:abstractNumId="22">
    <w:nsid w:val="00000017"/>
    <w:multiLevelType w:val="multilevel"/>
    <w:tmpl w:val="0000001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0018"/>
    <w:multiLevelType w:val="multilevel"/>
    <w:tmpl w:val="0000001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0000019"/>
    <w:multiLevelType w:val="multilevel"/>
    <w:tmpl w:val="0000001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000001A"/>
    <w:multiLevelType w:val="singleLevel"/>
    <w:tmpl w:val="0000001A"/>
    <w:lvl w:ilvl="0" w:tentative="0">
      <w:start w:val="1"/>
      <w:numFmt w:val="decimal"/>
      <w:suff w:val="nothing"/>
      <w:lvlText w:val="%1、"/>
      <w:lvlJc w:val="left"/>
    </w:lvl>
  </w:abstractNum>
  <w:abstractNum w:abstractNumId="26">
    <w:nsid w:val="0000001B"/>
    <w:multiLevelType w:val="multilevel"/>
    <w:tmpl w:val="0000001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0000001C"/>
    <w:multiLevelType w:val="multilevel"/>
    <w:tmpl w:val="0000001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000001D"/>
    <w:multiLevelType w:val="multilevel"/>
    <w:tmpl w:val="0000001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000001E"/>
    <w:multiLevelType w:val="singleLevel"/>
    <w:tmpl w:val="0000001E"/>
    <w:lvl w:ilvl="0" w:tentative="0">
      <w:start w:val="1"/>
      <w:numFmt w:val="decimal"/>
      <w:suff w:val="nothing"/>
      <w:lvlText w:val="%1、"/>
      <w:lvlJc w:val="left"/>
    </w:lvl>
  </w:abstractNum>
  <w:abstractNum w:abstractNumId="30">
    <w:nsid w:val="0000001F"/>
    <w:multiLevelType w:val="multilevel"/>
    <w:tmpl w:val="0000001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00000020"/>
    <w:multiLevelType w:val="multilevel"/>
    <w:tmpl w:val="0000002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00000021"/>
    <w:multiLevelType w:val="singleLevel"/>
    <w:tmpl w:val="00000021"/>
    <w:lvl w:ilvl="0" w:tentative="0">
      <w:start w:val="1"/>
      <w:numFmt w:val="decimal"/>
      <w:suff w:val="nothing"/>
      <w:lvlText w:val="%1、"/>
      <w:lvlJc w:val="left"/>
    </w:lvl>
  </w:abstractNum>
  <w:abstractNum w:abstractNumId="33">
    <w:nsid w:val="00000022"/>
    <w:multiLevelType w:val="multilevel"/>
    <w:tmpl w:val="00000022"/>
    <w:lvl w:ilvl="0" w:tentative="0">
      <w:start w:val="4"/>
      <w:numFmt w:val="decimal"/>
      <w:lvlText w:val="%1."/>
      <w:lvlJc w:val="left"/>
      <w:pPr>
        <w:ind w:left="840" w:hanging="840"/>
      </w:pPr>
      <w:rPr>
        <w:rFonts w:hint="default" w:ascii="宋体" w:hAnsi="宋体" w:eastAsia="宋体"/>
      </w:rPr>
    </w:lvl>
    <w:lvl w:ilvl="1" w:tentative="0">
      <w:start w:val="2"/>
      <w:numFmt w:val="decimal"/>
      <w:lvlText w:val="%1.%2、"/>
      <w:lvlJc w:val="left"/>
      <w:pPr>
        <w:ind w:left="1800" w:hanging="1080"/>
      </w:pPr>
      <w:rPr>
        <w:rFonts w:hint="default" w:ascii="宋体" w:hAnsi="宋体" w:eastAsia="宋体"/>
      </w:rPr>
    </w:lvl>
    <w:lvl w:ilvl="2" w:tentative="0">
      <w:start w:val="1"/>
      <w:numFmt w:val="decimal"/>
      <w:lvlText w:val="%1.%2、%3."/>
      <w:lvlJc w:val="left"/>
      <w:pPr>
        <w:ind w:left="2520" w:hanging="1080"/>
      </w:pPr>
      <w:rPr>
        <w:rFonts w:hint="default" w:ascii="宋体" w:hAnsi="宋体" w:eastAsia="宋体"/>
      </w:rPr>
    </w:lvl>
    <w:lvl w:ilvl="3" w:tentative="0">
      <w:start w:val="1"/>
      <w:numFmt w:val="decimal"/>
      <w:lvlText w:val="%1.%2、%3.%4."/>
      <w:lvlJc w:val="left"/>
      <w:pPr>
        <w:ind w:left="3600" w:hanging="1440"/>
      </w:pPr>
      <w:rPr>
        <w:rFonts w:hint="default" w:ascii="宋体" w:hAnsi="宋体" w:eastAsia="宋体"/>
      </w:rPr>
    </w:lvl>
    <w:lvl w:ilvl="4" w:tentative="0">
      <w:start w:val="1"/>
      <w:numFmt w:val="decimal"/>
      <w:lvlText w:val="%1.%2、%3.%4.%5."/>
      <w:lvlJc w:val="left"/>
      <w:pPr>
        <w:ind w:left="4680" w:hanging="1800"/>
      </w:pPr>
      <w:rPr>
        <w:rFonts w:hint="default" w:ascii="宋体" w:hAnsi="宋体" w:eastAsia="宋体"/>
      </w:rPr>
    </w:lvl>
    <w:lvl w:ilvl="5" w:tentative="0">
      <w:start w:val="1"/>
      <w:numFmt w:val="decimal"/>
      <w:lvlText w:val="%1.%2、%3.%4.%5.%6."/>
      <w:lvlJc w:val="left"/>
      <w:pPr>
        <w:ind w:left="5760" w:hanging="2160"/>
      </w:pPr>
      <w:rPr>
        <w:rFonts w:hint="default" w:ascii="宋体" w:hAnsi="宋体" w:eastAsia="宋体"/>
      </w:rPr>
    </w:lvl>
    <w:lvl w:ilvl="6" w:tentative="0">
      <w:start w:val="1"/>
      <w:numFmt w:val="decimal"/>
      <w:lvlText w:val="%1.%2、%3.%4.%5.%6.%7."/>
      <w:lvlJc w:val="left"/>
      <w:pPr>
        <w:ind w:left="6840" w:hanging="2520"/>
      </w:pPr>
      <w:rPr>
        <w:rFonts w:hint="default" w:ascii="宋体" w:hAnsi="宋体" w:eastAsia="宋体"/>
      </w:rPr>
    </w:lvl>
    <w:lvl w:ilvl="7" w:tentative="0">
      <w:start w:val="1"/>
      <w:numFmt w:val="decimal"/>
      <w:lvlText w:val="%1.%2、%3.%4.%5.%6.%7.%8."/>
      <w:lvlJc w:val="left"/>
      <w:pPr>
        <w:ind w:left="7920" w:hanging="2880"/>
      </w:pPr>
      <w:rPr>
        <w:rFonts w:hint="default" w:ascii="宋体" w:hAnsi="宋体" w:eastAsia="宋体"/>
      </w:rPr>
    </w:lvl>
    <w:lvl w:ilvl="8" w:tentative="0">
      <w:start w:val="1"/>
      <w:numFmt w:val="decimal"/>
      <w:lvlText w:val="%1.%2、%3.%4.%5.%6.%7.%8.%9."/>
      <w:lvlJc w:val="left"/>
      <w:pPr>
        <w:ind w:left="8640" w:hanging="2880"/>
      </w:pPr>
      <w:rPr>
        <w:rFonts w:hint="default" w:ascii="宋体" w:hAnsi="宋体" w:eastAsia="宋体"/>
      </w:rPr>
    </w:lvl>
  </w:abstractNum>
  <w:abstractNum w:abstractNumId="34">
    <w:nsid w:val="00000023"/>
    <w:multiLevelType w:val="multilevel"/>
    <w:tmpl w:val="0000002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00000024"/>
    <w:multiLevelType w:val="multilevel"/>
    <w:tmpl w:val="0000002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00000025"/>
    <w:multiLevelType w:val="singleLevel"/>
    <w:tmpl w:val="00000025"/>
    <w:lvl w:ilvl="0" w:tentative="0">
      <w:start w:val="1"/>
      <w:numFmt w:val="decimal"/>
      <w:suff w:val="nothing"/>
      <w:lvlText w:val="%1、"/>
      <w:lvlJc w:val="left"/>
    </w:lvl>
  </w:abstractNum>
  <w:abstractNum w:abstractNumId="37">
    <w:nsid w:val="00000026"/>
    <w:multiLevelType w:val="multilevel"/>
    <w:tmpl w:val="0000002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00000027"/>
    <w:multiLevelType w:val="multilevel"/>
    <w:tmpl w:val="000000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00000028"/>
    <w:multiLevelType w:val="multilevel"/>
    <w:tmpl w:val="0000002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00000029"/>
    <w:multiLevelType w:val="singleLevel"/>
    <w:tmpl w:val="00000029"/>
    <w:lvl w:ilvl="0" w:tentative="0">
      <w:start w:val="1"/>
      <w:numFmt w:val="decimal"/>
      <w:suff w:val="nothing"/>
      <w:lvlText w:val="%1、"/>
      <w:lvlJc w:val="left"/>
    </w:lvl>
  </w:abstractNum>
  <w:abstractNum w:abstractNumId="41">
    <w:nsid w:val="0000002A"/>
    <w:multiLevelType w:val="multilevel"/>
    <w:tmpl w:val="0000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2B"/>
    <w:multiLevelType w:val="multilevel"/>
    <w:tmpl w:val="0000002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0000002C"/>
    <w:multiLevelType w:val="multilevel"/>
    <w:tmpl w:val="000000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61B116F0"/>
    <w:multiLevelType w:val="singleLevel"/>
    <w:tmpl w:val="61B116F0"/>
    <w:lvl w:ilvl="0" w:tentative="0">
      <w:start w:val="1"/>
      <w:numFmt w:val="decimal"/>
      <w:suff w:val="nothing"/>
      <w:lvlText w:val="%1、"/>
      <w:lvlJc w:val="left"/>
    </w:lvl>
  </w:abstractNum>
  <w:num w:numId="1">
    <w:abstractNumId w:val="10"/>
  </w:num>
  <w:num w:numId="2">
    <w:abstractNumId w:val="8"/>
  </w:num>
  <w:num w:numId="3">
    <w:abstractNumId w:val="9"/>
  </w:num>
  <w:num w:numId="4">
    <w:abstractNumId w:val="7"/>
  </w:num>
  <w:num w:numId="5">
    <w:abstractNumId w:val="15"/>
  </w:num>
  <w:num w:numId="6">
    <w:abstractNumId w:val="11"/>
  </w:num>
  <w:num w:numId="7">
    <w:abstractNumId w:val="6"/>
  </w:num>
  <w:num w:numId="8">
    <w:abstractNumId w:val="12"/>
  </w:num>
  <w:num w:numId="9">
    <w:abstractNumId w:val="20"/>
  </w:num>
  <w:num w:numId="10">
    <w:abstractNumId w:val="21"/>
  </w:num>
  <w:num w:numId="11">
    <w:abstractNumId w:val="42"/>
  </w:num>
  <w:num w:numId="12">
    <w:abstractNumId w:val="26"/>
  </w:num>
  <w:num w:numId="13">
    <w:abstractNumId w:val="23"/>
  </w:num>
  <w:num w:numId="14">
    <w:abstractNumId w:val="16"/>
  </w:num>
  <w:num w:numId="15">
    <w:abstractNumId w:val="18"/>
  </w:num>
  <w:num w:numId="16">
    <w:abstractNumId w:val="25"/>
  </w:num>
  <w:num w:numId="17">
    <w:abstractNumId w:val="33"/>
  </w:num>
  <w:num w:numId="18">
    <w:abstractNumId w:val="40"/>
  </w:num>
  <w:num w:numId="19">
    <w:abstractNumId w:val="4"/>
  </w:num>
  <w:num w:numId="20">
    <w:abstractNumId w:val="19"/>
  </w:num>
  <w:num w:numId="21">
    <w:abstractNumId w:val="5"/>
  </w:num>
  <w:num w:numId="22">
    <w:abstractNumId w:val="1"/>
  </w:num>
  <w:num w:numId="23">
    <w:abstractNumId w:val="3"/>
  </w:num>
  <w:num w:numId="24">
    <w:abstractNumId w:val="36"/>
  </w:num>
  <w:num w:numId="25">
    <w:abstractNumId w:val="29"/>
  </w:num>
  <w:num w:numId="26">
    <w:abstractNumId w:val="32"/>
  </w:num>
  <w:num w:numId="27">
    <w:abstractNumId w:val="44"/>
  </w:num>
  <w:num w:numId="28">
    <w:abstractNumId w:val="2"/>
  </w:num>
  <w:num w:numId="29">
    <w:abstractNumId w:val="0"/>
  </w:num>
  <w:num w:numId="30">
    <w:abstractNumId w:val="22"/>
  </w:num>
  <w:num w:numId="31">
    <w:abstractNumId w:val="28"/>
  </w:num>
  <w:num w:numId="32">
    <w:abstractNumId w:val="34"/>
  </w:num>
  <w:num w:numId="33">
    <w:abstractNumId w:val="35"/>
  </w:num>
  <w:num w:numId="34">
    <w:abstractNumId w:val="27"/>
  </w:num>
  <w:num w:numId="35">
    <w:abstractNumId w:val="24"/>
  </w:num>
  <w:num w:numId="36">
    <w:abstractNumId w:val="30"/>
  </w:num>
  <w:num w:numId="37">
    <w:abstractNumId w:val="17"/>
  </w:num>
  <w:num w:numId="38">
    <w:abstractNumId w:val="39"/>
  </w:num>
  <w:num w:numId="39">
    <w:abstractNumId w:val="31"/>
  </w:num>
  <w:num w:numId="40">
    <w:abstractNumId w:val="14"/>
  </w:num>
  <w:num w:numId="41">
    <w:abstractNumId w:val="43"/>
  </w:num>
  <w:num w:numId="42">
    <w:abstractNumId w:val="38"/>
  </w:num>
  <w:num w:numId="43">
    <w:abstractNumId w:val="37"/>
  </w:num>
  <w:num w:numId="44">
    <w:abstractNumId w:val="4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2A9"/>
    <w:rsid w:val="00152EAA"/>
    <w:rsid w:val="001C51DB"/>
    <w:rsid w:val="003765BB"/>
    <w:rsid w:val="00555CA5"/>
    <w:rsid w:val="005A283C"/>
    <w:rsid w:val="005F14E0"/>
    <w:rsid w:val="006A1C3C"/>
    <w:rsid w:val="00822091"/>
    <w:rsid w:val="008C5269"/>
    <w:rsid w:val="008E04C8"/>
    <w:rsid w:val="00952E94"/>
    <w:rsid w:val="009E5BFA"/>
    <w:rsid w:val="00AA4653"/>
    <w:rsid w:val="00AA58BD"/>
    <w:rsid w:val="00BF371C"/>
    <w:rsid w:val="00C650D8"/>
    <w:rsid w:val="00CF0427"/>
    <w:rsid w:val="00D34263"/>
    <w:rsid w:val="00D55A9D"/>
    <w:rsid w:val="00E5180A"/>
    <w:rsid w:val="00E55020"/>
    <w:rsid w:val="00EA22A9"/>
    <w:rsid w:val="00ED5B33"/>
    <w:rsid w:val="00EE3A4A"/>
    <w:rsid w:val="00F363C5"/>
    <w:rsid w:val="00F42440"/>
    <w:rsid w:val="00FC2A53"/>
    <w:rsid w:val="02AE4466"/>
    <w:rsid w:val="04A5167B"/>
    <w:rsid w:val="0E194A67"/>
    <w:rsid w:val="115B29B6"/>
    <w:rsid w:val="123B4C9C"/>
    <w:rsid w:val="12CD51A6"/>
    <w:rsid w:val="18CF675C"/>
    <w:rsid w:val="1A036A5A"/>
    <w:rsid w:val="1B3A4999"/>
    <w:rsid w:val="1CF10119"/>
    <w:rsid w:val="1F4938F9"/>
    <w:rsid w:val="21461424"/>
    <w:rsid w:val="2201359C"/>
    <w:rsid w:val="29EF229C"/>
    <w:rsid w:val="2C56385D"/>
    <w:rsid w:val="326014D8"/>
    <w:rsid w:val="35AF2518"/>
    <w:rsid w:val="3A9D6F74"/>
    <w:rsid w:val="3C691BAE"/>
    <w:rsid w:val="3E06301A"/>
    <w:rsid w:val="3EC7556A"/>
    <w:rsid w:val="40786DB5"/>
    <w:rsid w:val="432D6C57"/>
    <w:rsid w:val="46A94C44"/>
    <w:rsid w:val="47BE6C7B"/>
    <w:rsid w:val="4B8353EC"/>
    <w:rsid w:val="50E72832"/>
    <w:rsid w:val="5447559E"/>
    <w:rsid w:val="54750091"/>
    <w:rsid w:val="5C994B56"/>
    <w:rsid w:val="5D9C7A9C"/>
    <w:rsid w:val="612E2A8C"/>
    <w:rsid w:val="73591771"/>
    <w:rsid w:val="7423160F"/>
    <w:rsid w:val="75353412"/>
    <w:rsid w:val="7B8C2519"/>
    <w:rsid w:val="7C047ACC"/>
    <w:rsid w:val="7EE007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9"/>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4">
    <w:name w:val="heading 2"/>
    <w:basedOn w:val="1"/>
    <w:next w:val="1"/>
    <w:link w:val="28"/>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1"/>
    <w:link w:val="29"/>
    <w:qFormat/>
    <w:uiPriority w:val="99"/>
    <w:pPr>
      <w:spacing w:before="360" w:after="120"/>
      <w:jc w:val="left"/>
      <w:outlineLvl w:val="2"/>
    </w:pPr>
    <w:rPr>
      <w:rFonts w:ascii="宋体" w:cs="宋体"/>
      <w:b/>
      <w:bCs/>
      <w:sz w:val="24"/>
      <w:szCs w:val="24"/>
      <w:u w:val="single"/>
    </w:rPr>
  </w:style>
  <w:style w:type="paragraph" w:styleId="6">
    <w:name w:val="heading 4"/>
    <w:basedOn w:val="1"/>
    <w:next w:val="1"/>
    <w:link w:val="30"/>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7">
    <w:name w:val="heading 5"/>
    <w:basedOn w:val="1"/>
    <w:next w:val="1"/>
    <w:link w:val="31"/>
    <w:qFormat/>
    <w:uiPriority w:val="99"/>
    <w:pPr>
      <w:keepNext/>
      <w:keepLines/>
      <w:spacing w:line="372" w:lineRule="auto"/>
      <w:outlineLvl w:val="4"/>
    </w:pPr>
    <w:rPr>
      <w:b/>
      <w:bCs/>
      <w:sz w:val="28"/>
      <w:szCs w:val="28"/>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semiHidden/>
    <w:qFormat/>
    <w:uiPriority w:val="99"/>
    <w:pPr>
      <w:spacing w:before="120"/>
    </w:pPr>
    <w:rPr>
      <w:rFonts w:ascii="Cambria" w:hAnsi="Cambria" w:cs="Cambria"/>
      <w:sz w:val="24"/>
      <w:szCs w:val="24"/>
    </w:rPr>
  </w:style>
  <w:style w:type="paragraph" w:styleId="9">
    <w:name w:val="Body Text"/>
    <w:basedOn w:val="1"/>
    <w:next w:val="1"/>
    <w:link w:val="32"/>
    <w:qFormat/>
    <w:uiPriority w:val="99"/>
    <w:pPr>
      <w:tabs>
        <w:tab w:val="left" w:pos="567"/>
      </w:tabs>
      <w:spacing w:before="120" w:line="22" w:lineRule="atLeast"/>
    </w:pPr>
    <w:rPr>
      <w:rFonts w:ascii="宋体" w:hAnsi="宋体" w:cs="宋体"/>
      <w:sz w:val="24"/>
      <w:szCs w:val="24"/>
    </w:rPr>
  </w:style>
  <w:style w:type="paragraph" w:styleId="10">
    <w:name w:val="Body Text Indent"/>
    <w:basedOn w:val="1"/>
    <w:link w:val="33"/>
    <w:qFormat/>
    <w:uiPriority w:val="99"/>
    <w:pPr>
      <w:spacing w:line="360" w:lineRule="auto"/>
      <w:ind w:firstLine="570"/>
    </w:pPr>
    <w:rPr>
      <w:sz w:val="24"/>
      <w:szCs w:val="24"/>
    </w:rPr>
  </w:style>
  <w:style w:type="paragraph" w:styleId="11">
    <w:name w:val="toc 3"/>
    <w:basedOn w:val="1"/>
    <w:next w:val="1"/>
    <w:semiHidden/>
    <w:qFormat/>
    <w:uiPriority w:val="99"/>
    <w:pPr>
      <w:ind w:left="840" w:leftChars="400"/>
    </w:pPr>
  </w:style>
  <w:style w:type="paragraph" w:styleId="12">
    <w:name w:val="Plain Text"/>
    <w:basedOn w:val="1"/>
    <w:link w:val="34"/>
    <w:qFormat/>
    <w:uiPriority w:val="99"/>
    <w:rPr>
      <w:rFonts w:ascii="宋体" w:hAnsi="Courier New" w:cs="宋体"/>
    </w:rPr>
  </w:style>
  <w:style w:type="paragraph" w:styleId="13">
    <w:name w:val="footer"/>
    <w:basedOn w:val="1"/>
    <w:link w:val="35"/>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99"/>
  </w:style>
  <w:style w:type="paragraph" w:styleId="16">
    <w:name w:val="footnote text"/>
    <w:basedOn w:val="1"/>
    <w:link w:val="37"/>
    <w:semiHidden/>
    <w:qFormat/>
    <w:uiPriority w:val="99"/>
    <w:pPr>
      <w:snapToGrid w:val="0"/>
      <w:jc w:val="left"/>
    </w:pPr>
    <w:rPr>
      <w:sz w:val="18"/>
      <w:szCs w:val="18"/>
    </w:rPr>
  </w:style>
  <w:style w:type="paragraph" w:styleId="17">
    <w:name w:val="toc 2"/>
    <w:basedOn w:val="1"/>
    <w:next w:val="1"/>
    <w:semiHidden/>
    <w:qFormat/>
    <w:uiPriority w:val="99"/>
    <w:pPr>
      <w:ind w:left="420" w:leftChars="200"/>
    </w:pPr>
  </w:style>
  <w:style w:type="paragraph" w:styleId="18">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19">
    <w:name w:val="Body Text First Indent"/>
    <w:basedOn w:val="9"/>
    <w:next w:val="1"/>
    <w:link w:val="38"/>
    <w:qFormat/>
    <w:uiPriority w:val="99"/>
    <w:pPr>
      <w:autoSpaceDE w:val="0"/>
      <w:autoSpaceDN w:val="0"/>
      <w:adjustRightInd w:val="0"/>
      <w:spacing w:line="312" w:lineRule="atLeast"/>
      <w:ind w:firstLine="420"/>
    </w:pPr>
    <w:rPr>
      <w:kern w:val="0"/>
    </w:rPr>
  </w:style>
  <w:style w:type="paragraph" w:styleId="20">
    <w:name w:val="Body Text First Indent 2"/>
    <w:basedOn w:val="10"/>
    <w:link w:val="39"/>
    <w:qFormat/>
    <w:uiPriority w:val="99"/>
    <w:pPr>
      <w:ind w:firstLine="420" w:firstLineChars="200"/>
    </w:pPr>
  </w:style>
  <w:style w:type="table" w:styleId="22">
    <w:name w:val="Table Grid"/>
    <w:basedOn w:val="2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5"/>
    <w:qFormat/>
    <w:uiPriority w:val="99"/>
    <w:rPr>
      <w:rFonts w:ascii="Times New Roman" w:hAnsi="Times New Roman" w:eastAsia="宋体" w:cs="Times New Roman"/>
    </w:rPr>
  </w:style>
  <w:style w:type="character" w:customStyle="1" w:styleId="25">
    <w:name w:val="默认段落字体1"/>
    <w:qFormat/>
    <w:uiPriority w:val="99"/>
  </w:style>
  <w:style w:type="character" w:styleId="26">
    <w:name w:val="Hyperlink"/>
    <w:basedOn w:val="23"/>
    <w:qFormat/>
    <w:uiPriority w:val="99"/>
    <w:rPr>
      <w:color w:val="0000FF"/>
      <w:u w:val="single"/>
    </w:rPr>
  </w:style>
  <w:style w:type="character" w:customStyle="1" w:styleId="27">
    <w:name w:val="Heading 1 Char"/>
    <w:basedOn w:val="23"/>
    <w:link w:val="3"/>
    <w:qFormat/>
    <w:locked/>
    <w:uiPriority w:val="99"/>
    <w:rPr>
      <w:rFonts w:ascii="宋体" w:hAnsi="Times New Roman" w:eastAsia="宋体" w:cs="宋体"/>
      <w:b/>
      <w:bCs/>
      <w:kern w:val="44"/>
      <w:sz w:val="20"/>
      <w:szCs w:val="20"/>
    </w:rPr>
  </w:style>
  <w:style w:type="character" w:customStyle="1" w:styleId="28">
    <w:name w:val="Heading 2 Char"/>
    <w:basedOn w:val="23"/>
    <w:link w:val="4"/>
    <w:qFormat/>
    <w:locked/>
    <w:uiPriority w:val="99"/>
    <w:rPr>
      <w:rFonts w:ascii="Cambria" w:hAnsi="Cambria" w:eastAsia="宋体" w:cs="Cambria"/>
      <w:b/>
      <w:bCs/>
      <w:sz w:val="32"/>
      <w:szCs w:val="32"/>
    </w:rPr>
  </w:style>
  <w:style w:type="character" w:customStyle="1" w:styleId="29">
    <w:name w:val="Heading 3 Char"/>
    <w:basedOn w:val="23"/>
    <w:link w:val="5"/>
    <w:qFormat/>
    <w:locked/>
    <w:uiPriority w:val="99"/>
    <w:rPr>
      <w:b/>
      <w:bCs/>
      <w:sz w:val="32"/>
      <w:szCs w:val="32"/>
    </w:rPr>
  </w:style>
  <w:style w:type="character" w:customStyle="1" w:styleId="30">
    <w:name w:val="Heading 4 Char"/>
    <w:basedOn w:val="23"/>
    <w:link w:val="6"/>
    <w:qFormat/>
    <w:locked/>
    <w:uiPriority w:val="99"/>
    <w:rPr>
      <w:rFonts w:ascii="Cambria" w:hAnsi="Cambria" w:eastAsia="宋体" w:cs="Cambria"/>
      <w:b/>
      <w:bCs/>
      <w:sz w:val="28"/>
      <w:szCs w:val="28"/>
    </w:rPr>
  </w:style>
  <w:style w:type="character" w:customStyle="1" w:styleId="31">
    <w:name w:val="Heading 5 Char"/>
    <w:basedOn w:val="23"/>
    <w:link w:val="7"/>
    <w:qFormat/>
    <w:locked/>
    <w:uiPriority w:val="99"/>
    <w:rPr>
      <w:b/>
      <w:bCs/>
      <w:sz w:val="28"/>
      <w:szCs w:val="28"/>
    </w:rPr>
  </w:style>
  <w:style w:type="character" w:customStyle="1" w:styleId="32">
    <w:name w:val="Body Text Char"/>
    <w:basedOn w:val="23"/>
    <w:link w:val="9"/>
    <w:qFormat/>
    <w:locked/>
    <w:uiPriority w:val="99"/>
    <w:rPr>
      <w:sz w:val="21"/>
      <w:szCs w:val="21"/>
    </w:rPr>
  </w:style>
  <w:style w:type="character" w:customStyle="1" w:styleId="33">
    <w:name w:val="Body Text Indent Char"/>
    <w:basedOn w:val="23"/>
    <w:link w:val="10"/>
    <w:qFormat/>
    <w:locked/>
    <w:uiPriority w:val="99"/>
    <w:rPr>
      <w:sz w:val="21"/>
      <w:szCs w:val="21"/>
    </w:rPr>
  </w:style>
  <w:style w:type="character" w:customStyle="1" w:styleId="34">
    <w:name w:val="Plain Text Char"/>
    <w:basedOn w:val="23"/>
    <w:link w:val="12"/>
    <w:qFormat/>
    <w:locked/>
    <w:uiPriority w:val="99"/>
    <w:rPr>
      <w:rFonts w:ascii="宋体" w:hAnsi="Courier New" w:cs="宋体"/>
      <w:sz w:val="21"/>
      <w:szCs w:val="21"/>
    </w:rPr>
  </w:style>
  <w:style w:type="character" w:customStyle="1" w:styleId="35">
    <w:name w:val="Footer Char"/>
    <w:basedOn w:val="23"/>
    <w:link w:val="13"/>
    <w:qFormat/>
    <w:locked/>
    <w:uiPriority w:val="99"/>
    <w:rPr>
      <w:sz w:val="18"/>
      <w:szCs w:val="18"/>
    </w:rPr>
  </w:style>
  <w:style w:type="character" w:customStyle="1" w:styleId="36">
    <w:name w:val="Header Char"/>
    <w:basedOn w:val="23"/>
    <w:link w:val="14"/>
    <w:qFormat/>
    <w:locked/>
    <w:uiPriority w:val="99"/>
    <w:rPr>
      <w:sz w:val="18"/>
      <w:szCs w:val="18"/>
    </w:rPr>
  </w:style>
  <w:style w:type="character" w:customStyle="1" w:styleId="37">
    <w:name w:val="Footnote Text Char"/>
    <w:basedOn w:val="23"/>
    <w:link w:val="16"/>
    <w:qFormat/>
    <w:locked/>
    <w:uiPriority w:val="99"/>
    <w:rPr>
      <w:sz w:val="18"/>
      <w:szCs w:val="18"/>
    </w:rPr>
  </w:style>
  <w:style w:type="character" w:customStyle="1" w:styleId="38">
    <w:name w:val="Body Text First Indent Char"/>
    <w:basedOn w:val="32"/>
    <w:link w:val="19"/>
    <w:qFormat/>
    <w:locked/>
    <w:uiPriority w:val="99"/>
  </w:style>
  <w:style w:type="character" w:customStyle="1" w:styleId="39">
    <w:name w:val="Body Text First Indent 2 Char"/>
    <w:basedOn w:val="33"/>
    <w:link w:val="20"/>
    <w:qFormat/>
    <w:locked/>
    <w:uiPriority w:val="99"/>
  </w:style>
  <w:style w:type="paragraph" w:customStyle="1" w:styleId="40">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41">
    <w:name w:val="Default"/>
    <w:qFormat/>
    <w:uiPriority w:val="99"/>
    <w:pPr>
      <w:widowControl w:val="0"/>
      <w:autoSpaceDE w:val="0"/>
      <w:autoSpaceDN w:val="0"/>
    </w:pPr>
    <w:rPr>
      <w:rFonts w:ascii="宋体" w:hAnsi="Times New Roman" w:eastAsia="宋体" w:cs="宋体"/>
      <w:color w:val="000000"/>
      <w:kern w:val="0"/>
      <w:sz w:val="24"/>
      <w:szCs w:val="24"/>
      <w:lang w:val="en-US" w:eastAsia="zh-CN" w:bidi="ar-SA"/>
    </w:rPr>
  </w:style>
  <w:style w:type="paragraph" w:customStyle="1" w:styleId="42">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43">
    <w:name w:val="索引 11"/>
    <w:basedOn w:val="1"/>
    <w:next w:val="1"/>
    <w:qFormat/>
    <w:uiPriority w:val="99"/>
    <w:pPr>
      <w:spacing w:line="360" w:lineRule="auto"/>
    </w:pPr>
    <w:rPr>
      <w:rFonts w:ascii="仿宋_GB2312" w:eastAsia="仿宋_GB2312" w:cs="仿宋_GB2312"/>
      <w:sz w:val="24"/>
      <w:szCs w:val="24"/>
    </w:rPr>
  </w:style>
  <w:style w:type="paragraph" w:customStyle="1" w:styleId="44">
    <w:name w:val="纯文本1"/>
    <w:basedOn w:val="1"/>
    <w:qFormat/>
    <w:uiPriority w:val="99"/>
    <w:rPr>
      <w:rFonts w:ascii="宋体" w:hAnsi="Courier New" w:cs="宋体"/>
      <w:kern w:val="0"/>
      <w:sz w:val="20"/>
      <w:szCs w:val="20"/>
    </w:rPr>
  </w:style>
  <w:style w:type="character" w:customStyle="1" w:styleId="45">
    <w:name w:val="NormalCharacter"/>
    <w:qFormat/>
    <w:uiPriority w:val="99"/>
    <w:rPr>
      <w:rFonts w:ascii="Times New Roman" w:hAnsi="Times New Roman" w:eastAsia="宋体" w:cs="Times New Roman"/>
      <w:kern w:val="2"/>
      <w:sz w:val="24"/>
      <w:szCs w:val="24"/>
      <w:lang w:val="en-US" w:eastAsia="zh-CN"/>
    </w:rPr>
  </w:style>
  <w:style w:type="paragraph" w:customStyle="1" w:styleId="46">
    <w:name w:val="UserStyle_44"/>
    <w:basedOn w:val="1"/>
    <w:qFormat/>
    <w:uiPriority w:val="99"/>
    <w:pPr>
      <w:spacing w:before="120" w:after="120" w:line="360" w:lineRule="auto"/>
      <w:jc w:val="center"/>
    </w:pPr>
    <w:rPr>
      <w:rFonts w:eastAsia="仿宋_GB2312"/>
      <w:b/>
      <w:bCs/>
      <w:sz w:val="24"/>
      <w:szCs w:val="24"/>
    </w:rPr>
  </w:style>
  <w:style w:type="paragraph" w:customStyle="1" w:styleId="47">
    <w:name w:val="NormalIndent"/>
    <w:basedOn w:val="1"/>
    <w:qFormat/>
    <w:uiPriority w:val="99"/>
    <w:pPr>
      <w:ind w:firstLine="420"/>
      <w:jc w:val="left"/>
    </w:pPr>
    <w:rPr>
      <w:rFonts w:ascii="宋体" w:cs="宋体"/>
      <w:kern w:val="0"/>
      <w:sz w:val="24"/>
      <w:szCs w:val="24"/>
    </w:rPr>
  </w:style>
  <w:style w:type="paragraph" w:customStyle="1" w:styleId="48">
    <w:name w:val="图例"/>
    <w:basedOn w:val="1"/>
    <w:qFormat/>
    <w:uiPriority w:val="99"/>
    <w:pPr>
      <w:spacing w:before="120" w:after="120" w:line="360" w:lineRule="auto"/>
      <w:jc w:val="center"/>
    </w:pPr>
    <w:rPr>
      <w:rFonts w:eastAsia="仿宋_GB2312"/>
      <w:b/>
      <w:bCs/>
      <w:sz w:val="24"/>
      <w:szCs w:val="24"/>
    </w:rPr>
  </w:style>
  <w:style w:type="character" w:customStyle="1" w:styleId="49">
    <w:name w:val="font11"/>
    <w:basedOn w:val="23"/>
    <w:qFormat/>
    <w:uiPriority w:val="99"/>
    <w:rPr>
      <w:rFonts w:ascii="宋体" w:hAnsi="宋体" w:eastAsia="宋体" w:cs="宋体"/>
      <w:color w:val="FF0000"/>
      <w:sz w:val="16"/>
      <w:szCs w:val="16"/>
      <w:u w:val="none"/>
    </w:rPr>
  </w:style>
  <w:style w:type="character" w:customStyle="1" w:styleId="50">
    <w:name w:val="font21"/>
    <w:basedOn w:val="23"/>
    <w:uiPriority w:val="99"/>
    <w:rPr>
      <w:rFonts w:ascii="宋体" w:hAnsi="宋体" w:eastAsia="宋体" w:cs="宋体"/>
      <w:color w:val="000000"/>
      <w:sz w:val="16"/>
      <w:szCs w:val="16"/>
      <w:u w:val="none"/>
    </w:rPr>
  </w:style>
  <w:style w:type="character" w:customStyle="1" w:styleId="51">
    <w:name w:val="style23"/>
    <w:basedOn w:val="23"/>
    <w:qFormat/>
    <w:uiPriority w:val="99"/>
  </w:style>
  <w:style w:type="paragraph" w:customStyle="1" w:styleId="52">
    <w:name w:val="表格文字"/>
    <w:basedOn w:val="1"/>
    <w:qFormat/>
    <w:uiPriority w:val="99"/>
    <w:pPr>
      <w:spacing w:before="25" w:after="25"/>
      <w:jc w:val="left"/>
    </w:pPr>
    <w:rPr>
      <w:spacing w:val="10"/>
      <w:kern w:val="0"/>
      <w:sz w:val="24"/>
      <w:szCs w:val="24"/>
    </w:rPr>
  </w:style>
  <w:style w:type="paragraph" w:styleId="53">
    <w:name w:val="List Paragraph"/>
    <w:basedOn w:val="1"/>
    <w:qFormat/>
    <w:uiPriority w:val="99"/>
    <w:pPr>
      <w:ind w:firstLine="420" w:firstLineChars="200"/>
    </w:pPr>
  </w:style>
  <w:style w:type="character" w:customStyle="1" w:styleId="54">
    <w:name w:val="font01"/>
    <w:basedOn w:val="23"/>
    <w:qFormat/>
    <w:uiPriority w:val="99"/>
    <w:rPr>
      <w:rFonts w:ascii="宋体" w:hAnsi="宋体" w:eastAsia="宋体" w:cs="宋体"/>
      <w:color w:val="000000"/>
      <w:sz w:val="22"/>
      <w:szCs w:val="22"/>
      <w:u w:val="none"/>
    </w:rPr>
  </w:style>
  <w:style w:type="character" w:customStyle="1" w:styleId="55">
    <w:name w:val="font71"/>
    <w:basedOn w:val="23"/>
    <w:uiPriority w:val="99"/>
    <w:rPr>
      <w:rFonts w:ascii="Arial" w:hAnsi="Arial" w:cs="Arial"/>
      <w:color w:val="000000"/>
      <w:sz w:val="22"/>
      <w:szCs w:val="22"/>
      <w:u w:val="none"/>
    </w:rPr>
  </w:style>
  <w:style w:type="character" w:customStyle="1" w:styleId="56">
    <w:name w:val="font81"/>
    <w:basedOn w:val="23"/>
    <w:uiPriority w:val="99"/>
    <w:rPr>
      <w:rFonts w:ascii="Calibri" w:hAnsi="Calibri" w:cs="Calibri"/>
      <w:color w:val="000000"/>
      <w:sz w:val="22"/>
      <w:szCs w:val="22"/>
      <w:u w:val="none"/>
    </w:rPr>
  </w:style>
  <w:style w:type="character" w:customStyle="1" w:styleId="57">
    <w:name w:val="font91"/>
    <w:basedOn w:val="23"/>
    <w:qFormat/>
    <w:uiPriority w:val="99"/>
    <w:rPr>
      <w:rFonts w:ascii="宋体" w:hAnsi="宋体" w:eastAsia="宋体" w:cs="宋体"/>
      <w:color w:val="FF0000"/>
      <w:sz w:val="22"/>
      <w:szCs w:val="22"/>
      <w:u w:val="none"/>
    </w:rPr>
  </w:style>
  <w:style w:type="paragraph" w:customStyle="1" w:styleId="58">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59">
    <w:name w:val="Table Normal1"/>
    <w:qFormat/>
    <w:uiPriority w:val="99"/>
    <w:rPr>
      <w:kern w:val="0"/>
      <w:sz w:val="20"/>
      <w:szCs w:val="20"/>
    </w:rPr>
    <w:tblPr>
      <w:tblCellMar>
        <w:top w:w="0" w:type="dxa"/>
        <w:left w:w="0" w:type="dxa"/>
        <w:bottom w:w="0" w:type="dxa"/>
        <w:right w:w="0" w:type="dxa"/>
      </w:tblCellMar>
    </w:tblPr>
  </w:style>
  <w:style w:type="character" w:customStyle="1" w:styleId="60">
    <w:name w:val="font31"/>
    <w:basedOn w:val="23"/>
    <w:qFormat/>
    <w:uiPriority w:val="99"/>
    <w:rPr>
      <w:rFonts w:ascii="宋体" w:hAnsi="宋体" w:eastAsia="宋体" w:cs="宋体"/>
      <w:color w:val="000000"/>
      <w:sz w:val="22"/>
      <w:szCs w:val="22"/>
      <w:u w:val="none"/>
    </w:rPr>
  </w:style>
  <w:style w:type="character" w:customStyle="1" w:styleId="61">
    <w:name w:val="font101"/>
    <w:basedOn w:val="23"/>
    <w:qFormat/>
    <w:uiPriority w:val="99"/>
    <w:rPr>
      <w:rFonts w:ascii="Calibri" w:hAnsi="Calibri" w:cs="Calibri"/>
      <w:color w:val="000000"/>
      <w:sz w:val="22"/>
      <w:szCs w:val="22"/>
      <w:u w:val="none"/>
    </w:rPr>
  </w:style>
  <w:style w:type="character" w:customStyle="1" w:styleId="62">
    <w:name w:val="font41"/>
    <w:basedOn w:val="23"/>
    <w:qFormat/>
    <w:uiPriority w:val="99"/>
    <w:rPr>
      <w:rFonts w:ascii="宋体" w:hAnsi="宋体" w:eastAsia="宋体" w:cs="宋体"/>
      <w:color w:val="000000"/>
      <w:sz w:val="22"/>
      <w:szCs w:val="22"/>
      <w:u w:val="none"/>
    </w:rPr>
  </w:style>
  <w:style w:type="character" w:customStyle="1" w:styleId="63">
    <w:name w:val="font51"/>
    <w:basedOn w:val="23"/>
    <w:qFormat/>
    <w:uiPriority w:val="99"/>
    <w:rPr>
      <w:rFonts w:ascii="宋体" w:hAnsi="宋体" w:eastAsia="宋体" w:cs="宋体"/>
      <w:color w:val="000000"/>
      <w:sz w:val="22"/>
      <w:szCs w:val="22"/>
      <w:u w:val="none"/>
    </w:rPr>
  </w:style>
  <w:style w:type="character" w:customStyle="1" w:styleId="64">
    <w:name w:val="font61"/>
    <w:basedOn w:val="23"/>
    <w:qFormat/>
    <w:uiPriority w:val="99"/>
    <w:rPr>
      <w:rFonts w:ascii="宋体" w:hAnsi="宋体" w:eastAsia="宋体" w:cs="宋体"/>
      <w:color w:val="000000"/>
      <w:sz w:val="22"/>
      <w:szCs w:val="22"/>
      <w:u w:val="none"/>
      <w:vertAlign w:val="superscript"/>
    </w:rPr>
  </w:style>
  <w:style w:type="paragraph" w:customStyle="1" w:styleId="65">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221</Pages>
  <Words>22939</Words>
  <Lines>0</Lines>
  <Paragraphs>0</Paragraphs>
  <TotalTime>90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指尖的阳光</cp:lastModifiedBy>
  <cp:lastPrinted>2021-09-23T06:13:00Z</cp:lastPrinted>
  <dcterms:modified xsi:type="dcterms:W3CDTF">2021-10-15T04:17:34Z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09BC74B286E84F3A9B8EDBEB306BDB88</vt:lpwstr>
  </property>
</Properties>
</file>