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27"/>
        </w:tabs>
        <w:spacing w:before="24"/>
        <w:ind w:left="140"/>
        <w:jc w:val="center"/>
        <w:rPr>
          <w:color w:val="auto"/>
        </w:rPr>
      </w:pPr>
      <w:r>
        <w:rPr>
          <w:rFonts w:hint="eastAsia"/>
          <w:color w:val="auto"/>
        </w:rPr>
        <w:t>项目采购需求</w:t>
      </w:r>
    </w:p>
    <w:p>
      <w:pPr>
        <w:adjustRightInd w:val="0"/>
        <w:snapToGrid w:val="0"/>
        <w:ind w:firstLine="480" w:firstLineChars="200"/>
        <w:jc w:val="left"/>
        <w:rPr>
          <w:rFonts w:hint="eastAsia" w:ascii="宋体" w:hAnsi="宋体" w:eastAsia="宋体" w:cs="宋体"/>
          <w:color w:val="auto"/>
          <w:sz w:val="24"/>
          <w:szCs w:val="24"/>
        </w:rPr>
      </w:pPr>
    </w:p>
    <w:p>
      <w:pPr>
        <w:pStyle w:val="5"/>
        <w:rPr>
          <w:rFonts w:hint="eastAsia"/>
          <w:color w:val="auto"/>
        </w:rPr>
      </w:pPr>
    </w:p>
    <w:p>
      <w:pPr>
        <w:pStyle w:val="5"/>
        <w:rPr>
          <w:color w:val="auto"/>
        </w:rPr>
      </w:pPr>
    </w:p>
    <w:tbl>
      <w:tblPr>
        <w:tblStyle w:val="6"/>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930"/>
        <w:gridCol w:w="767"/>
        <w:gridCol w:w="66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898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hd w:val="clear" w:color="auto" w:fill="FFFFFF"/>
              <w:kinsoku/>
              <w:wordWrap/>
              <w:overflowPunct/>
              <w:topLinePunct w:val="0"/>
              <w:autoSpaceDE w:val="0"/>
              <w:autoSpaceDN w:val="0"/>
              <w:bidi w:val="0"/>
              <w:adjustRightInd/>
              <w:snapToGrid w:val="0"/>
              <w:spacing w:line="240" w:lineRule="auto"/>
              <w:ind w:right="0" w:firstLine="487" w:firstLineChars="202"/>
              <w:jc w:val="center"/>
              <w:textAlignment w:val="auto"/>
              <w:rPr>
                <w:rFonts w:hint="eastAsia" w:ascii="宋体" w:hAnsi="宋体" w:eastAsia="宋体" w:cs="宋体"/>
                <w:b/>
                <w:bCs/>
                <w:color w:val="auto"/>
                <w:sz w:val="24"/>
                <w:szCs w:val="24"/>
                <w:shd w:val="clear" w:color="auto" w:fill="auto"/>
                <w:lang w:eastAsia="zh-CN"/>
              </w:rPr>
            </w:pPr>
            <w:r>
              <w:rPr>
                <w:rFonts w:hint="eastAsia" w:ascii="宋体" w:hAnsi="宋体" w:eastAsia="宋体" w:cs="宋体"/>
                <w:b/>
                <w:bCs/>
                <w:color w:val="auto"/>
                <w:sz w:val="24"/>
                <w:szCs w:val="24"/>
                <w:shd w:val="clear" w:color="auto" w:fill="auto"/>
                <w:lang w:eastAsia="zh-CN"/>
              </w:rPr>
              <w:t>一、项目采购相关要求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shd w:val="clear" w:color="auto" w:fill="FFFFFF"/>
              <w:kinsoku/>
              <w:wordWrap/>
              <w:overflowPunct/>
              <w:topLinePunct w:val="0"/>
              <w:autoSpaceDE w:val="0"/>
              <w:autoSpaceDN w:val="0"/>
              <w:bidi w:val="0"/>
              <w:adjustRightInd/>
              <w:snapToGrid w:val="0"/>
              <w:spacing w:line="240" w:lineRule="auto"/>
              <w:ind w:right="0"/>
              <w:jc w:val="center"/>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项号</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val="0"/>
              <w:autoSpaceDN w:val="0"/>
              <w:bidi w:val="0"/>
              <w:adjustRightInd/>
              <w:snapToGrid w:val="0"/>
              <w:spacing w:line="240" w:lineRule="auto"/>
              <w:ind w:right="0"/>
              <w:jc w:val="center"/>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服务名称</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val="0"/>
              <w:autoSpaceDN w:val="0"/>
              <w:bidi w:val="0"/>
              <w:adjustRightInd/>
              <w:snapToGrid w:val="0"/>
              <w:spacing w:line="240" w:lineRule="auto"/>
              <w:ind w:right="0"/>
              <w:jc w:val="center"/>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数量</w:t>
            </w:r>
          </w:p>
        </w:tc>
        <w:tc>
          <w:tcPr>
            <w:tcW w:w="6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val="0"/>
              <w:autoSpaceDN w:val="0"/>
              <w:bidi w:val="0"/>
              <w:adjustRightInd/>
              <w:snapToGrid w:val="0"/>
              <w:spacing w:line="240" w:lineRule="auto"/>
              <w:ind w:right="0" w:firstLine="487" w:firstLineChars="202"/>
              <w:jc w:val="center"/>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143" w:firstLine="484" w:firstLineChars="202"/>
              <w:jc w:val="left"/>
              <w:rPr>
                <w:rFonts w:hint="eastAsia" w:ascii="宋体" w:hAnsi="宋体" w:eastAsia="宋体" w:cs="宋体"/>
                <w:color w:val="auto"/>
                <w:sz w:val="24"/>
                <w:szCs w:val="24"/>
                <w:shd w:val="clear" w:color="auto" w:fill="auto"/>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ind w:right="-27"/>
              <w:jc w:val="left"/>
              <w:rPr>
                <w:rFonts w:hint="eastAsia" w:ascii="宋体" w:hAnsi="宋体" w:eastAsia="宋体" w:cs="宋体"/>
                <w:color w:val="auto"/>
                <w:sz w:val="24"/>
                <w:szCs w:val="24"/>
                <w:shd w:val="clear" w:color="auto" w:fill="auto"/>
                <w:lang w:eastAsia="zh-CN"/>
              </w:rPr>
            </w:pPr>
          </w:p>
          <w:p>
            <w:pPr>
              <w:widowControl/>
              <w:shd w:val="clear" w:color="auto" w:fill="FFFFFF"/>
              <w:snapToGrid w:val="0"/>
              <w:spacing w:line="360" w:lineRule="auto"/>
              <w:ind w:right="-27"/>
              <w:jc w:val="left"/>
              <w:rPr>
                <w:rFonts w:hint="eastAsia" w:ascii="宋体" w:hAnsi="宋体" w:eastAsia="宋体" w:cs="宋体"/>
                <w:color w:val="auto"/>
                <w:sz w:val="24"/>
                <w:szCs w:val="24"/>
                <w:shd w:val="clear" w:color="auto" w:fill="auto"/>
                <w:lang w:eastAsia="zh-CN"/>
              </w:rPr>
            </w:pPr>
            <w:r>
              <w:rPr>
                <w:rFonts w:hint="eastAsia" w:cs="宋体"/>
                <w:color w:val="auto"/>
                <w:sz w:val="24"/>
                <w:szCs w:val="24"/>
                <w:shd w:val="clear" w:color="auto" w:fill="auto"/>
                <w:lang w:eastAsia="zh-CN"/>
              </w:rPr>
              <w:t>融水苗族自治县永乐镇、白云乡农村“房地一体”不动产确权登记项目</w:t>
            </w:r>
          </w:p>
          <w:p>
            <w:pPr>
              <w:pStyle w:val="5"/>
              <w:rPr>
                <w:rFonts w:hint="eastAsia" w:ascii="宋体" w:hAnsi="宋体" w:eastAsia="宋体" w:cs="宋体"/>
                <w:color w:val="auto"/>
                <w:sz w:val="24"/>
                <w:szCs w:val="24"/>
                <w:shd w:val="clear" w:color="auto" w:fill="auto"/>
                <w:lang w:eastAsia="zh-CN"/>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napToGrid w:val="0"/>
              <w:spacing w:line="360" w:lineRule="auto"/>
              <w:ind w:right="-27"/>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1项</w:t>
            </w:r>
          </w:p>
          <w:p>
            <w:pPr>
              <w:widowControl/>
              <w:shd w:val="clear" w:color="auto" w:fill="FFFFFF"/>
              <w:snapToGrid w:val="0"/>
              <w:spacing w:line="360" w:lineRule="auto"/>
              <w:ind w:right="-27" w:firstLine="484" w:firstLineChars="202"/>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firstLine="484" w:firstLineChars="202"/>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firstLine="484" w:firstLineChars="202"/>
              <w:jc w:val="center"/>
              <w:rPr>
                <w:rFonts w:hint="eastAsia" w:ascii="宋体" w:hAnsi="宋体" w:eastAsia="宋体" w:cs="宋体"/>
                <w:color w:val="auto"/>
                <w:sz w:val="24"/>
                <w:szCs w:val="24"/>
                <w:shd w:val="clear" w:color="auto" w:fill="auto"/>
              </w:rPr>
            </w:pPr>
          </w:p>
          <w:p>
            <w:pPr>
              <w:widowControl/>
              <w:shd w:val="clear" w:color="auto" w:fill="FFFFFF"/>
              <w:snapToGrid w:val="0"/>
              <w:spacing w:line="360" w:lineRule="auto"/>
              <w:ind w:right="-27" w:firstLine="484" w:firstLineChars="202"/>
              <w:jc w:val="center"/>
              <w:rPr>
                <w:rFonts w:hint="eastAsia" w:ascii="宋体" w:hAnsi="宋体" w:eastAsia="宋体" w:cs="宋体"/>
                <w:color w:val="auto"/>
                <w:sz w:val="24"/>
                <w:szCs w:val="24"/>
                <w:shd w:val="clear" w:color="auto" w:fill="auto"/>
              </w:rPr>
            </w:pPr>
          </w:p>
        </w:tc>
        <w:tc>
          <w:tcPr>
            <w:tcW w:w="66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14" w:leftChars="0" w:firstLine="646" w:firstLineChars="0"/>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项目基本情况</w:t>
            </w:r>
          </w:p>
          <w:p>
            <w:pPr>
              <w:keepNext w:val="0"/>
              <w:keepLines w:val="0"/>
              <w:pageBreakBefore w:val="0"/>
              <w:widowControl w:val="0"/>
              <w:numPr>
                <w:ilvl w:val="0"/>
                <w:numId w:val="2"/>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color w:val="auto"/>
                <w:sz w:val="24"/>
              </w:rPr>
              <w:t>采购</w:t>
            </w:r>
            <w:r>
              <w:rPr>
                <w:rFonts w:hint="eastAsia" w:ascii="宋体" w:hAnsi="宋体" w:eastAsia="宋体" w:cs="宋体"/>
                <w:color w:val="auto"/>
                <w:sz w:val="24"/>
                <w:szCs w:val="24"/>
                <w:shd w:val="clear" w:color="auto" w:fill="auto"/>
              </w:rPr>
              <w:t>单位：</w:t>
            </w:r>
            <w:r>
              <w:rPr>
                <w:rFonts w:hint="eastAsia" w:ascii="宋体" w:hAnsi="宋体" w:eastAsia="宋体" w:cs="宋体"/>
                <w:color w:val="auto"/>
                <w:sz w:val="24"/>
                <w:szCs w:val="24"/>
                <w:shd w:val="clear" w:color="auto" w:fill="auto"/>
                <w:lang w:eastAsia="zh-CN"/>
              </w:rPr>
              <w:t>融水苗族自治县自然资源和规划局</w:t>
            </w:r>
          </w:p>
          <w:p>
            <w:pPr>
              <w:keepNext w:val="0"/>
              <w:keepLines w:val="0"/>
              <w:pageBreakBefore w:val="0"/>
              <w:widowControl w:val="0"/>
              <w:numPr>
                <w:ilvl w:val="0"/>
                <w:numId w:val="2"/>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项目地点：融水苗族自治县县域范围内</w:t>
            </w:r>
          </w:p>
          <w:p>
            <w:pPr>
              <w:keepNext w:val="0"/>
              <w:keepLines w:val="0"/>
              <w:pageBreakBefore w:val="0"/>
              <w:widowControl w:val="0"/>
              <w:numPr>
                <w:ilvl w:val="0"/>
                <w:numId w:val="2"/>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项目背景</w:t>
            </w:r>
            <w:r>
              <w:rPr>
                <w:rFonts w:hint="eastAsia" w:ascii="宋体" w:hAnsi="宋体" w:eastAsia="宋体" w:cs="宋体"/>
                <w:color w:val="auto"/>
                <w:sz w:val="24"/>
                <w:szCs w:val="24"/>
                <w:shd w:val="clear" w:color="auto" w:fill="auto"/>
              </w:rPr>
              <w:t>：为贯彻落实《中共中央国务院关于坚持农业农村优先发展 做好“三农”工作的若干意见》（中发〔2019〕1 号）“加快 推进宅基地使用权确权登记颁证工作，力争 2020 年基本完 成”的精神和国家“十三五”有关目标任务，根据《自然资源 部自然资源确权登记局关于进一步做好农村不动产确权登记工 作的通知》（自然资登记函〔2019〕6 号）和《广西壮族自治 区自然资源厅关于进一步做好农村不动产确权登记工作的通 知》（桂自然资发〔2019〕57 号）、广西壮族自治区自然资 源厅关于加快推进全区农村不动产确权登记工作的指导意见 （桂自然资发〔2020〕44号）、广西壮族自治区自然资源厅关 于全面开展农村“房地一体”不动产确权登记发证工作的通知 （桂自然资发〔2021〕7号） 文件的要求，因地制宜开展农村 不动产权籍调查，包括宅基地、集体建设用地及其地上房屋等 建筑物、构筑物的权籍调查，支撑和保障宅基地和集体建设用 地使用权确权登记发证工作，为全面推进农村不动产统一登记打下坚实基础。</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14" w:leftChars="0" w:firstLine="646" w:firstLineChars="0"/>
              <w:textAlignment w:val="auto"/>
              <w:rPr>
                <w:rFonts w:hint="eastAsia" w:ascii="宋体" w:hAnsi="宋体" w:eastAsia="宋体" w:cs="宋体"/>
                <w:b/>
                <w:color w:val="auto"/>
                <w:sz w:val="24"/>
                <w:szCs w:val="24"/>
                <w:shd w:val="clear" w:color="auto" w:fill="auto"/>
                <w:lang w:eastAsia="zh-CN"/>
              </w:rPr>
            </w:pPr>
            <w:r>
              <w:rPr>
                <w:rFonts w:hint="eastAsia" w:cs="宋体"/>
                <w:b/>
                <w:color w:val="auto"/>
                <w:sz w:val="24"/>
                <w:szCs w:val="24"/>
                <w:shd w:val="clear" w:color="auto" w:fill="auto"/>
                <w:lang w:eastAsia="zh-CN"/>
              </w:rPr>
              <w:t>项目实施</w:t>
            </w:r>
            <w:r>
              <w:rPr>
                <w:rFonts w:hint="eastAsia" w:ascii="宋体" w:hAnsi="宋体" w:eastAsia="宋体" w:cs="宋体"/>
                <w:b/>
                <w:color w:val="auto"/>
                <w:sz w:val="24"/>
                <w:szCs w:val="24"/>
                <w:shd w:val="clear" w:color="auto" w:fill="auto"/>
                <w:lang w:eastAsia="zh-CN"/>
              </w:rPr>
              <w:t>要求</w:t>
            </w:r>
          </w:p>
          <w:p>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本项目涉及不动产宗数共计</w:t>
            </w:r>
            <w:r>
              <w:rPr>
                <w:rFonts w:hint="eastAsia" w:cs="宋体"/>
                <w:color w:val="auto"/>
                <w:sz w:val="24"/>
                <w:szCs w:val="24"/>
                <w:shd w:val="clear" w:color="auto" w:fill="auto"/>
                <w:lang w:val="en-US" w:eastAsia="zh-CN"/>
              </w:rPr>
              <w:t>18081</w:t>
            </w:r>
            <w:r>
              <w:rPr>
                <w:rFonts w:hint="eastAsia" w:ascii="宋体" w:hAnsi="宋体" w:eastAsia="宋体" w:cs="宋体"/>
                <w:color w:val="auto"/>
                <w:sz w:val="24"/>
                <w:szCs w:val="24"/>
                <w:shd w:val="clear" w:color="auto" w:fill="auto"/>
                <w:lang w:val="en-US" w:eastAsia="zh-CN"/>
              </w:rPr>
              <w:t>宗，其中</w:t>
            </w:r>
            <w:r>
              <w:rPr>
                <w:rFonts w:hint="eastAsia" w:cs="宋体"/>
                <w:color w:val="auto"/>
                <w:sz w:val="24"/>
                <w:szCs w:val="24"/>
                <w:shd w:val="clear" w:color="auto" w:fill="auto"/>
                <w:lang w:val="en-US" w:eastAsia="zh-CN"/>
              </w:rPr>
              <w:t>永乐</w:t>
            </w:r>
            <w:r>
              <w:rPr>
                <w:rFonts w:hint="eastAsia" w:ascii="宋体" w:hAnsi="宋体" w:eastAsia="宋体" w:cs="宋体"/>
                <w:color w:val="auto"/>
                <w:sz w:val="24"/>
                <w:szCs w:val="24"/>
                <w:shd w:val="clear" w:color="auto" w:fill="auto"/>
                <w:lang w:val="en-US" w:eastAsia="zh-CN"/>
              </w:rPr>
              <w:t>镇</w:t>
            </w:r>
            <w:r>
              <w:rPr>
                <w:rFonts w:hint="eastAsia" w:cs="宋体"/>
                <w:color w:val="auto"/>
                <w:sz w:val="24"/>
                <w:szCs w:val="24"/>
                <w:shd w:val="clear" w:color="auto" w:fill="auto"/>
                <w:lang w:val="en-US" w:eastAsia="zh-CN"/>
              </w:rPr>
              <w:t>9274</w:t>
            </w:r>
            <w:r>
              <w:rPr>
                <w:rFonts w:hint="eastAsia" w:ascii="宋体" w:hAnsi="宋体" w:eastAsia="宋体" w:cs="宋体"/>
                <w:color w:val="auto"/>
                <w:sz w:val="24"/>
                <w:szCs w:val="24"/>
                <w:shd w:val="clear" w:color="auto" w:fill="auto"/>
                <w:lang w:val="en-US" w:eastAsia="zh-CN"/>
              </w:rPr>
              <w:t>宗、</w:t>
            </w:r>
            <w:r>
              <w:rPr>
                <w:rFonts w:hint="eastAsia" w:cs="宋体"/>
                <w:color w:val="auto"/>
                <w:sz w:val="24"/>
                <w:szCs w:val="24"/>
                <w:shd w:val="clear" w:color="auto" w:fill="auto"/>
                <w:lang w:val="en-US" w:eastAsia="zh-CN"/>
              </w:rPr>
              <w:t>白云</w:t>
            </w:r>
            <w:r>
              <w:rPr>
                <w:rFonts w:hint="eastAsia" w:ascii="宋体" w:hAnsi="宋体" w:eastAsia="宋体" w:cs="宋体"/>
                <w:color w:val="auto"/>
                <w:sz w:val="24"/>
                <w:szCs w:val="24"/>
                <w:shd w:val="clear" w:color="auto" w:fill="auto"/>
                <w:lang w:val="en-US" w:eastAsia="zh-CN"/>
              </w:rPr>
              <w:t>乡</w:t>
            </w:r>
            <w:r>
              <w:rPr>
                <w:rFonts w:hint="eastAsia" w:cs="宋体"/>
                <w:color w:val="auto"/>
                <w:sz w:val="24"/>
                <w:szCs w:val="24"/>
                <w:shd w:val="clear" w:color="auto" w:fill="auto"/>
                <w:lang w:val="en-US" w:eastAsia="zh-CN"/>
              </w:rPr>
              <w:t>880</w:t>
            </w:r>
            <w:r>
              <w:rPr>
                <w:rFonts w:hint="eastAsia" w:ascii="宋体" w:hAnsi="宋体" w:eastAsia="宋体" w:cs="宋体"/>
                <w:color w:val="auto"/>
                <w:sz w:val="24"/>
                <w:szCs w:val="24"/>
                <w:shd w:val="clear" w:color="auto" w:fill="auto"/>
                <w:lang w:val="en-US" w:eastAsia="zh-CN"/>
              </w:rPr>
              <w:t>7宗。</w:t>
            </w:r>
            <w:r>
              <w:rPr>
                <w:rFonts w:hint="eastAsia" w:cs="宋体"/>
                <w:color w:val="auto"/>
                <w:sz w:val="24"/>
                <w:szCs w:val="24"/>
                <w:shd w:val="clear" w:color="auto" w:fill="auto"/>
                <w:lang w:val="en-US" w:eastAsia="zh-CN"/>
              </w:rPr>
              <w:t>要求</w:t>
            </w:r>
            <w:r>
              <w:rPr>
                <w:rFonts w:hint="eastAsia" w:ascii="宋体" w:hAnsi="宋体" w:eastAsia="宋体" w:cs="宋体"/>
                <w:color w:val="auto"/>
                <w:sz w:val="24"/>
                <w:szCs w:val="24"/>
                <w:shd w:val="clear" w:color="auto" w:fill="auto"/>
                <w:lang w:eastAsia="zh-CN"/>
              </w:rPr>
              <w:t>按照广西区农村房地一体不动产确权登记的相关规程，结合融水苗族自治县实际情况，选用无人机倾斜摄影测量、解析法、图解法、勘丈法等测量技术相结合的方式，开展农村“房地一体”不动产权籍调查工作，工作内容包括资料收集整理、调查工作底图制作、“房地一体”权籍调查、三维不动产测量、图件编制、权籍调查结果公示、中间库建设、档案整理、协助登簿缮证等工作，确保调查成果能够与不动产权籍及登记系统相衔接；调查成果需通过融水苗族自治县自然资源和规划局委托的质检单位按照“三检一验”审查验收。</w:t>
            </w:r>
          </w:p>
          <w:p>
            <w:pPr>
              <w:keepNext w:val="0"/>
              <w:keepLines w:val="0"/>
              <w:pageBreakBefore w:val="0"/>
              <w:widowControl w:val="0"/>
              <w:numPr>
                <w:ilvl w:val="0"/>
                <w:numId w:val="3"/>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按照农村“房地一体”不动产确权登记发证工作的要求，全面开展农村“房地一体”不动产登记工作，为农村宅基地和集体建设用地颁发不动产权证书，并建成融水苗族自治县农村不动产登记数据库。提供的成果材料要符合《广西农村房地一体不动产权籍调查技术细则》（试行）要求，按照相关文件要求按时按量完成工作。</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14" w:leftChars="0" w:firstLine="646" w:firstLineChars="0"/>
              <w:textAlignment w:val="auto"/>
              <w:rPr>
                <w:rFonts w:hint="eastAsia" w:cs="宋体"/>
                <w:b/>
                <w:color w:val="auto"/>
                <w:sz w:val="24"/>
                <w:szCs w:val="24"/>
                <w:shd w:val="clear" w:color="auto" w:fill="auto"/>
                <w:lang w:eastAsia="zh-CN"/>
              </w:rPr>
            </w:pPr>
            <w:r>
              <w:rPr>
                <w:rFonts w:hint="eastAsia" w:cs="宋体"/>
                <w:b/>
                <w:color w:val="auto"/>
                <w:sz w:val="24"/>
                <w:szCs w:val="24"/>
                <w:shd w:val="clear" w:color="auto" w:fill="auto"/>
                <w:lang w:eastAsia="zh-CN"/>
              </w:rPr>
              <w:t>主要工作内容</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宅基地和集体建设用地调查。查清每宗宅基地和集体建设用地的权利人、权利类型、权利性质、土地用途、面积等土地状况，测量宅基地和集体建设用地的地籍要素，填写地籍调查表，测绘地籍图，制作宗地图（宗地上的房屋及房屋20米范围内全要素地形数据采集，如房屋、道路、河流、沟渠、独立地物、陡坎、斜坡、电线杆等地形地貌地物（1:500数字线划图））。</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农村房屋调查。调查地上房屋产权状况，查清房屋权利人、坐落、房屋性质、构（建）筑物类型、共有情况、用途、总层数、建筑结构、建成年份、建筑面积等内容。测量房屋的房角点和房屋边长，量算房屋面积，并将房屋调查成果记载在地籍调查表等地籍资料中。</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农村权籍调查中间库建库。建设农村地籍中间库建库，实现对农村地籍调查成果的图形、属性、档案等信息的一体化存储。</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对中间库进行处理完善，建设农村房地一体不动产权籍数据库。</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权籍调查结果公示和完善。</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协助不动产登记部门开展集中登簿、缮证工作。</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完成数据检查、验收和汇交工作。</w:t>
            </w:r>
          </w:p>
          <w:p>
            <w:pPr>
              <w:keepNext w:val="0"/>
              <w:keepLines w:val="0"/>
              <w:pageBreakBefore w:val="0"/>
              <w:widowControl w:val="0"/>
              <w:numPr>
                <w:ilvl w:val="0"/>
                <w:numId w:val="4"/>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不动产权籍调查成果验收合格后，调查单位要对调查形成的新旧纸质资料整理、扫描、入盒、上架等工作，对电子数据进行整理并移交。</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14" w:leftChars="0" w:firstLine="646" w:firstLineChars="0"/>
              <w:textAlignment w:val="auto"/>
              <w:rPr>
                <w:rFonts w:hint="eastAsia" w:cs="宋体"/>
                <w:b/>
                <w:color w:val="auto"/>
                <w:sz w:val="24"/>
                <w:szCs w:val="24"/>
                <w:shd w:val="clear" w:color="auto" w:fill="auto"/>
                <w:lang w:eastAsia="zh-CN"/>
              </w:rPr>
            </w:pPr>
            <w:r>
              <w:rPr>
                <w:rFonts w:hint="eastAsia" w:cs="宋体"/>
                <w:b/>
                <w:color w:val="auto"/>
                <w:sz w:val="24"/>
                <w:szCs w:val="24"/>
                <w:shd w:val="clear" w:color="auto" w:fill="auto"/>
                <w:lang w:eastAsia="zh-CN"/>
              </w:rPr>
              <w:t>相关标准及要求</w:t>
            </w:r>
          </w:p>
          <w:p>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法律法规规章</w:t>
            </w:r>
          </w:p>
          <w:p>
            <w:pPr>
              <w:keepNext w:val="0"/>
              <w:keepLines w:val="0"/>
              <w:pageBreakBefore w:val="0"/>
              <w:widowControl w:val="0"/>
              <w:numPr>
                <w:ilvl w:val="0"/>
                <w:numId w:val="6"/>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《中华人民共和国土地管理法》（中华人民共和国主席令第28号）；</w:t>
            </w:r>
          </w:p>
          <w:p>
            <w:pPr>
              <w:keepNext w:val="0"/>
              <w:keepLines w:val="0"/>
              <w:pageBreakBefore w:val="0"/>
              <w:widowControl w:val="0"/>
              <w:numPr>
                <w:ilvl w:val="0"/>
                <w:numId w:val="6"/>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《中华人民共和国城市房地产管理法》（中华人民共和国主席令第72号）；</w:t>
            </w:r>
          </w:p>
          <w:p>
            <w:pPr>
              <w:keepNext w:val="0"/>
              <w:keepLines w:val="0"/>
              <w:pageBreakBefore w:val="0"/>
              <w:widowControl w:val="0"/>
              <w:numPr>
                <w:ilvl w:val="0"/>
                <w:numId w:val="6"/>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《中华人民共和国民法典》（中华人民共和国主席令第45号）；</w:t>
            </w:r>
          </w:p>
          <w:p>
            <w:pPr>
              <w:keepNext w:val="0"/>
              <w:keepLines w:val="0"/>
              <w:pageBreakBefore w:val="0"/>
              <w:widowControl w:val="0"/>
              <w:numPr>
                <w:ilvl w:val="0"/>
                <w:numId w:val="6"/>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《中华人民共和国测绘法》（中华人民共和国主席令第75号）；</w:t>
            </w:r>
          </w:p>
          <w:p>
            <w:pPr>
              <w:keepNext w:val="0"/>
              <w:keepLines w:val="0"/>
              <w:pageBreakBefore w:val="0"/>
              <w:widowControl w:val="0"/>
              <w:numPr>
                <w:ilvl w:val="0"/>
                <w:numId w:val="6"/>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《不动产登记暂行条例》（中华人民共和国国务院令第656号）；</w:t>
            </w:r>
          </w:p>
          <w:p>
            <w:pPr>
              <w:keepNext w:val="0"/>
              <w:keepLines w:val="0"/>
              <w:pageBreakBefore w:val="0"/>
              <w:widowControl w:val="0"/>
              <w:numPr>
                <w:ilvl w:val="0"/>
                <w:numId w:val="6"/>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《不动产登记暂行条例实施细则》（中华人民共和国国土资源部令第63号）。</w:t>
            </w:r>
          </w:p>
          <w:p>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技术依据</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《中华人民共和国行政区划代码》（GB/T2260-2007）；</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《不动产登记数据库》（DB44/T2213-2019）；</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《城镇地籍数据库标准》（TD/T1015-2007）；</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《土地利用现状分类》（GB/T 21010-2019）；</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《国家基本比例尺地形图分幅和编号》（GB/T 13989-2012）；</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《不动产单元设定与代码编制规则》（GB/T37346-2019）；</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《房产测量规范 第1单元：房产测量规定》（GB/T 17986.1-2000）；</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《房产测量规范 第2单元：房产图图式》（GB/T 17986.2-2000）；</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《1:500 1:1000 1:2000 外业数字测图技术规程》（GB/T 14912-2017 ）；</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《1:5000 1:10000地形图航空摄影测量外业规范》（GB/T 13977-2012）；</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《1:5000 1:10000地形图航空摄影测量内业规范》（GB/T 13900-2012）；</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《国家基本比例尺地图图式第1部分1:500 1:1000 1:2000 地形图图式》（GB/T 20257.1-2017）；</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《全球定位系统实时动态测量（RTK）技术规范》（CH/T 2009-2010）；</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《国家基本比例尺地图图式第2部分：1:5000 1:10000地形图图式（GB/T20257.2-2017）；</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《低空数字航空摄影测量内业规范》（CH/Z 3003-2010）；</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《低空数字航空摄影测量外业规范》（CH/Z 3004-2010）；</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《低空数字航空摄影规范》（CH/Z 3005-2010）；</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《全球定位系统（GPS）测量规范》（GB/T 18314-2009）；</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《卫星定位城市测量技术规范》（CJJ/T 73-2019）；</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《国家三、四等水准测量规范》（GB/T 12898—2009）；</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《测绘成果质量检查与验收》（GB/T 24356-2009）；</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《数字测绘成果质量检查与验收》（GB/T18316-2008）；</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《数字测绘成果质量要求》（GB/T17941-2008）；</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《地籍调查规程》（TD/T 1001-2012）；</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《农村地籍和房屋调查技术方案（试行）》（国土资发〔2014〕101号）；</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《不动产权籍调查技术方案（试行）》（国土资发〔2015〕41号）；</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《农村不动产权籍调查工作指南》（自然资登记函〔2019〕6号）；</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《农房一体不动产登记数据汇交包标准》；</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《广西农村房地一体不动产权籍调查技术细则（试行）》；</w:t>
            </w:r>
          </w:p>
          <w:p>
            <w:pPr>
              <w:keepNext w:val="0"/>
              <w:keepLines w:val="0"/>
              <w:pageBreakBefore w:val="0"/>
              <w:widowControl w:val="0"/>
              <w:numPr>
                <w:ilvl w:val="0"/>
                <w:numId w:val="7"/>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《广西壮族自治区农村“房地一体”不动产权籍调查及数据建库成果检查验收办法（试行）》。</w:t>
            </w:r>
          </w:p>
          <w:p>
            <w:pPr>
              <w:keepNext w:val="0"/>
              <w:keepLines w:val="0"/>
              <w:pageBreakBefore w:val="0"/>
              <w:widowControl w:val="0"/>
              <w:numPr>
                <w:ilvl w:val="0"/>
                <w:numId w:val="5"/>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政策文件</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《国土资源部关于启用不动产登记簿证样式（试行）的通知》（国土资发〔2015〕25号）；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《国土资源部关于做好不动产权籍调查工作的通知》（国土资发〔2015〕41号）；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《关于进一步加快宅基地和集体建设用地确权登记发证有关问题的通知》（国土资发〔2016〕191号）；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《国土资源部办公厅关于规范不动产权籍调查有关工作的通知国土资厅函》〔2017〕1272号；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《自然资源确权登记局关于进一步做好农村不动产确权登记工作的通知》（自然资登记函〔2019〕6号）；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《广西壮族自治区自然资源厅关于进一步做好农村不动产确权登记工作的通知》（桂自然资发〔2019〕57号）；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《自然资源部关于加快宅基地和集体建设用地使用权确权登记工作的通知》（自然资发〔2020〕84号）；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《广西壮族自治区自然资源厅关于加快推进全区农村不动产确权登记工作的指导意见》（桂自然资发〔2020〕44号）；</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《关于农房一体不动产登记数据汇交有关事项的通知》（编号：B20200319）；</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《广西壮族自治区自然资源厅关于全面开展农村“房地一体”不动产确权登记发证工作的通知》（桂自然资发〔2021〕7号）</w:t>
            </w:r>
            <w:r>
              <w:rPr>
                <w:rFonts w:hint="eastAsia" w:cs="宋体"/>
                <w:color w:val="auto"/>
                <w:sz w:val="24"/>
                <w:szCs w:val="24"/>
                <w:highlight w:val="none"/>
                <w:shd w:val="clear" w:color="auto" w:fill="auto"/>
                <w:lang w:eastAsia="zh-CN"/>
              </w:rPr>
              <w:t>；</w:t>
            </w:r>
          </w:p>
          <w:p>
            <w:pPr>
              <w:keepNext w:val="0"/>
              <w:keepLines w:val="0"/>
              <w:pageBreakBefore w:val="0"/>
              <w:widowControl w:val="0"/>
              <w:numPr>
                <w:ilvl w:val="0"/>
                <w:numId w:val="8"/>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广西壮族自治区自然资源厅办公室关于收集农村“房地一体”不动产确权登记三维模型和正射影像数据有关事项的通知（编号：B20210123）。</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left="14" w:leftChars="0" w:firstLine="646" w:firstLineChars="0"/>
              <w:textAlignment w:val="auto"/>
              <w:rPr>
                <w:rFonts w:hint="eastAsia" w:cs="宋体"/>
                <w:b/>
                <w:color w:val="auto"/>
                <w:sz w:val="24"/>
                <w:szCs w:val="24"/>
                <w:shd w:val="clear" w:color="auto" w:fill="auto"/>
                <w:lang w:eastAsia="zh-CN"/>
              </w:rPr>
            </w:pPr>
            <w:r>
              <w:rPr>
                <w:rFonts w:hint="eastAsia" w:cs="宋体"/>
                <w:b/>
                <w:color w:val="auto"/>
                <w:sz w:val="24"/>
                <w:szCs w:val="24"/>
                <w:shd w:val="clear" w:color="auto" w:fill="auto"/>
                <w:lang w:eastAsia="zh-CN"/>
              </w:rPr>
              <w:t>技术要求</w:t>
            </w:r>
          </w:p>
          <w:p>
            <w:pPr>
              <w:keepNext w:val="0"/>
              <w:keepLines w:val="0"/>
              <w:pageBreakBefore w:val="0"/>
              <w:widowControl w:val="0"/>
              <w:numPr>
                <w:ilvl w:val="0"/>
                <w:numId w:val="9"/>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数学基础及基本规定</w:t>
            </w:r>
          </w:p>
          <w:p>
            <w:pPr>
              <w:keepNext w:val="0"/>
              <w:keepLines w:val="0"/>
              <w:pageBreakBefore w:val="0"/>
              <w:widowControl w:val="0"/>
              <w:numPr>
                <w:ilvl w:val="0"/>
                <w:numId w:val="10"/>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平面坐标系</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color w:val="auto"/>
                <w:sz w:val="24"/>
                <w:szCs w:val="24"/>
                <w:highlight w:val="none"/>
              </w:rPr>
            </w:pPr>
            <w:r>
              <w:rPr>
                <w:rFonts w:hint="eastAsia"/>
                <w:color w:val="auto"/>
                <w:sz w:val="24"/>
                <w:szCs w:val="24"/>
                <w:highlight w:val="none"/>
              </w:rPr>
              <w:t>采用2000国家大地坐标系，高斯-克吕格投影，当长度变形值不大于2.5cm/km时，应选择统一3°带的平面直角坐标系统；当长度变形值大于2.5cm/km时，可选择任意带的平面直角坐标系统，中央子午线与原有的农村地籍调查成果一致。</w:t>
            </w:r>
          </w:p>
          <w:p>
            <w:pPr>
              <w:keepNext w:val="0"/>
              <w:keepLines w:val="0"/>
              <w:pageBreakBefore w:val="0"/>
              <w:widowControl w:val="0"/>
              <w:numPr>
                <w:ilvl w:val="0"/>
                <w:numId w:val="10"/>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高程基准</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采用1985国家高程基准。</w:t>
            </w:r>
          </w:p>
          <w:p>
            <w:pPr>
              <w:keepNext w:val="0"/>
              <w:keepLines w:val="0"/>
              <w:pageBreakBefore w:val="0"/>
              <w:widowControl w:val="0"/>
              <w:numPr>
                <w:ilvl w:val="0"/>
                <w:numId w:val="10"/>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成图方法</w:t>
            </w:r>
          </w:p>
          <w:p>
            <w:pPr>
              <w:pStyle w:val="4"/>
              <w:spacing w:line="360" w:lineRule="exact"/>
              <w:ind w:firstLine="480"/>
              <w:rPr>
                <w:color w:val="auto"/>
                <w:szCs w:val="21"/>
                <w:highlight w:val="yellow"/>
              </w:rPr>
            </w:pPr>
            <w:r>
              <w:rPr>
                <w:rFonts w:hint="eastAsia"/>
                <w:color w:val="auto"/>
                <w:sz w:val="24"/>
                <w:szCs w:val="24"/>
                <w:highlight w:val="none"/>
              </w:rPr>
              <w:t>以无人机倾斜摄影测量法为主，宗地分散的局部区域可以使用解析法，偏远的零星宗地可以使用图解法。</w:t>
            </w:r>
          </w:p>
          <w:p>
            <w:pPr>
              <w:keepNext w:val="0"/>
              <w:keepLines w:val="0"/>
              <w:pageBreakBefore w:val="0"/>
              <w:widowControl w:val="0"/>
              <w:numPr>
                <w:ilvl w:val="0"/>
                <w:numId w:val="10"/>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比例尺</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项目成图比例尺为1：500。</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 1 \* GB3 \* MERGEFORMAT </w:instrText>
            </w:r>
            <w:r>
              <w:rPr>
                <w:rFonts w:hint="eastAsia"/>
                <w:color w:val="auto"/>
                <w:sz w:val="24"/>
                <w:szCs w:val="24"/>
                <w:highlight w:val="none"/>
              </w:rPr>
              <w:fldChar w:fldCharType="separate"/>
            </w:r>
            <w:r>
              <w:rPr>
                <w:rFonts w:hint="eastAsia"/>
                <w:color w:val="auto"/>
                <w:sz w:val="24"/>
                <w:szCs w:val="24"/>
                <w:highlight w:val="none"/>
              </w:rPr>
              <w:t>①</w:t>
            </w:r>
            <w:r>
              <w:rPr>
                <w:rFonts w:hint="eastAsia"/>
                <w:color w:val="auto"/>
                <w:sz w:val="24"/>
                <w:szCs w:val="24"/>
                <w:highlight w:val="none"/>
              </w:rPr>
              <w:fldChar w:fldCharType="end"/>
            </w:r>
            <w:r>
              <w:rPr>
                <w:rFonts w:hint="eastAsia"/>
                <w:color w:val="auto"/>
                <w:sz w:val="24"/>
                <w:szCs w:val="24"/>
                <w:highlight w:val="none"/>
              </w:rPr>
              <w:t>调查底图：选用最新的大比例尺（1:500、1:1000、1:2000）地形图、正射影像图或已有地籍图作为调查底图。</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 2 \* GB3 \* MERGEFORMAT </w:instrText>
            </w:r>
            <w:r>
              <w:rPr>
                <w:rFonts w:hint="eastAsia"/>
                <w:color w:val="auto"/>
                <w:sz w:val="24"/>
                <w:szCs w:val="24"/>
                <w:highlight w:val="none"/>
              </w:rPr>
              <w:fldChar w:fldCharType="separate"/>
            </w:r>
            <w:r>
              <w:rPr>
                <w:rFonts w:hint="eastAsia"/>
                <w:color w:val="auto"/>
                <w:sz w:val="24"/>
                <w:szCs w:val="24"/>
                <w:highlight w:val="none"/>
              </w:rPr>
              <w:t>②</w:t>
            </w:r>
            <w:r>
              <w:rPr>
                <w:rFonts w:hint="eastAsia"/>
                <w:color w:val="auto"/>
                <w:sz w:val="24"/>
                <w:szCs w:val="24"/>
                <w:highlight w:val="none"/>
              </w:rPr>
              <w:fldChar w:fldCharType="end"/>
            </w:r>
            <w:r>
              <w:rPr>
                <w:rFonts w:hint="eastAsia"/>
                <w:color w:val="auto"/>
                <w:sz w:val="24"/>
                <w:szCs w:val="24"/>
                <w:highlight w:val="none"/>
              </w:rPr>
              <w:t>地籍图：地籍图比例尺采用1:500。</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 3 \* GB3 \* MERGEFORMAT </w:instrText>
            </w:r>
            <w:r>
              <w:rPr>
                <w:rFonts w:hint="eastAsia"/>
                <w:color w:val="auto"/>
                <w:sz w:val="24"/>
                <w:szCs w:val="24"/>
                <w:highlight w:val="none"/>
              </w:rPr>
              <w:fldChar w:fldCharType="separate"/>
            </w:r>
            <w:r>
              <w:rPr>
                <w:rFonts w:hint="eastAsia"/>
                <w:color w:val="auto"/>
                <w:sz w:val="24"/>
                <w:szCs w:val="24"/>
                <w:highlight w:val="none"/>
              </w:rPr>
              <w:t>③</w:t>
            </w:r>
            <w:r>
              <w:rPr>
                <w:rFonts w:hint="eastAsia"/>
                <w:color w:val="auto"/>
                <w:sz w:val="24"/>
                <w:szCs w:val="24"/>
                <w:highlight w:val="none"/>
              </w:rPr>
              <w:fldChar w:fldCharType="end"/>
            </w:r>
            <w:r>
              <w:rPr>
                <w:rFonts w:hint="eastAsia"/>
                <w:color w:val="auto"/>
                <w:sz w:val="24"/>
                <w:szCs w:val="24"/>
                <w:highlight w:val="none"/>
              </w:rPr>
              <w:t>宗地图：宗地图比例尺采用1:200、1:500、1:1000、1:2000；当宗地范围过大或过小时可根据宗地大小和形状确定比例尺和幅面。</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 4 \* GB3 \* MERGEFORMAT </w:instrText>
            </w:r>
            <w:r>
              <w:rPr>
                <w:rFonts w:hint="eastAsia"/>
                <w:color w:val="auto"/>
                <w:sz w:val="24"/>
                <w:szCs w:val="24"/>
                <w:highlight w:val="none"/>
              </w:rPr>
              <w:fldChar w:fldCharType="separate"/>
            </w:r>
            <w:r>
              <w:rPr>
                <w:rFonts w:hint="eastAsia"/>
                <w:color w:val="auto"/>
                <w:sz w:val="24"/>
                <w:szCs w:val="24"/>
                <w:highlight w:val="none"/>
              </w:rPr>
              <w:t>④</w:t>
            </w:r>
            <w:r>
              <w:rPr>
                <w:rFonts w:hint="eastAsia"/>
                <w:color w:val="auto"/>
                <w:sz w:val="24"/>
                <w:szCs w:val="24"/>
                <w:highlight w:val="none"/>
              </w:rPr>
              <w:fldChar w:fldCharType="end"/>
            </w:r>
            <w:r>
              <w:rPr>
                <w:rFonts w:hint="eastAsia"/>
                <w:color w:val="auto"/>
                <w:sz w:val="24"/>
                <w:szCs w:val="24"/>
                <w:highlight w:val="none"/>
              </w:rPr>
              <w:t>房产分户图：房屋分户平面图的比例尺一般为1:160，或者采用与宗地图相同的比例尺，当房屋图形过大或过小时，比例尺可适当放大或缩小。</w:t>
            </w:r>
          </w:p>
          <w:p>
            <w:pPr>
              <w:keepNext w:val="0"/>
              <w:keepLines w:val="0"/>
              <w:pageBreakBefore w:val="0"/>
              <w:widowControl w:val="0"/>
              <w:numPr>
                <w:ilvl w:val="0"/>
                <w:numId w:val="10"/>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分幅与编号</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1:500、1:1000、1:2000的不动产权籍图采用正方形分幅（50cm×50cm）。图幅编号按照图廓西南角坐标公里数编号，X坐标在前，Y坐标在后，中间用短横线连接。</w:t>
            </w:r>
          </w:p>
          <w:p>
            <w:pPr>
              <w:keepNext w:val="0"/>
              <w:keepLines w:val="0"/>
              <w:pageBreakBefore w:val="0"/>
              <w:widowControl w:val="0"/>
              <w:numPr>
                <w:ilvl w:val="0"/>
                <w:numId w:val="10"/>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计量单位：</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 1 \* GB3 \* MERGEFORMAT </w:instrText>
            </w:r>
            <w:r>
              <w:rPr>
                <w:rFonts w:hint="eastAsia"/>
                <w:color w:val="auto"/>
                <w:sz w:val="24"/>
                <w:szCs w:val="24"/>
                <w:highlight w:val="none"/>
              </w:rPr>
              <w:fldChar w:fldCharType="separate"/>
            </w:r>
            <w:r>
              <w:rPr>
                <w:rFonts w:hint="eastAsia"/>
                <w:color w:val="auto"/>
                <w:sz w:val="24"/>
                <w:szCs w:val="24"/>
                <w:highlight w:val="none"/>
              </w:rPr>
              <w:t>①</w:t>
            </w:r>
            <w:r>
              <w:rPr>
                <w:rFonts w:hint="eastAsia"/>
                <w:color w:val="auto"/>
                <w:sz w:val="24"/>
                <w:szCs w:val="24"/>
                <w:highlight w:val="none"/>
              </w:rPr>
              <w:fldChar w:fldCharType="end"/>
            </w:r>
            <w:r>
              <w:rPr>
                <w:rFonts w:hint="eastAsia"/>
                <w:color w:val="auto"/>
                <w:sz w:val="24"/>
                <w:szCs w:val="24"/>
                <w:highlight w:val="none"/>
              </w:rPr>
              <w:t>坐标单位采用米（m）或度分秒（°′″）。当坐标单位采用米（m）时，X坐标整数部分保留七位，Y坐标整数部分保留八位，X和Y的小数位保留两位；坐标单位采用度分秒（°′″）时，秒（″）保留三位小数。</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 2 \* GB3 \* MERGEFORMAT </w:instrText>
            </w:r>
            <w:r>
              <w:rPr>
                <w:rFonts w:hint="eastAsia"/>
                <w:color w:val="auto"/>
                <w:sz w:val="24"/>
                <w:szCs w:val="24"/>
                <w:highlight w:val="none"/>
              </w:rPr>
              <w:fldChar w:fldCharType="separate"/>
            </w:r>
            <w:r>
              <w:rPr>
                <w:rFonts w:hint="eastAsia"/>
                <w:color w:val="auto"/>
                <w:sz w:val="24"/>
                <w:szCs w:val="24"/>
                <w:highlight w:val="none"/>
              </w:rPr>
              <w:t>②</w:t>
            </w:r>
            <w:r>
              <w:rPr>
                <w:rFonts w:hint="eastAsia"/>
                <w:color w:val="auto"/>
                <w:sz w:val="24"/>
                <w:szCs w:val="24"/>
                <w:highlight w:val="none"/>
              </w:rPr>
              <w:fldChar w:fldCharType="end"/>
            </w:r>
            <w:r>
              <w:rPr>
                <w:rFonts w:hint="eastAsia"/>
                <w:color w:val="auto"/>
                <w:sz w:val="24"/>
                <w:szCs w:val="24"/>
                <w:highlight w:val="none"/>
              </w:rPr>
              <w:t>长度单位可采用米(m)、厘米（cm）、毫米（mm）。当长度单位采用米(m)时，长度数据保留两位小数。</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 3 \* GB3 \* MERGEFORMAT </w:instrText>
            </w:r>
            <w:r>
              <w:rPr>
                <w:rFonts w:hint="eastAsia"/>
                <w:color w:val="auto"/>
                <w:sz w:val="24"/>
                <w:szCs w:val="24"/>
                <w:highlight w:val="none"/>
              </w:rPr>
              <w:fldChar w:fldCharType="separate"/>
            </w:r>
            <w:r>
              <w:rPr>
                <w:rFonts w:hint="eastAsia"/>
                <w:color w:val="auto"/>
                <w:sz w:val="24"/>
                <w:szCs w:val="24"/>
                <w:highlight w:val="none"/>
              </w:rPr>
              <w:t>③</w:t>
            </w:r>
            <w:r>
              <w:rPr>
                <w:rFonts w:hint="eastAsia"/>
                <w:color w:val="auto"/>
                <w:sz w:val="24"/>
                <w:szCs w:val="24"/>
                <w:highlight w:val="none"/>
              </w:rPr>
              <w:fldChar w:fldCharType="end"/>
            </w:r>
            <w:r>
              <w:rPr>
                <w:rFonts w:hint="eastAsia"/>
                <w:color w:val="auto"/>
                <w:sz w:val="24"/>
                <w:szCs w:val="24"/>
                <w:highlight w:val="none"/>
              </w:rPr>
              <w:t>面积单位采用平方米（m²），保留两位小数；面积统计汇总单位采用平方米（m²）、公顷（hm²），可将亩（mu）作为辅助单位，公顷作为面积统计单位时保留四位小数，其余均保留两位小数。</w:t>
            </w:r>
          </w:p>
          <w:p>
            <w:pPr>
              <w:keepNext w:val="0"/>
              <w:keepLines w:val="0"/>
              <w:pageBreakBefore w:val="0"/>
              <w:widowControl w:val="0"/>
              <w:numPr>
                <w:ilvl w:val="0"/>
                <w:numId w:val="9"/>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精度指标</w:t>
            </w:r>
          </w:p>
          <w:p>
            <w:pPr>
              <w:keepNext w:val="0"/>
              <w:keepLines w:val="0"/>
              <w:pageBreakBefore w:val="0"/>
              <w:widowControl w:val="0"/>
              <w:numPr>
                <w:ilvl w:val="0"/>
                <w:numId w:val="11"/>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解析法精度要求</w:t>
            </w:r>
          </w:p>
          <w:p>
            <w:pPr>
              <w:spacing w:line="360" w:lineRule="exact"/>
              <w:jc w:val="center"/>
              <w:rPr>
                <w:color w:val="auto"/>
                <w:szCs w:val="21"/>
                <w:highlight w:val="none"/>
              </w:rPr>
            </w:pPr>
            <w:r>
              <w:rPr>
                <w:rFonts w:hint="eastAsia"/>
                <w:color w:val="auto"/>
                <w:szCs w:val="21"/>
                <w:highlight w:val="none"/>
              </w:rPr>
              <w:t>表1 解析界址点（房角点）的精度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78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8" w:type="dxa"/>
                  <w:vMerge w:val="restart"/>
                  <w:vAlign w:val="center"/>
                </w:tcPr>
                <w:p>
                  <w:pPr>
                    <w:spacing w:line="360" w:lineRule="exact"/>
                    <w:jc w:val="center"/>
                    <w:rPr>
                      <w:b/>
                      <w:bCs/>
                      <w:color w:val="auto"/>
                      <w:szCs w:val="21"/>
                      <w:highlight w:val="none"/>
                    </w:rPr>
                  </w:pPr>
                  <w:r>
                    <w:rPr>
                      <w:color w:val="auto"/>
                      <w:szCs w:val="21"/>
                      <w:highlight w:val="none"/>
                    </w:rPr>
                    <w:t>级别</w:t>
                  </w:r>
                </w:p>
              </w:tc>
              <w:tc>
                <w:tcPr>
                  <w:tcW w:w="4528" w:type="dxa"/>
                  <w:gridSpan w:val="2"/>
                  <w:vAlign w:val="center"/>
                </w:tcPr>
                <w:p>
                  <w:pPr>
                    <w:spacing w:line="360" w:lineRule="exact"/>
                    <w:jc w:val="center"/>
                    <w:rPr>
                      <w:b/>
                      <w:bCs/>
                      <w:color w:val="auto"/>
                      <w:szCs w:val="21"/>
                      <w:highlight w:val="none"/>
                    </w:rPr>
                  </w:pPr>
                  <w:r>
                    <w:rPr>
                      <w:color w:val="auto"/>
                      <w:szCs w:val="21"/>
                      <w:highlight w:val="none"/>
                    </w:rPr>
                    <w:t>相对于邻近控制点的点位误差，相邻界址点或房角点间距误差（cm）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08" w:type="dxa"/>
                  <w:vMerge w:val="continue"/>
                  <w:vAlign w:val="center"/>
                </w:tcPr>
                <w:p>
                  <w:pPr>
                    <w:spacing w:line="360" w:lineRule="exact"/>
                    <w:jc w:val="center"/>
                    <w:rPr>
                      <w:b/>
                      <w:bCs/>
                      <w:color w:val="auto"/>
                      <w:szCs w:val="21"/>
                      <w:highlight w:val="none"/>
                    </w:rPr>
                  </w:pPr>
                </w:p>
              </w:tc>
              <w:tc>
                <w:tcPr>
                  <w:tcW w:w="2782" w:type="dxa"/>
                  <w:vAlign w:val="center"/>
                </w:tcPr>
                <w:p>
                  <w:pPr>
                    <w:spacing w:line="360" w:lineRule="exact"/>
                    <w:ind w:firstLine="35" w:firstLineChars="16"/>
                    <w:jc w:val="center"/>
                    <w:rPr>
                      <w:color w:val="auto"/>
                      <w:szCs w:val="21"/>
                      <w:highlight w:val="none"/>
                    </w:rPr>
                  </w:pPr>
                  <w:r>
                    <w:rPr>
                      <w:color w:val="auto"/>
                      <w:szCs w:val="21"/>
                      <w:highlight w:val="none"/>
                    </w:rPr>
                    <w:t>中误差</w:t>
                  </w:r>
                </w:p>
              </w:tc>
              <w:tc>
                <w:tcPr>
                  <w:tcW w:w="1746" w:type="dxa"/>
                  <w:vAlign w:val="center"/>
                </w:tcPr>
                <w:p>
                  <w:pPr>
                    <w:spacing w:line="360" w:lineRule="exact"/>
                    <w:ind w:firstLine="35" w:firstLineChars="16"/>
                    <w:jc w:val="center"/>
                    <w:rPr>
                      <w:color w:val="auto"/>
                      <w:szCs w:val="21"/>
                      <w:highlight w:val="none"/>
                    </w:rPr>
                  </w:pPr>
                  <w:r>
                    <w:rPr>
                      <w:color w:val="auto"/>
                      <w:szCs w:val="21"/>
                      <w:highlight w:val="none"/>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8" w:type="dxa"/>
                  <w:vAlign w:val="center"/>
                </w:tcPr>
                <w:p>
                  <w:pPr>
                    <w:spacing w:line="360" w:lineRule="exact"/>
                    <w:ind w:firstLine="35" w:firstLineChars="16"/>
                    <w:jc w:val="center"/>
                    <w:rPr>
                      <w:color w:val="auto"/>
                      <w:szCs w:val="21"/>
                      <w:highlight w:val="none"/>
                    </w:rPr>
                  </w:pPr>
                  <w:r>
                    <w:rPr>
                      <w:color w:val="auto"/>
                      <w:szCs w:val="21"/>
                      <w:highlight w:val="none"/>
                    </w:rPr>
                    <w:t>一</w:t>
                  </w:r>
                </w:p>
              </w:tc>
              <w:tc>
                <w:tcPr>
                  <w:tcW w:w="2782" w:type="dxa"/>
                  <w:vAlign w:val="center"/>
                </w:tcPr>
                <w:p>
                  <w:pPr>
                    <w:spacing w:line="360" w:lineRule="exact"/>
                    <w:ind w:firstLine="35" w:firstLineChars="16"/>
                    <w:jc w:val="center"/>
                    <w:rPr>
                      <w:color w:val="auto"/>
                      <w:szCs w:val="21"/>
                      <w:highlight w:val="none"/>
                    </w:rPr>
                  </w:pPr>
                  <w:r>
                    <w:rPr>
                      <w:color w:val="auto"/>
                      <w:szCs w:val="21"/>
                      <w:highlight w:val="none"/>
                    </w:rPr>
                    <w:t>±2</w:t>
                  </w:r>
                  <w:r>
                    <w:rPr>
                      <w:rFonts w:hint="eastAsia"/>
                      <w:b/>
                      <w:color w:val="auto"/>
                      <w:szCs w:val="21"/>
                      <w:highlight w:val="none"/>
                    </w:rPr>
                    <w:t>.</w:t>
                  </w:r>
                  <w:r>
                    <w:rPr>
                      <w:color w:val="auto"/>
                      <w:szCs w:val="21"/>
                      <w:highlight w:val="none"/>
                    </w:rPr>
                    <w:t>0</w:t>
                  </w:r>
                </w:p>
              </w:tc>
              <w:tc>
                <w:tcPr>
                  <w:tcW w:w="1746" w:type="dxa"/>
                  <w:vAlign w:val="center"/>
                </w:tcPr>
                <w:p>
                  <w:pPr>
                    <w:spacing w:line="360" w:lineRule="exact"/>
                    <w:ind w:firstLine="35" w:firstLineChars="16"/>
                    <w:jc w:val="center"/>
                    <w:rPr>
                      <w:color w:val="auto"/>
                      <w:szCs w:val="21"/>
                      <w:highlight w:val="none"/>
                    </w:rPr>
                  </w:pPr>
                  <w:r>
                    <w:rPr>
                      <w:color w:val="auto"/>
                      <w:szCs w:val="21"/>
                      <w:highlight w:val="none"/>
                    </w:rPr>
                    <w:t>±4</w:t>
                  </w:r>
                  <w:r>
                    <w:rPr>
                      <w:rFonts w:hint="eastAsia"/>
                      <w:b/>
                      <w:color w:val="auto"/>
                      <w:szCs w:val="21"/>
                      <w:highlight w:val="none"/>
                    </w:rPr>
                    <w:t>.</w:t>
                  </w:r>
                  <w:r>
                    <w:rPr>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8" w:type="dxa"/>
                  <w:vAlign w:val="center"/>
                </w:tcPr>
                <w:p>
                  <w:pPr>
                    <w:spacing w:line="360" w:lineRule="exact"/>
                    <w:ind w:firstLine="35" w:firstLineChars="16"/>
                    <w:jc w:val="center"/>
                    <w:rPr>
                      <w:color w:val="auto"/>
                      <w:szCs w:val="21"/>
                      <w:highlight w:val="none"/>
                    </w:rPr>
                  </w:pPr>
                  <w:r>
                    <w:rPr>
                      <w:color w:val="auto"/>
                      <w:szCs w:val="21"/>
                      <w:highlight w:val="none"/>
                    </w:rPr>
                    <w:t>二</w:t>
                  </w:r>
                </w:p>
              </w:tc>
              <w:tc>
                <w:tcPr>
                  <w:tcW w:w="2782" w:type="dxa"/>
                  <w:vAlign w:val="center"/>
                </w:tcPr>
                <w:p>
                  <w:pPr>
                    <w:spacing w:line="360" w:lineRule="exact"/>
                    <w:ind w:firstLine="35" w:firstLineChars="16"/>
                    <w:jc w:val="center"/>
                    <w:rPr>
                      <w:color w:val="auto"/>
                      <w:szCs w:val="21"/>
                      <w:highlight w:val="none"/>
                    </w:rPr>
                  </w:pPr>
                  <w:r>
                    <w:rPr>
                      <w:color w:val="auto"/>
                      <w:szCs w:val="21"/>
                      <w:highlight w:val="none"/>
                    </w:rPr>
                    <w:t>±5</w:t>
                  </w:r>
                  <w:r>
                    <w:rPr>
                      <w:rFonts w:hint="eastAsia"/>
                      <w:b/>
                      <w:color w:val="auto"/>
                      <w:szCs w:val="21"/>
                      <w:highlight w:val="none"/>
                    </w:rPr>
                    <w:t>.</w:t>
                  </w:r>
                  <w:r>
                    <w:rPr>
                      <w:color w:val="auto"/>
                      <w:szCs w:val="21"/>
                      <w:highlight w:val="none"/>
                    </w:rPr>
                    <w:t>0</w:t>
                  </w:r>
                </w:p>
              </w:tc>
              <w:tc>
                <w:tcPr>
                  <w:tcW w:w="1746" w:type="dxa"/>
                  <w:vAlign w:val="center"/>
                </w:tcPr>
                <w:p>
                  <w:pPr>
                    <w:spacing w:line="360" w:lineRule="exact"/>
                    <w:ind w:firstLine="35" w:firstLineChars="16"/>
                    <w:jc w:val="center"/>
                    <w:rPr>
                      <w:color w:val="auto"/>
                      <w:szCs w:val="21"/>
                      <w:highlight w:val="none"/>
                    </w:rPr>
                  </w:pPr>
                  <w:r>
                    <w:rPr>
                      <w:color w:val="auto"/>
                      <w:szCs w:val="21"/>
                      <w:highlight w:val="none"/>
                    </w:rPr>
                    <w:t>±10</w:t>
                  </w:r>
                  <w:r>
                    <w:rPr>
                      <w:rFonts w:hint="eastAsia"/>
                      <w:b/>
                      <w:color w:val="auto"/>
                      <w:szCs w:val="21"/>
                      <w:highlight w:val="none"/>
                    </w:rPr>
                    <w:t>.</w:t>
                  </w:r>
                  <w:r>
                    <w:rPr>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8" w:type="dxa"/>
                  <w:vAlign w:val="center"/>
                </w:tcPr>
                <w:p>
                  <w:pPr>
                    <w:spacing w:line="360" w:lineRule="exact"/>
                    <w:ind w:firstLine="35" w:firstLineChars="16"/>
                    <w:jc w:val="center"/>
                    <w:rPr>
                      <w:color w:val="auto"/>
                      <w:szCs w:val="21"/>
                      <w:highlight w:val="none"/>
                    </w:rPr>
                  </w:pPr>
                  <w:r>
                    <w:rPr>
                      <w:color w:val="auto"/>
                      <w:szCs w:val="21"/>
                      <w:highlight w:val="none"/>
                    </w:rPr>
                    <w:t>三</w:t>
                  </w:r>
                </w:p>
              </w:tc>
              <w:tc>
                <w:tcPr>
                  <w:tcW w:w="2782" w:type="dxa"/>
                  <w:vAlign w:val="center"/>
                </w:tcPr>
                <w:p>
                  <w:pPr>
                    <w:spacing w:line="360" w:lineRule="exact"/>
                    <w:ind w:firstLine="35" w:firstLineChars="16"/>
                    <w:jc w:val="center"/>
                    <w:rPr>
                      <w:color w:val="auto"/>
                      <w:szCs w:val="21"/>
                      <w:highlight w:val="none"/>
                    </w:rPr>
                  </w:pPr>
                  <w:r>
                    <w:rPr>
                      <w:color w:val="auto"/>
                      <w:szCs w:val="21"/>
                      <w:highlight w:val="none"/>
                    </w:rPr>
                    <w:t>±7</w:t>
                  </w:r>
                  <w:r>
                    <w:rPr>
                      <w:rFonts w:hint="eastAsia"/>
                      <w:b/>
                      <w:color w:val="auto"/>
                      <w:szCs w:val="21"/>
                      <w:highlight w:val="none"/>
                    </w:rPr>
                    <w:t>.</w:t>
                  </w:r>
                  <w:r>
                    <w:rPr>
                      <w:color w:val="auto"/>
                      <w:szCs w:val="21"/>
                      <w:highlight w:val="none"/>
                    </w:rPr>
                    <w:t>5</w:t>
                  </w:r>
                </w:p>
              </w:tc>
              <w:tc>
                <w:tcPr>
                  <w:tcW w:w="1746" w:type="dxa"/>
                  <w:vAlign w:val="center"/>
                </w:tcPr>
                <w:p>
                  <w:pPr>
                    <w:spacing w:line="360" w:lineRule="exact"/>
                    <w:ind w:firstLine="35" w:firstLineChars="16"/>
                    <w:jc w:val="center"/>
                    <w:rPr>
                      <w:color w:val="auto"/>
                      <w:szCs w:val="21"/>
                      <w:highlight w:val="none"/>
                    </w:rPr>
                  </w:pPr>
                  <w:r>
                    <w:rPr>
                      <w:color w:val="auto"/>
                      <w:szCs w:val="21"/>
                      <w:highlight w:val="none"/>
                    </w:rPr>
                    <w:t>±15</w:t>
                  </w:r>
                  <w:r>
                    <w:rPr>
                      <w:rFonts w:hint="eastAsia"/>
                      <w:b/>
                      <w:color w:val="auto"/>
                      <w:szCs w:val="21"/>
                      <w:highlight w:val="none"/>
                    </w:rPr>
                    <w:t>.</w:t>
                  </w:r>
                  <w:r>
                    <w:rPr>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36" w:type="dxa"/>
                  <w:gridSpan w:val="3"/>
                </w:tcPr>
                <w:p>
                  <w:pPr>
                    <w:spacing w:line="360" w:lineRule="exact"/>
                    <w:rPr>
                      <w:b/>
                      <w:bCs/>
                      <w:color w:val="auto"/>
                      <w:szCs w:val="21"/>
                      <w:highlight w:val="none"/>
                    </w:rPr>
                  </w:pPr>
                  <w:r>
                    <w:rPr>
                      <w:color w:val="auto"/>
                      <w:szCs w:val="21"/>
                      <w:highlight w:val="none"/>
                    </w:rPr>
                    <w:t>注:明显界址点或房角点精度不低于二级，隐蔽界址点精度不低于三级。</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480" w:lineRule="exact"/>
              <w:ind w:left="660" w:leftChars="0"/>
              <w:textAlignment w:val="auto"/>
              <w:rPr>
                <w:rFonts w:hint="eastAsia" w:ascii="宋体" w:hAnsi="宋体" w:eastAsia="宋体" w:cs="宋体"/>
                <w:color w:val="auto"/>
                <w:sz w:val="24"/>
                <w:szCs w:val="24"/>
                <w:highlight w:val="none"/>
                <w:shd w:val="clear" w:color="auto" w:fill="auto"/>
                <w:lang w:eastAsia="zh-CN"/>
              </w:rPr>
            </w:pPr>
          </w:p>
          <w:p>
            <w:pPr>
              <w:keepNext w:val="0"/>
              <w:keepLines w:val="0"/>
              <w:pageBreakBefore w:val="0"/>
              <w:widowControl w:val="0"/>
              <w:numPr>
                <w:ilvl w:val="0"/>
                <w:numId w:val="11"/>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无人机倾斜摄影测量法精度要求</w:t>
            </w:r>
          </w:p>
          <w:p>
            <w:pPr>
              <w:pStyle w:val="4"/>
              <w:spacing w:line="480" w:lineRule="exact"/>
              <w:ind w:firstLine="0"/>
              <w:jc w:val="center"/>
              <w:rPr>
                <w:b/>
                <w:color w:val="auto"/>
                <w:szCs w:val="21"/>
                <w:highlight w:val="none"/>
              </w:rPr>
            </w:pPr>
            <w:r>
              <w:rPr>
                <w:rFonts w:hint="eastAsia"/>
                <w:color w:val="auto"/>
                <w:szCs w:val="21"/>
                <w:highlight w:val="none"/>
              </w:rPr>
              <w:t>表2 无人机倾斜摄影测量法界址点（房角点）的精度</w:t>
            </w:r>
          </w:p>
          <w:tbl>
            <w:tblPr>
              <w:tblStyle w:val="6"/>
              <w:tblW w:w="5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273"/>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8" w:type="dxa"/>
                  <w:vMerge w:val="restart"/>
                  <w:vAlign w:val="center"/>
                </w:tcPr>
                <w:p>
                  <w:pPr>
                    <w:spacing w:line="320" w:lineRule="exact"/>
                    <w:jc w:val="center"/>
                    <w:rPr>
                      <w:b/>
                      <w:bCs/>
                      <w:color w:val="auto"/>
                      <w:szCs w:val="21"/>
                      <w:highlight w:val="none"/>
                    </w:rPr>
                  </w:pPr>
                  <w:r>
                    <w:rPr>
                      <w:color w:val="auto"/>
                      <w:szCs w:val="21"/>
                      <w:highlight w:val="none"/>
                    </w:rPr>
                    <w:t>级别</w:t>
                  </w:r>
                </w:p>
              </w:tc>
              <w:tc>
                <w:tcPr>
                  <w:tcW w:w="4433" w:type="dxa"/>
                  <w:gridSpan w:val="2"/>
                  <w:vAlign w:val="center"/>
                </w:tcPr>
                <w:p>
                  <w:pPr>
                    <w:spacing w:line="320" w:lineRule="exact"/>
                    <w:jc w:val="center"/>
                    <w:rPr>
                      <w:b/>
                      <w:bCs/>
                      <w:color w:val="auto"/>
                      <w:szCs w:val="21"/>
                      <w:highlight w:val="none"/>
                    </w:rPr>
                  </w:pPr>
                  <w:r>
                    <w:rPr>
                      <w:color w:val="auto"/>
                      <w:szCs w:val="21"/>
                      <w:highlight w:val="none"/>
                    </w:rPr>
                    <w:t>相对于邻近控制点的点位误差，相邻界址点或房角点间距误差（cm）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48" w:type="dxa"/>
                  <w:vMerge w:val="continue"/>
                  <w:vAlign w:val="center"/>
                </w:tcPr>
                <w:p>
                  <w:pPr>
                    <w:spacing w:line="320" w:lineRule="exact"/>
                    <w:jc w:val="center"/>
                    <w:rPr>
                      <w:b/>
                      <w:bCs/>
                      <w:color w:val="auto"/>
                      <w:szCs w:val="21"/>
                      <w:highlight w:val="none"/>
                    </w:rPr>
                  </w:pPr>
                </w:p>
              </w:tc>
              <w:tc>
                <w:tcPr>
                  <w:tcW w:w="2273" w:type="dxa"/>
                  <w:vAlign w:val="center"/>
                </w:tcPr>
                <w:p>
                  <w:pPr>
                    <w:spacing w:line="320" w:lineRule="exact"/>
                    <w:ind w:firstLine="35" w:firstLineChars="16"/>
                    <w:jc w:val="center"/>
                    <w:rPr>
                      <w:color w:val="auto"/>
                      <w:szCs w:val="21"/>
                      <w:highlight w:val="none"/>
                    </w:rPr>
                  </w:pPr>
                  <w:r>
                    <w:rPr>
                      <w:color w:val="auto"/>
                      <w:szCs w:val="21"/>
                      <w:highlight w:val="none"/>
                    </w:rPr>
                    <w:t>中误差</w:t>
                  </w:r>
                </w:p>
              </w:tc>
              <w:tc>
                <w:tcPr>
                  <w:tcW w:w="2160" w:type="dxa"/>
                  <w:vAlign w:val="center"/>
                </w:tcPr>
                <w:p>
                  <w:pPr>
                    <w:spacing w:line="320" w:lineRule="exact"/>
                    <w:ind w:firstLine="35" w:firstLineChars="16"/>
                    <w:jc w:val="center"/>
                    <w:rPr>
                      <w:color w:val="auto"/>
                      <w:szCs w:val="21"/>
                      <w:highlight w:val="none"/>
                    </w:rPr>
                  </w:pPr>
                  <w:r>
                    <w:rPr>
                      <w:color w:val="auto"/>
                      <w:szCs w:val="21"/>
                      <w:highlight w:val="none"/>
                    </w:rPr>
                    <w:t>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vAlign w:val="center"/>
                </w:tcPr>
                <w:p>
                  <w:pPr>
                    <w:spacing w:line="320" w:lineRule="exact"/>
                    <w:ind w:firstLine="35" w:firstLineChars="16"/>
                    <w:jc w:val="center"/>
                    <w:rPr>
                      <w:color w:val="auto"/>
                      <w:szCs w:val="21"/>
                      <w:highlight w:val="none"/>
                    </w:rPr>
                  </w:pPr>
                  <w:r>
                    <w:rPr>
                      <w:color w:val="auto"/>
                      <w:szCs w:val="21"/>
                      <w:highlight w:val="none"/>
                    </w:rPr>
                    <w:t>二</w:t>
                  </w:r>
                </w:p>
              </w:tc>
              <w:tc>
                <w:tcPr>
                  <w:tcW w:w="2273" w:type="dxa"/>
                  <w:vAlign w:val="center"/>
                </w:tcPr>
                <w:p>
                  <w:pPr>
                    <w:spacing w:line="320" w:lineRule="exact"/>
                    <w:ind w:firstLine="35" w:firstLineChars="16"/>
                    <w:jc w:val="center"/>
                    <w:rPr>
                      <w:color w:val="auto"/>
                      <w:szCs w:val="21"/>
                      <w:highlight w:val="none"/>
                    </w:rPr>
                  </w:pPr>
                  <w:r>
                    <w:rPr>
                      <w:color w:val="auto"/>
                      <w:szCs w:val="21"/>
                      <w:highlight w:val="none"/>
                    </w:rPr>
                    <w:t>±5</w:t>
                  </w:r>
                  <w:r>
                    <w:rPr>
                      <w:rFonts w:hint="eastAsia"/>
                      <w:color w:val="auto"/>
                      <w:szCs w:val="21"/>
                      <w:highlight w:val="none"/>
                    </w:rPr>
                    <w:t>.</w:t>
                  </w:r>
                  <w:r>
                    <w:rPr>
                      <w:color w:val="auto"/>
                      <w:szCs w:val="21"/>
                      <w:highlight w:val="none"/>
                    </w:rPr>
                    <w:t>0</w:t>
                  </w:r>
                </w:p>
              </w:tc>
              <w:tc>
                <w:tcPr>
                  <w:tcW w:w="2160" w:type="dxa"/>
                  <w:vAlign w:val="center"/>
                </w:tcPr>
                <w:p>
                  <w:pPr>
                    <w:spacing w:line="320" w:lineRule="exact"/>
                    <w:ind w:firstLine="35" w:firstLineChars="16"/>
                    <w:jc w:val="center"/>
                    <w:rPr>
                      <w:color w:val="auto"/>
                      <w:szCs w:val="21"/>
                      <w:highlight w:val="none"/>
                    </w:rPr>
                  </w:pPr>
                  <w:r>
                    <w:rPr>
                      <w:color w:val="auto"/>
                      <w:szCs w:val="21"/>
                      <w:highlight w:val="none"/>
                    </w:rPr>
                    <w:t>±10</w:t>
                  </w:r>
                  <w:r>
                    <w:rPr>
                      <w:rFonts w:hint="eastAsia"/>
                      <w:color w:val="auto"/>
                      <w:szCs w:val="21"/>
                      <w:highlight w:val="none"/>
                    </w:rPr>
                    <w:t>.</w:t>
                  </w:r>
                  <w:r>
                    <w:rPr>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48" w:type="dxa"/>
                  <w:vAlign w:val="center"/>
                </w:tcPr>
                <w:p>
                  <w:pPr>
                    <w:spacing w:line="320" w:lineRule="exact"/>
                    <w:ind w:firstLine="35" w:firstLineChars="16"/>
                    <w:jc w:val="center"/>
                    <w:rPr>
                      <w:color w:val="auto"/>
                      <w:szCs w:val="21"/>
                      <w:highlight w:val="none"/>
                    </w:rPr>
                  </w:pPr>
                  <w:r>
                    <w:rPr>
                      <w:color w:val="auto"/>
                      <w:szCs w:val="21"/>
                      <w:highlight w:val="none"/>
                    </w:rPr>
                    <w:t>三</w:t>
                  </w:r>
                </w:p>
              </w:tc>
              <w:tc>
                <w:tcPr>
                  <w:tcW w:w="2273" w:type="dxa"/>
                  <w:vAlign w:val="center"/>
                </w:tcPr>
                <w:p>
                  <w:pPr>
                    <w:spacing w:line="320" w:lineRule="exact"/>
                    <w:ind w:firstLine="35" w:firstLineChars="16"/>
                    <w:jc w:val="center"/>
                    <w:rPr>
                      <w:color w:val="auto"/>
                      <w:szCs w:val="21"/>
                      <w:highlight w:val="none"/>
                    </w:rPr>
                  </w:pPr>
                  <w:r>
                    <w:rPr>
                      <w:color w:val="auto"/>
                      <w:szCs w:val="21"/>
                      <w:highlight w:val="none"/>
                    </w:rPr>
                    <w:t>±7</w:t>
                  </w:r>
                  <w:r>
                    <w:rPr>
                      <w:rFonts w:hint="eastAsia"/>
                      <w:color w:val="auto"/>
                      <w:szCs w:val="21"/>
                      <w:highlight w:val="none"/>
                    </w:rPr>
                    <w:t>.</w:t>
                  </w:r>
                  <w:r>
                    <w:rPr>
                      <w:color w:val="auto"/>
                      <w:szCs w:val="21"/>
                      <w:highlight w:val="none"/>
                    </w:rPr>
                    <w:t>5</w:t>
                  </w:r>
                </w:p>
              </w:tc>
              <w:tc>
                <w:tcPr>
                  <w:tcW w:w="2160" w:type="dxa"/>
                  <w:vAlign w:val="center"/>
                </w:tcPr>
                <w:p>
                  <w:pPr>
                    <w:spacing w:line="320" w:lineRule="exact"/>
                    <w:ind w:firstLine="35" w:firstLineChars="16"/>
                    <w:jc w:val="center"/>
                    <w:rPr>
                      <w:color w:val="auto"/>
                      <w:szCs w:val="21"/>
                      <w:highlight w:val="none"/>
                    </w:rPr>
                  </w:pPr>
                  <w:r>
                    <w:rPr>
                      <w:color w:val="auto"/>
                      <w:szCs w:val="21"/>
                      <w:highlight w:val="none"/>
                    </w:rPr>
                    <w:t>±15</w:t>
                  </w:r>
                  <w:r>
                    <w:rPr>
                      <w:rFonts w:hint="eastAsia"/>
                      <w:color w:val="auto"/>
                      <w:szCs w:val="21"/>
                      <w:highlight w:val="none"/>
                    </w:rPr>
                    <w:t>.</w:t>
                  </w:r>
                  <w:r>
                    <w:rPr>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81" w:type="dxa"/>
                  <w:gridSpan w:val="3"/>
                  <w:vAlign w:val="center"/>
                </w:tcPr>
                <w:p>
                  <w:pPr>
                    <w:spacing w:line="320" w:lineRule="exact"/>
                    <w:rPr>
                      <w:b/>
                      <w:bCs/>
                      <w:color w:val="auto"/>
                      <w:szCs w:val="21"/>
                      <w:highlight w:val="none"/>
                    </w:rPr>
                  </w:pPr>
                  <w:r>
                    <w:rPr>
                      <w:rFonts w:hint="eastAsia"/>
                      <w:color w:val="auto"/>
                      <w:szCs w:val="21"/>
                      <w:highlight w:val="none"/>
                    </w:rPr>
                    <w:t>注：一般农村房屋执行三级。</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480" w:lineRule="exact"/>
              <w:ind w:left="660" w:leftChars="0"/>
              <w:textAlignment w:val="auto"/>
              <w:rPr>
                <w:rFonts w:hint="eastAsia" w:ascii="宋体" w:hAnsi="宋体" w:eastAsia="宋体" w:cs="宋体"/>
                <w:color w:val="auto"/>
                <w:sz w:val="24"/>
                <w:szCs w:val="24"/>
                <w:highlight w:val="none"/>
                <w:shd w:val="clear" w:color="auto" w:fill="auto"/>
                <w:lang w:eastAsia="zh-CN"/>
              </w:rPr>
            </w:pPr>
          </w:p>
          <w:p>
            <w:pPr>
              <w:keepNext w:val="0"/>
              <w:keepLines w:val="0"/>
              <w:pageBreakBefore w:val="0"/>
              <w:widowControl w:val="0"/>
              <w:numPr>
                <w:ilvl w:val="0"/>
                <w:numId w:val="11"/>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图解法精度要求。</w:t>
            </w:r>
          </w:p>
          <w:p>
            <w:pPr>
              <w:spacing w:line="340" w:lineRule="exact"/>
              <w:jc w:val="center"/>
              <w:rPr>
                <w:color w:val="auto"/>
                <w:szCs w:val="21"/>
                <w:highlight w:val="none"/>
              </w:rPr>
            </w:pPr>
            <w:r>
              <w:rPr>
                <w:rFonts w:hint="eastAsia"/>
                <w:color w:val="auto"/>
                <w:szCs w:val="21"/>
                <w:highlight w:val="none"/>
              </w:rPr>
              <w:t>表3  图解界址点精度指标（全野外数字测图）</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40"/>
              <w:gridCol w:w="120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15" w:type="dxa"/>
                  <w:vAlign w:val="center"/>
                </w:tcPr>
                <w:p>
                  <w:pPr>
                    <w:spacing w:line="340" w:lineRule="exact"/>
                    <w:ind w:firstLine="8" w:firstLineChars="4"/>
                    <w:jc w:val="center"/>
                    <w:rPr>
                      <w:color w:val="auto"/>
                      <w:szCs w:val="21"/>
                      <w:highlight w:val="none"/>
                    </w:rPr>
                  </w:pPr>
                  <w:r>
                    <w:rPr>
                      <w:color w:val="auto"/>
                      <w:szCs w:val="21"/>
                      <w:highlight w:val="none"/>
                    </w:rPr>
                    <w:t>序号</w:t>
                  </w:r>
                </w:p>
              </w:tc>
              <w:tc>
                <w:tcPr>
                  <w:tcW w:w="2140" w:type="dxa"/>
                  <w:vAlign w:val="center"/>
                </w:tcPr>
                <w:p>
                  <w:pPr>
                    <w:spacing w:line="340" w:lineRule="exact"/>
                    <w:ind w:left="4" w:hanging="4" w:hangingChars="2"/>
                    <w:jc w:val="center"/>
                    <w:rPr>
                      <w:color w:val="auto"/>
                      <w:szCs w:val="21"/>
                      <w:highlight w:val="none"/>
                    </w:rPr>
                  </w:pPr>
                  <w:r>
                    <w:rPr>
                      <w:color w:val="auto"/>
                      <w:szCs w:val="21"/>
                      <w:highlight w:val="none"/>
                    </w:rPr>
                    <w:t>项目</w:t>
                  </w:r>
                </w:p>
              </w:tc>
              <w:tc>
                <w:tcPr>
                  <w:tcW w:w="1204" w:type="dxa"/>
                  <w:vAlign w:val="center"/>
                </w:tcPr>
                <w:p>
                  <w:pPr>
                    <w:spacing w:line="340" w:lineRule="exact"/>
                    <w:ind w:left="4" w:hanging="4" w:hangingChars="2"/>
                    <w:jc w:val="center"/>
                    <w:rPr>
                      <w:color w:val="auto"/>
                      <w:szCs w:val="21"/>
                      <w:highlight w:val="none"/>
                    </w:rPr>
                  </w:pPr>
                  <w:r>
                    <w:rPr>
                      <w:color w:val="auto"/>
                      <w:szCs w:val="21"/>
                      <w:highlight w:val="none"/>
                    </w:rPr>
                    <w:t>图上中误差（mm）</w:t>
                  </w:r>
                </w:p>
              </w:tc>
              <w:tc>
                <w:tcPr>
                  <w:tcW w:w="1223" w:type="dxa"/>
                  <w:vAlign w:val="center"/>
                </w:tcPr>
                <w:p>
                  <w:pPr>
                    <w:spacing w:line="340" w:lineRule="exact"/>
                    <w:ind w:left="4" w:hanging="4" w:hangingChars="2"/>
                    <w:jc w:val="center"/>
                    <w:rPr>
                      <w:color w:val="auto"/>
                      <w:szCs w:val="21"/>
                      <w:highlight w:val="none"/>
                    </w:rPr>
                  </w:pPr>
                  <w:r>
                    <w:rPr>
                      <w:color w:val="auto"/>
                      <w:szCs w:val="21"/>
                      <w:highlight w:val="none"/>
                    </w:rPr>
                    <w:t>图上允许误差（mm）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5" w:type="dxa"/>
                  <w:vAlign w:val="center"/>
                </w:tcPr>
                <w:p>
                  <w:pPr>
                    <w:spacing w:line="340" w:lineRule="exact"/>
                    <w:ind w:firstLine="8" w:firstLineChars="4"/>
                    <w:jc w:val="center"/>
                    <w:rPr>
                      <w:color w:val="auto"/>
                      <w:szCs w:val="21"/>
                      <w:highlight w:val="none"/>
                    </w:rPr>
                  </w:pPr>
                  <w:r>
                    <w:rPr>
                      <w:color w:val="auto"/>
                      <w:szCs w:val="21"/>
                      <w:highlight w:val="none"/>
                    </w:rPr>
                    <w:t>1</w:t>
                  </w:r>
                </w:p>
              </w:tc>
              <w:tc>
                <w:tcPr>
                  <w:tcW w:w="2140" w:type="dxa"/>
                  <w:vAlign w:val="center"/>
                </w:tcPr>
                <w:p>
                  <w:pPr>
                    <w:spacing w:line="340" w:lineRule="exact"/>
                    <w:ind w:left="4" w:hanging="4" w:hangingChars="2"/>
                    <w:rPr>
                      <w:color w:val="auto"/>
                      <w:szCs w:val="21"/>
                      <w:highlight w:val="none"/>
                    </w:rPr>
                  </w:pPr>
                  <w:r>
                    <w:rPr>
                      <w:color w:val="auto"/>
                      <w:szCs w:val="21"/>
                      <w:highlight w:val="none"/>
                    </w:rPr>
                    <w:t>相邻界址点的间距误差</w:t>
                  </w:r>
                </w:p>
              </w:tc>
              <w:tc>
                <w:tcPr>
                  <w:tcW w:w="1204" w:type="dxa"/>
                  <w:vAlign w:val="center"/>
                </w:tcPr>
                <w:p>
                  <w:pPr>
                    <w:spacing w:line="340" w:lineRule="exact"/>
                    <w:ind w:left="4" w:hanging="4" w:hangingChars="2"/>
                    <w:jc w:val="center"/>
                    <w:rPr>
                      <w:color w:val="auto"/>
                      <w:szCs w:val="21"/>
                      <w:highlight w:val="none"/>
                    </w:rPr>
                  </w:pPr>
                  <w:r>
                    <w:rPr>
                      <w:color w:val="auto"/>
                      <w:szCs w:val="21"/>
                      <w:highlight w:val="none"/>
                    </w:rPr>
                    <w:t>±0</w:t>
                  </w:r>
                  <w:r>
                    <w:rPr>
                      <w:rFonts w:hint="eastAsia"/>
                      <w:color w:val="auto"/>
                      <w:szCs w:val="21"/>
                      <w:highlight w:val="none"/>
                    </w:rPr>
                    <w:t>.</w:t>
                  </w:r>
                  <w:r>
                    <w:rPr>
                      <w:color w:val="auto"/>
                      <w:szCs w:val="21"/>
                      <w:highlight w:val="none"/>
                    </w:rPr>
                    <w:t>3</w:t>
                  </w:r>
                </w:p>
              </w:tc>
              <w:tc>
                <w:tcPr>
                  <w:tcW w:w="1223" w:type="dxa"/>
                  <w:vAlign w:val="center"/>
                </w:tcPr>
                <w:p>
                  <w:pPr>
                    <w:spacing w:line="340" w:lineRule="exact"/>
                    <w:ind w:left="4" w:hanging="4" w:hangingChars="2"/>
                    <w:jc w:val="center"/>
                    <w:rPr>
                      <w:color w:val="auto"/>
                      <w:szCs w:val="21"/>
                      <w:highlight w:val="none"/>
                    </w:rPr>
                  </w:pPr>
                  <w:r>
                    <w:rPr>
                      <w:color w:val="auto"/>
                      <w:szCs w:val="21"/>
                      <w:highlight w:val="none"/>
                    </w:rPr>
                    <w:t>±0</w:t>
                  </w:r>
                  <w:r>
                    <w:rPr>
                      <w:rFonts w:hint="eastAsia"/>
                      <w:color w:val="auto"/>
                      <w:szCs w:val="21"/>
                      <w:highlight w:val="none"/>
                    </w:rPr>
                    <w:t>.</w:t>
                  </w:r>
                  <w:r>
                    <w:rPr>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15" w:type="dxa"/>
                  <w:vAlign w:val="center"/>
                </w:tcPr>
                <w:p>
                  <w:pPr>
                    <w:spacing w:line="340" w:lineRule="exact"/>
                    <w:ind w:firstLine="8" w:firstLineChars="4"/>
                    <w:jc w:val="center"/>
                    <w:rPr>
                      <w:color w:val="auto"/>
                      <w:szCs w:val="21"/>
                      <w:highlight w:val="none"/>
                    </w:rPr>
                  </w:pPr>
                  <w:r>
                    <w:rPr>
                      <w:color w:val="auto"/>
                      <w:szCs w:val="21"/>
                      <w:highlight w:val="none"/>
                    </w:rPr>
                    <w:t>2</w:t>
                  </w:r>
                </w:p>
              </w:tc>
              <w:tc>
                <w:tcPr>
                  <w:tcW w:w="2140" w:type="dxa"/>
                  <w:vAlign w:val="center"/>
                </w:tcPr>
                <w:p>
                  <w:pPr>
                    <w:spacing w:line="340" w:lineRule="exact"/>
                    <w:ind w:left="4" w:hanging="4" w:hangingChars="2"/>
                    <w:rPr>
                      <w:color w:val="auto"/>
                      <w:szCs w:val="21"/>
                      <w:highlight w:val="none"/>
                    </w:rPr>
                  </w:pPr>
                  <w:r>
                    <w:rPr>
                      <w:color w:val="auto"/>
                      <w:szCs w:val="21"/>
                      <w:highlight w:val="none"/>
                    </w:rPr>
                    <w:t>界址点相对于邻近控制点的点位误差</w:t>
                  </w:r>
                </w:p>
              </w:tc>
              <w:tc>
                <w:tcPr>
                  <w:tcW w:w="1204" w:type="dxa"/>
                  <w:vAlign w:val="center"/>
                </w:tcPr>
                <w:p>
                  <w:pPr>
                    <w:spacing w:line="340" w:lineRule="exact"/>
                    <w:ind w:left="4" w:hanging="4" w:hangingChars="2"/>
                    <w:jc w:val="center"/>
                    <w:rPr>
                      <w:color w:val="auto"/>
                      <w:szCs w:val="21"/>
                      <w:highlight w:val="none"/>
                    </w:rPr>
                  </w:pPr>
                  <w:r>
                    <w:rPr>
                      <w:color w:val="auto"/>
                      <w:szCs w:val="21"/>
                      <w:highlight w:val="none"/>
                    </w:rPr>
                    <w:t>±0</w:t>
                  </w:r>
                  <w:r>
                    <w:rPr>
                      <w:rFonts w:hint="eastAsia"/>
                      <w:color w:val="auto"/>
                      <w:szCs w:val="21"/>
                      <w:highlight w:val="none"/>
                    </w:rPr>
                    <w:t>.</w:t>
                  </w:r>
                  <w:r>
                    <w:rPr>
                      <w:color w:val="auto"/>
                      <w:szCs w:val="21"/>
                      <w:highlight w:val="none"/>
                    </w:rPr>
                    <w:t>3</w:t>
                  </w:r>
                </w:p>
              </w:tc>
              <w:tc>
                <w:tcPr>
                  <w:tcW w:w="1223" w:type="dxa"/>
                  <w:vAlign w:val="center"/>
                </w:tcPr>
                <w:p>
                  <w:pPr>
                    <w:spacing w:line="340" w:lineRule="exact"/>
                    <w:ind w:left="4" w:hanging="4" w:hangingChars="2"/>
                    <w:jc w:val="center"/>
                    <w:rPr>
                      <w:color w:val="auto"/>
                      <w:szCs w:val="21"/>
                      <w:highlight w:val="none"/>
                    </w:rPr>
                  </w:pPr>
                  <w:r>
                    <w:rPr>
                      <w:color w:val="auto"/>
                      <w:szCs w:val="21"/>
                      <w:highlight w:val="none"/>
                    </w:rPr>
                    <w:t>±0</w:t>
                  </w:r>
                  <w:r>
                    <w:rPr>
                      <w:rFonts w:hint="eastAsia"/>
                      <w:color w:val="auto"/>
                      <w:szCs w:val="21"/>
                      <w:highlight w:val="none"/>
                    </w:rPr>
                    <w:t>.</w:t>
                  </w:r>
                  <w:r>
                    <w:rPr>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5" w:type="dxa"/>
                  <w:vAlign w:val="center"/>
                </w:tcPr>
                <w:p>
                  <w:pPr>
                    <w:spacing w:line="340" w:lineRule="exact"/>
                    <w:ind w:firstLine="8" w:firstLineChars="4"/>
                    <w:jc w:val="center"/>
                    <w:rPr>
                      <w:color w:val="auto"/>
                      <w:szCs w:val="21"/>
                      <w:highlight w:val="none"/>
                    </w:rPr>
                  </w:pPr>
                  <w:r>
                    <w:rPr>
                      <w:color w:val="auto"/>
                      <w:szCs w:val="21"/>
                      <w:highlight w:val="none"/>
                    </w:rPr>
                    <w:t>3</w:t>
                  </w:r>
                </w:p>
              </w:tc>
              <w:tc>
                <w:tcPr>
                  <w:tcW w:w="2140" w:type="dxa"/>
                  <w:vAlign w:val="center"/>
                </w:tcPr>
                <w:p>
                  <w:pPr>
                    <w:spacing w:line="340" w:lineRule="exact"/>
                    <w:ind w:left="4" w:hanging="4" w:hangingChars="2"/>
                    <w:rPr>
                      <w:color w:val="auto"/>
                      <w:szCs w:val="21"/>
                      <w:highlight w:val="none"/>
                    </w:rPr>
                  </w:pPr>
                  <w:r>
                    <w:rPr>
                      <w:color w:val="auto"/>
                      <w:szCs w:val="21"/>
                      <w:highlight w:val="none"/>
                    </w:rPr>
                    <w:t>界址点相对于邻近地物点的间距误差</w:t>
                  </w:r>
                </w:p>
              </w:tc>
              <w:tc>
                <w:tcPr>
                  <w:tcW w:w="1204" w:type="dxa"/>
                  <w:vAlign w:val="center"/>
                </w:tcPr>
                <w:p>
                  <w:pPr>
                    <w:spacing w:line="340" w:lineRule="exact"/>
                    <w:ind w:left="4" w:hanging="4" w:hangingChars="2"/>
                    <w:jc w:val="center"/>
                    <w:rPr>
                      <w:color w:val="auto"/>
                      <w:szCs w:val="21"/>
                      <w:highlight w:val="none"/>
                    </w:rPr>
                  </w:pPr>
                  <w:r>
                    <w:rPr>
                      <w:color w:val="auto"/>
                      <w:szCs w:val="21"/>
                      <w:highlight w:val="none"/>
                    </w:rPr>
                    <w:t>±0</w:t>
                  </w:r>
                  <w:r>
                    <w:rPr>
                      <w:rFonts w:hint="eastAsia"/>
                      <w:color w:val="auto"/>
                      <w:szCs w:val="21"/>
                      <w:highlight w:val="none"/>
                    </w:rPr>
                    <w:t>.</w:t>
                  </w:r>
                  <w:r>
                    <w:rPr>
                      <w:color w:val="auto"/>
                      <w:szCs w:val="21"/>
                      <w:highlight w:val="none"/>
                    </w:rPr>
                    <w:t>3</w:t>
                  </w:r>
                </w:p>
              </w:tc>
              <w:tc>
                <w:tcPr>
                  <w:tcW w:w="1223" w:type="dxa"/>
                  <w:vAlign w:val="center"/>
                </w:tcPr>
                <w:p>
                  <w:pPr>
                    <w:spacing w:line="340" w:lineRule="exact"/>
                    <w:ind w:left="4" w:hanging="4" w:hangingChars="2"/>
                    <w:jc w:val="center"/>
                    <w:rPr>
                      <w:color w:val="auto"/>
                      <w:szCs w:val="21"/>
                      <w:highlight w:val="none"/>
                    </w:rPr>
                  </w:pPr>
                  <w:r>
                    <w:rPr>
                      <w:color w:val="auto"/>
                      <w:szCs w:val="21"/>
                      <w:highlight w:val="none"/>
                    </w:rPr>
                    <w:t>±0</w:t>
                  </w:r>
                  <w:r>
                    <w:rPr>
                      <w:rFonts w:hint="eastAsia"/>
                      <w:color w:val="auto"/>
                      <w:szCs w:val="21"/>
                      <w:highlight w:val="none"/>
                    </w:rPr>
                    <w:t>.</w:t>
                  </w:r>
                  <w:r>
                    <w:rPr>
                      <w:color w:val="auto"/>
                      <w:szCs w:val="21"/>
                      <w:highlight w:val="none"/>
                    </w:rPr>
                    <w:t>6</w:t>
                  </w:r>
                </w:p>
              </w:tc>
            </w:tr>
          </w:tbl>
          <w:p>
            <w:pPr>
              <w:spacing w:line="400" w:lineRule="exact"/>
              <w:jc w:val="center"/>
              <w:rPr>
                <w:rFonts w:hint="eastAsia"/>
                <w:color w:val="auto"/>
                <w:szCs w:val="21"/>
                <w:highlight w:val="yellow"/>
              </w:rPr>
            </w:pPr>
          </w:p>
          <w:p>
            <w:pPr>
              <w:spacing w:line="400" w:lineRule="exact"/>
              <w:jc w:val="center"/>
              <w:rPr>
                <w:b/>
                <w:bCs/>
                <w:color w:val="auto"/>
                <w:szCs w:val="21"/>
                <w:highlight w:val="none"/>
              </w:rPr>
            </w:pPr>
            <w:r>
              <w:rPr>
                <w:rFonts w:hint="eastAsia"/>
                <w:color w:val="auto"/>
                <w:szCs w:val="21"/>
                <w:highlight w:val="none"/>
              </w:rPr>
              <w:t>表4  图解界址点精度指标（全野外数字测图）</w:t>
            </w:r>
          </w:p>
          <w:tbl>
            <w:tblPr>
              <w:tblStyle w:val="6"/>
              <w:tblW w:w="5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697"/>
              <w:gridCol w:w="698"/>
              <w:gridCol w:w="697"/>
              <w:gridCol w:w="697"/>
              <w:gridCol w:w="69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62" w:type="dxa"/>
                  <w:vMerge w:val="restart"/>
                  <w:vAlign w:val="center"/>
                </w:tcPr>
                <w:p>
                  <w:pPr>
                    <w:spacing w:line="340" w:lineRule="exact"/>
                    <w:jc w:val="center"/>
                    <w:rPr>
                      <w:b/>
                      <w:bCs/>
                      <w:color w:val="auto"/>
                      <w:szCs w:val="21"/>
                      <w:highlight w:val="none"/>
                    </w:rPr>
                  </w:pPr>
                  <w:r>
                    <w:rPr>
                      <w:color w:val="auto"/>
                      <w:szCs w:val="21"/>
                      <w:highlight w:val="none"/>
                    </w:rPr>
                    <w:t>项目</w:t>
                  </w:r>
                </w:p>
              </w:tc>
              <w:tc>
                <w:tcPr>
                  <w:tcW w:w="1395" w:type="dxa"/>
                  <w:gridSpan w:val="2"/>
                  <w:vAlign w:val="center"/>
                </w:tcPr>
                <w:p>
                  <w:pPr>
                    <w:spacing w:line="340" w:lineRule="exact"/>
                    <w:ind w:leftChars="-2" w:hanging="4" w:hangingChars="2"/>
                    <w:jc w:val="center"/>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500</w:t>
                  </w:r>
                </w:p>
              </w:tc>
              <w:tc>
                <w:tcPr>
                  <w:tcW w:w="1394" w:type="dxa"/>
                  <w:gridSpan w:val="2"/>
                  <w:vAlign w:val="center"/>
                </w:tcPr>
                <w:p>
                  <w:pPr>
                    <w:spacing w:line="340" w:lineRule="exact"/>
                    <w:ind w:leftChars="-2" w:hanging="4" w:hangingChars="2"/>
                    <w:jc w:val="center"/>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1000</w:t>
                  </w:r>
                </w:p>
              </w:tc>
              <w:tc>
                <w:tcPr>
                  <w:tcW w:w="1395" w:type="dxa"/>
                  <w:gridSpan w:val="2"/>
                  <w:vAlign w:val="center"/>
                </w:tcPr>
                <w:p>
                  <w:pPr>
                    <w:spacing w:line="340" w:lineRule="exact"/>
                    <w:ind w:leftChars="-2" w:hanging="4" w:hangingChars="2"/>
                    <w:jc w:val="center"/>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62" w:type="dxa"/>
                  <w:vMerge w:val="continue"/>
                  <w:vAlign w:val="center"/>
                </w:tcPr>
                <w:p>
                  <w:pPr>
                    <w:spacing w:line="340" w:lineRule="exact"/>
                    <w:jc w:val="center"/>
                    <w:rPr>
                      <w:b/>
                      <w:bCs/>
                      <w:color w:val="auto"/>
                      <w:szCs w:val="21"/>
                      <w:highlight w:val="none"/>
                    </w:rPr>
                  </w:pP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c>
                <w:tcPr>
                  <w:tcW w:w="698" w:type="dxa"/>
                  <w:vAlign w:val="center"/>
                </w:tcPr>
                <w:p>
                  <w:pPr>
                    <w:spacing w:line="340" w:lineRule="exact"/>
                    <w:ind w:left="-4" w:leftChars="-2"/>
                    <w:jc w:val="center"/>
                    <w:rPr>
                      <w:color w:val="auto"/>
                      <w:szCs w:val="21"/>
                      <w:highlight w:val="none"/>
                    </w:rPr>
                  </w:pPr>
                  <w:r>
                    <w:rPr>
                      <w:color w:val="auto"/>
                      <w:szCs w:val="21"/>
                      <w:highlight w:val="none"/>
                    </w:rPr>
                    <w:t>允许误差（m）</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c>
                <w:tcPr>
                  <w:tcW w:w="697" w:type="dxa"/>
                  <w:vAlign w:val="center"/>
                </w:tcPr>
                <w:p>
                  <w:pPr>
                    <w:spacing w:line="340" w:lineRule="exact"/>
                    <w:ind w:left="-4" w:leftChars="-2"/>
                    <w:jc w:val="center"/>
                    <w:rPr>
                      <w:color w:val="auto"/>
                      <w:szCs w:val="21"/>
                      <w:highlight w:val="none"/>
                    </w:rPr>
                  </w:pPr>
                  <w:r>
                    <w:rPr>
                      <w:color w:val="auto"/>
                      <w:szCs w:val="21"/>
                      <w:highlight w:val="none"/>
                    </w:rPr>
                    <w:t>允许误差（m）</w:t>
                  </w:r>
                </w:p>
              </w:tc>
              <w:tc>
                <w:tcPr>
                  <w:tcW w:w="698"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62" w:type="dxa"/>
                  <w:vAlign w:val="center"/>
                </w:tcPr>
                <w:p>
                  <w:pPr>
                    <w:spacing w:line="340" w:lineRule="exact"/>
                    <w:jc w:val="center"/>
                    <w:rPr>
                      <w:b/>
                      <w:bCs/>
                      <w:color w:val="auto"/>
                      <w:szCs w:val="21"/>
                      <w:highlight w:val="none"/>
                    </w:rPr>
                  </w:pPr>
                  <w:r>
                    <w:rPr>
                      <w:color w:val="auto"/>
                      <w:szCs w:val="21"/>
                      <w:highlight w:val="none"/>
                    </w:rPr>
                    <w:t>相邻界址点的间距误差</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.15</w:t>
                  </w:r>
                </w:p>
              </w:tc>
              <w:tc>
                <w:tcPr>
                  <w:tcW w:w="698"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.15</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8"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162" w:type="dxa"/>
                  <w:vAlign w:val="center"/>
                </w:tcPr>
                <w:p>
                  <w:pPr>
                    <w:spacing w:line="340" w:lineRule="exact"/>
                    <w:jc w:val="center"/>
                    <w:rPr>
                      <w:b/>
                      <w:bCs/>
                      <w:color w:val="auto"/>
                      <w:szCs w:val="21"/>
                      <w:highlight w:val="none"/>
                    </w:rPr>
                  </w:pPr>
                  <w:r>
                    <w:rPr>
                      <w:color w:val="auto"/>
                      <w:szCs w:val="21"/>
                      <w:highlight w:val="none"/>
                    </w:rPr>
                    <w:t>界址点相对于邻近控制点的点位误差</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.15</w:t>
                  </w:r>
                </w:p>
              </w:tc>
              <w:tc>
                <w:tcPr>
                  <w:tcW w:w="698"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.15</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8"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62" w:type="dxa"/>
                  <w:vAlign w:val="center"/>
                </w:tcPr>
                <w:p>
                  <w:pPr>
                    <w:spacing w:line="340" w:lineRule="exact"/>
                    <w:jc w:val="center"/>
                    <w:rPr>
                      <w:b/>
                      <w:bCs/>
                      <w:color w:val="auto"/>
                      <w:szCs w:val="21"/>
                      <w:highlight w:val="none"/>
                    </w:rPr>
                  </w:pPr>
                  <w:r>
                    <w:rPr>
                      <w:color w:val="auto"/>
                      <w:szCs w:val="21"/>
                      <w:highlight w:val="none"/>
                    </w:rPr>
                    <w:t>界址点相对于邻近地物点的间距误差</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.15</w:t>
                  </w:r>
                </w:p>
              </w:tc>
              <w:tc>
                <w:tcPr>
                  <w:tcW w:w="698"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.15</w:t>
                  </w:r>
                </w:p>
              </w:tc>
              <w:tc>
                <w:tcPr>
                  <w:tcW w:w="697"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c>
                <w:tcPr>
                  <w:tcW w:w="698"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.3</w:t>
                  </w:r>
                </w:p>
              </w:tc>
            </w:tr>
          </w:tbl>
          <w:p>
            <w:pPr>
              <w:spacing w:line="400" w:lineRule="exact"/>
              <w:jc w:val="center"/>
              <w:rPr>
                <w:rFonts w:hint="eastAsia"/>
                <w:color w:val="auto"/>
                <w:szCs w:val="21"/>
                <w:highlight w:val="yellow"/>
              </w:rPr>
            </w:pPr>
          </w:p>
          <w:p>
            <w:pPr>
              <w:spacing w:line="400" w:lineRule="exact"/>
              <w:jc w:val="center"/>
              <w:rPr>
                <w:b/>
                <w:bCs/>
                <w:color w:val="auto"/>
                <w:szCs w:val="21"/>
                <w:highlight w:val="none"/>
              </w:rPr>
            </w:pPr>
            <w:r>
              <w:rPr>
                <w:rFonts w:hint="eastAsia"/>
                <w:color w:val="auto"/>
                <w:szCs w:val="21"/>
                <w:highlight w:val="none"/>
              </w:rPr>
              <w:t>表5 图解界址点精度指标（正射影像图）</w:t>
            </w:r>
          </w:p>
          <w:tbl>
            <w:tblPr>
              <w:tblStyle w:val="6"/>
              <w:tblW w:w="5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701"/>
              <w:gridCol w:w="702"/>
              <w:gridCol w:w="701"/>
              <w:gridCol w:w="701"/>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9" w:type="dxa"/>
                  <w:vMerge w:val="restart"/>
                  <w:vAlign w:val="center"/>
                </w:tcPr>
                <w:p>
                  <w:pPr>
                    <w:spacing w:line="340" w:lineRule="exact"/>
                    <w:jc w:val="center"/>
                    <w:rPr>
                      <w:b/>
                      <w:bCs/>
                      <w:color w:val="auto"/>
                      <w:szCs w:val="21"/>
                      <w:highlight w:val="none"/>
                    </w:rPr>
                  </w:pPr>
                  <w:r>
                    <w:rPr>
                      <w:color w:val="auto"/>
                      <w:szCs w:val="21"/>
                      <w:highlight w:val="none"/>
                    </w:rPr>
                    <w:t>项目</w:t>
                  </w:r>
                </w:p>
              </w:tc>
              <w:tc>
                <w:tcPr>
                  <w:tcW w:w="1403" w:type="dxa"/>
                  <w:gridSpan w:val="2"/>
                  <w:vAlign w:val="center"/>
                </w:tcPr>
                <w:p>
                  <w:pPr>
                    <w:spacing w:line="340" w:lineRule="exact"/>
                    <w:ind w:leftChars="-2" w:hanging="4" w:hangingChars="2"/>
                    <w:jc w:val="center"/>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500</w:t>
                  </w:r>
                </w:p>
              </w:tc>
              <w:tc>
                <w:tcPr>
                  <w:tcW w:w="1402" w:type="dxa"/>
                  <w:gridSpan w:val="2"/>
                  <w:vAlign w:val="center"/>
                </w:tcPr>
                <w:p>
                  <w:pPr>
                    <w:spacing w:line="340" w:lineRule="exact"/>
                    <w:ind w:leftChars="-2" w:hanging="4" w:hangingChars="2"/>
                    <w:jc w:val="center"/>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1000</w:t>
                  </w:r>
                </w:p>
              </w:tc>
              <w:tc>
                <w:tcPr>
                  <w:tcW w:w="1403" w:type="dxa"/>
                  <w:gridSpan w:val="2"/>
                  <w:vAlign w:val="center"/>
                </w:tcPr>
                <w:p>
                  <w:pPr>
                    <w:spacing w:line="340" w:lineRule="exact"/>
                    <w:ind w:leftChars="-2" w:hanging="4" w:hangingChars="2"/>
                    <w:jc w:val="center"/>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169" w:type="dxa"/>
                  <w:vMerge w:val="continue"/>
                  <w:vAlign w:val="center"/>
                </w:tcPr>
                <w:p>
                  <w:pPr>
                    <w:spacing w:line="340" w:lineRule="exact"/>
                    <w:jc w:val="center"/>
                    <w:rPr>
                      <w:b/>
                      <w:bCs/>
                      <w:color w:val="auto"/>
                      <w:szCs w:val="21"/>
                      <w:highlight w:val="none"/>
                    </w:rPr>
                  </w:pP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c>
                <w:tcPr>
                  <w:tcW w:w="702" w:type="dxa"/>
                  <w:vAlign w:val="center"/>
                </w:tcPr>
                <w:p>
                  <w:pPr>
                    <w:spacing w:line="340" w:lineRule="exact"/>
                    <w:ind w:left="-4" w:leftChars="-2"/>
                    <w:jc w:val="center"/>
                    <w:rPr>
                      <w:color w:val="auto"/>
                      <w:szCs w:val="21"/>
                      <w:highlight w:val="none"/>
                    </w:rPr>
                  </w:pPr>
                  <w:r>
                    <w:rPr>
                      <w:color w:val="auto"/>
                      <w:szCs w:val="21"/>
                      <w:highlight w:val="none"/>
                    </w:rPr>
                    <w:t>允许误差（m）</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c>
                <w:tcPr>
                  <w:tcW w:w="701" w:type="dxa"/>
                  <w:vAlign w:val="center"/>
                </w:tcPr>
                <w:p>
                  <w:pPr>
                    <w:spacing w:line="340" w:lineRule="exact"/>
                    <w:ind w:left="-4" w:leftChars="-2"/>
                    <w:jc w:val="center"/>
                    <w:rPr>
                      <w:color w:val="auto"/>
                      <w:szCs w:val="21"/>
                      <w:highlight w:val="none"/>
                    </w:rPr>
                  </w:pPr>
                  <w:r>
                    <w:rPr>
                      <w:color w:val="auto"/>
                      <w:szCs w:val="21"/>
                      <w:highlight w:val="none"/>
                    </w:rPr>
                    <w:t>允许误差（m）</w:t>
                  </w:r>
                </w:p>
              </w:tc>
              <w:tc>
                <w:tcPr>
                  <w:tcW w:w="702" w:type="dxa"/>
                  <w:vAlign w:val="center"/>
                </w:tcPr>
                <w:p>
                  <w:pPr>
                    <w:spacing w:line="340" w:lineRule="exact"/>
                    <w:ind w:leftChars="-2" w:hanging="4" w:hangingChars="2"/>
                    <w:jc w:val="center"/>
                    <w:rPr>
                      <w:color w:val="auto"/>
                      <w:szCs w:val="21"/>
                      <w:highlight w:val="none"/>
                    </w:rPr>
                  </w:pPr>
                  <w:r>
                    <w:rPr>
                      <w:color w:val="auto"/>
                      <w:szCs w:val="21"/>
                      <w:highlight w:val="none"/>
                    </w:rPr>
                    <w:t>中误差（m）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69" w:type="dxa"/>
                  <w:vAlign w:val="center"/>
                </w:tcPr>
                <w:p>
                  <w:pPr>
                    <w:spacing w:line="340" w:lineRule="exact"/>
                    <w:ind w:leftChars="-2" w:hanging="4" w:hangingChars="2"/>
                    <w:rPr>
                      <w:color w:val="auto"/>
                      <w:szCs w:val="21"/>
                      <w:highlight w:val="none"/>
                    </w:rPr>
                  </w:pPr>
                  <w:r>
                    <w:rPr>
                      <w:color w:val="auto"/>
                      <w:szCs w:val="21"/>
                      <w:highlight w:val="none"/>
                    </w:rPr>
                    <w:t>相邻界址点的间距误差</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.2</w:t>
                  </w:r>
                </w:p>
              </w:tc>
              <w:tc>
                <w:tcPr>
                  <w:tcW w:w="702"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.4</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.4</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0.8</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0.8</w:t>
                  </w:r>
                </w:p>
              </w:tc>
              <w:tc>
                <w:tcPr>
                  <w:tcW w:w="702" w:type="dxa"/>
                  <w:vAlign w:val="center"/>
                </w:tcPr>
                <w:p>
                  <w:pPr>
                    <w:spacing w:line="340" w:lineRule="exact"/>
                    <w:ind w:leftChars="-2" w:hanging="4" w:hangingChars="2"/>
                    <w:jc w:val="center"/>
                    <w:rPr>
                      <w:color w:val="auto"/>
                      <w:szCs w:val="21"/>
                      <w:highlight w:val="none"/>
                    </w:rPr>
                  </w:pPr>
                  <w:r>
                    <w:rPr>
                      <w:color w:val="auto"/>
                      <w:szCs w:val="21"/>
                      <w:highlight w:val="none"/>
                    </w:rPr>
                    <w:t>±1</w:t>
                  </w:r>
                  <w:r>
                    <w:rPr>
                      <w:rFonts w:hint="eastAsia"/>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169" w:type="dxa"/>
                  <w:vAlign w:val="center"/>
                </w:tcPr>
                <w:p>
                  <w:pPr>
                    <w:spacing w:line="340" w:lineRule="exact"/>
                    <w:ind w:leftChars="-2" w:hanging="4" w:hangingChars="2"/>
                    <w:rPr>
                      <w:color w:val="auto"/>
                      <w:szCs w:val="21"/>
                      <w:highlight w:val="none"/>
                    </w:rPr>
                  </w:pPr>
                  <w:r>
                    <w:rPr>
                      <w:color w:val="auto"/>
                      <w:szCs w:val="21"/>
                      <w:highlight w:val="none"/>
                    </w:rPr>
                    <w:t>界址点相对于邻近控制点的点位误差</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.2</w:t>
                  </w:r>
                </w:p>
              </w:tc>
              <w:tc>
                <w:tcPr>
                  <w:tcW w:w="702"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.4</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.5</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1.0</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1.0</w:t>
                  </w:r>
                </w:p>
              </w:tc>
              <w:tc>
                <w:tcPr>
                  <w:tcW w:w="702"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69" w:type="dxa"/>
                  <w:vAlign w:val="center"/>
                </w:tcPr>
                <w:p>
                  <w:pPr>
                    <w:spacing w:line="340" w:lineRule="exact"/>
                    <w:ind w:leftChars="-2" w:hanging="4" w:hangingChars="2"/>
                    <w:rPr>
                      <w:color w:val="auto"/>
                      <w:szCs w:val="21"/>
                      <w:highlight w:val="none"/>
                    </w:rPr>
                  </w:pPr>
                  <w:r>
                    <w:rPr>
                      <w:color w:val="auto"/>
                      <w:szCs w:val="21"/>
                      <w:highlight w:val="none"/>
                    </w:rPr>
                    <w:t>界址点相对于邻近地物点的间距误差</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.2</w:t>
                  </w:r>
                </w:p>
              </w:tc>
              <w:tc>
                <w:tcPr>
                  <w:tcW w:w="702"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.4</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±0</w:t>
                  </w:r>
                  <w:r>
                    <w:rPr>
                      <w:rFonts w:hint="eastAsia"/>
                      <w:color w:val="auto"/>
                      <w:szCs w:val="21"/>
                      <w:highlight w:val="none"/>
                    </w:rPr>
                    <w:t>.5</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1.0</w:t>
                  </w:r>
                </w:p>
              </w:tc>
              <w:tc>
                <w:tcPr>
                  <w:tcW w:w="701"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1.0</w:t>
                  </w:r>
                </w:p>
              </w:tc>
              <w:tc>
                <w:tcPr>
                  <w:tcW w:w="702" w:type="dxa"/>
                  <w:vAlign w:val="center"/>
                </w:tcPr>
                <w:p>
                  <w:pPr>
                    <w:spacing w:line="340" w:lineRule="exact"/>
                    <w:ind w:leftChars="-2" w:hanging="4" w:hangingChars="2"/>
                    <w:jc w:val="center"/>
                    <w:rPr>
                      <w:color w:val="auto"/>
                      <w:szCs w:val="21"/>
                      <w:highlight w:val="none"/>
                    </w:rPr>
                  </w:pPr>
                  <w:r>
                    <w:rPr>
                      <w:color w:val="auto"/>
                      <w:szCs w:val="21"/>
                      <w:highlight w:val="none"/>
                    </w:rPr>
                    <w:t>±</w:t>
                  </w:r>
                  <w:r>
                    <w:rPr>
                      <w:rFonts w:hint="eastAsia"/>
                      <w:color w:val="auto"/>
                      <w:szCs w:val="21"/>
                      <w:highlight w:val="none"/>
                    </w:rPr>
                    <w:t>2.0</w:t>
                  </w:r>
                </w:p>
              </w:tc>
            </w:tr>
          </w:tbl>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上述表3至表5规定的是图解法获取的平原、丘陵地区明显界址点精度指标，山地、森林及隐蔽地区等可放宽至1.5倍。</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由图解法测量获取的界址点坐标，不得用于放样确定实地界址点的精确位置，可利用宗地草图记载的实际丈量的界址边长计算宗地面积。</w:t>
            </w:r>
          </w:p>
          <w:p>
            <w:pPr>
              <w:keepNext w:val="0"/>
              <w:keepLines w:val="0"/>
              <w:pageBreakBefore w:val="0"/>
              <w:widowControl w:val="0"/>
              <w:numPr>
                <w:ilvl w:val="0"/>
                <w:numId w:val="11"/>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房产面积精度要求</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房产面积的精度分为三级，各级面积的限差和中误差不超过表6计算的结果，注：S为房产面积,㎡。</w:t>
            </w:r>
          </w:p>
          <w:p>
            <w:pPr>
              <w:spacing w:line="400" w:lineRule="exact"/>
              <w:jc w:val="center"/>
              <w:rPr>
                <w:rFonts w:hint="eastAsia"/>
                <w:color w:val="auto"/>
                <w:szCs w:val="21"/>
                <w:highlight w:val="yellow"/>
              </w:rPr>
            </w:pPr>
          </w:p>
          <w:p>
            <w:pPr>
              <w:spacing w:line="400" w:lineRule="exact"/>
              <w:jc w:val="center"/>
              <w:rPr>
                <w:b/>
                <w:bCs/>
                <w:color w:val="auto"/>
                <w:szCs w:val="21"/>
                <w:highlight w:val="none"/>
              </w:rPr>
            </w:pPr>
            <w:r>
              <w:rPr>
                <w:rFonts w:hint="eastAsia"/>
                <w:color w:val="auto"/>
                <w:szCs w:val="21"/>
                <w:highlight w:val="none"/>
              </w:rPr>
              <w:t>表6  房产面积的精度要求      单位：平方米</w:t>
            </w:r>
          </w:p>
          <w:tbl>
            <w:tblPr>
              <w:tblStyle w:val="6"/>
              <w:tblW w:w="5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302"/>
              <w:gridCol w:w="137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60" w:type="dxa"/>
                  <w:vAlign w:val="center"/>
                </w:tcPr>
                <w:p>
                  <w:pPr>
                    <w:spacing w:line="360" w:lineRule="exact"/>
                    <w:jc w:val="both"/>
                    <w:rPr>
                      <w:color w:val="auto"/>
                      <w:szCs w:val="21"/>
                      <w:highlight w:val="none"/>
                    </w:rPr>
                  </w:pPr>
                  <w:r>
                    <w:rPr>
                      <w:color w:val="auto"/>
                      <w:szCs w:val="21"/>
                      <w:highlight w:val="none"/>
                    </w:rPr>
                    <w:t>房产面积的精度等级</w:t>
                  </w:r>
                </w:p>
              </w:tc>
              <w:tc>
                <w:tcPr>
                  <w:tcW w:w="1302" w:type="dxa"/>
                  <w:vAlign w:val="center"/>
                </w:tcPr>
                <w:p>
                  <w:pPr>
                    <w:spacing w:line="360" w:lineRule="exact"/>
                    <w:jc w:val="both"/>
                    <w:rPr>
                      <w:color w:val="auto"/>
                      <w:szCs w:val="21"/>
                      <w:highlight w:val="none"/>
                    </w:rPr>
                  </w:pPr>
                  <w:r>
                    <w:rPr>
                      <w:color w:val="auto"/>
                      <w:szCs w:val="21"/>
                      <w:highlight w:val="none"/>
                    </w:rPr>
                    <w:t>限差</w:t>
                  </w:r>
                </w:p>
              </w:tc>
              <w:tc>
                <w:tcPr>
                  <w:tcW w:w="1379" w:type="dxa"/>
                  <w:vAlign w:val="center"/>
                </w:tcPr>
                <w:p>
                  <w:pPr>
                    <w:spacing w:line="360" w:lineRule="exact"/>
                    <w:jc w:val="both"/>
                    <w:rPr>
                      <w:color w:val="auto"/>
                      <w:szCs w:val="21"/>
                      <w:highlight w:val="none"/>
                    </w:rPr>
                  </w:pPr>
                  <w:r>
                    <w:rPr>
                      <w:color w:val="auto"/>
                      <w:szCs w:val="21"/>
                      <w:highlight w:val="none"/>
                    </w:rPr>
                    <w:t>中误差</w:t>
                  </w:r>
                </w:p>
              </w:tc>
              <w:tc>
                <w:tcPr>
                  <w:tcW w:w="1244" w:type="dxa"/>
                  <w:vAlign w:val="center"/>
                </w:tcPr>
                <w:p>
                  <w:pPr>
                    <w:spacing w:line="360" w:lineRule="exact"/>
                    <w:jc w:val="both"/>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60" w:type="dxa"/>
                  <w:vAlign w:val="center"/>
                </w:tcPr>
                <w:p>
                  <w:pPr>
                    <w:spacing w:line="360" w:lineRule="exact"/>
                    <w:jc w:val="center"/>
                    <w:rPr>
                      <w:color w:val="auto"/>
                      <w:szCs w:val="21"/>
                      <w:highlight w:val="none"/>
                    </w:rPr>
                  </w:pPr>
                  <w:r>
                    <w:rPr>
                      <w:color w:val="auto"/>
                      <w:szCs w:val="21"/>
                      <w:highlight w:val="none"/>
                    </w:rPr>
                    <w:t>一</w:t>
                  </w:r>
                </w:p>
              </w:tc>
              <w:tc>
                <w:tcPr>
                  <w:tcW w:w="1302" w:type="dxa"/>
                  <w:vAlign w:val="center"/>
                </w:tcPr>
                <w:p>
                  <w:pPr>
                    <w:spacing w:line="360" w:lineRule="exact"/>
                    <w:jc w:val="both"/>
                    <w:rPr>
                      <w:color w:val="auto"/>
                      <w:szCs w:val="21"/>
                      <w:highlight w:val="none"/>
                    </w:rPr>
                  </w:pPr>
                  <w:r>
                    <w:rPr>
                      <w:color w:val="auto"/>
                      <w:szCs w:val="21"/>
                      <w:highlight w:val="none"/>
                    </w:rPr>
                    <w:t>0.02</w:t>
                  </w:r>
                  <w:r>
                    <w:rPr>
                      <w:color w:val="auto"/>
                      <w:position w:val="-8"/>
                      <w:szCs w:val="21"/>
                      <w:highlight w:val="none"/>
                    </w:rPr>
                    <w:drawing>
                      <wp:inline distT="0" distB="0" distL="114300" distR="114300">
                        <wp:extent cx="247650" cy="21907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7650" cy="219075"/>
                                </a:xfrm>
                                <a:prstGeom prst="rect">
                                  <a:avLst/>
                                </a:prstGeom>
                                <a:noFill/>
                                <a:ln>
                                  <a:noFill/>
                                </a:ln>
                              </pic:spPr>
                            </pic:pic>
                          </a:graphicData>
                        </a:graphic>
                      </wp:inline>
                    </w:drawing>
                  </w:r>
                  <w:r>
                    <w:rPr>
                      <w:color w:val="auto"/>
                      <w:szCs w:val="21"/>
                      <w:highlight w:val="none"/>
                    </w:rPr>
                    <w:t>+0.0006S</w:t>
                  </w:r>
                </w:p>
              </w:tc>
              <w:tc>
                <w:tcPr>
                  <w:tcW w:w="1379" w:type="dxa"/>
                  <w:vAlign w:val="center"/>
                </w:tcPr>
                <w:p>
                  <w:pPr>
                    <w:spacing w:line="360" w:lineRule="exact"/>
                    <w:jc w:val="both"/>
                    <w:rPr>
                      <w:color w:val="auto"/>
                      <w:szCs w:val="21"/>
                      <w:highlight w:val="none"/>
                    </w:rPr>
                  </w:pPr>
                  <w:r>
                    <w:rPr>
                      <w:color w:val="auto"/>
                      <w:szCs w:val="21"/>
                      <w:highlight w:val="none"/>
                    </w:rPr>
                    <w:t>0.01</w:t>
                  </w:r>
                  <w:r>
                    <w:rPr>
                      <w:color w:val="auto"/>
                      <w:position w:val="-8"/>
                      <w:szCs w:val="21"/>
                      <w:highlight w:val="none"/>
                    </w:rPr>
                    <w:drawing>
                      <wp:inline distT="0" distB="0" distL="114300" distR="114300">
                        <wp:extent cx="247650" cy="21907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47650" cy="219075"/>
                                </a:xfrm>
                                <a:prstGeom prst="rect">
                                  <a:avLst/>
                                </a:prstGeom>
                                <a:noFill/>
                                <a:ln>
                                  <a:noFill/>
                                </a:ln>
                              </pic:spPr>
                            </pic:pic>
                          </a:graphicData>
                        </a:graphic>
                      </wp:inline>
                    </w:drawing>
                  </w:r>
                  <w:r>
                    <w:rPr>
                      <w:color w:val="auto"/>
                      <w:szCs w:val="21"/>
                      <w:highlight w:val="none"/>
                    </w:rPr>
                    <w:t>+0.0003S</w:t>
                  </w:r>
                </w:p>
              </w:tc>
              <w:tc>
                <w:tcPr>
                  <w:tcW w:w="1244" w:type="dxa"/>
                  <w:vAlign w:val="center"/>
                </w:tcPr>
                <w:p>
                  <w:pPr>
                    <w:spacing w:line="360" w:lineRule="exact"/>
                    <w:jc w:val="both"/>
                    <w:rPr>
                      <w:color w:val="auto"/>
                      <w:szCs w:val="21"/>
                      <w:highlight w:val="none"/>
                    </w:rPr>
                  </w:pPr>
                  <w:r>
                    <w:rPr>
                      <w:color w:val="auto"/>
                      <w:szCs w:val="21"/>
                      <w:highlight w:val="none"/>
                    </w:rPr>
                    <w:t>县城以上所在地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60" w:type="dxa"/>
                  <w:vAlign w:val="center"/>
                </w:tcPr>
                <w:p>
                  <w:pPr>
                    <w:spacing w:line="360" w:lineRule="exact"/>
                    <w:jc w:val="center"/>
                    <w:rPr>
                      <w:color w:val="auto"/>
                      <w:szCs w:val="21"/>
                      <w:highlight w:val="none"/>
                    </w:rPr>
                  </w:pPr>
                  <w:r>
                    <w:rPr>
                      <w:color w:val="auto"/>
                      <w:szCs w:val="21"/>
                      <w:highlight w:val="none"/>
                    </w:rPr>
                    <w:t>二</w:t>
                  </w:r>
                </w:p>
              </w:tc>
              <w:tc>
                <w:tcPr>
                  <w:tcW w:w="1302" w:type="dxa"/>
                  <w:vAlign w:val="center"/>
                </w:tcPr>
                <w:p>
                  <w:pPr>
                    <w:spacing w:line="360" w:lineRule="exact"/>
                    <w:jc w:val="both"/>
                    <w:rPr>
                      <w:color w:val="auto"/>
                      <w:szCs w:val="21"/>
                      <w:highlight w:val="none"/>
                    </w:rPr>
                  </w:pPr>
                  <w:r>
                    <w:rPr>
                      <w:color w:val="auto"/>
                      <w:szCs w:val="21"/>
                      <w:highlight w:val="none"/>
                    </w:rPr>
                    <w:t>0.04</w:t>
                  </w:r>
                  <w:r>
                    <w:rPr>
                      <w:color w:val="auto"/>
                      <w:position w:val="-8"/>
                      <w:szCs w:val="21"/>
                      <w:highlight w:val="none"/>
                    </w:rPr>
                    <w:drawing>
                      <wp:inline distT="0" distB="0" distL="114300" distR="114300">
                        <wp:extent cx="247650" cy="21907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47650" cy="219075"/>
                                </a:xfrm>
                                <a:prstGeom prst="rect">
                                  <a:avLst/>
                                </a:prstGeom>
                                <a:noFill/>
                                <a:ln>
                                  <a:noFill/>
                                </a:ln>
                              </pic:spPr>
                            </pic:pic>
                          </a:graphicData>
                        </a:graphic>
                      </wp:inline>
                    </w:drawing>
                  </w:r>
                  <w:r>
                    <w:rPr>
                      <w:color w:val="auto"/>
                      <w:szCs w:val="21"/>
                      <w:highlight w:val="none"/>
                    </w:rPr>
                    <w:t>+0.002S</w:t>
                  </w:r>
                </w:p>
              </w:tc>
              <w:tc>
                <w:tcPr>
                  <w:tcW w:w="1379" w:type="dxa"/>
                  <w:vAlign w:val="center"/>
                </w:tcPr>
                <w:p>
                  <w:pPr>
                    <w:spacing w:line="360" w:lineRule="exact"/>
                    <w:jc w:val="both"/>
                    <w:rPr>
                      <w:color w:val="auto"/>
                      <w:szCs w:val="21"/>
                      <w:highlight w:val="none"/>
                    </w:rPr>
                  </w:pPr>
                  <w:r>
                    <w:rPr>
                      <w:color w:val="auto"/>
                      <w:szCs w:val="21"/>
                      <w:highlight w:val="none"/>
                    </w:rPr>
                    <w:t>0.02</w:t>
                  </w:r>
                  <w:r>
                    <w:rPr>
                      <w:color w:val="auto"/>
                      <w:position w:val="-8"/>
                      <w:szCs w:val="21"/>
                      <w:highlight w:val="none"/>
                    </w:rPr>
                    <w:drawing>
                      <wp:inline distT="0" distB="0" distL="114300" distR="114300">
                        <wp:extent cx="247650" cy="21907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247650" cy="219075"/>
                                </a:xfrm>
                                <a:prstGeom prst="rect">
                                  <a:avLst/>
                                </a:prstGeom>
                                <a:noFill/>
                                <a:ln>
                                  <a:noFill/>
                                </a:ln>
                              </pic:spPr>
                            </pic:pic>
                          </a:graphicData>
                        </a:graphic>
                      </wp:inline>
                    </w:drawing>
                  </w:r>
                  <w:r>
                    <w:rPr>
                      <w:color w:val="auto"/>
                      <w:szCs w:val="21"/>
                      <w:highlight w:val="none"/>
                    </w:rPr>
                    <w:t>+0.001S</w:t>
                  </w:r>
                </w:p>
              </w:tc>
              <w:tc>
                <w:tcPr>
                  <w:tcW w:w="1244" w:type="dxa"/>
                  <w:vAlign w:val="center"/>
                </w:tcPr>
                <w:p>
                  <w:pPr>
                    <w:spacing w:line="360" w:lineRule="exact"/>
                    <w:jc w:val="both"/>
                    <w:rPr>
                      <w:color w:val="auto"/>
                      <w:szCs w:val="21"/>
                      <w:highlight w:val="none"/>
                    </w:rPr>
                  </w:pPr>
                  <w:r>
                    <w:rPr>
                      <w:color w:val="auto"/>
                      <w:szCs w:val="21"/>
                      <w:highlight w:val="none"/>
                    </w:rPr>
                    <w:t>乡镇所在地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60" w:type="dxa"/>
                  <w:vAlign w:val="center"/>
                </w:tcPr>
                <w:p>
                  <w:pPr>
                    <w:spacing w:line="360" w:lineRule="exact"/>
                    <w:jc w:val="center"/>
                    <w:rPr>
                      <w:color w:val="auto"/>
                      <w:szCs w:val="21"/>
                      <w:highlight w:val="none"/>
                    </w:rPr>
                  </w:pPr>
                  <w:r>
                    <w:rPr>
                      <w:color w:val="auto"/>
                      <w:szCs w:val="21"/>
                      <w:highlight w:val="none"/>
                    </w:rPr>
                    <w:t>三</w:t>
                  </w:r>
                </w:p>
              </w:tc>
              <w:tc>
                <w:tcPr>
                  <w:tcW w:w="1302" w:type="dxa"/>
                  <w:vAlign w:val="center"/>
                </w:tcPr>
                <w:p>
                  <w:pPr>
                    <w:spacing w:line="360" w:lineRule="exact"/>
                    <w:jc w:val="both"/>
                    <w:rPr>
                      <w:color w:val="auto"/>
                      <w:szCs w:val="21"/>
                      <w:highlight w:val="none"/>
                    </w:rPr>
                  </w:pPr>
                  <w:r>
                    <w:rPr>
                      <w:color w:val="auto"/>
                      <w:szCs w:val="21"/>
                      <w:highlight w:val="none"/>
                    </w:rPr>
                    <w:t>0.08</w:t>
                  </w:r>
                  <w:r>
                    <w:rPr>
                      <w:color w:val="auto"/>
                      <w:position w:val="-8"/>
                      <w:szCs w:val="21"/>
                      <w:highlight w:val="none"/>
                    </w:rPr>
                    <w:drawing>
                      <wp:inline distT="0" distB="0" distL="114300" distR="114300">
                        <wp:extent cx="247650" cy="21907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247650" cy="219075"/>
                                </a:xfrm>
                                <a:prstGeom prst="rect">
                                  <a:avLst/>
                                </a:prstGeom>
                                <a:noFill/>
                                <a:ln>
                                  <a:noFill/>
                                </a:ln>
                              </pic:spPr>
                            </pic:pic>
                          </a:graphicData>
                        </a:graphic>
                      </wp:inline>
                    </w:drawing>
                  </w:r>
                  <w:r>
                    <w:rPr>
                      <w:color w:val="auto"/>
                      <w:szCs w:val="21"/>
                      <w:highlight w:val="none"/>
                    </w:rPr>
                    <w:t>+0.006S</w:t>
                  </w:r>
                </w:p>
              </w:tc>
              <w:tc>
                <w:tcPr>
                  <w:tcW w:w="1379" w:type="dxa"/>
                  <w:vAlign w:val="center"/>
                </w:tcPr>
                <w:p>
                  <w:pPr>
                    <w:spacing w:line="360" w:lineRule="exact"/>
                    <w:jc w:val="both"/>
                    <w:rPr>
                      <w:color w:val="auto"/>
                      <w:szCs w:val="21"/>
                      <w:highlight w:val="none"/>
                    </w:rPr>
                  </w:pPr>
                  <w:r>
                    <w:rPr>
                      <w:color w:val="auto"/>
                      <w:szCs w:val="21"/>
                      <w:highlight w:val="none"/>
                    </w:rPr>
                    <w:t>0.04</w:t>
                  </w:r>
                  <w:r>
                    <w:rPr>
                      <w:color w:val="auto"/>
                      <w:position w:val="-8"/>
                      <w:szCs w:val="21"/>
                      <w:highlight w:val="none"/>
                    </w:rPr>
                    <w:drawing>
                      <wp:inline distT="0" distB="0" distL="114300" distR="114300">
                        <wp:extent cx="247650" cy="21907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247650" cy="219075"/>
                                </a:xfrm>
                                <a:prstGeom prst="rect">
                                  <a:avLst/>
                                </a:prstGeom>
                                <a:noFill/>
                                <a:ln>
                                  <a:noFill/>
                                </a:ln>
                              </pic:spPr>
                            </pic:pic>
                          </a:graphicData>
                        </a:graphic>
                      </wp:inline>
                    </w:drawing>
                  </w:r>
                  <w:r>
                    <w:rPr>
                      <w:color w:val="auto"/>
                      <w:szCs w:val="21"/>
                      <w:highlight w:val="none"/>
                    </w:rPr>
                    <w:t>+0.003S</w:t>
                  </w:r>
                </w:p>
              </w:tc>
              <w:tc>
                <w:tcPr>
                  <w:tcW w:w="1244" w:type="dxa"/>
                  <w:vAlign w:val="center"/>
                </w:tcPr>
                <w:p>
                  <w:pPr>
                    <w:spacing w:line="360" w:lineRule="exact"/>
                    <w:jc w:val="both"/>
                    <w:rPr>
                      <w:color w:val="auto"/>
                      <w:szCs w:val="21"/>
                      <w:highlight w:val="none"/>
                    </w:rPr>
                  </w:pPr>
                  <w:r>
                    <w:rPr>
                      <w:color w:val="auto"/>
                      <w:szCs w:val="21"/>
                      <w:highlight w:val="none"/>
                    </w:rPr>
                    <w:t>农村地区</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480" w:lineRule="exact"/>
              <w:ind w:leftChars="272"/>
              <w:textAlignment w:val="auto"/>
              <w:rPr>
                <w:rFonts w:hint="eastAsia" w:ascii="宋体" w:hAnsi="宋体" w:eastAsia="宋体" w:cs="宋体"/>
                <w:color w:val="auto"/>
                <w:sz w:val="24"/>
                <w:szCs w:val="24"/>
                <w:highlight w:val="none"/>
                <w:shd w:val="clear" w:color="auto" w:fill="auto"/>
                <w:lang w:eastAsia="zh-CN"/>
              </w:rPr>
            </w:pPr>
          </w:p>
          <w:p>
            <w:pPr>
              <w:keepNext w:val="0"/>
              <w:keepLines w:val="0"/>
              <w:pageBreakBefore w:val="0"/>
              <w:widowControl w:val="0"/>
              <w:numPr>
                <w:ilvl w:val="0"/>
                <w:numId w:val="9"/>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成果签章要求</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开展不动产权籍调查过程中形成的相关图件成果的签章，需采用手写签名的，一律用黑色签字笔填写，字迹要工整清楚；需盖章的，单位加盖公章，个人按指纹。</w:t>
            </w:r>
          </w:p>
          <w:p>
            <w:pPr>
              <w:keepNext w:val="0"/>
              <w:keepLines w:val="0"/>
              <w:pageBreakBefore w:val="0"/>
              <w:widowControl w:val="0"/>
              <w:numPr>
                <w:ilvl w:val="0"/>
                <w:numId w:val="9"/>
              </w:numPr>
              <w:tabs>
                <w:tab w:val="left" w:pos="0"/>
              </w:tabs>
              <w:kinsoku/>
              <w:wordWrap/>
              <w:overflowPunct/>
              <w:topLinePunct w:val="0"/>
              <w:autoSpaceDE w:val="0"/>
              <w:autoSpaceDN w:val="0"/>
              <w:bidi w:val="0"/>
              <w:adjustRightInd/>
              <w:snapToGrid/>
              <w:spacing w:line="480" w:lineRule="exact"/>
              <w:ind w:left="5" w:leftChars="0" w:firstLine="652" w:firstLineChars="272"/>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档案整理要求</w:t>
            </w:r>
            <w:r>
              <w:rPr>
                <w:rFonts w:hint="eastAsia"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成果资料要求</w:t>
            </w:r>
            <w:r>
              <w:rPr>
                <w:rFonts w:hint="eastAsia"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不动产权籍调查成果以宗地为单位设立档案，按规定顺序排列文件材料，编页号、进行档案数字化、填写卷皮、卷内目录，整理装订成卷。</w:t>
            </w:r>
          </w:p>
          <w:p>
            <w:pPr>
              <w:keepNext w:val="0"/>
              <w:keepLines w:val="0"/>
              <w:pageBreakBefore w:val="0"/>
              <w:widowControl w:val="0"/>
              <w:numPr>
                <w:ilvl w:val="0"/>
                <w:numId w:val="12"/>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文档资料成果（电子、纸质）</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工作实施方案；</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技术设计书；</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工作总结；</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技术总结；</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各级成果检查记录和报告；</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中间库建设报告；</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中间库质量检查报告；</w:t>
            </w:r>
          </w:p>
          <w:p>
            <w:pPr>
              <w:keepNext w:val="0"/>
              <w:keepLines w:val="0"/>
              <w:pageBreakBefore w:val="0"/>
              <w:widowControl w:val="0"/>
              <w:numPr>
                <w:ilvl w:val="0"/>
                <w:numId w:val="13"/>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项目合同。</w:t>
            </w:r>
          </w:p>
          <w:p>
            <w:pPr>
              <w:keepNext w:val="0"/>
              <w:keepLines w:val="0"/>
              <w:pageBreakBefore w:val="0"/>
              <w:widowControl w:val="0"/>
              <w:numPr>
                <w:ilvl w:val="0"/>
                <w:numId w:val="12"/>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不动产权属调查成果</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不动产权属调查成果包命名规范“9位地籍区代码+地籍区名称”+不动产权属调查成果。</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权籍（地籍、房屋）调查外业调查底图；</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不动产权籍调查委托书；</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权属来源证明材料；</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不动产权籍调查表；</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户主及家庭成员身份信息材料（户口本扫描件、身份证扫描件）</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分户材料</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继承或析产材料</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指界通知书存根及回执；</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法定代表人（或负责人）身份证明书、指界委托书；</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委托人身份证明；</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违约缺席定界通知书及签收证明等；</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土地争议原由书及权属纠纷调处材料；</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不动产单元草图；</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现场调查照片；</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切坡房屋调查表</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权籍调查结果公示材料；</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 xml:space="preserve">不动产权属调查中间库；按甲方的要求组织整理，数据内容与档案资料一致的中间库。 </w:t>
            </w:r>
          </w:p>
          <w:p>
            <w:pPr>
              <w:keepNext w:val="0"/>
              <w:keepLines w:val="0"/>
              <w:pageBreakBefore w:val="0"/>
              <w:widowControl w:val="0"/>
              <w:numPr>
                <w:ilvl w:val="0"/>
                <w:numId w:val="14"/>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其他需要提供的材料。</w:t>
            </w:r>
          </w:p>
          <w:p>
            <w:pPr>
              <w:keepNext w:val="0"/>
              <w:keepLines w:val="0"/>
              <w:pageBreakBefore w:val="0"/>
              <w:widowControl w:val="0"/>
              <w:numPr>
                <w:ilvl w:val="0"/>
                <w:numId w:val="12"/>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不动产权籍测绘成果</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控制点坐标成果表及点位分布图；</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高精度实景三维模型（包括航摄原始影像、三维模型*.osgb格式、真正射影像*.tif或*.img、空三成果*.xml、偏移值文件*.xml等）；</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界址点坐标成果表；</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面积量算表；</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不动产权籍图，包含地籍图（标准分幅图）、宗地图（包含界址点坐标及面积）、房产图（平面图、分层图、分户图）等；</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测绘质量检查报告；</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不动产测量报告；</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仪器检定资料（证书）；</w:t>
            </w:r>
          </w:p>
          <w:p>
            <w:pPr>
              <w:keepNext w:val="0"/>
              <w:keepLines w:val="0"/>
              <w:pageBreakBefore w:val="0"/>
              <w:widowControl w:val="0"/>
              <w:numPr>
                <w:ilvl w:val="0"/>
                <w:numId w:val="15"/>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地籍图结合表。</w:t>
            </w:r>
          </w:p>
          <w:p>
            <w:pPr>
              <w:keepNext w:val="0"/>
              <w:keepLines w:val="0"/>
              <w:pageBreakBefore w:val="0"/>
              <w:widowControl w:val="0"/>
              <w:numPr>
                <w:ilvl w:val="0"/>
                <w:numId w:val="12"/>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三维模型数据和正射影像成果</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使用三维模型和正射影像数据作业的区域，还需要整理提交以下成果：</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A、三维模型成果</w:t>
            </w:r>
          </w:p>
          <w:p>
            <w:pPr>
              <w:keepNext w:val="0"/>
              <w:keepLines w:val="0"/>
              <w:pageBreakBefore w:val="0"/>
              <w:widowControl w:val="0"/>
              <w:numPr>
                <w:ilvl w:val="0"/>
                <w:numId w:val="16"/>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实景三维场景模型成果：包括修饰完成的实景三维场景模型成果，与融合三维单体模型的场景模型；</w:t>
            </w:r>
          </w:p>
          <w:p>
            <w:pPr>
              <w:keepNext w:val="0"/>
              <w:keepLines w:val="0"/>
              <w:pageBreakBefore w:val="0"/>
              <w:widowControl w:val="0"/>
              <w:numPr>
                <w:ilvl w:val="0"/>
                <w:numId w:val="16"/>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三维单体模型成果：包括单体化模型与单体化矢量层。(单体化模型应提交OBJ格式)</w:t>
            </w:r>
          </w:p>
          <w:p>
            <w:pPr>
              <w:keepNext w:val="0"/>
              <w:keepLines w:val="0"/>
              <w:pageBreakBefore w:val="0"/>
              <w:widowControl w:val="0"/>
              <w:numPr>
                <w:ilvl w:val="0"/>
                <w:numId w:val="16"/>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坐标原点信息文件及空三文件。</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B、正射影像成果</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正射影像成果，影像镶嵌线，元数据信息成果以镇级行政区为单位汇交，要求按各标段进行影像拼接，各标段汇交成一幅成果，不汇交分幅成果。</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影像成果采用*img格式存储，并创建金字塔文件。文件命名规则：县级行政区划代码+标段名.img。</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影像镶嵌线，采用*shp格式存储，属性字段包括YXMC(影像名称)、SJY(影像数据源)、JH(单幅影像名称)、SX(影像现势性)、ZYJX(中央经线)、XZQDM(行政区划名称)等元数据信息。文件命名规则：县级行政区划代码+标段名.SHP。</w:t>
            </w:r>
          </w:p>
          <w:p>
            <w:pPr>
              <w:keepNext w:val="0"/>
              <w:keepLines w:val="0"/>
              <w:pageBreakBefore w:val="0"/>
              <w:widowControl w:val="0"/>
              <w:numPr>
                <w:ilvl w:val="0"/>
                <w:numId w:val="12"/>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数据库成果</w:t>
            </w:r>
          </w:p>
          <w:p>
            <w:pPr>
              <w:keepNext w:val="0"/>
              <w:keepLines w:val="0"/>
              <w:pageBreakBefore w:val="0"/>
              <w:widowControl w:val="0"/>
              <w:numPr>
                <w:ilvl w:val="0"/>
                <w:numId w:val="17"/>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矢量数据</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数据格式：矢量空间要素层数据格式采用 Shapefile 格式或者SDD∕SDB格式。</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 xml:space="preserve">数据内容：地籍分区（地籍区、地籍子区）、不动产单元要素（使用权宗地、房屋、其他定着物）、权籍调查要素（权籍调查宗地、权籍调查房屋、权籍调查其他定着物）、地物要素（点状要素、线状要素、面状要素）、注记及栅格数据。 </w:t>
            </w:r>
          </w:p>
          <w:p>
            <w:pPr>
              <w:keepNext w:val="0"/>
              <w:keepLines w:val="0"/>
              <w:pageBreakBefore w:val="0"/>
              <w:widowControl w:val="0"/>
              <w:numPr>
                <w:ilvl w:val="0"/>
                <w:numId w:val="17"/>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属性数据</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 xml:space="preserve">数据格式：非空间属性数据格式采用 MicrosoftOfficeAccess 的 MDB 格式。 </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 xml:space="preserve">数据内容：汇交内容详见《农房一体不动产登记数据汇交包标准》。 </w:t>
            </w:r>
          </w:p>
          <w:p>
            <w:pPr>
              <w:keepNext w:val="0"/>
              <w:keepLines w:val="0"/>
              <w:pageBreakBefore w:val="0"/>
              <w:widowControl w:val="0"/>
              <w:numPr>
                <w:ilvl w:val="0"/>
                <w:numId w:val="17"/>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元数据</w:t>
            </w:r>
          </w:p>
          <w:p>
            <w:pPr>
              <w:pStyle w:val="4"/>
              <w:keepNext w:val="0"/>
              <w:keepLines w:val="0"/>
              <w:pageBreakBefore w:val="0"/>
              <w:widowControl w:val="0"/>
              <w:kinsoku/>
              <w:wordWrap/>
              <w:overflowPunct/>
              <w:topLinePunct w:val="0"/>
              <w:autoSpaceDE w:val="0"/>
              <w:autoSpaceDN w:val="0"/>
              <w:bidi w:val="0"/>
              <w:adjustRightInd/>
              <w:snapToGrid/>
              <w:spacing w:line="480" w:lineRule="exact"/>
              <w:ind w:firstLine="482"/>
              <w:textAlignment w:val="auto"/>
              <w:rPr>
                <w:rFonts w:hint="eastAsia"/>
                <w:color w:val="auto"/>
                <w:sz w:val="24"/>
                <w:szCs w:val="24"/>
                <w:highlight w:val="none"/>
              </w:rPr>
            </w:pPr>
            <w:r>
              <w:rPr>
                <w:rFonts w:hint="eastAsia"/>
                <w:color w:val="auto"/>
                <w:sz w:val="24"/>
                <w:szCs w:val="24"/>
                <w:highlight w:val="none"/>
              </w:rPr>
              <w:t>按照《国土资源信息核心元数据标准》和《不动产登记整合数据库标准（试行）》采集相关元数据信息，数据格式：XML 格式。</w:t>
            </w:r>
          </w:p>
          <w:p>
            <w:pPr>
              <w:keepNext w:val="0"/>
              <w:keepLines w:val="0"/>
              <w:pageBreakBefore w:val="0"/>
              <w:widowControl w:val="0"/>
              <w:numPr>
                <w:ilvl w:val="0"/>
                <w:numId w:val="12"/>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档案扫描基本要求</w:t>
            </w:r>
          </w:p>
          <w:p>
            <w:pPr>
              <w:keepNext w:val="0"/>
              <w:keepLines w:val="0"/>
              <w:pageBreakBefore w:val="0"/>
              <w:widowControl w:val="0"/>
              <w:numPr>
                <w:ilvl w:val="0"/>
                <w:numId w:val="18"/>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按照不动产登记数据整合建库技术规范，开展档案扫描工作。</w:t>
            </w:r>
          </w:p>
          <w:p>
            <w:pPr>
              <w:keepNext w:val="0"/>
              <w:keepLines w:val="0"/>
              <w:pageBreakBefore w:val="0"/>
              <w:widowControl w:val="0"/>
              <w:numPr>
                <w:ilvl w:val="0"/>
                <w:numId w:val="18"/>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由供应商自带设备和熟练的实施人员上门服务工作。供应商自带高速扫描仪、电脑、显示器、档案整理各种工具等及整个实施生产线的整套设备及熟练的操作人员上门进行批量扫描工作。购买设备费、整理工具及扫描人员的工资等均由供应商承担。扫描设备维护、扫描实施人员管理等均由供应商负责。采购方只提供相应的场地及水电供供应商使用，其余工作条件中标方自行解决。</w:t>
            </w:r>
          </w:p>
          <w:p>
            <w:pPr>
              <w:keepNext w:val="0"/>
              <w:keepLines w:val="0"/>
              <w:pageBreakBefore w:val="0"/>
              <w:widowControl w:val="0"/>
              <w:numPr>
                <w:ilvl w:val="0"/>
                <w:numId w:val="18"/>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档案扫描质量按照《纸质档案数字化技术规范》DA/T 31—2005、《广西壮族自治区纸质档案数字化技术要求》，保证档案扫描图像与原件一致、整洁、清晰。</w:t>
            </w:r>
          </w:p>
          <w:p>
            <w:pPr>
              <w:keepNext w:val="0"/>
              <w:keepLines w:val="0"/>
              <w:pageBreakBefore w:val="0"/>
              <w:widowControl w:val="0"/>
              <w:numPr>
                <w:ilvl w:val="0"/>
                <w:numId w:val="18"/>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图像存储格式：全部采用彩色单页jpg的存储格式，纸质档案扫描分辨率要300dpi以上。特殊情况如文字偏小、密集、清晰度差，可适当提高分辨率。</w:t>
            </w:r>
          </w:p>
          <w:p>
            <w:pPr>
              <w:keepNext w:val="0"/>
              <w:keepLines w:val="0"/>
              <w:pageBreakBefore w:val="0"/>
              <w:widowControl w:val="0"/>
              <w:numPr>
                <w:ilvl w:val="0"/>
                <w:numId w:val="18"/>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扫描图像质量的要求。图像质量情况完好率99%。图像清晰、完整，反映档案全貌；页面底色、字迹、印章颜色与档案本身颜色相仿，色泽均匀；图像效果必须符合正常的阅读习惯。</w:t>
            </w:r>
          </w:p>
          <w:p>
            <w:pPr>
              <w:keepNext w:val="0"/>
              <w:keepLines w:val="0"/>
              <w:pageBreakBefore w:val="0"/>
              <w:widowControl w:val="0"/>
              <w:numPr>
                <w:ilvl w:val="0"/>
                <w:numId w:val="12"/>
              </w:numPr>
              <w:kinsoku/>
              <w:wordWrap/>
              <w:overflowPunct/>
              <w:topLinePunct w:val="0"/>
              <w:autoSpaceDE w:val="0"/>
              <w:autoSpaceDN w:val="0"/>
              <w:bidi w:val="0"/>
              <w:adjustRightInd/>
              <w:snapToGrid/>
              <w:spacing w:line="480" w:lineRule="exact"/>
              <w:ind w:left="5" w:leftChars="0" w:firstLine="655"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成果提交方式</w:t>
            </w:r>
          </w:p>
          <w:p>
            <w:pPr>
              <w:keepNext w:val="0"/>
              <w:keepLines w:val="0"/>
              <w:pageBreakBefore w:val="0"/>
              <w:widowControl w:val="0"/>
              <w:numPr>
                <w:ilvl w:val="0"/>
                <w:numId w:val="19"/>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不动产权籍调查成果以不动产调查单元为单位，按照统一的成果样式，形成不动产单元调查成果，提交纸质成果和相应的电子数据。</w:t>
            </w:r>
          </w:p>
          <w:p>
            <w:pPr>
              <w:keepNext w:val="0"/>
              <w:keepLines w:val="0"/>
              <w:pageBreakBefore w:val="0"/>
              <w:widowControl w:val="0"/>
              <w:numPr>
                <w:ilvl w:val="0"/>
                <w:numId w:val="19"/>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纸质成果包括各类纸质原件、复印件及冲印相片等材料；电子数据包括各类文本、图件、表格、数据库文件以及纸质成果扫描件等内容。</w:t>
            </w:r>
          </w:p>
          <w:p>
            <w:pPr>
              <w:keepNext w:val="0"/>
              <w:keepLines w:val="0"/>
              <w:pageBreakBefore w:val="0"/>
              <w:widowControl w:val="0"/>
              <w:numPr>
                <w:ilvl w:val="0"/>
                <w:numId w:val="19"/>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rPr>
            </w:pPr>
            <w:r>
              <w:rPr>
                <w:rFonts w:hint="eastAsia"/>
                <w:color w:val="auto"/>
                <w:sz w:val="24"/>
                <w:szCs w:val="24"/>
                <w:highlight w:val="none"/>
              </w:rPr>
              <w:t>电子数据采用</w:t>
            </w:r>
            <w:r>
              <w:rPr>
                <w:rFonts w:hint="eastAsia"/>
                <w:color w:val="auto"/>
                <w:sz w:val="24"/>
                <w:szCs w:val="24"/>
                <w:highlight w:val="none"/>
                <w:lang w:eastAsia="zh-CN"/>
              </w:rPr>
              <w:t>移动硬盘储存的</w:t>
            </w:r>
            <w:r>
              <w:rPr>
                <w:rFonts w:hint="eastAsia"/>
                <w:color w:val="auto"/>
                <w:sz w:val="24"/>
                <w:szCs w:val="24"/>
                <w:highlight w:val="none"/>
              </w:rPr>
              <w:t>形式</w:t>
            </w:r>
            <w:r>
              <w:rPr>
                <w:rFonts w:hint="eastAsia"/>
                <w:color w:val="auto"/>
                <w:sz w:val="24"/>
                <w:szCs w:val="24"/>
                <w:highlight w:val="none"/>
                <w:lang w:eastAsia="zh-CN"/>
              </w:rPr>
              <w:t>移交给采购人</w:t>
            </w:r>
            <w:r>
              <w:rPr>
                <w:rFonts w:hint="eastAsia"/>
                <w:color w:val="auto"/>
                <w:sz w:val="24"/>
                <w:szCs w:val="24"/>
                <w:highlight w:val="none"/>
              </w:rPr>
              <w:t>，数据文件不应压缩处理，并满足相应成果印制及入库要求。其中，数据库成果应提交包含图形和属性信息的MDB格式文件，纸质扫描件应归类提交PDF格式文件，数码相片和不动产单元图应提交JPG格式文件。</w:t>
            </w:r>
          </w:p>
          <w:p>
            <w:pPr>
              <w:keepNext w:val="0"/>
              <w:keepLines w:val="0"/>
              <w:pageBreakBefore w:val="0"/>
              <w:widowControl w:val="0"/>
              <w:numPr>
                <w:ilvl w:val="0"/>
                <w:numId w:val="19"/>
              </w:numPr>
              <w:kinsoku/>
              <w:wordWrap w:val="0"/>
              <w:overflowPunct/>
              <w:topLinePunct w:val="0"/>
              <w:autoSpaceDE w:val="0"/>
              <w:autoSpaceDN w:val="0"/>
              <w:bidi w:val="0"/>
              <w:adjustRightInd/>
              <w:snapToGrid/>
              <w:spacing w:line="480" w:lineRule="exact"/>
              <w:ind w:left="0" w:leftChars="0" w:firstLine="440" w:firstLineChars="0"/>
              <w:textAlignment w:val="auto"/>
              <w:rPr>
                <w:rFonts w:hint="eastAsia"/>
                <w:color w:val="auto"/>
                <w:sz w:val="24"/>
                <w:szCs w:val="24"/>
                <w:highlight w:val="none"/>
                <w:lang w:eastAsia="zh-CN"/>
              </w:rPr>
            </w:pPr>
            <w:r>
              <w:rPr>
                <w:rFonts w:hint="eastAsia"/>
                <w:color w:val="auto"/>
                <w:sz w:val="24"/>
                <w:szCs w:val="24"/>
                <w:highlight w:val="none"/>
              </w:rPr>
              <w:t>测绘成果质量检验报告以纸质版本提供，检验机构、业主、成果作业单位各一份。</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8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400" w:lineRule="exact"/>
              <w:ind w:left="0" w:leftChars="0" w:firstLine="441" w:firstLineChars="183"/>
              <w:jc w:val="center"/>
              <w:rPr>
                <w:rFonts w:hint="eastAsia" w:ascii="宋体" w:hAnsi="宋体" w:eastAsia="宋体" w:cs="宋体"/>
                <w:color w:val="auto"/>
                <w:sz w:val="24"/>
                <w:szCs w:val="24"/>
                <w:shd w:val="clear" w:color="auto" w:fill="auto"/>
                <w:lang w:eastAsia="zh-CN"/>
              </w:rPr>
            </w:pPr>
            <w:r>
              <w:rPr>
                <w:rFonts w:hint="eastAsia" w:ascii="宋体" w:hAnsi="宋体" w:eastAsia="宋体" w:cs="宋体"/>
                <w:b/>
                <w:bCs/>
                <w:color w:val="auto"/>
                <w:sz w:val="24"/>
                <w:szCs w:val="24"/>
                <w:shd w:val="clear" w:color="auto" w:fill="auto"/>
                <w:lang w:eastAsia="zh-CN"/>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8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20"/>
              </w:numPr>
              <w:kinsoku/>
              <w:wordWrap/>
              <w:overflowPunct/>
              <w:topLinePunct w:val="0"/>
              <w:autoSpaceDE w:val="0"/>
              <w:autoSpaceDN w:val="0"/>
              <w:bidi w:val="0"/>
              <w:adjustRightInd/>
              <w:snapToGrid/>
              <w:spacing w:line="480" w:lineRule="exact"/>
              <w:ind w:left="0" w:leftChars="0" w:firstLine="442"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合同签订期：自中标通知书发出之日起 25 日内。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480" w:lineRule="exact"/>
              <w:ind w:left="0" w:leftChars="0" w:firstLine="442"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合同履</w:t>
            </w:r>
            <w:r>
              <w:rPr>
                <w:rFonts w:hint="eastAsia" w:ascii="宋体" w:hAnsi="宋体" w:eastAsia="宋体" w:cs="宋体"/>
                <w:color w:val="auto"/>
                <w:sz w:val="24"/>
                <w:szCs w:val="24"/>
                <w:shd w:val="clear" w:color="auto" w:fill="auto"/>
                <w:lang w:eastAsia="zh-CN"/>
              </w:rPr>
              <w:t>约</w:t>
            </w:r>
            <w:r>
              <w:rPr>
                <w:rFonts w:hint="eastAsia" w:ascii="宋体" w:hAnsi="宋体" w:eastAsia="宋体" w:cs="宋体"/>
                <w:color w:val="auto"/>
                <w:sz w:val="24"/>
                <w:szCs w:val="24"/>
                <w:shd w:val="clear" w:color="auto" w:fill="auto"/>
              </w:rPr>
              <w:t>期限：</w:t>
            </w:r>
            <w:r>
              <w:rPr>
                <w:rFonts w:hint="eastAsia" w:ascii="宋体" w:hAnsi="宋体" w:eastAsia="宋体" w:cs="宋体"/>
                <w:color w:val="auto"/>
                <w:sz w:val="24"/>
                <w:szCs w:val="24"/>
                <w:shd w:val="clear" w:color="auto" w:fill="auto"/>
                <w:lang w:eastAsia="zh-CN"/>
              </w:rPr>
              <w:t xml:space="preserve">（1）自合同签订后15天内完成全部实景三维模型数据、正射影像图的制作，并将成果提交采购人，2022 年 2月 </w:t>
            </w:r>
            <w:r>
              <w:rPr>
                <w:rFonts w:hint="eastAsia" w:cs="宋体"/>
                <w:color w:val="auto"/>
                <w:sz w:val="24"/>
                <w:szCs w:val="24"/>
                <w:shd w:val="clear" w:color="auto" w:fill="auto"/>
                <w:lang w:val="en-US" w:eastAsia="zh-CN"/>
              </w:rPr>
              <w:t>28</w:t>
            </w:r>
            <w:r>
              <w:rPr>
                <w:rFonts w:hint="eastAsia" w:ascii="宋体" w:hAnsi="宋体" w:eastAsia="宋体" w:cs="宋体"/>
                <w:color w:val="auto"/>
                <w:sz w:val="24"/>
                <w:szCs w:val="24"/>
                <w:shd w:val="clear" w:color="auto" w:fill="auto"/>
                <w:lang w:eastAsia="zh-CN"/>
              </w:rPr>
              <w:t>日前按照《房地一体不动产登记数据汇交包标准》要求，组织调查数据成果资料汇交，2022年</w:t>
            </w:r>
            <w:r>
              <w:rPr>
                <w:rFonts w:hint="eastAsia"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eastAsia="zh-CN"/>
              </w:rPr>
              <w:t>月</w:t>
            </w:r>
            <w:r>
              <w:rPr>
                <w:rFonts w:hint="eastAsia"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lang w:eastAsia="zh-CN"/>
              </w:rPr>
              <w:t>日前完成数据、图像、权籍资料录入不动产登记系统。（2）项目完成期限：2022年</w:t>
            </w:r>
            <w:r>
              <w:rPr>
                <w:rFonts w:hint="eastAsia"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eastAsia="zh-CN"/>
              </w:rPr>
              <w:t>月</w:t>
            </w:r>
            <w:r>
              <w:rPr>
                <w:rFonts w:hint="eastAsia"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lang w:eastAsia="zh-CN"/>
              </w:rPr>
              <w:t>日前完成项目确权登记技术服务和数据汇交全部工作。</w:t>
            </w:r>
            <w:r>
              <w:rPr>
                <w:rFonts w:hint="eastAsia" w:ascii="宋体" w:hAnsi="宋体" w:eastAsia="宋体" w:cs="宋体"/>
                <w:color w:val="auto"/>
                <w:sz w:val="24"/>
                <w:szCs w:val="24"/>
                <w:shd w:val="clear" w:color="auto" w:fill="auto"/>
              </w:rPr>
              <w:t xml:space="preserve">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480" w:lineRule="exact"/>
              <w:ind w:left="0" w:leftChars="0" w:firstLine="442"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验收要求：通过融水苗族自治县自然资源和规划局委托的质检单位按照“三检一验”审查验收。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480" w:lineRule="exact"/>
              <w:ind w:left="0" w:leftChars="0" w:firstLine="442"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提交服务成果地点：</w:t>
            </w:r>
            <w:r>
              <w:rPr>
                <w:rFonts w:hint="eastAsia" w:ascii="宋体" w:hAnsi="宋体" w:eastAsia="宋体" w:cs="宋体"/>
                <w:color w:val="auto"/>
                <w:sz w:val="24"/>
                <w:szCs w:val="24"/>
                <w:shd w:val="clear" w:color="auto" w:fill="auto"/>
                <w:lang w:eastAsia="zh-CN"/>
              </w:rPr>
              <w:t>融水苗族自治县</w:t>
            </w:r>
            <w:r>
              <w:rPr>
                <w:rFonts w:hint="eastAsia" w:ascii="宋体" w:hAnsi="宋体" w:eastAsia="宋体" w:cs="宋体"/>
                <w:color w:val="auto"/>
                <w:sz w:val="24"/>
                <w:szCs w:val="24"/>
                <w:shd w:val="clear" w:color="auto" w:fill="auto"/>
              </w:rPr>
              <w:t xml:space="preserve">内采购人指定地点。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480" w:lineRule="exact"/>
              <w:ind w:left="0" w:leftChars="0" w:firstLine="442"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付款方式： 本项目无</w:t>
            </w:r>
            <w:r>
              <w:rPr>
                <w:rFonts w:hint="eastAsia" w:cs="宋体"/>
                <w:color w:val="auto"/>
                <w:sz w:val="24"/>
                <w:szCs w:val="24"/>
                <w:shd w:val="clear" w:color="auto" w:fill="auto"/>
                <w:lang w:eastAsia="zh-CN"/>
              </w:rPr>
              <w:t>预付款，项目完成并通过验收后</w:t>
            </w:r>
            <w:r>
              <w:rPr>
                <w:rFonts w:hint="eastAsia" w:cs="宋体"/>
                <w:color w:val="auto"/>
                <w:sz w:val="24"/>
                <w:szCs w:val="24"/>
                <w:shd w:val="clear" w:color="auto" w:fill="auto"/>
                <w:lang w:val="en-US" w:eastAsia="zh-CN"/>
              </w:rPr>
              <w:t>，</w:t>
            </w:r>
            <w:r>
              <w:rPr>
                <w:rFonts w:hint="eastAsia" w:ascii="宋体" w:hAnsi="宋体" w:eastAsia="宋体" w:cs="宋体"/>
                <w:color w:val="auto"/>
                <w:sz w:val="24"/>
                <w:szCs w:val="24"/>
                <w:shd w:val="clear" w:color="auto" w:fill="auto"/>
              </w:rPr>
              <w:t>202</w:t>
            </w:r>
            <w:r>
              <w:rPr>
                <w:rFonts w:hint="eastAsia"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年</w:t>
            </w:r>
            <w:r>
              <w:rPr>
                <w:rFonts w:hint="eastAsia" w:cs="宋体"/>
                <w:color w:val="auto"/>
                <w:sz w:val="24"/>
                <w:szCs w:val="24"/>
                <w:shd w:val="clear" w:color="auto" w:fill="auto"/>
                <w:lang w:eastAsia="zh-CN"/>
              </w:rPr>
              <w:t>内支付合同金额的</w:t>
            </w:r>
            <w:r>
              <w:rPr>
                <w:rFonts w:hint="eastAsia" w:cs="宋体"/>
                <w:color w:val="auto"/>
                <w:sz w:val="24"/>
                <w:szCs w:val="24"/>
                <w:shd w:val="clear" w:color="auto" w:fill="auto"/>
                <w:lang w:val="en-US" w:eastAsia="zh-CN"/>
              </w:rPr>
              <w:t>30</w:t>
            </w:r>
            <w:r>
              <w:rPr>
                <w:rFonts w:hint="eastAsia" w:ascii="宋体" w:hAnsi="宋体" w:eastAsia="宋体" w:cs="宋体"/>
                <w:color w:val="auto"/>
                <w:sz w:val="24"/>
                <w:szCs w:val="24"/>
                <w:shd w:val="clear" w:color="auto" w:fill="auto"/>
              </w:rPr>
              <w:t>%，202</w:t>
            </w:r>
            <w:r>
              <w:rPr>
                <w:rFonts w:hint="eastAsia"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年</w:t>
            </w:r>
            <w:r>
              <w:rPr>
                <w:rFonts w:hint="eastAsia" w:cs="宋体"/>
                <w:color w:val="auto"/>
                <w:sz w:val="24"/>
                <w:szCs w:val="24"/>
                <w:shd w:val="clear" w:color="auto" w:fill="auto"/>
                <w:lang w:eastAsia="zh-CN"/>
              </w:rPr>
              <w:t>内支付合同金额的</w:t>
            </w:r>
            <w:r>
              <w:rPr>
                <w:rFonts w:hint="eastAsia" w:cs="宋体"/>
                <w:color w:val="auto"/>
                <w:sz w:val="24"/>
                <w:szCs w:val="24"/>
                <w:shd w:val="clear" w:color="auto" w:fill="auto"/>
                <w:lang w:val="en-US" w:eastAsia="zh-CN"/>
              </w:rPr>
              <w:t>70</w:t>
            </w:r>
            <w:r>
              <w:rPr>
                <w:rFonts w:hint="eastAsia" w:ascii="宋体" w:hAnsi="宋体" w:eastAsia="宋体" w:cs="宋体"/>
                <w:color w:val="auto"/>
                <w:sz w:val="24"/>
                <w:szCs w:val="24"/>
                <w:shd w:val="clear" w:color="auto" w:fill="auto"/>
              </w:rPr>
              <w:t xml:space="preserve">%。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480" w:lineRule="exact"/>
              <w:ind w:left="0" w:leftChars="0" w:firstLine="442"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结算说明：当实际服务工作量大于采购服务工作量时，</w:t>
            </w:r>
            <w:r>
              <w:rPr>
                <w:rFonts w:hint="eastAsia" w:cs="宋体"/>
                <w:color w:val="auto"/>
                <w:sz w:val="24"/>
                <w:szCs w:val="24"/>
                <w:shd w:val="clear" w:color="auto" w:fill="auto"/>
                <w:lang w:eastAsia="zh-CN"/>
              </w:rPr>
              <w:t>中标供应商</w:t>
            </w:r>
            <w:r>
              <w:rPr>
                <w:rFonts w:hint="eastAsia" w:ascii="宋体" w:hAnsi="宋体" w:eastAsia="宋体" w:cs="宋体"/>
                <w:color w:val="auto"/>
                <w:sz w:val="24"/>
                <w:szCs w:val="24"/>
                <w:shd w:val="clear" w:color="auto" w:fill="auto"/>
              </w:rPr>
              <w:t>应根据实际情况提供相应服务，合同的最终结算金额按实际服务工作量进行计算（服务工作量增加导致合同变动部分的金额不得超过本采购合同金额的10%，且另需签订补充合同，实际服务工作量以实际完成的权籍调查数据量为准 ）。</w:t>
            </w:r>
          </w:p>
          <w:p>
            <w:pPr>
              <w:keepNext w:val="0"/>
              <w:keepLines w:val="0"/>
              <w:pageBreakBefore w:val="0"/>
              <w:widowControl w:val="0"/>
              <w:numPr>
                <w:ilvl w:val="0"/>
                <w:numId w:val="20"/>
              </w:numPr>
              <w:kinsoku/>
              <w:wordWrap/>
              <w:overflowPunct/>
              <w:topLinePunct w:val="0"/>
              <w:autoSpaceDE w:val="0"/>
              <w:autoSpaceDN w:val="0"/>
              <w:bidi w:val="0"/>
              <w:adjustRightInd/>
              <w:snapToGrid/>
              <w:spacing w:line="480" w:lineRule="exact"/>
              <w:ind w:left="0" w:leftChars="0" w:firstLine="442"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其他要求： （1）报价必须含以下部分，包括： ①服务的价格； ②必要的保险费用和各项税金； ③其他（如调研、差旅、会务、培训、技术支持等费用</w:t>
            </w:r>
            <w:r>
              <w:rPr>
                <w:rFonts w:hint="eastAsia" w:cs="宋体"/>
                <w:color w:val="auto"/>
                <w:sz w:val="24"/>
                <w:szCs w:val="24"/>
                <w:shd w:val="clear" w:color="auto" w:fill="auto"/>
                <w:lang w:eastAsia="zh-CN"/>
              </w:rPr>
              <w:t>，包含储存成果文件移交给采购人的移动硬盘，移交后移动硬盘归采购人所有</w:t>
            </w:r>
            <w:r>
              <w:rPr>
                <w:rFonts w:hint="eastAsia" w:ascii="宋体" w:hAnsi="宋体" w:eastAsia="宋体" w:cs="宋体"/>
                <w:color w:val="auto"/>
                <w:sz w:val="24"/>
                <w:szCs w:val="24"/>
                <w:shd w:val="clear" w:color="auto" w:fill="auto"/>
              </w:rPr>
              <w:t>）。 （2）中标供应商拟投入本项目人员须在签订合同前统一到达采购人处，进行集中核验，必须人、证一致且与投标文件中响应一致。若核验不合格，采购人将上报相关政府采购监管部门按照有关法律法规规定处理。由此造成的工期延误等所有责任均由中标人承担。 （3）保密要求：工作过程中所使用到的相关数据、图表等资料或工作完成后提交</w:t>
            </w:r>
            <w:r>
              <w:rPr>
                <w:rFonts w:hint="eastAsia" w:cs="宋体"/>
                <w:color w:val="auto"/>
                <w:sz w:val="24"/>
                <w:szCs w:val="24"/>
                <w:shd w:val="clear" w:color="auto" w:fill="auto"/>
                <w:lang w:eastAsia="zh-CN"/>
              </w:rPr>
              <w:t>采购人</w:t>
            </w:r>
            <w:r>
              <w:rPr>
                <w:rFonts w:hint="eastAsia" w:ascii="宋体" w:hAnsi="宋体" w:eastAsia="宋体" w:cs="宋体"/>
                <w:color w:val="auto"/>
                <w:sz w:val="24"/>
                <w:szCs w:val="24"/>
                <w:shd w:val="clear" w:color="auto" w:fill="auto"/>
              </w:rPr>
              <w:t>的成果涉及保密要求的，均要按照《中华人民共和国保密 法》及</w:t>
            </w:r>
            <w:r>
              <w:rPr>
                <w:rFonts w:hint="eastAsia" w:cs="宋体"/>
                <w:color w:val="auto"/>
                <w:sz w:val="24"/>
                <w:szCs w:val="24"/>
                <w:shd w:val="clear" w:color="auto" w:fill="auto"/>
                <w:lang w:eastAsia="zh-CN"/>
              </w:rPr>
              <w:t>采购人</w:t>
            </w:r>
            <w:r>
              <w:rPr>
                <w:rFonts w:hint="eastAsia" w:ascii="宋体" w:hAnsi="宋体" w:eastAsia="宋体" w:cs="宋体"/>
                <w:color w:val="auto"/>
                <w:sz w:val="24"/>
                <w:szCs w:val="24"/>
                <w:shd w:val="clear" w:color="auto" w:fill="auto"/>
              </w:rPr>
              <w:t>相关的保密规定进行使用。具体的保密要求另签保密协议。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2.">
    <w:altName w:val="黑体"/>
    <w:panose1 w:val="00000000000000000000"/>
    <w:charset w:val="86"/>
    <w:family w:val="swiss"/>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11335"/>
    <w:multiLevelType w:val="singleLevel"/>
    <w:tmpl w:val="99011335"/>
    <w:lvl w:ilvl="0" w:tentative="0">
      <w:start w:val="1"/>
      <w:numFmt w:val="decimal"/>
      <w:suff w:val="nothing"/>
      <w:lvlText w:val="%1)."/>
      <w:lvlJc w:val="left"/>
      <w:pPr>
        <w:tabs>
          <w:tab w:val="left" w:pos="0"/>
        </w:tabs>
        <w:ind w:left="425" w:leftChars="0" w:hanging="425" w:firstLineChars="0"/>
      </w:pPr>
      <w:rPr>
        <w:rFonts w:hint="default" w:ascii="宋体" w:hAnsi="宋体" w:eastAsia="宋体" w:cs="宋体"/>
        <w:color w:val="auto"/>
      </w:rPr>
    </w:lvl>
  </w:abstractNum>
  <w:abstractNum w:abstractNumId="1">
    <w:nsid w:val="B920BA41"/>
    <w:multiLevelType w:val="singleLevel"/>
    <w:tmpl w:val="B920BA41"/>
    <w:lvl w:ilvl="0" w:tentative="0">
      <w:start w:val="1"/>
      <w:numFmt w:val="decimal"/>
      <w:suff w:val="nothing"/>
      <w:lvlText w:val="%1)."/>
      <w:lvlJc w:val="left"/>
      <w:pPr>
        <w:tabs>
          <w:tab w:val="left" w:pos="0"/>
        </w:tabs>
        <w:ind w:left="425" w:leftChars="0" w:hanging="425" w:firstLineChars="0"/>
      </w:pPr>
      <w:rPr>
        <w:rFonts w:hint="default" w:ascii="宋体" w:hAnsi="宋体" w:eastAsia="宋体" w:cs="宋体"/>
        <w:color w:val="auto"/>
      </w:rPr>
    </w:lvl>
  </w:abstractNum>
  <w:abstractNum w:abstractNumId="2">
    <w:nsid w:val="C061D038"/>
    <w:multiLevelType w:val="singleLevel"/>
    <w:tmpl w:val="C061D038"/>
    <w:lvl w:ilvl="0" w:tentative="0">
      <w:start w:val="1"/>
      <w:numFmt w:val="decimalEnclosedCircleChinese"/>
      <w:suff w:val="nothing"/>
      <w:lvlText w:val="%1　"/>
      <w:lvlJc w:val="left"/>
      <w:pPr>
        <w:ind w:left="0" w:firstLine="400"/>
      </w:pPr>
      <w:rPr>
        <w:rFonts w:hint="eastAsia"/>
      </w:rPr>
    </w:lvl>
  </w:abstractNum>
  <w:abstractNum w:abstractNumId="3">
    <w:nsid w:val="C6D4747A"/>
    <w:multiLevelType w:val="singleLevel"/>
    <w:tmpl w:val="C6D4747A"/>
    <w:lvl w:ilvl="0" w:tentative="0">
      <w:start w:val="1"/>
      <w:numFmt w:val="decimalEnclosedCircleChinese"/>
      <w:suff w:val="nothing"/>
      <w:lvlText w:val="%1　"/>
      <w:lvlJc w:val="left"/>
      <w:pPr>
        <w:ind w:left="0" w:firstLine="400"/>
      </w:pPr>
      <w:rPr>
        <w:rFonts w:hint="eastAsia"/>
      </w:rPr>
    </w:lvl>
  </w:abstractNum>
  <w:abstractNum w:abstractNumId="4">
    <w:nsid w:val="CA8DE40E"/>
    <w:multiLevelType w:val="singleLevel"/>
    <w:tmpl w:val="CA8DE40E"/>
    <w:lvl w:ilvl="0" w:tentative="0">
      <w:start w:val="1"/>
      <w:numFmt w:val="decimal"/>
      <w:suff w:val="nothing"/>
      <w:lvlText w:val="%1."/>
      <w:lvlJc w:val="left"/>
      <w:pPr>
        <w:ind w:left="454" w:leftChars="0" w:hanging="454" w:firstLineChars="0"/>
      </w:pPr>
      <w:rPr>
        <w:rFonts w:hint="default"/>
      </w:rPr>
    </w:lvl>
  </w:abstractNum>
  <w:abstractNum w:abstractNumId="5">
    <w:nsid w:val="CC991169"/>
    <w:multiLevelType w:val="singleLevel"/>
    <w:tmpl w:val="CC991169"/>
    <w:lvl w:ilvl="0" w:tentative="0">
      <w:start w:val="1"/>
      <w:numFmt w:val="decimal"/>
      <w:suff w:val="nothing"/>
      <w:lvlText w:val="%1)."/>
      <w:lvlJc w:val="left"/>
      <w:pPr>
        <w:tabs>
          <w:tab w:val="left" w:pos="0"/>
        </w:tabs>
        <w:ind w:left="425" w:leftChars="0" w:hanging="425" w:firstLineChars="0"/>
      </w:pPr>
      <w:rPr>
        <w:rFonts w:hint="default" w:ascii="宋体" w:hAnsi="宋体" w:eastAsia="宋体" w:cs="宋体"/>
        <w:color w:val="auto"/>
      </w:rPr>
    </w:lvl>
  </w:abstractNum>
  <w:abstractNum w:abstractNumId="6">
    <w:nsid w:val="D2DBB86E"/>
    <w:multiLevelType w:val="singleLevel"/>
    <w:tmpl w:val="D2DBB86E"/>
    <w:lvl w:ilvl="0" w:tentative="0">
      <w:start w:val="1"/>
      <w:numFmt w:val="decimalEnclosedCircleChinese"/>
      <w:suff w:val="nothing"/>
      <w:lvlText w:val="%1　"/>
      <w:lvlJc w:val="left"/>
      <w:pPr>
        <w:ind w:left="0" w:firstLine="400"/>
      </w:pPr>
      <w:rPr>
        <w:rFonts w:hint="eastAsia"/>
      </w:rPr>
    </w:lvl>
  </w:abstractNum>
  <w:abstractNum w:abstractNumId="7">
    <w:nsid w:val="D6D9D8CF"/>
    <w:multiLevelType w:val="singleLevel"/>
    <w:tmpl w:val="D6D9D8CF"/>
    <w:lvl w:ilvl="0" w:tentative="0">
      <w:start w:val="1"/>
      <w:numFmt w:val="decimal"/>
      <w:suff w:val="nothing"/>
      <w:lvlText w:val="(%1)."/>
      <w:lvlJc w:val="left"/>
      <w:pPr>
        <w:ind w:left="425" w:leftChars="0" w:hanging="425" w:firstLineChars="0"/>
      </w:pPr>
      <w:rPr>
        <w:rFonts w:hint="default"/>
      </w:rPr>
    </w:lvl>
  </w:abstractNum>
  <w:abstractNum w:abstractNumId="8">
    <w:nsid w:val="DAA9E822"/>
    <w:multiLevelType w:val="singleLevel"/>
    <w:tmpl w:val="DAA9E822"/>
    <w:lvl w:ilvl="0" w:tentative="0">
      <w:start w:val="1"/>
      <w:numFmt w:val="decimal"/>
      <w:suff w:val="nothing"/>
      <w:lvlText w:val="(%1)."/>
      <w:lvlJc w:val="left"/>
      <w:pPr>
        <w:ind w:left="425" w:leftChars="0" w:hanging="425" w:firstLineChars="0"/>
      </w:pPr>
      <w:rPr>
        <w:rFonts w:hint="default"/>
        <w:color w:val="auto"/>
      </w:rPr>
    </w:lvl>
  </w:abstractNum>
  <w:abstractNum w:abstractNumId="9">
    <w:nsid w:val="F32EF65C"/>
    <w:multiLevelType w:val="singleLevel"/>
    <w:tmpl w:val="F32EF65C"/>
    <w:lvl w:ilvl="0" w:tentative="0">
      <w:start w:val="1"/>
      <w:numFmt w:val="decimal"/>
      <w:suff w:val="nothing"/>
      <w:lvlText w:val="%1)."/>
      <w:lvlJc w:val="left"/>
      <w:pPr>
        <w:tabs>
          <w:tab w:val="left" w:pos="0"/>
        </w:tabs>
        <w:ind w:left="425" w:leftChars="0" w:hanging="425" w:firstLineChars="0"/>
      </w:pPr>
      <w:rPr>
        <w:rFonts w:hint="default" w:ascii="宋体" w:hAnsi="宋体" w:eastAsia="宋体" w:cs="宋体"/>
        <w:color w:val="auto"/>
      </w:rPr>
    </w:lvl>
  </w:abstractNum>
  <w:abstractNum w:abstractNumId="10">
    <w:nsid w:val="0B74DDA5"/>
    <w:multiLevelType w:val="singleLevel"/>
    <w:tmpl w:val="0B74DDA5"/>
    <w:lvl w:ilvl="0" w:tentative="0">
      <w:start w:val="1"/>
      <w:numFmt w:val="decimalEnclosedCircleChinese"/>
      <w:suff w:val="nothing"/>
      <w:lvlText w:val="%1　"/>
      <w:lvlJc w:val="left"/>
      <w:pPr>
        <w:ind w:left="0" w:firstLine="400"/>
      </w:pPr>
      <w:rPr>
        <w:rFonts w:hint="eastAsia"/>
      </w:rPr>
    </w:lvl>
  </w:abstractNum>
  <w:abstractNum w:abstractNumId="11">
    <w:nsid w:val="120C4689"/>
    <w:multiLevelType w:val="singleLevel"/>
    <w:tmpl w:val="120C4689"/>
    <w:lvl w:ilvl="0" w:tentative="0">
      <w:start w:val="1"/>
      <w:numFmt w:val="decimalEnclosedCircleChinese"/>
      <w:suff w:val="nothing"/>
      <w:lvlText w:val="%1　"/>
      <w:lvlJc w:val="left"/>
      <w:pPr>
        <w:ind w:left="0" w:firstLine="400"/>
      </w:pPr>
      <w:rPr>
        <w:rFonts w:hint="eastAsia"/>
      </w:rPr>
    </w:lvl>
  </w:abstractNum>
  <w:abstractNum w:abstractNumId="12">
    <w:nsid w:val="231620E7"/>
    <w:multiLevelType w:val="singleLevel"/>
    <w:tmpl w:val="231620E7"/>
    <w:lvl w:ilvl="0" w:tentative="0">
      <w:start w:val="1"/>
      <w:numFmt w:val="decimalEnclosedCircleChinese"/>
      <w:suff w:val="nothing"/>
      <w:lvlText w:val="%1　"/>
      <w:lvlJc w:val="left"/>
      <w:pPr>
        <w:ind w:left="0" w:firstLine="400"/>
      </w:pPr>
      <w:rPr>
        <w:rFonts w:hint="eastAsia"/>
      </w:rPr>
    </w:lvl>
  </w:abstractNum>
  <w:abstractNum w:abstractNumId="13">
    <w:nsid w:val="3B166F01"/>
    <w:multiLevelType w:val="singleLevel"/>
    <w:tmpl w:val="3B166F01"/>
    <w:lvl w:ilvl="0" w:tentative="0">
      <w:start w:val="1"/>
      <w:numFmt w:val="decimal"/>
      <w:suff w:val="nothing"/>
      <w:lvlText w:val="(%1)."/>
      <w:lvlJc w:val="left"/>
      <w:pPr>
        <w:ind w:left="425" w:leftChars="0" w:hanging="425" w:firstLineChars="0"/>
      </w:pPr>
      <w:rPr>
        <w:rFonts w:hint="default"/>
      </w:rPr>
    </w:lvl>
  </w:abstractNum>
  <w:abstractNum w:abstractNumId="14">
    <w:nsid w:val="4047D991"/>
    <w:multiLevelType w:val="singleLevel"/>
    <w:tmpl w:val="4047D991"/>
    <w:lvl w:ilvl="0" w:tentative="0">
      <w:start w:val="1"/>
      <w:numFmt w:val="decimalEnclosedCircleChinese"/>
      <w:suff w:val="nothing"/>
      <w:lvlText w:val="%1　"/>
      <w:lvlJc w:val="left"/>
      <w:pPr>
        <w:ind w:left="0" w:firstLine="400"/>
      </w:pPr>
      <w:rPr>
        <w:rFonts w:hint="eastAsia"/>
      </w:rPr>
    </w:lvl>
  </w:abstractNum>
  <w:abstractNum w:abstractNumId="15">
    <w:nsid w:val="55F22CDF"/>
    <w:multiLevelType w:val="singleLevel"/>
    <w:tmpl w:val="55F22CDF"/>
    <w:lvl w:ilvl="0" w:tentative="0">
      <w:start w:val="1"/>
      <w:numFmt w:val="decimal"/>
      <w:suff w:val="nothing"/>
      <w:lvlText w:val="%1)."/>
      <w:lvlJc w:val="left"/>
      <w:pPr>
        <w:tabs>
          <w:tab w:val="left" w:pos="0"/>
        </w:tabs>
        <w:ind w:left="425" w:leftChars="0" w:hanging="425" w:firstLineChars="0"/>
      </w:pPr>
      <w:rPr>
        <w:rFonts w:hint="default" w:ascii="宋体" w:hAnsi="宋体" w:eastAsia="宋体" w:cs="宋体"/>
        <w:color w:val="auto"/>
      </w:rPr>
    </w:lvl>
  </w:abstractNum>
  <w:abstractNum w:abstractNumId="16">
    <w:nsid w:val="628DE71B"/>
    <w:multiLevelType w:val="singleLevel"/>
    <w:tmpl w:val="628DE71B"/>
    <w:lvl w:ilvl="0" w:tentative="0">
      <w:start w:val="1"/>
      <w:numFmt w:val="decimal"/>
      <w:suff w:val="nothing"/>
      <w:lvlText w:val="%1)."/>
      <w:lvlJc w:val="left"/>
      <w:pPr>
        <w:tabs>
          <w:tab w:val="left" w:pos="0"/>
        </w:tabs>
        <w:ind w:left="425" w:leftChars="0" w:hanging="425" w:firstLineChars="0"/>
      </w:pPr>
      <w:rPr>
        <w:rFonts w:hint="default" w:ascii="宋体" w:hAnsi="宋体" w:eastAsia="宋体" w:cs="宋体"/>
        <w:color w:val="auto"/>
      </w:rPr>
    </w:lvl>
  </w:abstractNum>
  <w:abstractNum w:abstractNumId="17">
    <w:nsid w:val="70E54477"/>
    <w:multiLevelType w:val="singleLevel"/>
    <w:tmpl w:val="70E54477"/>
    <w:lvl w:ilvl="0" w:tentative="0">
      <w:start w:val="1"/>
      <w:numFmt w:val="decimal"/>
      <w:lvlText w:val="%1."/>
      <w:lvlJc w:val="left"/>
      <w:pPr>
        <w:ind w:left="425" w:hanging="425"/>
      </w:pPr>
      <w:rPr>
        <w:rFonts w:hint="default"/>
      </w:rPr>
    </w:lvl>
  </w:abstractNum>
  <w:abstractNum w:abstractNumId="18">
    <w:nsid w:val="736B792D"/>
    <w:multiLevelType w:val="singleLevel"/>
    <w:tmpl w:val="736B792D"/>
    <w:lvl w:ilvl="0" w:tentative="0">
      <w:start w:val="1"/>
      <w:numFmt w:val="decimal"/>
      <w:suff w:val="nothing"/>
      <w:lvlText w:val="(%1)."/>
      <w:lvlJc w:val="left"/>
      <w:pPr>
        <w:ind w:left="425" w:leftChars="0" w:hanging="425" w:firstLineChars="0"/>
      </w:pPr>
      <w:rPr>
        <w:rFonts w:hint="default"/>
        <w:color w:val="auto"/>
      </w:rPr>
    </w:lvl>
  </w:abstractNum>
  <w:abstractNum w:abstractNumId="19">
    <w:nsid w:val="7A0D0170"/>
    <w:multiLevelType w:val="singleLevel"/>
    <w:tmpl w:val="7A0D0170"/>
    <w:lvl w:ilvl="0" w:tentative="0">
      <w:start w:val="1"/>
      <w:numFmt w:val="decimal"/>
      <w:suff w:val="nothing"/>
      <w:lvlText w:val="(%1)."/>
      <w:lvlJc w:val="left"/>
      <w:pPr>
        <w:ind w:left="425" w:leftChars="0" w:hanging="425" w:firstLineChars="0"/>
      </w:pPr>
      <w:rPr>
        <w:rFonts w:hint="default"/>
        <w:color w:val="auto"/>
      </w:rPr>
    </w:lvl>
  </w:abstractNum>
  <w:num w:numId="1">
    <w:abstractNumId w:val="4"/>
  </w:num>
  <w:num w:numId="2">
    <w:abstractNumId w:val="7"/>
  </w:num>
  <w:num w:numId="3">
    <w:abstractNumId w:val="13"/>
  </w:num>
  <w:num w:numId="4">
    <w:abstractNumId w:val="8"/>
  </w:num>
  <w:num w:numId="5">
    <w:abstractNumId w:val="19"/>
  </w:num>
  <w:num w:numId="6">
    <w:abstractNumId w:val="1"/>
  </w:num>
  <w:num w:numId="7">
    <w:abstractNumId w:val="0"/>
  </w:num>
  <w:num w:numId="8">
    <w:abstractNumId w:val="9"/>
  </w:num>
  <w:num w:numId="9">
    <w:abstractNumId w:val="18"/>
  </w:num>
  <w:num w:numId="10">
    <w:abstractNumId w:val="5"/>
  </w:num>
  <w:num w:numId="11">
    <w:abstractNumId w:val="16"/>
  </w:num>
  <w:num w:numId="12">
    <w:abstractNumId w:val="15"/>
  </w:num>
  <w:num w:numId="13">
    <w:abstractNumId w:val="12"/>
  </w:num>
  <w:num w:numId="14">
    <w:abstractNumId w:val="6"/>
  </w:num>
  <w:num w:numId="15">
    <w:abstractNumId w:val="10"/>
  </w:num>
  <w:num w:numId="16">
    <w:abstractNumId w:val="14"/>
  </w:num>
  <w:num w:numId="17">
    <w:abstractNumId w:val="3"/>
  </w:num>
  <w:num w:numId="18">
    <w:abstractNumId w:val="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430D7"/>
    <w:rsid w:val="2FB4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outlineLvl w:val="0"/>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next w:val="1"/>
    <w:qFormat/>
    <w:uiPriority w:val="1"/>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2022-02-17T02:05:00Z</dcterms:created>
  <dc:creator>老猫八百万</dc:creator>
  <cp:lastModifiedBy>老猫八百万</cp:lastModifiedBy>
  <dcterms:modified xsi:type="dcterms:W3CDTF">2022-02-17T02:05:36Z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