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460" w:lineRule="exact"/>
        <w:jc w:val="center"/>
        <w:textAlignment w:val="auto"/>
        <w:rPr>
          <w:rFonts w:hint="eastAsia" w:ascii="华文中宋" w:hAnsi="华文中宋" w:eastAsia="华文中宋"/>
          <w:sz w:val="36"/>
          <w:szCs w:val="36"/>
          <w:lang w:eastAsia="zh-CN"/>
        </w:rPr>
      </w:pPr>
      <w:bookmarkStart w:id="0" w:name="_Toc28359022"/>
      <w:bookmarkStart w:id="1" w:name="_Toc35393809"/>
      <w:r>
        <w:rPr>
          <w:rFonts w:hint="eastAsia" w:ascii="华文中宋" w:hAnsi="华文中宋" w:eastAsia="华文中宋"/>
          <w:sz w:val="36"/>
          <w:szCs w:val="36"/>
          <w:lang w:eastAsia="zh-CN"/>
        </w:rPr>
        <w:t>丰汇国际项目管理有限公司2020年宾阳县农村劳动力资源调查（</w:t>
      </w:r>
      <w:r>
        <w:rPr>
          <w:rFonts w:hint="eastAsia" w:ascii="华文中宋" w:hAnsi="华文中宋" w:eastAsia="华文中宋"/>
          <w:sz w:val="36"/>
          <w:szCs w:val="36"/>
          <w:lang w:val="en-US" w:eastAsia="zh-CN"/>
        </w:rPr>
        <w:t>NNZC2020-G3-260109-FHGJ</w:t>
      </w:r>
      <w:r>
        <w:rPr>
          <w:rFonts w:hint="eastAsia" w:ascii="华文中宋" w:hAnsi="华文中宋" w:eastAsia="华文中宋"/>
          <w:sz w:val="36"/>
          <w:szCs w:val="36"/>
          <w:lang w:eastAsia="zh-CN"/>
        </w:rPr>
        <w:t>）</w:t>
      </w:r>
    </w:p>
    <w:p>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460" w:lineRule="exact"/>
        <w:jc w:val="center"/>
        <w:textAlignment w:val="auto"/>
        <w:rPr>
          <w:rFonts w:hint="eastAsia" w:ascii="华文中宋" w:hAnsi="华文中宋" w:eastAsia="华文中宋"/>
          <w:sz w:val="36"/>
          <w:szCs w:val="36"/>
        </w:rPr>
      </w:pPr>
      <w:r>
        <w:rPr>
          <w:rFonts w:hint="eastAsia" w:ascii="华文中宋" w:hAnsi="华文中宋" w:eastAsia="华文中宋"/>
          <w:sz w:val="36"/>
          <w:szCs w:val="36"/>
        </w:rPr>
        <w:t>中标</w:t>
      </w:r>
      <w:r>
        <w:rPr>
          <w:rFonts w:hint="eastAsia" w:ascii="华文中宋" w:hAnsi="华文中宋" w:eastAsia="华文中宋"/>
          <w:sz w:val="36"/>
          <w:szCs w:val="36"/>
          <w:lang w:eastAsia="zh-CN"/>
        </w:rPr>
        <w:t>结果</w:t>
      </w:r>
      <w:r>
        <w:rPr>
          <w:rFonts w:hint="eastAsia" w:ascii="华文中宋" w:hAnsi="华文中宋" w:eastAsia="华文中宋"/>
          <w:sz w:val="36"/>
          <w:szCs w:val="36"/>
        </w:rPr>
        <w:t>公告</w:t>
      </w:r>
      <w:bookmarkEnd w:id="0"/>
      <w:bookmarkEnd w:id="1"/>
    </w:p>
    <w:p>
      <w:pPr>
        <w:rPr>
          <w:rFonts w:hint="eastAsia"/>
        </w:rPr>
      </w:pPr>
    </w:p>
    <w:p>
      <w:pPr>
        <w:rPr>
          <w:rFonts w:hint="eastAsia" w:asciiTheme="minorEastAsia" w:hAnsiTheme="minorEastAsia" w:eastAsiaTheme="minorEastAsia" w:cstheme="minorEastAsia"/>
          <w:b w:val="0"/>
          <w:bCs w:val="0"/>
          <w:sz w:val="28"/>
          <w:szCs w:val="28"/>
          <w:u w:val="none"/>
          <w:lang w:val="en-US"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sz w:val="28"/>
          <w:szCs w:val="28"/>
          <w:lang w:eastAsia="zh-CN"/>
        </w:rPr>
        <w:t>：</w:t>
      </w:r>
      <w:r>
        <w:rPr>
          <w:rFonts w:hint="eastAsia" w:asciiTheme="minorEastAsia" w:hAnsiTheme="minorEastAsia" w:eastAsiaTheme="minorEastAsia" w:cstheme="minorEastAsia"/>
          <w:b w:val="0"/>
          <w:bCs w:val="0"/>
          <w:sz w:val="28"/>
          <w:szCs w:val="28"/>
          <w:u w:val="none"/>
          <w:lang w:val="en-US" w:eastAsia="zh-CN"/>
        </w:rPr>
        <w:t>NNZC2020-G3-260109-FHGJ</w:t>
      </w:r>
    </w:p>
    <w:p>
      <w:pPr>
        <w:rPr>
          <w:rFonts w:hint="eastAsia"/>
          <w:b/>
          <w:color w:val="auto"/>
          <w:sz w:val="32"/>
          <w:szCs w:val="32"/>
          <w:highlight w:val="non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Theme="minorEastAsia" w:hAnsiTheme="minorEastAsia" w:eastAsiaTheme="minorEastAsia" w:cstheme="minorEastAsia"/>
          <w:b w:val="0"/>
          <w:bCs w:val="0"/>
          <w:sz w:val="28"/>
          <w:szCs w:val="28"/>
          <w:u w:val="none"/>
          <w:lang w:val="en-US" w:eastAsia="zh-CN"/>
        </w:rPr>
        <w:t>2020年宾阳县农村劳动力资源调查</w:t>
      </w:r>
    </w:p>
    <w:p>
      <w:pPr>
        <w:rPr>
          <w:rFonts w:ascii="黑体" w:hAnsi="黑体" w:eastAsia="黑体"/>
          <w:sz w:val="28"/>
          <w:szCs w:val="28"/>
        </w:rPr>
      </w:pPr>
      <w:r>
        <w:rPr>
          <w:rFonts w:hint="eastAsia" w:ascii="黑体" w:hAnsi="黑体" w:eastAsia="黑体"/>
          <w:sz w:val="28"/>
          <w:szCs w:val="28"/>
        </w:rPr>
        <w:t>三、中标信息</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b w:val="0"/>
          <w:bCs w:val="0"/>
          <w:color w:val="auto"/>
          <w:sz w:val="28"/>
          <w:szCs w:val="28"/>
          <w:u w:val="none"/>
          <w:lang w:val="en-US" w:eastAsia="zh-CN"/>
        </w:rPr>
      </w:pPr>
      <w:r>
        <w:rPr>
          <w:rFonts w:hint="eastAsia"/>
          <w:b w:val="0"/>
          <w:bCs w:val="0"/>
          <w:color w:val="auto"/>
          <w:sz w:val="28"/>
          <w:szCs w:val="28"/>
          <w:u w:val="none"/>
          <w:lang w:val="en-US" w:eastAsia="zh-CN"/>
        </w:rPr>
        <w:t>供应商名称：广东德生科技股份有限公司</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b w:val="0"/>
          <w:bCs w:val="0"/>
          <w:color w:val="auto"/>
          <w:sz w:val="28"/>
          <w:szCs w:val="28"/>
          <w:u w:val="none"/>
          <w:lang w:val="en-US" w:eastAsia="zh-CN"/>
        </w:rPr>
      </w:pPr>
      <w:r>
        <w:rPr>
          <w:rFonts w:hint="eastAsia"/>
          <w:b w:val="0"/>
          <w:bCs w:val="0"/>
          <w:color w:val="auto"/>
          <w:sz w:val="28"/>
          <w:szCs w:val="28"/>
          <w:u w:val="none"/>
          <w:lang w:val="en-US" w:eastAsia="zh-CN"/>
        </w:rPr>
        <w:t>供应商地址：广东省广州市天河区软件路15号第二层201室、三、四层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b w:val="0"/>
          <w:bCs w:val="0"/>
          <w:color w:val="auto"/>
          <w:sz w:val="28"/>
          <w:szCs w:val="28"/>
          <w:u w:val="none"/>
          <w:lang w:val="en-US" w:eastAsia="zh-CN"/>
        </w:rPr>
      </w:pPr>
      <w:r>
        <w:rPr>
          <w:rFonts w:hint="eastAsia"/>
          <w:b w:val="0"/>
          <w:bCs w:val="0"/>
          <w:color w:val="auto"/>
          <w:sz w:val="28"/>
          <w:szCs w:val="28"/>
          <w:u w:val="none"/>
          <w:lang w:val="en-US" w:eastAsia="zh-CN"/>
        </w:rPr>
        <w:t>中标金额：单价：9.95元/（人）条</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b w:val="0"/>
          <w:bCs w:val="0"/>
          <w:color w:val="auto"/>
          <w:sz w:val="28"/>
          <w:szCs w:val="28"/>
          <w:u w:val="none"/>
          <w:lang w:val="en-US" w:eastAsia="zh-CN"/>
        </w:rPr>
      </w:pPr>
      <w:r>
        <w:rPr>
          <w:rFonts w:hint="eastAsia"/>
          <w:b w:val="0"/>
          <w:bCs w:val="0"/>
          <w:color w:val="auto"/>
          <w:sz w:val="28"/>
          <w:szCs w:val="28"/>
          <w:u w:val="none"/>
          <w:lang w:val="en-US" w:eastAsia="zh-CN"/>
        </w:rPr>
        <w:t>总价：人民币肆佰玖拾柒万伍仟元整（¥4975000.00）</w:t>
      </w:r>
    </w:p>
    <w:p>
      <w:pPr>
        <w:rPr>
          <w:rFonts w:ascii="黑体" w:hAnsi="黑体" w:eastAsia="黑体"/>
          <w:sz w:val="28"/>
          <w:szCs w:val="28"/>
        </w:rPr>
      </w:pPr>
      <w:r>
        <w:rPr>
          <w:rFonts w:hint="eastAsia" w:ascii="黑体" w:hAnsi="黑体" w:eastAsia="黑体"/>
          <w:sz w:val="28"/>
          <w:szCs w:val="28"/>
        </w:rPr>
        <w:t>四、主要标的信息</w:t>
      </w:r>
    </w:p>
    <w:tbl>
      <w:tblPr>
        <w:tblStyle w:val="8"/>
        <w:tblW w:w="53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tcPr>
          <w:p>
            <w:pPr>
              <w:jc w:val="center"/>
              <w:rPr>
                <w:rFonts w:ascii="仿宋" w:hAnsi="仿宋" w:eastAsia="仿宋"/>
                <w:kern w:val="0"/>
                <w:sz w:val="28"/>
                <w:szCs w:val="28"/>
              </w:rPr>
            </w:pPr>
            <w:r>
              <w:rPr>
                <w:rFonts w:hint="eastAsia" w:ascii="仿宋" w:hAnsi="仿宋" w:eastAsia="仿宋"/>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5000" w:type="pct"/>
          </w:tcPr>
          <w:p>
            <w:pPr>
              <w:rPr>
                <w:rFonts w:hint="eastAsia" w:asciiTheme="minorEastAsia" w:hAnsiTheme="minorEastAsia" w:eastAsiaTheme="minorEastAsia" w:cstheme="minorEastAsia"/>
                <w:b w:val="0"/>
                <w:bCs w:val="0"/>
                <w:sz w:val="28"/>
                <w:szCs w:val="28"/>
                <w:u w:val="none"/>
                <w:lang w:val="en-US" w:eastAsia="zh-CN"/>
              </w:rPr>
            </w:pPr>
            <w:r>
              <w:rPr>
                <w:rFonts w:hint="eastAsia" w:ascii="仿宋" w:hAnsi="仿宋" w:eastAsia="仿宋"/>
                <w:kern w:val="0"/>
                <w:sz w:val="28"/>
                <w:szCs w:val="28"/>
              </w:rPr>
              <w:t>名称：</w:t>
            </w:r>
            <w:r>
              <w:rPr>
                <w:rFonts w:hint="eastAsia" w:asciiTheme="minorEastAsia" w:hAnsiTheme="minorEastAsia" w:eastAsiaTheme="minorEastAsia" w:cstheme="minorEastAsia"/>
                <w:b w:val="0"/>
                <w:bCs w:val="0"/>
                <w:sz w:val="28"/>
                <w:szCs w:val="28"/>
                <w:u w:val="none"/>
                <w:lang w:val="en-US" w:eastAsia="zh-CN"/>
              </w:rPr>
              <w:t>2020年宾阳县农村劳动力资源调查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kern w:val="0"/>
                <w:sz w:val="28"/>
                <w:szCs w:val="28"/>
                <w:lang w:eastAsia="zh-CN"/>
              </w:rPr>
            </w:pPr>
            <w:r>
              <w:rPr>
                <w:rFonts w:hint="eastAsia" w:ascii="仿宋" w:hAnsi="仿宋" w:eastAsia="仿宋" w:cs="仿宋"/>
                <w:kern w:val="0"/>
                <w:sz w:val="28"/>
                <w:szCs w:val="28"/>
                <w:lang w:eastAsia="zh-CN"/>
              </w:rPr>
              <w:t>调查目的：</w:t>
            </w:r>
            <w:r>
              <w:rPr>
                <w:rFonts w:hint="eastAsia" w:ascii="宋体" w:hAnsi="宋体" w:eastAsia="宋体" w:cs="宋体"/>
                <w:kern w:val="0"/>
                <w:sz w:val="28"/>
                <w:szCs w:val="28"/>
                <w:lang w:eastAsia="zh-CN"/>
              </w:rPr>
              <w:t>农村劳动力资源数据是推进就业扶贫工作的重要依据，是推动打赢脱贫攻坚战的重要支撑。根据《广西壮族自治区农民工工作领导小组办公室关于印发农村劳动力资源调查工作方案的通知》（桂农工办发〔2020〕3号）和《南宁市人力资源和社会保障局关于印发南宁市农村劳动力资源调查工作方案的通知》文件精神，为精准掌握全县农村劳动力资源数据信息，决定在2016年农村劳动力资源调查的基础上，以户为单位再开展一次全面调查，精准促进农村劳动转移就业。及时更新完善“智慧人社”系统农村劳动力资源信息数据，全面了解掌握我县农村劳动力资源状况，掌握农村劳动力就业动向、就业服务需求等信息，为有针对性开展就业帮扶提供依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kern w:val="0"/>
                <w:sz w:val="28"/>
                <w:szCs w:val="28"/>
                <w:lang w:eastAsia="zh-CN"/>
              </w:rPr>
            </w:pPr>
            <w:r>
              <w:rPr>
                <w:rFonts w:hint="eastAsia" w:ascii="仿宋" w:hAnsi="仿宋" w:eastAsia="仿宋" w:cs="仿宋"/>
                <w:kern w:val="0"/>
                <w:sz w:val="28"/>
                <w:szCs w:val="28"/>
                <w:lang w:eastAsia="zh-CN"/>
              </w:rPr>
              <w:t>调查范围及对象：</w:t>
            </w:r>
            <w:r>
              <w:rPr>
                <w:rFonts w:hint="eastAsia" w:ascii="宋体" w:hAnsi="宋体" w:eastAsia="宋体" w:cs="宋体"/>
                <w:kern w:val="0"/>
                <w:sz w:val="28"/>
                <w:szCs w:val="28"/>
                <w:lang w:eastAsia="zh-CN"/>
              </w:rPr>
              <w:t>宾阳县农村户籍人员，16-59周岁的劳动力。因重大疾病无法就业、已丧失劳动能力人员、在校学生、现役军人、服刑人员不在此次信息采集范围。以2016年农村劳动力资源调查数据为基础，对宾阳县新成长劳动力、就业状态有变动的人员进行调查，更新人员、就业情况等信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kern w:val="0"/>
                <w:sz w:val="28"/>
                <w:szCs w:val="28"/>
                <w:lang w:eastAsia="zh-CN"/>
              </w:rPr>
            </w:pPr>
            <w:r>
              <w:rPr>
                <w:rFonts w:hint="eastAsia" w:ascii="仿宋" w:hAnsi="仿宋" w:eastAsia="仿宋" w:cs="仿宋"/>
                <w:kern w:val="0"/>
                <w:sz w:val="28"/>
                <w:szCs w:val="28"/>
                <w:lang w:eastAsia="zh-CN"/>
              </w:rPr>
              <w:t>服务时间：</w:t>
            </w:r>
            <w:r>
              <w:rPr>
                <w:rFonts w:hint="eastAsia" w:ascii="宋体" w:hAnsi="宋体" w:eastAsia="宋体" w:cs="宋体"/>
                <w:kern w:val="0"/>
                <w:sz w:val="28"/>
                <w:szCs w:val="28"/>
                <w:lang w:eastAsia="zh-CN"/>
              </w:rPr>
              <w:t>自合同签订之日起至30天内完成所有数据采集、上报、统计分析等工作，按各时间节点完成各阶段工作任务。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kern w:val="0"/>
                <w:sz w:val="28"/>
                <w:szCs w:val="28"/>
                <w:lang w:eastAsia="zh-CN"/>
              </w:rPr>
            </w:pPr>
            <w:r>
              <w:rPr>
                <w:rFonts w:hint="eastAsia" w:ascii="仿宋" w:hAnsi="仿宋" w:eastAsia="仿宋" w:cs="仿宋"/>
                <w:kern w:val="0"/>
                <w:sz w:val="28"/>
                <w:szCs w:val="28"/>
                <w:lang w:eastAsia="zh-CN"/>
              </w:rPr>
              <w:t>调查内容：</w:t>
            </w:r>
            <w:r>
              <w:rPr>
                <w:rFonts w:hint="eastAsia" w:ascii="宋体" w:hAnsi="宋体" w:eastAsia="宋体" w:cs="宋体"/>
                <w:kern w:val="0"/>
                <w:sz w:val="28"/>
                <w:szCs w:val="28"/>
                <w:lang w:eastAsia="zh-CN"/>
              </w:rPr>
              <w:t>农村劳动力个人基本信息、就业状态、参加社保、培训情况和就业服务需求等，具体调查内容详见《广西农村劳动力资源就业培训（更新）登记表》（附件）。按照“一人一表”的方式，调查登记相关信息。并录入“智慧人社”系统，建立相匹配的线上数据库。</w:t>
            </w:r>
          </w:p>
        </w:tc>
      </w:tr>
    </w:tbl>
    <w:p>
      <w:pPr>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五、评审专家名单：</w:t>
      </w:r>
      <w:r>
        <w:rPr>
          <w:rFonts w:hint="eastAsia"/>
          <w:b w:val="0"/>
          <w:bCs w:val="0"/>
          <w:color w:val="000000" w:themeColor="text1"/>
          <w:sz w:val="28"/>
          <w:szCs w:val="28"/>
          <w:u w:val="none"/>
          <w:lang w:val="en-US" w:eastAsia="zh-CN"/>
          <w14:textFill>
            <w14:solidFill>
              <w14:schemeClr w14:val="tx1"/>
            </w14:solidFill>
          </w14:textFill>
        </w:rPr>
        <w:t>秦祖智（组长）、司马宁、李玉玲、田源、周敏（业主评委）</w:t>
      </w:r>
    </w:p>
    <w:p>
      <w:pPr>
        <w:rPr>
          <w:rFonts w:ascii="黑体" w:hAnsi="黑体" w:eastAsia="黑体"/>
          <w:sz w:val="28"/>
          <w:szCs w:val="28"/>
        </w:rPr>
      </w:pPr>
      <w:r>
        <w:rPr>
          <w:rFonts w:hint="eastAsia" w:ascii="黑体" w:hAnsi="黑体" w:eastAsia="黑体"/>
          <w:sz w:val="28"/>
          <w:szCs w:val="28"/>
        </w:rPr>
        <w:t>六、代理服务收费标准及金额：</w:t>
      </w:r>
      <w:r>
        <w:rPr>
          <w:rFonts w:hint="eastAsia" w:ascii="Times New Roman" w:hAnsi="Times New Roman" w:cs="Times New Roman"/>
          <w:b w:val="0"/>
          <w:bCs w:val="0"/>
          <w:sz w:val="28"/>
          <w:szCs w:val="28"/>
          <w:u w:val="none"/>
          <w:lang w:val="en-US" w:eastAsia="zh-CN"/>
        </w:rPr>
        <w:t>本项目的招标代理服务收费标准参照桂价费〔2011〕55号文件收费标准（服务类型）的规定向中标人收取，在领取中标通知书前，中标人须一次性向招标代理机构交纳中标服务费人民币</w:t>
      </w:r>
      <w:r>
        <w:rPr>
          <w:rFonts w:hint="eastAsia" w:cs="Times New Roman"/>
          <w:b w:val="0"/>
          <w:bCs w:val="0"/>
          <w:sz w:val="28"/>
          <w:szCs w:val="28"/>
          <w:u w:val="none"/>
          <w:lang w:val="en-US" w:eastAsia="zh-CN"/>
        </w:rPr>
        <w:t>肆万陆仟捌佰元整</w:t>
      </w:r>
      <w:r>
        <w:rPr>
          <w:rFonts w:hint="eastAsia" w:ascii="Times New Roman" w:hAnsi="Times New Roman" w:cs="Times New Roman"/>
          <w:b w:val="0"/>
          <w:bCs w:val="0"/>
          <w:sz w:val="28"/>
          <w:szCs w:val="28"/>
          <w:u w:val="none"/>
          <w:lang w:val="en-US" w:eastAsia="zh-CN"/>
        </w:rPr>
        <w:t>（￥</w:t>
      </w:r>
      <w:r>
        <w:rPr>
          <w:rFonts w:hint="eastAsia" w:cs="Times New Roman"/>
          <w:b w:val="0"/>
          <w:bCs w:val="0"/>
          <w:sz w:val="28"/>
          <w:szCs w:val="28"/>
          <w:u w:val="none"/>
          <w:lang w:val="en-US" w:eastAsia="zh-CN"/>
        </w:rPr>
        <w:t>46800.00</w:t>
      </w:r>
      <w:r>
        <w:rPr>
          <w:rFonts w:hint="eastAsia" w:ascii="Times New Roman" w:hAnsi="Times New Roman" w:cs="Times New Roman"/>
          <w:b w:val="0"/>
          <w:bCs w:val="0"/>
          <w:sz w:val="28"/>
          <w:szCs w:val="28"/>
          <w:u w:val="none"/>
          <w:lang w:val="en-US" w:eastAsia="zh-CN"/>
        </w:rPr>
        <w:t>）。</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自本公告发布之日起1个工作日。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b w:val="0"/>
          <w:bCs w:val="0"/>
          <w:sz w:val="28"/>
          <w:szCs w:val="28"/>
          <w:u w:val="none"/>
          <w:lang w:val="en-US" w:eastAsia="zh-CN"/>
        </w:rPr>
      </w:pPr>
      <w:r>
        <w:rPr>
          <w:rFonts w:hint="eastAsia" w:ascii="Times New Roman" w:hAnsi="Times New Roman" w:cs="Times New Roman"/>
          <w:b w:val="0"/>
          <w:bCs w:val="0"/>
          <w:sz w:val="28"/>
          <w:szCs w:val="28"/>
          <w:u w:val="none"/>
          <w:lang w:val="en-US" w:eastAsia="zh-CN"/>
        </w:rPr>
        <w:t>供应商认为</w:t>
      </w:r>
      <w:r>
        <w:rPr>
          <w:rFonts w:hint="eastAsia" w:cs="Times New Roman"/>
          <w:b w:val="0"/>
          <w:bCs w:val="0"/>
          <w:sz w:val="28"/>
          <w:szCs w:val="28"/>
          <w:u w:val="none"/>
          <w:lang w:val="en-US" w:eastAsia="zh-CN"/>
        </w:rPr>
        <w:t>中标</w:t>
      </w:r>
      <w:r>
        <w:rPr>
          <w:rFonts w:hint="eastAsia" w:ascii="Times New Roman" w:hAnsi="Times New Roman" w:cs="Times New Roman"/>
          <w:b w:val="0"/>
          <w:bCs w:val="0"/>
          <w:sz w:val="28"/>
          <w:szCs w:val="28"/>
          <w:u w:val="none"/>
          <w:lang w:val="en-US" w:eastAsia="zh-CN"/>
        </w:rPr>
        <w:t>结果使自己的权益受到损害的，可以在</w:t>
      </w:r>
      <w:r>
        <w:rPr>
          <w:rFonts w:hint="eastAsia" w:cs="Times New Roman"/>
          <w:b w:val="0"/>
          <w:bCs w:val="0"/>
          <w:sz w:val="28"/>
          <w:szCs w:val="28"/>
          <w:u w:val="none"/>
          <w:lang w:val="en-US" w:eastAsia="zh-CN"/>
        </w:rPr>
        <w:t>中标</w:t>
      </w:r>
      <w:r>
        <w:rPr>
          <w:rFonts w:hint="eastAsia" w:ascii="Times New Roman" w:hAnsi="Times New Roman" w:cs="Times New Roman"/>
          <w:b w:val="0"/>
          <w:bCs w:val="0"/>
          <w:sz w:val="28"/>
          <w:szCs w:val="28"/>
          <w:u w:val="none"/>
          <w:lang w:val="en-US" w:eastAsia="zh-CN"/>
        </w:rPr>
        <w:t>结果公告期限届满之日起七个工作日内以书面形式向采购代理机构提出质疑，逾期将不再受理。</w:t>
      </w: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spacing w:line="360" w:lineRule="auto"/>
        <w:ind w:firstLine="700" w:firstLineChars="250"/>
        <w:rPr>
          <w:rFonts w:hint="eastAsia" w:asciiTheme="majorEastAsia" w:hAnsiTheme="majorEastAsia" w:eastAsiaTheme="majorEastAsia" w:cstheme="majorEastAsia"/>
          <w:b w:val="0"/>
          <w:sz w:val="28"/>
          <w:szCs w:val="28"/>
        </w:rPr>
      </w:pPr>
      <w:bookmarkStart w:id="2" w:name="_Toc35393641"/>
      <w:bookmarkStart w:id="3" w:name="_Toc28359100"/>
      <w:bookmarkStart w:id="4" w:name="_Toc35393810"/>
      <w:bookmarkStart w:id="5" w:name="_Toc28359023"/>
      <w:r>
        <w:rPr>
          <w:rFonts w:hint="eastAsia" w:asciiTheme="majorEastAsia" w:hAnsiTheme="majorEastAsia" w:eastAsiaTheme="majorEastAsia" w:cstheme="majorEastAsia"/>
          <w:b w:val="0"/>
          <w:sz w:val="28"/>
          <w:szCs w:val="28"/>
        </w:rPr>
        <w:t>1.采购人信息</w:t>
      </w:r>
      <w:bookmarkEnd w:id="2"/>
      <w:bookmarkEnd w:id="3"/>
      <w:bookmarkEnd w:id="4"/>
      <w:bookmarkEnd w:id="5"/>
    </w:p>
    <w:p>
      <w:pPr>
        <w:spacing w:line="360" w:lineRule="auto"/>
        <w:ind w:left="1129" w:leftChars="371" w:hanging="350" w:hangingChars="125"/>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名    称：</w:t>
      </w:r>
      <w:r>
        <w:rPr>
          <w:rFonts w:hint="eastAsia" w:asciiTheme="majorEastAsia" w:hAnsiTheme="majorEastAsia" w:eastAsiaTheme="majorEastAsia" w:cstheme="majorEastAsia"/>
          <w:sz w:val="28"/>
          <w:szCs w:val="28"/>
          <w:u w:val="single"/>
          <w:lang w:eastAsia="zh-CN"/>
        </w:rPr>
        <w:t>宾阳</w:t>
      </w:r>
      <w:r>
        <w:rPr>
          <w:rFonts w:hint="eastAsia" w:asciiTheme="majorEastAsia" w:hAnsiTheme="majorEastAsia" w:eastAsiaTheme="majorEastAsia" w:cstheme="majorEastAsia"/>
          <w:sz w:val="28"/>
          <w:szCs w:val="28"/>
          <w:u w:val="single"/>
        </w:rPr>
        <w:t>县人力资源和社会保障局</w:t>
      </w:r>
    </w:p>
    <w:p>
      <w:pPr>
        <w:spacing w:line="360" w:lineRule="auto"/>
        <w:ind w:left="1129" w:leftChars="371" w:hanging="350" w:hangingChars="125"/>
        <w:jc w:val="left"/>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地    址：</w:t>
      </w:r>
      <w:r>
        <w:rPr>
          <w:rFonts w:hint="eastAsia" w:asciiTheme="majorEastAsia" w:hAnsiTheme="majorEastAsia" w:eastAsiaTheme="majorEastAsia" w:cstheme="majorEastAsia"/>
          <w:sz w:val="28"/>
          <w:szCs w:val="28"/>
          <w:u w:val="single"/>
          <w:lang w:eastAsia="zh-CN"/>
        </w:rPr>
        <w:t>南宁市宾阳县城中社区大街520号</w:t>
      </w:r>
    </w:p>
    <w:p>
      <w:pPr>
        <w:spacing w:line="360" w:lineRule="auto"/>
        <w:ind w:left="1129" w:leftChars="371" w:hanging="350" w:hangingChars="125"/>
        <w:jc w:val="left"/>
        <w:rPr>
          <w:rFonts w:hint="eastAsia" w:asciiTheme="majorEastAsia" w:hAnsiTheme="majorEastAsia" w:eastAsiaTheme="majorEastAsia" w:cstheme="majorEastAsia"/>
          <w:sz w:val="28"/>
          <w:szCs w:val="28"/>
          <w:u w:val="single"/>
          <w:lang w:val="en-US" w:eastAsia="zh-CN"/>
        </w:rPr>
      </w:pPr>
      <w:r>
        <w:rPr>
          <w:rFonts w:hint="eastAsia" w:asciiTheme="majorEastAsia" w:hAnsiTheme="majorEastAsia" w:eastAsiaTheme="majorEastAsia" w:cstheme="majorEastAsia"/>
          <w:sz w:val="28"/>
          <w:szCs w:val="28"/>
        </w:rPr>
        <w:t>联系方式：</w:t>
      </w:r>
      <w:r>
        <w:rPr>
          <w:rFonts w:hint="eastAsia" w:asciiTheme="majorEastAsia" w:hAnsiTheme="majorEastAsia" w:eastAsiaTheme="majorEastAsia" w:cstheme="majorEastAsia"/>
          <w:sz w:val="28"/>
          <w:szCs w:val="28"/>
          <w:u w:val="single"/>
          <w:lang w:eastAsia="zh-CN"/>
        </w:rPr>
        <w:t>曾工</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u w:val="single"/>
          <w:lang w:val="en-US" w:eastAsia="zh-CN"/>
        </w:rPr>
        <w:t xml:space="preserve"> 0771-8222430</w:t>
      </w:r>
    </w:p>
    <w:p>
      <w:pPr>
        <w:pStyle w:val="4"/>
        <w:spacing w:line="360" w:lineRule="auto"/>
        <w:ind w:firstLine="840" w:firstLineChars="300"/>
        <w:rPr>
          <w:rFonts w:hint="eastAsia" w:asciiTheme="majorEastAsia" w:hAnsiTheme="majorEastAsia" w:eastAsiaTheme="majorEastAsia" w:cstheme="majorEastAsia"/>
          <w:b w:val="0"/>
          <w:sz w:val="28"/>
          <w:szCs w:val="28"/>
        </w:rPr>
      </w:pPr>
      <w:bookmarkStart w:id="6" w:name="_Toc35393642"/>
      <w:bookmarkStart w:id="7" w:name="_Toc35393811"/>
      <w:bookmarkStart w:id="8" w:name="_Toc28359024"/>
      <w:bookmarkStart w:id="9" w:name="_Toc28359101"/>
      <w:r>
        <w:rPr>
          <w:rFonts w:hint="eastAsia" w:asciiTheme="majorEastAsia" w:hAnsiTheme="majorEastAsia" w:eastAsiaTheme="majorEastAsia" w:cstheme="majorEastAsia"/>
          <w:b w:val="0"/>
          <w:sz w:val="28"/>
          <w:szCs w:val="28"/>
        </w:rPr>
        <w:t>2.采购代理机构信息</w:t>
      </w:r>
      <w:bookmarkEnd w:id="6"/>
      <w:bookmarkEnd w:id="7"/>
      <w:bookmarkEnd w:id="8"/>
      <w:bookmarkEnd w:id="9"/>
    </w:p>
    <w:p>
      <w:pPr>
        <w:spacing w:line="360" w:lineRule="auto"/>
        <w:ind w:firstLine="840" w:firstLineChars="300"/>
        <w:rPr>
          <w:rFonts w:hint="eastAsia"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名    称：</w:t>
      </w:r>
      <w:r>
        <w:rPr>
          <w:rFonts w:hint="eastAsia" w:asciiTheme="majorEastAsia" w:hAnsiTheme="majorEastAsia" w:eastAsiaTheme="majorEastAsia" w:cstheme="majorEastAsia"/>
          <w:sz w:val="28"/>
          <w:szCs w:val="28"/>
          <w:u w:val="single"/>
          <w:lang w:eastAsia="zh-CN"/>
        </w:rPr>
        <w:t>丰汇国际项目管理有限公司</w:t>
      </w:r>
      <w:r>
        <w:rPr>
          <w:rFonts w:hint="eastAsia" w:asciiTheme="majorEastAsia" w:hAnsiTheme="majorEastAsia" w:eastAsiaTheme="majorEastAsia" w:cstheme="majorEastAsia"/>
          <w:sz w:val="28"/>
          <w:szCs w:val="28"/>
          <w:u w:val="single"/>
        </w:rPr>
        <w:t>　</w:t>
      </w:r>
    </w:p>
    <w:p>
      <w:pPr>
        <w:spacing w:line="360" w:lineRule="auto"/>
        <w:ind w:left="2238" w:leftChars="399" w:hanging="1400" w:hangingChars="5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　  址：</w:t>
      </w:r>
      <w:r>
        <w:rPr>
          <w:rFonts w:hint="eastAsia" w:asciiTheme="majorEastAsia" w:hAnsiTheme="majorEastAsia" w:eastAsiaTheme="majorEastAsia" w:cstheme="majorEastAsia"/>
          <w:sz w:val="28"/>
          <w:szCs w:val="28"/>
          <w:u w:val="single"/>
          <w:lang w:eastAsia="zh-CN"/>
        </w:rPr>
        <w:t>南宁市白沙大道</w:t>
      </w:r>
      <w:r>
        <w:rPr>
          <w:rFonts w:hint="eastAsia" w:asciiTheme="majorEastAsia" w:hAnsiTheme="majorEastAsia" w:eastAsiaTheme="majorEastAsia" w:cstheme="majorEastAsia"/>
          <w:sz w:val="28"/>
          <w:szCs w:val="28"/>
          <w:u w:val="single"/>
          <w:lang w:val="en-US" w:eastAsia="zh-CN"/>
        </w:rPr>
        <w:t>60号交通工程监督站2栋401室</w:t>
      </w:r>
    </w:p>
    <w:p>
      <w:pPr>
        <w:spacing w:line="360" w:lineRule="auto"/>
        <w:ind w:firstLine="840" w:firstLineChars="300"/>
        <w:rPr>
          <w:rFonts w:hint="default" w:asciiTheme="majorEastAsia" w:hAnsiTheme="majorEastAsia" w:eastAsiaTheme="majorEastAsia" w:cstheme="majorEastAsia"/>
          <w:sz w:val="28"/>
          <w:szCs w:val="28"/>
          <w:u w:val="single"/>
          <w:lang w:val="en-US"/>
        </w:rPr>
      </w:pPr>
      <w:r>
        <w:rPr>
          <w:rFonts w:hint="eastAsia" w:asciiTheme="majorEastAsia" w:hAnsiTheme="majorEastAsia" w:eastAsiaTheme="majorEastAsia" w:cstheme="majorEastAsia"/>
          <w:sz w:val="28"/>
          <w:szCs w:val="28"/>
        </w:rPr>
        <w:t>联系方式：</w:t>
      </w:r>
      <w:r>
        <w:rPr>
          <w:rFonts w:hint="eastAsia" w:asciiTheme="majorEastAsia" w:hAnsiTheme="majorEastAsia" w:eastAsiaTheme="majorEastAsia" w:cstheme="majorEastAsia"/>
          <w:sz w:val="28"/>
          <w:szCs w:val="28"/>
          <w:u w:val="single"/>
          <w:lang w:eastAsia="zh-CN"/>
        </w:rPr>
        <w:t>黄丽莲</w:t>
      </w:r>
      <w:r>
        <w:rPr>
          <w:rFonts w:hint="eastAsia" w:asciiTheme="majorEastAsia" w:hAnsiTheme="majorEastAsia" w:eastAsiaTheme="majorEastAsia" w:cstheme="majorEastAsia"/>
          <w:sz w:val="28"/>
          <w:szCs w:val="28"/>
          <w:u w:val="single"/>
          <w:lang w:val="en-US" w:eastAsia="zh-CN"/>
        </w:rPr>
        <w:t xml:space="preserve"> 0771-4865166</w:t>
      </w:r>
    </w:p>
    <w:p>
      <w:pPr>
        <w:pStyle w:val="4"/>
        <w:spacing w:line="360" w:lineRule="auto"/>
        <w:ind w:firstLine="840" w:firstLineChars="300"/>
        <w:rPr>
          <w:rFonts w:hint="eastAsia" w:asciiTheme="majorEastAsia" w:hAnsiTheme="majorEastAsia" w:eastAsiaTheme="majorEastAsia" w:cstheme="majorEastAsia"/>
          <w:b w:val="0"/>
          <w:sz w:val="28"/>
          <w:szCs w:val="28"/>
        </w:rPr>
      </w:pPr>
      <w:bookmarkStart w:id="10" w:name="_Toc28359025"/>
      <w:bookmarkStart w:id="11" w:name="_Toc35393643"/>
      <w:bookmarkStart w:id="12" w:name="_Toc28359102"/>
      <w:bookmarkStart w:id="13" w:name="_Toc35393812"/>
      <w:r>
        <w:rPr>
          <w:rFonts w:hint="eastAsia" w:asciiTheme="majorEastAsia" w:hAnsiTheme="majorEastAsia" w:eastAsiaTheme="majorEastAsia" w:cstheme="majorEastAsia"/>
          <w:b w:val="0"/>
          <w:sz w:val="28"/>
          <w:szCs w:val="28"/>
        </w:rPr>
        <w:t>3.项目联系方式</w:t>
      </w:r>
      <w:bookmarkEnd w:id="10"/>
      <w:bookmarkEnd w:id="11"/>
      <w:bookmarkEnd w:id="12"/>
      <w:bookmarkEnd w:id="13"/>
    </w:p>
    <w:p>
      <w:pPr>
        <w:pStyle w:val="5"/>
        <w:spacing w:line="360" w:lineRule="auto"/>
        <w:ind w:firstLine="840" w:firstLineChars="30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rPr>
        <w:t>项目联系人：</w:t>
      </w:r>
      <w:r>
        <w:rPr>
          <w:rFonts w:hint="eastAsia" w:asciiTheme="majorEastAsia" w:hAnsiTheme="majorEastAsia" w:eastAsiaTheme="majorEastAsia" w:cstheme="majorEastAsia"/>
          <w:sz w:val="28"/>
          <w:szCs w:val="28"/>
          <w:u w:val="single"/>
          <w:lang w:eastAsia="zh-CN"/>
        </w:rPr>
        <w:t>黄丽莲</w:t>
      </w:r>
      <w:bookmarkStart w:id="14" w:name="_GoBack"/>
      <w:bookmarkEnd w:id="14"/>
    </w:p>
    <w:p>
      <w:pPr>
        <w:pStyle w:val="5"/>
        <w:spacing w:line="360" w:lineRule="auto"/>
        <w:ind w:firstLine="840" w:firstLineChars="300"/>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rPr>
        <w:t>电　  话：</w:t>
      </w:r>
      <w:r>
        <w:rPr>
          <w:rFonts w:hint="eastAsia" w:asciiTheme="majorEastAsia" w:hAnsiTheme="majorEastAsia" w:eastAsiaTheme="majorEastAsia" w:cstheme="majorEastAsia"/>
          <w:sz w:val="28"/>
          <w:szCs w:val="28"/>
          <w:u w:val="single"/>
          <w:lang w:val="en-US" w:eastAsia="zh-CN"/>
        </w:rPr>
        <w:t>0771-4865166</w:t>
      </w:r>
    </w:p>
    <w:p>
      <w:pPr>
        <w:spacing w:line="360" w:lineRule="auto"/>
        <w:ind w:firstLine="630" w:firstLineChars="300"/>
        <w:rPr>
          <w:rFonts w:hint="eastAsia" w:asciiTheme="majorEastAsia" w:hAnsiTheme="majorEastAsia" w:eastAsiaTheme="majorEastAsia" w:cs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F5122"/>
    <w:rsid w:val="01721EAE"/>
    <w:rsid w:val="024B7310"/>
    <w:rsid w:val="04780D2D"/>
    <w:rsid w:val="04FC2CBA"/>
    <w:rsid w:val="051A61FF"/>
    <w:rsid w:val="05CE2969"/>
    <w:rsid w:val="081B3F2A"/>
    <w:rsid w:val="084072C8"/>
    <w:rsid w:val="0C2D728E"/>
    <w:rsid w:val="0C69468C"/>
    <w:rsid w:val="0D4E2523"/>
    <w:rsid w:val="0D8D4387"/>
    <w:rsid w:val="0DBF7E20"/>
    <w:rsid w:val="0EF036B6"/>
    <w:rsid w:val="0F364B5A"/>
    <w:rsid w:val="0F6418E7"/>
    <w:rsid w:val="0FDB6BA0"/>
    <w:rsid w:val="11355ABC"/>
    <w:rsid w:val="11E37E6C"/>
    <w:rsid w:val="144273DB"/>
    <w:rsid w:val="15E8580C"/>
    <w:rsid w:val="185773C9"/>
    <w:rsid w:val="18636851"/>
    <w:rsid w:val="188C00AE"/>
    <w:rsid w:val="19AA55AA"/>
    <w:rsid w:val="19C86B28"/>
    <w:rsid w:val="200420EE"/>
    <w:rsid w:val="211F1A18"/>
    <w:rsid w:val="229F5122"/>
    <w:rsid w:val="246264BE"/>
    <w:rsid w:val="2550290E"/>
    <w:rsid w:val="25563713"/>
    <w:rsid w:val="27776A27"/>
    <w:rsid w:val="2783246B"/>
    <w:rsid w:val="27F16C4E"/>
    <w:rsid w:val="2B58221C"/>
    <w:rsid w:val="2C3C5338"/>
    <w:rsid w:val="2C4B3A74"/>
    <w:rsid w:val="2F827BA4"/>
    <w:rsid w:val="302C6731"/>
    <w:rsid w:val="30932D8C"/>
    <w:rsid w:val="30F67C50"/>
    <w:rsid w:val="31074D36"/>
    <w:rsid w:val="311F77DF"/>
    <w:rsid w:val="32F005BB"/>
    <w:rsid w:val="35800001"/>
    <w:rsid w:val="36B867C4"/>
    <w:rsid w:val="370352B7"/>
    <w:rsid w:val="37197313"/>
    <w:rsid w:val="3A94358D"/>
    <w:rsid w:val="3C684248"/>
    <w:rsid w:val="3D44410F"/>
    <w:rsid w:val="406C7248"/>
    <w:rsid w:val="40F3747E"/>
    <w:rsid w:val="410C34A6"/>
    <w:rsid w:val="42343E8F"/>
    <w:rsid w:val="433058D1"/>
    <w:rsid w:val="438724FF"/>
    <w:rsid w:val="46D42B40"/>
    <w:rsid w:val="481874F2"/>
    <w:rsid w:val="49081EF9"/>
    <w:rsid w:val="4B41152B"/>
    <w:rsid w:val="4BAC0F94"/>
    <w:rsid w:val="4C200097"/>
    <w:rsid w:val="4CC2063B"/>
    <w:rsid w:val="4CE64FED"/>
    <w:rsid w:val="4E470FC4"/>
    <w:rsid w:val="50653F93"/>
    <w:rsid w:val="5317565D"/>
    <w:rsid w:val="55743B2F"/>
    <w:rsid w:val="578D3F9E"/>
    <w:rsid w:val="5A756B9F"/>
    <w:rsid w:val="5D3D090E"/>
    <w:rsid w:val="5D402BC8"/>
    <w:rsid w:val="5FC2599B"/>
    <w:rsid w:val="5FEB1C8A"/>
    <w:rsid w:val="60C3510E"/>
    <w:rsid w:val="610B44B3"/>
    <w:rsid w:val="63C45865"/>
    <w:rsid w:val="64104B0C"/>
    <w:rsid w:val="6565341B"/>
    <w:rsid w:val="66C007FF"/>
    <w:rsid w:val="67032FE8"/>
    <w:rsid w:val="695E2CBE"/>
    <w:rsid w:val="6BED49F3"/>
    <w:rsid w:val="6CB65F2B"/>
    <w:rsid w:val="6EC42BCD"/>
    <w:rsid w:val="6F127C1D"/>
    <w:rsid w:val="6F262664"/>
    <w:rsid w:val="700076DF"/>
    <w:rsid w:val="73A716A5"/>
    <w:rsid w:val="740376C7"/>
    <w:rsid w:val="768F5742"/>
    <w:rsid w:val="78D53CFB"/>
    <w:rsid w:val="7A456904"/>
    <w:rsid w:val="7C50481D"/>
    <w:rsid w:val="7C62398D"/>
    <w:rsid w:val="7C6C46C2"/>
    <w:rsid w:val="7D6D34B8"/>
    <w:rsid w:val="7EFE2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21"/>
    <w:basedOn w:val="9"/>
    <w:qFormat/>
    <w:uiPriority w:val="0"/>
    <w:rPr>
      <w:rFonts w:hint="eastAsia" w:ascii="宋体" w:hAnsi="宋体" w:eastAsia="宋体" w:cs="宋体"/>
      <w:color w:val="000000"/>
      <w:sz w:val="20"/>
      <w:szCs w:val="20"/>
      <w:u w:val="none"/>
    </w:rPr>
  </w:style>
  <w:style w:type="character" w:customStyle="1" w:styleId="11">
    <w:name w:val="font41"/>
    <w:basedOn w:val="9"/>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2020-08-28T01:16:00Z</dcterms:created>
  <dc:creator>Mint</dc:creator>
  <cp:lastModifiedBy>WPS_1559529410</cp:lastModifiedBy>
  <dcterms:modified xsi:type="dcterms:W3CDTF">2020-11-18T07:56:49Z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