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600" w:lineRule="exact"/>
        <w:jc w:val="center"/>
        <w:rPr>
          <w:rFonts w:hint="eastAsia" w:ascii="方正小标宋简体" w:hAnsi="宋体" w:eastAsia="方正小标宋简体"/>
          <w:color w:val="auto"/>
          <w:sz w:val="52"/>
          <w:szCs w:val="52"/>
          <w:highlight w:val="none"/>
        </w:rPr>
      </w:pPr>
    </w:p>
    <w:p>
      <w:pPr>
        <w:spacing w:before="156" w:beforeLines="50" w:line="360" w:lineRule="auto"/>
        <w:jc w:val="center"/>
        <w:rPr>
          <w:rFonts w:ascii="宋体" w:hAnsi="宋体"/>
          <w:color w:val="auto"/>
          <w:sz w:val="52"/>
          <w:szCs w:val="52"/>
          <w:highlight w:val="none"/>
        </w:rPr>
      </w:pPr>
      <w:r>
        <w:rPr>
          <w:rFonts w:hint="eastAsia" w:ascii="宋体" w:hAnsi="宋体"/>
          <w:color w:val="auto"/>
          <w:sz w:val="52"/>
          <w:szCs w:val="52"/>
          <w:highlight w:val="none"/>
        </w:rPr>
        <w:t>广西壮族自治区政府采购</w:t>
      </w:r>
    </w:p>
    <w:p>
      <w:pPr>
        <w:spacing w:before="156" w:beforeLines="50" w:line="360" w:lineRule="auto"/>
        <w:jc w:val="center"/>
        <w:rPr>
          <w:rFonts w:ascii="宋体" w:hAnsi="宋体"/>
          <w:color w:val="auto"/>
          <w:sz w:val="52"/>
          <w:szCs w:val="52"/>
          <w:highlight w:val="none"/>
        </w:rPr>
      </w:pPr>
      <w:r>
        <w:rPr>
          <w:rFonts w:hint="eastAsia" w:ascii="宋体" w:hAnsi="宋体"/>
          <w:color w:val="auto"/>
          <w:sz w:val="52"/>
          <w:szCs w:val="52"/>
          <w:highlight w:val="none"/>
        </w:rPr>
        <w:t>服务类招标文件范本（20</w:t>
      </w:r>
      <w:r>
        <w:rPr>
          <w:rFonts w:ascii="宋体" w:hAnsi="宋体"/>
          <w:color w:val="auto"/>
          <w:sz w:val="52"/>
          <w:szCs w:val="52"/>
          <w:highlight w:val="none"/>
        </w:rPr>
        <w:t>2</w:t>
      </w:r>
      <w:r>
        <w:rPr>
          <w:rFonts w:hint="eastAsia" w:ascii="宋体" w:hAnsi="宋体"/>
          <w:color w:val="auto"/>
          <w:sz w:val="52"/>
          <w:szCs w:val="52"/>
          <w:highlight w:val="none"/>
        </w:rPr>
        <w:t>1年版）</w:t>
      </w:r>
    </w:p>
    <w:p>
      <w:pPr>
        <w:spacing w:line="360" w:lineRule="auto"/>
        <w:jc w:val="center"/>
        <w:rPr>
          <w:rFonts w:hint="eastAsia" w:ascii="方正小标宋简体" w:hAnsi="方正小标宋简体" w:eastAsia="方正小标宋简体" w:cs="方正小标宋简体"/>
          <w:b/>
          <w:color w:val="auto"/>
          <w:sz w:val="44"/>
          <w:szCs w:val="44"/>
          <w:highlight w:val="none"/>
        </w:rPr>
      </w:pPr>
    </w:p>
    <w:p>
      <w:pPr>
        <w:spacing w:line="360" w:lineRule="auto"/>
        <w:jc w:val="center"/>
        <w:rPr>
          <w:rFonts w:hint="eastAsia" w:ascii="方正小标宋简体" w:hAnsi="方正小标宋简体" w:eastAsia="方正小标宋简体" w:cs="方正小标宋简体"/>
          <w:b/>
          <w:color w:val="auto"/>
          <w:sz w:val="44"/>
          <w:szCs w:val="44"/>
          <w:highlight w:val="none"/>
        </w:rPr>
      </w:pPr>
    </w:p>
    <w:p>
      <w:pPr>
        <w:snapToGrid w:val="0"/>
        <w:spacing w:before="156" w:beforeLines="50" w:line="360" w:lineRule="auto"/>
        <w:jc w:val="center"/>
        <w:rPr>
          <w:rFonts w:hint="eastAsia" w:ascii="华文新魏" w:hAnsi="宋体" w:eastAsia="华文新魏"/>
          <w:color w:val="auto"/>
          <w:sz w:val="72"/>
          <w:szCs w:val="72"/>
          <w:highlight w:val="none"/>
        </w:rPr>
      </w:pPr>
      <w:r>
        <w:rPr>
          <w:rFonts w:hint="eastAsia" w:ascii="华文新魏" w:hAnsi="宋体" w:eastAsia="华文新魏"/>
          <w:color w:val="auto"/>
          <w:sz w:val="120"/>
          <w:szCs w:val="120"/>
          <w:highlight w:val="none"/>
        </w:rPr>
        <w:t>招 标 文 件</w:t>
      </w:r>
    </w:p>
    <w:p>
      <w:pPr>
        <w:snapToGrid w:val="0"/>
        <w:spacing w:line="360" w:lineRule="auto"/>
        <w:rPr>
          <w:rFonts w:hint="eastAsia" w:ascii="仿宋_GB2312" w:hAnsi="宋体" w:eastAsia="仿宋_GB2312"/>
          <w:color w:val="auto"/>
          <w:sz w:val="30"/>
          <w:szCs w:val="72"/>
          <w:highlight w:val="none"/>
        </w:rPr>
      </w:pPr>
    </w:p>
    <w:p>
      <w:pPr>
        <w:pStyle w:val="3"/>
        <w:snapToGrid w:val="0"/>
        <w:spacing w:line="360" w:lineRule="auto"/>
        <w:ind w:left="2744" w:leftChars="568" w:hanging="1551" w:hangingChars="515"/>
        <w:rPr>
          <w:rFonts w:hint="eastAsia" w:ascii="仿宋_GB2312" w:hAnsi="宋体" w:eastAsia="仿宋_GB2312"/>
          <w:b/>
          <w:bCs/>
          <w:color w:val="auto"/>
          <w:sz w:val="30"/>
          <w:szCs w:val="30"/>
          <w:highlight w:val="none"/>
          <w:lang w:eastAsia="zh-CN"/>
        </w:rPr>
      </w:pPr>
      <w:r>
        <w:rPr>
          <w:rFonts w:hint="eastAsia" w:ascii="仿宋_GB2312" w:hAnsi="宋体" w:eastAsia="仿宋_GB2312"/>
          <w:b/>
          <w:bCs/>
          <w:color w:val="auto"/>
          <w:sz w:val="30"/>
          <w:szCs w:val="30"/>
          <w:highlight w:val="none"/>
        </w:rPr>
        <w:t>项目名称：</w:t>
      </w:r>
      <w:r>
        <w:rPr>
          <w:rFonts w:hint="eastAsia" w:ascii="仿宋_GB2312" w:hAnsi="宋体" w:eastAsia="仿宋_GB2312"/>
          <w:b/>
          <w:bCs/>
          <w:color w:val="auto"/>
          <w:sz w:val="30"/>
          <w:szCs w:val="30"/>
          <w:highlight w:val="none"/>
          <w:lang w:eastAsia="zh-CN"/>
        </w:rPr>
        <w:t>金城江-宜州两城区通勤用车服务采购项目</w:t>
      </w:r>
    </w:p>
    <w:p>
      <w:pPr>
        <w:pStyle w:val="3"/>
        <w:snapToGrid w:val="0"/>
        <w:spacing w:line="360" w:lineRule="auto"/>
        <w:ind w:firstLine="1193" w:firstLineChars="396"/>
        <w:rPr>
          <w:rFonts w:hint="eastAsia" w:ascii="仿宋_GB2312" w:hAnsi="宋体" w:eastAsia="仿宋_GB2312"/>
          <w:b/>
          <w:bCs/>
          <w:color w:val="auto"/>
          <w:sz w:val="30"/>
          <w:szCs w:val="30"/>
          <w:highlight w:val="none"/>
          <w:lang w:eastAsia="zh-CN"/>
        </w:rPr>
      </w:pPr>
      <w:r>
        <w:rPr>
          <w:rFonts w:hint="eastAsia" w:ascii="仿宋_GB2312" w:hAnsi="宋体" w:eastAsia="仿宋_GB2312"/>
          <w:b/>
          <w:bCs/>
          <w:color w:val="auto"/>
          <w:sz w:val="30"/>
          <w:szCs w:val="30"/>
          <w:highlight w:val="none"/>
        </w:rPr>
        <w:t>项目编号：</w:t>
      </w:r>
      <w:r>
        <w:rPr>
          <w:rFonts w:hint="eastAsia" w:ascii="仿宋_GB2312" w:hAnsi="宋体" w:eastAsia="仿宋_GB2312"/>
          <w:b/>
          <w:bCs/>
          <w:color w:val="auto"/>
          <w:sz w:val="30"/>
          <w:szCs w:val="30"/>
          <w:highlight w:val="none"/>
          <w:lang w:eastAsia="zh-CN"/>
        </w:rPr>
        <w:t>HCZC2022-G3-990086-DSGS</w:t>
      </w:r>
    </w:p>
    <w:p>
      <w:pPr>
        <w:pStyle w:val="3"/>
        <w:snapToGrid w:val="0"/>
        <w:spacing w:line="360" w:lineRule="auto"/>
        <w:ind w:firstLine="1193" w:firstLineChars="396"/>
        <w:rPr>
          <w:rFonts w:hint="eastAsia" w:ascii="仿宋_GB2312" w:hAnsi="宋体" w:eastAsia="仿宋_GB2312"/>
          <w:b/>
          <w:bCs/>
          <w:color w:val="auto"/>
          <w:sz w:val="30"/>
          <w:szCs w:val="30"/>
          <w:highlight w:val="none"/>
        </w:rPr>
      </w:pPr>
      <w:r>
        <w:rPr>
          <w:rFonts w:hint="eastAsia" w:ascii="仿宋_GB2312" w:hAnsi="宋体" w:eastAsia="仿宋_GB2312"/>
          <w:b/>
          <w:bCs/>
          <w:color w:val="auto"/>
          <w:sz w:val="30"/>
          <w:szCs w:val="30"/>
          <w:highlight w:val="none"/>
        </w:rPr>
        <w:t>采 购 人：</w:t>
      </w:r>
      <w:r>
        <w:rPr>
          <w:rFonts w:hint="eastAsia" w:ascii="仿宋_GB2312" w:hAnsi="宋体" w:eastAsia="仿宋_GB2312"/>
          <w:b/>
          <w:bCs/>
          <w:color w:val="auto"/>
          <w:sz w:val="30"/>
          <w:szCs w:val="30"/>
          <w:highlight w:val="none"/>
          <w:lang w:eastAsia="zh-CN"/>
        </w:rPr>
        <w:t>河池市机关事务服务中心</w:t>
      </w:r>
      <w:r>
        <w:rPr>
          <w:rFonts w:hint="eastAsia" w:ascii="仿宋_GB2312" w:hAnsi="宋体" w:eastAsia="仿宋_GB2312"/>
          <w:b/>
          <w:bCs/>
          <w:color w:val="auto"/>
          <w:sz w:val="30"/>
          <w:szCs w:val="30"/>
          <w:highlight w:val="none"/>
        </w:rPr>
        <w:t xml:space="preserve"> </w:t>
      </w:r>
    </w:p>
    <w:p>
      <w:pPr>
        <w:pStyle w:val="3"/>
        <w:snapToGrid w:val="0"/>
        <w:spacing w:line="360" w:lineRule="auto"/>
        <w:ind w:firstLine="1193" w:firstLineChars="396"/>
        <w:rPr>
          <w:rFonts w:hint="eastAsia" w:ascii="仿宋_GB2312" w:hAnsi="宋体" w:eastAsia="仿宋_GB2312"/>
          <w:b/>
          <w:bCs/>
          <w:color w:val="auto"/>
          <w:sz w:val="30"/>
          <w:szCs w:val="30"/>
          <w:highlight w:val="none"/>
          <w:lang w:eastAsia="zh-CN"/>
        </w:rPr>
      </w:pPr>
      <w:r>
        <w:rPr>
          <w:rFonts w:hint="eastAsia" w:ascii="仿宋_GB2312" w:hAnsi="宋体" w:eastAsia="仿宋_GB2312"/>
          <w:b/>
          <w:bCs/>
          <w:color w:val="auto"/>
          <w:sz w:val="30"/>
          <w:szCs w:val="30"/>
          <w:highlight w:val="none"/>
        </w:rPr>
        <w:t>采购代理机构：</w:t>
      </w:r>
      <w:r>
        <w:rPr>
          <w:rFonts w:hint="eastAsia" w:ascii="仿宋_GB2312" w:hAnsi="宋体" w:eastAsia="仿宋_GB2312"/>
          <w:b/>
          <w:bCs/>
          <w:color w:val="auto"/>
          <w:sz w:val="30"/>
          <w:szCs w:val="30"/>
          <w:highlight w:val="none"/>
          <w:lang w:eastAsia="zh-CN"/>
        </w:rPr>
        <w:t>广西德胜工程项目管理有限公司</w:t>
      </w:r>
    </w:p>
    <w:p>
      <w:pPr>
        <w:pStyle w:val="3"/>
        <w:snapToGrid w:val="0"/>
        <w:spacing w:line="360" w:lineRule="auto"/>
        <w:ind w:firstLine="1125" w:firstLineChars="393"/>
        <w:rPr>
          <w:rFonts w:hint="eastAsia" w:ascii="仿宋_GB2312" w:hAnsi="宋体" w:eastAsia="仿宋_GB2312"/>
          <w:b/>
          <w:bCs/>
          <w:color w:val="auto"/>
          <w:w w:val="95"/>
          <w:sz w:val="30"/>
          <w:szCs w:val="30"/>
          <w:highlight w:val="none"/>
        </w:rPr>
      </w:pPr>
    </w:p>
    <w:p>
      <w:pPr>
        <w:pStyle w:val="3"/>
        <w:snapToGrid w:val="0"/>
        <w:spacing w:line="360" w:lineRule="auto"/>
        <w:ind w:firstLine="1125" w:firstLineChars="393"/>
        <w:rPr>
          <w:rFonts w:hint="eastAsia" w:ascii="仿宋_GB2312" w:hAnsi="宋体" w:eastAsia="仿宋_GB2312"/>
          <w:b/>
          <w:bCs/>
          <w:color w:val="auto"/>
          <w:w w:val="95"/>
          <w:sz w:val="30"/>
          <w:szCs w:val="30"/>
          <w:highlight w:val="none"/>
        </w:rPr>
      </w:pPr>
    </w:p>
    <w:p>
      <w:pPr>
        <w:pStyle w:val="3"/>
        <w:snapToGrid w:val="0"/>
        <w:spacing w:line="360" w:lineRule="auto"/>
        <w:ind w:firstLine="841" w:firstLineChars="294"/>
        <w:rPr>
          <w:rFonts w:hint="eastAsia" w:ascii="仿宋_GB2312" w:eastAsia="仿宋_GB2312"/>
          <w:color w:val="auto"/>
          <w:szCs w:val="20"/>
          <w:highlight w:val="none"/>
        </w:rPr>
      </w:pPr>
      <w:r>
        <w:rPr>
          <w:rFonts w:hint="eastAsia" w:ascii="仿宋_GB2312" w:hAnsi="宋体" w:eastAsia="仿宋_GB2312"/>
          <w:b/>
          <w:bCs/>
          <w:color w:val="auto"/>
          <w:w w:val="95"/>
          <w:sz w:val="30"/>
          <w:szCs w:val="30"/>
          <w:highlight w:val="none"/>
        </w:rPr>
        <w:t xml:space="preserve">             2022 年 </w:t>
      </w:r>
      <w:r>
        <w:rPr>
          <w:rFonts w:hint="eastAsia" w:ascii="仿宋_GB2312" w:hAnsi="宋体" w:eastAsia="仿宋_GB2312"/>
          <w:b/>
          <w:bCs/>
          <w:color w:val="auto"/>
          <w:w w:val="95"/>
          <w:sz w:val="30"/>
          <w:szCs w:val="30"/>
          <w:highlight w:val="none"/>
          <w:lang w:val="en-US" w:eastAsia="zh-CN"/>
        </w:rPr>
        <w:t>5</w:t>
      </w:r>
      <w:r>
        <w:rPr>
          <w:rFonts w:hint="eastAsia" w:ascii="仿宋_GB2312" w:hAnsi="宋体" w:eastAsia="仿宋_GB2312"/>
          <w:b/>
          <w:bCs/>
          <w:color w:val="auto"/>
          <w:w w:val="95"/>
          <w:sz w:val="30"/>
          <w:szCs w:val="30"/>
          <w:highlight w:val="none"/>
        </w:rPr>
        <w:t>月</w:t>
      </w:r>
    </w:p>
    <w:p>
      <w:pPr>
        <w:pStyle w:val="3"/>
        <w:spacing w:before="120" w:after="120" w:line="360" w:lineRule="auto"/>
        <w:jc w:val="center"/>
        <w:rPr>
          <w:rFonts w:hint="eastAsia" w:ascii="仿宋_GB2312" w:hAnsi="宋体" w:eastAsia="仿宋_GB2312"/>
          <w:color w:val="auto"/>
          <w:highlight w:val="none"/>
        </w:rPr>
      </w:pPr>
    </w:p>
    <w:p>
      <w:pPr>
        <w:pStyle w:val="2"/>
        <w:kinsoku w:val="0"/>
        <w:overflowPunct w:val="0"/>
        <w:rPr>
          <w:rFonts w:hint="eastAsia"/>
          <w:color w:val="auto"/>
          <w:sz w:val="40"/>
          <w:highlight w:val="none"/>
        </w:rPr>
      </w:pPr>
    </w:p>
    <w:p>
      <w:pPr>
        <w:pStyle w:val="3"/>
        <w:spacing w:before="120" w:after="120" w:line="360" w:lineRule="auto"/>
        <w:rPr>
          <w:rFonts w:hint="eastAsia" w:ascii="仿宋_GB2312" w:hAnsi="宋体" w:eastAsia="仿宋_GB2312"/>
          <w:color w:val="auto"/>
          <w:highlight w:val="none"/>
        </w:rPr>
      </w:pPr>
    </w:p>
    <w:p>
      <w:pPr>
        <w:spacing w:line="360" w:lineRule="auto"/>
        <w:jc w:val="center"/>
        <w:rPr>
          <w:rFonts w:hint="eastAsia" w:ascii="宋体" w:hAnsi="宋体"/>
          <w:b/>
          <w:color w:val="auto"/>
          <w:sz w:val="44"/>
          <w:szCs w:val="44"/>
          <w:highlight w:val="none"/>
        </w:rPr>
        <w:sectPr>
          <w:headerReference r:id="rId3" w:type="first"/>
          <w:footerReference r:id="rId4" w:type="default"/>
          <w:pgSz w:w="11906" w:h="16838"/>
          <w:pgMar w:top="1440" w:right="1800" w:bottom="1440" w:left="1800" w:header="851" w:footer="992" w:gutter="0"/>
          <w:pgNumType w:start="0"/>
          <w:cols w:space="720" w:num="1"/>
          <w:titlePg/>
          <w:docGrid w:type="lines" w:linePitch="312" w:charSpace="0"/>
        </w:sectPr>
      </w:pP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目  录</w:t>
      </w:r>
    </w:p>
    <w:p>
      <w:pPr>
        <w:spacing w:line="400" w:lineRule="exact"/>
        <w:jc w:val="center"/>
        <w:rPr>
          <w:rFonts w:hint="eastAsia" w:ascii="宋体" w:hAnsi="宋体"/>
          <w:b/>
          <w:color w:val="auto"/>
          <w:sz w:val="44"/>
          <w:szCs w:val="44"/>
          <w:highlight w:val="none"/>
        </w:rPr>
      </w:pPr>
    </w:p>
    <w:p>
      <w:pPr>
        <w:pStyle w:val="31"/>
        <w:tabs>
          <w:tab w:val="right" w:leader="dot" w:pos="8400"/>
          <w:tab w:val="clear" w:pos="8398"/>
        </w:tabs>
        <w:rPr>
          <w:color w:val="auto"/>
          <w:highlight w:val="none"/>
        </w:rPr>
      </w:pPr>
      <w:r>
        <w:rPr>
          <w:rFonts w:ascii="仿宋_GB2312" w:eastAsia="仿宋_GB2312"/>
          <w:b w:val="0"/>
          <w:color w:val="auto"/>
          <w:highlight w:val="none"/>
        </w:rPr>
        <w:fldChar w:fldCharType="begin"/>
      </w:r>
      <w:r>
        <w:rPr>
          <w:rFonts w:ascii="仿宋_GB2312" w:eastAsia="仿宋_GB2312"/>
          <w:b w:val="0"/>
          <w:color w:val="auto"/>
          <w:highlight w:val="none"/>
        </w:rPr>
        <w:instrText xml:space="preserve"> </w:instrText>
      </w:r>
      <w:r>
        <w:rPr>
          <w:rFonts w:hint="eastAsia" w:ascii="仿宋_GB2312" w:eastAsia="仿宋_GB2312"/>
          <w:b w:val="0"/>
          <w:color w:val="auto"/>
          <w:highlight w:val="none"/>
        </w:rPr>
        <w:instrText xml:space="preserve">TOC \o "1-2" \h \z \u</w:instrText>
      </w:r>
      <w:r>
        <w:rPr>
          <w:rFonts w:ascii="仿宋_GB2312" w:eastAsia="仿宋_GB2312"/>
          <w:b w:val="0"/>
          <w:color w:val="auto"/>
          <w:highlight w:val="none"/>
        </w:rPr>
        <w:instrText xml:space="preserve"> </w:instrText>
      </w:r>
      <w:r>
        <w:rPr>
          <w:rFonts w:ascii="仿宋_GB2312" w:eastAsia="仿宋_GB2312"/>
          <w:b w:val="0"/>
          <w:color w:val="auto"/>
          <w:highlight w:val="none"/>
        </w:rPr>
        <w:fldChar w:fldCharType="separate"/>
      </w:r>
      <w:r>
        <w:rPr>
          <w:rFonts w:ascii="仿宋_GB2312" w:eastAsia="仿宋_GB2312"/>
          <w:color w:val="auto"/>
          <w:highlight w:val="none"/>
        </w:rPr>
        <w:fldChar w:fldCharType="begin"/>
      </w:r>
      <w:r>
        <w:rPr>
          <w:rFonts w:ascii="仿宋_GB2312" w:eastAsia="仿宋_GB2312"/>
          <w:color w:val="auto"/>
          <w:highlight w:val="none"/>
        </w:rPr>
        <w:instrText xml:space="preserve"> HYPERLINK \l _Toc24430 </w:instrText>
      </w:r>
      <w:r>
        <w:rPr>
          <w:rFonts w:ascii="仿宋_GB2312" w:eastAsia="仿宋_GB2312"/>
          <w:color w:val="auto"/>
          <w:highlight w:val="none"/>
        </w:rPr>
        <w:fldChar w:fldCharType="separate"/>
      </w:r>
      <w:r>
        <w:rPr>
          <w:rFonts w:hint="eastAsia" w:ascii="黑体" w:hAnsi="黑体" w:eastAsia="黑体" w:cs="黑体"/>
          <w:color w:val="auto"/>
          <w:szCs w:val="32"/>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_Toc24430 \h </w:instrText>
      </w:r>
      <w:r>
        <w:rPr>
          <w:color w:val="auto"/>
          <w:highlight w:val="none"/>
        </w:rPr>
        <w:fldChar w:fldCharType="separate"/>
      </w:r>
      <w:r>
        <w:rPr>
          <w:color w:val="auto"/>
          <w:highlight w:val="none"/>
        </w:rPr>
        <w:t>2</w:t>
      </w:r>
      <w:r>
        <w:rPr>
          <w:color w:val="auto"/>
          <w:highlight w:val="none"/>
        </w:rPr>
        <w:fldChar w:fldCharType="end"/>
      </w:r>
      <w:r>
        <w:rPr>
          <w:rFonts w:ascii="仿宋_GB2312" w:eastAsia="仿宋_GB2312"/>
          <w:color w:val="auto"/>
          <w:highlight w:val="none"/>
        </w:rPr>
        <w:fldChar w:fldCharType="end"/>
      </w:r>
    </w:p>
    <w:p>
      <w:pPr>
        <w:pStyle w:val="31"/>
        <w:tabs>
          <w:tab w:val="right" w:leader="dot" w:pos="840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_Toc4079 </w:instrText>
      </w:r>
      <w:r>
        <w:rPr>
          <w:rFonts w:ascii="仿宋_GB2312" w:eastAsia="仿宋_GB2312"/>
          <w:color w:val="auto"/>
          <w:highlight w:val="none"/>
        </w:rPr>
        <w:fldChar w:fldCharType="separate"/>
      </w:r>
      <w:r>
        <w:rPr>
          <w:rFonts w:hint="eastAsia"/>
          <w:color w:val="auto"/>
          <w:highlight w:val="none"/>
        </w:rPr>
        <w:t>第二章  采购需求</w:t>
      </w:r>
      <w:r>
        <w:rPr>
          <w:color w:val="auto"/>
          <w:highlight w:val="none"/>
        </w:rPr>
        <w:tab/>
      </w:r>
      <w:r>
        <w:rPr>
          <w:color w:val="auto"/>
          <w:highlight w:val="none"/>
        </w:rPr>
        <w:fldChar w:fldCharType="begin"/>
      </w:r>
      <w:r>
        <w:rPr>
          <w:color w:val="auto"/>
          <w:highlight w:val="none"/>
        </w:rPr>
        <w:instrText xml:space="preserve"> PAGEREF _Toc4079 \h </w:instrText>
      </w:r>
      <w:r>
        <w:rPr>
          <w:color w:val="auto"/>
          <w:highlight w:val="none"/>
        </w:rPr>
        <w:fldChar w:fldCharType="separate"/>
      </w:r>
      <w:r>
        <w:rPr>
          <w:color w:val="auto"/>
          <w:highlight w:val="none"/>
        </w:rPr>
        <w:t>6</w:t>
      </w:r>
      <w:r>
        <w:rPr>
          <w:color w:val="auto"/>
          <w:highlight w:val="none"/>
        </w:rPr>
        <w:fldChar w:fldCharType="end"/>
      </w:r>
      <w:r>
        <w:rPr>
          <w:rFonts w:ascii="仿宋_GB2312" w:eastAsia="仿宋_GB2312"/>
          <w:color w:val="auto"/>
          <w:highlight w:val="none"/>
        </w:rPr>
        <w:fldChar w:fldCharType="end"/>
      </w:r>
    </w:p>
    <w:p>
      <w:pPr>
        <w:pStyle w:val="31"/>
        <w:tabs>
          <w:tab w:val="right" w:leader="dot" w:pos="840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_Toc12126 </w:instrText>
      </w:r>
      <w:r>
        <w:rPr>
          <w:rFonts w:ascii="仿宋_GB2312" w:eastAsia="仿宋_GB2312"/>
          <w:color w:val="auto"/>
          <w:highlight w:val="none"/>
        </w:rPr>
        <w:fldChar w:fldCharType="separate"/>
      </w:r>
      <w:r>
        <w:rPr>
          <w:rFonts w:hint="eastAsia"/>
          <w:color w:val="auto"/>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_Toc12126 \h </w:instrText>
      </w:r>
      <w:r>
        <w:rPr>
          <w:color w:val="auto"/>
          <w:highlight w:val="none"/>
        </w:rPr>
        <w:fldChar w:fldCharType="separate"/>
      </w:r>
      <w:r>
        <w:rPr>
          <w:color w:val="auto"/>
          <w:highlight w:val="none"/>
        </w:rPr>
        <w:t>10</w:t>
      </w:r>
      <w:r>
        <w:rPr>
          <w:color w:val="auto"/>
          <w:highlight w:val="none"/>
        </w:rPr>
        <w:fldChar w:fldCharType="end"/>
      </w:r>
      <w:r>
        <w:rPr>
          <w:rFonts w:ascii="仿宋_GB2312" w:eastAsia="仿宋_GB2312"/>
          <w:color w:val="auto"/>
          <w:highlight w:val="none"/>
        </w:rPr>
        <w:fldChar w:fldCharType="end"/>
      </w:r>
    </w:p>
    <w:p>
      <w:pPr>
        <w:pStyle w:val="31"/>
        <w:tabs>
          <w:tab w:val="right" w:leader="dot" w:pos="840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_Toc15656 </w:instrText>
      </w:r>
      <w:r>
        <w:rPr>
          <w:rFonts w:ascii="仿宋_GB2312" w:eastAsia="仿宋_GB2312"/>
          <w:color w:val="auto"/>
          <w:highlight w:val="none"/>
        </w:rPr>
        <w:fldChar w:fldCharType="separate"/>
      </w:r>
      <w:r>
        <w:rPr>
          <w:rFonts w:hint="eastAsia"/>
          <w:color w:val="auto"/>
          <w:highlight w:val="none"/>
        </w:rPr>
        <w:t>第四章  评标方法及评标标准</w:t>
      </w:r>
      <w:r>
        <w:rPr>
          <w:color w:val="auto"/>
          <w:highlight w:val="none"/>
        </w:rPr>
        <w:tab/>
      </w:r>
      <w:r>
        <w:rPr>
          <w:color w:val="auto"/>
          <w:highlight w:val="none"/>
        </w:rPr>
        <w:fldChar w:fldCharType="begin"/>
      </w:r>
      <w:r>
        <w:rPr>
          <w:color w:val="auto"/>
          <w:highlight w:val="none"/>
        </w:rPr>
        <w:instrText xml:space="preserve"> PAGEREF _Toc15656 \h </w:instrText>
      </w:r>
      <w:r>
        <w:rPr>
          <w:color w:val="auto"/>
          <w:highlight w:val="none"/>
        </w:rPr>
        <w:fldChar w:fldCharType="separate"/>
      </w:r>
      <w:r>
        <w:rPr>
          <w:color w:val="auto"/>
          <w:highlight w:val="none"/>
        </w:rPr>
        <w:t>29</w:t>
      </w:r>
      <w:r>
        <w:rPr>
          <w:color w:val="auto"/>
          <w:highlight w:val="none"/>
        </w:rPr>
        <w:fldChar w:fldCharType="end"/>
      </w:r>
      <w:r>
        <w:rPr>
          <w:rFonts w:ascii="仿宋_GB2312" w:eastAsia="仿宋_GB2312"/>
          <w:color w:val="auto"/>
          <w:highlight w:val="none"/>
        </w:rPr>
        <w:fldChar w:fldCharType="end"/>
      </w:r>
    </w:p>
    <w:p>
      <w:pPr>
        <w:pStyle w:val="31"/>
        <w:tabs>
          <w:tab w:val="right" w:leader="dot" w:pos="840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_Toc4790 </w:instrText>
      </w:r>
      <w:r>
        <w:rPr>
          <w:rFonts w:ascii="仿宋_GB2312" w:eastAsia="仿宋_GB2312"/>
          <w:color w:val="auto"/>
          <w:highlight w:val="none"/>
        </w:rPr>
        <w:fldChar w:fldCharType="separate"/>
      </w:r>
      <w:r>
        <w:rPr>
          <w:rFonts w:hint="eastAsia"/>
          <w:color w:val="auto"/>
          <w:highlight w:val="none"/>
        </w:rPr>
        <w:t>第五章  拟签订的合同文本</w:t>
      </w:r>
      <w:r>
        <w:rPr>
          <w:color w:val="auto"/>
          <w:highlight w:val="none"/>
        </w:rPr>
        <w:tab/>
      </w:r>
      <w:r>
        <w:rPr>
          <w:color w:val="auto"/>
          <w:highlight w:val="none"/>
        </w:rPr>
        <w:fldChar w:fldCharType="begin"/>
      </w:r>
      <w:r>
        <w:rPr>
          <w:color w:val="auto"/>
          <w:highlight w:val="none"/>
        </w:rPr>
        <w:instrText xml:space="preserve"> PAGEREF _Toc4790 \h </w:instrText>
      </w:r>
      <w:r>
        <w:rPr>
          <w:color w:val="auto"/>
          <w:highlight w:val="none"/>
        </w:rPr>
        <w:fldChar w:fldCharType="separate"/>
      </w:r>
      <w:r>
        <w:rPr>
          <w:color w:val="auto"/>
          <w:highlight w:val="none"/>
        </w:rPr>
        <w:t>36</w:t>
      </w:r>
      <w:r>
        <w:rPr>
          <w:color w:val="auto"/>
          <w:highlight w:val="none"/>
        </w:rPr>
        <w:fldChar w:fldCharType="end"/>
      </w:r>
      <w:r>
        <w:rPr>
          <w:rFonts w:ascii="仿宋_GB2312" w:eastAsia="仿宋_GB2312"/>
          <w:color w:val="auto"/>
          <w:highlight w:val="none"/>
        </w:rPr>
        <w:fldChar w:fldCharType="end"/>
      </w:r>
    </w:p>
    <w:p>
      <w:pPr>
        <w:pStyle w:val="31"/>
        <w:tabs>
          <w:tab w:val="right" w:leader="dot" w:pos="840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_Toc9899 </w:instrText>
      </w:r>
      <w:r>
        <w:rPr>
          <w:rFonts w:ascii="仿宋_GB2312" w:eastAsia="仿宋_GB2312"/>
          <w:color w:val="auto"/>
          <w:highlight w:val="none"/>
        </w:rPr>
        <w:fldChar w:fldCharType="separate"/>
      </w:r>
      <w:r>
        <w:rPr>
          <w:rFonts w:hint="eastAsia"/>
          <w:color w:val="auto"/>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_Toc9899 \h </w:instrText>
      </w:r>
      <w:r>
        <w:rPr>
          <w:color w:val="auto"/>
          <w:highlight w:val="none"/>
        </w:rPr>
        <w:fldChar w:fldCharType="separate"/>
      </w:r>
      <w:r>
        <w:rPr>
          <w:color w:val="auto"/>
          <w:highlight w:val="none"/>
        </w:rPr>
        <w:t>39</w:t>
      </w:r>
      <w:r>
        <w:rPr>
          <w:color w:val="auto"/>
          <w:highlight w:val="none"/>
        </w:rPr>
        <w:fldChar w:fldCharType="end"/>
      </w:r>
      <w:r>
        <w:rPr>
          <w:rFonts w:ascii="仿宋_GB2312" w:eastAsia="仿宋_GB2312"/>
          <w:color w:val="auto"/>
          <w:highlight w:val="none"/>
        </w:rPr>
        <w:fldChar w:fldCharType="end"/>
      </w:r>
    </w:p>
    <w:p>
      <w:pPr>
        <w:tabs>
          <w:tab w:val="right" w:leader="dot" w:pos="8789"/>
        </w:tabs>
        <w:snapToGrid w:val="0"/>
        <w:spacing w:line="500" w:lineRule="atLeast"/>
        <w:rPr>
          <w:rFonts w:hint="eastAsia" w:ascii="仿宋_GB2312" w:hAnsi="宋体" w:eastAsia="仿宋_GB2312"/>
          <w:color w:val="auto"/>
          <w:sz w:val="24"/>
          <w:highlight w:val="none"/>
        </w:rPr>
      </w:pPr>
      <w:r>
        <w:rPr>
          <w:rFonts w:ascii="仿宋_GB2312" w:hAnsi="宋体" w:eastAsia="仿宋_GB2312"/>
          <w:color w:val="auto"/>
          <w:highlight w:val="none"/>
        </w:rPr>
        <w:fldChar w:fldCharType="end"/>
      </w:r>
    </w:p>
    <w:p>
      <w:pPr>
        <w:spacing w:before="156" w:beforeLines="50" w:line="480" w:lineRule="exact"/>
        <w:rPr>
          <w:rFonts w:hint="eastAsia" w:ascii="仿宋_GB2312" w:hAnsi="宋体" w:eastAsia="仿宋_GB2312"/>
          <w:color w:val="auto"/>
          <w:sz w:val="30"/>
          <w:highlight w:val="none"/>
        </w:rPr>
      </w:pPr>
    </w:p>
    <w:p>
      <w:pPr>
        <w:rPr>
          <w:rFonts w:hint="eastAsia"/>
          <w:color w:val="auto"/>
          <w:highlight w:val="none"/>
        </w:rPr>
      </w:pPr>
    </w:p>
    <w:p>
      <w:pPr>
        <w:spacing w:before="156" w:beforeLines="50" w:line="480" w:lineRule="exact"/>
        <w:rPr>
          <w:rFonts w:hint="eastAsia" w:ascii="仿宋_GB2312" w:hAnsi="宋体" w:eastAsia="仿宋_GB2312"/>
          <w:color w:val="auto"/>
          <w:sz w:val="30"/>
          <w:highlight w:val="none"/>
        </w:rPr>
      </w:pPr>
    </w:p>
    <w:p>
      <w:pPr>
        <w:spacing w:before="156" w:beforeLines="50" w:line="480" w:lineRule="exact"/>
        <w:rPr>
          <w:rFonts w:hint="eastAsia" w:ascii="仿宋_GB2312" w:hAnsi="宋体" w:eastAsia="仿宋_GB2312"/>
          <w:color w:val="auto"/>
          <w:sz w:val="30"/>
          <w:highlight w:val="none"/>
        </w:rPr>
      </w:pPr>
    </w:p>
    <w:p>
      <w:pPr>
        <w:pStyle w:val="17"/>
        <w:rPr>
          <w:rFonts w:hint="eastAsia" w:ascii="宋体" w:hAnsi="宋体" w:cs="宋体"/>
          <w:b/>
          <w:bCs/>
          <w:color w:val="auto"/>
          <w:highlight w:val="none"/>
        </w:rPr>
      </w:pPr>
      <w:bookmarkStart w:id="0" w:name="_Toc254970489"/>
      <w:bookmarkStart w:id="1" w:name="_Toc254970630"/>
    </w:p>
    <w:p>
      <w:pPr>
        <w:pStyle w:val="4"/>
        <w:spacing w:before="0" w:after="200" w:line="360" w:lineRule="auto"/>
        <w:jc w:val="center"/>
        <w:rPr>
          <w:rFonts w:ascii="黑体" w:hAnsi="黑体" w:eastAsia="黑体" w:cs="黑体"/>
          <w:color w:val="auto"/>
          <w:sz w:val="32"/>
          <w:szCs w:val="32"/>
          <w:highlight w:val="none"/>
        </w:rPr>
      </w:pPr>
      <w:r>
        <w:rPr>
          <w:rFonts w:ascii="宋体" w:hAnsi="宋体" w:cs="宋体"/>
          <w:b w:val="0"/>
          <w:bCs w:val="0"/>
          <w:color w:val="auto"/>
          <w:highlight w:val="none"/>
        </w:rPr>
        <w:br w:type="page"/>
      </w:r>
      <w:bookmarkEnd w:id="0"/>
      <w:bookmarkEnd w:id="1"/>
      <w:bookmarkStart w:id="2" w:name="_Toc24430"/>
      <w:r>
        <w:rPr>
          <w:rFonts w:hint="eastAsia" w:ascii="黑体" w:hAnsi="黑体" w:eastAsia="黑体" w:cs="黑体"/>
          <w:color w:val="auto"/>
          <w:sz w:val="32"/>
          <w:szCs w:val="32"/>
          <w:highlight w:val="none"/>
        </w:rPr>
        <w:t>第一章  招标公告</w:t>
      </w:r>
      <w:bookmarkEnd w:id="2"/>
    </w:p>
    <w:p>
      <w:pPr>
        <w:spacing w:line="400" w:lineRule="exact"/>
        <w:jc w:val="center"/>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eastAsia="zh-CN"/>
        </w:rPr>
        <w:t>金城江-宜州两城区通勤用车服务采购项目</w:t>
      </w:r>
      <w:r>
        <w:rPr>
          <w:rFonts w:hint="eastAsia" w:ascii="黑体" w:hAnsi="黑体" w:eastAsia="黑体" w:cs="黑体"/>
          <w:color w:val="auto"/>
          <w:sz w:val="28"/>
          <w:szCs w:val="28"/>
          <w:highlight w:val="none"/>
        </w:rPr>
        <w:t>（项目编号：</w:t>
      </w:r>
      <w:r>
        <w:rPr>
          <w:rFonts w:hint="eastAsia" w:ascii="黑体" w:hAnsi="黑体" w:eastAsia="黑体" w:cs="黑体"/>
          <w:color w:val="auto"/>
          <w:sz w:val="28"/>
          <w:szCs w:val="28"/>
          <w:highlight w:val="none"/>
          <w:lang w:eastAsia="zh-CN"/>
        </w:rPr>
        <w:t>HCZC2022-G3-990086-DSGS</w:t>
      </w:r>
      <w:r>
        <w:rPr>
          <w:rFonts w:hint="eastAsia" w:ascii="黑体" w:hAnsi="黑体" w:eastAsia="黑体" w:cs="黑体"/>
          <w:color w:val="auto"/>
          <w:sz w:val="28"/>
          <w:szCs w:val="28"/>
          <w:highlight w:val="none"/>
        </w:rPr>
        <w:t>）招标公告</w:t>
      </w:r>
    </w:p>
    <w:p>
      <w:pPr>
        <w:pStyle w:val="7"/>
        <w:rPr>
          <w:color w:val="auto"/>
          <w:highlight w:val="none"/>
        </w:rPr>
      </w:pPr>
    </w:p>
    <w:p>
      <w:pPr>
        <w:pBdr>
          <w:top w:val="single" w:color="auto" w:sz="4" w:space="1"/>
          <w:left w:val="single" w:color="auto" w:sz="4" w:space="4"/>
          <w:bottom w:val="single" w:color="auto" w:sz="4" w:space="1"/>
          <w:right w:val="single" w:color="auto" w:sz="4" w:space="4"/>
        </w:pBdr>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lang w:eastAsia="zh-CN"/>
        </w:rPr>
        <w:t>金城江-宜州两城区通勤用车服务采购项目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招标项目的潜在投标人应在全国公共资源交易平台（广西·河池）（http://ggzy.jgswj.gxzf.gov.cn/hcggzy/）和政采云平台（http://www.zcygov.cn/）获取招标文件，并于</w:t>
      </w:r>
      <w:r>
        <w:rPr>
          <w:rFonts w:hint="eastAsia" w:ascii="宋体" w:hAnsi="宋体" w:cs="宋体"/>
          <w:color w:val="auto"/>
          <w:sz w:val="24"/>
          <w:highlight w:val="none"/>
          <w:u w:val="single"/>
        </w:rPr>
        <w:t>2022</w:t>
      </w:r>
      <w:r>
        <w:rPr>
          <w:rFonts w:hint="eastAsia" w:ascii="宋体" w:hAnsi="宋体" w:cs="宋体"/>
          <w:bCs/>
          <w:color w:val="auto"/>
          <w:sz w:val="24"/>
          <w:highlight w:val="none"/>
          <w:u w:val="single"/>
        </w:rPr>
        <w:t>年</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时</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分（</w:t>
      </w:r>
      <w:r>
        <w:rPr>
          <w:rFonts w:hint="eastAsia" w:ascii="宋体" w:hAnsi="宋体" w:cs="宋体"/>
          <w:bCs/>
          <w:color w:val="auto"/>
          <w:sz w:val="24"/>
          <w:highlight w:val="none"/>
        </w:rPr>
        <w:t>北京时间）前递交投标文件</w:t>
      </w:r>
      <w:r>
        <w:rPr>
          <w:rFonts w:hint="eastAsia" w:ascii="宋体" w:hAnsi="宋体" w:cs="宋体"/>
          <w:color w:val="auto"/>
          <w:sz w:val="24"/>
          <w:highlight w:val="none"/>
        </w:rPr>
        <w:t>。</w:t>
      </w:r>
    </w:p>
    <w:p>
      <w:pPr>
        <w:spacing w:line="440" w:lineRule="atLeast"/>
        <w:rPr>
          <w:rFonts w:hint="eastAsia" w:ascii="宋体" w:hAnsi="宋体" w:cs="宋体"/>
          <w:color w:val="auto"/>
          <w:sz w:val="24"/>
          <w:highlight w:val="none"/>
        </w:rPr>
      </w:pPr>
    </w:p>
    <w:p>
      <w:pPr>
        <w:spacing w:line="440" w:lineRule="atLeast"/>
        <w:rPr>
          <w:rFonts w:hint="eastAsia" w:ascii="宋体" w:hAnsi="宋体" w:cs="宋体"/>
          <w:b/>
          <w:bCs/>
          <w:color w:val="auto"/>
          <w:sz w:val="24"/>
          <w:highlight w:val="none"/>
        </w:rPr>
      </w:pPr>
      <w:bookmarkStart w:id="3" w:name="_Toc35393621"/>
      <w:bookmarkStart w:id="4" w:name="_Toc28359079"/>
      <w:bookmarkStart w:id="5" w:name="_Toc28359002"/>
      <w:bookmarkStart w:id="6" w:name="_Toc35393790"/>
      <w:bookmarkStart w:id="7" w:name="_Hlk24379207"/>
      <w:r>
        <w:rPr>
          <w:rFonts w:hint="eastAsia" w:ascii="宋体" w:hAnsi="宋体" w:cs="宋体"/>
          <w:b/>
          <w:bCs/>
          <w:color w:val="auto"/>
          <w:sz w:val="24"/>
          <w:highlight w:val="none"/>
        </w:rPr>
        <w:t>一、项目基本情况</w:t>
      </w:r>
      <w:bookmarkEnd w:id="3"/>
      <w:bookmarkEnd w:id="4"/>
      <w:bookmarkEnd w:id="5"/>
      <w:bookmarkEnd w:id="6"/>
    </w:p>
    <w:bookmarkEnd w:id="7"/>
    <w:p>
      <w:pPr>
        <w:spacing w:line="440" w:lineRule="atLeas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HCZC2022-G3-990086-DSGS</w:t>
      </w:r>
    </w:p>
    <w:p>
      <w:pPr>
        <w:spacing w:line="440" w:lineRule="atLeas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金城江-宜州两城区通勤用车服务采购项目</w:t>
      </w:r>
    </w:p>
    <w:p>
      <w:pPr>
        <w:spacing w:line="440" w:lineRule="atLeast"/>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预算金额：</w:t>
      </w:r>
      <w:r>
        <w:rPr>
          <w:rFonts w:hint="eastAsia" w:ascii="宋体" w:hAnsi="宋体" w:cs="宋体"/>
          <w:color w:val="auto"/>
          <w:sz w:val="24"/>
          <w:highlight w:val="none"/>
          <w:lang w:val="en-US" w:eastAsia="zh-CN"/>
        </w:rPr>
        <w:t>0元</w:t>
      </w:r>
    </w:p>
    <w:p>
      <w:pPr>
        <w:spacing w:line="440" w:lineRule="atLeast"/>
        <w:ind w:firstLine="480" w:firstLineChars="200"/>
        <w:rPr>
          <w:rFonts w:hint="default" w:ascii="宋体" w:hAnsi="宋体" w:cs="宋体"/>
          <w:b w:val="0"/>
          <w:bCs w:val="0"/>
          <w:color w:val="auto"/>
          <w:sz w:val="24"/>
          <w:highlight w:val="none"/>
          <w:lang w:val="en-US"/>
        </w:rPr>
      </w:pPr>
      <w:r>
        <w:rPr>
          <w:rFonts w:hint="eastAsia" w:ascii="宋体" w:hAnsi="宋体" w:cs="宋体"/>
          <w:color w:val="auto"/>
          <w:sz w:val="24"/>
          <w:highlight w:val="none"/>
        </w:rPr>
        <w:t>最高限价（如有）：</w:t>
      </w:r>
      <w:bookmarkStart w:id="152" w:name="_GoBack"/>
      <w:bookmarkEnd w:id="152"/>
      <w:r>
        <w:rPr>
          <w:rFonts w:hint="eastAsia" w:ascii="宋体" w:hAnsi="宋体" w:cs="宋体"/>
          <w:color w:val="auto"/>
          <w:sz w:val="24"/>
          <w:highlight w:val="none"/>
          <w:lang w:eastAsia="zh-CN"/>
        </w:rPr>
        <w:t>单程</w:t>
      </w:r>
      <w:r>
        <w:rPr>
          <w:rFonts w:hint="eastAsia" w:ascii="宋体" w:hAnsi="宋体" w:cs="宋体"/>
          <w:color w:val="auto"/>
          <w:sz w:val="24"/>
          <w:highlight w:val="none"/>
          <w:lang w:val="en-US" w:eastAsia="zh-CN"/>
        </w:rPr>
        <w:t>25元/人</w:t>
      </w:r>
      <w:r>
        <w:rPr>
          <w:rFonts w:hint="eastAsia" w:ascii="宋体" w:hAnsi="宋体" w:cs="宋体"/>
          <w:color w:val="auto"/>
          <w:sz w:val="24"/>
          <w:highlight w:val="none"/>
          <w:u w:val="none"/>
          <w:lang w:val="en-US" w:eastAsia="zh-CN"/>
        </w:rPr>
        <w:t>。</w:t>
      </w:r>
    </w:p>
    <w:p>
      <w:pPr>
        <w:spacing w:line="440" w:lineRule="atLeast"/>
        <w:ind w:firstLine="480" w:firstLineChars="200"/>
        <w:rPr>
          <w:rFonts w:hint="eastAsia" w:ascii="宋体" w:hAnsi="宋体" w:eastAsia="宋体" w:cs="宋体"/>
          <w:color w:val="auto"/>
          <w:sz w:val="24"/>
          <w:highlight w:val="none"/>
        </w:rPr>
      </w:pPr>
      <w:r>
        <w:rPr>
          <w:rFonts w:hint="eastAsia" w:ascii="宋体" w:hAnsi="宋体" w:cs="宋体"/>
          <w:b w:val="0"/>
          <w:bCs w:val="0"/>
          <w:color w:val="auto"/>
          <w:sz w:val="24"/>
          <w:highlight w:val="none"/>
        </w:rPr>
        <w:t>采购需</w:t>
      </w:r>
      <w:r>
        <w:rPr>
          <w:rFonts w:hint="eastAsia" w:ascii="宋体" w:hAnsi="宋体" w:eastAsia="宋体" w:cs="宋体"/>
          <w:color w:val="auto"/>
          <w:sz w:val="24"/>
          <w:highlight w:val="none"/>
        </w:rPr>
        <w:t>求：金城江-宜州两城区通勤用车服务，通勤保障分为早晚通勤、周末通勤和工作日业务通勤</w:t>
      </w:r>
      <w:r>
        <w:rPr>
          <w:rFonts w:hint="eastAsia" w:ascii="宋体" w:hAnsi="宋体" w:eastAsia="宋体" w:cs="宋体"/>
          <w:color w:val="auto"/>
          <w:sz w:val="24"/>
          <w:highlight w:val="none"/>
          <w:lang w:eastAsia="zh-CN"/>
        </w:rPr>
        <w:t>，具体内容详见《第二章采购需求》</w:t>
      </w:r>
      <w:r>
        <w:rPr>
          <w:rFonts w:hint="eastAsia" w:ascii="宋体" w:hAnsi="宋体" w:eastAsia="宋体" w:cs="宋体"/>
          <w:color w:val="auto"/>
          <w:sz w:val="24"/>
          <w:highlight w:val="none"/>
        </w:rPr>
        <w:t>。</w:t>
      </w:r>
    </w:p>
    <w:p>
      <w:pPr>
        <w:spacing w:line="440" w:lineRule="atLeast"/>
        <w:ind w:firstLine="480" w:firstLineChars="200"/>
        <w:rPr>
          <w:rFonts w:hint="eastAsia" w:ascii="宋体" w:hAnsi="宋体" w:cs="宋体"/>
          <w:color w:val="auto"/>
          <w:sz w:val="24"/>
          <w:highlight w:val="none"/>
        </w:rPr>
      </w:pPr>
      <w:r>
        <w:rPr>
          <w:rFonts w:hint="eastAsia" w:ascii="宋体" w:hAnsi="宋体" w:eastAsia="宋体" w:cs="宋体"/>
          <w:color w:val="auto"/>
          <w:sz w:val="24"/>
          <w:highlight w:val="none"/>
        </w:rPr>
        <w:t>合同履行期限：</w:t>
      </w:r>
      <w:r>
        <w:rPr>
          <w:rFonts w:hint="eastAsia" w:ascii="宋体" w:hAnsi="宋体" w:eastAsia="宋体" w:cs="宋体"/>
          <w:color w:val="auto"/>
          <w:sz w:val="24"/>
          <w:highlight w:val="none"/>
          <w:lang w:eastAsia="zh-CN"/>
        </w:rPr>
        <w:t>三年</w:t>
      </w:r>
      <w:r>
        <w:rPr>
          <w:rFonts w:hint="eastAsia" w:ascii="宋体" w:hAnsi="宋体" w:cs="宋体"/>
          <w:color w:val="auto"/>
          <w:sz w:val="24"/>
          <w:highlight w:val="none"/>
        </w:rPr>
        <w:t>。</w:t>
      </w:r>
    </w:p>
    <w:p>
      <w:pPr>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本项目（是/否）接受联合体投标：</w:t>
      </w:r>
      <w:r>
        <w:rPr>
          <w:rFonts w:hint="eastAsia" w:ascii="宋体" w:hAnsi="宋体" w:cs="宋体"/>
          <w:color w:val="auto"/>
          <w:sz w:val="24"/>
          <w:highlight w:val="none"/>
          <w:lang w:eastAsia="zh-CN"/>
        </w:rPr>
        <w:t>否</w:t>
      </w:r>
      <w:r>
        <w:rPr>
          <w:rFonts w:hint="eastAsia" w:ascii="宋体" w:hAnsi="宋体" w:cs="宋体"/>
          <w:color w:val="auto"/>
          <w:sz w:val="24"/>
          <w:highlight w:val="none"/>
        </w:rPr>
        <w:t>。</w:t>
      </w:r>
    </w:p>
    <w:p>
      <w:pPr>
        <w:spacing w:line="440" w:lineRule="atLeast"/>
        <w:rPr>
          <w:rFonts w:hint="eastAsia" w:ascii="宋体" w:hAnsi="宋体" w:cs="宋体"/>
          <w:b/>
          <w:bCs/>
          <w:color w:val="auto"/>
          <w:sz w:val="24"/>
          <w:highlight w:val="none"/>
        </w:rPr>
      </w:pPr>
      <w:bookmarkStart w:id="8" w:name="_Toc35393622"/>
      <w:bookmarkStart w:id="9" w:name="_Toc28359003"/>
      <w:bookmarkStart w:id="10" w:name="_Toc28359080"/>
      <w:bookmarkStart w:id="11" w:name="_Toc35393791"/>
      <w:r>
        <w:rPr>
          <w:rFonts w:hint="eastAsia" w:ascii="宋体" w:hAnsi="宋体" w:cs="宋体"/>
          <w:b/>
          <w:bCs/>
          <w:color w:val="auto"/>
          <w:sz w:val="24"/>
          <w:highlight w:val="none"/>
        </w:rPr>
        <w:t>二、申请人的资格要求：</w:t>
      </w:r>
      <w:bookmarkEnd w:id="8"/>
      <w:bookmarkEnd w:id="9"/>
      <w:bookmarkEnd w:id="10"/>
      <w:bookmarkEnd w:id="11"/>
    </w:p>
    <w:p>
      <w:pPr>
        <w:widowControl/>
        <w:spacing w:line="440" w:lineRule="atLeast"/>
        <w:ind w:firstLine="480" w:firstLineChars="200"/>
        <w:rPr>
          <w:rFonts w:hint="eastAsia" w:ascii="宋体" w:hAnsi="宋体" w:cs="宋体"/>
          <w:color w:val="auto"/>
          <w:sz w:val="24"/>
          <w:highlight w:val="none"/>
        </w:rPr>
      </w:pPr>
      <w:bookmarkStart w:id="12" w:name="_Hlk51746371"/>
      <w:bookmarkStart w:id="13" w:name="_Toc35393792"/>
      <w:bookmarkStart w:id="14" w:name="_Toc35393623"/>
      <w:bookmarkStart w:id="15" w:name="_Toc28359081"/>
      <w:bookmarkStart w:id="16" w:name="_Toc28359004"/>
      <w:r>
        <w:rPr>
          <w:rFonts w:hint="eastAsia" w:ascii="宋体" w:hAnsi="宋体" w:cs="宋体"/>
          <w:color w:val="auto"/>
          <w:sz w:val="24"/>
          <w:highlight w:val="none"/>
        </w:rPr>
        <w:t>1.满足《中华人民共和国政府采购法》第二十二条规定；</w:t>
      </w:r>
    </w:p>
    <w:p>
      <w:pPr>
        <w:widowControl/>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2.落实政府采购政策需满足的资格要求：无。</w:t>
      </w:r>
    </w:p>
    <w:p>
      <w:pPr>
        <w:widowControl/>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3.本项目的特定资格要求：无。</w:t>
      </w:r>
    </w:p>
    <w:bookmarkEnd w:id="12"/>
    <w:p>
      <w:pPr>
        <w:spacing w:line="440" w:lineRule="atLeast"/>
        <w:rPr>
          <w:rFonts w:hint="eastAsia" w:ascii="宋体" w:hAnsi="宋体" w:cs="宋体"/>
          <w:b/>
          <w:bCs/>
          <w:color w:val="auto"/>
          <w:sz w:val="24"/>
          <w:highlight w:val="none"/>
        </w:rPr>
      </w:pPr>
      <w:r>
        <w:rPr>
          <w:rFonts w:hint="eastAsia" w:ascii="宋体" w:hAnsi="宋体" w:cs="宋体"/>
          <w:b/>
          <w:bCs/>
          <w:color w:val="auto"/>
          <w:sz w:val="24"/>
          <w:highlight w:val="none"/>
        </w:rPr>
        <w:t>三、获取招标文件</w:t>
      </w:r>
      <w:bookmarkEnd w:id="13"/>
      <w:bookmarkEnd w:id="14"/>
      <w:bookmarkEnd w:id="15"/>
      <w:bookmarkEnd w:id="16"/>
    </w:p>
    <w:p>
      <w:pPr>
        <w:spacing w:line="440" w:lineRule="atLeast"/>
        <w:ind w:firstLine="540"/>
        <w:rPr>
          <w:rFonts w:hint="eastAsia" w:ascii="宋体" w:hAnsi="宋体" w:cs="宋体"/>
          <w:bCs/>
          <w:color w:val="auto"/>
          <w:kern w:val="0"/>
          <w:sz w:val="24"/>
          <w:highlight w:val="none"/>
          <w:u w:val="single"/>
        </w:rPr>
      </w:pPr>
      <w:r>
        <w:rPr>
          <w:rFonts w:hint="eastAsia" w:ascii="宋体" w:hAnsi="宋体" w:cs="宋体"/>
          <w:bCs/>
          <w:color w:val="auto"/>
          <w:kern w:val="0"/>
          <w:sz w:val="24"/>
          <w:highlight w:val="none"/>
        </w:rPr>
        <w:t>时间：</w:t>
      </w:r>
      <w:r>
        <w:rPr>
          <w:rFonts w:hint="eastAsia" w:ascii="宋体" w:hAnsi="宋体" w:cs="宋体"/>
          <w:bCs/>
          <w:color w:val="auto"/>
          <w:kern w:val="0"/>
          <w:sz w:val="24"/>
          <w:highlight w:val="none"/>
          <w:u w:val="single"/>
        </w:rPr>
        <w:t xml:space="preserve"> 2022 年</w:t>
      </w:r>
      <w:r>
        <w:rPr>
          <w:rFonts w:hint="eastAsia" w:ascii="宋体" w:hAnsi="宋体" w:cs="宋体"/>
          <w:bCs/>
          <w:color w:val="auto"/>
          <w:kern w:val="0"/>
          <w:sz w:val="24"/>
          <w:highlight w:val="none"/>
          <w:u w:val="single"/>
          <w:lang w:val="en-US" w:eastAsia="zh-CN"/>
        </w:rPr>
        <w:t xml:space="preserve">  </w:t>
      </w:r>
      <w:r>
        <w:rPr>
          <w:rFonts w:hint="eastAsia" w:ascii="宋体" w:hAnsi="宋体" w:cs="宋体"/>
          <w:bCs/>
          <w:color w:val="auto"/>
          <w:kern w:val="0"/>
          <w:sz w:val="24"/>
          <w:highlight w:val="none"/>
          <w:u w:val="single"/>
        </w:rPr>
        <w:t xml:space="preserve">月 </w:t>
      </w:r>
      <w:r>
        <w:rPr>
          <w:rFonts w:hint="eastAsia" w:ascii="宋体" w:hAnsi="宋体" w:cs="宋体"/>
          <w:bCs/>
          <w:color w:val="auto"/>
          <w:kern w:val="0"/>
          <w:sz w:val="24"/>
          <w:highlight w:val="none"/>
          <w:u w:val="single"/>
          <w:lang w:val="en-US" w:eastAsia="zh-CN"/>
        </w:rPr>
        <w:t xml:space="preserve"> </w:t>
      </w:r>
      <w:r>
        <w:rPr>
          <w:rFonts w:hint="eastAsia" w:ascii="宋体" w:hAnsi="宋体" w:cs="宋体"/>
          <w:bCs/>
          <w:color w:val="auto"/>
          <w:kern w:val="0"/>
          <w:sz w:val="24"/>
          <w:highlight w:val="none"/>
          <w:u w:val="single"/>
        </w:rPr>
        <w:t xml:space="preserve"> 日</w:t>
      </w:r>
      <w:r>
        <w:rPr>
          <w:rFonts w:hint="eastAsia" w:ascii="宋体" w:hAnsi="宋体" w:cs="宋体"/>
          <w:bCs/>
          <w:color w:val="auto"/>
          <w:kern w:val="0"/>
          <w:sz w:val="24"/>
          <w:highlight w:val="none"/>
        </w:rPr>
        <w:t>至</w:t>
      </w:r>
      <w:r>
        <w:rPr>
          <w:rFonts w:hint="eastAsia" w:ascii="宋体" w:hAnsi="宋体" w:cs="宋体"/>
          <w:bCs/>
          <w:color w:val="auto"/>
          <w:kern w:val="0"/>
          <w:sz w:val="24"/>
          <w:highlight w:val="none"/>
          <w:u w:val="single"/>
        </w:rPr>
        <w:t>投标截止时间止</w:t>
      </w:r>
    </w:p>
    <w:p>
      <w:pPr>
        <w:widowControl/>
        <w:spacing w:line="440" w:lineRule="atLeast"/>
        <w:ind w:firstLine="360" w:firstLineChars="150"/>
        <w:textAlignment w:val="baseline"/>
        <w:rPr>
          <w:rFonts w:hint="eastAsia" w:ascii="宋体" w:hAnsi="宋体" w:cs="宋体"/>
          <w:bCs/>
          <w:color w:val="auto"/>
          <w:kern w:val="0"/>
          <w:sz w:val="24"/>
          <w:highlight w:val="none"/>
        </w:rPr>
      </w:pPr>
      <w:r>
        <w:rPr>
          <w:rFonts w:hint="eastAsia" w:ascii="宋体" w:hAnsi="宋体" w:cs="宋体"/>
          <w:bCs/>
          <w:color w:val="auto"/>
          <w:kern w:val="0"/>
          <w:sz w:val="24"/>
          <w:highlight w:val="none"/>
        </w:rPr>
        <w:t>地点：全国公共资源交易平台（广西·河池）（http://ggzy.jgswj.gxzf.gov.cn/hcggzy/）和政采云平台（http://www.zcygov.cn/）</w:t>
      </w:r>
    </w:p>
    <w:p>
      <w:pPr>
        <w:widowControl/>
        <w:spacing w:line="440" w:lineRule="atLeast"/>
        <w:ind w:firstLine="360" w:firstLineChars="150"/>
        <w:textAlignment w:val="baseline"/>
        <w:rPr>
          <w:rFonts w:hint="eastAsia" w:ascii="宋体" w:hAnsi="宋体" w:cs="宋体"/>
          <w:bCs/>
          <w:color w:val="auto"/>
          <w:kern w:val="0"/>
          <w:sz w:val="24"/>
          <w:highlight w:val="none"/>
        </w:rPr>
      </w:pPr>
      <w:r>
        <w:rPr>
          <w:rFonts w:hint="eastAsia" w:ascii="宋体" w:hAnsi="宋体" w:cs="宋体"/>
          <w:bCs/>
          <w:color w:val="auto"/>
          <w:kern w:val="0"/>
          <w:sz w:val="24"/>
          <w:highlight w:val="none"/>
        </w:rPr>
        <w:t>方式：同时在全国公共资源交易平台（广西·河池）（http://ggzy.jgswj.gxzf.gov.cn/hcggzy/）和政采云平台（http://www.zcygov.cn/）按规定流程下载招标文件电子版，逾期下载无效。电子投标文件制作需要基于“政采云”平台模块获取的采购文件制作，供应商需根据本项目编号进一步前往“政采云”平台“获取采购文件”模块下载采购文件。</w:t>
      </w:r>
    </w:p>
    <w:p>
      <w:pPr>
        <w:spacing w:line="440" w:lineRule="atLeast"/>
        <w:ind w:firstLine="540"/>
        <w:rPr>
          <w:rFonts w:hint="eastAsia" w:ascii="宋体" w:hAnsi="宋体" w:cs="宋体"/>
          <w:color w:val="auto"/>
          <w:sz w:val="24"/>
          <w:highlight w:val="none"/>
        </w:rPr>
      </w:pPr>
      <w:r>
        <w:rPr>
          <w:rFonts w:hint="eastAsia" w:ascii="宋体" w:hAnsi="宋体" w:cs="宋体"/>
          <w:bCs/>
          <w:color w:val="auto"/>
          <w:kern w:val="0"/>
          <w:sz w:val="24"/>
          <w:highlight w:val="none"/>
        </w:rPr>
        <w:t>售价：</w:t>
      </w:r>
      <w:r>
        <w:rPr>
          <w:rFonts w:hint="eastAsia" w:ascii="宋体" w:hAnsi="宋体" w:cs="宋体"/>
          <w:color w:val="auto"/>
          <w:sz w:val="24"/>
          <w:highlight w:val="none"/>
        </w:rPr>
        <w:t xml:space="preserve"> 0元。 </w:t>
      </w:r>
    </w:p>
    <w:p>
      <w:pPr>
        <w:spacing w:line="440" w:lineRule="atLeast"/>
        <w:rPr>
          <w:rFonts w:hint="eastAsia" w:ascii="宋体" w:hAnsi="宋体" w:cs="宋体"/>
          <w:b/>
          <w:bCs/>
          <w:color w:val="auto"/>
          <w:sz w:val="24"/>
          <w:highlight w:val="none"/>
        </w:rPr>
      </w:pPr>
      <w:bookmarkStart w:id="17" w:name="_Toc35393624"/>
      <w:bookmarkStart w:id="18" w:name="_Toc28359005"/>
      <w:bookmarkStart w:id="19" w:name="_Toc28359082"/>
      <w:bookmarkStart w:id="20" w:name="_Toc35393793"/>
      <w:r>
        <w:rPr>
          <w:rFonts w:hint="eastAsia" w:ascii="宋体" w:hAnsi="宋体" w:cs="宋体"/>
          <w:b/>
          <w:bCs/>
          <w:color w:val="auto"/>
          <w:sz w:val="24"/>
          <w:highlight w:val="none"/>
        </w:rPr>
        <w:t>四、</w:t>
      </w:r>
      <w:bookmarkEnd w:id="17"/>
      <w:bookmarkEnd w:id="18"/>
      <w:bookmarkEnd w:id="19"/>
      <w:bookmarkEnd w:id="20"/>
      <w:r>
        <w:rPr>
          <w:rFonts w:hint="eastAsia" w:ascii="宋体" w:hAnsi="宋体" w:cs="宋体"/>
          <w:b/>
          <w:bCs/>
          <w:color w:val="auto"/>
          <w:sz w:val="24"/>
          <w:highlight w:val="none"/>
        </w:rPr>
        <w:t>投标文件提交</w:t>
      </w:r>
    </w:p>
    <w:p>
      <w:pPr>
        <w:spacing w:line="440" w:lineRule="atLeast"/>
        <w:ind w:firstLine="480" w:firstLineChars="200"/>
        <w:rPr>
          <w:rFonts w:hint="eastAsia" w:ascii="宋体" w:hAnsi="宋体" w:cs="宋体"/>
          <w:color w:val="auto"/>
          <w:sz w:val="24"/>
          <w:highlight w:val="none"/>
          <w:u w:val="single"/>
        </w:rPr>
      </w:pPr>
      <w:bookmarkStart w:id="21" w:name="_Toc28359084"/>
      <w:bookmarkStart w:id="22" w:name="_Toc35393625"/>
      <w:bookmarkStart w:id="23" w:name="_Toc35393794"/>
      <w:bookmarkStart w:id="24" w:name="_Toc28359007"/>
      <w:r>
        <w:rPr>
          <w:rFonts w:hint="eastAsia" w:ascii="宋体" w:hAnsi="宋体" w:cs="宋体"/>
          <w:bCs/>
          <w:color w:val="auto"/>
          <w:sz w:val="24"/>
          <w:highlight w:val="none"/>
        </w:rPr>
        <w:t>时间：</w:t>
      </w:r>
      <w:r>
        <w:rPr>
          <w:rFonts w:hint="eastAsia" w:ascii="宋体" w:hAnsi="宋体" w:cs="宋体"/>
          <w:bCs/>
          <w:color w:val="auto"/>
          <w:sz w:val="24"/>
          <w:highlight w:val="none"/>
          <w:u w:val="single"/>
        </w:rPr>
        <w:t>2022年</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时</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分</w:t>
      </w:r>
    </w:p>
    <w:p>
      <w:pPr>
        <w:adjustRightInd w:val="0"/>
        <w:snapToGrid w:val="0"/>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地点：</w:t>
      </w:r>
      <w:r>
        <w:rPr>
          <w:rFonts w:hint="eastAsia" w:ascii="宋体" w:hAnsi="宋体" w:cs="宋体"/>
          <w:color w:val="auto"/>
          <w:sz w:val="24"/>
          <w:highlight w:val="none"/>
          <w:u w:val="single"/>
        </w:rPr>
        <w:t>本项目为全流程电子化项目，申请人需要提交电子投标文件，电子投标文件必须用数字证书 CA 锁加密后在投标文件提交截止时间前，通过网络上传至 “政采云” 平台。</w:t>
      </w:r>
    </w:p>
    <w:p>
      <w:pPr>
        <w:spacing w:line="440" w:lineRule="atLeast"/>
        <w:rPr>
          <w:rFonts w:hint="eastAsia" w:ascii="宋体" w:hAnsi="宋体" w:cs="宋体"/>
          <w:b/>
          <w:bCs/>
          <w:color w:val="auto"/>
          <w:sz w:val="24"/>
          <w:highlight w:val="none"/>
        </w:rPr>
      </w:pPr>
      <w:r>
        <w:rPr>
          <w:rFonts w:hint="eastAsia" w:ascii="宋体" w:hAnsi="宋体" w:cs="宋体"/>
          <w:b/>
          <w:bCs/>
          <w:color w:val="auto"/>
          <w:sz w:val="24"/>
          <w:highlight w:val="none"/>
        </w:rPr>
        <w:t>五、开启</w:t>
      </w:r>
    </w:p>
    <w:p>
      <w:pPr>
        <w:adjustRightInd w:val="0"/>
        <w:snapToGrid w:val="0"/>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时间：</w:t>
      </w:r>
      <w:r>
        <w:rPr>
          <w:rFonts w:hint="eastAsia" w:ascii="宋体" w:hAnsi="宋体" w:cs="宋体"/>
          <w:bCs/>
          <w:color w:val="auto"/>
          <w:sz w:val="24"/>
          <w:highlight w:val="none"/>
          <w:u w:val="single"/>
        </w:rPr>
        <w:t>2022年</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月</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时</w:t>
      </w:r>
      <w:r>
        <w:rPr>
          <w:rFonts w:hint="eastAsia" w:ascii="宋体" w:hAnsi="宋体" w:cs="宋体"/>
          <w:bCs/>
          <w:color w:val="auto"/>
          <w:sz w:val="24"/>
          <w:highlight w:val="none"/>
          <w:u w:val="single"/>
          <w:lang w:val="en-US" w:eastAsia="zh-CN"/>
        </w:rPr>
        <w:t xml:space="preserve">   </w:t>
      </w:r>
      <w:r>
        <w:rPr>
          <w:rFonts w:hint="eastAsia" w:ascii="宋体" w:hAnsi="宋体" w:cs="宋体"/>
          <w:bCs/>
          <w:color w:val="auto"/>
          <w:sz w:val="24"/>
          <w:highlight w:val="none"/>
          <w:u w:val="single"/>
        </w:rPr>
        <w:t>分</w:t>
      </w:r>
      <w:r>
        <w:rPr>
          <w:rFonts w:hint="eastAsia" w:ascii="宋体" w:hAnsi="宋体" w:cs="宋体"/>
          <w:color w:val="auto"/>
          <w:sz w:val="24"/>
          <w:highlight w:val="none"/>
        </w:rPr>
        <w:t>（北京时间）</w:t>
      </w:r>
    </w:p>
    <w:p>
      <w:pPr>
        <w:adjustRightInd w:val="0"/>
        <w:snapToGrid w:val="0"/>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地点：</w:t>
      </w:r>
      <w:r>
        <w:rPr>
          <w:rFonts w:hint="eastAsia" w:ascii="宋体" w:hAnsi="宋体" w:cs="宋体"/>
          <w:color w:val="auto"/>
          <w:sz w:val="24"/>
          <w:highlight w:val="none"/>
          <w:u w:val="single"/>
        </w:rPr>
        <w:t>在“政采云”平台电子开标大厅开标</w:t>
      </w:r>
    </w:p>
    <w:p>
      <w:pPr>
        <w:spacing w:line="440" w:lineRule="atLeast"/>
        <w:rPr>
          <w:rFonts w:hint="eastAsia" w:ascii="宋体" w:hAnsi="宋体" w:cs="宋体"/>
          <w:b/>
          <w:bCs/>
          <w:color w:val="auto"/>
          <w:sz w:val="24"/>
          <w:highlight w:val="none"/>
        </w:rPr>
      </w:pPr>
      <w:r>
        <w:rPr>
          <w:rFonts w:hint="eastAsia" w:ascii="宋体" w:hAnsi="宋体" w:cs="宋体"/>
          <w:b/>
          <w:bCs/>
          <w:color w:val="auto"/>
          <w:sz w:val="24"/>
          <w:highlight w:val="none"/>
        </w:rPr>
        <w:t>六、公告期限</w:t>
      </w:r>
      <w:bookmarkEnd w:id="21"/>
      <w:bookmarkEnd w:id="22"/>
      <w:bookmarkEnd w:id="23"/>
      <w:bookmarkEnd w:id="24"/>
    </w:p>
    <w:p>
      <w:pPr>
        <w:spacing w:line="440" w:lineRule="atLeas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自本公告发布之日起5个工作日。</w:t>
      </w:r>
    </w:p>
    <w:p>
      <w:pPr>
        <w:spacing w:line="440" w:lineRule="atLeast"/>
        <w:rPr>
          <w:rFonts w:hint="eastAsia" w:ascii="宋体" w:hAnsi="宋体" w:cs="宋体"/>
          <w:b/>
          <w:bCs/>
          <w:color w:val="auto"/>
          <w:sz w:val="24"/>
          <w:highlight w:val="none"/>
        </w:rPr>
      </w:pPr>
      <w:bookmarkStart w:id="25" w:name="_Toc35393795"/>
      <w:bookmarkStart w:id="26" w:name="_Toc35393626"/>
      <w:r>
        <w:rPr>
          <w:rFonts w:hint="eastAsia" w:ascii="宋体" w:hAnsi="宋体" w:cs="宋体"/>
          <w:b/>
          <w:bCs/>
          <w:color w:val="auto"/>
          <w:sz w:val="24"/>
          <w:highlight w:val="none"/>
        </w:rPr>
        <w:t>七、其他补充事宜</w:t>
      </w:r>
      <w:bookmarkEnd w:id="25"/>
      <w:bookmarkEnd w:id="26"/>
    </w:p>
    <w:p>
      <w:pPr>
        <w:spacing w:line="440" w:lineRule="atLeast"/>
        <w:ind w:firstLine="480" w:firstLineChars="200"/>
        <w:rPr>
          <w:rFonts w:hint="eastAsia" w:ascii="宋体" w:hAnsi="宋体" w:cs="宋体"/>
          <w:color w:val="auto"/>
          <w:sz w:val="24"/>
          <w:highlight w:val="none"/>
        </w:rPr>
      </w:pPr>
      <w:bookmarkStart w:id="27" w:name="_Toc35393627"/>
      <w:bookmarkStart w:id="28" w:name="_Toc28359085"/>
      <w:bookmarkStart w:id="29" w:name="_Toc28359008"/>
      <w:bookmarkStart w:id="30" w:name="_Toc35393796"/>
      <w:r>
        <w:rPr>
          <w:rFonts w:hint="eastAsia" w:ascii="宋体" w:hAnsi="宋体" w:cs="宋体"/>
          <w:color w:val="auto"/>
          <w:sz w:val="24"/>
          <w:highlight w:val="none"/>
        </w:rPr>
        <w:t>1. 投标保证金：本项目不需要缴纳投标保证金。</w:t>
      </w:r>
    </w:p>
    <w:p>
      <w:pPr>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本项目需要落实的政府采购政策：《政府采购促进中小企业发展暂行办法》(财库〔2020〕46号)、《三部门联合发布关于促进残疾人就业政府采购政策的通知》（财库〔2017〕141号）、《关于政府采购支持监狱企业发展有关问题的通知》(财库【2014】68号文)，详见招标文件。</w:t>
      </w:r>
    </w:p>
    <w:p>
      <w:pPr>
        <w:spacing w:line="440" w:lineRule="atLeast"/>
        <w:ind w:firstLine="470" w:firstLineChars="196"/>
        <w:rPr>
          <w:rFonts w:hint="eastAsia" w:ascii="宋体" w:hAnsi="宋体" w:eastAsia="宋体" w:cs="宋体"/>
          <w:color w:val="auto"/>
          <w:sz w:val="24"/>
          <w:highlight w:val="none"/>
        </w:rPr>
      </w:pPr>
      <w:r>
        <w:rPr>
          <w:rFonts w:hint="eastAsia" w:ascii="宋体" w:hAnsi="宋体" w:cs="宋体"/>
          <w:color w:val="auto"/>
          <w:sz w:val="24"/>
          <w:highlight w:val="none"/>
        </w:rPr>
        <w:t>3. 网上公告媒体查询：中国政府采购网（www.ccgp.gov.cn）、广西壮族自治区政府采购网（zfcg.gxzf.gov.cn）、全国公共资源交易平台（广西·河池）网（htt</w:t>
      </w:r>
      <w:r>
        <w:rPr>
          <w:rFonts w:hint="eastAsia" w:ascii="宋体" w:hAnsi="宋体" w:eastAsia="宋体" w:cs="宋体"/>
          <w:color w:val="auto"/>
          <w:sz w:val="24"/>
          <w:highlight w:val="none"/>
        </w:rPr>
        <w:t>p://ggzy.jgswj.gxzf.gov.cn/hcggzy/）。</w:t>
      </w:r>
    </w:p>
    <w:p>
      <w:pPr>
        <w:spacing w:line="440" w:lineRule="atLeas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4.监督部门: </w:t>
      </w:r>
      <w:r>
        <w:rPr>
          <w:rFonts w:hint="eastAsia" w:ascii="宋体" w:hAnsi="宋体" w:cs="宋体"/>
          <w:color w:val="auto"/>
          <w:sz w:val="24"/>
          <w:highlight w:val="none"/>
          <w:lang w:val="en-US" w:eastAsia="zh-CN"/>
        </w:rPr>
        <w:t>河池市财政局政府采购监督管理科</w:t>
      </w:r>
      <w:r>
        <w:rPr>
          <w:rFonts w:hint="eastAsia" w:ascii="宋体" w:hAnsi="宋体" w:eastAsia="宋体" w:cs="宋体"/>
          <w:color w:val="auto"/>
          <w:sz w:val="24"/>
          <w:highlight w:val="none"/>
          <w:lang w:val="en-US" w:eastAsia="zh-CN"/>
        </w:rPr>
        <w:t>   电话：0778-2270025</w:t>
      </w:r>
      <w:r>
        <w:rPr>
          <w:rFonts w:hint="eastAsia" w:ascii="宋体" w:hAnsi="宋体" w:eastAsia="宋体" w:cs="宋体"/>
          <w:color w:val="auto"/>
          <w:sz w:val="24"/>
          <w:highlight w:val="none"/>
        </w:rPr>
        <w:t xml:space="preserve">    </w:t>
      </w:r>
    </w:p>
    <w:p>
      <w:pPr>
        <w:spacing w:line="440" w:lineRule="atLeast"/>
        <w:ind w:firstLine="470" w:firstLineChars="196"/>
        <w:rPr>
          <w:rFonts w:hint="eastAsia" w:ascii="宋体" w:hAnsi="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.单位负责人为同一人或者存在直接控股、管理关系的不同供应商，</w:t>
      </w:r>
      <w:r>
        <w:rPr>
          <w:rFonts w:hint="eastAsia" w:ascii="宋体" w:hAnsi="宋体" w:cs="宋体"/>
          <w:color w:val="auto"/>
          <w:sz w:val="24"/>
          <w:highlight w:val="none"/>
        </w:rPr>
        <w:t>不得参加同一合同项下的政府采购活动，除单一来源采购项目外，为采购项目提供整体设计、规范编制或者项目管理、监理、检测等服务的供应商，不得再参加该采购项目的其他采购活动；</w:t>
      </w:r>
    </w:p>
    <w:p>
      <w:pPr>
        <w:spacing w:line="440" w:lineRule="atLeast"/>
        <w:ind w:firstLine="480" w:firstLineChars="200"/>
        <w:rPr>
          <w:rFonts w:hint="eastAsia"/>
          <w:color w:val="auto"/>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atLeast"/>
        <w:ind w:firstLine="470" w:firstLineChars="196"/>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.在线投标响应（电子投标）说明：</w:t>
      </w:r>
    </w:p>
    <w:p>
      <w:pPr>
        <w:spacing w:line="440" w:lineRule="atLeast"/>
        <w:ind w:left="239" w:leftChars="114" w:firstLine="240" w:firstLineChars="100"/>
        <w:rPr>
          <w:rFonts w:hint="eastAsia" w:ascii="宋体" w:hAnsi="宋体" w:cs="宋体"/>
          <w:color w:val="auto"/>
          <w:sz w:val="24"/>
          <w:highlight w:val="none"/>
        </w:rPr>
      </w:pPr>
      <w:r>
        <w:rPr>
          <w:rFonts w:hint="eastAsia" w:ascii="宋体" w:hAnsi="宋体" w:cs="宋体"/>
          <w:color w:val="auto"/>
          <w:sz w:val="24"/>
          <w:highlight w:val="none"/>
        </w:rPr>
        <w:t>（1）本项目通过政采云平台实行在线投标响应（电子投标），供应商需要先安装“政采云电子交易客户端”，并按照招标文件和政采云平台的要求，通过“政采云电子交易客户端”编制并加密投标文件后在竞标截止时间前通过网络上传至“政采云”平台，供应商未按规定编制并加密的投标文件，政采云平台将予以拒收。</w:t>
      </w:r>
      <w:r>
        <w:rPr>
          <w:rFonts w:hint="eastAsia" w:ascii="宋体" w:hAnsi="宋体" w:cs="宋体"/>
          <w:b/>
          <w:color w:val="auto"/>
          <w:sz w:val="24"/>
          <w:highlight w:val="none"/>
        </w:rPr>
        <w:t>供应商在“政采云”平台提交电子版</w:t>
      </w:r>
      <w:r>
        <w:rPr>
          <w:rFonts w:hint="eastAsia" w:ascii="宋体" w:hAnsi="宋体" w:cs="宋体"/>
          <w:color w:val="auto"/>
          <w:sz w:val="24"/>
          <w:highlight w:val="none"/>
        </w:rPr>
        <w:t>投标文件</w:t>
      </w:r>
      <w:r>
        <w:rPr>
          <w:rFonts w:hint="eastAsia" w:ascii="宋体" w:hAnsi="宋体" w:cs="宋体"/>
          <w:b/>
          <w:color w:val="auto"/>
          <w:sz w:val="24"/>
          <w:highlight w:val="none"/>
        </w:rPr>
        <w:t>时，请填写参加远程开标活动经办人联系方式</w:t>
      </w:r>
      <w:r>
        <w:rPr>
          <w:rFonts w:hint="eastAsia" w:ascii="宋体" w:hAnsi="宋体" w:cs="宋体"/>
          <w:color w:val="auto"/>
          <w:sz w:val="24"/>
          <w:highlight w:val="none"/>
        </w:rPr>
        <w:t>，具体操作流程参考《政府采购项目电子交易管理操作指南-供应商》。</w:t>
      </w:r>
    </w:p>
    <w:p>
      <w:pPr>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 “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为确保网上操作合法、有效和安全，供应商应当在投标文件提交截止时间前完成在“政府采购云平台”的身份认证，确保在电子投标过程中能够对相关数据电文进行加密和使用电子签章。使用“政采云电子交易客户端”需要提前申领CA数字证书，申领流程请自行前往相关网站进行查阅（完成CA数字证书办理预计一周左右，建议供应商获取招标文件后立即办理）。</w:t>
      </w:r>
    </w:p>
    <w:p>
      <w:pPr>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供应商应当在投标文件提交截止时间前，将生成的“电子加密投标文件”上传提交至政采云平台。投标文件提交截止时间前可以补充、修改或者撤回电子投标文件。补充或者修改电子投标文件的，应当先行撤回原文件，补充、修改后重新传输递交，投标文件提交截止时间前未完成传输的，视为撤回投标文件。</w:t>
      </w:r>
    </w:p>
    <w:p>
      <w:pPr>
        <w:spacing w:line="440" w:lineRule="atLeas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投标文件提交截止时间后，政采云（电子交易平台）自动提取所有投标文件，各供应商须在提交投标文件截止后30分钟内对上传政采云的投标文件进行解密，所有供应商在规定的解密时限内解密完成或解密时限到后，采购代理机构开启投标文件；供应商超过解密时限的，系统默认自动放弃。</w:t>
      </w:r>
    </w:p>
    <w:p>
      <w:pPr>
        <w:spacing w:line="440" w:lineRule="atLeast"/>
        <w:ind w:firstLine="472" w:firstLineChars="196"/>
        <w:rPr>
          <w:rFonts w:hint="eastAsia" w:ascii="宋体" w:hAnsi="宋体" w:cs="宋体"/>
          <w:b/>
          <w:bCs/>
          <w:color w:val="auto"/>
          <w:sz w:val="24"/>
          <w:highlight w:val="none"/>
        </w:rPr>
      </w:pP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6</w:t>
      </w:r>
      <w:r>
        <w:rPr>
          <w:rFonts w:hint="eastAsia" w:ascii="宋体" w:hAnsi="宋体" w:cs="宋体"/>
          <w:b/>
          <w:bCs/>
          <w:color w:val="auto"/>
          <w:sz w:val="24"/>
          <w:highlight w:val="none"/>
        </w:rPr>
        <w:t>）通过“政府采购云平台”上传递交的“电子加密投标文件”无法解密成功的，经项目归属监督部门备案后，投标人通过邮件或其他方式提交电子备份投标文件（系统生成投标文件时，生成两份，一份是电子加密投标文件，一份是电子备份投标文件；提供的电子备份投标文件要跟上传的电子加密投标文件是同一份，否则系统也不支持进行异常解密）。能够异常解密的前提，是有投标人已上传了电子加密投标文件且无法按时解密投标文件。</w:t>
      </w:r>
    </w:p>
    <w:p>
      <w:pPr>
        <w:spacing w:line="440" w:lineRule="atLeast"/>
        <w:ind w:firstLine="470" w:firstLineChars="196"/>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)通过政采云平台上传提交的电子加密投标文件无法按时解密且无法通过政采云“异常处理”端口处理的视为投标文件撤回。</w:t>
      </w:r>
    </w:p>
    <w:p>
      <w:pPr>
        <w:spacing w:line="440" w:lineRule="atLeast"/>
        <w:rPr>
          <w:rFonts w:hint="eastAsia" w:ascii="宋体" w:hAnsi="宋体" w:cs="宋体"/>
          <w:b/>
          <w:bCs/>
          <w:color w:val="auto"/>
          <w:sz w:val="24"/>
          <w:highlight w:val="none"/>
        </w:rPr>
      </w:pPr>
      <w:r>
        <w:rPr>
          <w:rFonts w:hint="eastAsia" w:ascii="宋体" w:hAnsi="宋体" w:cs="宋体"/>
          <w:b/>
          <w:bCs/>
          <w:color w:val="auto"/>
          <w:sz w:val="24"/>
          <w:highlight w:val="none"/>
        </w:rPr>
        <w:t>八、对本次招标提出询问，请按以下方式联系。</w:t>
      </w:r>
      <w:bookmarkEnd w:id="27"/>
      <w:bookmarkEnd w:id="28"/>
      <w:bookmarkEnd w:id="29"/>
      <w:bookmarkEnd w:id="30"/>
    </w:p>
    <w:p>
      <w:pPr>
        <w:spacing w:line="440" w:lineRule="atLeast"/>
        <w:ind w:firstLine="484" w:firstLineChars="202"/>
        <w:jc w:val="left"/>
        <w:rPr>
          <w:rFonts w:hint="eastAsia" w:ascii="宋体" w:hAnsi="宋体" w:cs="宋体"/>
          <w:color w:val="auto"/>
          <w:sz w:val="24"/>
          <w:highlight w:val="none"/>
        </w:rPr>
      </w:pPr>
      <w:r>
        <w:rPr>
          <w:rFonts w:hint="eastAsia" w:ascii="宋体" w:hAnsi="宋体" w:cs="宋体"/>
          <w:color w:val="auto"/>
          <w:sz w:val="24"/>
          <w:highlight w:val="none"/>
        </w:rPr>
        <w:t>1.采购人信息</w:t>
      </w:r>
    </w:p>
    <w:p>
      <w:pPr>
        <w:spacing w:line="440" w:lineRule="atLeast"/>
        <w:ind w:firstLine="484" w:firstLineChars="202"/>
        <w:jc w:val="left"/>
        <w:rPr>
          <w:rFonts w:hint="eastAsia"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河池市机关事务服务中心</w:t>
      </w:r>
      <w:r>
        <w:rPr>
          <w:rFonts w:hint="eastAsia" w:ascii="宋体" w:hAnsi="宋体" w:cs="宋体"/>
          <w:color w:val="auto"/>
          <w:sz w:val="24"/>
          <w:highlight w:val="none"/>
        </w:rPr>
        <w:t>　　　　　　　　　</w:t>
      </w:r>
    </w:p>
    <w:p>
      <w:pPr>
        <w:spacing w:line="440" w:lineRule="atLeast"/>
        <w:ind w:firstLine="484" w:firstLineChars="202"/>
        <w:jc w:val="left"/>
        <w:rPr>
          <w:rFonts w:hint="eastAsia" w:ascii="宋体" w:hAnsi="宋体" w:eastAsia="宋体" w:cs="宋体"/>
          <w:color w:val="auto"/>
          <w:sz w:val="24"/>
          <w:highlight w:val="none"/>
          <w:lang w:eastAsia="zh-CN"/>
        </w:rPr>
      </w:pPr>
      <w:bookmarkStart w:id="31" w:name="_Toc28359009"/>
      <w:bookmarkStart w:id="32" w:name="_Toc28359086"/>
      <w:r>
        <w:rPr>
          <w:rFonts w:hint="eastAsia" w:ascii="宋体" w:hAnsi="宋体" w:cs="宋体"/>
          <w:color w:val="auto"/>
          <w:sz w:val="24"/>
          <w:highlight w:val="none"/>
        </w:rPr>
        <w:t xml:space="preserve">地  址：河池市宜州区庆远镇中山大道6号市行政办公中心  </w:t>
      </w:r>
      <w:r>
        <w:rPr>
          <w:rFonts w:hint="eastAsia" w:ascii="宋体" w:hAnsi="宋体" w:cs="宋体"/>
          <w:color w:val="auto"/>
          <w:sz w:val="24"/>
          <w:highlight w:val="none"/>
          <w:lang w:val="en-US" w:eastAsia="zh-CN"/>
        </w:rPr>
        <w:t xml:space="preserve"> </w:t>
      </w:r>
    </w:p>
    <w:p>
      <w:pPr>
        <w:spacing w:line="440" w:lineRule="atLeast"/>
        <w:ind w:firstLine="484" w:firstLineChars="202"/>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联系人：韦信崖</w:t>
      </w:r>
      <w:r>
        <w:rPr>
          <w:rFonts w:hint="eastAsia" w:ascii="宋体" w:hAnsi="宋体" w:cs="宋体"/>
          <w:color w:val="auto"/>
          <w:sz w:val="24"/>
          <w:highlight w:val="none"/>
          <w:lang w:val="en-US" w:eastAsia="zh-CN"/>
        </w:rPr>
        <w:t xml:space="preserve"> </w:t>
      </w:r>
    </w:p>
    <w:p>
      <w:pPr>
        <w:spacing w:line="440" w:lineRule="atLeast"/>
        <w:ind w:firstLine="484" w:firstLineChars="202"/>
        <w:jc w:val="left"/>
        <w:rPr>
          <w:rFonts w:hint="eastAsia" w:ascii="宋体" w:hAnsi="宋体" w:cs="宋体"/>
          <w:color w:val="auto"/>
          <w:sz w:val="24"/>
          <w:highlight w:val="none"/>
        </w:rPr>
      </w:pPr>
      <w:r>
        <w:rPr>
          <w:rFonts w:hint="eastAsia" w:ascii="宋体" w:hAnsi="宋体" w:cs="宋体"/>
          <w:color w:val="auto"/>
          <w:sz w:val="24"/>
          <w:highlight w:val="none"/>
        </w:rPr>
        <w:t>电  话：0778</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3589708</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p>
    <w:bookmarkEnd w:id="31"/>
    <w:bookmarkEnd w:id="32"/>
    <w:p>
      <w:pPr>
        <w:pStyle w:val="3"/>
        <w:spacing w:line="440" w:lineRule="atLeast"/>
        <w:ind w:firstLine="480" w:firstLineChars="200"/>
        <w:rPr>
          <w:rFonts w:hint="eastAsia" w:hAnsi="宋体" w:cs="宋体"/>
          <w:bCs/>
          <w:color w:val="auto"/>
          <w:sz w:val="24"/>
          <w:szCs w:val="24"/>
          <w:highlight w:val="none"/>
        </w:rPr>
      </w:pPr>
      <w:r>
        <w:rPr>
          <w:rFonts w:hint="eastAsia" w:hAnsi="宋体" w:cs="宋体"/>
          <w:bCs/>
          <w:color w:val="auto"/>
          <w:sz w:val="24"/>
          <w:szCs w:val="24"/>
          <w:highlight w:val="none"/>
        </w:rPr>
        <w:t>2.采购代理机构名称：</w:t>
      </w:r>
      <w:r>
        <w:rPr>
          <w:rFonts w:hint="eastAsia" w:hAnsi="宋体" w:cs="宋体"/>
          <w:bCs/>
          <w:color w:val="auto"/>
          <w:sz w:val="24"/>
          <w:szCs w:val="24"/>
          <w:highlight w:val="none"/>
          <w:lang w:eastAsia="zh-CN"/>
        </w:rPr>
        <w:t>广西德胜工程项目管理有限公司</w:t>
      </w:r>
      <w:r>
        <w:rPr>
          <w:rFonts w:hint="eastAsia" w:hAnsi="宋体" w:cs="宋体"/>
          <w:bCs/>
          <w:color w:val="auto"/>
          <w:sz w:val="24"/>
          <w:szCs w:val="24"/>
          <w:highlight w:val="none"/>
        </w:rPr>
        <w:t xml:space="preserve"> </w:t>
      </w:r>
    </w:p>
    <w:p>
      <w:pPr>
        <w:pStyle w:val="3"/>
        <w:spacing w:line="440" w:lineRule="atLeast"/>
        <w:ind w:firstLine="480" w:firstLineChars="200"/>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rPr>
        <w:t xml:space="preserve">地址： </w:t>
      </w:r>
      <w:r>
        <w:rPr>
          <w:rFonts w:hint="eastAsia" w:hAnsi="宋体" w:cs="宋体"/>
          <w:bCs/>
          <w:color w:val="auto"/>
          <w:sz w:val="24"/>
          <w:szCs w:val="24"/>
          <w:highlight w:val="none"/>
          <w:lang w:eastAsia="zh-CN"/>
        </w:rPr>
        <w:t xml:space="preserve">河池市金城江区城西大道状元西苑一单元1102房 </w:t>
      </w:r>
    </w:p>
    <w:p>
      <w:pPr>
        <w:pStyle w:val="3"/>
        <w:spacing w:line="440" w:lineRule="atLeast"/>
        <w:ind w:firstLine="480" w:firstLineChars="200"/>
        <w:rPr>
          <w:rFonts w:hint="eastAsia" w:hAnsi="宋体" w:cs="宋体"/>
          <w:bCs/>
          <w:color w:val="auto"/>
          <w:sz w:val="24"/>
          <w:szCs w:val="24"/>
          <w:highlight w:val="none"/>
        </w:rPr>
      </w:pPr>
      <w:r>
        <w:rPr>
          <w:rFonts w:hint="eastAsia" w:hAnsi="宋体" w:cs="宋体"/>
          <w:bCs/>
          <w:color w:val="auto"/>
          <w:sz w:val="24"/>
          <w:szCs w:val="24"/>
          <w:highlight w:val="none"/>
        </w:rPr>
        <w:t>项目联系人：</w:t>
      </w:r>
      <w:r>
        <w:rPr>
          <w:rFonts w:hint="eastAsia" w:hAnsi="宋体" w:cs="宋体"/>
          <w:bCs/>
          <w:color w:val="auto"/>
          <w:sz w:val="24"/>
          <w:szCs w:val="24"/>
          <w:highlight w:val="none"/>
          <w:lang w:eastAsia="zh-CN"/>
        </w:rPr>
        <w:t>唐冬梅</w:t>
      </w:r>
      <w:r>
        <w:rPr>
          <w:rFonts w:hint="eastAsia" w:hAnsi="宋体" w:cs="宋体"/>
          <w:bCs/>
          <w:color w:val="auto"/>
          <w:sz w:val="24"/>
          <w:szCs w:val="24"/>
          <w:highlight w:val="none"/>
        </w:rPr>
        <w:t xml:space="preserve">   联系电话:0778-2119188</w:t>
      </w:r>
    </w:p>
    <w:p>
      <w:pPr>
        <w:pStyle w:val="3"/>
        <w:spacing w:line="440" w:lineRule="atLeast"/>
        <w:ind w:firstLine="480" w:firstLineChars="200"/>
        <w:rPr>
          <w:rFonts w:hint="eastAsia" w:hAnsi="宋体" w:cs="宋体"/>
          <w:bCs/>
          <w:color w:val="auto"/>
          <w:sz w:val="24"/>
          <w:szCs w:val="24"/>
          <w:highlight w:val="none"/>
        </w:rPr>
      </w:pPr>
      <w:r>
        <w:rPr>
          <w:rFonts w:hint="eastAsia" w:hAnsi="宋体" w:cs="宋体"/>
          <w:bCs/>
          <w:color w:val="auto"/>
          <w:sz w:val="24"/>
          <w:szCs w:val="24"/>
          <w:highlight w:val="none"/>
        </w:rPr>
        <w:t>3.项目联系方式：</w:t>
      </w:r>
    </w:p>
    <w:p>
      <w:pPr>
        <w:pStyle w:val="3"/>
        <w:spacing w:line="440" w:lineRule="atLeast"/>
        <w:ind w:firstLine="480" w:firstLineChars="200"/>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rPr>
        <w:t>项目联系人：</w:t>
      </w:r>
      <w:r>
        <w:rPr>
          <w:rFonts w:hint="eastAsia" w:hAnsi="宋体" w:cs="宋体"/>
          <w:bCs/>
          <w:color w:val="auto"/>
          <w:sz w:val="24"/>
          <w:szCs w:val="24"/>
          <w:highlight w:val="none"/>
          <w:lang w:eastAsia="zh-CN"/>
        </w:rPr>
        <w:t>唐冬梅</w:t>
      </w:r>
    </w:p>
    <w:p>
      <w:pPr>
        <w:pStyle w:val="3"/>
        <w:spacing w:line="440" w:lineRule="atLeast"/>
        <w:ind w:firstLine="480" w:firstLineChars="200"/>
        <w:rPr>
          <w:rFonts w:hint="eastAsia" w:hAnsi="宋体" w:cs="宋体"/>
          <w:bCs/>
          <w:color w:val="auto"/>
          <w:sz w:val="24"/>
          <w:szCs w:val="24"/>
          <w:highlight w:val="none"/>
        </w:rPr>
      </w:pPr>
      <w:r>
        <w:rPr>
          <w:rFonts w:hint="eastAsia" w:hAnsi="宋体" w:cs="宋体"/>
          <w:bCs/>
          <w:color w:val="auto"/>
          <w:sz w:val="24"/>
          <w:szCs w:val="24"/>
          <w:highlight w:val="none"/>
        </w:rPr>
        <w:t>联系方式：0778-2119188</w:t>
      </w:r>
    </w:p>
    <w:p>
      <w:pPr>
        <w:spacing w:line="360" w:lineRule="auto"/>
        <w:jc w:val="right"/>
        <w:rPr>
          <w:rFonts w:hint="eastAsia" w:ascii="宋体" w:hAnsi="宋体" w:cs="宋体"/>
          <w:bCs/>
          <w:color w:val="auto"/>
          <w:sz w:val="24"/>
          <w:highlight w:val="none"/>
        </w:rPr>
      </w:pPr>
    </w:p>
    <w:p>
      <w:pPr>
        <w:spacing w:line="360" w:lineRule="auto"/>
        <w:jc w:val="right"/>
        <w:rPr>
          <w:rFonts w:hint="eastAsia" w:ascii="宋体" w:hAnsi="宋体" w:eastAsia="宋体"/>
          <w:color w:val="auto"/>
          <w:sz w:val="24"/>
          <w:highlight w:val="none"/>
          <w:lang w:eastAsia="zh-CN"/>
        </w:rPr>
      </w:pPr>
      <w:r>
        <w:rPr>
          <w:rFonts w:hint="eastAsia" w:ascii="宋体" w:hAnsi="宋体" w:cs="宋体"/>
          <w:bCs/>
          <w:color w:val="auto"/>
          <w:sz w:val="24"/>
          <w:highlight w:val="none"/>
          <w:lang w:eastAsia="zh-CN"/>
        </w:rPr>
        <w:t>广西德胜工程项目管理有限公司</w:t>
      </w:r>
    </w:p>
    <w:p>
      <w:pPr>
        <w:spacing w:line="360" w:lineRule="auto"/>
        <w:jc w:val="right"/>
        <w:rPr>
          <w:rFonts w:ascii="宋体" w:hAnsi="宋体"/>
          <w:color w:val="auto"/>
          <w:sz w:val="24"/>
          <w:highlight w:val="none"/>
        </w:rPr>
      </w:pPr>
      <w:r>
        <w:rPr>
          <w:rFonts w:hint="eastAsia" w:ascii="宋体" w:hAnsi="宋体"/>
          <w:color w:val="auto"/>
          <w:sz w:val="24"/>
          <w:highlight w:val="none"/>
        </w:rPr>
        <w:t>2022年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p>
      <w:pPr>
        <w:pStyle w:val="4"/>
        <w:keepNext w:val="0"/>
        <w:keepLines w:val="0"/>
        <w:tabs>
          <w:tab w:val="left" w:pos="0"/>
          <w:tab w:val="left" w:pos="3165"/>
          <w:tab w:val="center" w:pos="4153"/>
        </w:tabs>
        <w:autoSpaceDE w:val="0"/>
        <w:autoSpaceDN w:val="0"/>
        <w:adjustRightInd w:val="0"/>
        <w:spacing w:before="0" w:after="0" w:line="360" w:lineRule="auto"/>
        <w:jc w:val="center"/>
        <w:rPr>
          <w:rFonts w:hint="eastAsia"/>
          <w:color w:val="auto"/>
          <w:highlight w:val="none"/>
        </w:rPr>
      </w:pPr>
      <w:r>
        <w:rPr>
          <w:rFonts w:ascii="仿宋_GB2312" w:hAnsi="宋体" w:eastAsia="仿宋_GB2312"/>
          <w:color w:val="auto"/>
          <w:sz w:val="24"/>
          <w:szCs w:val="20"/>
          <w:highlight w:val="none"/>
        </w:rPr>
        <w:br w:type="page"/>
      </w:r>
      <w:bookmarkStart w:id="33" w:name="_Toc4079"/>
      <w:r>
        <w:rPr>
          <w:rFonts w:hint="eastAsia"/>
          <w:color w:val="auto"/>
          <w:highlight w:val="none"/>
        </w:rPr>
        <w:t>第二章  采购需求</w:t>
      </w:r>
      <w:bookmarkEnd w:id="33"/>
    </w:p>
    <w:p>
      <w:pPr>
        <w:spacing w:line="360" w:lineRule="exact"/>
        <w:rPr>
          <w:rFonts w:ascii="宋体" w:hAnsi="宋体"/>
          <w:color w:val="000000"/>
          <w:szCs w:val="21"/>
        </w:rPr>
      </w:pPr>
      <w:bookmarkStart w:id="34" w:name="_Toc254970490"/>
      <w:bookmarkStart w:id="35" w:name="_Toc254970631"/>
      <w:r>
        <w:rPr>
          <w:rFonts w:hint="eastAsia" w:ascii="宋体" w:hAnsi="宋体"/>
          <w:color w:val="000000"/>
          <w:szCs w:val="21"/>
        </w:rPr>
        <w:t>说明：</w:t>
      </w:r>
    </w:p>
    <w:bookmarkEnd w:id="34"/>
    <w:bookmarkEnd w:id="35"/>
    <w:p>
      <w:pPr>
        <w:spacing w:line="360" w:lineRule="auto"/>
        <w:ind w:firstLine="420" w:firstLineChars="200"/>
        <w:rPr>
          <w:rFonts w:ascii="宋体" w:hAnsi="宋体"/>
          <w:color w:val="000000"/>
          <w:szCs w:val="21"/>
        </w:rPr>
      </w:pPr>
      <w:r>
        <w:rPr>
          <w:rFonts w:hint="eastAsia" w:ascii="宋体" w:hAnsi="宋体"/>
          <w:color w:val="000000"/>
          <w:szCs w:val="21"/>
        </w:rPr>
        <w:t>1、采购文件中标注“</w:t>
      </w:r>
      <w:r>
        <w:rPr>
          <w:rFonts w:hint="eastAsia" w:ascii="宋体" w:hAnsi="宋体"/>
          <w:color w:val="000000"/>
          <w:sz w:val="24"/>
        </w:rPr>
        <w:t>▲</w:t>
      </w:r>
      <w:r>
        <w:rPr>
          <w:rFonts w:hint="eastAsia" w:ascii="宋体" w:hAnsi="宋体"/>
          <w:color w:val="000000"/>
          <w:szCs w:val="21"/>
        </w:rPr>
        <w:t>”号的条款为实质性条款或指标、要求，必须满足或优于，否则投标无效。</w:t>
      </w:r>
    </w:p>
    <w:p>
      <w:pPr>
        <w:spacing w:line="360" w:lineRule="auto"/>
        <w:ind w:firstLine="420" w:firstLineChars="200"/>
        <w:rPr>
          <w:rFonts w:ascii="宋体" w:hAnsi="宋体"/>
          <w:color w:val="000000"/>
          <w:szCs w:val="21"/>
        </w:rPr>
      </w:pPr>
      <w:r>
        <w:rPr>
          <w:rFonts w:hint="eastAsia" w:ascii="宋体" w:hAnsi="宋体"/>
          <w:color w:val="000000"/>
          <w:szCs w:val="21"/>
        </w:rPr>
        <w:t>2、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spacing w:line="360" w:lineRule="auto"/>
        <w:ind w:firstLine="420" w:firstLineChars="200"/>
        <w:rPr>
          <w:rFonts w:ascii="宋体" w:hAnsi="宋体"/>
          <w:color w:val="000000"/>
          <w:szCs w:val="21"/>
        </w:rPr>
      </w:pPr>
      <w:r>
        <w:rPr>
          <w:rFonts w:hint="eastAsia" w:ascii="宋体" w:hAnsi="宋体"/>
          <w:color w:val="000000"/>
          <w:szCs w:val="21"/>
        </w:rPr>
        <w:t>3、采购文件中所要求提供的证明材料，如为英文文本的请同时提供中文译本。</w:t>
      </w:r>
    </w:p>
    <w:p>
      <w:pPr>
        <w:spacing w:line="360" w:lineRule="auto"/>
        <w:ind w:firstLine="420" w:firstLineChars="200"/>
        <w:rPr>
          <w:rFonts w:ascii="宋体" w:hAnsi="宋体"/>
          <w:color w:val="000000"/>
          <w:szCs w:val="21"/>
        </w:rPr>
      </w:pPr>
      <w:r>
        <w:rPr>
          <w:rFonts w:hint="eastAsia" w:ascii="宋体" w:hAnsi="宋体"/>
          <w:color w:val="000000"/>
          <w:szCs w:val="21"/>
        </w:rPr>
        <w:t>4、投标人所投标货物或服务如国家有强制性要求的按国家规定执行，并提供相关证明材料。</w:t>
      </w:r>
    </w:p>
    <w:p>
      <w:pPr>
        <w:spacing w:line="360" w:lineRule="auto"/>
        <w:ind w:firstLine="420" w:firstLineChars="200"/>
        <w:rPr>
          <w:rFonts w:ascii="宋体" w:hAnsi="宋体"/>
          <w:color w:val="000000"/>
          <w:szCs w:val="21"/>
        </w:rPr>
      </w:pPr>
      <w:r>
        <w:rPr>
          <w:rFonts w:hint="eastAsia" w:ascii="宋体" w:hAnsi="宋体"/>
          <w:color w:val="000000"/>
          <w:szCs w:val="21"/>
        </w:rPr>
        <w:t>5、本采购需求中技术要求所使用的标准或应用标准如与投标人所执行的标准不一致时，按最新标准或较高标准执行。</w:t>
      </w:r>
    </w:p>
    <w:p>
      <w:pPr>
        <w:ind w:firstLine="422" w:firstLineChars="200"/>
        <w:rPr>
          <w:b/>
          <w:bCs/>
          <w:color w:val="000000"/>
        </w:rPr>
      </w:pPr>
      <w:r>
        <w:rPr>
          <w:rFonts w:hint="eastAsia"/>
          <w:b/>
          <w:bCs/>
          <w:color w:val="000000"/>
        </w:rPr>
        <w:t>6、本项目采购标的所属行业为：其他未列明行业。</w:t>
      </w:r>
    </w:p>
    <w:p>
      <w:pPr>
        <w:spacing w:line="360" w:lineRule="auto"/>
        <w:rPr>
          <w:rFonts w:ascii="宋体" w:hAnsi="宋体"/>
          <w:b/>
          <w:color w:val="000000"/>
          <w:sz w:val="24"/>
        </w:rPr>
      </w:pPr>
      <w:r>
        <w:rPr>
          <w:rFonts w:hint="eastAsia" w:ascii="宋体" w:hAnsi="宋体"/>
          <w:b/>
          <w:color w:val="000000"/>
          <w:sz w:val="24"/>
        </w:rPr>
        <w:t>一、项目总体要求</w:t>
      </w:r>
    </w:p>
    <w:p>
      <w:pPr>
        <w:pStyle w:val="3"/>
        <w:tabs>
          <w:tab w:val="left" w:pos="720"/>
        </w:tabs>
        <w:spacing w:line="360" w:lineRule="auto"/>
        <w:ind w:firstLine="480" w:firstLineChars="200"/>
        <w:rPr>
          <w:rFonts w:hAnsi="宋体"/>
          <w:color w:val="000000"/>
          <w:sz w:val="24"/>
          <w:szCs w:val="24"/>
        </w:rPr>
      </w:pPr>
      <w:r>
        <w:rPr>
          <w:rFonts w:hint="eastAsia" w:hAnsi="宋体"/>
          <w:color w:val="000000"/>
          <w:sz w:val="24"/>
          <w:szCs w:val="24"/>
        </w:rPr>
        <w:t>1.</w:t>
      </w:r>
      <w:r>
        <w:rPr>
          <w:rFonts w:hAnsi="宋体"/>
          <w:color w:val="000000"/>
          <w:sz w:val="24"/>
          <w:szCs w:val="24"/>
        </w:rPr>
        <w:t>投标人一旦参与本次采购活动，即被视为接受了本招标文件的所有内容，如有任何异议，均需在</w:t>
      </w:r>
      <w:r>
        <w:rPr>
          <w:rFonts w:hint="eastAsia" w:hAnsi="宋体"/>
          <w:color w:val="000000"/>
          <w:sz w:val="24"/>
          <w:szCs w:val="24"/>
        </w:rPr>
        <w:t>开标日期三天</w:t>
      </w:r>
      <w:r>
        <w:rPr>
          <w:rFonts w:hAnsi="宋体"/>
          <w:color w:val="000000"/>
          <w:sz w:val="24"/>
          <w:szCs w:val="24"/>
        </w:rPr>
        <w:t xml:space="preserve">前以书面形式提出。 </w:t>
      </w:r>
    </w:p>
    <w:p>
      <w:pPr>
        <w:pStyle w:val="3"/>
        <w:tabs>
          <w:tab w:val="left" w:pos="720"/>
        </w:tabs>
        <w:spacing w:line="360" w:lineRule="auto"/>
        <w:ind w:firstLine="480" w:firstLineChars="200"/>
        <w:rPr>
          <w:rFonts w:hAnsi="宋体"/>
          <w:color w:val="000000"/>
          <w:sz w:val="24"/>
          <w:szCs w:val="24"/>
        </w:rPr>
      </w:pPr>
      <w:r>
        <w:rPr>
          <w:rFonts w:hint="eastAsia" w:hAnsi="宋体"/>
          <w:color w:val="000000"/>
          <w:sz w:val="24"/>
          <w:szCs w:val="24"/>
        </w:rPr>
        <w:t>2.</w:t>
      </w:r>
      <w:r>
        <w:rPr>
          <w:rFonts w:hAnsi="宋体"/>
          <w:color w:val="000000"/>
          <w:sz w:val="24"/>
          <w:szCs w:val="24"/>
        </w:rPr>
        <w:t>投标</w:t>
      </w:r>
      <w:r>
        <w:rPr>
          <w:rFonts w:hint="eastAsia" w:hAnsi="宋体"/>
          <w:color w:val="000000"/>
          <w:sz w:val="24"/>
          <w:szCs w:val="24"/>
        </w:rPr>
        <w:t>方</w:t>
      </w:r>
      <w:r>
        <w:rPr>
          <w:rFonts w:hAnsi="宋体"/>
          <w:color w:val="000000"/>
          <w:sz w:val="24"/>
          <w:szCs w:val="24"/>
        </w:rPr>
        <w:t>须对所投产品、方案、技术、服务等拥有合法的占有和处置权</w:t>
      </w:r>
      <w:r>
        <w:rPr>
          <w:rFonts w:hint="eastAsia" w:hAnsi="宋体"/>
          <w:color w:val="000000"/>
          <w:sz w:val="24"/>
          <w:szCs w:val="24"/>
        </w:rPr>
        <w:t>。</w:t>
      </w:r>
      <w:r>
        <w:rPr>
          <w:rFonts w:hAnsi="宋体"/>
          <w:color w:val="000000"/>
          <w:sz w:val="24"/>
          <w:szCs w:val="24"/>
        </w:rPr>
        <w:t>在法律范围内，如果出现文字、图片、商标和技术等侵权行为而造成的纠纷和产生的一切费用，</w:t>
      </w:r>
      <w:r>
        <w:rPr>
          <w:rFonts w:hint="eastAsia" w:hAnsi="宋体"/>
          <w:color w:val="000000"/>
          <w:sz w:val="24"/>
          <w:szCs w:val="24"/>
        </w:rPr>
        <w:t>招标</w:t>
      </w:r>
      <w:r>
        <w:rPr>
          <w:rFonts w:hAnsi="宋体"/>
          <w:color w:val="000000"/>
          <w:sz w:val="24"/>
          <w:szCs w:val="24"/>
        </w:rPr>
        <w:t>人概不负责，由此给</w:t>
      </w:r>
      <w:r>
        <w:rPr>
          <w:rFonts w:hint="eastAsia" w:hAnsi="宋体"/>
          <w:color w:val="000000"/>
          <w:sz w:val="24"/>
          <w:szCs w:val="24"/>
        </w:rPr>
        <w:t>招标</w:t>
      </w:r>
      <w:r>
        <w:rPr>
          <w:rFonts w:hAnsi="宋体"/>
          <w:color w:val="000000"/>
          <w:sz w:val="24"/>
          <w:szCs w:val="24"/>
        </w:rPr>
        <w:t>人造成损失的，</w:t>
      </w:r>
      <w:r>
        <w:rPr>
          <w:rFonts w:hint="eastAsia" w:hAnsi="宋体"/>
          <w:color w:val="000000"/>
          <w:sz w:val="24"/>
          <w:szCs w:val="24"/>
        </w:rPr>
        <w:t>中标人</w:t>
      </w:r>
      <w:r>
        <w:rPr>
          <w:rFonts w:hAnsi="宋体"/>
          <w:color w:val="000000"/>
          <w:sz w:val="24"/>
          <w:szCs w:val="24"/>
        </w:rPr>
        <w:t>应承担相应后果，并负责赔偿。</w:t>
      </w:r>
      <w:r>
        <w:rPr>
          <w:rFonts w:hint="eastAsia" w:hAnsi="宋体"/>
          <w:color w:val="000000"/>
          <w:sz w:val="24"/>
          <w:szCs w:val="24"/>
        </w:rPr>
        <w:t>中标人</w:t>
      </w:r>
      <w:r>
        <w:rPr>
          <w:rFonts w:hAnsi="宋体"/>
          <w:color w:val="000000"/>
          <w:sz w:val="24"/>
          <w:szCs w:val="24"/>
        </w:rPr>
        <w:t>为执行本项目合同而提供的技术资料等归</w:t>
      </w:r>
      <w:r>
        <w:rPr>
          <w:rFonts w:hint="eastAsia" w:hAnsi="宋体"/>
          <w:color w:val="000000"/>
          <w:sz w:val="24"/>
          <w:szCs w:val="24"/>
        </w:rPr>
        <w:t>招标</w:t>
      </w:r>
      <w:r>
        <w:rPr>
          <w:rFonts w:hAnsi="宋体"/>
          <w:color w:val="000000"/>
          <w:sz w:val="24"/>
          <w:szCs w:val="24"/>
        </w:rPr>
        <w:t>人所有。</w:t>
      </w:r>
    </w:p>
    <w:p>
      <w:pPr>
        <w:rPr>
          <w:color w:val="000000"/>
        </w:rPr>
      </w:pPr>
    </w:p>
    <w:p>
      <w:pPr>
        <w:pStyle w:val="128"/>
        <w:spacing w:line="360" w:lineRule="auto"/>
        <w:rPr>
          <w:rFonts w:ascii="宋体" w:hAnsi="宋体"/>
          <w:b/>
          <w:bCs/>
          <w:color w:val="000000"/>
          <w:sz w:val="24"/>
        </w:rPr>
      </w:pPr>
      <w:r>
        <w:rPr>
          <w:rFonts w:hint="eastAsia" w:ascii="宋体" w:hAnsi="宋体"/>
          <w:b/>
          <w:bCs/>
          <w:color w:val="000000"/>
          <w:sz w:val="24"/>
        </w:rPr>
        <w:t>二、通勤运行路线、距离、时间及人数</w:t>
      </w:r>
    </w:p>
    <w:p>
      <w:pPr>
        <w:pStyle w:val="128"/>
        <w:spacing w:line="360" w:lineRule="auto"/>
        <w:ind w:left="1" w:firstLine="470" w:firstLineChars="195"/>
        <w:rPr>
          <w:rFonts w:hint="eastAsia" w:ascii="宋体" w:hAnsi="宋体" w:eastAsia="宋体"/>
          <w:b/>
          <w:bCs/>
          <w:color w:val="000000"/>
          <w:sz w:val="24"/>
          <w:lang w:eastAsia="zh-CN"/>
        </w:rPr>
      </w:pPr>
      <w:r>
        <w:rPr>
          <w:rFonts w:hint="eastAsia" w:ascii="宋体" w:hAnsi="宋体"/>
          <w:b/>
          <w:bCs/>
          <w:color w:val="000000"/>
          <w:sz w:val="24"/>
        </w:rPr>
        <w:t>一、早</w:t>
      </w:r>
      <w:r>
        <w:rPr>
          <w:rFonts w:hint="eastAsia" w:ascii="宋体" w:hAnsi="宋体"/>
          <w:b/>
          <w:bCs/>
          <w:color w:val="000000"/>
          <w:sz w:val="24"/>
          <w:lang w:eastAsia="zh-CN"/>
        </w:rPr>
        <w:t>晚</w:t>
      </w:r>
      <w:r>
        <w:rPr>
          <w:rFonts w:hint="eastAsia" w:ascii="宋体" w:hAnsi="宋体"/>
          <w:b/>
          <w:bCs/>
          <w:color w:val="000000"/>
          <w:sz w:val="24"/>
        </w:rPr>
        <w:t>通勤</w:t>
      </w:r>
    </w:p>
    <w:p>
      <w:pPr>
        <w:pStyle w:val="128"/>
        <w:spacing w:line="360" w:lineRule="auto"/>
        <w:ind w:left="1" w:firstLine="468" w:firstLineChars="195"/>
        <w:rPr>
          <w:rFonts w:hint="eastAsia" w:ascii="宋体" w:hAnsi="宋体" w:eastAsia="宋体"/>
          <w:color w:val="000000"/>
          <w:sz w:val="24"/>
          <w:lang w:eastAsia="zh-CN"/>
        </w:rPr>
      </w:pPr>
      <w:r>
        <w:rPr>
          <w:rFonts w:hint="eastAsia" w:ascii="宋体" w:hAnsi="宋体"/>
          <w:color w:val="000000"/>
          <w:sz w:val="24"/>
        </w:rPr>
        <w:t>（一）车次</w:t>
      </w:r>
      <w:r>
        <w:rPr>
          <w:rFonts w:hint="eastAsia" w:ascii="宋体" w:hAnsi="宋体"/>
          <w:color w:val="000000"/>
          <w:sz w:val="24"/>
          <w:lang w:eastAsia="zh-CN"/>
        </w:rPr>
        <w:t>及路线</w:t>
      </w:r>
      <w:r>
        <w:rPr>
          <w:rFonts w:hint="eastAsia" w:ascii="宋体" w:hAnsi="宋体"/>
          <w:color w:val="000000"/>
          <w:sz w:val="24"/>
        </w:rPr>
        <w:t>安排</w:t>
      </w:r>
    </w:p>
    <w:p>
      <w:pPr>
        <w:pStyle w:val="128"/>
        <w:spacing w:line="360" w:lineRule="auto"/>
        <w:ind w:left="1" w:firstLine="468" w:firstLineChars="195"/>
        <w:rPr>
          <w:rFonts w:hint="eastAsia" w:ascii="宋体" w:hAnsi="宋体"/>
          <w:color w:val="000000"/>
          <w:sz w:val="24"/>
        </w:rPr>
      </w:pPr>
      <w:r>
        <w:rPr>
          <w:rFonts w:hint="eastAsia" w:ascii="宋体" w:hAnsi="宋体"/>
          <w:color w:val="000000"/>
          <w:sz w:val="24"/>
        </w:rPr>
        <w:t>1.金城江→宜州，周一至周五每天7:35。</w:t>
      </w:r>
    </w:p>
    <w:p>
      <w:pPr>
        <w:pStyle w:val="128"/>
        <w:spacing w:line="360" w:lineRule="auto"/>
        <w:ind w:left="1" w:firstLine="468" w:firstLineChars="195"/>
        <w:rPr>
          <w:rFonts w:hint="eastAsia" w:ascii="宋体" w:hAnsi="宋体"/>
          <w:color w:val="000000"/>
          <w:sz w:val="24"/>
        </w:rPr>
      </w:pPr>
      <w:r>
        <w:rPr>
          <w:rFonts w:hint="eastAsia" w:ascii="宋体" w:hAnsi="宋体"/>
          <w:color w:val="000000"/>
          <w:sz w:val="24"/>
        </w:rPr>
        <w:t>①市体育馆广场→市行政办公中心（宜州）</w:t>
      </w:r>
    </w:p>
    <w:p>
      <w:pPr>
        <w:pStyle w:val="128"/>
        <w:spacing w:line="360" w:lineRule="auto"/>
        <w:ind w:left="1" w:firstLine="468" w:firstLineChars="195"/>
        <w:rPr>
          <w:rFonts w:hint="eastAsia" w:ascii="宋体" w:hAnsi="宋体"/>
          <w:color w:val="000000"/>
          <w:sz w:val="24"/>
        </w:rPr>
      </w:pPr>
      <w:r>
        <w:rPr>
          <w:rFonts w:hint="eastAsia" w:ascii="宋体" w:hAnsi="宋体"/>
          <w:color w:val="000000"/>
          <w:sz w:val="24"/>
        </w:rPr>
        <w:t>②老地委→市行政办公中心（宜州）</w:t>
      </w:r>
    </w:p>
    <w:p>
      <w:pPr>
        <w:pStyle w:val="128"/>
        <w:spacing w:line="360" w:lineRule="auto"/>
        <w:ind w:left="1" w:firstLine="468" w:firstLineChars="195"/>
        <w:rPr>
          <w:rFonts w:hint="eastAsia" w:ascii="宋体" w:hAnsi="宋体"/>
          <w:color w:val="000000"/>
          <w:sz w:val="24"/>
        </w:rPr>
      </w:pPr>
      <w:r>
        <w:rPr>
          <w:rFonts w:hint="eastAsia" w:ascii="宋体" w:hAnsi="宋体"/>
          <w:color w:val="000000"/>
          <w:sz w:val="24"/>
        </w:rPr>
        <w:t>③原市行政办公中心→市行政办公中心（宜州）</w:t>
      </w:r>
    </w:p>
    <w:p>
      <w:pPr>
        <w:pStyle w:val="128"/>
        <w:numPr>
          <w:ilvl w:val="0"/>
          <w:numId w:val="3"/>
        </w:numPr>
        <w:spacing w:line="360" w:lineRule="auto"/>
        <w:ind w:left="1" w:firstLine="468" w:firstLineChars="195"/>
        <w:rPr>
          <w:rFonts w:hint="eastAsia" w:ascii="宋体" w:hAnsi="宋体"/>
          <w:color w:val="000000"/>
          <w:sz w:val="24"/>
        </w:rPr>
      </w:pPr>
      <w:r>
        <w:rPr>
          <w:rFonts w:hint="eastAsia" w:ascii="宋体" w:hAnsi="宋体"/>
          <w:color w:val="000000"/>
          <w:sz w:val="24"/>
        </w:rPr>
        <w:t>宜州→金城江，周一至周五每天17:10、17:30、18:00。</w:t>
      </w:r>
    </w:p>
    <w:p>
      <w:pPr>
        <w:pStyle w:val="128"/>
        <w:numPr>
          <w:ilvl w:val="0"/>
          <w:numId w:val="0"/>
        </w:numPr>
        <w:spacing w:line="360" w:lineRule="auto"/>
        <w:ind w:leftChars="195"/>
        <w:rPr>
          <w:rFonts w:hint="eastAsia" w:ascii="宋体" w:hAnsi="宋体"/>
          <w:color w:val="000000"/>
          <w:sz w:val="24"/>
        </w:rPr>
      </w:pPr>
      <w:r>
        <w:rPr>
          <w:rFonts w:hint="eastAsia" w:ascii="宋体" w:hAnsi="宋体"/>
          <w:color w:val="000000"/>
          <w:sz w:val="24"/>
        </w:rPr>
        <w:t>市行政办公中心（宜州）→原市行政办公中心→老地委→市体育馆广场</w:t>
      </w:r>
    </w:p>
    <w:p>
      <w:pPr>
        <w:pStyle w:val="128"/>
        <w:numPr>
          <w:ilvl w:val="0"/>
          <w:numId w:val="4"/>
        </w:numPr>
        <w:spacing w:line="360" w:lineRule="auto"/>
        <w:ind w:left="1" w:firstLine="470" w:firstLineChars="195"/>
        <w:rPr>
          <w:rFonts w:hint="eastAsia" w:ascii="宋体" w:hAnsi="宋体"/>
          <w:b/>
          <w:bCs/>
          <w:color w:val="000000"/>
          <w:sz w:val="24"/>
        </w:rPr>
      </w:pPr>
      <w:r>
        <w:rPr>
          <w:rFonts w:hint="eastAsia" w:ascii="宋体" w:hAnsi="宋体"/>
          <w:b/>
          <w:bCs/>
          <w:color w:val="000000"/>
          <w:sz w:val="24"/>
        </w:rPr>
        <w:t>周末通勤</w:t>
      </w:r>
    </w:p>
    <w:p>
      <w:pPr>
        <w:pStyle w:val="128"/>
        <w:numPr>
          <w:ilvl w:val="0"/>
          <w:numId w:val="5"/>
        </w:numPr>
        <w:spacing w:line="360" w:lineRule="auto"/>
        <w:ind w:leftChars="195"/>
        <w:rPr>
          <w:rFonts w:hint="eastAsia" w:ascii="宋体" w:hAnsi="宋体"/>
          <w:color w:val="000000"/>
          <w:sz w:val="24"/>
        </w:rPr>
      </w:pPr>
      <w:r>
        <w:rPr>
          <w:rFonts w:hint="eastAsia" w:ascii="宋体" w:hAnsi="宋体"/>
          <w:color w:val="000000"/>
          <w:sz w:val="24"/>
        </w:rPr>
        <w:t>车次安排</w:t>
      </w:r>
    </w:p>
    <w:p>
      <w:pPr>
        <w:pStyle w:val="128"/>
        <w:numPr>
          <w:ilvl w:val="0"/>
          <w:numId w:val="0"/>
        </w:numPr>
        <w:spacing w:line="360" w:lineRule="auto"/>
        <w:ind w:firstLine="480" w:firstLineChars="200"/>
        <w:rPr>
          <w:rFonts w:hint="eastAsia" w:ascii="宋体" w:hAnsi="宋体"/>
          <w:color w:val="000000"/>
          <w:sz w:val="24"/>
        </w:rPr>
      </w:pPr>
      <w:r>
        <w:rPr>
          <w:rFonts w:hint="eastAsia" w:ascii="宋体" w:hAnsi="宋体"/>
          <w:color w:val="000000"/>
          <w:sz w:val="24"/>
        </w:rPr>
        <w:t>1.金城江→宜州，周日晚20:30。</w:t>
      </w:r>
    </w:p>
    <w:p>
      <w:pPr>
        <w:pStyle w:val="128"/>
        <w:numPr>
          <w:ilvl w:val="0"/>
          <w:numId w:val="0"/>
        </w:numPr>
        <w:spacing w:line="360" w:lineRule="auto"/>
        <w:ind w:firstLine="480"/>
        <w:rPr>
          <w:rFonts w:hint="eastAsia" w:ascii="宋体" w:hAnsi="宋体"/>
          <w:color w:val="000000"/>
          <w:sz w:val="24"/>
        </w:rPr>
      </w:pPr>
      <w:r>
        <w:rPr>
          <w:rFonts w:hint="eastAsia" w:ascii="宋体" w:hAnsi="宋体"/>
          <w:color w:val="000000"/>
          <w:sz w:val="24"/>
        </w:rPr>
        <w:t>市体育馆广场→老地委→市行政办公中心（宜州）。</w:t>
      </w:r>
    </w:p>
    <w:p>
      <w:pPr>
        <w:pStyle w:val="128"/>
        <w:numPr>
          <w:ilvl w:val="0"/>
          <w:numId w:val="0"/>
        </w:numPr>
        <w:spacing w:line="360" w:lineRule="auto"/>
        <w:ind w:firstLine="480" w:firstLineChars="200"/>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宜州→金城江，周五18:00、18:30(注：最晚通勤车班次，有乘车超过10人要求延时发车的，可根据实际情况更改发车时间)。</w:t>
      </w:r>
    </w:p>
    <w:p>
      <w:pPr>
        <w:pStyle w:val="128"/>
        <w:numPr>
          <w:ilvl w:val="0"/>
          <w:numId w:val="0"/>
        </w:numPr>
        <w:spacing w:line="360" w:lineRule="auto"/>
        <w:ind w:leftChars="195"/>
        <w:rPr>
          <w:rFonts w:hint="eastAsia" w:ascii="宋体" w:hAnsi="宋体"/>
          <w:color w:val="000000"/>
          <w:sz w:val="24"/>
          <w:lang w:eastAsia="zh-CN"/>
        </w:rPr>
      </w:pPr>
      <w:r>
        <w:rPr>
          <w:rFonts w:hint="eastAsia" w:ascii="宋体" w:hAnsi="宋体"/>
          <w:color w:val="000000"/>
          <w:sz w:val="24"/>
        </w:rPr>
        <w:t>市行政办公中心（宜州）→原市行政办公中心→老地委→市体育馆广场</w:t>
      </w:r>
      <w:r>
        <w:rPr>
          <w:rFonts w:hint="eastAsia" w:ascii="宋体" w:hAnsi="宋体"/>
          <w:color w:val="000000"/>
          <w:sz w:val="24"/>
          <w:lang w:eastAsia="zh-CN"/>
        </w:rPr>
        <w:t>。</w:t>
      </w:r>
    </w:p>
    <w:p>
      <w:pPr>
        <w:pStyle w:val="128"/>
        <w:numPr>
          <w:ilvl w:val="0"/>
          <w:numId w:val="4"/>
        </w:numPr>
        <w:spacing w:line="360" w:lineRule="auto"/>
        <w:ind w:left="1" w:leftChars="0" w:firstLine="470" w:firstLineChars="195"/>
        <w:rPr>
          <w:rFonts w:hint="eastAsia" w:ascii="宋体" w:hAnsi="宋体"/>
          <w:b/>
          <w:bCs/>
          <w:color w:val="000000"/>
          <w:sz w:val="24"/>
        </w:rPr>
      </w:pPr>
      <w:r>
        <w:rPr>
          <w:rFonts w:hint="eastAsia" w:ascii="宋体" w:hAnsi="宋体"/>
          <w:b/>
          <w:bCs/>
          <w:color w:val="000000"/>
          <w:sz w:val="24"/>
        </w:rPr>
        <w:t>日常业务通勤为解决市直部门平时往返两城区重要材料传送、业务办理、参加会议等公务活动交通问题，由中标公司开通中巴（商务）车通勤随机保障，同时充分利用早晚通勤车空余车位解决。</w:t>
      </w:r>
    </w:p>
    <w:p>
      <w:pPr>
        <w:pStyle w:val="128"/>
        <w:numPr>
          <w:ilvl w:val="0"/>
          <w:numId w:val="0"/>
        </w:numPr>
        <w:spacing w:line="360" w:lineRule="auto"/>
        <w:ind w:firstLine="480" w:firstLineChars="200"/>
        <w:rPr>
          <w:rFonts w:hint="eastAsia" w:ascii="宋体" w:hAnsi="宋体" w:eastAsia="宋体"/>
          <w:color w:val="000000"/>
          <w:sz w:val="24"/>
          <w:lang w:eastAsia="zh-CN"/>
        </w:rPr>
      </w:pPr>
      <w:r>
        <w:rPr>
          <w:rFonts w:hint="eastAsia" w:ascii="宋体" w:hAnsi="宋体"/>
          <w:color w:val="000000"/>
          <w:sz w:val="24"/>
        </w:rPr>
        <w:t>（一）车次安排线路：老地委←（途经原市行政办公中心）→市行政办公中心（宜州）对开。预设班次：工作日每天9:00、13:30发车。团体单次报名超过10人的，可按用车人员要求更改上车地点和发车时间</w:t>
      </w:r>
      <w:r>
        <w:rPr>
          <w:rFonts w:hint="eastAsia" w:ascii="宋体" w:hAnsi="宋体"/>
          <w:color w:val="000000"/>
          <w:sz w:val="24"/>
          <w:lang w:eastAsia="zh-CN"/>
        </w:rPr>
        <w:t>。</w:t>
      </w:r>
    </w:p>
    <w:p>
      <w:pPr>
        <w:pStyle w:val="128"/>
        <w:spacing w:line="360" w:lineRule="auto"/>
        <w:ind w:left="1" w:firstLine="468" w:firstLineChars="195"/>
        <w:rPr>
          <w:rFonts w:ascii="宋体" w:hAnsi="宋体"/>
          <w:color w:val="000000"/>
          <w:sz w:val="24"/>
        </w:rPr>
      </w:pPr>
      <w:r>
        <w:rPr>
          <w:rFonts w:hint="eastAsia" w:ascii="宋体" w:hAnsi="宋体"/>
          <w:color w:val="000000"/>
          <w:sz w:val="24"/>
        </w:rPr>
        <w:t>（二）单程行驶时间：交通畅通的情况下约</w:t>
      </w:r>
      <w:r>
        <w:rPr>
          <w:rFonts w:hint="eastAsia" w:ascii="宋体" w:hAnsi="宋体"/>
          <w:color w:val="000000"/>
          <w:sz w:val="24"/>
          <w:lang w:val="en-US" w:eastAsia="zh-CN"/>
        </w:rPr>
        <w:t>6</w:t>
      </w:r>
      <w:r>
        <w:rPr>
          <w:rFonts w:hint="eastAsia" w:ascii="宋体" w:hAnsi="宋体"/>
          <w:color w:val="000000"/>
          <w:sz w:val="24"/>
        </w:rPr>
        <w:t xml:space="preserve">0分钟 </w:t>
      </w:r>
    </w:p>
    <w:p>
      <w:pPr>
        <w:pStyle w:val="128"/>
        <w:spacing w:line="360" w:lineRule="auto"/>
        <w:ind w:left="1" w:firstLine="468" w:firstLineChars="195"/>
        <w:rPr>
          <w:rFonts w:ascii="宋体" w:hAnsi="宋体"/>
          <w:color w:val="000000"/>
          <w:sz w:val="24"/>
        </w:rPr>
      </w:pPr>
      <w:r>
        <w:rPr>
          <w:rFonts w:hint="eastAsia" w:ascii="宋体" w:hAnsi="宋体"/>
          <w:color w:val="000000"/>
          <w:sz w:val="24"/>
        </w:rPr>
        <w:t>（三）全年运行</w:t>
      </w:r>
      <w:r>
        <w:rPr>
          <w:rFonts w:hint="eastAsia" w:ascii="宋体" w:hAnsi="宋体"/>
          <w:color w:val="000000"/>
          <w:sz w:val="24"/>
          <w:lang w:eastAsia="zh-CN"/>
        </w:rPr>
        <w:t>要求：</w:t>
      </w:r>
      <w:r>
        <w:rPr>
          <w:rFonts w:hint="eastAsia" w:ascii="宋体" w:hAnsi="宋体"/>
          <w:color w:val="000000"/>
          <w:sz w:val="24"/>
        </w:rPr>
        <w:t>工作日每天</w:t>
      </w:r>
      <w:r>
        <w:rPr>
          <w:rFonts w:hint="eastAsia" w:ascii="宋体" w:hAnsi="宋体"/>
          <w:color w:val="000000"/>
          <w:sz w:val="24"/>
          <w:lang w:val="en-US" w:eastAsia="zh-CN"/>
        </w:rPr>
        <w:t>根据实际报名乘车人员调度中、</w:t>
      </w:r>
      <w:r>
        <w:rPr>
          <w:rFonts w:hint="eastAsia" w:ascii="宋体" w:hAnsi="宋体"/>
          <w:color w:val="000000"/>
          <w:sz w:val="24"/>
        </w:rPr>
        <w:t>大巴车按时间段发车往返</w:t>
      </w:r>
      <w:r>
        <w:rPr>
          <w:rFonts w:hint="eastAsia" w:ascii="宋体" w:hAnsi="宋体"/>
          <w:color w:val="000000"/>
          <w:sz w:val="24"/>
          <w:lang w:eastAsia="zh-CN"/>
        </w:rPr>
        <w:t>金城江</w:t>
      </w:r>
      <w:r>
        <w:rPr>
          <w:rFonts w:hint="eastAsia" w:ascii="宋体" w:hAnsi="宋体"/>
          <w:color w:val="000000"/>
          <w:sz w:val="24"/>
          <w:lang w:val="en-US" w:eastAsia="zh-CN"/>
        </w:rPr>
        <w:t>-宜州</w:t>
      </w:r>
      <w:r>
        <w:rPr>
          <w:rFonts w:hint="eastAsia" w:ascii="宋体" w:hAnsi="宋体"/>
          <w:color w:val="000000"/>
          <w:sz w:val="24"/>
        </w:rPr>
        <w:t>。如有临时用车，租赁费用按照中标单价乘以实际运行车次另行计算。</w:t>
      </w:r>
    </w:p>
    <w:p>
      <w:pPr>
        <w:pStyle w:val="128"/>
        <w:spacing w:line="360" w:lineRule="auto"/>
        <w:ind w:left="1" w:firstLine="588" w:firstLineChars="245"/>
        <w:rPr>
          <w:rFonts w:ascii="宋体" w:hAnsi="宋体"/>
          <w:color w:val="000000"/>
          <w:sz w:val="24"/>
        </w:rPr>
      </w:pPr>
      <w:r>
        <w:rPr>
          <w:rFonts w:ascii="宋体" w:hAnsi="宋体"/>
          <w:color w:val="000000"/>
          <w:sz w:val="24"/>
        </w:rPr>
        <w:t>(</w:t>
      </w:r>
      <w:r>
        <w:rPr>
          <w:rFonts w:hint="eastAsia" w:ascii="宋体" w:hAnsi="宋体"/>
          <w:color w:val="000000"/>
          <w:sz w:val="24"/>
          <w:lang w:val="en-US" w:eastAsia="zh-CN"/>
        </w:rPr>
        <w:t>四</w:t>
      </w:r>
      <w:r>
        <w:rPr>
          <w:rFonts w:hint="eastAsia" w:ascii="宋体" w:hAnsi="宋体"/>
          <w:color w:val="000000"/>
          <w:sz w:val="24"/>
        </w:rPr>
        <w:t>)根据工作要求和岗位工作性质，租赁公司驾驶员须做到包括周末和各种节假日在内全天候不间断有人在岗值班。</w:t>
      </w:r>
    </w:p>
    <w:p>
      <w:pPr>
        <w:pStyle w:val="128"/>
        <w:spacing w:line="360" w:lineRule="auto"/>
        <w:ind w:left="1" w:firstLine="468" w:firstLineChars="195"/>
        <w:rPr>
          <w:rFonts w:ascii="宋体" w:hAnsi="宋体"/>
          <w:color w:val="000000"/>
          <w:sz w:val="24"/>
        </w:rPr>
      </w:pPr>
      <w:r>
        <w:rPr>
          <w:rFonts w:ascii="宋体" w:hAnsi="宋体"/>
          <w:color w:val="000000"/>
          <w:sz w:val="24"/>
        </w:rPr>
        <w:t>(</w:t>
      </w:r>
      <w:r>
        <w:rPr>
          <w:rFonts w:hint="eastAsia" w:ascii="宋体" w:hAnsi="宋体"/>
          <w:color w:val="000000"/>
          <w:sz w:val="24"/>
          <w:lang w:eastAsia="zh-CN"/>
        </w:rPr>
        <w:t>五</w:t>
      </w:r>
      <w:r>
        <w:rPr>
          <w:rFonts w:hint="eastAsia" w:ascii="宋体" w:hAnsi="宋体"/>
          <w:color w:val="000000"/>
          <w:sz w:val="24"/>
        </w:rPr>
        <w:t>)完善接送程序。一是严格落实通勤车管理制度。为了加强通勤车管理，落实通勤车安全责任，有效预防和减少通勤车道路交通事故，保证乘车安全，要切实做好发车登记，做到超员行为不消除不发车。二是严格落实通勤车安全运行制度。要在发车前对车辆性能进行安全检查，发现问题及时处理。对不符合安全条件的通勤车坚决不予使用。 三是严格落实通勤车安全责任追究制度。明确分工，细化职责，夯实措施，加强督查，确保通勤车安全运营。</w:t>
      </w:r>
    </w:p>
    <w:p>
      <w:pPr>
        <w:pStyle w:val="128"/>
        <w:spacing w:line="360" w:lineRule="auto"/>
        <w:ind w:firstLine="360" w:firstLineChars="150"/>
        <w:rPr>
          <w:rFonts w:ascii="宋体" w:hAnsi="宋体"/>
          <w:color w:val="000000"/>
          <w:sz w:val="24"/>
          <w:highlight w:val="none"/>
        </w:rPr>
      </w:pPr>
      <w:r>
        <w:rPr>
          <w:rFonts w:ascii="宋体" w:hAnsi="宋体"/>
          <w:color w:val="000000"/>
          <w:sz w:val="24"/>
          <w:highlight w:val="none"/>
        </w:rPr>
        <w:t>(</w:t>
      </w:r>
      <w:r>
        <w:rPr>
          <w:rFonts w:hint="eastAsia" w:ascii="宋体" w:hAnsi="宋体"/>
          <w:color w:val="000000"/>
          <w:sz w:val="24"/>
          <w:highlight w:val="none"/>
          <w:lang w:val="en-US" w:eastAsia="zh-CN"/>
        </w:rPr>
        <w:t>六</w:t>
      </w:r>
      <w:r>
        <w:rPr>
          <w:rFonts w:hint="eastAsia" w:ascii="宋体" w:hAnsi="宋体"/>
          <w:color w:val="000000"/>
          <w:sz w:val="24"/>
          <w:highlight w:val="none"/>
        </w:rPr>
        <w:t>)投标人能提供通勤车服务系统（或候车系统），系统必须具备如下功能：</w:t>
      </w:r>
    </w:p>
    <w:p>
      <w:pPr>
        <w:pStyle w:val="128"/>
        <w:spacing w:line="360" w:lineRule="auto"/>
        <w:ind w:left="1" w:firstLine="468" w:firstLineChars="195"/>
        <w:rPr>
          <w:rFonts w:ascii="宋体" w:hAnsi="宋体"/>
          <w:color w:val="000000"/>
          <w:sz w:val="24"/>
          <w:highlight w:val="none"/>
        </w:rPr>
      </w:pPr>
      <w:r>
        <w:rPr>
          <w:rFonts w:hint="eastAsia" w:ascii="宋体" w:hAnsi="宋体"/>
          <w:color w:val="000000"/>
          <w:sz w:val="24"/>
          <w:highlight w:val="none"/>
        </w:rPr>
        <w:t>（1）通过扫码能对乘车人员的身份进行识别；</w:t>
      </w:r>
    </w:p>
    <w:p>
      <w:pPr>
        <w:pStyle w:val="128"/>
        <w:spacing w:line="360" w:lineRule="auto"/>
        <w:ind w:left="1" w:firstLine="468" w:firstLineChars="195"/>
        <w:rPr>
          <w:rFonts w:ascii="宋体" w:hAnsi="宋体"/>
          <w:color w:val="000000"/>
          <w:sz w:val="24"/>
          <w:highlight w:val="none"/>
        </w:rPr>
      </w:pPr>
      <w:r>
        <w:rPr>
          <w:rFonts w:hint="eastAsia" w:ascii="宋体" w:hAnsi="宋体"/>
          <w:color w:val="000000"/>
          <w:sz w:val="24"/>
          <w:highlight w:val="none"/>
        </w:rPr>
        <w:t>（2）能通过手机APP或小程序对车辆的实时地理位置进行查询；</w:t>
      </w:r>
    </w:p>
    <w:p>
      <w:pPr>
        <w:pStyle w:val="128"/>
        <w:spacing w:line="360" w:lineRule="auto"/>
        <w:ind w:left="1" w:firstLine="468" w:firstLineChars="195"/>
        <w:rPr>
          <w:rFonts w:ascii="宋体" w:hAnsi="宋体"/>
          <w:color w:val="000000"/>
          <w:sz w:val="24"/>
          <w:highlight w:val="none"/>
        </w:rPr>
      </w:pPr>
      <w:r>
        <w:rPr>
          <w:rFonts w:hint="eastAsia" w:ascii="宋体" w:hAnsi="宋体"/>
          <w:color w:val="000000"/>
          <w:sz w:val="24"/>
          <w:highlight w:val="none"/>
        </w:rPr>
        <w:t>（3）能够对乘车人数进行统计。（</w:t>
      </w:r>
      <w:r>
        <w:rPr>
          <w:rFonts w:hint="eastAsia" w:ascii="宋体" w:hAnsi="宋体"/>
          <w:color w:val="000000"/>
          <w:sz w:val="24"/>
          <w:highlight w:val="none"/>
          <w:lang w:eastAsia="zh-CN"/>
        </w:rPr>
        <w:t>采购人</w:t>
      </w:r>
      <w:r>
        <w:rPr>
          <w:rFonts w:hint="eastAsia" w:ascii="宋体" w:hAnsi="宋体"/>
          <w:color w:val="000000"/>
          <w:sz w:val="24"/>
          <w:highlight w:val="none"/>
        </w:rPr>
        <w:t>可以用这个系统分析每周的乘车人数，调整派车的数量，节约成本。）</w:t>
      </w:r>
    </w:p>
    <w:p>
      <w:pPr>
        <w:pStyle w:val="129"/>
        <w:spacing w:line="360" w:lineRule="auto"/>
        <w:ind w:left="964" w:hanging="964"/>
        <w:jc w:val="both"/>
        <w:rPr>
          <w:rFonts w:ascii="宋体" w:hAnsi="宋体" w:eastAsia="宋体"/>
          <w:b/>
          <w:bCs/>
          <w:color w:val="000000"/>
          <w:sz w:val="24"/>
          <w:szCs w:val="24"/>
        </w:rPr>
      </w:pPr>
      <w:r>
        <w:rPr>
          <w:rFonts w:hint="eastAsia" w:ascii="宋体" w:hAnsi="宋体" w:eastAsia="宋体"/>
          <w:b/>
          <w:bCs/>
          <w:color w:val="000000"/>
          <w:sz w:val="24"/>
          <w:szCs w:val="24"/>
          <w:lang w:val="en-US" w:eastAsia="zh-CN"/>
        </w:rPr>
        <w:t>四</w:t>
      </w:r>
      <w:r>
        <w:rPr>
          <w:rFonts w:hint="eastAsia" w:ascii="宋体" w:hAnsi="宋体" w:eastAsia="宋体"/>
          <w:b/>
          <w:bCs/>
          <w:color w:val="000000"/>
          <w:sz w:val="24"/>
          <w:szCs w:val="24"/>
        </w:rPr>
        <w:t>、租赁服务时间</w:t>
      </w:r>
    </w:p>
    <w:p>
      <w:pPr>
        <w:pStyle w:val="128"/>
        <w:spacing w:line="360" w:lineRule="auto"/>
        <w:ind w:left="1" w:firstLine="480" w:firstLineChars="200"/>
        <w:rPr>
          <w:rFonts w:ascii="宋体" w:hAnsi="宋体"/>
          <w:color w:val="000000"/>
          <w:sz w:val="24"/>
        </w:rPr>
      </w:pPr>
      <w:r>
        <w:rPr>
          <w:rFonts w:hint="eastAsia" w:ascii="宋体" w:hAnsi="宋体"/>
          <w:color w:val="000000"/>
          <w:sz w:val="24"/>
        </w:rPr>
        <w:t>租赁服务时间：</w:t>
      </w:r>
      <w:r>
        <w:rPr>
          <w:rFonts w:hint="eastAsia" w:ascii="宋体" w:hAnsi="宋体"/>
          <w:color w:val="000000"/>
          <w:sz w:val="24"/>
          <w:lang w:val="en-US" w:eastAsia="zh-CN"/>
        </w:rPr>
        <w:t>三年</w:t>
      </w:r>
      <w:r>
        <w:rPr>
          <w:rFonts w:hint="eastAsia" w:ascii="宋体" w:hAnsi="宋体"/>
          <w:color w:val="000000"/>
          <w:sz w:val="24"/>
        </w:rPr>
        <w:t>（租赁时间包含节假日和国家法定的休息日）。</w:t>
      </w:r>
    </w:p>
    <w:p>
      <w:pPr>
        <w:pStyle w:val="128"/>
        <w:autoSpaceDE w:val="0"/>
        <w:autoSpaceDN w:val="0"/>
        <w:adjustRightInd w:val="0"/>
        <w:spacing w:line="360" w:lineRule="auto"/>
        <w:jc w:val="left"/>
        <w:rPr>
          <w:rFonts w:ascii="宋体" w:hAnsi="宋体"/>
          <w:b/>
          <w:bCs/>
          <w:color w:val="000000"/>
          <w:sz w:val="24"/>
        </w:rPr>
      </w:pPr>
      <w:r>
        <w:rPr>
          <w:rFonts w:hint="eastAsia" w:ascii="宋体" w:hAnsi="宋体"/>
          <w:b/>
          <w:bCs/>
          <w:color w:val="000000"/>
          <w:sz w:val="24"/>
        </w:rPr>
        <w:t>五、车辆和司机要求</w:t>
      </w:r>
    </w:p>
    <w:p>
      <w:pPr>
        <w:pStyle w:val="128"/>
        <w:autoSpaceDE w:val="0"/>
        <w:autoSpaceDN w:val="0"/>
        <w:adjustRightInd w:val="0"/>
        <w:spacing w:line="360" w:lineRule="auto"/>
        <w:ind w:firstLine="480" w:firstLineChars="200"/>
        <w:jc w:val="left"/>
        <w:rPr>
          <w:rFonts w:ascii="宋体" w:hAnsi="宋体"/>
          <w:bCs/>
          <w:color w:val="000000"/>
          <w:sz w:val="24"/>
        </w:rPr>
      </w:pPr>
      <w:r>
        <w:rPr>
          <w:rFonts w:hint="eastAsia" w:ascii="宋体" w:hAnsi="宋体"/>
          <w:bCs/>
          <w:color w:val="000000"/>
          <w:sz w:val="24"/>
        </w:rPr>
        <w:t>（一</w:t>
      </w:r>
      <w:r>
        <w:rPr>
          <w:rFonts w:ascii="宋体" w:hAnsi="宋体"/>
          <w:bCs/>
          <w:color w:val="000000"/>
          <w:sz w:val="24"/>
        </w:rPr>
        <w:t>）</w:t>
      </w:r>
      <w:r>
        <w:rPr>
          <w:rFonts w:hint="eastAsia" w:ascii="宋体" w:hAnsi="宋体"/>
          <w:bCs/>
          <w:color w:val="000000"/>
          <w:sz w:val="24"/>
        </w:rPr>
        <w:t>车辆：空调</w:t>
      </w:r>
      <w:r>
        <w:rPr>
          <w:rFonts w:hint="eastAsia" w:ascii="宋体" w:hAnsi="宋体"/>
          <w:bCs/>
          <w:color w:val="000000"/>
          <w:sz w:val="24"/>
          <w:lang w:val="en-US" w:eastAsia="zh-CN"/>
        </w:rPr>
        <w:t>中、大巴客</w:t>
      </w:r>
      <w:r>
        <w:rPr>
          <w:rFonts w:hint="eastAsia" w:ascii="宋体" w:hAnsi="宋体"/>
          <w:bCs/>
          <w:color w:val="000000"/>
          <w:sz w:val="24"/>
        </w:rPr>
        <w:t>车</w:t>
      </w:r>
      <w:r>
        <w:rPr>
          <w:rFonts w:hint="eastAsia" w:ascii="宋体" w:hAnsi="宋体"/>
          <w:bCs/>
          <w:color w:val="000000"/>
          <w:sz w:val="24"/>
          <w:lang w:eastAsia="zh-CN"/>
        </w:rPr>
        <w:t>，</w:t>
      </w:r>
      <w:r>
        <w:rPr>
          <w:rFonts w:hint="eastAsia" w:ascii="宋体" w:hAnsi="宋体"/>
          <w:bCs/>
          <w:color w:val="000000"/>
          <w:sz w:val="24"/>
        </w:rPr>
        <w:t>车辆需符合国家规定安全环保等要求，车辆在使用期间如确需维修保养，接受定期检审或其他经采购人认可的合理因素而造成需要暂停运行，中标供应商必须调派同等条件的车辆供采购人使用。</w:t>
      </w:r>
    </w:p>
    <w:p>
      <w:pPr>
        <w:pStyle w:val="128"/>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二）司机：中标供应商派出的司机必须是责任心强且具5年以上驾驶大客车经验，无交通责任事故记录的司机。驾驶员须符合驾驶公路客运车辆的法定条件，在车辆租赁服务期间，应维护采购人利益，礼貌待客，安全驾驶，妥善处理客运纠纷，应服从采购人对其服务质量、安全驾驶等方面的监督管理，遵循采购人在车容和保洁、车辆行使路线和时间站点、行驶途中意外情况处置等方面的规程要求；对因发生服务质量投诉，经采购人教育后仍不改正的，采购人有权要求更换新的驾驶员（同等资格条件）。</w:t>
      </w:r>
    </w:p>
    <w:p>
      <w:pPr>
        <w:pStyle w:val="128"/>
        <w:autoSpaceDE w:val="0"/>
        <w:autoSpaceDN w:val="0"/>
        <w:adjustRightInd w:val="0"/>
        <w:spacing w:line="360" w:lineRule="auto"/>
        <w:jc w:val="left"/>
        <w:rPr>
          <w:rFonts w:ascii="宋体" w:hAnsi="宋体"/>
          <w:b/>
          <w:color w:val="000000"/>
          <w:sz w:val="24"/>
        </w:rPr>
      </w:pPr>
      <w:r>
        <w:rPr>
          <w:rFonts w:hint="eastAsia" w:ascii="宋体" w:hAnsi="宋体"/>
          <w:b/>
          <w:color w:val="000000"/>
          <w:sz w:val="24"/>
        </w:rPr>
        <w:t>六、服务要求</w:t>
      </w:r>
    </w:p>
    <w:p>
      <w:pPr>
        <w:pStyle w:val="128"/>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（一）合同期间，中标供应商派出的司机行车载客时必须遵守交通规则，如造成交通事故或乘客损伤的，采购人有权向中标供应商索赔，由中标供应商承担责任。</w:t>
      </w:r>
    </w:p>
    <w:p>
      <w:pPr>
        <w:pStyle w:val="128"/>
        <w:autoSpaceDE w:val="0"/>
        <w:autoSpaceDN w:val="0"/>
        <w:adjustRightInd w:val="0"/>
        <w:spacing w:line="360" w:lineRule="auto"/>
        <w:ind w:firstLine="480" w:firstLineChars="200"/>
        <w:jc w:val="left"/>
        <w:rPr>
          <w:rFonts w:ascii="宋体" w:hAnsi="宋体"/>
          <w:color w:val="000000"/>
          <w:sz w:val="24"/>
          <w:highlight w:val="none"/>
        </w:rPr>
      </w:pPr>
      <w:r>
        <w:rPr>
          <w:rFonts w:hint="eastAsia" w:ascii="宋体" w:hAnsi="宋体"/>
          <w:color w:val="000000"/>
          <w:sz w:val="24"/>
        </w:rPr>
        <w:t>（二）中标供应商派出的司机和管理人员，其管理工作由中标供应商负责，如有违反国家的</w:t>
      </w:r>
      <w:r>
        <w:rPr>
          <w:rFonts w:hint="eastAsia" w:ascii="宋体" w:hAnsi="宋体"/>
          <w:color w:val="000000"/>
          <w:sz w:val="24"/>
          <w:highlight w:val="none"/>
        </w:rPr>
        <w:t>法律、法令或出现交通事故或乘客损伤均由中标供应商负责。</w:t>
      </w:r>
    </w:p>
    <w:p>
      <w:pPr>
        <w:pStyle w:val="128"/>
        <w:autoSpaceDE w:val="0"/>
        <w:autoSpaceDN w:val="0"/>
        <w:adjustRightInd w:val="0"/>
        <w:spacing w:line="360" w:lineRule="auto"/>
        <w:ind w:firstLine="480" w:firstLineChars="200"/>
        <w:jc w:val="left"/>
        <w:rPr>
          <w:rFonts w:ascii="宋体" w:hAnsi="宋体"/>
          <w:color w:val="000000"/>
          <w:sz w:val="24"/>
          <w:highlight w:val="none"/>
        </w:rPr>
      </w:pPr>
      <w:r>
        <w:rPr>
          <w:rFonts w:hint="eastAsia" w:ascii="宋体" w:hAnsi="宋体"/>
          <w:color w:val="000000"/>
          <w:sz w:val="24"/>
          <w:highlight w:val="none"/>
        </w:rPr>
        <w:t>（三）中标供应商派出人员的福利、工资、医疗、保险均由中标供应商与员工负责。如发生劳资纠纷，由中标供应商解决，采购人不承担任何责任。</w:t>
      </w:r>
    </w:p>
    <w:p>
      <w:pPr>
        <w:pStyle w:val="128"/>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四</w:t>
      </w:r>
      <w:r>
        <w:rPr>
          <w:rFonts w:hint="eastAsia" w:ascii="宋体" w:hAnsi="宋体" w:cs="宋体"/>
          <w:color w:val="000000"/>
          <w:sz w:val="24"/>
        </w:rPr>
        <w:t>）供应商在工作期间应严格遵守国家各项法律法规，并无理由无条件承担由于违章、肇事、违法等行为所产生的全部责任及损失；</w:t>
      </w:r>
    </w:p>
    <w:p>
      <w:pPr>
        <w:pStyle w:val="128"/>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五</w:t>
      </w:r>
      <w:r>
        <w:rPr>
          <w:rFonts w:hint="eastAsia" w:ascii="宋体" w:hAnsi="宋体" w:cs="宋体"/>
          <w:color w:val="000000"/>
          <w:sz w:val="24"/>
        </w:rPr>
        <w:t>）供应商在工作期间要按照国家有关规定文明开车，如遇交通事故、被盗抢等，一切后果由供应商负责；驾驶员在为</w:t>
      </w:r>
      <w:r>
        <w:rPr>
          <w:rFonts w:hint="eastAsia" w:ascii="宋体" w:hAnsi="宋体" w:cs="宋体"/>
          <w:color w:val="000000"/>
          <w:sz w:val="24"/>
          <w:lang w:val="en-US" w:eastAsia="zh-CN"/>
        </w:rPr>
        <w:t>通勤</w:t>
      </w:r>
      <w:r>
        <w:rPr>
          <w:rFonts w:hint="eastAsia" w:ascii="宋体" w:hAnsi="宋体" w:cs="宋体"/>
          <w:color w:val="000000"/>
          <w:sz w:val="24"/>
        </w:rPr>
        <w:t>提供用车服务的全过程严禁饮酒、驾车途中禁止接打电话，如发现此类危险驾驶情况，</w:t>
      </w:r>
      <w:r>
        <w:rPr>
          <w:rFonts w:hint="eastAsia" w:ascii="宋体" w:hAnsi="宋体" w:cs="宋体"/>
          <w:color w:val="000000"/>
          <w:sz w:val="24"/>
          <w:lang w:val="en-US" w:eastAsia="zh-CN"/>
        </w:rPr>
        <w:t>采购人</w:t>
      </w:r>
      <w:r>
        <w:rPr>
          <w:rFonts w:hint="eastAsia" w:ascii="宋体" w:hAnsi="宋体" w:cs="宋体"/>
          <w:color w:val="000000"/>
          <w:sz w:val="24"/>
        </w:rPr>
        <w:t>有权终止合同。</w:t>
      </w:r>
    </w:p>
    <w:p>
      <w:pPr>
        <w:pStyle w:val="128"/>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六</w:t>
      </w:r>
      <w:r>
        <w:rPr>
          <w:rFonts w:hint="eastAsia" w:ascii="宋体" w:hAnsi="宋体" w:cs="宋体"/>
          <w:color w:val="000000"/>
          <w:sz w:val="24"/>
        </w:rPr>
        <w:t>）供应商由于自身原因耽误采购人出车时间或到达时间，对采购人的工作造成了严重影响，一切后果由供应商负责。</w:t>
      </w:r>
    </w:p>
    <w:p>
      <w:pPr>
        <w:pStyle w:val="128"/>
        <w:autoSpaceDE w:val="0"/>
        <w:autoSpaceDN w:val="0"/>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val="en-US" w:eastAsia="zh-CN"/>
        </w:rPr>
        <w:t>七</w:t>
      </w:r>
      <w:r>
        <w:rPr>
          <w:rFonts w:hint="eastAsia" w:ascii="宋体" w:hAnsi="宋体" w:cs="宋体"/>
          <w:color w:val="000000"/>
          <w:sz w:val="24"/>
        </w:rPr>
        <w:t>）合同期内，双方都应遵守合同约定及国家有关规定，如果中标供应商出现违法违规行为或因中标供应商的违法违规行为造成</w:t>
      </w:r>
      <w:r>
        <w:rPr>
          <w:rFonts w:hint="eastAsia" w:ascii="宋体" w:hAnsi="宋体" w:cs="宋体"/>
          <w:color w:val="000000"/>
          <w:sz w:val="24"/>
          <w:lang w:val="en-US" w:eastAsia="zh-CN"/>
        </w:rPr>
        <w:t>采购人</w:t>
      </w:r>
      <w:r>
        <w:rPr>
          <w:rFonts w:hint="eastAsia" w:ascii="宋体" w:hAnsi="宋体" w:cs="宋体"/>
          <w:color w:val="000000"/>
          <w:sz w:val="24"/>
        </w:rPr>
        <w:t>任何损失的，</w:t>
      </w:r>
      <w:r>
        <w:rPr>
          <w:rFonts w:hint="eastAsia" w:ascii="宋体" w:hAnsi="宋体" w:cs="宋体"/>
          <w:color w:val="000000"/>
          <w:sz w:val="24"/>
          <w:lang w:val="en-US" w:eastAsia="zh-CN"/>
        </w:rPr>
        <w:t>采购人</w:t>
      </w:r>
      <w:r>
        <w:rPr>
          <w:rFonts w:hint="eastAsia" w:ascii="宋体" w:hAnsi="宋体" w:cs="宋体"/>
          <w:color w:val="000000"/>
          <w:sz w:val="24"/>
        </w:rPr>
        <w:t>有权保留依法追究中标供应商各项责任的权利。</w:t>
      </w:r>
    </w:p>
    <w:p>
      <w:pPr>
        <w:pStyle w:val="128"/>
        <w:autoSpaceDE w:val="0"/>
        <w:autoSpaceDN w:val="0"/>
        <w:adjustRightInd w:val="0"/>
        <w:spacing w:line="360" w:lineRule="auto"/>
        <w:ind w:firstLine="482" w:firstLineChars="200"/>
        <w:jc w:val="left"/>
        <w:rPr>
          <w:rFonts w:hint="eastAsia" w:ascii="宋体" w:hAnsi="宋体" w:cs="宋体"/>
          <w:b/>
          <w:bCs/>
          <w:color w:val="000000"/>
          <w:sz w:val="24"/>
        </w:rPr>
      </w:pPr>
      <w:r>
        <w:rPr>
          <w:rFonts w:hint="eastAsia" w:ascii="宋体" w:hAnsi="宋体" w:cs="宋体"/>
          <w:b/>
          <w:bCs/>
          <w:color w:val="000000"/>
          <w:sz w:val="24"/>
          <w:lang w:eastAsia="zh-CN"/>
        </w:rPr>
        <w:t>七、</w:t>
      </w:r>
      <w:r>
        <w:rPr>
          <w:rFonts w:hint="eastAsia" w:ascii="宋体" w:hAnsi="宋体" w:cs="宋体"/>
          <w:b/>
          <w:bCs/>
          <w:color w:val="000000"/>
          <w:sz w:val="24"/>
        </w:rPr>
        <w:t>按照</w:t>
      </w:r>
      <w:r>
        <w:rPr>
          <w:rFonts w:hint="eastAsia" w:ascii="宋体" w:hAnsi="宋体" w:cs="宋体"/>
          <w:b/>
          <w:bCs/>
          <w:color w:val="000000"/>
          <w:sz w:val="24"/>
          <w:lang w:val="en-US" w:eastAsia="zh-CN"/>
        </w:rPr>
        <w:t>通勤</w:t>
      </w:r>
      <w:r>
        <w:rPr>
          <w:rFonts w:hint="eastAsia" w:ascii="宋体" w:hAnsi="宋体" w:cs="宋体"/>
          <w:b/>
          <w:bCs/>
          <w:color w:val="000000"/>
          <w:sz w:val="24"/>
        </w:rPr>
        <w:t>用车保障率、服务质量、服务态度、安全保障、服务车型等指标对服务商进行年度考核。具体指标要求如下：</w:t>
      </w:r>
    </w:p>
    <w:p>
      <w:pPr>
        <w:pStyle w:val="128"/>
        <w:autoSpaceDE w:val="0"/>
        <w:autoSpaceDN w:val="0"/>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en-US" w:eastAsia="zh-CN"/>
        </w:rPr>
        <w:t>通勤</w:t>
      </w:r>
      <w:r>
        <w:rPr>
          <w:rFonts w:hint="eastAsia" w:ascii="宋体" w:hAnsi="宋体" w:cs="宋体"/>
          <w:color w:val="000000"/>
          <w:sz w:val="24"/>
        </w:rPr>
        <w:t>用车保障年度达标率100%；</w:t>
      </w:r>
    </w:p>
    <w:p>
      <w:pPr>
        <w:pStyle w:val="128"/>
        <w:autoSpaceDE w:val="0"/>
        <w:autoSpaceDN w:val="0"/>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2.服务质量（驾驶技能、车况、服务态度、卫生保洁等）满意度年度达标率95%及以上；</w:t>
      </w:r>
    </w:p>
    <w:p>
      <w:pPr>
        <w:pStyle w:val="128"/>
        <w:autoSpaceDE w:val="0"/>
        <w:autoSpaceDN w:val="0"/>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3.乘车人员安全年度达标率100%；</w:t>
      </w:r>
    </w:p>
    <w:p>
      <w:pPr>
        <w:pStyle w:val="128"/>
        <w:autoSpaceDE w:val="0"/>
        <w:autoSpaceDN w:val="0"/>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.车辆按期保养率100%；</w:t>
      </w:r>
    </w:p>
    <w:p>
      <w:pPr>
        <w:pStyle w:val="128"/>
        <w:autoSpaceDE w:val="0"/>
        <w:autoSpaceDN w:val="0"/>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.车辆按期年检率100%；</w:t>
      </w:r>
    </w:p>
    <w:p>
      <w:pPr>
        <w:pStyle w:val="128"/>
        <w:autoSpaceDE w:val="0"/>
        <w:autoSpaceDN w:val="0"/>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.保险投保坐位（或意外）险100万、车损险、第三者责任险150万；</w:t>
      </w:r>
    </w:p>
    <w:p>
      <w:pPr>
        <w:pStyle w:val="128"/>
        <w:autoSpaceDE w:val="0"/>
        <w:autoSpaceDN w:val="0"/>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sz w:val="24"/>
        </w:rPr>
        <w:t>.车辆合法合规运营（含车辆载客不超过核定的载客定额等）。</w:t>
      </w:r>
    </w:p>
    <w:p>
      <w:pPr>
        <w:pStyle w:val="128"/>
        <w:autoSpaceDE w:val="0"/>
        <w:autoSpaceDN w:val="0"/>
        <w:adjustRightInd w:val="0"/>
        <w:spacing w:line="360" w:lineRule="auto"/>
        <w:ind w:firstLine="480" w:firstLineChars="200"/>
        <w:jc w:val="left"/>
        <w:outlineLvl w:val="9"/>
        <w:rPr>
          <w:rFonts w:hint="eastAsia" w:ascii="宋体" w:hAnsi="宋体"/>
          <w:b/>
          <w:color w:val="auto"/>
          <w:sz w:val="24"/>
          <w:lang w:eastAsia="zh-CN"/>
        </w:rPr>
      </w:pPr>
      <w:r>
        <w:rPr>
          <w:rFonts w:hint="eastAsia" w:ascii="宋体" w:hAnsi="宋体" w:cs="宋体"/>
          <w:color w:val="000000"/>
          <w:sz w:val="24"/>
        </w:rPr>
        <w:t>下年度公务</w:t>
      </w:r>
      <w:r>
        <w:rPr>
          <w:rFonts w:hint="eastAsia" w:ascii="宋体" w:hAnsi="宋体" w:cs="宋体"/>
          <w:color w:val="auto"/>
          <w:sz w:val="24"/>
        </w:rPr>
        <w:t>租车计价按以上</w:t>
      </w:r>
      <w:r>
        <w:rPr>
          <w:rFonts w:hint="eastAsia" w:ascii="宋体" w:hAnsi="宋体" w:cs="宋体"/>
          <w:color w:val="auto"/>
          <w:sz w:val="24"/>
          <w:lang w:val="en-US" w:eastAsia="zh-CN"/>
        </w:rPr>
        <w:t>7</w:t>
      </w:r>
      <w:r>
        <w:rPr>
          <w:rFonts w:hint="eastAsia" w:ascii="宋体" w:hAnsi="宋体" w:cs="宋体"/>
          <w:color w:val="auto"/>
          <w:sz w:val="24"/>
        </w:rPr>
        <w:t>个考核指标综合平均得分率×100%×中标报价。</w:t>
      </w:r>
    </w:p>
    <w:p>
      <w:pPr>
        <w:pStyle w:val="128"/>
        <w:numPr>
          <w:ilvl w:val="0"/>
          <w:numId w:val="6"/>
        </w:numPr>
        <w:autoSpaceDE w:val="0"/>
        <w:autoSpaceDN w:val="0"/>
        <w:adjustRightInd w:val="0"/>
        <w:spacing w:line="360" w:lineRule="auto"/>
        <w:outlineLvl w:val="9"/>
        <w:rPr>
          <w:rFonts w:hint="eastAsia" w:ascii="宋体" w:hAnsi="宋体"/>
          <w:b/>
          <w:color w:val="auto"/>
          <w:sz w:val="24"/>
          <w:lang w:eastAsia="zh-CN"/>
        </w:rPr>
      </w:pPr>
      <w:r>
        <w:rPr>
          <w:rFonts w:hint="eastAsia" w:ascii="宋体" w:hAnsi="宋体"/>
          <w:b/>
          <w:color w:val="auto"/>
          <w:sz w:val="24"/>
          <w:lang w:eastAsia="zh-CN"/>
        </w:rPr>
        <w:t>商务要求：</w:t>
      </w:r>
    </w:p>
    <w:p>
      <w:pPr>
        <w:pStyle w:val="128"/>
        <w:numPr>
          <w:ilvl w:val="-1"/>
          <w:numId w:val="0"/>
        </w:numPr>
        <w:autoSpaceDE w:val="0"/>
        <w:autoSpaceDN w:val="0"/>
        <w:adjustRightInd w:val="0"/>
        <w:spacing w:line="360" w:lineRule="auto"/>
        <w:outlineLvl w:val="9"/>
        <w:rPr>
          <w:rFonts w:ascii="宋体" w:hAnsi="宋体"/>
          <w:b/>
          <w:color w:val="auto"/>
          <w:sz w:val="24"/>
        </w:rPr>
      </w:pPr>
      <w:r>
        <w:rPr>
          <w:rFonts w:hint="eastAsia" w:ascii="宋体" w:hAnsi="宋体"/>
          <w:b/>
          <w:color w:val="auto"/>
          <w:sz w:val="24"/>
          <w:lang w:val="en-US" w:eastAsia="zh-CN"/>
        </w:rPr>
        <w:t>1、</w:t>
      </w:r>
      <w:r>
        <w:rPr>
          <w:rFonts w:hint="eastAsia" w:ascii="宋体" w:hAnsi="宋体"/>
          <w:b/>
          <w:color w:val="auto"/>
          <w:sz w:val="24"/>
        </w:rPr>
        <w:t>付款方式</w:t>
      </w:r>
    </w:p>
    <w:p>
      <w:pPr>
        <w:pStyle w:val="128"/>
        <w:numPr>
          <w:ilvl w:val="0"/>
          <w:numId w:val="0"/>
        </w:numPr>
        <w:spacing w:line="360" w:lineRule="auto"/>
        <w:rPr>
          <w:rFonts w:hint="eastAsia" w:ascii="宋体" w:hAnsi="宋体"/>
          <w:color w:val="auto"/>
          <w:sz w:val="24"/>
        </w:rPr>
      </w:pPr>
      <w:r>
        <w:rPr>
          <w:rFonts w:hint="eastAsia" w:ascii="宋体" w:hAnsi="宋体"/>
          <w:color w:val="auto"/>
          <w:sz w:val="24"/>
          <w:lang w:val="en-US" w:eastAsia="zh-CN"/>
        </w:rPr>
        <w:t xml:space="preserve">    </w:t>
      </w:r>
      <w:r>
        <w:rPr>
          <w:rFonts w:hint="eastAsia" w:ascii="宋体" w:hAnsi="宋体"/>
          <w:color w:val="auto"/>
          <w:sz w:val="24"/>
          <w:lang w:eastAsia="zh-CN"/>
        </w:rPr>
        <w:t>早晚通勤、周末通勤乘车费用：每人每次（单程）（以公开招标中标价格为准），费用由市财政负责保障。结算：按月结账。市财政局将费用统一拨付到市机关事务服务中心，市机关事务服务中心凭乘车明细清单和发票通过对公账号以转帐方式结算；业务通勤乘车费用：每人每次（单程）（以公开招标中标价格为准），费用由用车单位结算</w:t>
      </w:r>
      <w:r>
        <w:rPr>
          <w:rFonts w:hint="eastAsia" w:ascii="宋体" w:hAnsi="宋体"/>
          <w:color w:val="auto"/>
          <w:sz w:val="24"/>
        </w:rPr>
        <w:t>。</w:t>
      </w:r>
    </w:p>
    <w:p>
      <w:pPr>
        <w:snapToGrid w:val="0"/>
        <w:spacing w:line="360" w:lineRule="auto"/>
        <w:outlineLvl w:val="9"/>
        <w:rPr>
          <w:rFonts w:ascii="宋体" w:hAnsi="宋体"/>
          <w:b/>
          <w:bCs/>
          <w:color w:val="000000"/>
          <w:sz w:val="24"/>
        </w:rPr>
      </w:pPr>
      <w:r>
        <w:rPr>
          <w:rFonts w:hint="eastAsia" w:ascii="宋体" w:hAnsi="宋体"/>
          <w:b/>
          <w:bCs/>
          <w:color w:val="000000"/>
          <w:sz w:val="24"/>
          <w:lang w:val="en-US" w:eastAsia="zh-CN"/>
        </w:rPr>
        <w:t>2、</w:t>
      </w:r>
      <w:r>
        <w:rPr>
          <w:rFonts w:hint="eastAsia" w:ascii="宋体" w:hAnsi="宋体"/>
          <w:b/>
          <w:bCs/>
          <w:color w:val="000000"/>
          <w:sz w:val="24"/>
        </w:rPr>
        <w:t>报价要求</w:t>
      </w:r>
    </w:p>
    <w:p>
      <w:pPr>
        <w:pStyle w:val="128"/>
        <w:autoSpaceDE w:val="0"/>
        <w:autoSpaceDN w:val="0"/>
        <w:adjustRightInd w:val="0"/>
        <w:spacing w:line="360" w:lineRule="auto"/>
        <w:ind w:firstLine="470" w:firstLineChars="196"/>
        <w:jc w:val="left"/>
        <w:outlineLvl w:val="9"/>
        <w:rPr>
          <w:rFonts w:hint="eastAsia" w:ascii="宋体" w:hAnsi="宋体"/>
          <w:color w:val="000000"/>
          <w:sz w:val="24"/>
        </w:rPr>
      </w:pPr>
      <w:r>
        <w:rPr>
          <w:rFonts w:hint="eastAsia" w:ascii="宋体" w:hAnsi="宋体"/>
          <w:bCs/>
          <w:color w:val="000000"/>
          <w:sz w:val="24"/>
        </w:rPr>
        <w:t>报价</w:t>
      </w:r>
      <w:r>
        <w:rPr>
          <w:rFonts w:hint="eastAsia" w:ascii="宋体" w:hAnsi="宋体" w:cs="Arial"/>
          <w:color w:val="000000"/>
          <w:sz w:val="24"/>
        </w:rPr>
        <w:t>包括服务范围内所发生的租赁车辆的季审、年审、轮胎、维修、燃料、供养、税金、营运费、管理费、司机的薪金、购置交强险和乘客意外事故险商业险等一切费用</w:t>
      </w:r>
      <w:r>
        <w:rPr>
          <w:rFonts w:hint="eastAsia" w:ascii="宋体" w:hAnsi="宋体"/>
          <w:color w:val="000000"/>
          <w:sz w:val="24"/>
        </w:rPr>
        <w:t>。</w:t>
      </w:r>
    </w:p>
    <w:p>
      <w:pPr>
        <w:pStyle w:val="128"/>
        <w:autoSpaceDE w:val="0"/>
        <w:autoSpaceDN w:val="0"/>
        <w:adjustRightInd w:val="0"/>
        <w:spacing w:line="360" w:lineRule="auto"/>
        <w:ind w:firstLine="470" w:firstLineChars="196"/>
        <w:jc w:val="left"/>
        <w:outlineLvl w:val="9"/>
        <w:rPr>
          <w:rFonts w:hint="eastAsia" w:ascii="宋体" w:hAnsi="宋体"/>
          <w:color w:val="000000"/>
          <w:sz w:val="24"/>
        </w:rPr>
      </w:pPr>
    </w:p>
    <w:p>
      <w:pPr>
        <w:spacing w:line="360" w:lineRule="auto"/>
        <w:ind w:firstLine="480" w:firstLineChars="200"/>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3"/>
        <w:rPr>
          <w:rFonts w:hint="eastAsia" w:ascii="宋体" w:hAnsi="宋体" w:cs="宋体"/>
          <w:color w:val="auto"/>
          <w:sz w:val="24"/>
          <w:highlight w:val="none"/>
        </w:rPr>
      </w:pPr>
    </w:p>
    <w:p>
      <w:pPr>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3"/>
        <w:rPr>
          <w:rFonts w:hint="eastAsia" w:eastAsia="宋体"/>
          <w:lang w:eastAsia="zh-CN"/>
        </w:rPr>
      </w:pPr>
      <w:r>
        <w:rPr>
          <w:rFonts w:hint="eastAsia" w:hAnsi="宋体" w:cs="宋体"/>
          <w:color w:val="auto"/>
          <w:sz w:val="24"/>
          <w:highlight w:val="none"/>
          <w:lang w:eastAsia="zh-CN"/>
        </w:rPr>
        <w:t>、</w:t>
      </w:r>
    </w:p>
    <w:p>
      <w:pPr>
        <w:pStyle w:val="3"/>
        <w:rPr>
          <w:rFonts w:hint="eastAsia" w:ascii="宋体" w:hAnsi="宋体" w:cs="宋体"/>
          <w:color w:val="auto"/>
          <w:sz w:val="24"/>
          <w:highlight w:val="none"/>
        </w:rPr>
      </w:pPr>
    </w:p>
    <w:p>
      <w:pPr>
        <w:rPr>
          <w:rFonts w:hint="eastAsia"/>
        </w:rPr>
      </w:pPr>
    </w:p>
    <w:p>
      <w:pPr>
        <w:pStyle w:val="4"/>
        <w:keepNext w:val="0"/>
        <w:keepLines w:val="0"/>
        <w:tabs>
          <w:tab w:val="left" w:pos="0"/>
          <w:tab w:val="left" w:pos="3165"/>
          <w:tab w:val="center" w:pos="4153"/>
        </w:tabs>
        <w:autoSpaceDE w:val="0"/>
        <w:autoSpaceDN w:val="0"/>
        <w:adjustRightInd w:val="0"/>
        <w:spacing w:before="0" w:after="0" w:line="360" w:lineRule="auto"/>
        <w:jc w:val="center"/>
        <w:rPr>
          <w:rFonts w:hint="eastAsia"/>
          <w:color w:val="auto"/>
          <w:highlight w:val="none"/>
        </w:rPr>
      </w:pPr>
      <w:bookmarkStart w:id="36" w:name="_Toc12126"/>
      <w:r>
        <w:rPr>
          <w:rFonts w:hint="eastAsia"/>
          <w:color w:val="auto"/>
          <w:highlight w:val="none"/>
        </w:rPr>
        <w:t>第三章  投标人须知</w:t>
      </w:r>
      <w:bookmarkEnd w:id="36"/>
    </w:p>
    <w:p>
      <w:pPr>
        <w:jc w:val="center"/>
        <w:rPr>
          <w:rFonts w:hint="eastAsia"/>
          <w:color w:val="auto"/>
          <w:sz w:val="36"/>
          <w:szCs w:val="36"/>
          <w:highlight w:val="none"/>
        </w:rPr>
      </w:pPr>
      <w:bookmarkStart w:id="37" w:name="_Toc254970667"/>
      <w:bookmarkStart w:id="38" w:name="_Toc254970526"/>
      <w:r>
        <w:rPr>
          <w:rFonts w:hint="eastAsia"/>
          <w:color w:val="auto"/>
          <w:sz w:val="36"/>
          <w:szCs w:val="36"/>
          <w:highlight w:val="none"/>
        </w:rPr>
        <w:t>投标人须知前附表</w:t>
      </w:r>
      <w:bookmarkEnd w:id="37"/>
      <w:bookmarkEnd w:id="38"/>
    </w:p>
    <w:tbl>
      <w:tblPr>
        <w:tblStyle w:val="45"/>
        <w:tblW w:w="91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
        <w:gridCol w:w="8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条款号</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39" w:name="_8.1"/>
            <w:bookmarkEnd w:id="39"/>
            <w:bookmarkStart w:id="40" w:name="_5"/>
            <w:bookmarkEnd w:id="40"/>
            <w:bookmarkStart w:id="41" w:name="_9.2"/>
            <w:bookmarkEnd w:id="41"/>
            <w:r>
              <w:rPr>
                <w:rFonts w:hint="eastAsia" w:ascii="宋体" w:hAnsi="宋体" w:cs="宋体"/>
                <w:color w:val="auto"/>
                <w:sz w:val="24"/>
                <w:highlight w:val="none"/>
              </w:rPr>
              <w:t>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6.2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17"/>
              <w:spacing w:line="360" w:lineRule="auto"/>
              <w:rPr>
                <w:rFonts w:hint="eastAsia" w:ascii="宋体" w:hAnsi="宋体" w:cs="宋体"/>
                <w:color w:val="auto"/>
                <w:sz w:val="24"/>
                <w:highlight w:val="none"/>
              </w:rPr>
            </w:pPr>
            <w:bookmarkStart w:id="42" w:name="_Hlk54105293"/>
            <w:r>
              <w:rPr>
                <w:rFonts w:hint="eastAsia" w:ascii="宋体" w:hAnsi="宋体" w:cs="宋体"/>
                <w:color w:val="auto"/>
                <w:sz w:val="24"/>
                <w:highlight w:val="none"/>
              </w:rPr>
              <w:t>如接受联合体投标，</w:t>
            </w:r>
            <w:bookmarkEnd w:id="42"/>
            <w:r>
              <w:rPr>
                <w:rFonts w:hint="eastAsia" w:ascii="宋体" w:hAnsi="宋体" w:cs="宋体"/>
                <w:color w:val="auto"/>
                <w:sz w:val="24"/>
                <w:highlight w:val="none"/>
              </w:rPr>
              <w:t>联合体投标要求如下：</w:t>
            </w:r>
          </w:p>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1.两个以上投标人可以组成一个投标联合体，以一个投标人的身份共同参加投标。联合体投标的，须提供《联合体投标协议书》（格式后附）。</w:t>
            </w:r>
          </w:p>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招标文件规定的特定条件。</w:t>
            </w:r>
          </w:p>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3.联合体各方之间必须签订联合投标协议，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p>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4.以联合体形式参加政府采购活动的，联合体各方不得再单独参加或者与其他投标人另外组成联合体参加同一合同项下的政府采购活动。</w:t>
            </w:r>
          </w:p>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5.联合体中有同类资质的投标人按照联合体分工承担相同工作的，应当按照资质等级较低的投标人确定资质等级。</w:t>
            </w:r>
          </w:p>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6.联合体投标业绩、履约能力按照联合体各方其中较高的一方认定并计算（招标文件另有规定的除外）。</w:t>
            </w:r>
          </w:p>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7.投标人为联合体的，可以由联合体中的一方或者多方共同交纳投标保证金，其交纳的保证金对联合体各方均具有约束力。</w:t>
            </w:r>
          </w:p>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8.联合体各方均应按照招标文件的规定提交资格证明文件。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11.2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不组织现场考察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不组织召开开标前答疑会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vMerge w:val="restart"/>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bookmarkStart w:id="43" w:name="_13.1"/>
            <w:bookmarkEnd w:id="43"/>
            <w:r>
              <w:rPr>
                <w:rFonts w:hint="eastAsia" w:ascii="宋体" w:hAnsi="宋体" w:cs="宋体"/>
                <w:color w:val="auto"/>
                <w:sz w:val="24"/>
                <w:highlight w:val="none"/>
              </w:rPr>
              <w:t>13.</w:t>
            </w:r>
            <w:bookmarkStart w:id="44" w:name="_Hlt19632543"/>
            <w:r>
              <w:rPr>
                <w:rFonts w:hint="eastAsia" w:ascii="宋体" w:hAnsi="宋体" w:cs="宋体"/>
                <w:color w:val="auto"/>
                <w:sz w:val="24"/>
                <w:highlight w:val="none"/>
              </w:rPr>
              <w:t>1</w:t>
            </w:r>
            <w:bookmarkEnd w:id="44"/>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b/>
                <w:color w:val="auto"/>
                <w:sz w:val="24"/>
                <w:highlight w:val="none"/>
              </w:rPr>
            </w:pPr>
            <w:r>
              <w:rPr>
                <w:rFonts w:hint="eastAsia" w:ascii="宋体" w:hAnsi="宋体" w:cs="宋体"/>
                <w:b/>
                <w:color w:val="auto"/>
                <w:sz w:val="24"/>
                <w:highlight w:val="none"/>
              </w:rPr>
              <w:t>报价文件：</w:t>
            </w:r>
          </w:p>
          <w:p>
            <w:pPr>
              <w:numPr>
                <w:ilvl w:val="0"/>
                <w:numId w:val="7"/>
              </w:numPr>
              <w:tabs>
                <w:tab w:val="left" w:pos="459"/>
              </w:tabs>
              <w:snapToGrid w:val="0"/>
              <w:spacing w:line="360" w:lineRule="auto"/>
              <w:ind w:left="459" w:hanging="39"/>
              <w:jc w:val="left"/>
              <w:rPr>
                <w:rFonts w:hint="eastAsia" w:ascii="宋体" w:hAnsi="宋体" w:cs="宋体"/>
                <w:color w:val="auto"/>
                <w:sz w:val="24"/>
                <w:highlight w:val="none"/>
              </w:rPr>
            </w:pPr>
            <w:r>
              <w:rPr>
                <w:rFonts w:hint="eastAsia" w:ascii="宋体" w:hAnsi="宋体" w:cs="宋体"/>
                <w:color w:val="auto"/>
                <w:sz w:val="24"/>
                <w:highlight w:val="none"/>
              </w:rPr>
              <w:t>投标函（格式后附）；</w:t>
            </w:r>
            <w:r>
              <w:rPr>
                <w:rFonts w:hint="eastAsia" w:ascii="宋体" w:hAnsi="宋体" w:cs="宋体"/>
                <w:b/>
                <w:color w:val="auto"/>
                <w:sz w:val="24"/>
                <w:highlight w:val="none"/>
              </w:rPr>
              <w:t>（必须提供，否则按无效投标处理）</w:t>
            </w:r>
          </w:p>
          <w:p>
            <w:pPr>
              <w:numPr>
                <w:ilvl w:val="0"/>
                <w:numId w:val="7"/>
              </w:numPr>
              <w:tabs>
                <w:tab w:val="left" w:pos="459"/>
              </w:tabs>
              <w:snapToGrid w:val="0"/>
              <w:spacing w:line="360" w:lineRule="auto"/>
              <w:ind w:left="459" w:hanging="39"/>
              <w:jc w:val="left"/>
              <w:rPr>
                <w:rFonts w:hint="eastAsia" w:ascii="宋体" w:hAnsi="宋体" w:cs="宋体"/>
                <w:color w:val="auto"/>
                <w:sz w:val="24"/>
                <w:highlight w:val="none"/>
              </w:rPr>
            </w:pPr>
            <w:r>
              <w:rPr>
                <w:rFonts w:hint="eastAsia" w:ascii="宋体" w:hAnsi="宋体" w:cs="宋体"/>
                <w:color w:val="auto"/>
                <w:sz w:val="24"/>
                <w:highlight w:val="none"/>
              </w:rPr>
              <w:t>开标一览表（格式后附）； （</w:t>
            </w:r>
            <w:r>
              <w:rPr>
                <w:rFonts w:hint="eastAsia" w:ascii="宋体" w:hAnsi="宋体" w:cs="宋体"/>
                <w:b/>
                <w:color w:val="auto"/>
                <w:sz w:val="24"/>
                <w:highlight w:val="none"/>
              </w:rPr>
              <w:t>必须提供，否则按无效投标处理</w:t>
            </w:r>
            <w:r>
              <w:rPr>
                <w:rFonts w:hint="eastAsia" w:ascii="宋体" w:hAnsi="宋体" w:cs="宋体"/>
                <w:color w:val="auto"/>
                <w:sz w:val="24"/>
                <w:highlight w:val="none"/>
              </w:rPr>
              <w:t>）</w:t>
            </w:r>
          </w:p>
          <w:p>
            <w:pPr>
              <w:snapToGrid w:val="0"/>
              <w:spacing w:line="360" w:lineRule="auto"/>
              <w:ind w:firstLine="420"/>
              <w:jc w:val="left"/>
              <w:rPr>
                <w:rFonts w:hint="eastAsia" w:ascii="宋体" w:hAnsi="宋体" w:cs="宋体"/>
                <w:color w:val="auto"/>
                <w:sz w:val="24"/>
                <w:highlight w:val="none"/>
              </w:rPr>
            </w:pPr>
            <w:r>
              <w:rPr>
                <w:rFonts w:hint="eastAsia" w:ascii="宋体" w:hAnsi="宋体" w:cs="宋体"/>
                <w:b/>
                <w:bCs/>
                <w:color w:val="auto"/>
                <w:sz w:val="24"/>
                <w:highlight w:val="none"/>
              </w:rPr>
              <w:t>注：投标函、开标一览表必须由法定代表人或者委托代理人在规定签章处逐一签字并加盖投标人公章，否则按无效投标</w:t>
            </w:r>
            <w:r>
              <w:rPr>
                <w:rFonts w:hint="eastAsia" w:ascii="宋体" w:hAnsi="宋体" w:cs="宋体"/>
                <w:b/>
                <w:color w:val="auto"/>
                <w:sz w:val="24"/>
                <w:highlight w:val="none"/>
              </w:rPr>
              <w:t>处理</w:t>
            </w:r>
            <w:r>
              <w:rPr>
                <w:rFonts w:hint="eastAsia" w:ascii="宋体" w:hAnsi="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vMerge w:val="continue"/>
            <w:tcBorders>
              <w:left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bookmarkStart w:id="45" w:name="_13.2"/>
            <w:bookmarkEnd w:id="45"/>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宋体"/>
                <w:b/>
                <w:color w:val="auto"/>
                <w:sz w:val="24"/>
                <w:highlight w:val="none"/>
              </w:rPr>
            </w:pPr>
            <w:r>
              <w:rPr>
                <w:rFonts w:hint="eastAsia" w:ascii="宋体" w:hAnsi="宋体" w:cs="宋体"/>
                <w:b/>
                <w:color w:val="auto"/>
                <w:sz w:val="24"/>
                <w:highlight w:val="none"/>
              </w:rPr>
              <w:t>资格证明文件：</w:t>
            </w:r>
          </w:p>
          <w:p>
            <w:pPr>
              <w:numPr>
                <w:ilvl w:val="0"/>
                <w:numId w:val="8"/>
              </w:numPr>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供应商为法人或者其他组织的，证明文件为其营业执照复印件（如营业执照或者事业单位法人证书或者执业许可证等）；供应商为自然人</w:t>
            </w:r>
          </w:p>
          <w:p>
            <w:pPr>
              <w:numPr>
                <w:ilvl w:val="0"/>
                <w:numId w:val="8"/>
              </w:numPr>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投标人直接控股、管理关系信息表（格式后附）；（</w:t>
            </w:r>
            <w:r>
              <w:rPr>
                <w:rFonts w:hint="eastAsia" w:ascii="宋体" w:hAnsi="宋体" w:cs="宋体"/>
                <w:b/>
                <w:color w:val="auto"/>
                <w:sz w:val="24"/>
                <w:highlight w:val="none"/>
              </w:rPr>
              <w:t>必须提供，否则按无效投标处理</w:t>
            </w:r>
            <w:r>
              <w:rPr>
                <w:rFonts w:hint="eastAsia" w:ascii="宋体" w:hAnsi="宋体" w:cs="宋体"/>
                <w:color w:val="auto"/>
                <w:sz w:val="24"/>
                <w:highlight w:val="none"/>
              </w:rPr>
              <w:t>）</w:t>
            </w:r>
          </w:p>
          <w:p>
            <w:pPr>
              <w:numPr>
                <w:ilvl w:val="0"/>
                <w:numId w:val="8"/>
              </w:numPr>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投标声明（格式后附）；（</w:t>
            </w:r>
            <w:r>
              <w:rPr>
                <w:rFonts w:hint="eastAsia" w:ascii="宋体" w:hAnsi="宋体" w:cs="宋体"/>
                <w:b/>
                <w:color w:val="auto"/>
                <w:sz w:val="24"/>
                <w:highlight w:val="none"/>
              </w:rPr>
              <w:t>必须提供，否则按无效投标处理</w:t>
            </w:r>
            <w:r>
              <w:rPr>
                <w:rFonts w:hint="eastAsia" w:ascii="宋体" w:hAnsi="宋体" w:cs="宋体"/>
                <w:color w:val="auto"/>
                <w:sz w:val="24"/>
                <w:highlight w:val="none"/>
              </w:rPr>
              <w:t>）</w:t>
            </w:r>
          </w:p>
          <w:p>
            <w:pPr>
              <w:numPr>
                <w:ilvl w:val="0"/>
                <w:numId w:val="8"/>
              </w:numPr>
              <w:snapToGri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除招标文件规定必须提供以外，投标人认为需要提供的其他证明材料。</w:t>
            </w:r>
          </w:p>
          <w:p>
            <w:pPr>
              <w:snapToGrid w:val="0"/>
              <w:spacing w:line="360" w:lineRule="auto"/>
              <w:jc w:val="left"/>
              <w:rPr>
                <w:rFonts w:hint="eastAsia" w:ascii="宋体" w:hAnsi="宋体" w:cs="宋体"/>
                <w:b/>
                <w:color w:val="auto"/>
                <w:sz w:val="24"/>
                <w:highlight w:val="none"/>
              </w:rPr>
            </w:pPr>
            <w:r>
              <w:rPr>
                <w:rFonts w:hint="eastAsia" w:ascii="宋体" w:hAnsi="宋体" w:cs="宋体"/>
                <w:b/>
                <w:bCs/>
                <w:color w:val="auto"/>
                <w:sz w:val="24"/>
                <w:highlight w:val="none"/>
              </w:rPr>
              <w:t>注：1.</w:t>
            </w:r>
            <w:r>
              <w:rPr>
                <w:rFonts w:hint="eastAsia" w:ascii="宋体" w:hAnsi="宋体" w:cs="宋体"/>
                <w:color w:val="auto"/>
                <w:sz w:val="24"/>
                <w:highlight w:val="none"/>
              </w:rPr>
              <w:t xml:space="preserve"> </w:t>
            </w:r>
            <w:r>
              <w:rPr>
                <w:rFonts w:hint="eastAsia" w:ascii="宋体" w:hAnsi="宋体" w:cs="宋体"/>
                <w:b/>
                <w:bCs/>
                <w:color w:val="auto"/>
                <w:sz w:val="24"/>
                <w:highlight w:val="none"/>
              </w:rPr>
              <w:t>以上标明“必须提供”的材料属于复印件的，必须加盖投标人公章，否则按无效投标</w:t>
            </w:r>
            <w:r>
              <w:rPr>
                <w:rFonts w:hint="eastAsia" w:ascii="宋体" w:hAnsi="宋体" w:cs="宋体"/>
                <w:b/>
                <w:color w:val="auto"/>
                <w:sz w:val="24"/>
                <w:highlight w:val="none"/>
              </w:rPr>
              <w:t>处理。</w:t>
            </w:r>
          </w:p>
          <w:p>
            <w:pPr>
              <w:snapToGrid w:val="0"/>
              <w:spacing w:line="360" w:lineRule="auto"/>
              <w:ind w:firstLine="482" w:firstLineChars="200"/>
              <w:jc w:val="left"/>
              <w:rPr>
                <w:rFonts w:hint="eastAsia" w:ascii="宋体" w:hAnsi="宋体" w:cs="宋体"/>
                <w:b/>
                <w:bCs/>
                <w:color w:val="auto"/>
                <w:sz w:val="24"/>
                <w:highlight w:val="none"/>
              </w:rPr>
            </w:pPr>
            <w:r>
              <w:rPr>
                <w:rFonts w:hint="eastAsia" w:ascii="宋体" w:hAnsi="宋体" w:cs="宋体"/>
                <w:b/>
                <w:color w:val="auto"/>
                <w:sz w:val="24"/>
                <w:highlight w:val="none"/>
              </w:rPr>
              <w:t>2.</w:t>
            </w:r>
            <w:r>
              <w:rPr>
                <w:rFonts w:hint="eastAsia" w:ascii="宋体" w:hAnsi="宋体" w:cs="宋体"/>
                <w:b/>
                <w:bCs/>
                <w:color w:val="auto"/>
                <w:sz w:val="24"/>
                <w:highlight w:val="none"/>
              </w:rPr>
              <w:t>投标声明必须由法定代表人在规定签章处签字并加盖投标人公章，否则按无效投标处理。</w:t>
            </w:r>
          </w:p>
          <w:p>
            <w:pPr>
              <w:snapToGrid w:val="0"/>
              <w:spacing w:line="360" w:lineRule="auto"/>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rPr>
              <w:t>3.投标人直接控股、管理关系信息表必须由法定代表人或者委托代理人在规定签章处签字并加盖投标人公章，否则按无效投标</w:t>
            </w:r>
            <w:r>
              <w:rPr>
                <w:rFonts w:hint="eastAsia" w:ascii="宋体" w:hAnsi="宋体" w:cs="宋体"/>
                <w:b/>
                <w:color w:val="auto"/>
                <w:sz w:val="24"/>
                <w:highlight w:val="none"/>
              </w:rPr>
              <w:t>处理</w:t>
            </w:r>
            <w:r>
              <w:rPr>
                <w:rFonts w:hint="eastAsia" w:ascii="宋体" w:hAnsi="宋体" w:cs="宋体"/>
                <w:b/>
                <w:bCs/>
                <w:color w:val="auto"/>
                <w:sz w:val="24"/>
                <w:highlight w:val="none"/>
              </w:rPr>
              <w:t>。</w:t>
            </w:r>
          </w:p>
          <w:p>
            <w:pPr>
              <w:snapToGrid w:val="0"/>
              <w:spacing w:line="360" w:lineRule="auto"/>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rPr>
              <w:t>4.联合体投标时，第1-4项资格证明文件联合体各方均必须分别提供，联合体各方分别盖章和签字，否则按无效投标</w:t>
            </w:r>
            <w:r>
              <w:rPr>
                <w:rFonts w:hint="eastAsia" w:ascii="宋体" w:hAnsi="宋体" w:cs="宋体"/>
                <w:b/>
                <w:color w:val="auto"/>
                <w:sz w:val="24"/>
                <w:highlight w:val="none"/>
              </w:rPr>
              <w:t>处理</w:t>
            </w:r>
            <w:r>
              <w:rPr>
                <w:rFonts w:hint="eastAsia" w:ascii="宋体" w:hAnsi="宋体" w:cs="宋体"/>
                <w:b/>
                <w:bCs/>
                <w:color w:val="auto"/>
                <w:sz w:val="24"/>
                <w:highlight w:val="none"/>
              </w:rPr>
              <w:t>。</w:t>
            </w:r>
          </w:p>
          <w:p>
            <w:pPr>
              <w:snapToGrid w:val="0"/>
              <w:spacing w:line="360" w:lineRule="auto"/>
              <w:ind w:firstLine="482" w:firstLineChars="200"/>
              <w:jc w:val="left"/>
              <w:rPr>
                <w:rFonts w:hint="eastAsia" w:ascii="宋体" w:hAnsi="宋体" w:cs="宋体"/>
                <w:b/>
                <w:bCs/>
                <w:color w:val="auto"/>
                <w:sz w:val="24"/>
                <w:highlight w:val="none"/>
              </w:rPr>
            </w:pPr>
            <w:r>
              <w:rPr>
                <w:rFonts w:hint="eastAsia" w:ascii="宋体" w:hAnsi="宋体" w:cs="宋体"/>
                <w:b/>
                <w:bCs/>
                <w:color w:val="auto"/>
                <w:sz w:val="24"/>
                <w:highlight w:val="none"/>
              </w:rPr>
              <w:t>5.分公司参加投标的，应当取得总公司授权；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vMerge w:val="continue"/>
            <w:tcBorders>
              <w:left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bookmarkStart w:id="46" w:name="_13.3"/>
            <w:bookmarkEnd w:id="46"/>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413"/>
              <w:jc w:val="left"/>
              <w:rPr>
                <w:rFonts w:hint="eastAsia" w:ascii="宋体" w:hAnsi="宋体" w:cs="宋体"/>
                <w:color w:val="auto"/>
                <w:sz w:val="24"/>
                <w:highlight w:val="none"/>
              </w:rPr>
            </w:pPr>
            <w:r>
              <w:rPr>
                <w:rFonts w:hint="eastAsia" w:ascii="宋体" w:hAnsi="宋体" w:cs="宋体"/>
                <w:b/>
                <w:color w:val="auto"/>
                <w:sz w:val="24"/>
                <w:highlight w:val="none"/>
              </w:rPr>
              <w:t>商务文件：（下列内容仅供参考，由项目人员根据项目情况自行编制）</w:t>
            </w:r>
            <w:r>
              <w:rPr>
                <w:rFonts w:hint="eastAsia" w:ascii="宋体" w:hAnsi="宋体" w:cs="宋体"/>
                <w:color w:val="auto"/>
                <w:sz w:val="24"/>
                <w:highlight w:val="none"/>
              </w:rPr>
              <w:t>1.无串通投标行为的承诺函（格式后附）；（</w:t>
            </w:r>
            <w:r>
              <w:rPr>
                <w:rFonts w:hint="eastAsia" w:ascii="宋体" w:hAnsi="宋体" w:cs="宋体"/>
                <w:b/>
                <w:color w:val="auto"/>
                <w:sz w:val="24"/>
                <w:highlight w:val="none"/>
              </w:rPr>
              <w:t>必须提供，否则按无效投标处理</w:t>
            </w:r>
            <w:r>
              <w:rPr>
                <w:rFonts w:hint="eastAsia" w:ascii="宋体" w:hAnsi="宋体" w:cs="宋体"/>
                <w:color w:val="auto"/>
                <w:sz w:val="24"/>
                <w:highlight w:val="none"/>
              </w:rPr>
              <w:t>）</w:t>
            </w:r>
          </w:p>
          <w:p>
            <w:pPr>
              <w:snapToGrid w:val="0"/>
              <w:spacing w:line="360" w:lineRule="auto"/>
              <w:ind w:left="413"/>
              <w:jc w:val="left"/>
              <w:rPr>
                <w:rFonts w:hint="eastAsia" w:ascii="宋体" w:hAnsi="宋体" w:cs="宋体"/>
                <w:color w:val="auto"/>
                <w:sz w:val="24"/>
                <w:highlight w:val="none"/>
              </w:rPr>
            </w:pPr>
            <w:r>
              <w:rPr>
                <w:rFonts w:hint="eastAsia" w:ascii="宋体" w:hAnsi="宋体" w:cs="宋体"/>
                <w:color w:val="auto"/>
                <w:sz w:val="24"/>
                <w:highlight w:val="none"/>
              </w:rPr>
              <w:t>2.法定代表人身份证明及法定代表人有效身份证正反面复印件（格式后附）；（</w:t>
            </w:r>
            <w:r>
              <w:rPr>
                <w:rFonts w:hint="eastAsia" w:ascii="宋体" w:hAnsi="宋体" w:cs="宋体"/>
                <w:b/>
                <w:bCs/>
                <w:color w:val="auto"/>
                <w:sz w:val="24"/>
                <w:highlight w:val="none"/>
              </w:rPr>
              <w:t>除自然人投标外</w:t>
            </w:r>
            <w:r>
              <w:rPr>
                <w:rFonts w:hint="eastAsia" w:ascii="宋体" w:hAnsi="宋体" w:cs="宋体"/>
                <w:b/>
                <w:color w:val="auto"/>
                <w:sz w:val="24"/>
                <w:highlight w:val="none"/>
              </w:rPr>
              <w:t>必须提供，否则按无效投标处理</w:t>
            </w:r>
            <w:r>
              <w:rPr>
                <w:rFonts w:hint="eastAsia" w:ascii="宋体" w:hAnsi="宋体" w:cs="宋体"/>
                <w:color w:val="auto"/>
                <w:sz w:val="24"/>
                <w:highlight w:val="none"/>
              </w:rPr>
              <w:t>）</w:t>
            </w:r>
          </w:p>
          <w:p>
            <w:pPr>
              <w:snapToGrid w:val="0"/>
              <w:spacing w:line="360" w:lineRule="auto"/>
              <w:ind w:left="413"/>
              <w:jc w:val="left"/>
              <w:rPr>
                <w:rFonts w:hint="eastAsia" w:ascii="宋体" w:hAnsi="宋体" w:cs="宋体"/>
                <w:color w:val="auto"/>
                <w:sz w:val="24"/>
                <w:highlight w:val="none"/>
              </w:rPr>
            </w:pPr>
            <w:r>
              <w:rPr>
                <w:rFonts w:hint="eastAsia" w:ascii="宋体" w:hAnsi="宋体" w:cs="宋体"/>
                <w:color w:val="auto"/>
                <w:sz w:val="24"/>
                <w:highlight w:val="none"/>
              </w:rPr>
              <w:t>3.授权委托书及委托代理人有效身份证正反面复印件（格式后附）；（</w:t>
            </w:r>
            <w:r>
              <w:rPr>
                <w:rFonts w:hint="eastAsia" w:ascii="宋体" w:hAnsi="宋体" w:cs="宋体"/>
                <w:b/>
                <w:color w:val="auto"/>
                <w:sz w:val="24"/>
                <w:highlight w:val="none"/>
              </w:rPr>
              <w:t>委托时必须提供，否则按无效投标处理</w:t>
            </w:r>
            <w:r>
              <w:rPr>
                <w:rFonts w:hint="eastAsia" w:ascii="宋体" w:hAnsi="宋体" w:cs="宋体"/>
                <w:color w:val="auto"/>
                <w:sz w:val="24"/>
                <w:highlight w:val="none"/>
              </w:rPr>
              <w:t>）</w:t>
            </w:r>
          </w:p>
          <w:p>
            <w:pPr>
              <w:snapToGrid w:val="0"/>
              <w:spacing w:line="360" w:lineRule="auto"/>
              <w:ind w:left="413"/>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4</w:t>
            </w:r>
            <w:r>
              <w:rPr>
                <w:rFonts w:ascii="宋体" w:hAnsi="宋体"/>
                <w:color w:val="auto"/>
                <w:sz w:val="24"/>
                <w:szCs w:val="24"/>
                <w:highlight w:val="none"/>
              </w:rPr>
              <w:t>.</w:t>
            </w:r>
            <w:r>
              <w:rPr>
                <w:rFonts w:hint="eastAsia" w:ascii="宋体" w:hAnsi="宋体"/>
                <w:color w:val="auto"/>
                <w:sz w:val="24"/>
                <w:szCs w:val="24"/>
                <w:highlight w:val="none"/>
              </w:rPr>
              <w:t>商务条款偏离表（格式后附）；</w:t>
            </w:r>
            <w:r>
              <w:rPr>
                <w:rFonts w:hint="eastAsia" w:ascii="宋体" w:hAnsi="宋体" w:cs="宋体"/>
                <w:color w:val="auto"/>
                <w:sz w:val="24"/>
                <w:highlight w:val="none"/>
              </w:rPr>
              <w:t>（</w:t>
            </w:r>
            <w:r>
              <w:rPr>
                <w:rFonts w:hint="eastAsia" w:ascii="宋体" w:hAnsi="宋体" w:cs="宋体"/>
                <w:b/>
                <w:color w:val="auto"/>
                <w:sz w:val="24"/>
                <w:highlight w:val="none"/>
              </w:rPr>
              <w:t>必须提供，否则按无效投标处理</w:t>
            </w:r>
            <w:r>
              <w:rPr>
                <w:rFonts w:hint="eastAsia" w:ascii="宋体" w:hAnsi="宋体" w:cs="宋体"/>
                <w:color w:val="auto"/>
                <w:sz w:val="24"/>
                <w:highlight w:val="none"/>
              </w:rPr>
              <w:t>）</w:t>
            </w:r>
          </w:p>
          <w:p>
            <w:pPr>
              <w:snapToGrid w:val="0"/>
              <w:spacing w:line="360" w:lineRule="auto"/>
              <w:ind w:left="413"/>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.投标人情况介绍（格式自拟）；</w:t>
            </w:r>
          </w:p>
          <w:p>
            <w:pPr>
              <w:snapToGrid w:val="0"/>
              <w:spacing w:line="360" w:lineRule="auto"/>
              <w:ind w:left="413"/>
              <w:jc w:val="left"/>
              <w:rPr>
                <w:rFonts w:hint="eastAsia"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.除招标文件规定必须提供以外，投标人认为需要提供的其他证明材料（格式自拟）。（投标人根据“第二章 采购需求”及“第四章 评标方法及评标标准”提供有关证明材料）。</w:t>
            </w:r>
          </w:p>
          <w:p>
            <w:pPr>
              <w:snapToGrid w:val="0"/>
              <w:spacing w:line="360" w:lineRule="auto"/>
              <w:jc w:val="left"/>
              <w:rPr>
                <w:rFonts w:hint="eastAsia" w:ascii="宋体" w:hAnsi="宋体" w:cs="宋体"/>
                <w:b/>
                <w:color w:val="auto"/>
                <w:sz w:val="24"/>
                <w:highlight w:val="none"/>
              </w:rPr>
            </w:pPr>
            <w:r>
              <w:rPr>
                <w:rFonts w:hint="eastAsia" w:ascii="宋体" w:hAnsi="宋体" w:cs="宋体"/>
                <w:b/>
                <w:bCs/>
                <w:color w:val="auto"/>
                <w:sz w:val="24"/>
                <w:highlight w:val="none"/>
              </w:rPr>
              <w:t>注：以上标明“必须提供”的材料属于复印件的，必须加盖投标人公章，否则按无效投标</w:t>
            </w:r>
            <w:r>
              <w:rPr>
                <w:rFonts w:hint="eastAsia" w:ascii="宋体" w:hAnsi="宋体" w:cs="宋体"/>
                <w:b/>
                <w:color w:val="auto"/>
                <w:sz w:val="24"/>
                <w:highlight w:val="none"/>
              </w:rPr>
              <w:t>处理</w:t>
            </w:r>
            <w:r>
              <w:rPr>
                <w:rFonts w:hint="eastAsia" w:ascii="宋体" w:hAnsi="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vMerge w:val="continue"/>
            <w:tcBorders>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bookmarkStart w:id="47" w:name="_13.4"/>
            <w:bookmarkEnd w:id="47"/>
          </w:p>
        </w:tc>
        <w:tc>
          <w:tcPr>
            <w:tcW w:w="81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bCs/>
                <w:color w:val="auto"/>
                <w:sz w:val="24"/>
                <w:highlight w:val="none"/>
              </w:rPr>
            </w:pPr>
            <w:r>
              <w:rPr>
                <w:rFonts w:hint="eastAsia" w:ascii="宋体" w:hAnsi="宋体" w:cs="宋体"/>
                <w:b/>
                <w:bCs/>
                <w:color w:val="auto"/>
                <w:sz w:val="24"/>
                <w:highlight w:val="none"/>
              </w:rPr>
              <w:t>技术文件：</w:t>
            </w:r>
          </w:p>
          <w:p>
            <w:pPr>
              <w:rPr>
                <w:rFonts w:hint="eastAsia" w:ascii="宋体" w:hAnsi="宋体" w:cs="宋体"/>
                <w:color w:val="auto"/>
                <w:sz w:val="24"/>
                <w:highlight w:val="none"/>
              </w:rPr>
            </w:pPr>
            <w:r>
              <w:rPr>
                <w:rFonts w:hint="eastAsia" w:ascii="宋体" w:hAnsi="宋体" w:cs="宋体"/>
                <w:color w:val="auto"/>
                <w:sz w:val="24"/>
                <w:highlight w:val="none"/>
              </w:rPr>
              <w:t>1.技术响应表</w:t>
            </w:r>
            <w:r>
              <w:rPr>
                <w:rFonts w:hint="eastAsia" w:ascii="宋体" w:hAnsi="宋体"/>
                <w:color w:val="auto"/>
                <w:sz w:val="24"/>
                <w:szCs w:val="24"/>
                <w:highlight w:val="none"/>
              </w:rPr>
              <w:t>（格式后附）</w:t>
            </w:r>
            <w:r>
              <w:rPr>
                <w:rFonts w:hint="eastAsia" w:ascii="宋体" w:hAnsi="宋体" w:cs="宋体"/>
                <w:color w:val="auto"/>
                <w:sz w:val="24"/>
                <w:highlight w:val="none"/>
              </w:rPr>
              <w:t>；</w:t>
            </w:r>
          </w:p>
          <w:p>
            <w:pPr>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.服务方案（格式自拟）</w:t>
            </w:r>
            <w:r>
              <w:rPr>
                <w:rFonts w:hint="eastAsia" w:ascii="宋体" w:hAnsi="宋体" w:cs="宋体"/>
                <w:color w:val="auto"/>
                <w:sz w:val="24"/>
                <w:highlight w:val="none"/>
                <w:lang w:val="en-US" w:eastAsia="zh-CN"/>
              </w:rPr>
              <w:t>；</w:t>
            </w:r>
          </w:p>
          <w:p>
            <w:pPr>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.投标人对本项目的合理化建议和改进措施（格式自拟）</w:t>
            </w:r>
            <w:r>
              <w:rPr>
                <w:rFonts w:hint="eastAsia" w:ascii="宋体" w:hAnsi="宋体" w:cs="宋体"/>
                <w:color w:val="auto"/>
                <w:sz w:val="24"/>
                <w:highlight w:val="none"/>
                <w:lang w:val="en-US" w:eastAsia="zh-CN"/>
              </w:rPr>
              <w:t>；</w:t>
            </w:r>
          </w:p>
          <w:p>
            <w:pPr>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.投标人需要说明的其他文件和说明（格式略）。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bookmarkStart w:id="48" w:name="_13.5"/>
            <w:bookmarkEnd w:id="48"/>
            <w:r>
              <w:rPr>
                <w:rFonts w:hint="eastAsia" w:ascii="宋体" w:hAnsi="宋体" w:cs="宋体"/>
                <w:color w:val="auto"/>
                <w:sz w:val="24"/>
                <w:highlight w:val="none"/>
              </w:rPr>
              <w:t>13.2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投标人应准备电子加密投标文件：电子加密投标文件按政采云平台要求及本招标文件要求制作、加密和递交；</w:t>
            </w:r>
          </w:p>
          <w:p>
            <w:pPr>
              <w:spacing w:line="360" w:lineRule="auto"/>
              <w:ind w:firstLine="480" w:firstLineChars="200"/>
              <w:rPr>
                <w:rFonts w:hint="eastAsia" w:ascii="宋体" w:hAnsi="宋体" w:cs="宋体"/>
                <w:color w:val="auto"/>
                <w:sz w:val="24"/>
                <w:highlight w:val="none"/>
              </w:rPr>
            </w:pPr>
            <w:r>
              <w:rPr>
                <w:rFonts w:hint="eastAsia" w:ascii="宋体" w:hAnsi="宋体" w:eastAsia="宋体" w:cs="宋体"/>
                <w:color w:val="auto"/>
                <w:sz w:val="24"/>
                <w:szCs w:val="24"/>
                <w:highlight w:val="none"/>
              </w:rPr>
              <w:t>未按招标公告规定提供相应的电子备份投标文件，造成项目开评标活动无法进行的，投标无效。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bookmarkStart w:id="49" w:name="_16.2"/>
            <w:bookmarkEnd w:id="49"/>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 w:val="24"/>
                <w:highlight w:val="none"/>
              </w:rPr>
            </w:pPr>
            <w:bookmarkStart w:id="50" w:name="_17.1"/>
            <w:bookmarkEnd w:id="50"/>
            <w:r>
              <w:rPr>
                <w:rFonts w:hint="eastAsia" w:ascii="宋体" w:hAnsi="宋体" w:cs="宋体"/>
                <w:color w:val="auto"/>
                <w:sz w:val="24"/>
                <w:highlight w:val="none"/>
              </w:rPr>
              <w:t>17.2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投标有效期：自投标文件提交截止之日起 60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rPr>
                <w:rFonts w:hint="eastAsia" w:ascii="宋体" w:hAnsi="宋体" w:cs="宋体"/>
                <w:color w:val="auto"/>
                <w:sz w:val="24"/>
                <w:highlight w:val="none"/>
              </w:rPr>
            </w:pPr>
            <w:bookmarkStart w:id="51" w:name="_18"/>
            <w:bookmarkEnd w:id="51"/>
            <w:r>
              <w:rPr>
                <w:rFonts w:hint="eastAsia" w:ascii="宋体" w:hAnsi="宋体" w:cs="宋体"/>
                <w:color w:val="auto"/>
                <w:sz w:val="24"/>
                <w:highlight w:val="none"/>
              </w:rPr>
              <w:t>18</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b/>
                <w:color w:val="auto"/>
                <w:sz w:val="24"/>
                <w:highlight w:val="none"/>
              </w:rPr>
            </w:pPr>
            <w:r>
              <w:rPr>
                <w:rFonts w:hint="eastAsia" w:ascii="宋体" w:hAnsi="宋体" w:cs="宋体"/>
                <w:color w:val="auto"/>
                <w:sz w:val="24"/>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52" w:name="_21.1"/>
            <w:bookmarkEnd w:id="52"/>
            <w:bookmarkStart w:id="53" w:name="_19.2"/>
            <w:bookmarkEnd w:id="53"/>
            <w:r>
              <w:rPr>
                <w:rFonts w:hint="eastAsia" w:ascii="宋体" w:hAnsi="宋体" w:cs="宋体"/>
                <w:color w:val="auto"/>
                <w:sz w:val="24"/>
                <w:highlight w:val="none"/>
              </w:rPr>
              <w:t>21.1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u w:val="single"/>
              </w:rPr>
            </w:pPr>
            <w:r>
              <w:rPr>
                <w:rFonts w:hint="eastAsia" w:ascii="宋体" w:hAnsi="宋体" w:cs="宋体"/>
                <w:color w:val="auto"/>
                <w:sz w:val="24"/>
                <w:highlight w:val="none"/>
              </w:rPr>
              <w:t>1.投标截止时间：详见招标公告</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2.投标文件提交起止时间：</w:t>
            </w:r>
            <w:r>
              <w:rPr>
                <w:rFonts w:hint="eastAsia" w:ascii="宋体" w:hAnsi="宋体" w:cs="宋体"/>
                <w:bCs/>
                <w:color w:val="auto"/>
                <w:sz w:val="24"/>
                <w:highlight w:val="none"/>
              </w:rPr>
              <w:t>详见招标公告</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54" w:name="_23"/>
            <w:bookmarkEnd w:id="54"/>
            <w:r>
              <w:rPr>
                <w:rFonts w:hint="eastAsia" w:ascii="宋体" w:hAnsi="宋体" w:cs="宋体"/>
                <w:color w:val="auto"/>
                <w:sz w:val="24"/>
                <w:highlight w:val="none"/>
              </w:rPr>
              <w:t>23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1.开标时间：详见招标公告</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24（5）</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唱标内容：投标人名称、投标价格、</w:t>
            </w:r>
            <w:r>
              <w:rPr>
                <w:rFonts w:hint="eastAsia" w:ascii="宋体" w:hAnsi="宋体" w:cs="宋体"/>
                <w:color w:val="auto"/>
                <w:sz w:val="24"/>
                <w:highlight w:val="none"/>
                <w:u w:val="single"/>
              </w:rPr>
              <w:t xml:space="preserve">  服务期限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55" w:name="_25.3"/>
            <w:bookmarkEnd w:id="55"/>
            <w:r>
              <w:rPr>
                <w:rFonts w:hint="eastAsia" w:ascii="宋体" w:hAnsi="宋体" w:cs="宋体"/>
                <w:color w:val="auto"/>
                <w:sz w:val="24"/>
                <w:highlight w:val="none"/>
              </w:rPr>
              <w:t>25.3（3）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采购人或者采购代理机构在资格审查结束前，对投标人进行信用查询。</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查询渠道：“信用中国”网站(www.creditchina.gov.cn) 、中国政府采购网(www.ccgp.gov.cn)。</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信用查询截止时点：资格审查结束前。 </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查询记录和证据留存方式：在查询网站中直接打印查询记录，打印材料作为评审资料保存。</w:t>
            </w:r>
          </w:p>
          <w:p>
            <w:pPr>
              <w:snapToGrid w:val="0"/>
              <w:spacing w:line="360" w:lineRule="auto"/>
              <w:rPr>
                <w:rFonts w:hint="eastAsia" w:ascii="宋体" w:hAnsi="宋体" w:cs="宋体"/>
                <w:b/>
                <w:color w:val="auto"/>
                <w:sz w:val="24"/>
                <w:highlight w:val="none"/>
              </w:rPr>
            </w:pPr>
            <w:r>
              <w:rPr>
                <w:rFonts w:hint="eastAsia" w:ascii="宋体" w:hAnsi="宋体" w:cs="宋体"/>
                <w:color w:val="auto"/>
                <w:sz w:val="24"/>
                <w:highlight w:val="none"/>
              </w:rPr>
              <w:t>信用信息使用规则：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56" w:name="_26"/>
            <w:bookmarkEnd w:id="56"/>
            <w:r>
              <w:rPr>
                <w:rFonts w:hint="eastAsia" w:ascii="宋体" w:hAnsi="宋体" w:cs="宋体"/>
                <w:color w:val="auto"/>
                <w:sz w:val="24"/>
                <w:highlight w:val="none"/>
              </w:rPr>
              <w:t>26</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评标委员会的人数：</w:t>
            </w:r>
            <w:r>
              <w:rPr>
                <w:rFonts w:hint="eastAsia" w:ascii="宋体" w:hAnsi="宋体" w:cs="宋体"/>
                <w:color w:val="auto"/>
                <w:sz w:val="24"/>
                <w:highlight w:val="none"/>
                <w:u w:val="single"/>
              </w:rPr>
              <w:t xml:space="preserve"> 5 </w:t>
            </w:r>
            <w:r>
              <w:rPr>
                <w:rFonts w:hint="eastAsia" w:ascii="宋体" w:hAnsi="宋体" w:cs="宋体"/>
                <w:color w:val="auto"/>
                <w:sz w:val="24"/>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57" w:name="_28.3"/>
            <w:bookmarkEnd w:id="57"/>
            <w:r>
              <w:rPr>
                <w:rFonts w:hint="eastAsia" w:ascii="宋体" w:hAnsi="宋体" w:cs="宋体"/>
                <w:color w:val="auto"/>
                <w:sz w:val="24"/>
                <w:highlight w:val="none"/>
              </w:rPr>
              <w:t>29.1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58" w:name="_29.2.2（2）"/>
            <w:bookmarkEnd w:id="58"/>
            <w:r>
              <w:rPr>
                <w:rFonts w:hint="eastAsia" w:ascii="宋体" w:hAnsi="宋体" w:cs="宋体"/>
                <w:color w:val="auto"/>
                <w:sz w:val="24"/>
                <w:highlight w:val="none"/>
              </w:rPr>
              <w:t>29.2</w:t>
            </w:r>
          </w:p>
        </w:tc>
        <w:tc>
          <w:tcPr>
            <w:tcW w:w="8175"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商务要求评审中允许负偏离的条款数为</w:t>
            </w:r>
            <w:r>
              <w:rPr>
                <w:rFonts w:hint="eastAsia" w:ascii="宋体" w:hAnsi="宋体" w:cs="宋体"/>
                <w:color w:val="auto"/>
                <w:sz w:val="24"/>
                <w:highlight w:val="none"/>
                <w:u w:val="single"/>
              </w:rPr>
              <w:t xml:space="preserve"> 0 </w:t>
            </w:r>
            <w:r>
              <w:rPr>
                <w:rFonts w:hint="eastAsia" w:ascii="宋体" w:hAnsi="宋体" w:cs="宋体"/>
                <w:color w:val="auto"/>
                <w:sz w:val="24"/>
                <w:highlight w:val="none"/>
              </w:rPr>
              <w:t>项。</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技术要求评审中允许负偏离的条款数为</w:t>
            </w:r>
            <w:r>
              <w:rPr>
                <w:rFonts w:hint="eastAsia" w:ascii="宋体" w:hAnsi="宋体" w:cs="宋体"/>
                <w:color w:val="auto"/>
                <w:sz w:val="24"/>
                <w:highlight w:val="none"/>
                <w:u w:val="single"/>
              </w:rPr>
              <w:t xml:space="preserve"> 0  </w:t>
            </w:r>
            <w:r>
              <w:rPr>
                <w:rFonts w:hint="eastAsia" w:ascii="宋体" w:hAnsi="宋体" w:cs="宋体"/>
                <w:color w:val="auto"/>
                <w:sz w:val="24"/>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p>
        </w:tc>
        <w:tc>
          <w:tcPr>
            <w:tcW w:w="8175" w:type="dxa"/>
            <w:tcBorders>
              <w:top w:val="single" w:color="auto" w:sz="4" w:space="0"/>
              <w:left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中标候选人推荐数量：3名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30.1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b/>
                <w:color w:val="auto"/>
                <w:sz w:val="24"/>
                <w:highlight w:val="none"/>
              </w:rPr>
            </w:pPr>
            <w:r>
              <w:rPr>
                <w:rFonts w:hint="eastAsia" w:ascii="宋体" w:hAnsi="宋体" w:cs="宋体"/>
                <w:color w:val="auto"/>
                <w:sz w:val="24"/>
                <w:highlight w:val="none"/>
              </w:rPr>
              <w:t>采用综合评分法的采购项目，采购人确定中标人时，出现中标候选人并列的情形，采购人按以下的方式确定中标人：</w:t>
            </w:r>
            <w:r>
              <w:rPr>
                <w:rFonts w:hint="eastAsia" w:hAnsi="宋体"/>
                <w:color w:val="auto"/>
                <w:sz w:val="24"/>
                <w:highlight w:val="none"/>
              </w:rPr>
              <w:t>得分相同的，以投标报价由低到高顺序排列。得分相同且投标报价相同的并列，投标文件满足招标文件全部实质性要求，且按照评审因素的量化指标评审得分最高的投标人为排名第一的中标候选人。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59" w:name="_39.1"/>
            <w:bookmarkEnd w:id="59"/>
            <w:r>
              <w:rPr>
                <w:rFonts w:hint="eastAsia" w:ascii="宋体" w:hAnsi="宋体" w:cs="宋体"/>
                <w:color w:val="auto"/>
                <w:sz w:val="24"/>
                <w:highlight w:val="none"/>
              </w:rPr>
              <w:t>35.1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☑本项目不收取履约保证金。</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□本项目收取履约保证金，具体规定如下：</w:t>
            </w:r>
          </w:p>
          <w:p>
            <w:pPr>
              <w:pStyle w:val="17"/>
              <w:spacing w:line="360" w:lineRule="auto"/>
              <w:rPr>
                <w:rFonts w:hint="eastAsia" w:ascii="宋体" w:hAnsi="宋体" w:cs="宋体"/>
                <w:color w:val="auto"/>
                <w:sz w:val="24"/>
                <w:highlight w:val="none"/>
              </w:rPr>
            </w:pPr>
            <w:r>
              <w:rPr>
                <w:rFonts w:hint="eastAsia" w:ascii="宋体" w:hAnsi="宋体" w:cs="宋体"/>
                <w:color w:val="auto"/>
                <w:sz w:val="24"/>
                <w:highlight w:val="none"/>
              </w:rPr>
              <w:t>履约保证金金额：每分标按中标金额的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%（注：履约保证金不超过政府采购合同金额的5%）。</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履约保证金递交方式：银行转账、支票、汇票、本票或者金融、担保机构出具的保函等非现金方式（参照投标保证金）</w:t>
            </w:r>
          </w:p>
          <w:p>
            <w:pPr>
              <w:autoSpaceDE w:val="0"/>
              <w:autoSpaceDN w:val="0"/>
              <w:snapToGrid w:val="0"/>
              <w:spacing w:line="360" w:lineRule="auto"/>
              <w:textAlignment w:val="bottom"/>
              <w:rPr>
                <w:rFonts w:hint="eastAsia" w:ascii="宋体" w:hAnsi="宋体" w:cs="宋体"/>
                <w:color w:val="auto"/>
                <w:sz w:val="24"/>
                <w:highlight w:val="none"/>
                <w:u w:val="single"/>
              </w:rPr>
            </w:pPr>
            <w:r>
              <w:rPr>
                <w:rFonts w:hint="eastAsia" w:ascii="宋体" w:hAnsi="宋体" w:cs="宋体"/>
                <w:color w:val="auto"/>
                <w:sz w:val="24"/>
                <w:highlight w:val="none"/>
              </w:rPr>
              <w:t>履约保证金退付方式、时间及条件：</w:t>
            </w:r>
            <w:r>
              <w:rPr>
                <w:rFonts w:hint="eastAsia" w:ascii="宋体" w:hAnsi="宋体" w:cs="宋体"/>
                <w:color w:val="auto"/>
                <w:sz w:val="24"/>
                <w:highlight w:val="none"/>
                <w:u w:val="single"/>
              </w:rPr>
              <w:t xml:space="preserve">                                           。</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履约保证金指定账户：</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开户名称：</w:t>
            </w:r>
            <w:r>
              <w:rPr>
                <w:rFonts w:hint="eastAsia" w:ascii="宋体" w:hAnsi="宋体" w:cs="宋体"/>
                <w:color w:val="auto"/>
                <w:sz w:val="24"/>
                <w:highlight w:val="none"/>
                <w:u w:val="single"/>
              </w:rPr>
              <w:t xml:space="preserve">                </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银行账号：</w:t>
            </w:r>
            <w:r>
              <w:rPr>
                <w:rFonts w:hint="eastAsia" w:ascii="宋体" w:hAnsi="宋体" w:cs="宋体"/>
                <w:color w:val="auto"/>
                <w:sz w:val="24"/>
                <w:highlight w:val="none"/>
                <w:u w:val="single"/>
              </w:rPr>
              <w:t xml:space="preserve">                </w:t>
            </w:r>
          </w:p>
          <w:p>
            <w:pPr>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rPr>
              <w:t>备注：</w:t>
            </w:r>
          </w:p>
          <w:p>
            <w:pPr>
              <w:spacing w:line="360" w:lineRule="auto"/>
              <w:jc w:val="left"/>
              <w:rPr>
                <w:rFonts w:hint="eastAsia" w:ascii="宋体" w:hAnsi="宋体" w:cs="宋体"/>
                <w:b/>
                <w:color w:val="auto"/>
                <w:sz w:val="24"/>
                <w:highlight w:val="none"/>
              </w:rPr>
            </w:pPr>
            <w:r>
              <w:rPr>
                <w:rFonts w:hint="eastAsia" w:ascii="宋体" w:hAnsi="宋体" w:cs="宋体"/>
                <w:b/>
                <w:color w:val="auto"/>
                <w:sz w:val="24"/>
                <w:highlight w:val="none"/>
              </w:rPr>
              <w:t xml:space="preserve">1. </w:t>
            </w:r>
            <w:bookmarkStart w:id="60" w:name="_Hlk54170335"/>
            <w:r>
              <w:rPr>
                <w:rFonts w:hint="eastAsia" w:ascii="宋体" w:hAnsi="宋体" w:cs="宋体"/>
                <w:b/>
                <w:color w:val="auto"/>
                <w:sz w:val="24"/>
                <w:highlight w:val="none"/>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60"/>
            <w:r>
              <w:rPr>
                <w:rFonts w:hint="eastAsia" w:ascii="宋体" w:hAnsi="宋体" w:cs="宋体"/>
                <w:color w:val="auto"/>
                <w:sz w:val="24"/>
                <w:highlight w:val="none"/>
              </w:rPr>
              <w:br w:type="textWrapping"/>
            </w:r>
            <w:r>
              <w:rPr>
                <w:rFonts w:hint="eastAsia" w:ascii="宋体" w:hAnsi="宋体" w:cs="宋体"/>
                <w:b/>
                <w:color w:val="auto"/>
                <w:sz w:val="24"/>
                <w:highlight w:val="none"/>
              </w:rPr>
              <w:t>2.</w:t>
            </w:r>
            <w:r>
              <w:rPr>
                <w:rFonts w:hint="eastAsia" w:ascii="宋体" w:hAnsi="宋体" w:cs="宋体"/>
                <w:color w:val="auto"/>
                <w:sz w:val="24"/>
                <w:highlight w:val="none"/>
              </w:rPr>
              <w:t xml:space="preserve"> </w:t>
            </w:r>
            <w:r>
              <w:rPr>
                <w:rFonts w:hint="eastAsia" w:ascii="宋体" w:hAnsi="宋体" w:cs="宋体"/>
                <w:b/>
                <w:color w:val="auto"/>
                <w:sz w:val="24"/>
                <w:highlight w:val="none"/>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r>
              <w:rPr>
                <w:rFonts w:hint="eastAsia" w:ascii="宋体" w:hAnsi="宋体" w:cs="宋体"/>
                <w:b/>
                <w:color w:val="auto"/>
                <w:sz w:val="24"/>
                <w:highlight w:val="none"/>
              </w:rPr>
              <w:br w:type="textWrapping"/>
            </w:r>
            <w:r>
              <w:rPr>
                <w:rFonts w:hint="eastAsia" w:ascii="宋体" w:hAnsi="宋体" w:cs="宋体"/>
                <w:b/>
                <w:color w:val="auto"/>
                <w:sz w:val="24"/>
                <w:highlight w:val="none"/>
              </w:rPr>
              <w:t>3.采用金融、担保机构出具的保函的，必须为无条件保函，否则不予签订合同。</w:t>
            </w:r>
          </w:p>
          <w:p>
            <w:pPr>
              <w:spacing w:line="360" w:lineRule="auto"/>
              <w:jc w:val="left"/>
              <w:rPr>
                <w:rFonts w:hint="eastAsia" w:ascii="宋体" w:hAnsi="宋体" w:cs="宋体"/>
                <w:color w:val="auto"/>
                <w:kern w:val="0"/>
                <w:sz w:val="24"/>
                <w:highlight w:val="none"/>
              </w:rPr>
            </w:pPr>
            <w:r>
              <w:rPr>
                <w:rFonts w:hint="eastAsia" w:ascii="宋体" w:hAnsi="宋体" w:cs="宋体"/>
                <w:b/>
                <w:color w:val="auto"/>
                <w:sz w:val="24"/>
                <w:highlight w:val="none"/>
              </w:rPr>
              <w:t>4.投标人为联合体的，由联合体其中一方按规定提交的履约保证金，视为有效履约保证金。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61" w:name="_40.1"/>
            <w:bookmarkEnd w:id="61"/>
            <w:r>
              <w:rPr>
                <w:rFonts w:hint="eastAsia" w:ascii="宋体" w:hAnsi="宋体" w:cs="宋体"/>
                <w:color w:val="auto"/>
                <w:sz w:val="24"/>
                <w:highlight w:val="none"/>
              </w:rPr>
              <w:t>36.1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 xml:space="preserve">签订合同携带的证明材料： </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委托代理人负责签订合同的，须携带授权委托书及委托代理人身份证原件等其他资格证件。</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法定代表人负责签订合同的，须携带法定代表人身份证明原件及身份证原件等其他证明材料。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38.2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接收质疑函方式：以书面形式</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质疑联系部门及联系方式：</w:t>
            </w:r>
            <w:r>
              <w:rPr>
                <w:rFonts w:hint="eastAsia" w:ascii="宋体" w:hAnsi="宋体" w:cs="宋体"/>
                <w:color w:val="auto"/>
                <w:sz w:val="24"/>
                <w:highlight w:val="none"/>
                <w:lang w:eastAsia="zh-CN"/>
              </w:rPr>
              <w:t>广西德胜工程项目管理有限公司</w:t>
            </w:r>
            <w:r>
              <w:rPr>
                <w:rFonts w:hint="eastAsia" w:ascii="宋体" w:hAnsi="宋体" w:cs="宋体"/>
                <w:color w:val="auto"/>
                <w:sz w:val="24"/>
                <w:highlight w:val="none"/>
              </w:rPr>
              <w:t xml:space="preserve"> ，联系电话：0778-2119188，通讯地址：河池市金城江区城西大道状元西苑一单元1102房</w:t>
            </w:r>
          </w:p>
          <w:p>
            <w:pPr>
              <w:autoSpaceDE w:val="0"/>
              <w:autoSpaceDN w:val="0"/>
              <w:snapToGrid w:val="0"/>
              <w:spacing w:line="360" w:lineRule="auto"/>
              <w:textAlignment w:val="bottom"/>
              <w:rPr>
                <w:rFonts w:hint="eastAsia" w:ascii="宋体" w:hAnsi="宋体" w:cs="宋体"/>
                <w:color w:val="auto"/>
                <w:sz w:val="24"/>
                <w:highlight w:val="none"/>
              </w:rPr>
            </w:pPr>
            <w:r>
              <w:rPr>
                <w:rFonts w:hint="eastAsia" w:ascii="宋体" w:hAnsi="宋体" w:cs="宋体"/>
                <w:color w:val="auto"/>
                <w:sz w:val="24"/>
                <w:highlight w:val="none"/>
              </w:rPr>
              <w:t xml:space="preserve">现场提交质疑办理业务时间：法定工作时间。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color w:val="auto"/>
                <w:sz w:val="24"/>
                <w:highlight w:val="none"/>
              </w:rPr>
            </w:pPr>
            <w:bookmarkStart w:id="62" w:name="_41"/>
            <w:bookmarkEnd w:id="62"/>
            <w:bookmarkStart w:id="63" w:name="_42"/>
            <w:bookmarkEnd w:id="63"/>
            <w:bookmarkStart w:id="64" w:name="_Hlt17709148"/>
            <w:r>
              <w:rPr>
                <w:rFonts w:hint="eastAsia" w:ascii="宋体" w:hAnsi="宋体" w:cs="宋体"/>
                <w:color w:val="auto"/>
                <w:sz w:val="24"/>
                <w:highlight w:val="none"/>
              </w:rPr>
              <w:t>3</w:t>
            </w:r>
            <w:bookmarkEnd w:id="64"/>
            <w:r>
              <w:rPr>
                <w:rFonts w:hint="eastAsia" w:ascii="宋体" w:hAnsi="宋体" w:cs="宋体"/>
                <w:color w:val="auto"/>
                <w:sz w:val="24"/>
                <w:highlight w:val="none"/>
              </w:rPr>
              <w:t>9.1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rPr>
              <w:t>1.采购代理费支付方式：</w:t>
            </w:r>
          </w:p>
          <w:p>
            <w:pPr>
              <w:pStyle w:val="3"/>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rPr>
              <w:t>☑本项目代理服务费由</w:t>
            </w:r>
            <w:r>
              <w:rPr>
                <w:rFonts w:hint="eastAsia" w:hAnsi="宋体" w:cs="宋体"/>
                <w:color w:val="auto"/>
                <w:sz w:val="24"/>
                <w:szCs w:val="24"/>
                <w:highlight w:val="none"/>
                <w:u w:val="single"/>
              </w:rPr>
              <w:t>中标人</w:t>
            </w:r>
            <w:r>
              <w:rPr>
                <w:rFonts w:hint="eastAsia" w:hAnsi="宋体" w:cs="宋体"/>
                <w:color w:val="auto"/>
                <w:sz w:val="24"/>
                <w:szCs w:val="24"/>
                <w:highlight w:val="none"/>
              </w:rPr>
              <w:t>在领取中标通知书前，一次性向采购代理机构支付。</w:t>
            </w:r>
          </w:p>
          <w:p>
            <w:pPr>
              <w:pStyle w:val="3"/>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rPr>
              <w:t>2.采购代理费收取标准：</w:t>
            </w:r>
          </w:p>
          <w:p>
            <w:pPr>
              <w:pStyle w:val="3"/>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lang w:eastAsia="zh-CN"/>
              </w:rPr>
              <w:t>□</w:t>
            </w:r>
            <w:r>
              <w:rPr>
                <w:rFonts w:hint="eastAsia" w:hAnsi="宋体" w:cs="宋体"/>
                <w:color w:val="auto"/>
                <w:sz w:val="24"/>
                <w:szCs w:val="24"/>
                <w:highlight w:val="none"/>
              </w:rPr>
              <w:t>以分标（</w:t>
            </w:r>
            <w:r>
              <w:rPr>
                <w:rFonts w:hint="eastAsia" w:hAnsi="宋体" w:cs="宋体"/>
                <w:color w:val="auto"/>
                <w:sz w:val="24"/>
                <w:szCs w:val="24"/>
                <w:highlight w:val="none"/>
                <w:lang w:eastAsia="zh-CN"/>
              </w:rPr>
              <w:t>□</w:t>
            </w:r>
            <w:r>
              <w:rPr>
                <w:rFonts w:hint="eastAsia" w:hAnsi="宋体" w:cs="宋体"/>
                <w:color w:val="auto"/>
                <w:sz w:val="24"/>
                <w:szCs w:val="24"/>
                <w:highlight w:val="none"/>
              </w:rPr>
              <w:t>中标金额/□采购预算/□暂定中标金额/□其他</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）为计费额，按本须知正文第39.2条规定的收费计算标准（□货物招标/</w:t>
            </w:r>
            <w:r>
              <w:rPr>
                <w:rFonts w:hint="eastAsia" w:hAnsi="宋体" w:cs="宋体"/>
                <w:color w:val="auto"/>
                <w:sz w:val="24"/>
                <w:szCs w:val="24"/>
                <w:highlight w:val="none"/>
                <w:lang w:eastAsia="zh-CN"/>
              </w:rPr>
              <w:t>□</w:t>
            </w:r>
            <w:r>
              <w:rPr>
                <w:rFonts w:hint="eastAsia" w:hAnsi="宋体" w:cs="宋体"/>
                <w:color w:val="auto"/>
                <w:sz w:val="24"/>
                <w:szCs w:val="24"/>
                <w:highlight w:val="none"/>
              </w:rPr>
              <w:t>服务招标/□工程招标）采用差额定率累进法计算出收费基准价格，采购代理收费以（</w:t>
            </w:r>
            <w:r>
              <w:rPr>
                <w:rFonts w:hint="eastAsia" w:hAnsi="宋体" w:cs="宋体"/>
                <w:color w:val="auto"/>
                <w:sz w:val="24"/>
                <w:szCs w:val="24"/>
                <w:highlight w:val="none"/>
                <w:lang w:eastAsia="zh-CN"/>
              </w:rPr>
              <w:t>□</w:t>
            </w:r>
            <w:r>
              <w:rPr>
                <w:rFonts w:hint="eastAsia" w:hAnsi="宋体" w:cs="宋体"/>
                <w:color w:val="auto"/>
                <w:sz w:val="24"/>
                <w:szCs w:val="24"/>
                <w:highlight w:val="none"/>
              </w:rPr>
              <w:t>收费基准价格/□收费基准价格下浮</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/□收费基准价格上浮</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）收取。</w:t>
            </w:r>
          </w:p>
          <w:p>
            <w:pPr>
              <w:pStyle w:val="3"/>
              <w:snapToGrid w:val="0"/>
              <w:spacing w:line="360" w:lineRule="auto"/>
              <w:rPr>
                <w:rFonts w:hint="eastAsia" w:hAnsi="宋体" w:cs="宋体"/>
                <w:color w:val="auto"/>
                <w:sz w:val="24"/>
                <w:szCs w:val="24"/>
                <w:highlight w:val="none"/>
                <w:u w:val="single"/>
              </w:rPr>
            </w:pPr>
            <w:r>
              <w:rPr>
                <w:rFonts w:hint="eastAsia" w:hAnsi="宋体" w:cs="宋体"/>
                <w:color w:val="auto"/>
                <w:sz w:val="24"/>
                <w:szCs w:val="24"/>
                <w:highlight w:val="none"/>
              </w:rPr>
              <w:sym w:font="Wingdings 2" w:char="0052"/>
            </w:r>
            <w:r>
              <w:rPr>
                <w:rFonts w:hint="eastAsia" w:hAnsi="宋体" w:cs="宋体"/>
                <w:color w:val="auto"/>
                <w:sz w:val="24"/>
                <w:szCs w:val="24"/>
                <w:highlight w:val="none"/>
              </w:rPr>
              <w:t>固定采购代理收费</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人民币</w:t>
            </w:r>
            <w:r>
              <w:rPr>
                <w:rFonts w:hint="eastAsia" w:hAnsi="宋体" w:cs="宋体"/>
                <w:color w:val="auto"/>
                <w:sz w:val="24"/>
                <w:szCs w:val="24"/>
                <w:highlight w:val="none"/>
                <w:u w:val="single"/>
                <w:lang w:eastAsia="zh-CN"/>
              </w:rPr>
              <w:t>陆万伍仟元整</w:t>
            </w:r>
            <w:r>
              <w:rPr>
                <w:rFonts w:hint="eastAsia" w:hAnsi="宋体" w:cs="宋体"/>
                <w:color w:val="auto"/>
                <w:sz w:val="24"/>
                <w:szCs w:val="24"/>
                <w:highlight w:val="none"/>
                <w:u w:val="single"/>
              </w:rPr>
              <w:t xml:space="preserve"> 。</w:t>
            </w:r>
          </w:p>
          <w:p>
            <w:pPr>
              <w:pStyle w:val="3"/>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rPr>
              <w:t>3.开户名称：广西德胜工程项目管理有限公司河池分公司</w:t>
            </w:r>
          </w:p>
          <w:p>
            <w:pPr>
              <w:pStyle w:val="3"/>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rPr>
              <w:t>开户银行：河池市区农村信用合作联社兴业信用社</w:t>
            </w:r>
          </w:p>
          <w:p>
            <w:pPr>
              <w:pStyle w:val="3"/>
              <w:snapToGrid w:val="0"/>
              <w:spacing w:line="360" w:lineRule="auto"/>
              <w:rPr>
                <w:rFonts w:hint="eastAsia" w:hAnsi="宋体" w:cs="宋体"/>
                <w:color w:val="auto"/>
                <w:sz w:val="24"/>
                <w:szCs w:val="24"/>
                <w:highlight w:val="none"/>
              </w:rPr>
            </w:pPr>
            <w:r>
              <w:rPr>
                <w:rFonts w:hint="eastAsia" w:hAnsi="宋体" w:cs="宋体"/>
                <w:color w:val="auto"/>
                <w:sz w:val="24"/>
                <w:szCs w:val="24"/>
                <w:highlight w:val="none"/>
              </w:rPr>
              <w:t>帐    号：705012010101129229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40.1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解释：构成本招标文件的各个组成文件应互为解释，互为说明；除招标文件中有特别规定外，仅适用于招标投标阶段的规定，按更正公告（澄清公告）、招标公告、采购需求、投标人须知、评标方法及评标标准、拟签订的合同文本、投标文件格式的先后顺序解释；同一组成文件中就同一事项的规定或者约定不一致的，以编排顺序在后者为准；同一组成文件不同版本之间有不一致的，以形成时间在后者为准；更正公告（澄清公告）与同步更新的招标文件不一致时以更正公告（澄清公告）为准。按本款前述规定仍不能形成结论的，由采购人或者采购代理机构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40.2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3"/>
              <w:snapToGrid w:val="0"/>
              <w:spacing w:line="360" w:lineRule="auto"/>
              <w:rPr>
                <w:rFonts w:hint="eastAsia" w:hAnsi="宋体" w:cs="宋体"/>
                <w:bCs/>
                <w:color w:val="auto"/>
                <w:sz w:val="24"/>
                <w:szCs w:val="24"/>
                <w:highlight w:val="none"/>
              </w:rPr>
            </w:pPr>
            <w:r>
              <w:rPr>
                <w:rFonts w:hint="eastAsia" w:hAnsi="宋体" w:cs="宋体"/>
                <w:bCs/>
                <w:color w:val="auto"/>
                <w:sz w:val="24"/>
                <w:szCs w:val="24"/>
                <w:highlight w:val="none"/>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3"/>
              <w:snapToGrid w:val="0"/>
              <w:spacing w:line="360" w:lineRule="auto"/>
              <w:rPr>
                <w:rFonts w:hint="eastAsia" w:hAnsi="宋体" w:cs="宋体"/>
                <w:bCs/>
                <w:color w:val="auto"/>
                <w:sz w:val="24"/>
                <w:szCs w:val="24"/>
                <w:highlight w:val="none"/>
              </w:rPr>
            </w:pPr>
            <w:r>
              <w:rPr>
                <w:rFonts w:hint="eastAsia" w:hAnsi="宋体" w:cs="宋体"/>
                <w:bCs/>
                <w:color w:val="auto"/>
                <w:sz w:val="24"/>
                <w:szCs w:val="24"/>
                <w:highlight w:val="none"/>
              </w:rPr>
              <w:t>2.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10"/>
              <w:snapToGrid w:val="0"/>
              <w:spacing w:line="360" w:lineRule="auto"/>
              <w:ind w:firstLine="0"/>
              <w:rPr>
                <w:rFonts w:hint="eastAsia" w:ascii="宋体" w:hAnsi="宋体" w:cs="宋体"/>
                <w:color w:val="auto"/>
                <w:sz w:val="24"/>
                <w:szCs w:val="24"/>
                <w:highlight w:val="none"/>
              </w:rPr>
            </w:pPr>
            <w:r>
              <w:rPr>
                <w:rFonts w:hint="eastAsia" w:ascii="宋体" w:hAnsi="宋体" w:cs="宋体"/>
                <w:bCs/>
                <w:color w:val="auto"/>
                <w:sz w:val="24"/>
                <w:szCs w:val="24"/>
                <w:highlight w:val="none"/>
              </w:rPr>
              <w:t>3.</w:t>
            </w:r>
            <w:r>
              <w:rPr>
                <w:rFonts w:hint="eastAsia" w:ascii="宋体" w:hAnsi="宋体" w:cs="宋体"/>
                <w:color w:val="auto"/>
                <w:sz w:val="24"/>
                <w:szCs w:val="24"/>
                <w:highlight w:val="none"/>
              </w:rPr>
              <w:t>电子投标文件中须加盖供应商公章部分均采用 CA 签章，并根据“政府采购项目电子交易管理操作指南-供应商” 及本招标文件规定的格式和顺序编制电子投标文件并进行关联定位，以便评标委员会在评审时，点击评分项可直接定位到该评分项内容。如对招标文件的某项要求，供应商的电子投标文件未能关联定位提供相应的内容与其对应，则评标委员会在评审时如做出对供应商不利的评审由供应商自行承担。电子投标文件如内容不完整、编排混乱导致投标文件被误读、漏读，或者在按招标文件规定的部位查找不到相关内容的，由供应商自行承担。</w:t>
            </w:r>
          </w:p>
          <w:p>
            <w:pPr>
              <w:pStyle w:val="10"/>
              <w:snapToGrid w:val="0"/>
              <w:spacing w:line="360" w:lineRule="auto"/>
              <w:ind w:firstLine="0"/>
              <w:rPr>
                <w:rFonts w:hint="eastAsia" w:ascii="宋体" w:hAnsi="宋体" w:cs="宋体"/>
                <w:color w:val="auto"/>
                <w:sz w:val="24"/>
                <w:szCs w:val="24"/>
                <w:highlight w:val="none"/>
              </w:rPr>
            </w:pPr>
            <w:r>
              <w:rPr>
                <w:rFonts w:hint="eastAsia" w:ascii="宋体" w:hAnsi="宋体" w:cs="宋体"/>
                <w:color w:val="auto"/>
                <w:sz w:val="24"/>
                <w:szCs w:val="24"/>
                <w:highlight w:val="none"/>
              </w:rPr>
              <w:t>4. CA签章上关于法人（负责人）或授权代表签字信息，供应商在投标文件中涉及到签字的位置线下【签好字然后扫描或者拍照做成PDF 的格式】或【通过政采云电子交易客户端使用 CA 法人（负责人）或授权代表签章】亦可。投标文件中涉及到签字的位置未按要求签字的，提供的材料视为无效）</w:t>
            </w:r>
          </w:p>
          <w:p>
            <w:pPr>
              <w:pStyle w:val="3"/>
              <w:snapToGrid w:val="0"/>
              <w:spacing w:line="360" w:lineRule="auto"/>
              <w:rPr>
                <w:rFonts w:hint="eastAsia" w:hAnsi="宋体" w:cs="宋体"/>
                <w:bCs/>
                <w:color w:val="auto"/>
                <w:sz w:val="24"/>
                <w:szCs w:val="24"/>
                <w:highlight w:val="none"/>
              </w:rPr>
            </w:pPr>
            <w:r>
              <w:rPr>
                <w:rFonts w:hint="eastAsia" w:hAnsi="宋体" w:cs="宋体"/>
                <w:bCs/>
                <w:color w:val="auto"/>
                <w:sz w:val="24"/>
                <w:szCs w:val="24"/>
                <w:highlight w:val="none"/>
              </w:rPr>
              <w:t>5.自然人投标的，招标文件规定盖公章处由自然人摁手指指印。</w:t>
            </w:r>
          </w:p>
          <w:p>
            <w:pPr>
              <w:spacing w:line="360" w:lineRule="auto"/>
              <w:jc w:val="left"/>
              <w:rPr>
                <w:rFonts w:hint="eastAsia" w:ascii="宋体" w:hAnsi="宋体" w:cs="宋体"/>
                <w:color w:val="auto"/>
                <w:sz w:val="24"/>
                <w:highlight w:val="none"/>
              </w:rPr>
            </w:pPr>
            <w:r>
              <w:rPr>
                <w:rFonts w:hint="eastAsia" w:ascii="宋体" w:hAnsi="宋体" w:cs="宋体"/>
                <w:bCs/>
                <w:color w:val="auto"/>
                <w:sz w:val="24"/>
                <w:highlight w:val="none"/>
              </w:rPr>
              <w:t>6.本招标文件所称的“以上”“以下”“以内”“届满”，包括本数；所称的“不满”“超过”“以外”，不包括本数。</w:t>
            </w:r>
          </w:p>
        </w:tc>
      </w:tr>
    </w:tbl>
    <w:p>
      <w:pPr>
        <w:snapToGrid w:val="0"/>
        <w:rPr>
          <w:rFonts w:hint="eastAsia" w:ascii="宋体" w:hAnsi="宋体"/>
          <w:color w:val="auto"/>
          <w:sz w:val="24"/>
          <w:szCs w:val="20"/>
          <w:highlight w:val="none"/>
        </w:rPr>
      </w:pPr>
    </w:p>
    <w:p>
      <w:pPr>
        <w:snapToGrid w:val="0"/>
        <w:rPr>
          <w:rFonts w:hint="eastAsia" w:ascii="宋体" w:hAnsi="宋体"/>
          <w:color w:val="auto"/>
          <w:sz w:val="24"/>
          <w:szCs w:val="20"/>
          <w:highlight w:val="none"/>
        </w:rPr>
      </w:pPr>
    </w:p>
    <w:p>
      <w:pPr>
        <w:pStyle w:val="6"/>
        <w:keepNext w:val="0"/>
        <w:keepLines w:val="0"/>
        <w:jc w:val="center"/>
        <w:rPr>
          <w:rFonts w:hint="eastAsia"/>
          <w:color w:val="auto"/>
          <w:highlight w:val="none"/>
        </w:rPr>
      </w:pPr>
      <w:r>
        <w:rPr>
          <w:color w:val="auto"/>
          <w:highlight w:val="none"/>
        </w:rPr>
        <w:br w:type="page"/>
      </w:r>
      <w:r>
        <w:rPr>
          <w:rFonts w:hint="eastAsia"/>
          <w:color w:val="auto"/>
          <w:highlight w:val="none"/>
        </w:rPr>
        <w:t>投标人须知正文</w:t>
      </w:r>
    </w:p>
    <w:p>
      <w:pPr>
        <w:pStyle w:val="6"/>
        <w:keepNext w:val="0"/>
        <w:keepLines w:val="0"/>
        <w:jc w:val="center"/>
        <w:rPr>
          <w:rFonts w:hint="eastAsia"/>
          <w:color w:val="auto"/>
          <w:highlight w:val="none"/>
        </w:rPr>
      </w:pPr>
      <w:r>
        <w:rPr>
          <w:rFonts w:hint="eastAsia"/>
          <w:color w:val="auto"/>
          <w:highlight w:val="none"/>
        </w:rPr>
        <w:t>一、总  则</w:t>
      </w:r>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65" w:name="_Toc254970527"/>
      <w:bookmarkStart w:id="66" w:name="_Toc254970668"/>
      <w:r>
        <w:rPr>
          <w:rFonts w:hint="eastAsia" w:ascii="黑体" w:hAnsi="黑体" w:eastAsia="黑体"/>
          <w:color w:val="auto"/>
          <w:sz w:val="24"/>
          <w:highlight w:val="none"/>
        </w:rPr>
        <w:t>1.适用范围</w:t>
      </w:r>
      <w:bookmarkEnd w:id="65"/>
      <w:bookmarkEnd w:id="66"/>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67" w:name="_Toc254970669"/>
      <w:bookmarkStart w:id="68" w:name="_Toc254970528"/>
      <w:r>
        <w:rPr>
          <w:rFonts w:hint="eastAsia" w:ascii="黑体" w:hAnsi="黑体" w:eastAsia="黑体"/>
          <w:color w:val="auto"/>
          <w:sz w:val="24"/>
          <w:highlight w:val="none"/>
        </w:rPr>
        <w:t>2.定义</w:t>
      </w:r>
      <w:bookmarkEnd w:id="67"/>
      <w:bookmarkEnd w:id="68"/>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2.1“采购人”是指依法进行政府采购的国家机关、事业单位、团体组织。</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2.2“采购代理机构”是指政府采购集中采购机构和集中采购机构以外的采购代理机构。</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2.3“供应商”是指向采购人提供货物、工程或者服务的法人、其他组织或者自然人。</w:t>
      </w:r>
    </w:p>
    <w:p>
      <w:pPr>
        <w:pStyle w:val="10"/>
        <w:spacing w:line="360" w:lineRule="auto"/>
        <w:rPr>
          <w:rFonts w:hint="eastAsia" w:ascii="宋体" w:hAnsi="宋体"/>
          <w:color w:val="auto"/>
          <w:szCs w:val="21"/>
          <w:highlight w:val="none"/>
        </w:rPr>
      </w:pPr>
      <w:r>
        <w:rPr>
          <w:rFonts w:hint="eastAsia" w:ascii="宋体" w:hAnsi="宋体"/>
          <w:color w:val="auto"/>
          <w:szCs w:val="21"/>
          <w:highlight w:val="none"/>
        </w:rPr>
        <w:t>2.4“投标人”是指响应招标、参加投标竞争的法人、其他组织或者自然人。</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2.5“服务”是指除货物和工程以外的其他政府采购对象。</w:t>
      </w:r>
    </w:p>
    <w:p>
      <w:pPr>
        <w:pStyle w:val="8"/>
        <w:keepNext w:val="0"/>
        <w:keepLines w:val="0"/>
        <w:spacing w:before="0" w:after="0" w:line="360" w:lineRule="auto"/>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w:t>
      </w:r>
      <w:r>
        <w:rPr>
          <w:rFonts w:ascii="宋体" w:hAnsi="宋体"/>
          <w:b w:val="0"/>
          <w:color w:val="auto"/>
          <w:sz w:val="21"/>
          <w:szCs w:val="21"/>
          <w:highlight w:val="none"/>
        </w:rPr>
        <w:t>6</w:t>
      </w:r>
      <w:r>
        <w:rPr>
          <w:rFonts w:hint="eastAsia" w:ascii="宋体" w:hAnsi="宋体"/>
          <w:b w:val="0"/>
          <w:color w:val="auto"/>
          <w:sz w:val="21"/>
          <w:szCs w:val="21"/>
          <w:highlight w:val="none"/>
        </w:rPr>
        <w:t>“书面形式”是指合同书、信件和数据电文（包括电报、电传、传真、电子数据交换和电子邮件）等可以有形地表现所载内容的形式。</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w:t>
      </w:r>
      <w:r>
        <w:rPr>
          <w:rFonts w:ascii="宋体" w:hAnsi="宋体"/>
          <w:b w:val="0"/>
          <w:color w:val="auto"/>
          <w:sz w:val="21"/>
          <w:szCs w:val="21"/>
          <w:highlight w:val="none"/>
        </w:rPr>
        <w:t>7</w:t>
      </w:r>
      <w:r>
        <w:rPr>
          <w:rFonts w:hint="eastAsia" w:ascii="宋体" w:hAnsi="宋体"/>
          <w:b w:val="0"/>
          <w:color w:val="auto"/>
          <w:sz w:val="21"/>
          <w:szCs w:val="21"/>
          <w:highlight w:val="none"/>
        </w:rPr>
        <w:t>“实质性要求”是指招标文件中已经指明不满足则投标无效的条款，或者不能负偏离的条款，或者采购需求中带“▲”的条款。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8</w:t>
      </w:r>
      <w:r>
        <w:rPr>
          <w:rFonts w:hint="eastAsia" w:ascii="宋体" w:hAnsi="宋体" w:cs="宋体"/>
          <w:color w:val="auto"/>
          <w:szCs w:val="21"/>
          <w:highlight w:val="none"/>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2.9</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0</w:t>
      </w:r>
      <w:r>
        <w:rPr>
          <w:rFonts w:hint="eastAsia" w:ascii="宋体" w:hAnsi="宋体" w:cs="宋体"/>
          <w:color w:val="auto"/>
          <w:szCs w:val="21"/>
          <w:highlight w:val="none"/>
        </w:rPr>
        <w:t>“允许负偏离的条款”是指采购需求中的不属于“实质性要求”的条款。</w:t>
      </w:r>
      <w:bookmarkStart w:id="69" w:name="_Toc254970670"/>
      <w:bookmarkStart w:id="70" w:name="_Toc254970529"/>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w:t>
      </w:r>
      <w:bookmarkEnd w:id="69"/>
      <w:bookmarkEnd w:id="70"/>
      <w:r>
        <w:rPr>
          <w:rFonts w:hint="eastAsia" w:ascii="黑体" w:hAnsi="黑体" w:eastAsia="黑体"/>
          <w:color w:val="auto"/>
          <w:sz w:val="24"/>
          <w:highlight w:val="none"/>
        </w:rPr>
        <w:t>投标人的资格要求</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投标人的资格要求详见“投标人须知前附表”。</w:t>
      </w:r>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71" w:name="_Toc254970530"/>
      <w:bookmarkStart w:id="72" w:name="_Toc254970671"/>
      <w:r>
        <w:rPr>
          <w:rFonts w:hint="eastAsia" w:ascii="黑体" w:hAnsi="黑体" w:eastAsia="黑体"/>
          <w:color w:val="auto"/>
          <w:sz w:val="24"/>
          <w:highlight w:val="none"/>
        </w:rPr>
        <w:t>4.投标委托</w:t>
      </w:r>
      <w:bookmarkEnd w:id="71"/>
      <w:bookmarkEnd w:id="72"/>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投标人代表参加投标活动过程中必须携带个人有效身份证件。如投标人代表不是法定代表人，须持有授权委托书原件（按第六章要求格式填写）。</w:t>
      </w:r>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73" w:name="_5.投标费用"/>
      <w:bookmarkEnd w:id="73"/>
      <w:bookmarkStart w:id="74" w:name="_Toc254970672"/>
      <w:bookmarkStart w:id="75" w:name="_Toc254970531"/>
      <w:r>
        <w:rPr>
          <w:rFonts w:hint="eastAsia" w:ascii="黑体" w:hAnsi="黑体" w:eastAsia="黑体"/>
          <w:color w:val="auto"/>
          <w:sz w:val="24"/>
          <w:highlight w:val="none"/>
        </w:rPr>
        <w:t>5.投标费用</w:t>
      </w:r>
      <w:bookmarkEnd w:id="74"/>
      <w:bookmarkEnd w:id="75"/>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6.联合体投标</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bCs/>
          <w:color w:val="auto"/>
          <w:szCs w:val="21"/>
          <w:highlight w:val="none"/>
        </w:rPr>
        <w:t>6.3</w:t>
      </w:r>
      <w:r>
        <w:rPr>
          <w:rFonts w:hint="eastAsia" w:ascii="宋体" w:hAnsi="宋体"/>
          <w:color w:val="auto"/>
          <w:szCs w:val="21"/>
          <w:highlight w:val="none"/>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的扣除，用扣除后的价格参加评审。</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 xml:space="preserve">7.转包与分包             </w:t>
      </w:r>
    </w:p>
    <w:p>
      <w:pPr>
        <w:pStyle w:val="8"/>
        <w:keepNext w:val="0"/>
        <w:keepLines w:val="0"/>
        <w:spacing w:before="0" w:after="0" w:line="360" w:lineRule="auto"/>
        <w:ind w:left="420" w:leftChars="200"/>
        <w:rPr>
          <w:rFonts w:hint="eastAsia" w:ascii="宋体" w:hAnsi="宋体"/>
          <w:b w:val="0"/>
          <w:color w:val="auto"/>
          <w:sz w:val="21"/>
          <w:szCs w:val="21"/>
          <w:highlight w:val="none"/>
        </w:rPr>
      </w:pPr>
      <w:bookmarkStart w:id="76" w:name="_Toc254970673"/>
      <w:bookmarkStart w:id="77" w:name="_Toc254970532"/>
      <w:r>
        <w:rPr>
          <w:rFonts w:hint="eastAsia" w:ascii="宋体" w:hAnsi="宋体"/>
          <w:b w:val="0"/>
          <w:color w:val="auto"/>
          <w:sz w:val="21"/>
          <w:szCs w:val="21"/>
          <w:highlight w:val="none"/>
        </w:rPr>
        <w:t>7.1本项目不允许转包。</w:t>
      </w:r>
    </w:p>
    <w:p>
      <w:pPr>
        <w:pStyle w:val="8"/>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8"/>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8.特别说明</w:t>
      </w:r>
      <w:bookmarkEnd w:id="76"/>
      <w:bookmarkEnd w:id="77"/>
    </w:p>
    <w:p>
      <w:pPr>
        <w:pStyle w:val="8"/>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8.1如果本招标文件要求提供投标人或制造商的资格、信誉、荣誉、业绩与企业认证等材料的，资格、信誉、荣誉、业绩与企业认证等必须为投标人或者制造商所拥有或自身获得 。</w:t>
      </w:r>
    </w:p>
    <w:p>
      <w:pPr>
        <w:pStyle w:val="8"/>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8.2投标人应仔细阅读招标文件的所有内容，按照招标文件的要求提交投标文件，并对所提供的全部资料的真实性承担法律责任。</w:t>
      </w:r>
    </w:p>
    <w:p>
      <w:pPr>
        <w:pStyle w:val="8"/>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8.3投标人在投标活动中提供任何虚假材料，将报监管部门查处；中标后发现的，中标人须依照《中华人民共和国消费者权益保护法》规定赔偿采购人，且民事赔偿并不免除违法投标人的行政与刑事责任。</w:t>
      </w:r>
    </w:p>
    <w:p>
      <w:pPr>
        <w:pStyle w:val="8"/>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8"/>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9</w:t>
      </w:r>
      <w:r>
        <w:rPr>
          <w:rFonts w:ascii="宋体" w:hAnsi="宋体"/>
          <w:b w:val="0"/>
          <w:color w:val="auto"/>
          <w:sz w:val="21"/>
          <w:szCs w:val="21"/>
          <w:highlight w:val="none"/>
        </w:rPr>
        <w:t>.1在政府采购活动中，采购人员及相关人员与</w:t>
      </w:r>
      <w:r>
        <w:rPr>
          <w:rFonts w:hint="eastAsia" w:ascii="宋体" w:hAnsi="宋体"/>
          <w:b w:val="0"/>
          <w:color w:val="auto"/>
          <w:sz w:val="21"/>
          <w:szCs w:val="21"/>
          <w:highlight w:val="none"/>
        </w:rPr>
        <w:t>供应商</w:t>
      </w:r>
      <w:r>
        <w:rPr>
          <w:rFonts w:ascii="宋体" w:hAnsi="宋体"/>
          <w:b w:val="0"/>
          <w:color w:val="auto"/>
          <w:sz w:val="21"/>
          <w:szCs w:val="21"/>
          <w:highlight w:val="none"/>
        </w:rPr>
        <w:t>有下列利害关系之一的，应当回避：</w:t>
      </w:r>
    </w:p>
    <w:p>
      <w:pPr>
        <w:pStyle w:val="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1</w:t>
      </w:r>
      <w:r>
        <w:rPr>
          <w:rFonts w:hAnsi="宋体"/>
          <w:color w:val="auto"/>
          <w:kern w:val="2"/>
          <w:sz w:val="21"/>
          <w:highlight w:val="none"/>
        </w:rPr>
        <w:t>）参加采购活动前3年内与</w:t>
      </w:r>
      <w:r>
        <w:rPr>
          <w:rFonts w:hint="eastAsia" w:hAnsi="宋体"/>
          <w:color w:val="auto"/>
          <w:kern w:val="2"/>
          <w:sz w:val="21"/>
          <w:highlight w:val="none"/>
        </w:rPr>
        <w:t>供应商</w:t>
      </w:r>
      <w:r>
        <w:rPr>
          <w:rFonts w:hAnsi="宋体"/>
          <w:color w:val="auto"/>
          <w:kern w:val="2"/>
          <w:sz w:val="21"/>
          <w:highlight w:val="none"/>
        </w:rPr>
        <w:t>存在劳动关系；</w:t>
      </w:r>
    </w:p>
    <w:p>
      <w:pPr>
        <w:pStyle w:val="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2</w:t>
      </w:r>
      <w:r>
        <w:rPr>
          <w:rFonts w:hAnsi="宋体"/>
          <w:color w:val="auto"/>
          <w:kern w:val="2"/>
          <w:sz w:val="21"/>
          <w:highlight w:val="none"/>
        </w:rPr>
        <w:t>）参加采购活动前3年内担任</w:t>
      </w:r>
      <w:r>
        <w:rPr>
          <w:rFonts w:hint="eastAsia" w:hAnsi="宋体"/>
          <w:color w:val="auto"/>
          <w:kern w:val="2"/>
          <w:sz w:val="21"/>
          <w:highlight w:val="none"/>
        </w:rPr>
        <w:t>供应商</w:t>
      </w:r>
      <w:r>
        <w:rPr>
          <w:rFonts w:hAnsi="宋体"/>
          <w:color w:val="auto"/>
          <w:kern w:val="2"/>
          <w:sz w:val="21"/>
          <w:highlight w:val="none"/>
        </w:rPr>
        <w:t>的董事、监事；</w:t>
      </w:r>
    </w:p>
    <w:p>
      <w:pPr>
        <w:pStyle w:val="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3</w:t>
      </w:r>
      <w:r>
        <w:rPr>
          <w:rFonts w:hAnsi="宋体"/>
          <w:color w:val="auto"/>
          <w:kern w:val="2"/>
          <w:sz w:val="21"/>
          <w:highlight w:val="none"/>
        </w:rPr>
        <w:t>）参加采购活动前3年内是</w:t>
      </w:r>
      <w:r>
        <w:rPr>
          <w:rFonts w:hint="eastAsia" w:hAnsi="宋体"/>
          <w:color w:val="auto"/>
          <w:kern w:val="2"/>
          <w:sz w:val="21"/>
          <w:highlight w:val="none"/>
        </w:rPr>
        <w:t>供应商</w:t>
      </w:r>
      <w:r>
        <w:rPr>
          <w:rFonts w:hAnsi="宋体"/>
          <w:color w:val="auto"/>
          <w:kern w:val="2"/>
          <w:sz w:val="21"/>
          <w:highlight w:val="none"/>
        </w:rPr>
        <w:t>的控股股东或者实际控制人；</w:t>
      </w:r>
    </w:p>
    <w:p>
      <w:pPr>
        <w:pStyle w:val="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4</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的法定代表人或者负责人有夫妻、直系血亲、三代以内旁系血亲或者近姻亲关系；</w:t>
      </w:r>
    </w:p>
    <w:p>
      <w:pPr>
        <w:pStyle w:val="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5</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有其他可能影响政府采购活动公平、公正进行的关系。</w:t>
      </w:r>
    </w:p>
    <w:p>
      <w:pPr>
        <w:pStyle w:val="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供应商</w:t>
      </w:r>
      <w:r>
        <w:rPr>
          <w:rFonts w:hAnsi="宋体"/>
          <w:color w:val="auto"/>
          <w:kern w:val="2"/>
          <w:sz w:val="21"/>
          <w:highlight w:val="none"/>
        </w:rPr>
        <w:t>认为采购人员及相关人员与其他</w:t>
      </w:r>
      <w:r>
        <w:rPr>
          <w:rFonts w:hint="eastAsia" w:hAnsi="宋体"/>
          <w:color w:val="auto"/>
          <w:kern w:val="2"/>
          <w:sz w:val="21"/>
          <w:highlight w:val="none"/>
        </w:rPr>
        <w:t>供应商</w:t>
      </w:r>
      <w:r>
        <w:rPr>
          <w:rFonts w:hAnsi="宋体"/>
          <w:color w:val="auto"/>
          <w:kern w:val="2"/>
          <w:sz w:val="21"/>
          <w:highlight w:val="none"/>
        </w:rPr>
        <w:t>有利害关系的，可以向采购人或者采购代理机构书面提出回避申请，并说明理由。采购人或者采购代理机构应当及时询问被申请回避人员，有利害关系的被申请回避人员应当回避。</w:t>
      </w:r>
    </w:p>
    <w:p>
      <w:pPr>
        <w:pStyle w:val="8"/>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 xml:space="preserve">（1）不同投标人的投标文件由同一单位或者个人编制； </w:t>
      </w:r>
    </w:p>
    <w:p>
      <w:pPr>
        <w:pStyle w:val="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（2）不同投标人委托同一单位或者个人办理投标事宜；</w:t>
      </w:r>
    </w:p>
    <w:p>
      <w:pPr>
        <w:pStyle w:val="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（3）不同的投标人的投标文件载明的项目管理员为同一个人；</w:t>
      </w:r>
    </w:p>
    <w:p>
      <w:pPr>
        <w:pStyle w:val="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（4）不同投标人的投标文件异常一致或者投标报价呈规律性差异；</w:t>
      </w:r>
    </w:p>
    <w:p>
      <w:pPr>
        <w:pStyle w:val="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（5）不同投标人的投标文件相互混装；</w:t>
      </w:r>
    </w:p>
    <w:p>
      <w:pPr>
        <w:pStyle w:val="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（6）不同投标人的投标保证金从同一单位或者个人账户转出。</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供应商有下列情形之一的，属于恶意串通行为，将报同级监督管理部门：</w:t>
      </w:r>
    </w:p>
    <w:p>
      <w:pPr>
        <w:pStyle w:val="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（1）供应商直接或者间接从采购人或者采购代理机构处获得其他供应商的相关信息并修改其投标文件；</w:t>
      </w:r>
    </w:p>
    <w:p>
      <w:pPr>
        <w:pStyle w:val="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（2）供应商按照采购人或者采购代理机构的授意撤换、修改投标文件或者投标文件；</w:t>
      </w:r>
    </w:p>
    <w:p>
      <w:pPr>
        <w:pStyle w:val="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（3）供应商之间协商报价、技术方案等投标文件或者投标文件的实质性内容；</w:t>
      </w:r>
    </w:p>
    <w:p>
      <w:pPr>
        <w:pStyle w:val="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（4）属于同一集团、协会、商会等组织成员的供应商按照该组织要求协同参加政府采购活动；</w:t>
      </w:r>
    </w:p>
    <w:p>
      <w:pPr>
        <w:pStyle w:val="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（5）供应商之间事先约定一致抬高或者压低投标报价，或者在招标项目中事先约定轮流以高价位或者低价位中标，或者事先约定由某一特定供应商中标，然后再参加投标；</w:t>
      </w:r>
    </w:p>
    <w:p>
      <w:pPr>
        <w:pStyle w:val="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（6）供应商之间商定部分供应商放弃参加政府采购活动或者放弃中标；</w:t>
      </w:r>
    </w:p>
    <w:p>
      <w:pPr>
        <w:pStyle w:val="3"/>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（7）供应商与采购人或者采购代理机构之间、供应商相互之间，为谋求特定供应商中标或者排斥其他供应商的其他串通行为。</w:t>
      </w:r>
    </w:p>
    <w:p>
      <w:pPr>
        <w:pStyle w:val="3"/>
        <w:snapToGrid w:val="0"/>
        <w:spacing w:line="360" w:lineRule="auto"/>
        <w:ind w:left="2" w:leftChars="1" w:firstLine="422" w:firstLineChars="200"/>
        <w:rPr>
          <w:rFonts w:hint="eastAsia" w:hAnsi="宋体"/>
          <w:b/>
          <w:color w:val="auto"/>
          <w:kern w:val="2"/>
          <w:sz w:val="21"/>
          <w:highlight w:val="none"/>
        </w:rPr>
      </w:pPr>
    </w:p>
    <w:p>
      <w:pPr>
        <w:pStyle w:val="6"/>
        <w:keepNext w:val="0"/>
        <w:keepLines w:val="0"/>
        <w:jc w:val="center"/>
        <w:rPr>
          <w:rFonts w:hint="eastAsia"/>
          <w:color w:val="auto"/>
          <w:highlight w:val="none"/>
        </w:rPr>
      </w:pPr>
      <w:bookmarkStart w:id="78" w:name="_Toc254970675"/>
      <w:bookmarkStart w:id="79" w:name="_Toc254970534"/>
      <w:r>
        <w:rPr>
          <w:rFonts w:hint="eastAsia"/>
          <w:color w:val="auto"/>
          <w:highlight w:val="none"/>
        </w:rPr>
        <w:t>二、招标文件</w:t>
      </w:r>
      <w:bookmarkEnd w:id="78"/>
      <w:bookmarkEnd w:id="79"/>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10.招标文件的组成</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（1）招标公告；</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 xml:space="preserve">（2）采购需求； </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（3）投标人须知；</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（4）评标方法及评标标准；</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（5）拟签订的合同文本；</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（6）投标文件格式。</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pStyle w:val="8"/>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rPr>
          <w:rFonts w:hAnsi="宋体"/>
          <w:color w:val="auto"/>
          <w:sz w:val="21"/>
          <w:highlight w:val="none"/>
        </w:rPr>
        <w:t>投标人</w:t>
      </w:r>
      <w:r>
        <w:rPr>
          <w:rFonts w:hint="eastAsia" w:hAnsi="宋体"/>
          <w:color w:val="auto"/>
          <w:sz w:val="21"/>
          <w:highlight w:val="none"/>
        </w:rPr>
        <w:t>应当</w:t>
      </w:r>
      <w:r>
        <w:rPr>
          <w:rFonts w:hAnsi="宋体"/>
          <w:color w:val="auto"/>
          <w:sz w:val="21"/>
          <w:highlight w:val="none"/>
        </w:rPr>
        <w:t>按照桂财采【2007】65号文件第二十九条规定，在澄清或者修改通知发出后</w:t>
      </w:r>
      <w:r>
        <w:rPr>
          <w:rFonts w:hint="eastAsia" w:hAnsi="宋体"/>
          <w:color w:val="auto"/>
          <w:sz w:val="21"/>
          <w:highlight w:val="none"/>
        </w:rPr>
        <w:t>24</w:t>
      </w:r>
      <w:r>
        <w:rPr>
          <w:rFonts w:hAnsi="宋体"/>
          <w:color w:val="auto"/>
          <w:sz w:val="21"/>
          <w:highlight w:val="none"/>
        </w:rPr>
        <w:t>小时内以书面形式进行确认</w:t>
      </w:r>
      <w:r>
        <w:rPr>
          <w:rFonts w:hint="eastAsia" w:hAnsi="宋体"/>
          <w:color w:val="auto"/>
          <w:sz w:val="21"/>
          <w:highlight w:val="none"/>
        </w:rPr>
        <w:t>（采用网上下载招标文件形式的除外）</w:t>
      </w:r>
      <w:r>
        <w:rPr>
          <w:rFonts w:hAnsi="宋体"/>
          <w:color w:val="auto"/>
          <w:sz w:val="21"/>
          <w:highlight w:val="none"/>
        </w:rPr>
        <w:t>，否则视为已经收到。</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1</w:t>
      </w:r>
      <w:r>
        <w:rPr>
          <w:rFonts w:hAnsi="宋体"/>
          <w:color w:val="auto"/>
          <w:sz w:val="21"/>
          <w:highlight w:val="none"/>
        </w:rPr>
        <w:t>1.2</w:t>
      </w:r>
      <w:bookmarkStart w:id="80" w:name="_Hlk53134511"/>
      <w:r>
        <w:rPr>
          <w:rFonts w:hint="eastAsia" w:hAnsi="宋体"/>
          <w:color w:val="auto"/>
          <w:sz w:val="21"/>
          <w:highlight w:val="none"/>
        </w:rPr>
        <w:t>采购人或者采购代理机构可以在招标文件提供期限截止后，组织已获取招标文件的潜在投标人现场考察或者召开开标前答疑会，具体详见“投标人须知前附表”。</w:t>
      </w:r>
    </w:p>
    <w:bookmarkEnd w:id="80"/>
    <w:p>
      <w:pPr>
        <w:pStyle w:val="6"/>
        <w:keepNext w:val="0"/>
        <w:keepLines w:val="0"/>
        <w:jc w:val="center"/>
        <w:rPr>
          <w:rFonts w:hint="eastAsia"/>
          <w:color w:val="auto"/>
          <w:highlight w:val="none"/>
        </w:rPr>
      </w:pPr>
      <w:bookmarkStart w:id="81" w:name="_Toc254970535"/>
      <w:bookmarkStart w:id="82" w:name="_Toc254970676"/>
      <w:r>
        <w:rPr>
          <w:rFonts w:hint="eastAsia"/>
          <w:color w:val="auto"/>
          <w:highlight w:val="none"/>
        </w:rPr>
        <w:t>三、投标文件的编制</w:t>
      </w:r>
      <w:bookmarkEnd w:id="81"/>
      <w:bookmarkEnd w:id="82"/>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83" w:name="_Toc254970677"/>
      <w:bookmarkStart w:id="84" w:name="_Toc254970536"/>
      <w:r>
        <w:rPr>
          <w:rFonts w:hint="eastAsia" w:ascii="黑体" w:hAnsi="黑体" w:eastAsia="黑体"/>
          <w:color w:val="auto"/>
          <w:sz w:val="24"/>
          <w:highlight w:val="none"/>
        </w:rPr>
        <w:t>12.投标文件的编制原则</w:t>
      </w:r>
    </w:p>
    <w:p>
      <w:pPr>
        <w:snapToGrid w:val="0"/>
        <w:spacing w:line="360" w:lineRule="auto"/>
        <w:ind w:firstLine="420"/>
        <w:jc w:val="left"/>
        <w:rPr>
          <w:rFonts w:hint="eastAsia" w:ascii="宋体" w:hAnsi="宋体" w:cs="Courier New"/>
          <w:color w:val="auto"/>
          <w:szCs w:val="21"/>
          <w:highlight w:val="none"/>
        </w:rPr>
      </w:pPr>
      <w:r>
        <w:rPr>
          <w:rFonts w:ascii="宋体" w:hAnsi="宋体"/>
          <w:color w:val="auto"/>
          <w:szCs w:val="21"/>
          <w:highlight w:val="none"/>
        </w:rPr>
        <w:t>投标人必须按照招标文件的要求编制投标文件。投标文件必须对招标文件提出的要求和条件作出明确响应。</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13.投标文件的组成</w:t>
      </w:r>
      <w:bookmarkEnd w:id="83"/>
      <w:bookmarkEnd w:id="84"/>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3.1</w:t>
      </w:r>
      <w:r>
        <w:rPr>
          <w:rFonts w:hint="eastAsia" w:ascii="宋体" w:hAnsi="宋体"/>
          <w:color w:val="auto"/>
          <w:szCs w:val="21"/>
          <w:highlight w:val="none"/>
        </w:rPr>
        <w:t>投标文件由报价文件、资格证明文件、商务文件、技术文件四部分组成。</w:t>
      </w:r>
    </w:p>
    <w:p>
      <w:pPr>
        <w:pStyle w:val="8"/>
        <w:keepNext w:val="0"/>
        <w:keepLines w:val="0"/>
        <w:spacing w:before="0" w:after="0" w:line="360" w:lineRule="auto"/>
        <w:ind w:left="420" w:leftChars="200"/>
        <w:rPr>
          <w:rFonts w:hint="eastAsia" w:ascii="宋体" w:hAnsi="宋体"/>
          <w:b w:val="0"/>
          <w:color w:val="auto"/>
          <w:sz w:val="21"/>
          <w:szCs w:val="21"/>
          <w:highlight w:val="none"/>
        </w:rPr>
      </w:pPr>
      <w:bookmarkStart w:id="85" w:name="_13.1报价文件:_具体材料见“投标人须知前附表”。"/>
      <w:bookmarkEnd w:id="85"/>
      <w:r>
        <w:rPr>
          <w:rFonts w:hint="eastAsia" w:ascii="宋体" w:hAnsi="宋体"/>
          <w:b w:val="0"/>
          <w:color w:val="auto"/>
          <w:sz w:val="21"/>
          <w:szCs w:val="21"/>
          <w:highlight w:val="none"/>
        </w:rPr>
        <w:t>（1）报价文件：</w:t>
      </w:r>
      <w:r>
        <w:rPr>
          <w:rFonts w:ascii="宋体" w:hAnsi="宋体"/>
          <w:b w:val="0"/>
          <w:color w:val="auto"/>
          <w:sz w:val="21"/>
          <w:szCs w:val="21"/>
          <w:highlight w:val="none"/>
        </w:rPr>
        <w:t xml:space="preserve"> 具体材料见“投标人须知前附表”</w:t>
      </w:r>
      <w:r>
        <w:rPr>
          <w:rFonts w:hint="eastAsia" w:ascii="宋体" w:hAnsi="宋体"/>
          <w:b w:val="0"/>
          <w:color w:val="auto"/>
          <w:sz w:val="21"/>
          <w:szCs w:val="21"/>
          <w:highlight w:val="none"/>
        </w:rPr>
        <w:t>。</w:t>
      </w:r>
    </w:p>
    <w:p>
      <w:pPr>
        <w:pStyle w:val="8"/>
        <w:keepNext w:val="0"/>
        <w:keepLines w:val="0"/>
        <w:spacing w:before="0" w:after="0" w:line="360" w:lineRule="auto"/>
        <w:ind w:left="420" w:leftChars="200"/>
        <w:rPr>
          <w:rFonts w:hint="eastAsia" w:ascii="宋体" w:hAnsi="宋体"/>
          <w:b w:val="0"/>
          <w:color w:val="auto"/>
          <w:sz w:val="21"/>
          <w:szCs w:val="21"/>
          <w:highlight w:val="none"/>
        </w:rPr>
      </w:pPr>
      <w:bookmarkStart w:id="86" w:name="_13.2资格证明文件：具体材料见“投标人须知前附表”。"/>
      <w:bookmarkEnd w:id="86"/>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8"/>
        <w:keepNext w:val="0"/>
        <w:keepLines w:val="0"/>
        <w:spacing w:before="0" w:after="0" w:line="360" w:lineRule="auto"/>
        <w:ind w:left="420" w:leftChars="200"/>
        <w:rPr>
          <w:rFonts w:hint="eastAsia" w:ascii="宋体" w:hAnsi="宋体"/>
          <w:b w:val="0"/>
          <w:color w:val="auto"/>
          <w:sz w:val="21"/>
          <w:szCs w:val="21"/>
          <w:highlight w:val="none"/>
        </w:rPr>
      </w:pPr>
      <w:bookmarkStart w:id="87" w:name="_13.3商务文件:_具体材料见“投标人须知前附表”。"/>
      <w:bookmarkEnd w:id="87"/>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8"/>
        <w:keepNext w:val="0"/>
        <w:keepLines w:val="0"/>
        <w:spacing w:before="0" w:after="0" w:line="360" w:lineRule="auto"/>
        <w:ind w:left="420" w:leftChars="200"/>
        <w:rPr>
          <w:rFonts w:hint="eastAsia" w:ascii="宋体" w:hAnsi="宋体"/>
          <w:b w:val="0"/>
          <w:color w:val="auto"/>
          <w:sz w:val="21"/>
          <w:szCs w:val="21"/>
          <w:highlight w:val="none"/>
        </w:rPr>
      </w:pPr>
      <w:bookmarkStart w:id="88" w:name="_13.4技术文件：具体材料见“投标人须知前附表”。"/>
      <w:bookmarkEnd w:id="88"/>
      <w:r>
        <w:rPr>
          <w:rFonts w:hint="eastAsia" w:ascii="宋体" w:hAnsi="宋体"/>
          <w:b w:val="0"/>
          <w:color w:val="auto"/>
          <w:sz w:val="21"/>
          <w:szCs w:val="21"/>
          <w:highlight w:val="none"/>
        </w:rPr>
        <w:t>（</w:t>
      </w:r>
      <w:r>
        <w:rPr>
          <w:rFonts w:ascii="宋体" w:hAnsi="宋体"/>
          <w:b w:val="0"/>
          <w:color w:val="auto"/>
          <w:sz w:val="21"/>
          <w:szCs w:val="21"/>
          <w:highlight w:val="none"/>
        </w:rPr>
        <w:t>4</w:t>
      </w:r>
      <w:r>
        <w:rPr>
          <w:rFonts w:hint="eastAsia" w:ascii="宋体" w:hAnsi="宋体"/>
          <w:b w:val="0"/>
          <w:color w:val="auto"/>
          <w:sz w:val="21"/>
          <w:szCs w:val="21"/>
          <w:highlight w:val="none"/>
        </w:rPr>
        <w:t>）技术文件：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8"/>
        <w:keepNext w:val="0"/>
        <w:keepLines w:val="0"/>
        <w:spacing w:before="0" w:after="0" w:line="360" w:lineRule="auto"/>
        <w:ind w:left="420" w:leftChars="200"/>
        <w:rPr>
          <w:rFonts w:hint="eastAsia" w:ascii="宋体" w:hAnsi="宋体"/>
          <w:b w:val="0"/>
          <w:color w:val="auto"/>
          <w:sz w:val="21"/>
          <w:szCs w:val="21"/>
          <w:highlight w:val="none"/>
        </w:rPr>
      </w:pPr>
      <w:bookmarkStart w:id="89" w:name="_13.5投标文件电子版：具体材料见“投标人须知前附表”。"/>
      <w:bookmarkEnd w:id="89"/>
      <w:r>
        <w:rPr>
          <w:rFonts w:hint="eastAsia" w:ascii="宋体" w:hAnsi="宋体"/>
          <w:b w:val="0"/>
          <w:color w:val="auto"/>
          <w:sz w:val="21"/>
          <w:szCs w:val="21"/>
          <w:highlight w:val="none"/>
        </w:rPr>
        <w:t>13.</w:t>
      </w:r>
      <w:r>
        <w:rPr>
          <w:rFonts w:ascii="宋体" w:hAnsi="宋体"/>
          <w:b w:val="0"/>
          <w:color w:val="auto"/>
          <w:sz w:val="21"/>
          <w:szCs w:val="21"/>
          <w:highlight w:val="none"/>
        </w:rPr>
        <w:t>2</w:t>
      </w:r>
      <w:r>
        <w:rPr>
          <w:rFonts w:hint="eastAsia" w:ascii="宋体" w:hAnsi="宋体"/>
          <w:b w:val="0"/>
          <w:color w:val="auto"/>
          <w:sz w:val="21"/>
          <w:szCs w:val="21"/>
          <w:highlight w:val="none"/>
        </w:rPr>
        <w:t>投标文件电子版：</w:t>
      </w:r>
      <w:r>
        <w:rPr>
          <w:rFonts w:ascii="宋体" w:hAnsi="宋体"/>
          <w:b w:val="0"/>
          <w:color w:val="auto"/>
          <w:sz w:val="21"/>
          <w:szCs w:val="21"/>
          <w:highlight w:val="none"/>
        </w:rPr>
        <w:t>具体</w:t>
      </w:r>
      <w:r>
        <w:rPr>
          <w:rFonts w:hint="eastAsia" w:ascii="宋体" w:hAnsi="宋体"/>
          <w:b w:val="0"/>
          <w:color w:val="auto"/>
          <w:sz w:val="21"/>
          <w:szCs w:val="21"/>
          <w:highlight w:val="none"/>
        </w:rPr>
        <w:t>要求</w:t>
      </w:r>
      <w:r>
        <w:rPr>
          <w:rFonts w:ascii="宋体" w:hAnsi="宋体"/>
          <w:b w:val="0"/>
          <w:color w:val="auto"/>
          <w:sz w:val="21"/>
          <w:szCs w:val="21"/>
          <w:highlight w:val="none"/>
        </w:rPr>
        <w:t>见“投标人须知前附表”</w:t>
      </w:r>
      <w:r>
        <w:rPr>
          <w:rFonts w:hint="eastAsia" w:ascii="宋体" w:hAnsi="宋体"/>
          <w:b w:val="0"/>
          <w:color w:val="auto"/>
          <w:sz w:val="21"/>
          <w:szCs w:val="21"/>
          <w:highlight w:val="none"/>
        </w:rPr>
        <w:t>。</w:t>
      </w:r>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90" w:name="_Toc254970537"/>
      <w:bookmarkStart w:id="91" w:name="_Toc254970678"/>
      <w:r>
        <w:rPr>
          <w:rFonts w:hint="eastAsia" w:ascii="黑体" w:hAnsi="黑体" w:eastAsia="黑体"/>
          <w:color w:val="auto"/>
          <w:sz w:val="24"/>
          <w:highlight w:val="none"/>
        </w:rPr>
        <w:t>14.投标文件的语言及计量</w:t>
      </w:r>
      <w:bookmarkEnd w:id="90"/>
      <w:bookmarkEnd w:id="91"/>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14.1语言文字</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8"/>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14.2投标计量单位</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15.投标的风险</w:t>
      </w:r>
    </w:p>
    <w:p>
      <w:pPr>
        <w:pStyle w:val="3"/>
        <w:snapToGrid w:val="0"/>
        <w:spacing w:line="360" w:lineRule="auto"/>
        <w:ind w:firstLine="420" w:firstLineChars="200"/>
        <w:jc w:val="left"/>
        <w:rPr>
          <w:rFonts w:hint="eastAsia" w:hAnsi="宋体"/>
          <w:color w:val="auto"/>
          <w:sz w:val="21"/>
          <w:highlight w:val="none"/>
        </w:rPr>
      </w:pPr>
      <w:r>
        <w:rPr>
          <w:rFonts w:hint="eastAsia" w:hAnsi="宋体"/>
          <w:color w:val="auto"/>
          <w:sz w:val="21"/>
          <w:highlight w:val="none"/>
        </w:rPr>
        <w:t>投标人没有按照招标文件要求提供全部资料，或者投标人没有对招标文件作出实质性响应是投标人的风险，并可能导致其投标被拒绝。</w:t>
      </w:r>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92" w:name="_Toc254970679"/>
      <w:bookmarkStart w:id="93" w:name="_Toc254970538"/>
      <w:r>
        <w:rPr>
          <w:rFonts w:hint="eastAsia" w:ascii="黑体" w:hAnsi="黑体" w:eastAsia="黑体"/>
          <w:color w:val="auto"/>
          <w:sz w:val="24"/>
          <w:highlight w:val="none"/>
        </w:rPr>
        <w:t>16.投标报价</w:t>
      </w:r>
      <w:bookmarkEnd w:id="92"/>
      <w:bookmarkEnd w:id="93"/>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16.1投标报价应按“第六章　投标文件格式”中“开标一览表”格式填写。</w:t>
      </w:r>
    </w:p>
    <w:p>
      <w:pPr>
        <w:pStyle w:val="8"/>
        <w:keepNext w:val="0"/>
        <w:keepLines w:val="0"/>
        <w:spacing w:before="0" w:after="0" w:line="360" w:lineRule="auto"/>
        <w:ind w:left="420" w:leftChars="200"/>
        <w:rPr>
          <w:rFonts w:hint="eastAsia" w:ascii="宋体" w:hAnsi="宋体"/>
          <w:b w:val="0"/>
          <w:color w:val="auto"/>
          <w:sz w:val="21"/>
          <w:szCs w:val="21"/>
          <w:highlight w:val="none"/>
        </w:rPr>
      </w:pPr>
      <w:bookmarkStart w:id="94" w:name="_16.2投标报价具体定义见投标人须知前附表。"/>
      <w:bookmarkEnd w:id="94"/>
      <w:r>
        <w:rPr>
          <w:rFonts w:hint="eastAsia" w:ascii="宋体" w:hAnsi="宋体"/>
          <w:b w:val="0"/>
          <w:color w:val="auto"/>
          <w:sz w:val="21"/>
          <w:szCs w:val="21"/>
          <w:highlight w:val="none"/>
        </w:rPr>
        <w:t>16.2投标报价具体包括内容详见“投标人须知前附表”。</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17.投标有效期</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bookmarkStart w:id="95" w:name="_17.1投标有效期应按“投标人须知中的前附表”规定的期限。"/>
      <w:bookmarkEnd w:id="95"/>
      <w:r>
        <w:rPr>
          <w:rFonts w:hint="eastAsia" w:ascii="宋体" w:hAnsi="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17.2</w:t>
      </w:r>
      <w:bookmarkStart w:id="96" w:name="_Toc254970681"/>
      <w:bookmarkStart w:id="97" w:name="_Toc254970540"/>
      <w:r>
        <w:rPr>
          <w:rFonts w:hint="eastAsia" w:ascii="宋体" w:hAnsi="宋体"/>
          <w:b w:val="0"/>
          <w:color w:val="auto"/>
          <w:sz w:val="21"/>
          <w:szCs w:val="21"/>
          <w:highlight w:val="none"/>
        </w:rPr>
        <w:t xml:space="preserve"> 投标有效期应按规定的期限作出承诺，具体详见“投标人须知前附表”。</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17.3投标人的投标文件在投标有效期内均保持有效。</w:t>
      </w:r>
      <w:bookmarkEnd w:id="96"/>
      <w:bookmarkEnd w:id="97"/>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98" w:name="_18.投标保证金"/>
      <w:bookmarkEnd w:id="98"/>
      <w:bookmarkStart w:id="99" w:name="_Toc254970541"/>
      <w:bookmarkStart w:id="100" w:name="_Toc254970682"/>
      <w:r>
        <w:rPr>
          <w:rFonts w:hint="eastAsia" w:ascii="黑体" w:hAnsi="黑体" w:eastAsia="黑体"/>
          <w:color w:val="auto"/>
          <w:sz w:val="24"/>
          <w:highlight w:val="none"/>
        </w:rPr>
        <w:t>18.投标保证金</w:t>
      </w:r>
      <w:bookmarkEnd w:id="99"/>
      <w:bookmarkEnd w:id="100"/>
    </w:p>
    <w:p>
      <w:pPr>
        <w:pStyle w:val="8"/>
        <w:keepNext w:val="0"/>
        <w:keepLines w:val="0"/>
        <w:spacing w:before="0" w:after="0" w:line="360" w:lineRule="auto"/>
        <w:ind w:left="420" w:leftChars="200"/>
        <w:rPr>
          <w:rFonts w:hint="eastAsia" w:ascii="宋体" w:hAnsi="宋体" w:cs="宋体"/>
          <w:color w:val="auto"/>
          <w:sz w:val="24"/>
          <w:highlight w:val="none"/>
        </w:rPr>
      </w:pPr>
      <w:bookmarkStart w:id="101" w:name="_Toc254970683"/>
      <w:bookmarkStart w:id="102" w:name="_Toc254970542"/>
      <w:r>
        <w:rPr>
          <w:rFonts w:hint="eastAsia" w:ascii="宋体" w:hAnsi="宋体" w:cs="宋体"/>
          <w:b w:val="0"/>
          <w:color w:val="auto"/>
          <w:sz w:val="21"/>
          <w:szCs w:val="21"/>
          <w:highlight w:val="none"/>
        </w:rPr>
        <w:t>本项目不收取投标保证金。</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19.投标文件的</w:t>
      </w:r>
      <w:bookmarkEnd w:id="101"/>
      <w:bookmarkEnd w:id="102"/>
      <w:r>
        <w:rPr>
          <w:rFonts w:hint="eastAsia" w:ascii="黑体" w:hAnsi="黑体" w:eastAsia="黑体"/>
          <w:color w:val="auto"/>
          <w:sz w:val="24"/>
          <w:highlight w:val="none"/>
        </w:rPr>
        <w:t>编制</w:t>
      </w:r>
    </w:p>
    <w:p>
      <w:pPr>
        <w:spacing w:line="360" w:lineRule="auto"/>
        <w:ind w:firstLine="422" w:firstLineChars="200"/>
        <w:rPr>
          <w:rFonts w:hint="eastAsia" w:ascii="宋体" w:hAnsi="宋体" w:cs="宋体"/>
          <w:color w:val="auto"/>
          <w:spacing w:val="-6"/>
          <w:szCs w:val="21"/>
          <w:highlight w:val="none"/>
        </w:rPr>
      </w:pPr>
      <w:r>
        <w:rPr>
          <w:rFonts w:hint="eastAsia" w:ascii="宋体" w:hAnsi="宋体"/>
          <w:b/>
          <w:color w:val="auto"/>
          <w:szCs w:val="21"/>
          <w:highlight w:val="none"/>
        </w:rPr>
        <w:t xml:space="preserve"> </w:t>
      </w:r>
      <w:r>
        <w:rPr>
          <w:rFonts w:hint="eastAsia" w:ascii="宋体" w:hAnsi="宋体" w:cs="宋体"/>
          <w:color w:val="auto"/>
          <w:szCs w:val="21"/>
          <w:highlight w:val="none"/>
        </w:rPr>
        <w:t>19.1供应商应根据“政府采购项目电子交易管理操作指南-供应商”及本招标文件规定的格式和顺序编制投标文件，投标文件内容</w:t>
      </w:r>
      <w:r>
        <w:rPr>
          <w:rFonts w:hint="eastAsia" w:ascii="宋体" w:hAnsi="宋体" w:cs="宋体"/>
          <w:color w:val="auto"/>
          <w:spacing w:val="-6"/>
          <w:szCs w:val="21"/>
          <w:highlight w:val="none"/>
        </w:rPr>
        <w:t>不完整、编排混乱导致投标文件被误读、漏读或者查找不到相关内容的，</w:t>
      </w:r>
      <w:r>
        <w:rPr>
          <w:rFonts w:hint="eastAsia" w:ascii="宋体" w:hAnsi="宋体" w:cs="宋体"/>
          <w:color w:val="auto"/>
          <w:highlight w:val="none"/>
        </w:rPr>
        <w:t>由此引发的</w:t>
      </w:r>
      <w:r>
        <w:rPr>
          <w:rFonts w:hint="eastAsia" w:ascii="宋体" w:hAnsi="宋体" w:cs="宋体"/>
          <w:color w:val="auto"/>
          <w:spacing w:val="-6"/>
          <w:szCs w:val="21"/>
          <w:highlight w:val="none"/>
        </w:rPr>
        <w:t>后果由供应商承担。</w:t>
      </w:r>
    </w:p>
    <w:p>
      <w:pPr>
        <w:spacing w:line="360" w:lineRule="auto"/>
        <w:ind w:firstLine="396" w:firstLineChars="200"/>
        <w:rPr>
          <w:rFonts w:hint="eastAsia" w:ascii="宋体" w:hAnsi="宋体" w:cs="宋体"/>
          <w:color w:val="auto"/>
          <w:szCs w:val="21"/>
          <w:highlight w:val="none"/>
        </w:rPr>
      </w:pPr>
      <w:r>
        <w:rPr>
          <w:rFonts w:hint="eastAsia" w:ascii="宋体" w:hAnsi="宋体" w:cs="宋体"/>
          <w:color w:val="auto"/>
          <w:spacing w:val="-6"/>
          <w:szCs w:val="21"/>
          <w:highlight w:val="none"/>
        </w:rPr>
        <w:t>19.2投标文件电子版：具体材料详见“供应商须知前附表”。</w:t>
      </w:r>
    </w:p>
    <w:p>
      <w:pPr>
        <w:spacing w:line="360" w:lineRule="auto"/>
        <w:ind w:firstLine="426"/>
        <w:jc w:val="left"/>
        <w:rPr>
          <w:rFonts w:hint="eastAsia" w:ascii="宋体" w:hAnsi="宋体" w:cs="宋体"/>
          <w:color w:val="auto"/>
          <w:szCs w:val="21"/>
          <w:highlight w:val="none"/>
        </w:rPr>
      </w:pPr>
      <w:r>
        <w:rPr>
          <w:rFonts w:hint="eastAsia" w:ascii="宋体" w:hAnsi="宋体" w:cs="宋体"/>
          <w:color w:val="auto"/>
          <w:szCs w:val="21"/>
          <w:highlight w:val="none"/>
        </w:rPr>
        <w:t xml:space="preserve">19.3 投标文件须由供应商在规定位置盖公章或电子签章并由法定代表人或委托代理人签字或签章，否则其投标文件按无效响应处理。 </w:t>
      </w:r>
    </w:p>
    <w:p>
      <w:pPr>
        <w:spacing w:line="360" w:lineRule="auto"/>
        <w:ind w:firstLine="426"/>
        <w:jc w:val="left"/>
        <w:rPr>
          <w:rFonts w:hint="eastAsia" w:ascii="宋体" w:hAnsi="宋体" w:cs="宋体"/>
          <w:color w:val="auto"/>
          <w:szCs w:val="21"/>
          <w:highlight w:val="none"/>
        </w:rPr>
      </w:pPr>
      <w:r>
        <w:rPr>
          <w:rFonts w:hint="eastAsia" w:ascii="宋体" w:hAnsi="宋体" w:cs="宋体"/>
          <w:color w:val="auto"/>
          <w:szCs w:val="21"/>
          <w:highlight w:val="none"/>
        </w:rPr>
        <w:t xml:space="preserve">19.4投标文件中标注的供应商名称应与营业执照（事业单位法人证书、执业许可证、自然人身份证）及公章一致，否则其投标文件按无效响应处理。 </w:t>
      </w:r>
    </w:p>
    <w:p>
      <w:pPr>
        <w:spacing w:line="360" w:lineRule="auto"/>
        <w:ind w:firstLine="426"/>
        <w:jc w:val="left"/>
        <w:rPr>
          <w:rFonts w:hint="eastAsia" w:ascii="宋体" w:hAnsi="宋体" w:cs="宋体"/>
          <w:color w:val="auto"/>
          <w:szCs w:val="21"/>
          <w:highlight w:val="none"/>
        </w:rPr>
      </w:pPr>
      <w:r>
        <w:rPr>
          <w:rFonts w:hint="eastAsia" w:ascii="宋体" w:hAnsi="宋体" w:cs="宋体"/>
          <w:color w:val="auto"/>
          <w:szCs w:val="21"/>
          <w:highlight w:val="none"/>
        </w:rPr>
        <w:t>19.5投标文件应尽量避免涂改、行间插字或删除。如果出现上述情况，改动之处应由供应商的法定代表人或其委托代理人签字或加盖公章。投标文件因涂改、行间插字或删除导致字迹潦草或表达不清所引起的后果由供应商承担。</w:t>
      </w:r>
    </w:p>
    <w:p>
      <w:pPr>
        <w:spacing w:line="360" w:lineRule="auto"/>
        <w:ind w:firstLine="426"/>
        <w:jc w:val="left"/>
        <w:rPr>
          <w:rFonts w:hint="eastAsia" w:ascii="宋体" w:hAnsi="宋体" w:cs="宋体"/>
          <w:color w:val="auto"/>
          <w:szCs w:val="21"/>
          <w:highlight w:val="none"/>
        </w:rPr>
      </w:pPr>
      <w:r>
        <w:rPr>
          <w:rFonts w:hint="eastAsia" w:ascii="宋体" w:hAnsi="宋体" w:cs="宋体"/>
          <w:color w:val="auto"/>
          <w:szCs w:val="21"/>
          <w:highlight w:val="none"/>
        </w:rPr>
        <w:t>19.6电子投标文件中须加盖供应商公章部分均采用 CA 签章，并根据“政府采购项目电子交易管理操作指南-供应商” 及本招标文件规定的格式和顺序编制电子投标文件并进行关联定位，以便评标委员会在评审时，点击评分项可直接定位到该评分项内容。如对招标文件的某项要求，供应商的电子投标文件未能关联定位提供相应的内容与其对应，则评标委员会在评审时如做出对供应商不利的评审由供应商自行承担。电子投标文件如内容不完整、编排混乱导致投标文件被误读、漏读，或者在按采购文件规定的部位查找不到相关内容的，由供应商自行承担。</w:t>
      </w:r>
    </w:p>
    <w:p>
      <w:pPr>
        <w:spacing w:line="360" w:lineRule="auto"/>
        <w:ind w:firstLine="426"/>
        <w:jc w:val="left"/>
        <w:rPr>
          <w:rFonts w:hint="eastAsia" w:ascii="宋体" w:hAnsi="宋体" w:cs="宋体"/>
          <w:color w:val="auto"/>
          <w:szCs w:val="21"/>
          <w:highlight w:val="none"/>
        </w:rPr>
      </w:pPr>
      <w:r>
        <w:rPr>
          <w:rFonts w:hint="eastAsia" w:ascii="宋体" w:hAnsi="宋体" w:cs="宋体"/>
          <w:color w:val="auto"/>
          <w:szCs w:val="21"/>
          <w:highlight w:val="none"/>
        </w:rPr>
        <w:t>19.7 CA 签章上关于法人（负责人）或授权代表签字信息，供应商在投标文件中涉及到签字的位置线下【签好字然后扫描或者拍照做成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p>
      <w:pPr>
        <w:spacing w:line="360" w:lineRule="auto"/>
        <w:ind w:firstLine="426"/>
        <w:jc w:val="left"/>
        <w:rPr>
          <w:rFonts w:hint="eastAsia" w:ascii="宋体" w:hAnsi="宋体" w:cs="宋体"/>
          <w:color w:val="auto"/>
          <w:szCs w:val="21"/>
          <w:highlight w:val="none"/>
        </w:rPr>
      </w:pPr>
      <w:r>
        <w:rPr>
          <w:rFonts w:hint="eastAsia" w:ascii="宋体" w:hAnsi="宋体" w:cs="宋体"/>
          <w:color w:val="auto"/>
          <w:szCs w:val="21"/>
          <w:highlight w:val="none"/>
        </w:rPr>
        <w:t>19.8投标文件不得涂改，若有修改错漏处，须加盖单位公章或者法定代表人（负责人）或授 权委托人签字或盖章。投标文件因字迹潦草或表达不清所引起的后果由供应商负责。</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20.投标文件的密封和标记</w:t>
      </w:r>
    </w:p>
    <w:p>
      <w:pPr>
        <w:spacing w:line="360" w:lineRule="auto"/>
        <w:ind w:firstLine="420" w:firstLineChars="200"/>
        <w:rPr>
          <w:rFonts w:ascii="宋体" w:hAnsi="宋体" w:cs="仿宋_GB2312"/>
          <w:color w:val="auto"/>
          <w:kern w:val="0"/>
          <w:szCs w:val="21"/>
          <w:highlight w:val="none"/>
          <w:lang w:val="zh-CN"/>
        </w:rPr>
      </w:pPr>
      <w:r>
        <w:rPr>
          <w:rFonts w:hint="eastAsia" w:ascii="宋体" w:hAnsi="宋体" w:cs="仿宋_GB2312"/>
          <w:color w:val="auto"/>
          <w:kern w:val="0"/>
          <w:szCs w:val="21"/>
          <w:highlight w:val="none"/>
        </w:rPr>
        <w:t>20</w:t>
      </w:r>
      <w:r>
        <w:rPr>
          <w:rFonts w:hint="eastAsia" w:ascii="宋体" w:hAnsi="宋体" w:cs="仿宋_GB2312"/>
          <w:color w:val="auto"/>
          <w:kern w:val="0"/>
          <w:szCs w:val="21"/>
          <w:highlight w:val="none"/>
          <w:lang w:val="zh-CN"/>
        </w:rPr>
        <w:t>.1供应商进行电子交易应安装客户端软件—“政采云电子交易客户端”，并按照招标文件和电子交易平台的要求编制并加密投标文件。供应商未按规定加密的投标文件，电子交易平台将拒收并提示。</w:t>
      </w:r>
    </w:p>
    <w:p>
      <w:pPr>
        <w:spacing w:line="360" w:lineRule="auto"/>
        <w:ind w:firstLine="420" w:firstLineChars="200"/>
        <w:rPr>
          <w:rFonts w:ascii="宋体" w:hAnsi="宋体" w:cs="仿宋_GB2312"/>
          <w:color w:val="auto"/>
          <w:kern w:val="0"/>
          <w:szCs w:val="21"/>
          <w:highlight w:val="none"/>
          <w:lang w:val="zh-CN"/>
        </w:rPr>
      </w:pPr>
      <w:r>
        <w:rPr>
          <w:rFonts w:hint="eastAsia" w:ascii="宋体" w:hAnsi="宋体" w:cs="仿宋_GB2312"/>
          <w:color w:val="auto"/>
          <w:kern w:val="0"/>
          <w:szCs w:val="21"/>
          <w:highlight w:val="none"/>
        </w:rPr>
        <w:t>20</w:t>
      </w:r>
      <w:r>
        <w:rPr>
          <w:rFonts w:hint="eastAsia" w:ascii="宋体" w:hAnsi="宋体" w:cs="仿宋_GB2312"/>
          <w:color w:val="auto"/>
          <w:kern w:val="0"/>
          <w:szCs w:val="21"/>
          <w:highlight w:val="none"/>
          <w:lang w:val="zh-CN"/>
        </w:rPr>
        <w:t>.2</w:t>
      </w:r>
      <w:r>
        <w:rPr>
          <w:rFonts w:hint="eastAsia" w:ascii="宋体" w:hAnsi="宋体" w:cs="宋体"/>
          <w:color w:val="auto"/>
          <w:szCs w:val="21"/>
          <w:highlight w:val="none"/>
        </w:rPr>
        <w:t>各供应商应在投标文件递交截止时间前应确保成为“政采云”网站正式注册入库供应商，并完成 CA 数字证书申领。因未注册入库、未办理 CA 数字证书等原因造成无法投标或投标失败等后果由供应商自行承担</w:t>
      </w:r>
      <w:r>
        <w:rPr>
          <w:rFonts w:hint="eastAsia" w:ascii="宋体" w:hAnsi="宋体" w:cs="仿宋_GB2312"/>
          <w:color w:val="auto"/>
          <w:kern w:val="0"/>
          <w:szCs w:val="21"/>
          <w:highlight w:val="none"/>
          <w:lang w:val="zh-CN"/>
        </w:rPr>
        <w:t>。</w:t>
      </w:r>
      <w:r>
        <w:rPr>
          <w:rFonts w:hint="eastAsia" w:ascii="宋体" w:hAnsi="宋体" w:cs="宋体"/>
          <w:color w:val="auto"/>
          <w:szCs w:val="21"/>
          <w:highlight w:val="none"/>
        </w:rPr>
        <w:t>如有问题可拨打政采云客户服务热线 400-881-7190 进行咨询。</w:t>
      </w:r>
    </w:p>
    <w:p>
      <w:pPr>
        <w:spacing w:line="360" w:lineRule="auto"/>
        <w:ind w:firstLine="420" w:firstLineChars="200"/>
        <w:rPr>
          <w:rFonts w:hint="eastAsia" w:ascii="宋体" w:hAnsi="宋体"/>
          <w:b/>
          <w:color w:val="auto"/>
          <w:szCs w:val="21"/>
          <w:highlight w:val="none"/>
        </w:rPr>
      </w:pPr>
      <w:r>
        <w:rPr>
          <w:rFonts w:hint="eastAsia" w:hAnsi="宋体" w:cs="仿宋_GB2312"/>
          <w:color w:val="auto"/>
          <w:highlight w:val="none"/>
        </w:rPr>
        <w:t>20.3为确保网上操作合法、有效和安全，供应商应当在投标文件提交截止时间前完成在“政府采购云平台”的身份认证，确保在电子交易过程中能够对相关数据电文进行加密和使用电子签名</w:t>
      </w:r>
      <w:r>
        <w:rPr>
          <w:rFonts w:hint="eastAsia" w:ascii="宋体" w:hAnsi="宋体" w:cs="宋体"/>
          <w:color w:val="auto"/>
          <w:szCs w:val="21"/>
          <w:highlight w:val="none"/>
        </w:rPr>
        <w:t>。</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21.投标文件的提交</w:t>
      </w:r>
    </w:p>
    <w:p>
      <w:pPr>
        <w:spacing w:line="360" w:lineRule="auto"/>
        <w:ind w:firstLine="420" w:firstLineChars="200"/>
        <w:rPr>
          <w:rFonts w:hint="eastAsia" w:ascii="宋体" w:hAnsi="宋体" w:cs="宋体"/>
          <w:color w:val="auto"/>
          <w:szCs w:val="21"/>
          <w:highlight w:val="none"/>
        </w:rPr>
      </w:pPr>
      <w:bookmarkStart w:id="103" w:name="_21.1投标人必须在“投标人须知中的前附表”规定的投标文件接收时间和投"/>
      <w:bookmarkEnd w:id="103"/>
      <w:r>
        <w:rPr>
          <w:rFonts w:hint="eastAsia" w:ascii="宋体" w:hAnsi="宋体" w:cs="宋体"/>
          <w:color w:val="auto"/>
          <w:szCs w:val="21"/>
          <w:highlight w:val="none"/>
        </w:rPr>
        <w:t>21.1供应商必须在“供应商须知前附表”规定的时间和地点提交电子加密投标文件。</w:t>
      </w:r>
    </w:p>
    <w:p>
      <w:pPr>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21</w:t>
      </w:r>
      <w:r>
        <w:rPr>
          <w:rFonts w:hint="eastAsia" w:ascii="宋体" w:hAnsi="宋体"/>
          <w:color w:val="auto"/>
          <w:szCs w:val="21"/>
          <w:highlight w:val="none"/>
        </w:rPr>
        <w:t>.2 在投标文件提交截止时间以后，不能补充、修改投标文件。</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21.3电子交易平台收到投标文件，将妥善保存并即时向供应商发出确认回执通知。在投标文件提交截止时间前，除供应商补充、修改或者撤回投标文件外，任何单位和个人不得解密或提取投标文件。</w:t>
      </w:r>
    </w:p>
    <w:p>
      <w:pPr>
        <w:spacing w:line="360" w:lineRule="auto"/>
        <w:ind w:firstLine="420" w:firstLineChars="200"/>
        <w:rPr>
          <w:rFonts w:hint="eastAsia" w:ascii="宋体" w:hAnsi="宋体"/>
          <w:b/>
          <w:color w:val="auto"/>
          <w:szCs w:val="21"/>
          <w:highlight w:val="none"/>
        </w:rPr>
      </w:pPr>
      <w:r>
        <w:rPr>
          <w:rFonts w:hint="eastAsia" w:ascii="宋体" w:hAnsi="宋体"/>
          <w:color w:val="auto"/>
          <w:szCs w:val="21"/>
          <w:highlight w:val="none"/>
        </w:rPr>
        <w:t>21.4 采购机构不可视情况延长提交投标文件的截止时间</w:t>
      </w:r>
      <w:r>
        <w:rPr>
          <w:rFonts w:hint="eastAsia" w:ascii="宋体" w:hAnsi="宋体"/>
          <w:b/>
          <w:color w:val="auto"/>
          <w:szCs w:val="21"/>
          <w:highlight w:val="none"/>
        </w:rPr>
        <w:t>。</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22. 投标文件的补充、修改、撤回与退回</w:t>
      </w:r>
    </w:p>
    <w:p>
      <w:pPr>
        <w:snapToGrid w:val="0"/>
        <w:spacing w:line="360" w:lineRule="auto"/>
        <w:ind w:firstLine="420"/>
        <w:jc w:val="left"/>
        <w:rPr>
          <w:rFonts w:hint="eastAsia" w:ascii="宋体" w:hAnsi="宋体"/>
          <w:color w:val="auto"/>
          <w:szCs w:val="21"/>
          <w:highlight w:val="none"/>
        </w:rPr>
      </w:pPr>
      <w:bookmarkStart w:id="104" w:name="_Toc254970543"/>
      <w:bookmarkStart w:id="105" w:name="_Toc254970684"/>
      <w:r>
        <w:rPr>
          <w:rFonts w:hint="eastAsia" w:ascii="宋体" w:hAnsi="宋体"/>
          <w:color w:val="auto"/>
          <w:szCs w:val="21"/>
          <w:highlight w:val="none"/>
        </w:rPr>
        <w:t>2</w:t>
      </w:r>
      <w:r>
        <w:rPr>
          <w:rFonts w:ascii="宋体" w:hAnsi="宋体"/>
          <w:color w:val="auto"/>
          <w:szCs w:val="21"/>
          <w:highlight w:val="none"/>
        </w:rPr>
        <w:t>2.1</w:t>
      </w:r>
      <w:r>
        <w:rPr>
          <w:rFonts w:hint="eastAsia" w:ascii="宋体" w:hAnsi="宋体"/>
          <w:color w:val="auto"/>
          <w:szCs w:val="21"/>
          <w:highlight w:val="none"/>
        </w:rPr>
        <w:t>投标人在投标截止时间之前，可以对已提交的投标文件进行补充、修改或者撤回。</w:t>
      </w:r>
    </w:p>
    <w:bookmarkEnd w:id="104"/>
    <w:bookmarkEnd w:id="105"/>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22.2</w:t>
      </w:r>
      <w:r>
        <w:rPr>
          <w:rFonts w:hint="eastAsia" w:ascii="宋体" w:hAnsi="宋体" w:cs="宋体"/>
          <w:color w:val="auto"/>
          <w:szCs w:val="21"/>
          <w:highlight w:val="none"/>
        </w:rPr>
        <w:t>在首次响应文件提交截止时间止提交响应文件的供应商不足3家时电子响应文件由代理机构在“政采云”平台操作退回，除此之外采购人和采购代理机构对已提交的电子响应文件概不退回</w:t>
      </w:r>
      <w:r>
        <w:rPr>
          <w:rFonts w:hint="eastAsia" w:ascii="宋体" w:hAnsi="宋体"/>
          <w:color w:val="auto"/>
          <w:szCs w:val="21"/>
          <w:highlight w:val="none"/>
        </w:rPr>
        <w:t>。</w:t>
      </w:r>
    </w:p>
    <w:p>
      <w:pPr>
        <w:pStyle w:val="19"/>
        <w:snapToGrid w:val="0"/>
        <w:spacing w:line="360" w:lineRule="auto"/>
        <w:ind w:firstLine="739"/>
        <w:rPr>
          <w:rFonts w:hint="eastAsia" w:ascii="宋体" w:hAnsi="宋体" w:eastAsia="宋体"/>
          <w:snapToGrid w:val="0"/>
          <w:color w:val="auto"/>
          <w:sz w:val="21"/>
          <w:szCs w:val="21"/>
          <w:highlight w:val="none"/>
        </w:rPr>
      </w:pPr>
    </w:p>
    <w:p>
      <w:pPr>
        <w:pStyle w:val="6"/>
        <w:keepNext w:val="0"/>
        <w:keepLines w:val="0"/>
        <w:jc w:val="center"/>
        <w:rPr>
          <w:rFonts w:hint="eastAsia"/>
          <w:color w:val="auto"/>
          <w:highlight w:val="none"/>
        </w:rPr>
      </w:pPr>
      <w:bookmarkStart w:id="106" w:name="_Toc254970544"/>
      <w:bookmarkStart w:id="107" w:name="_Toc254970685"/>
      <w:r>
        <w:rPr>
          <w:rFonts w:hint="eastAsia"/>
          <w:color w:val="auto"/>
          <w:highlight w:val="none"/>
        </w:rPr>
        <w:t>四、开    标</w:t>
      </w:r>
      <w:bookmarkEnd w:id="106"/>
      <w:bookmarkEnd w:id="107"/>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108" w:name="_23.开标时间和地点"/>
      <w:bookmarkEnd w:id="108"/>
      <w:r>
        <w:rPr>
          <w:rFonts w:hint="eastAsia" w:ascii="黑体" w:hAnsi="黑体" w:eastAsia="黑体"/>
          <w:color w:val="auto"/>
          <w:sz w:val="24"/>
          <w:highlight w:val="none"/>
        </w:rPr>
        <w:t>23.开标时间和地点</w:t>
      </w:r>
    </w:p>
    <w:p>
      <w:pPr>
        <w:pStyle w:val="3"/>
        <w:snapToGrid w:val="0"/>
        <w:spacing w:line="360" w:lineRule="auto"/>
        <w:ind w:firstLine="420" w:firstLineChars="200"/>
        <w:rPr>
          <w:rFonts w:hint="eastAsia" w:hAnsi="宋体"/>
          <w:bCs/>
          <w:color w:val="auto"/>
          <w:sz w:val="21"/>
          <w:highlight w:val="none"/>
        </w:rPr>
      </w:pPr>
      <w:r>
        <w:rPr>
          <w:rFonts w:hint="eastAsia" w:hAnsi="宋体"/>
          <w:bCs/>
          <w:color w:val="auto"/>
          <w:sz w:val="21"/>
          <w:highlight w:val="none"/>
        </w:rPr>
        <w:t>采购代理机构将在“投标人须知前附表”规定的时间和地点进行开标，投标人未参加开标的，视同认可开标过程和结果。本项目开标过程实行全程录音、录像监控。</w:t>
      </w:r>
    </w:p>
    <w:p>
      <w:pPr>
        <w:pStyle w:val="8"/>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24.开标程序</w:t>
      </w:r>
    </w:p>
    <w:p>
      <w:pPr>
        <w:pStyle w:val="10"/>
        <w:spacing w:line="360" w:lineRule="auto"/>
        <w:rPr>
          <w:rFonts w:hint="eastAsia"/>
          <w:color w:val="auto"/>
          <w:highlight w:val="none"/>
        </w:rPr>
      </w:pPr>
      <w:r>
        <w:rPr>
          <w:rFonts w:hint="eastAsia"/>
          <w:color w:val="auto"/>
          <w:highlight w:val="none"/>
        </w:rPr>
        <w:t>主持人按以下程序进行开标：</w:t>
      </w:r>
    </w:p>
    <w:p>
      <w:pPr>
        <w:pStyle w:val="3"/>
        <w:snapToGrid w:val="0"/>
        <w:spacing w:line="360" w:lineRule="auto"/>
        <w:ind w:firstLine="420"/>
        <w:rPr>
          <w:rFonts w:hint="eastAsia" w:hAnsi="宋体"/>
          <w:color w:val="auto"/>
          <w:sz w:val="21"/>
          <w:highlight w:val="none"/>
        </w:rPr>
      </w:pPr>
      <w:r>
        <w:rPr>
          <w:rFonts w:hint="eastAsia" w:hAnsi="宋体"/>
          <w:color w:val="auto"/>
          <w:sz w:val="21"/>
          <w:highlight w:val="none"/>
        </w:rPr>
        <w:t>（1）宣布开标：开标会由采购代理机构主持，主持人宣布开标开始；</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 xml:space="preserve">（2）主持人介绍参加开标会的人员名单； </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（3）主持人宣布开标纪律；</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（5）唱标：宣布投标人名称、投标价格和其他需要宣布的内容，具体详见投标人须知前附表；</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（6）开标过程由采购代理机构如实记录；</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（7）开标结束。</w:t>
      </w:r>
    </w:p>
    <w:p>
      <w:pPr>
        <w:pStyle w:val="3"/>
        <w:snapToGrid w:val="0"/>
        <w:spacing w:line="360" w:lineRule="auto"/>
        <w:ind w:left="689" w:leftChars="228" w:hanging="210" w:hangingChars="100"/>
        <w:rPr>
          <w:rFonts w:hint="eastAsia" w:hAnsi="宋体"/>
          <w:color w:val="auto"/>
          <w:sz w:val="21"/>
          <w:highlight w:val="none"/>
        </w:rPr>
      </w:pPr>
    </w:p>
    <w:p>
      <w:pPr>
        <w:pStyle w:val="6"/>
        <w:keepNext w:val="0"/>
        <w:keepLines w:val="0"/>
        <w:jc w:val="center"/>
        <w:rPr>
          <w:rFonts w:hint="eastAsia"/>
          <w:color w:val="auto"/>
          <w:highlight w:val="none"/>
        </w:rPr>
      </w:pPr>
      <w:r>
        <w:rPr>
          <w:rFonts w:hint="eastAsia"/>
          <w:color w:val="auto"/>
          <w:highlight w:val="none"/>
        </w:rPr>
        <w:t>五、资格审查</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25.资格审查</w:t>
      </w:r>
    </w:p>
    <w:p>
      <w:pPr>
        <w:pStyle w:val="8"/>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25.1</w:t>
      </w:r>
      <w:r>
        <w:rPr>
          <w:rFonts w:ascii="宋体" w:hAnsi="宋体"/>
          <w:b w:val="0"/>
          <w:color w:val="auto"/>
          <w:sz w:val="21"/>
          <w:szCs w:val="21"/>
          <w:highlight w:val="none"/>
        </w:rPr>
        <w:t>开标结束后，</w:t>
      </w:r>
      <w:r>
        <w:rPr>
          <w:rFonts w:hint="eastAsia" w:ascii="宋体" w:hAnsi="宋体"/>
          <w:b w:val="0"/>
          <w:color w:val="auto"/>
          <w:sz w:val="21"/>
          <w:szCs w:val="21"/>
          <w:highlight w:val="none"/>
        </w:rPr>
        <w:t>采购人或者采购代理机构</w:t>
      </w:r>
      <w:r>
        <w:rPr>
          <w:rFonts w:ascii="宋体" w:hAnsi="宋体"/>
          <w:b w:val="0"/>
          <w:color w:val="auto"/>
          <w:sz w:val="21"/>
          <w:szCs w:val="21"/>
          <w:highlight w:val="none"/>
        </w:rPr>
        <w:t>依法对投标人的资格进行审查。</w:t>
      </w:r>
    </w:p>
    <w:p>
      <w:pPr>
        <w:pStyle w:val="8"/>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8"/>
        <w:keepNext w:val="0"/>
        <w:keepLines w:val="0"/>
        <w:numPr>
          <w:ilvl w:val="0"/>
          <w:numId w:val="0"/>
        </w:numPr>
        <w:spacing w:before="0" w:after="0" w:line="360" w:lineRule="auto"/>
        <w:ind w:firstLine="422" w:firstLineChars="200"/>
        <w:rPr>
          <w:rFonts w:hint="eastAsia" w:ascii="宋体" w:hAnsi="宋体"/>
          <w:color w:val="auto"/>
          <w:sz w:val="21"/>
          <w:szCs w:val="21"/>
          <w:highlight w:val="none"/>
        </w:rPr>
      </w:pPr>
      <w:bookmarkStart w:id="109" w:name="_25.3_投标人有下列情形之一的，资格审查不通过而导致其投标无效："/>
      <w:bookmarkEnd w:id="109"/>
      <w:r>
        <w:rPr>
          <w:rFonts w:hint="eastAsia" w:ascii="宋体" w:hAnsi="宋体"/>
          <w:color w:val="auto"/>
          <w:sz w:val="21"/>
          <w:szCs w:val="21"/>
          <w:highlight w:val="none"/>
        </w:rPr>
        <w:t>25.3 投标人有下列情形之一的，资格审查不通过，作无效投标处理：</w:t>
      </w:r>
    </w:p>
    <w:p>
      <w:pPr>
        <w:pStyle w:val="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（1）未按招标文件规定的方式获取本招标文件的投标人；</w:t>
      </w:r>
    </w:p>
    <w:p>
      <w:pPr>
        <w:pStyle w:val="3"/>
        <w:snapToGrid w:val="0"/>
        <w:spacing w:line="360" w:lineRule="auto"/>
        <w:ind w:firstLine="422" w:firstLineChars="200"/>
        <w:rPr>
          <w:rFonts w:hAnsi="宋体"/>
          <w:b/>
          <w:color w:val="auto"/>
          <w:sz w:val="21"/>
          <w:highlight w:val="none"/>
        </w:rPr>
      </w:pPr>
      <w:r>
        <w:rPr>
          <w:rFonts w:hint="eastAsia" w:hAnsi="宋体"/>
          <w:b/>
          <w:color w:val="auto"/>
          <w:sz w:val="21"/>
          <w:highlight w:val="none"/>
        </w:rPr>
        <w:t>（2）不具备招标文件中规定的资格要求的；</w:t>
      </w:r>
    </w:p>
    <w:p>
      <w:pPr>
        <w:pStyle w:val="3"/>
        <w:snapToGrid w:val="0"/>
        <w:spacing w:line="360" w:lineRule="auto"/>
        <w:ind w:firstLine="422" w:firstLineChars="200"/>
        <w:rPr>
          <w:rFonts w:hAnsi="宋体"/>
          <w:b/>
          <w:color w:val="auto"/>
          <w:sz w:val="21"/>
          <w:highlight w:val="none"/>
        </w:rPr>
      </w:pPr>
      <w:r>
        <w:rPr>
          <w:rFonts w:hint="eastAsia" w:hAnsi="宋体"/>
          <w:b/>
          <w:color w:val="auto"/>
          <w:sz w:val="21"/>
          <w:highlight w:val="none"/>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（4）同一合同项下的不同投标人，单位负责人为同一人或者存在直接控股、管理关系的；为本项目提供过整体设计、规范编制或者项目管理、监理、检测等服务的供应商，再参加该采购项目的其他采购活动的；</w:t>
      </w:r>
    </w:p>
    <w:p>
      <w:pPr>
        <w:pStyle w:val="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w:t>
      </w:r>
      <w:r>
        <w:rPr>
          <w:rFonts w:hAnsi="宋体"/>
          <w:b/>
          <w:color w:val="auto"/>
          <w:sz w:val="21"/>
          <w:highlight w:val="none"/>
        </w:rPr>
        <w:t>5</w:t>
      </w:r>
      <w:r>
        <w:rPr>
          <w:rFonts w:hint="eastAsia" w:hAnsi="宋体"/>
          <w:b/>
          <w:color w:val="auto"/>
          <w:sz w:val="21"/>
          <w:highlight w:val="none"/>
        </w:rPr>
        <w:t>）投标文件中的资格证明文件缺少任一项“投标人须知前附表”资格证明文件规定“必须提供”的文件资料的；</w:t>
      </w:r>
    </w:p>
    <w:p>
      <w:pPr>
        <w:pStyle w:val="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w:t>
      </w:r>
      <w:r>
        <w:rPr>
          <w:rFonts w:hAnsi="宋体"/>
          <w:b/>
          <w:color w:val="auto"/>
          <w:sz w:val="21"/>
          <w:highlight w:val="none"/>
        </w:rPr>
        <w:t>6</w:t>
      </w:r>
      <w:r>
        <w:rPr>
          <w:rFonts w:hint="eastAsia" w:hAnsi="宋体"/>
          <w:b/>
          <w:color w:val="auto"/>
          <w:sz w:val="21"/>
          <w:highlight w:val="none"/>
        </w:rPr>
        <w:t>）投标文件中的资格证明文件出现任一项不符合“投标人须知前附表”资格证明文件规定“必须提供”的文件资料要求或者无效的。</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color w:val="auto"/>
          <w:sz w:val="21"/>
          <w:szCs w:val="21"/>
          <w:highlight w:val="none"/>
        </w:rPr>
        <w:t>25.4</w:t>
      </w:r>
      <w:r>
        <w:rPr>
          <w:rFonts w:ascii="宋体" w:hAnsi="宋体"/>
          <w:color w:val="auto"/>
          <w:sz w:val="21"/>
          <w:szCs w:val="21"/>
          <w:highlight w:val="none"/>
        </w:rPr>
        <w:t>合格投标人不足3家的，不得评标。</w:t>
      </w:r>
    </w:p>
    <w:p>
      <w:pPr>
        <w:pStyle w:val="3"/>
        <w:snapToGrid w:val="0"/>
        <w:spacing w:line="360" w:lineRule="auto"/>
        <w:ind w:left="689" w:leftChars="228" w:hanging="210" w:hangingChars="100"/>
        <w:rPr>
          <w:rFonts w:hint="eastAsia" w:hAnsi="宋体"/>
          <w:color w:val="auto"/>
          <w:sz w:val="21"/>
          <w:highlight w:val="none"/>
        </w:rPr>
      </w:pPr>
    </w:p>
    <w:p>
      <w:pPr>
        <w:pStyle w:val="6"/>
        <w:keepNext w:val="0"/>
        <w:keepLines w:val="0"/>
        <w:jc w:val="center"/>
        <w:rPr>
          <w:rFonts w:hint="eastAsia"/>
          <w:color w:val="auto"/>
          <w:highlight w:val="none"/>
        </w:rPr>
      </w:pPr>
      <w:r>
        <w:rPr>
          <w:rFonts w:hint="eastAsia"/>
          <w:color w:val="auto"/>
          <w:highlight w:val="none"/>
        </w:rPr>
        <w:t>六、评   标</w:t>
      </w:r>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110" w:name="_26.组建评标委员会"/>
      <w:bookmarkEnd w:id="110"/>
      <w:r>
        <w:rPr>
          <w:rFonts w:hint="eastAsia" w:ascii="黑体" w:hAnsi="黑体" w:eastAsia="黑体"/>
          <w:color w:val="auto"/>
          <w:sz w:val="24"/>
          <w:highlight w:val="none"/>
        </w:rPr>
        <w:t>26.组建评标委员会</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评标委员会由采购人代表和评审专家组成，具体人数详见“投标人须知前附表”，其中评审专家不得少于成员总数的三分之二。</w:t>
      </w:r>
    </w:p>
    <w:p>
      <w:pPr>
        <w:pStyle w:val="3"/>
        <w:snapToGrid w:val="0"/>
        <w:spacing w:line="360" w:lineRule="auto"/>
        <w:ind w:left="2" w:leftChars="1" w:firstLine="420" w:firstLineChars="200"/>
        <w:rPr>
          <w:rFonts w:hint="eastAsia" w:hAnsi="宋体"/>
          <w:color w:val="auto"/>
          <w:sz w:val="21"/>
          <w:highlight w:val="none"/>
        </w:rPr>
      </w:pPr>
      <w:r>
        <w:rPr>
          <w:rFonts w:hint="eastAsia" w:hAnsi="宋体"/>
          <w:color w:val="auto"/>
          <w:sz w:val="21"/>
          <w:highlight w:val="none"/>
        </w:rPr>
        <w:t>参加过采购项目前期咨询论证的专家，不得参加该采购项目的评审活动。</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27.评标的依据</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评标委员会以</w:t>
      </w:r>
      <w:r>
        <w:rPr>
          <w:rFonts w:hint="eastAsia" w:hAnsi="宋体" w:cs="宋体"/>
          <w:color w:val="auto"/>
          <w:sz w:val="21"/>
          <w:highlight w:val="none"/>
        </w:rPr>
        <w:t>“第四章 评标方法和评标标准”</w:t>
      </w:r>
      <w:r>
        <w:rPr>
          <w:rFonts w:hint="eastAsia" w:hAnsi="宋体"/>
          <w:color w:val="auto"/>
          <w:sz w:val="21"/>
          <w:highlight w:val="none"/>
        </w:rPr>
        <w:t>为依据对投标文件进行评审，</w:t>
      </w:r>
      <w:r>
        <w:rPr>
          <w:rFonts w:hAnsi="宋体"/>
          <w:color w:val="auto"/>
          <w:sz w:val="21"/>
          <w:highlight w:val="none"/>
        </w:rPr>
        <w:t>没有规定的方法、评审因素和标准，不作为评标依据。</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28.评标原则</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28.2评委表决。评标委员会成员对需要共同认定的事项存在争议的，应当按照少数服从多数的原则作出结论。</w:t>
      </w:r>
    </w:p>
    <w:p>
      <w:pPr>
        <w:pStyle w:val="3"/>
        <w:snapToGrid w:val="0"/>
        <w:spacing w:line="360" w:lineRule="auto"/>
        <w:ind w:firstLine="420" w:firstLineChars="200"/>
        <w:rPr>
          <w:rFonts w:hAnsi="宋体"/>
          <w:color w:val="auto"/>
          <w:sz w:val="21"/>
          <w:highlight w:val="none"/>
        </w:rPr>
      </w:pPr>
      <w:r>
        <w:rPr>
          <w:rFonts w:hint="eastAsia" w:hAnsi="宋体"/>
          <w:color w:val="auto"/>
          <w:sz w:val="21"/>
          <w:highlight w:val="none"/>
        </w:rPr>
        <w:t>28.</w:t>
      </w:r>
      <w:r>
        <w:rPr>
          <w:rFonts w:hAnsi="宋体"/>
          <w:color w:val="auto"/>
          <w:sz w:val="21"/>
          <w:highlight w:val="none"/>
        </w:rPr>
        <w:t>3</w:t>
      </w:r>
      <w:r>
        <w:rPr>
          <w:rFonts w:hint="eastAsia" w:hAnsi="宋体"/>
          <w:color w:val="auto"/>
          <w:sz w:val="21"/>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w:t>
      </w:r>
      <w:r>
        <w:rPr>
          <w:rFonts w:hAnsi="宋体"/>
          <w:color w:val="auto"/>
          <w:sz w:val="21"/>
          <w:highlight w:val="none"/>
        </w:rPr>
        <w:t>8.4</w:t>
      </w:r>
      <w:r>
        <w:rPr>
          <w:rFonts w:hint="eastAsia" w:hAnsi="宋体"/>
          <w:color w:val="auto"/>
          <w:sz w:val="21"/>
          <w:highlight w:val="none"/>
        </w:rPr>
        <w:t>评标过程的监控。本项目评标过程实行全程录音、录像监控，</w:t>
      </w:r>
      <w:r>
        <w:rPr>
          <w:rFonts w:hint="eastAsia" w:hAnsi="宋体"/>
          <w:b/>
          <w:color w:val="auto"/>
          <w:sz w:val="21"/>
          <w:highlight w:val="none"/>
        </w:rPr>
        <w:t>投标人在评标过程中所进行的试图影响评标结果的不公正活动，可能导致其投标无效。</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29.评标方法及中标候选人推荐</w:t>
      </w:r>
    </w:p>
    <w:p>
      <w:pPr>
        <w:pStyle w:val="3"/>
        <w:snapToGrid w:val="0"/>
        <w:spacing w:line="360" w:lineRule="auto"/>
        <w:ind w:firstLine="420" w:firstLineChars="200"/>
        <w:rPr>
          <w:rFonts w:hAnsi="宋体"/>
          <w:color w:val="auto"/>
          <w:sz w:val="21"/>
          <w:highlight w:val="none"/>
        </w:rPr>
      </w:pPr>
      <w:r>
        <w:rPr>
          <w:rFonts w:hint="eastAsia" w:hAnsi="宋体"/>
          <w:color w:val="auto"/>
          <w:sz w:val="21"/>
          <w:highlight w:val="none"/>
        </w:rPr>
        <w:t>2</w:t>
      </w:r>
      <w:r>
        <w:rPr>
          <w:rFonts w:hAnsi="宋体"/>
          <w:color w:val="auto"/>
          <w:sz w:val="21"/>
          <w:highlight w:val="none"/>
        </w:rPr>
        <w:t>9.1</w:t>
      </w:r>
      <w:r>
        <w:rPr>
          <w:rFonts w:hint="eastAsia" w:hAnsi="宋体"/>
          <w:color w:val="auto"/>
          <w:sz w:val="21"/>
          <w:highlight w:val="none"/>
        </w:rPr>
        <w:t>本项目的评标方法详见“投标人须知前附表”。</w:t>
      </w:r>
    </w:p>
    <w:p>
      <w:pPr>
        <w:pStyle w:val="3"/>
        <w:snapToGrid w:val="0"/>
        <w:spacing w:line="360" w:lineRule="auto"/>
        <w:ind w:firstLine="420" w:firstLineChars="200"/>
        <w:rPr>
          <w:rFonts w:hint="eastAsia" w:hAnsi="宋体" w:cs="宋体"/>
          <w:color w:val="auto"/>
          <w:sz w:val="21"/>
          <w:highlight w:val="none"/>
        </w:rPr>
      </w:pPr>
      <w:r>
        <w:rPr>
          <w:rFonts w:hint="eastAsia" w:hAnsi="宋体"/>
          <w:color w:val="auto"/>
          <w:sz w:val="21"/>
          <w:highlight w:val="none"/>
        </w:rPr>
        <w:t>2</w:t>
      </w:r>
      <w:r>
        <w:rPr>
          <w:rFonts w:hAnsi="宋体"/>
          <w:color w:val="auto"/>
          <w:sz w:val="21"/>
          <w:highlight w:val="none"/>
        </w:rPr>
        <w:t>9.2</w:t>
      </w:r>
      <w:r>
        <w:rPr>
          <w:rFonts w:hAnsi="宋体" w:cs="宋体"/>
          <w:color w:val="auto"/>
          <w:sz w:val="21"/>
          <w:highlight w:val="none"/>
        </w:rPr>
        <w:t xml:space="preserve"> </w:t>
      </w:r>
      <w:r>
        <w:rPr>
          <w:rFonts w:hAnsi="宋体"/>
          <w:color w:val="auto"/>
          <w:sz w:val="21"/>
          <w:highlight w:val="none"/>
        </w:rPr>
        <w:t>中标候选人推荐数量详见</w:t>
      </w:r>
      <w:r>
        <w:rPr>
          <w:rFonts w:hint="eastAsia" w:hAnsi="宋体"/>
          <w:color w:val="auto"/>
          <w:sz w:val="21"/>
          <w:highlight w:val="none"/>
        </w:rPr>
        <w:t>“投标人须知前附表”。</w:t>
      </w:r>
    </w:p>
    <w:p>
      <w:pPr>
        <w:pStyle w:val="3"/>
        <w:snapToGrid w:val="0"/>
        <w:spacing w:line="360" w:lineRule="auto"/>
        <w:rPr>
          <w:rFonts w:hint="eastAsia" w:hAnsi="宋体"/>
          <w:color w:val="auto"/>
          <w:sz w:val="21"/>
          <w:highlight w:val="none"/>
        </w:rPr>
      </w:pPr>
    </w:p>
    <w:p>
      <w:pPr>
        <w:pStyle w:val="6"/>
        <w:keepNext w:val="0"/>
        <w:keepLines w:val="0"/>
        <w:jc w:val="center"/>
        <w:rPr>
          <w:rFonts w:hint="eastAsia"/>
          <w:color w:val="auto"/>
          <w:highlight w:val="none"/>
        </w:rPr>
      </w:pPr>
      <w:bookmarkStart w:id="111" w:name="_Toc254970687"/>
      <w:bookmarkStart w:id="112" w:name="_Toc254970546"/>
      <w:r>
        <w:rPr>
          <w:rFonts w:hint="eastAsia"/>
          <w:color w:val="auto"/>
          <w:highlight w:val="none"/>
        </w:rPr>
        <w:t>七、</w:t>
      </w:r>
      <w:bookmarkEnd w:id="111"/>
      <w:bookmarkEnd w:id="112"/>
      <w:r>
        <w:rPr>
          <w:rFonts w:hint="eastAsia"/>
          <w:color w:val="auto"/>
          <w:highlight w:val="none"/>
        </w:rPr>
        <w:t>中标和合同</w:t>
      </w:r>
    </w:p>
    <w:p>
      <w:pPr>
        <w:pStyle w:val="8"/>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30</w:t>
      </w:r>
      <w:r>
        <w:rPr>
          <w:rFonts w:ascii="黑体" w:hAnsi="黑体" w:eastAsia="黑体"/>
          <w:color w:val="auto"/>
          <w:sz w:val="24"/>
          <w:highlight w:val="none"/>
        </w:rPr>
        <w:t xml:space="preserve"> </w:t>
      </w:r>
      <w:r>
        <w:rPr>
          <w:rFonts w:hint="eastAsia" w:ascii="黑体" w:hAnsi="黑体" w:eastAsia="黑体"/>
          <w:color w:val="auto"/>
          <w:sz w:val="24"/>
          <w:highlight w:val="none"/>
        </w:rPr>
        <w:t>确定中标人</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r>
        <w:rPr>
          <w:rFonts w:ascii="宋体" w:hAnsi="宋体"/>
          <w:b w:val="0"/>
          <w:color w:val="auto"/>
          <w:sz w:val="21"/>
          <w:szCs w:val="21"/>
          <w:highlight w:val="none"/>
        </w:rPr>
        <w:t>30.1</w:t>
      </w:r>
      <w:r>
        <w:rPr>
          <w:rFonts w:hint="eastAsia" w:ascii="宋体" w:hAnsi="宋体"/>
          <w:b w:val="0"/>
          <w:color w:val="auto"/>
          <w:sz w:val="21"/>
          <w:szCs w:val="21"/>
          <w:highlight w:val="none"/>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30.2</w:t>
      </w:r>
      <w:r>
        <w:rPr>
          <w:rFonts w:hint="eastAsia" w:ascii="宋体" w:hAnsi="宋体" w:cs="Courier New"/>
          <w:color w:val="auto"/>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hint="eastAsia" w:ascii="宋体" w:hAnsi="宋体"/>
          <w:color w:val="auto"/>
          <w:szCs w:val="21"/>
          <w:highlight w:val="none"/>
        </w:rPr>
      </w:pPr>
      <w:r>
        <w:rPr>
          <w:rFonts w:hint="eastAsia" w:ascii="宋体" w:hAnsi="宋体" w:cs="Courier New"/>
          <w:color w:val="auto"/>
          <w:szCs w:val="21"/>
          <w:highlight w:val="none"/>
        </w:rPr>
        <w:t>30.3</w:t>
      </w:r>
      <w:r>
        <w:rPr>
          <w:rFonts w:hint="eastAsia" w:ascii="宋体" w:hAnsi="宋体"/>
          <w:color w:val="auto"/>
          <w:szCs w:val="21"/>
          <w:highlight w:val="none"/>
        </w:rPr>
        <w:t>出现下列情形之一的，应予废标：</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（1）符合专业条件的供应商或者对招标文件作实质响应的供应商不足三家的；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（2）出现影响采购公正的违法、违规行为的；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（3）投标人的报价均超过了采购预算，采购人不能支付的；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（4）因重大变故，采购任务取消的。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废标后，采购人应当将废标理由通知所有投标人。</w:t>
      </w:r>
    </w:p>
    <w:p>
      <w:pPr>
        <w:snapToGrid w:val="0"/>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w:t>
      </w:r>
      <w:r>
        <w:rPr>
          <w:rFonts w:hint="eastAsia" w:ascii="宋体" w:hAnsi="宋体" w:cs="Courier New"/>
          <w:color w:val="auto"/>
          <w:szCs w:val="21"/>
          <w:highlight w:val="none"/>
        </w:rPr>
        <w:t>4中标人拒绝签订政府采购合同（包括但不限于放弃中标、因不可抗力不能履行合同而放弃签订合同），采购人可以按照评审报告推荐的中标候选人名单排序，确定下一候选人为中标供应商，也可以重新开展政府采购活动。</w:t>
      </w:r>
    </w:p>
    <w:p>
      <w:pPr>
        <w:pStyle w:val="8"/>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1.1</w:t>
      </w:r>
      <w:r>
        <w:rPr>
          <w:rFonts w:hint="eastAsia" w:ascii="宋体" w:hAnsi="宋体"/>
          <w:b w:val="0"/>
          <w:color w:val="auto"/>
          <w:sz w:val="21"/>
          <w:szCs w:val="21"/>
          <w:highlight w:val="none"/>
        </w:rPr>
        <w:t>采购人或者采购代理机构应当自中标人确定之日起2个工作日内，在省级以上财政部门指定的媒体上公告中标结果，招标文件应当随中标结果同时公告。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以上信息查询记录及相关证据与采购文件一并保存。</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31.2中标供应商享受《政府采购促进中小企业发展管理办法》（财库〔2020〕46号）规定的中小企业扶持政策的，采购人、采购代理机构应当随中标结果公开中标供应商的《中小企业声明函》。</w:t>
      </w:r>
    </w:p>
    <w:p>
      <w:pPr>
        <w:pStyle w:val="8"/>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pStyle w:val="8"/>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在公告中标结果的同时，采购代理机构向中标人发出中标通知书。对未通过资格审查的投标人，应当告知其未通过的原因；采用综合评分办法评审的，还应当告知未中标人本人的评审得分与排序。</w:t>
      </w:r>
    </w:p>
    <w:p>
      <w:pPr>
        <w:pStyle w:val="8"/>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采购代理机构无义务向未中标的投标人解释未中标原因和退还投标文件。</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34.合同授予标准</w:t>
      </w:r>
    </w:p>
    <w:p>
      <w:pPr>
        <w:snapToGrid w:val="0"/>
        <w:spacing w:line="360" w:lineRule="auto"/>
        <w:ind w:firstLine="420" w:firstLineChars="200"/>
        <w:rPr>
          <w:rFonts w:hint="eastAsia"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35.履约保证金</w:t>
      </w:r>
    </w:p>
    <w:p>
      <w:pPr>
        <w:pStyle w:val="8"/>
        <w:keepNext w:val="0"/>
        <w:keepLines w:val="0"/>
        <w:spacing w:before="0" w:after="0" w:line="360" w:lineRule="auto"/>
        <w:ind w:firstLine="315" w:firstLineChars="150"/>
        <w:rPr>
          <w:rFonts w:hint="eastAsia" w:ascii="宋体" w:hAnsi="宋体"/>
          <w:b w:val="0"/>
          <w:color w:val="auto"/>
          <w:sz w:val="21"/>
          <w:szCs w:val="21"/>
          <w:highlight w:val="none"/>
        </w:rPr>
      </w:pPr>
      <w:bookmarkStart w:id="113" w:name="_39.1中标人须于签订合同前按本须知前附表规定的金额转账或电汇到指定账"/>
      <w:bookmarkEnd w:id="113"/>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.1 履约保证金的金额、提交方式、退付的时间和条件详见 “投标人须知前附表”。中标人未按规定提交履约保证金的，视为拒绝与采购人签订合同。</w:t>
      </w:r>
    </w:p>
    <w:p>
      <w:pPr>
        <w:pStyle w:val="8"/>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.2 在履约保证金退还日期前，若中标人的开户名称、开户银行、帐号有变动的，请以书面形式通知履约保证金收取单位，否则由此产生的后果由中标人自行承担。</w:t>
      </w:r>
    </w:p>
    <w:p>
      <w:pPr>
        <w:pStyle w:val="8"/>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36.签订合同</w:t>
      </w:r>
    </w:p>
    <w:p>
      <w:pPr>
        <w:pStyle w:val="8"/>
        <w:keepNext w:val="0"/>
        <w:keepLines w:val="0"/>
        <w:spacing w:before="0" w:after="0" w:line="360" w:lineRule="auto"/>
        <w:ind w:firstLine="315" w:firstLineChars="150"/>
        <w:rPr>
          <w:rFonts w:hint="eastAsia" w:ascii="宋体" w:hAnsi="宋体"/>
          <w:b w:val="0"/>
          <w:color w:val="auto"/>
          <w:sz w:val="21"/>
          <w:szCs w:val="21"/>
          <w:highlight w:val="none"/>
        </w:rPr>
      </w:pPr>
      <w:bookmarkStart w:id="114" w:name="_40.1投标人接到中标通知书后，按须知前附表规定向采购人出示相关资格证"/>
      <w:bookmarkEnd w:id="114"/>
      <w:r>
        <w:rPr>
          <w:rFonts w:hint="eastAsia" w:ascii="宋体" w:hAnsi="宋体"/>
          <w:b w:val="0"/>
          <w:color w:val="auto"/>
          <w:sz w:val="21"/>
          <w:szCs w:val="21"/>
          <w:highlight w:val="none"/>
        </w:rPr>
        <w:t xml:space="preserve"> 36.1投标人领取中标通知书后，按“投标人须知前附表”规定向采购人出示相关证明材料，经采购人核验合格后方可签订合同。</w:t>
      </w:r>
    </w:p>
    <w:p>
      <w:pPr>
        <w:pStyle w:val="8"/>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36.2签订合同时间：按中标通知书规定的时间与采购人签订合同。</w:t>
      </w:r>
    </w:p>
    <w:p>
      <w:pPr>
        <w:pStyle w:val="8"/>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36.</w:t>
      </w:r>
      <w:r>
        <w:rPr>
          <w:rFonts w:ascii="宋体" w:hAnsi="宋体"/>
          <w:b w:val="0"/>
          <w:color w:val="auto"/>
          <w:sz w:val="21"/>
          <w:szCs w:val="21"/>
          <w:highlight w:val="none"/>
        </w:rPr>
        <w:t>3</w:t>
      </w:r>
      <w:r>
        <w:rPr>
          <w:rFonts w:hint="eastAsia" w:ascii="宋体" w:hAnsi="宋体"/>
          <w:b w:val="0"/>
          <w:color w:val="auto"/>
          <w:sz w:val="21"/>
          <w:szCs w:val="21"/>
          <w:highlight w:val="none"/>
        </w:rPr>
        <w:t>中标人拒绝与采购人签订合同的，按照本须知正文第3</w:t>
      </w:r>
      <w:r>
        <w:rPr>
          <w:rFonts w:ascii="宋体" w:hAnsi="宋体"/>
          <w:b w:val="0"/>
          <w:color w:val="auto"/>
          <w:sz w:val="21"/>
          <w:szCs w:val="21"/>
          <w:highlight w:val="none"/>
        </w:rPr>
        <w:t>0.4条</w:t>
      </w:r>
      <w:r>
        <w:rPr>
          <w:rFonts w:hint="eastAsia" w:ascii="宋体" w:hAnsi="宋体"/>
          <w:b w:val="0"/>
          <w:color w:val="auto"/>
          <w:sz w:val="21"/>
          <w:szCs w:val="21"/>
          <w:highlight w:val="none"/>
        </w:rPr>
        <w:t>的规定执行。</w:t>
      </w:r>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115" w:name="_41.政府采购合同公告"/>
      <w:bookmarkEnd w:id="115"/>
      <w:r>
        <w:rPr>
          <w:rFonts w:hint="eastAsia" w:ascii="黑体" w:hAnsi="黑体" w:eastAsia="黑体"/>
          <w:color w:val="auto"/>
          <w:sz w:val="24"/>
          <w:highlight w:val="none"/>
        </w:rPr>
        <w:t>37.政府采购合同公告</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采购人或者受托采购代理机构应当自政府采购合同签订之日起2个工作日内，将政府采购合同在省级以上人民政府财政部门指定的媒体上公告，</w:t>
      </w:r>
      <w:r>
        <w:rPr>
          <w:rFonts w:hAnsi="宋体"/>
          <w:color w:val="auto"/>
          <w:sz w:val="21"/>
          <w:highlight w:val="none"/>
        </w:rPr>
        <w:t>但政府采购合同中涉及国家秘密、商业秘密的内容除外。</w:t>
      </w:r>
    </w:p>
    <w:p>
      <w:pPr>
        <w:pStyle w:val="8"/>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pStyle w:val="10"/>
        <w:spacing w:line="360" w:lineRule="auto"/>
        <w:rPr>
          <w:rFonts w:hint="eastAsia"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供应商对政府采购活动事项有疑问的，可以向采购人提出询问，采购人或者采购代理机构应当在3个工作日内对供应商依法提出的询问作出答复，但答复的内容不得涉及商业秘密。</w:t>
      </w:r>
    </w:p>
    <w:p>
      <w:pPr>
        <w:pStyle w:val="8"/>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3"/>
        <w:snapToGrid w:val="0"/>
        <w:spacing w:line="360" w:lineRule="auto"/>
        <w:ind w:firstLine="420" w:firstLineChars="200"/>
        <w:rPr>
          <w:rFonts w:hAnsi="宋体"/>
          <w:color w:val="auto"/>
          <w:sz w:val="21"/>
          <w:highlight w:val="none"/>
        </w:rPr>
      </w:pPr>
      <w:r>
        <w:rPr>
          <w:rFonts w:hAnsi="宋体"/>
          <w:color w:val="auto"/>
          <w:sz w:val="21"/>
          <w:highlight w:val="none"/>
        </w:rPr>
        <w:t>（</w:t>
      </w:r>
      <w:r>
        <w:rPr>
          <w:rFonts w:hint="eastAsia" w:hAnsi="宋体"/>
          <w:color w:val="auto"/>
          <w:sz w:val="21"/>
          <w:highlight w:val="none"/>
        </w:rPr>
        <w:t>1</w:t>
      </w:r>
      <w:r>
        <w:rPr>
          <w:rFonts w:hAnsi="宋体"/>
          <w:color w:val="auto"/>
          <w:sz w:val="21"/>
          <w:highlight w:val="none"/>
        </w:rPr>
        <w:t>）对可以质疑的</w:t>
      </w:r>
      <w:r>
        <w:rPr>
          <w:rFonts w:hint="eastAsia" w:hAnsi="宋体"/>
          <w:color w:val="auto"/>
          <w:sz w:val="21"/>
          <w:highlight w:val="none"/>
        </w:rPr>
        <w:t>招标</w:t>
      </w:r>
      <w:r>
        <w:rPr>
          <w:rFonts w:hAnsi="宋体"/>
          <w:color w:val="auto"/>
          <w:sz w:val="21"/>
          <w:highlight w:val="none"/>
        </w:rPr>
        <w:t>文件提出质疑的，为收到</w:t>
      </w:r>
      <w:r>
        <w:rPr>
          <w:rFonts w:hint="eastAsia" w:hAnsi="宋体"/>
          <w:color w:val="auto"/>
          <w:sz w:val="21"/>
          <w:highlight w:val="none"/>
        </w:rPr>
        <w:t>招标</w:t>
      </w:r>
      <w:r>
        <w:rPr>
          <w:rFonts w:hAnsi="宋体"/>
          <w:color w:val="auto"/>
          <w:sz w:val="21"/>
          <w:highlight w:val="none"/>
        </w:rPr>
        <w:t>文件之日</w:t>
      </w:r>
      <w:r>
        <w:rPr>
          <w:rFonts w:hint="eastAsia" w:hAnsi="宋体"/>
          <w:color w:val="auto"/>
          <w:sz w:val="21"/>
          <w:highlight w:val="none"/>
        </w:rPr>
        <w:t>或者招标文件公告期限届满之日</w:t>
      </w:r>
      <w:r>
        <w:rPr>
          <w:rFonts w:hAnsi="宋体"/>
          <w:color w:val="auto"/>
          <w:sz w:val="21"/>
          <w:highlight w:val="none"/>
        </w:rPr>
        <w:t>；</w:t>
      </w:r>
    </w:p>
    <w:p>
      <w:pPr>
        <w:pStyle w:val="3"/>
        <w:snapToGrid w:val="0"/>
        <w:spacing w:line="360" w:lineRule="auto"/>
        <w:ind w:firstLine="420" w:firstLineChars="200"/>
        <w:rPr>
          <w:rFonts w:hint="eastAsia" w:hAnsi="宋体"/>
          <w:color w:val="auto"/>
          <w:sz w:val="21"/>
          <w:highlight w:val="none"/>
        </w:rPr>
      </w:pPr>
      <w:r>
        <w:rPr>
          <w:rFonts w:hAnsi="宋体"/>
          <w:color w:val="auto"/>
          <w:sz w:val="21"/>
          <w:highlight w:val="none"/>
        </w:rPr>
        <w:t>（</w:t>
      </w:r>
      <w:r>
        <w:rPr>
          <w:rFonts w:hint="eastAsia" w:hAnsi="宋体"/>
          <w:color w:val="auto"/>
          <w:sz w:val="21"/>
          <w:highlight w:val="none"/>
        </w:rPr>
        <w:t>2</w:t>
      </w:r>
      <w:r>
        <w:rPr>
          <w:rFonts w:hAnsi="宋体"/>
          <w:color w:val="auto"/>
          <w:sz w:val="21"/>
          <w:highlight w:val="none"/>
        </w:rPr>
        <w:t>）对</w:t>
      </w:r>
      <w:r>
        <w:rPr>
          <w:rFonts w:hint="eastAsia" w:hAnsi="宋体"/>
          <w:color w:val="auto"/>
          <w:sz w:val="21"/>
          <w:highlight w:val="none"/>
        </w:rPr>
        <w:t>采购</w:t>
      </w:r>
      <w:r>
        <w:rPr>
          <w:rFonts w:hAnsi="宋体"/>
          <w:color w:val="auto"/>
          <w:sz w:val="21"/>
          <w:highlight w:val="none"/>
        </w:rPr>
        <w:t>过程提出质疑的，为各采购程序环节结束之日；</w:t>
      </w:r>
    </w:p>
    <w:p>
      <w:pPr>
        <w:pStyle w:val="3"/>
        <w:snapToGrid w:val="0"/>
        <w:spacing w:line="360" w:lineRule="auto"/>
        <w:ind w:firstLine="420" w:firstLineChars="200"/>
        <w:rPr>
          <w:rFonts w:hint="eastAsia" w:hAnsi="宋体"/>
          <w:bCs/>
          <w:color w:val="auto"/>
          <w:sz w:val="21"/>
          <w:highlight w:val="none"/>
        </w:rPr>
      </w:pPr>
      <w:r>
        <w:rPr>
          <w:rFonts w:hAnsi="宋体"/>
          <w:color w:val="auto"/>
          <w:sz w:val="21"/>
          <w:highlight w:val="none"/>
        </w:rPr>
        <w:t>（</w:t>
      </w:r>
      <w:r>
        <w:rPr>
          <w:rFonts w:hint="eastAsia" w:hAnsi="宋体"/>
          <w:color w:val="auto"/>
          <w:sz w:val="21"/>
          <w:highlight w:val="none"/>
        </w:rPr>
        <w:t>3</w:t>
      </w:r>
      <w:r>
        <w:rPr>
          <w:rFonts w:hAnsi="宋体"/>
          <w:color w:val="auto"/>
          <w:sz w:val="21"/>
          <w:highlight w:val="none"/>
        </w:rPr>
        <w:t>）对中标结果提出质疑的，为中标结果公告期限届满之日。</w:t>
      </w:r>
    </w:p>
    <w:p>
      <w:pPr>
        <w:pStyle w:val="8"/>
        <w:keepNext w:val="0"/>
        <w:keepLines w:val="0"/>
        <w:spacing w:before="0" w:after="0" w:line="360" w:lineRule="auto"/>
        <w:ind w:firstLine="315" w:firstLineChars="150"/>
        <w:rPr>
          <w:rFonts w:ascii="宋体" w:hAnsi="宋体"/>
          <w:b w:val="0"/>
          <w:color w:val="auto"/>
          <w:sz w:val="21"/>
          <w:szCs w:val="21"/>
          <w:highlight w:val="none"/>
        </w:rPr>
      </w:pPr>
      <w:bookmarkStart w:id="116" w:name="_9.2质疑、投诉应当采用书面形式，质疑函、投诉书均应明确阐述招标文件、"/>
      <w:bookmarkEnd w:id="116"/>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 xml:space="preserve"> </w:t>
      </w:r>
      <w:r>
        <w:rPr>
          <w:rFonts w:hAnsi="宋体"/>
          <w:b w:val="0"/>
          <w:bCs/>
          <w:color w:val="auto"/>
          <w:sz w:val="21"/>
          <w:highlight w:val="none"/>
        </w:rPr>
        <w:t>供应商提出质疑应当提交质疑函和必要的证明材料</w:t>
      </w:r>
      <w:r>
        <w:rPr>
          <w:rFonts w:hint="eastAsia" w:hAnsi="宋体"/>
          <w:b w:val="0"/>
          <w:bCs/>
          <w:color w:val="auto"/>
          <w:sz w:val="21"/>
          <w:highlight w:val="none"/>
        </w:rPr>
        <w:t>，</w:t>
      </w:r>
      <w:r>
        <w:rPr>
          <w:rFonts w:hAnsi="宋体"/>
          <w:b w:val="0"/>
          <w:bCs/>
          <w:color w:val="auto"/>
          <w:sz w:val="21"/>
          <w:highlight w:val="none"/>
        </w:rPr>
        <w:t>针对同一采购程序环节的质疑</w:t>
      </w:r>
      <w:r>
        <w:rPr>
          <w:rFonts w:hint="eastAsia" w:hAnsi="宋体"/>
          <w:b w:val="0"/>
          <w:bCs/>
          <w:color w:val="auto"/>
          <w:sz w:val="21"/>
          <w:highlight w:val="none"/>
        </w:rPr>
        <w:t>必须</w:t>
      </w:r>
      <w:r>
        <w:rPr>
          <w:rFonts w:hAnsi="宋体"/>
          <w:b w:val="0"/>
          <w:bCs/>
          <w:color w:val="auto"/>
          <w:sz w:val="21"/>
          <w:highlight w:val="none"/>
        </w:rPr>
        <w:t>在法定质疑期内一次性提出。质疑函应当包括下列内容</w:t>
      </w:r>
      <w:r>
        <w:rPr>
          <w:rFonts w:hint="eastAsia" w:hAnsi="宋体"/>
          <w:b w:val="0"/>
          <w:bCs/>
          <w:color w:val="auto"/>
          <w:sz w:val="21"/>
          <w:highlight w:val="none"/>
        </w:rPr>
        <w:t>（质疑函格式后附）</w:t>
      </w:r>
      <w:r>
        <w:rPr>
          <w:rFonts w:hAnsi="宋体"/>
          <w:b w:val="0"/>
          <w:bCs/>
          <w:color w:val="auto"/>
          <w:sz w:val="21"/>
          <w:highlight w:val="none"/>
        </w:rPr>
        <w:t>：</w:t>
      </w:r>
    </w:p>
    <w:p>
      <w:pPr>
        <w:pStyle w:val="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1</w:t>
      </w:r>
      <w:r>
        <w:rPr>
          <w:rFonts w:hAnsi="宋体"/>
          <w:bCs/>
          <w:color w:val="auto"/>
          <w:sz w:val="21"/>
          <w:highlight w:val="none"/>
        </w:rPr>
        <w:t>）供应商的姓名或者名称、地址、邮编、联系人及联系电话；</w:t>
      </w:r>
    </w:p>
    <w:p>
      <w:pPr>
        <w:pStyle w:val="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2</w:t>
      </w:r>
      <w:r>
        <w:rPr>
          <w:rFonts w:hAnsi="宋体"/>
          <w:bCs/>
          <w:color w:val="auto"/>
          <w:sz w:val="21"/>
          <w:highlight w:val="none"/>
        </w:rPr>
        <w:t>）质疑项目的名称、编号；</w:t>
      </w:r>
    </w:p>
    <w:p>
      <w:pPr>
        <w:pStyle w:val="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3</w:t>
      </w:r>
      <w:r>
        <w:rPr>
          <w:rFonts w:hAnsi="宋体"/>
          <w:bCs/>
          <w:color w:val="auto"/>
          <w:sz w:val="21"/>
          <w:highlight w:val="none"/>
        </w:rPr>
        <w:t>）具体、明确的质疑事项和与质疑事项相关的请求；</w:t>
      </w:r>
    </w:p>
    <w:p>
      <w:pPr>
        <w:pStyle w:val="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4</w:t>
      </w:r>
      <w:r>
        <w:rPr>
          <w:rFonts w:hAnsi="宋体"/>
          <w:bCs/>
          <w:color w:val="auto"/>
          <w:sz w:val="21"/>
          <w:highlight w:val="none"/>
        </w:rPr>
        <w:t>）事实依据；</w:t>
      </w:r>
    </w:p>
    <w:p>
      <w:pPr>
        <w:pStyle w:val="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5</w:t>
      </w:r>
      <w:r>
        <w:rPr>
          <w:rFonts w:hAnsi="宋体"/>
          <w:bCs/>
          <w:color w:val="auto"/>
          <w:sz w:val="21"/>
          <w:highlight w:val="none"/>
        </w:rPr>
        <w:t>）必要的法律依据；</w:t>
      </w:r>
    </w:p>
    <w:p>
      <w:pPr>
        <w:pStyle w:val="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6</w:t>
      </w:r>
      <w:r>
        <w:rPr>
          <w:rFonts w:hAnsi="宋体"/>
          <w:bCs/>
          <w:color w:val="auto"/>
          <w:sz w:val="21"/>
          <w:highlight w:val="none"/>
        </w:rPr>
        <w:t>）提出质疑的日期。</w:t>
      </w:r>
    </w:p>
    <w:p>
      <w:pPr>
        <w:pStyle w:val="3"/>
        <w:snapToGrid w:val="0"/>
        <w:spacing w:line="360" w:lineRule="auto"/>
        <w:ind w:firstLine="420" w:firstLineChars="200"/>
        <w:rPr>
          <w:rFonts w:hint="eastAsia" w:hAnsi="宋体"/>
          <w:bCs/>
          <w:color w:val="auto"/>
          <w:sz w:val="21"/>
          <w:highlight w:val="none"/>
        </w:rPr>
      </w:pPr>
      <w:r>
        <w:rPr>
          <w:rFonts w:hAnsi="宋体"/>
          <w:bCs/>
          <w:color w:val="auto"/>
          <w:sz w:val="21"/>
          <w:highlight w:val="none"/>
        </w:rPr>
        <w:t>供应商为自然人的，应当由本人签字；供应商为法人或者其他组织的，应当由法定代表人、主要负责人，或者其委托代理人签字或者盖章，并加盖公章</w:t>
      </w:r>
      <w:r>
        <w:rPr>
          <w:rFonts w:hint="eastAsia" w:hAnsi="宋体"/>
          <w:bCs/>
          <w:color w:val="auto"/>
          <w:sz w:val="21"/>
          <w:highlight w:val="none"/>
        </w:rPr>
        <w:t>。</w:t>
      </w:r>
    </w:p>
    <w:p>
      <w:pPr>
        <w:pStyle w:val="8"/>
        <w:keepNext w:val="0"/>
        <w:keepLines w:val="0"/>
        <w:snapToGrid w:val="0"/>
        <w:spacing w:before="0" w:after="0" w:line="360" w:lineRule="auto"/>
        <w:ind w:firstLine="420" w:firstLineChars="200"/>
        <w:rPr>
          <w:rFonts w:hint="eastAsia" w:ascii="宋体" w:hAnsi="宋体"/>
          <w:b w:val="0"/>
          <w:bCs/>
          <w:color w:val="auto"/>
          <w:sz w:val="21"/>
          <w:szCs w:val="21"/>
          <w:highlight w:val="none"/>
        </w:rPr>
      </w:pPr>
      <w:r>
        <w:rPr>
          <w:rFonts w:ascii="宋体" w:hAnsi="宋体"/>
          <w:b w:val="0"/>
          <w:color w:val="auto"/>
          <w:sz w:val="21"/>
          <w:szCs w:val="21"/>
          <w:highlight w:val="none"/>
        </w:rPr>
        <w:t>3</w:t>
      </w:r>
      <w:r>
        <w:rPr>
          <w:rFonts w:ascii="宋体" w:hAnsi="宋体"/>
          <w:b w:val="0"/>
          <w:bCs/>
          <w:color w:val="auto"/>
          <w:sz w:val="21"/>
          <w:szCs w:val="21"/>
          <w:highlight w:val="none"/>
        </w:rPr>
        <w:t>8.4</w:t>
      </w:r>
      <w:r>
        <w:rPr>
          <w:rFonts w:hint="eastAsia" w:ascii="宋体" w:hAnsi="宋体"/>
          <w:b w:val="0"/>
          <w:bCs/>
          <w:color w:val="auto"/>
          <w:sz w:val="21"/>
          <w:szCs w:val="21"/>
          <w:highlight w:val="none"/>
        </w:rPr>
        <w:t>采购人、采购代理机构认为供应商质疑不成立，或者成立但未对中标结果构成影响的，继续开展采购活动；认为供应商质疑成立且影响或者可能影响中标结果的，按照下列情况处理：</w:t>
      </w:r>
    </w:p>
    <w:p>
      <w:pPr>
        <w:pStyle w:val="3"/>
        <w:snapToGrid w:val="0"/>
        <w:spacing w:line="360" w:lineRule="auto"/>
        <w:rPr>
          <w:rFonts w:hint="eastAsia" w:hAnsi="宋体"/>
          <w:bCs/>
          <w:color w:val="auto"/>
          <w:sz w:val="21"/>
          <w:highlight w:val="none"/>
        </w:rPr>
      </w:pPr>
      <w:r>
        <w:rPr>
          <w:rFonts w:hint="eastAsia" w:hAnsi="宋体"/>
          <w:bCs/>
          <w:color w:val="auto"/>
          <w:sz w:val="21"/>
          <w:highlight w:val="none"/>
        </w:rPr>
        <w:t>　　（1）对招标文件提出的质疑，依法通过澄清或者修改可以继续开展采购活动的，澄清或者修改招标文件后继续开展采购活动；否则应当修改招标文件后重新开展采购活动。</w:t>
      </w:r>
    </w:p>
    <w:p>
      <w:pPr>
        <w:pStyle w:val="3"/>
        <w:snapToGrid w:val="0"/>
        <w:spacing w:line="360" w:lineRule="auto"/>
        <w:rPr>
          <w:rFonts w:hint="eastAsia" w:hAnsi="宋体"/>
          <w:bCs/>
          <w:color w:val="auto"/>
          <w:sz w:val="21"/>
          <w:highlight w:val="none"/>
        </w:rPr>
      </w:pPr>
      <w:r>
        <w:rPr>
          <w:rFonts w:hint="eastAsia" w:hAnsi="宋体"/>
          <w:bCs/>
          <w:color w:val="auto"/>
          <w:sz w:val="21"/>
          <w:highlight w:val="none"/>
        </w:rPr>
        <w:t>　　（2）对采购过程、中标结果提出的质疑，合格供应商符合法定数量时，可以从合格的中标候选人中另行确定中标供应商的，应当依法另行确定中标供应商；否则应当重新开展采购活动。</w:t>
      </w:r>
    </w:p>
    <w:p>
      <w:pPr>
        <w:pStyle w:val="3"/>
        <w:snapToGrid w:val="0"/>
        <w:spacing w:line="360" w:lineRule="auto"/>
        <w:ind w:firstLine="420"/>
        <w:rPr>
          <w:rFonts w:hAnsi="宋体"/>
          <w:bCs/>
          <w:color w:val="auto"/>
          <w:sz w:val="21"/>
          <w:highlight w:val="none"/>
        </w:rPr>
      </w:pPr>
      <w:r>
        <w:rPr>
          <w:rFonts w:hint="eastAsia" w:hAnsi="宋体"/>
          <w:bCs/>
          <w:color w:val="auto"/>
          <w:sz w:val="21"/>
          <w:highlight w:val="none"/>
        </w:rPr>
        <w:t>质疑答复导致中标结果改变的，采购人或者采购代理机构应当将有关情况书面报告本级财政部门。</w:t>
      </w:r>
    </w:p>
    <w:p>
      <w:pPr>
        <w:pStyle w:val="3"/>
        <w:snapToGrid w:val="0"/>
        <w:spacing w:line="360" w:lineRule="auto"/>
        <w:ind w:firstLine="420" w:firstLineChars="200"/>
        <w:rPr>
          <w:rFonts w:hint="eastAsia" w:hAnsi="宋体"/>
          <w:color w:val="auto"/>
          <w:sz w:val="21"/>
          <w:highlight w:val="none"/>
        </w:rPr>
      </w:pPr>
      <w:r>
        <w:rPr>
          <w:rFonts w:hAnsi="宋体"/>
          <w:color w:val="auto"/>
          <w:sz w:val="21"/>
          <w:highlight w:val="none"/>
        </w:rPr>
        <w:t>38</w:t>
      </w:r>
      <w:r>
        <w:rPr>
          <w:rFonts w:hint="eastAsia" w:hAnsi="宋体"/>
          <w:color w:val="auto"/>
          <w:sz w:val="21"/>
          <w:highlight w:val="none"/>
        </w:rPr>
        <w:t>.</w:t>
      </w:r>
      <w:r>
        <w:rPr>
          <w:rFonts w:hAnsi="宋体"/>
          <w:color w:val="auto"/>
          <w:sz w:val="21"/>
          <w:highlight w:val="none"/>
        </w:rPr>
        <w:t>5</w:t>
      </w:r>
      <w:r>
        <w:rPr>
          <w:rFonts w:hint="eastAsia" w:hAnsi="宋体"/>
          <w:color w:val="auto"/>
          <w:sz w:val="21"/>
          <w:highlight w:val="none"/>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6"/>
        <w:keepNext w:val="0"/>
        <w:keepLines w:val="0"/>
        <w:spacing w:before="240" w:after="240" w:line="415" w:lineRule="auto"/>
        <w:jc w:val="center"/>
        <w:rPr>
          <w:rFonts w:hint="eastAsia"/>
          <w:color w:val="auto"/>
          <w:highlight w:val="none"/>
        </w:rPr>
      </w:pPr>
      <w:bookmarkStart w:id="117" w:name="_八、其他事项"/>
      <w:bookmarkEnd w:id="117"/>
      <w:r>
        <w:rPr>
          <w:rFonts w:hint="eastAsia"/>
          <w:color w:val="auto"/>
          <w:highlight w:val="none"/>
        </w:rPr>
        <w:t>八、其他事项</w:t>
      </w:r>
    </w:p>
    <w:p>
      <w:pPr>
        <w:pStyle w:val="8"/>
        <w:keepNext w:val="0"/>
        <w:keepLines w:val="0"/>
        <w:spacing w:before="0" w:after="0" w:line="360" w:lineRule="auto"/>
        <w:ind w:left="420" w:leftChars="200"/>
        <w:rPr>
          <w:rFonts w:hint="eastAsia" w:ascii="黑体" w:hAnsi="黑体" w:eastAsia="黑体"/>
          <w:color w:val="auto"/>
          <w:sz w:val="24"/>
          <w:highlight w:val="none"/>
        </w:rPr>
      </w:pPr>
      <w:bookmarkStart w:id="118" w:name="_42.代理服务费"/>
      <w:bookmarkEnd w:id="118"/>
      <w:r>
        <w:rPr>
          <w:rFonts w:hint="eastAsia" w:ascii="黑体" w:hAnsi="黑体" w:eastAsia="黑体"/>
          <w:color w:val="auto"/>
          <w:sz w:val="24"/>
          <w:highlight w:val="none"/>
        </w:rPr>
        <w:t>3</w:t>
      </w:r>
      <w:r>
        <w:rPr>
          <w:rFonts w:ascii="黑体" w:hAnsi="黑体" w:eastAsia="黑体"/>
          <w:color w:val="auto"/>
          <w:sz w:val="24"/>
          <w:highlight w:val="none"/>
        </w:rPr>
        <w:t>9</w:t>
      </w:r>
      <w:r>
        <w:rPr>
          <w:rFonts w:hint="eastAsia" w:ascii="黑体" w:hAnsi="黑体" w:eastAsia="黑体"/>
          <w:color w:val="auto"/>
          <w:sz w:val="24"/>
          <w:highlight w:val="none"/>
        </w:rPr>
        <w:t>.代理服务费</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9</w:t>
      </w:r>
      <w:r>
        <w:rPr>
          <w:rFonts w:hint="eastAsia" w:ascii="宋体" w:hAnsi="宋体"/>
          <w:b w:val="0"/>
          <w:color w:val="auto"/>
          <w:sz w:val="21"/>
          <w:szCs w:val="21"/>
          <w:highlight w:val="none"/>
        </w:rPr>
        <w:t>.1代理服务收取标准及缴费账户详见“投标人须知前附表”，投标人为联合体的，可以由联合体中的一方或者多方共同交纳代理服务费。</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9</w:t>
      </w:r>
      <w:r>
        <w:rPr>
          <w:rFonts w:hint="eastAsia" w:ascii="宋体" w:hAnsi="宋体"/>
          <w:b w:val="0"/>
          <w:color w:val="auto"/>
          <w:sz w:val="21"/>
          <w:szCs w:val="21"/>
          <w:highlight w:val="none"/>
        </w:rPr>
        <w:t>.2代理服务收费标准：</w:t>
      </w:r>
    </w:p>
    <w:p>
      <w:pPr>
        <w:spacing w:line="360" w:lineRule="auto"/>
        <w:rPr>
          <w:rFonts w:hint="eastAsia" w:ascii="宋体" w:hAnsi="宋体"/>
          <w:color w:val="auto"/>
          <w:szCs w:val="21"/>
          <w:highlight w:val="none"/>
        </w:rPr>
      </w:pPr>
    </w:p>
    <w:tbl>
      <w:tblPr>
        <w:tblStyle w:val="45"/>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费率</w:t>
            </w:r>
          </w:p>
          <w:p>
            <w:pPr>
              <w:spacing w:line="360" w:lineRule="auto"/>
              <w:rPr>
                <w:rFonts w:hint="eastAsia" w:ascii="宋体" w:hAnsi="宋体"/>
                <w:color w:val="auto"/>
                <w:szCs w:val="21"/>
                <w:highlight w:val="none"/>
              </w:rPr>
            </w:pPr>
            <w:r>
              <w:rPr>
                <w:rFonts w:hint="eastAsia" w:ascii="宋体" w:hAnsi="宋体"/>
                <w:color w:val="auto"/>
                <w:szCs w:val="21"/>
                <w:highlight w:val="none"/>
              </w:rPr>
              <w:t>中标金额</w:t>
            </w:r>
          </w:p>
        </w:tc>
        <w:tc>
          <w:tcPr>
            <w:tcW w:w="1659" w:type="dxa"/>
            <w:noWrap w:val="0"/>
            <w:vAlign w:val="center"/>
          </w:tcPr>
          <w:p>
            <w:pPr>
              <w:spacing w:line="360" w:lineRule="auto"/>
              <w:ind w:firstLine="105" w:firstLineChars="50"/>
              <w:jc w:val="center"/>
              <w:rPr>
                <w:rFonts w:hint="eastAsia" w:ascii="宋体" w:hAnsi="宋体"/>
                <w:color w:val="auto"/>
                <w:szCs w:val="21"/>
                <w:highlight w:val="none"/>
              </w:rPr>
            </w:pPr>
            <w:r>
              <w:rPr>
                <w:rFonts w:hint="eastAsia" w:ascii="宋体" w:hAnsi="宋体"/>
                <w:color w:val="auto"/>
                <w:szCs w:val="21"/>
                <w:highlight w:val="none"/>
              </w:rPr>
              <w:t>货物招标</w:t>
            </w:r>
          </w:p>
        </w:tc>
        <w:tc>
          <w:tcPr>
            <w:tcW w:w="1687"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服务招标</w:t>
            </w:r>
          </w:p>
        </w:tc>
        <w:tc>
          <w:tcPr>
            <w:tcW w:w="165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100万元以下</w:t>
            </w:r>
          </w:p>
        </w:tc>
        <w:tc>
          <w:tcPr>
            <w:tcW w:w="1659" w:type="dxa"/>
            <w:noWrap w:val="0"/>
            <w:vAlign w:val="top"/>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1.5%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1.5%</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100～500万元</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1.1%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0.8%</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500～1000万元</w:t>
            </w:r>
          </w:p>
        </w:tc>
        <w:tc>
          <w:tcPr>
            <w:tcW w:w="1659" w:type="dxa"/>
            <w:noWrap w:val="0"/>
            <w:vAlign w:val="top"/>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0.8%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0.45%</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1000～5000万元</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0.5%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0.25%</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5000万元～1亿元</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ascii="宋体" w:hAnsi="宋体" w:cs="宋体"/>
                <w:color w:val="auto"/>
                <w:kern w:val="0"/>
                <w:szCs w:val="21"/>
                <w:highlight w:val="none"/>
              </w:rPr>
              <w:t xml:space="preserve">0.25%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0.1%</w:t>
            </w:r>
          </w:p>
        </w:tc>
        <w:tc>
          <w:tcPr>
            <w:tcW w:w="1659" w:type="dxa"/>
            <w:noWrap w:val="0"/>
            <w:vAlign w:val="top"/>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1～5亿元</w:t>
            </w:r>
          </w:p>
        </w:tc>
        <w:tc>
          <w:tcPr>
            <w:tcW w:w="1659" w:type="dxa"/>
            <w:noWrap w:val="0"/>
            <w:vAlign w:val="top"/>
          </w:tcPr>
          <w:p>
            <w:pPr>
              <w:spacing w:line="360" w:lineRule="auto"/>
              <w:ind w:firstLine="210" w:firstLineChars="100"/>
              <w:rPr>
                <w:rFonts w:hint="eastAsia" w:ascii="宋体" w:hAnsi="宋体"/>
                <w:color w:val="auto"/>
                <w:szCs w:val="21"/>
                <w:highlight w:val="none"/>
              </w:rPr>
            </w:pPr>
            <w:r>
              <w:rPr>
                <w:rFonts w:hint="eastAsia" w:ascii="宋体" w:hAnsi="宋体"/>
                <w:color w:val="auto"/>
                <w:szCs w:val="21"/>
                <w:highlight w:val="none"/>
              </w:rPr>
              <w:t>0.05%</w:t>
            </w:r>
          </w:p>
        </w:tc>
        <w:tc>
          <w:tcPr>
            <w:tcW w:w="1687"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0.05%</w:t>
            </w:r>
          </w:p>
        </w:tc>
        <w:tc>
          <w:tcPr>
            <w:tcW w:w="1659"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5～10亿元</w:t>
            </w:r>
          </w:p>
        </w:tc>
        <w:tc>
          <w:tcPr>
            <w:tcW w:w="1659" w:type="dxa"/>
            <w:noWrap w:val="0"/>
            <w:vAlign w:val="top"/>
          </w:tcPr>
          <w:p>
            <w:pPr>
              <w:spacing w:line="360" w:lineRule="auto"/>
              <w:ind w:firstLine="105" w:firstLineChars="50"/>
              <w:rPr>
                <w:rFonts w:hint="eastAsia" w:ascii="宋体" w:hAnsi="宋体"/>
                <w:color w:val="auto"/>
                <w:szCs w:val="21"/>
                <w:highlight w:val="none"/>
              </w:rPr>
            </w:pPr>
            <w:r>
              <w:rPr>
                <w:rFonts w:hint="eastAsia" w:ascii="宋体" w:hAnsi="宋体"/>
                <w:color w:val="auto"/>
                <w:szCs w:val="21"/>
                <w:highlight w:val="none"/>
              </w:rPr>
              <w:t>0.035%</w:t>
            </w:r>
          </w:p>
        </w:tc>
        <w:tc>
          <w:tcPr>
            <w:tcW w:w="1687"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0.035%</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10～50亿元</w:t>
            </w:r>
          </w:p>
        </w:tc>
        <w:tc>
          <w:tcPr>
            <w:tcW w:w="1659" w:type="dxa"/>
            <w:noWrap w:val="0"/>
            <w:vAlign w:val="top"/>
          </w:tcPr>
          <w:p>
            <w:pPr>
              <w:spacing w:line="360" w:lineRule="auto"/>
              <w:ind w:firstLine="105" w:firstLineChars="50"/>
              <w:rPr>
                <w:rFonts w:hint="eastAsia" w:ascii="宋体" w:hAnsi="宋体"/>
                <w:color w:val="auto"/>
                <w:szCs w:val="21"/>
                <w:highlight w:val="none"/>
              </w:rPr>
            </w:pPr>
            <w:r>
              <w:rPr>
                <w:rFonts w:hint="eastAsia" w:ascii="宋体" w:hAnsi="宋体"/>
                <w:color w:val="auto"/>
                <w:szCs w:val="21"/>
                <w:highlight w:val="none"/>
              </w:rPr>
              <w:t>0.008%</w:t>
            </w:r>
          </w:p>
        </w:tc>
        <w:tc>
          <w:tcPr>
            <w:tcW w:w="1687" w:type="dxa"/>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0.008%</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50～100亿元</w:t>
            </w:r>
          </w:p>
        </w:tc>
        <w:tc>
          <w:tcPr>
            <w:tcW w:w="1659"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0.006%</w:t>
            </w:r>
          </w:p>
        </w:tc>
        <w:tc>
          <w:tcPr>
            <w:tcW w:w="1687" w:type="dxa"/>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0.006%</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100亿以上</w:t>
            </w:r>
          </w:p>
        </w:tc>
        <w:tc>
          <w:tcPr>
            <w:tcW w:w="1659" w:type="dxa"/>
            <w:noWrap w:val="0"/>
            <w:vAlign w:val="top"/>
          </w:tcPr>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0.004%</w:t>
            </w:r>
          </w:p>
        </w:tc>
        <w:tc>
          <w:tcPr>
            <w:tcW w:w="1687" w:type="dxa"/>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0.004%</w:t>
            </w:r>
          </w:p>
        </w:tc>
        <w:tc>
          <w:tcPr>
            <w:tcW w:w="1659" w:type="dxa"/>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注:</w:t>
      </w:r>
      <w:r>
        <w:rPr>
          <w:rFonts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按本表费率计算的收费为</w:t>
      </w:r>
      <w:r>
        <w:rPr>
          <w:rFonts w:hint="eastAsia" w:ascii="宋体" w:hAnsi="宋体" w:cs="宋体"/>
          <w:color w:val="auto"/>
          <w:szCs w:val="21"/>
          <w:highlight w:val="none"/>
        </w:rPr>
        <w:t>采购</w:t>
      </w:r>
      <w:r>
        <w:rPr>
          <w:rFonts w:ascii="宋体" w:hAnsi="宋体" w:cs="宋体"/>
          <w:color w:val="auto"/>
          <w:szCs w:val="21"/>
          <w:highlight w:val="none"/>
        </w:rPr>
        <w:t>代理的收费基准价格</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w:t>
      </w:r>
      <w:r>
        <w:rPr>
          <w:rFonts w:ascii="宋体" w:hAnsi="宋体" w:cs="宋体"/>
          <w:color w:val="auto"/>
          <w:szCs w:val="21"/>
          <w:highlight w:val="none"/>
        </w:rPr>
        <w:t>代理收费按差额定率累进法计算。</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例如：某</w:t>
      </w:r>
      <w:r>
        <w:rPr>
          <w:rFonts w:hint="eastAsia" w:ascii="宋体" w:hAnsi="宋体" w:cs="宋体"/>
          <w:color w:val="auto"/>
          <w:szCs w:val="21"/>
          <w:highlight w:val="none"/>
        </w:rPr>
        <w:t>服务采购</w:t>
      </w:r>
      <w:r>
        <w:rPr>
          <w:rFonts w:ascii="宋体" w:hAnsi="宋体" w:cs="宋体"/>
          <w:color w:val="auto"/>
          <w:szCs w:val="21"/>
          <w:highlight w:val="none"/>
        </w:rPr>
        <w:t>代理业务</w:t>
      </w:r>
      <w:r>
        <w:rPr>
          <w:rFonts w:hint="eastAsia" w:ascii="宋体" w:hAnsi="宋体" w:cs="宋体"/>
          <w:color w:val="auto"/>
          <w:szCs w:val="21"/>
          <w:highlight w:val="none"/>
        </w:rPr>
        <w:t>中标</w:t>
      </w:r>
      <w:r>
        <w:rPr>
          <w:rFonts w:ascii="宋体" w:hAnsi="宋体" w:cs="宋体"/>
          <w:color w:val="auto"/>
          <w:szCs w:val="21"/>
          <w:highlight w:val="none"/>
        </w:rPr>
        <w:t>金额</w:t>
      </w:r>
      <w:r>
        <w:rPr>
          <w:rFonts w:hint="eastAsia" w:ascii="宋体" w:hAnsi="宋体" w:cs="宋体"/>
          <w:color w:val="auto"/>
          <w:szCs w:val="21"/>
          <w:highlight w:val="none"/>
        </w:rPr>
        <w:t>或者暂定价</w:t>
      </w:r>
      <w:r>
        <w:rPr>
          <w:rFonts w:ascii="宋体" w:hAnsi="宋体" w:cs="宋体"/>
          <w:color w:val="auto"/>
          <w:szCs w:val="21"/>
          <w:highlight w:val="none"/>
        </w:rPr>
        <w:t>为200万元，计算</w:t>
      </w:r>
      <w:r>
        <w:rPr>
          <w:rFonts w:hint="eastAsia" w:ascii="宋体" w:hAnsi="宋体" w:cs="宋体"/>
          <w:color w:val="auto"/>
          <w:szCs w:val="21"/>
          <w:highlight w:val="none"/>
        </w:rPr>
        <w:t>采购</w:t>
      </w:r>
      <w:r>
        <w:rPr>
          <w:rFonts w:ascii="宋体" w:hAnsi="宋体" w:cs="宋体"/>
          <w:color w:val="auto"/>
          <w:szCs w:val="21"/>
          <w:highlight w:val="none"/>
        </w:rPr>
        <w:t>代理收费额如下：</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200 － 100 ）万元 ×0.8%＝0.8万元</w:t>
      </w:r>
    </w:p>
    <w:p>
      <w:pPr>
        <w:pStyle w:val="3"/>
        <w:snapToGrid w:val="0"/>
        <w:spacing w:line="360" w:lineRule="auto"/>
        <w:ind w:firstLine="420" w:firstLineChars="200"/>
        <w:rPr>
          <w:rFonts w:hAnsi="宋体" w:cs="宋体"/>
          <w:color w:val="auto"/>
          <w:sz w:val="21"/>
          <w:highlight w:val="none"/>
        </w:rPr>
      </w:pPr>
      <w:r>
        <w:rPr>
          <w:rFonts w:hAnsi="宋体" w:cs="宋体"/>
          <w:color w:val="auto"/>
          <w:sz w:val="21"/>
          <w:highlight w:val="none"/>
        </w:rPr>
        <w:t>合计收费＝ 1.5</w:t>
      </w:r>
      <w:r>
        <w:rPr>
          <w:rFonts w:hint="eastAsia" w:hAnsi="宋体" w:cs="宋体"/>
          <w:color w:val="auto"/>
          <w:sz w:val="21"/>
          <w:highlight w:val="none"/>
        </w:rPr>
        <w:t>+</w:t>
      </w:r>
      <w:r>
        <w:rPr>
          <w:rFonts w:hAnsi="宋体" w:cs="宋体"/>
          <w:color w:val="auto"/>
          <w:sz w:val="21"/>
          <w:highlight w:val="none"/>
        </w:rPr>
        <w:t>0.8＝ 2.3（万元）</w:t>
      </w:r>
    </w:p>
    <w:p>
      <w:pPr>
        <w:pStyle w:val="8"/>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40. 需要补充的其他内容</w:t>
      </w:r>
    </w:p>
    <w:p>
      <w:pPr>
        <w:pStyle w:val="3"/>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40.1本招标文件解释规则详见“投标人须知前附表”。</w:t>
      </w:r>
    </w:p>
    <w:p>
      <w:pPr>
        <w:pStyle w:val="3"/>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40.2 其他事项详见“投标人须知前附表”。</w:t>
      </w:r>
    </w:p>
    <w:p>
      <w:pPr>
        <w:pStyle w:val="3"/>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3"/>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（1）在货物采购项目中，货物由中小企业制造，即货物由中小企业生产且使用该中小企业商号或者注册商标，不对其中涉及的工程承建商和服务的承接商作出要求；</w:t>
      </w:r>
    </w:p>
    <w:p>
      <w:pPr>
        <w:pStyle w:val="3"/>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（2）在工程采购项目中，工程由中小企业承建，即工程施工单位为中小企业，不对其中涉及的货物的制造商和服务的承接商作出要求；</w:t>
      </w:r>
    </w:p>
    <w:p>
      <w:pPr>
        <w:pStyle w:val="3"/>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pStyle w:val="3"/>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3"/>
        <w:spacing w:line="360" w:lineRule="auto"/>
        <w:ind w:firstLine="420" w:firstLineChars="200"/>
        <w:rPr>
          <w:rFonts w:hint="eastAsia" w:hAnsi="宋体"/>
          <w:color w:val="auto"/>
          <w:highlight w:val="none"/>
        </w:rPr>
      </w:pPr>
      <w:r>
        <w:rPr>
          <w:rFonts w:hint="eastAsia" w:hAnsi="宋体" w:cs="宋体"/>
          <w:color w:val="auto"/>
          <w:sz w:val="21"/>
          <w:highlight w:val="none"/>
        </w:rPr>
        <w:t>依据本招标文件规定享受扶持政策获得政府采购合同的，小微企业不得将合同分包给大中型企业，中型企业不得将合同分包给大型企业</w:t>
      </w:r>
      <w:r>
        <w:rPr>
          <w:rFonts w:hint="eastAsia" w:hAnsi="宋体"/>
          <w:color w:val="auto"/>
          <w:sz w:val="21"/>
          <w:highlight w:val="none"/>
        </w:rPr>
        <w:t>。</w:t>
      </w:r>
      <w:r>
        <w:rPr>
          <w:rFonts w:hAnsi="宋体"/>
          <w:color w:val="auto"/>
          <w:highlight w:val="none"/>
        </w:rPr>
        <w:br w:type="page"/>
      </w: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3"/>
        <w:snapToGrid w:val="0"/>
        <w:spacing w:before="120" w:after="120"/>
        <w:rPr>
          <w:rFonts w:hint="eastAsia" w:hAnsi="宋体"/>
          <w:color w:val="auto"/>
          <w:highlight w:val="none"/>
        </w:rPr>
      </w:pPr>
    </w:p>
    <w:p>
      <w:pPr>
        <w:pStyle w:val="4"/>
        <w:jc w:val="center"/>
        <w:rPr>
          <w:rFonts w:hint="eastAsia"/>
          <w:color w:val="auto"/>
          <w:highlight w:val="none"/>
        </w:rPr>
      </w:pPr>
      <w:bookmarkStart w:id="119" w:name="_Toc15656"/>
      <w:bookmarkStart w:id="120" w:name="_Toc330456896"/>
      <w:bookmarkStart w:id="121" w:name="_Toc254970689"/>
      <w:bookmarkStart w:id="122" w:name="_Toc254970548"/>
      <w:r>
        <w:rPr>
          <w:rFonts w:hint="eastAsia"/>
          <w:color w:val="auto"/>
          <w:highlight w:val="none"/>
        </w:rPr>
        <w:t>第四章  评标方法及评标标准</w:t>
      </w:r>
      <w:bookmarkEnd w:id="119"/>
      <w:bookmarkEnd w:id="120"/>
      <w:bookmarkEnd w:id="121"/>
      <w:bookmarkEnd w:id="122"/>
    </w:p>
    <w:p>
      <w:pPr>
        <w:rPr>
          <w:rFonts w:hint="eastAsia"/>
          <w:color w:val="auto"/>
          <w:highlight w:val="none"/>
        </w:rPr>
      </w:pPr>
      <w:bookmarkStart w:id="123" w:name="_Toc254970549"/>
      <w:bookmarkStart w:id="124" w:name="_Toc254970690"/>
    </w:p>
    <w:bookmarkEnd w:id="123"/>
    <w:bookmarkEnd w:id="124"/>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spacing w:before="156" w:beforeLines="50" w:after="156" w:afterLines="50" w:line="400" w:lineRule="exact"/>
        <w:rPr>
          <w:rFonts w:hint="eastAsia" w:ascii="宋体" w:hAnsi="宋体"/>
          <w:b/>
          <w:color w:val="auto"/>
          <w:sz w:val="24"/>
          <w:highlight w:val="none"/>
        </w:rPr>
      </w:pPr>
    </w:p>
    <w:p>
      <w:pPr>
        <w:spacing w:before="156" w:beforeLines="50" w:after="156" w:afterLines="50" w:line="400" w:lineRule="exact"/>
        <w:rPr>
          <w:rFonts w:hint="eastAsia" w:ascii="宋体" w:hAnsi="宋体"/>
          <w:b/>
          <w:color w:val="auto"/>
          <w:sz w:val="24"/>
          <w:highlight w:val="none"/>
        </w:rPr>
      </w:pPr>
    </w:p>
    <w:p>
      <w:pPr>
        <w:pStyle w:val="3"/>
        <w:spacing w:line="360" w:lineRule="exact"/>
        <w:rPr>
          <w:rFonts w:hint="eastAsia" w:hAnsi="宋体"/>
          <w:b/>
          <w:color w:val="auto"/>
          <w:sz w:val="24"/>
          <w:highlight w:val="none"/>
        </w:rPr>
      </w:pPr>
    </w:p>
    <w:p>
      <w:pPr>
        <w:pStyle w:val="3"/>
        <w:spacing w:line="360" w:lineRule="exact"/>
        <w:rPr>
          <w:rFonts w:hint="eastAsia" w:hAnsi="宋体"/>
          <w:b/>
          <w:color w:val="auto"/>
          <w:sz w:val="24"/>
          <w:highlight w:val="none"/>
        </w:rPr>
      </w:pPr>
    </w:p>
    <w:p>
      <w:pPr>
        <w:pStyle w:val="3"/>
        <w:spacing w:line="360" w:lineRule="exact"/>
        <w:rPr>
          <w:rFonts w:hint="eastAsia" w:hAnsi="宋体"/>
          <w:b/>
          <w:color w:val="auto"/>
          <w:sz w:val="24"/>
          <w:highlight w:val="none"/>
        </w:rPr>
      </w:pPr>
    </w:p>
    <w:p>
      <w:pPr>
        <w:pStyle w:val="3"/>
        <w:spacing w:line="360" w:lineRule="exact"/>
        <w:rPr>
          <w:rFonts w:hint="eastAsia" w:hAnsi="宋体"/>
          <w:b/>
          <w:color w:val="auto"/>
          <w:sz w:val="24"/>
          <w:highlight w:val="none"/>
        </w:rPr>
      </w:pPr>
    </w:p>
    <w:p>
      <w:pPr>
        <w:pStyle w:val="3"/>
        <w:spacing w:line="360" w:lineRule="exact"/>
        <w:rPr>
          <w:rFonts w:hint="eastAsia" w:hAnsi="宋体"/>
          <w:b/>
          <w:color w:val="auto"/>
          <w:sz w:val="24"/>
          <w:highlight w:val="none"/>
        </w:rPr>
      </w:pPr>
    </w:p>
    <w:p>
      <w:pPr>
        <w:pStyle w:val="3"/>
        <w:spacing w:line="360" w:lineRule="exact"/>
        <w:rPr>
          <w:rFonts w:hint="eastAsia" w:hAnsi="宋体"/>
          <w:b/>
          <w:color w:val="auto"/>
          <w:sz w:val="24"/>
          <w:highlight w:val="none"/>
        </w:rPr>
      </w:pPr>
    </w:p>
    <w:p>
      <w:pPr>
        <w:pStyle w:val="3"/>
        <w:spacing w:line="360" w:lineRule="exact"/>
        <w:rPr>
          <w:rFonts w:hAnsi="宋体"/>
          <w:bCs/>
          <w:color w:val="auto"/>
          <w:highlight w:val="none"/>
        </w:rPr>
      </w:pPr>
      <w:r>
        <w:rPr>
          <w:rFonts w:hAnsi="宋体"/>
          <w:bCs/>
          <w:color w:val="auto"/>
          <w:highlight w:val="none"/>
        </w:rPr>
        <w:t xml:space="preserve"> </w:t>
      </w:r>
    </w:p>
    <w:p>
      <w:pPr>
        <w:rPr>
          <w:rFonts w:hAnsi="宋体"/>
          <w:bCs/>
          <w:color w:val="auto"/>
          <w:highlight w:val="none"/>
        </w:rPr>
      </w:pPr>
    </w:p>
    <w:p>
      <w:pPr>
        <w:pStyle w:val="2"/>
        <w:rPr>
          <w:rFonts w:hint="eastAsia"/>
        </w:rPr>
      </w:pPr>
    </w:p>
    <w:p>
      <w:pPr>
        <w:pStyle w:val="6"/>
        <w:keepNext w:val="0"/>
        <w:keepLines w:val="0"/>
        <w:jc w:val="center"/>
        <w:rPr>
          <w:color w:val="auto"/>
          <w:highlight w:val="none"/>
        </w:rPr>
      </w:pPr>
      <w:r>
        <w:rPr>
          <w:rFonts w:hint="eastAsia"/>
          <w:color w:val="auto"/>
          <w:highlight w:val="none"/>
        </w:rPr>
        <w:t>一、评标方法</w:t>
      </w:r>
    </w:p>
    <w:p>
      <w:pPr>
        <w:pStyle w:val="3"/>
        <w:spacing w:line="360" w:lineRule="auto"/>
        <w:ind w:firstLine="420"/>
        <w:rPr>
          <w:rFonts w:hAnsi="宋体"/>
          <w:color w:val="auto"/>
          <w:sz w:val="21"/>
          <w:highlight w:val="none"/>
        </w:rPr>
      </w:pPr>
      <w:r>
        <w:rPr>
          <w:rFonts w:hint="eastAsia" w:hAnsi="宋体"/>
          <w:color w:val="auto"/>
          <w:sz w:val="21"/>
          <w:highlight w:val="none"/>
        </w:rPr>
        <w:t>综合评分法，是指投标文件满足招标文件全部实质性要求，且按照评审因素的量化指标评审得分最高的投标人为中标候选人的评标方法。</w:t>
      </w:r>
    </w:p>
    <w:p>
      <w:pPr>
        <w:pStyle w:val="6"/>
        <w:keepNext w:val="0"/>
        <w:keepLines w:val="0"/>
        <w:jc w:val="center"/>
        <w:rPr>
          <w:rFonts w:hint="eastAsia"/>
          <w:color w:val="auto"/>
          <w:highlight w:val="none"/>
        </w:rPr>
      </w:pPr>
      <w:r>
        <w:rPr>
          <w:rFonts w:hint="eastAsia"/>
          <w:color w:val="auto"/>
          <w:highlight w:val="none"/>
        </w:rPr>
        <w:t>二、评标程序</w:t>
      </w:r>
    </w:p>
    <w:p>
      <w:pPr>
        <w:pStyle w:val="8"/>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1.符合性审查</w:t>
      </w:r>
    </w:p>
    <w:p>
      <w:pPr>
        <w:pStyle w:val="3"/>
        <w:snapToGrid w:val="0"/>
        <w:spacing w:line="360" w:lineRule="auto"/>
        <w:ind w:left="1" w:firstLine="420"/>
        <w:rPr>
          <w:rFonts w:hint="eastAsia" w:hAnsi="宋体"/>
          <w:b/>
          <w:color w:val="auto"/>
          <w:kern w:val="2"/>
          <w:sz w:val="21"/>
          <w:highlight w:val="none"/>
        </w:rPr>
      </w:pPr>
      <w:r>
        <w:rPr>
          <w:rFonts w:hint="eastAsia" w:hAnsi="宋体"/>
          <w:b/>
          <w:color w:val="auto"/>
          <w:kern w:val="2"/>
          <w:sz w:val="21"/>
          <w:highlight w:val="none"/>
        </w:rPr>
        <w:t>评标委员会应当对符合资格的投标人的投标文件进行投标报价、商务、技术等实质性内容符合性审查，以确定其是否满足招标文件的实质性要求。</w:t>
      </w:r>
    </w:p>
    <w:p>
      <w:pPr>
        <w:pStyle w:val="8"/>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8"/>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10"/>
        <w:numPr>
          <w:ilvl w:val="0"/>
          <w:numId w:val="9"/>
        </w:numPr>
        <w:spacing w:line="360" w:lineRule="auto"/>
        <w:ind w:firstLine="398" w:firstLineChars="200"/>
        <w:rPr>
          <w:rFonts w:hint="eastAsia" w:ascii="宋体" w:hAnsi="宋体"/>
          <w:b/>
          <w:color w:val="auto"/>
          <w:spacing w:val="-6"/>
          <w:szCs w:val="21"/>
          <w:highlight w:val="none"/>
        </w:rPr>
      </w:pPr>
      <w:r>
        <w:rPr>
          <w:rFonts w:hint="eastAsia" w:ascii="宋体" w:hAnsi="宋体"/>
          <w:b/>
          <w:color w:val="auto"/>
          <w:spacing w:val="-6"/>
          <w:szCs w:val="21"/>
          <w:highlight w:val="none"/>
        </w:rPr>
        <w:t>报价文件未提供“投标人须知前附表”第13.1条规定中“必须提供”的文件资料的；</w:t>
      </w:r>
    </w:p>
    <w:p>
      <w:pPr>
        <w:pStyle w:val="10"/>
        <w:numPr>
          <w:ilvl w:val="0"/>
          <w:numId w:val="9"/>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10"/>
        <w:numPr>
          <w:ilvl w:val="0"/>
          <w:numId w:val="9"/>
        </w:numPr>
        <w:spacing w:line="360" w:lineRule="auto"/>
        <w:ind w:left="-2" w:firstLine="422"/>
        <w:rPr>
          <w:rFonts w:hint="eastAsia" w:ascii="宋体" w:hAnsi="宋体"/>
          <w:b/>
          <w:color w:val="auto"/>
          <w:spacing w:val="-6"/>
          <w:szCs w:val="21"/>
          <w:highlight w:val="none"/>
        </w:rPr>
      </w:pPr>
      <w:r>
        <w:rPr>
          <w:rFonts w:hint="eastAsia" w:ascii="宋体" w:hAnsi="宋体"/>
          <w:b/>
          <w:color w:val="auto"/>
          <w:spacing w:val="-6"/>
          <w:szCs w:val="21"/>
          <w:highlight w:val="none"/>
        </w:rPr>
        <w:t>各分标报价超出招标文件相应分标规定最高限价，或者超出相应分标采购预算金额的；</w:t>
      </w:r>
    </w:p>
    <w:p>
      <w:pPr>
        <w:pStyle w:val="10"/>
        <w:numPr>
          <w:ilvl w:val="0"/>
          <w:numId w:val="9"/>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10"/>
        <w:numPr>
          <w:ilvl w:val="0"/>
          <w:numId w:val="9"/>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修正后的报价，投标人不确认的；</w:t>
      </w:r>
    </w:p>
    <w:p>
      <w:pPr>
        <w:pStyle w:val="10"/>
        <w:numPr>
          <w:ilvl w:val="0"/>
          <w:numId w:val="9"/>
        </w:numPr>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5.1</w:t>
      </w:r>
      <w:r>
        <w:rPr>
          <w:rFonts w:hint="eastAsia" w:ascii="宋体" w:hAnsi="宋体"/>
          <w:b/>
          <w:color w:val="auto"/>
          <w:szCs w:val="21"/>
          <w:highlight w:val="none"/>
        </w:rPr>
        <w:t>条（2）或者第5</w:t>
      </w:r>
      <w:r>
        <w:rPr>
          <w:rFonts w:ascii="宋体" w:hAnsi="宋体"/>
          <w:b/>
          <w:color w:val="auto"/>
          <w:szCs w:val="21"/>
          <w:highlight w:val="none"/>
        </w:rPr>
        <w:t>.2条</w:t>
      </w:r>
      <w:r>
        <w:rPr>
          <w:rFonts w:hint="eastAsia" w:ascii="宋体" w:hAnsi="宋体"/>
          <w:b/>
          <w:color w:val="auto"/>
          <w:szCs w:val="21"/>
          <w:highlight w:val="none"/>
        </w:rPr>
        <w:t>（2）项情形的；</w:t>
      </w:r>
    </w:p>
    <w:p>
      <w:pPr>
        <w:pStyle w:val="10"/>
        <w:numPr>
          <w:ilvl w:val="0"/>
          <w:numId w:val="9"/>
        </w:numPr>
        <w:spacing w:line="360" w:lineRule="auto"/>
        <w:ind w:firstLine="398" w:firstLineChars="200"/>
        <w:rPr>
          <w:rFonts w:hint="eastAsia"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响应的标的数量及单位与招标文件要求实质性不一致的。</w:t>
      </w:r>
    </w:p>
    <w:p>
      <w:pPr>
        <w:pStyle w:val="8"/>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2.2在商务评审时，如发现下列情形之一的，将被视为投标无效：</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 xml:space="preserve">委托代理人未能出具有效身份证或者出具的身份证与授权委托书中的信息不符的； </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投标文件未提供“投标人须知前附表”第13.</w:t>
      </w:r>
      <w:r>
        <w:rPr>
          <w:rFonts w:ascii="宋体" w:hAnsi="宋体"/>
          <w:b/>
          <w:color w:val="auto"/>
          <w:szCs w:val="21"/>
          <w:highlight w:val="none"/>
        </w:rPr>
        <w:t>1</w:t>
      </w:r>
      <w:r>
        <w:rPr>
          <w:rFonts w:hint="eastAsia" w:ascii="宋体" w:hAnsi="宋体"/>
          <w:b/>
          <w:color w:val="auto"/>
          <w:szCs w:val="21"/>
          <w:highlight w:val="none"/>
        </w:rPr>
        <w:t>条规定中“必须提供”或者“委托时必须提供”的文件资料的；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商务要求评审允许负偏离的条款数超过“投标人须知前附表”规定项数的；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10"/>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招标文件明确不允许分包，投标文件拟分包的；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未响应招标文件实质性要求的；</w:t>
      </w:r>
    </w:p>
    <w:p>
      <w:pPr>
        <w:numPr>
          <w:ilvl w:val="0"/>
          <w:numId w:val="10"/>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8"/>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2.3在技术评审时，如发现下列情形之一的，将被视为投标无效：</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（1）技术要求评审允许负偏离的条款数超过“投标人须知前附表”规定项数的；</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（2）投标文件未提供“投标人须知前附表”第13.</w:t>
      </w:r>
      <w:r>
        <w:rPr>
          <w:rFonts w:ascii="宋体" w:hAnsi="宋体" w:eastAsia="宋体"/>
          <w:b/>
          <w:color w:val="auto"/>
          <w:kern w:val="2"/>
          <w:sz w:val="21"/>
          <w:szCs w:val="21"/>
          <w:highlight w:val="none"/>
        </w:rPr>
        <w:t>1</w:t>
      </w:r>
      <w:r>
        <w:rPr>
          <w:rFonts w:hint="eastAsia" w:ascii="宋体" w:hAnsi="宋体" w:eastAsia="宋体"/>
          <w:b/>
          <w:color w:val="auto"/>
          <w:kern w:val="2"/>
          <w:sz w:val="21"/>
          <w:szCs w:val="21"/>
          <w:highlight w:val="none"/>
        </w:rPr>
        <w:t>条规定中“必须提供”的文件资料的；</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（3）虚假投标，或者出现其他情形而导致被评标委员会认定无效的；</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（4）</w:t>
      </w:r>
      <w:bookmarkStart w:id="125" w:name="_Hlk71706244"/>
      <w:r>
        <w:rPr>
          <w:rFonts w:hint="eastAsia" w:ascii="宋体" w:hAnsi="宋体" w:eastAsia="宋体"/>
          <w:b/>
          <w:color w:val="auto"/>
          <w:kern w:val="2"/>
          <w:sz w:val="21"/>
          <w:szCs w:val="21"/>
          <w:highlight w:val="none"/>
        </w:rPr>
        <w:t>招标文件未载明允许提供备选（替代）投标方案或明确不允许提供备选（替代）投标方案时，投标人提供了备选（替代）投标方案的；</w:t>
      </w:r>
      <w:bookmarkEnd w:id="125"/>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（5）未响应招标文件实质性要求的。</w:t>
      </w:r>
    </w:p>
    <w:p>
      <w:pPr>
        <w:pStyle w:val="19"/>
        <w:snapToGrid w:val="0"/>
        <w:spacing w:line="360" w:lineRule="auto"/>
        <w:ind w:firstLine="413" w:firstLineChars="196"/>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2.4通过符合性审查的投标人不足3家，评标委员会不得继续评标，并出具评标报告。</w:t>
      </w:r>
    </w:p>
    <w:p>
      <w:pPr>
        <w:pStyle w:val="8"/>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书面形式要求投标人在规定时间内作出必要的澄清、说明或者纠正。投标人的澄清、说明或者补正必须采用书面形式，并加盖公章，或者由法定代表人或者其授权的代表签字。投标人的澄清、说明或者补正不得超出投标文件的范围或者改变投标文件的实质性内容。</w:t>
      </w:r>
    </w:p>
    <w:p>
      <w:pPr>
        <w:pStyle w:val="8"/>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8"/>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3"/>
        <w:snapToGrid w:val="0"/>
        <w:spacing w:line="360" w:lineRule="auto"/>
        <w:ind w:firstLine="420" w:firstLineChars="200"/>
        <w:rPr>
          <w:rFonts w:hAnsi="宋体"/>
          <w:color w:val="auto"/>
          <w:sz w:val="21"/>
          <w:highlight w:val="none"/>
        </w:rPr>
      </w:pPr>
      <w:r>
        <w:rPr>
          <w:rFonts w:hint="eastAsia" w:hAnsi="宋体"/>
          <w:color w:val="auto"/>
          <w:sz w:val="21"/>
          <w:highlight w:val="none"/>
        </w:rPr>
        <w:t>（1）投标文件中开标一览表（报价表）内容与投标文件中相应内容不一致的，以开标一览表（报价表）为准；</w:t>
      </w:r>
    </w:p>
    <w:p>
      <w:pPr>
        <w:pStyle w:val="3"/>
        <w:snapToGrid w:val="0"/>
        <w:spacing w:line="360" w:lineRule="auto"/>
        <w:ind w:firstLine="420" w:firstLineChars="200"/>
        <w:rPr>
          <w:rFonts w:hAnsi="宋体"/>
          <w:color w:val="auto"/>
          <w:sz w:val="21"/>
          <w:highlight w:val="none"/>
        </w:rPr>
      </w:pPr>
      <w:r>
        <w:rPr>
          <w:rFonts w:hint="eastAsia" w:hAnsi="宋体"/>
          <w:color w:val="auto"/>
          <w:sz w:val="21"/>
          <w:highlight w:val="none"/>
        </w:rPr>
        <w:t>（2）大写金额和小写金额不一致的，以大写金额为准；</w:t>
      </w:r>
    </w:p>
    <w:p>
      <w:pPr>
        <w:pStyle w:val="3"/>
        <w:snapToGrid w:val="0"/>
        <w:spacing w:line="360" w:lineRule="auto"/>
        <w:ind w:firstLine="420" w:firstLineChars="200"/>
        <w:rPr>
          <w:rFonts w:hAnsi="宋体"/>
          <w:color w:val="auto"/>
          <w:sz w:val="21"/>
          <w:highlight w:val="none"/>
        </w:rPr>
      </w:pPr>
      <w:r>
        <w:rPr>
          <w:rFonts w:hint="eastAsia" w:hAnsi="宋体"/>
          <w:color w:val="auto"/>
          <w:sz w:val="21"/>
          <w:highlight w:val="none"/>
        </w:rPr>
        <w:t>（3）单价金额小数点或者百分比有明显错位的，以开标一览表的总价为准，并修改单价；</w:t>
      </w:r>
    </w:p>
    <w:p>
      <w:pPr>
        <w:pStyle w:val="3"/>
        <w:snapToGrid w:val="0"/>
        <w:spacing w:line="360" w:lineRule="auto"/>
        <w:ind w:firstLine="420" w:firstLineChars="200"/>
        <w:rPr>
          <w:rFonts w:hAnsi="宋体"/>
          <w:color w:val="auto"/>
          <w:sz w:val="21"/>
          <w:highlight w:val="none"/>
        </w:rPr>
      </w:pPr>
      <w:r>
        <w:rPr>
          <w:rFonts w:hint="eastAsia" w:hAnsi="宋体"/>
          <w:color w:val="auto"/>
          <w:sz w:val="21"/>
          <w:highlight w:val="none"/>
        </w:rPr>
        <w:t>（4）总价金额与按单价汇总金额不一致的，以单价金额计算结果为准。</w:t>
      </w:r>
    </w:p>
    <w:p>
      <w:pPr>
        <w:pStyle w:val="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同时出现两种以上不一致的，按照以上（1）-（4）规定的顺序修正。修正后的报价经投标人确认后产生约束力，投标人不确认的，</w:t>
      </w:r>
      <w:r>
        <w:rPr>
          <w:rFonts w:hint="eastAsia" w:hAnsi="宋体"/>
          <w:b/>
          <w:color w:val="auto"/>
          <w:kern w:val="2"/>
          <w:sz w:val="21"/>
          <w:highlight w:val="none"/>
        </w:rPr>
        <w:t>其投标无效</w:t>
      </w:r>
      <w:r>
        <w:rPr>
          <w:rFonts w:hint="eastAsia" w:hAnsi="宋体"/>
          <w:color w:val="auto"/>
          <w:sz w:val="21"/>
          <w:highlight w:val="none"/>
        </w:rPr>
        <w:t>。</w:t>
      </w:r>
    </w:p>
    <w:p>
      <w:pPr>
        <w:pStyle w:val="8"/>
        <w:keepNext w:val="0"/>
        <w:keepLines w:val="0"/>
        <w:spacing w:before="0" w:after="0" w:line="360" w:lineRule="auto"/>
        <w:rPr>
          <w:rFonts w:hint="eastAsia"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hAnsi="宋体"/>
          <w:color w:val="auto"/>
          <w:sz w:val="21"/>
          <w:highlight w:val="none"/>
        </w:rPr>
        <w:t>其投标无效</w:t>
      </w:r>
      <w:r>
        <w:rPr>
          <w:rFonts w:hint="eastAsia" w:ascii="宋体" w:hAnsi="宋体"/>
          <w:b w:val="0"/>
          <w:color w:val="auto"/>
          <w:sz w:val="21"/>
          <w:szCs w:val="21"/>
          <w:highlight w:val="none"/>
        </w:rPr>
        <w:t>。</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8"/>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hint="eastAsia" w:ascii="宋体" w:hAnsi="宋体"/>
          <w:b/>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zCs w:val="21"/>
          <w:highlight w:val="none"/>
        </w:rPr>
        <w:t>投标人不能证明其报价合理性的，评标委员会将其作为无效投标处理。</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4" w:firstLineChars="202"/>
        <w:jc w:val="center"/>
        <w:rPr>
          <w:rFonts w:hint="eastAsia"/>
          <w:color w:val="auto"/>
          <w:highlight w:val="none"/>
        </w:rPr>
      </w:pPr>
      <w:r>
        <w:rPr>
          <w:rFonts w:hAnsi="宋体"/>
          <w:color w:val="auto"/>
          <w:highlight w:val="none"/>
        </w:rPr>
        <w:br w:type="page"/>
      </w:r>
      <w:bookmarkStart w:id="126" w:name="_Hlk71707917"/>
      <w:r>
        <w:rPr>
          <w:rFonts w:ascii="宋体" w:hAnsi="宋体" w:cs="宋体"/>
          <w:b/>
          <w:bCs/>
          <w:color w:val="auto"/>
          <w:sz w:val="32"/>
          <w:szCs w:val="32"/>
          <w:highlight w:val="none"/>
        </w:rPr>
        <w:t>三</w:t>
      </w:r>
      <w:r>
        <w:rPr>
          <w:rFonts w:hint="eastAsia" w:ascii="宋体" w:hAnsi="宋体" w:cs="宋体"/>
          <w:b/>
          <w:bCs/>
          <w:color w:val="auto"/>
          <w:sz w:val="32"/>
          <w:szCs w:val="32"/>
          <w:highlight w:val="none"/>
        </w:rPr>
        <w:t>、评标标准</w:t>
      </w:r>
    </w:p>
    <w:bookmarkEnd w:id="126"/>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㈠ 对进入详评的，采用综合评分法。</w:t>
      </w:r>
    </w:p>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㈡ 计分办法（按四舍五入取至小数点后二位）</w:t>
      </w:r>
    </w:p>
    <w:p>
      <w:pPr>
        <w:pStyle w:val="3"/>
        <w:keepNext w:val="0"/>
        <w:keepLines w:val="0"/>
        <w:pageBreakBefore w:val="0"/>
        <w:widowControl w:val="0"/>
        <w:kinsoku/>
        <w:wordWrap/>
        <w:overflowPunct/>
        <w:topLinePunct w:val="0"/>
        <w:autoSpaceDE/>
        <w:autoSpaceDN/>
        <w:bidi w:val="0"/>
        <w:adjustRightInd/>
        <w:spacing w:line="400" w:lineRule="atLeast"/>
        <w:ind w:firstLine="420"/>
        <w:textAlignment w:val="auto"/>
        <w:rPr>
          <w:rFonts w:hint="eastAsia" w:ascii="宋体" w:hAnsi="宋体" w:eastAsia="宋体" w:cs="宋体"/>
          <w:b/>
          <w:bCs/>
          <w:color w:val="000000"/>
          <w:sz w:val="24"/>
          <w:szCs w:val="24"/>
        </w:rPr>
      </w:pPr>
      <w:r>
        <w:rPr>
          <w:rFonts w:hint="eastAsia" w:ascii="宋体" w:hAnsi="宋体" w:eastAsia="宋体" w:cs="宋体"/>
          <w:b/>
          <w:color w:val="000000"/>
          <w:sz w:val="24"/>
          <w:szCs w:val="24"/>
        </w:rPr>
        <w:t xml:space="preserve">1. </w:t>
      </w:r>
      <w:r>
        <w:rPr>
          <w:rFonts w:hint="eastAsia" w:ascii="宋体" w:hAnsi="宋体" w:eastAsia="宋体" w:cs="宋体"/>
          <w:b/>
          <w:bCs/>
          <w:color w:val="000000"/>
          <w:sz w:val="24"/>
          <w:szCs w:val="24"/>
        </w:rPr>
        <w:t xml:space="preserve">价格分………………………………………………  </w:t>
      </w:r>
      <w:r>
        <w:rPr>
          <w:rFonts w:hint="eastAsia" w:hAnsi="宋体" w:cs="宋体"/>
          <w:b/>
          <w:bCs/>
          <w:color w:val="000000"/>
          <w:sz w:val="24"/>
          <w:szCs w:val="24"/>
          <w:lang w:val="en-US" w:eastAsia="zh-CN"/>
        </w:rPr>
        <w:t>2</w:t>
      </w:r>
      <w:r>
        <w:rPr>
          <w:rFonts w:hint="eastAsia" w:ascii="宋体" w:hAnsi="宋体" w:eastAsia="宋体" w:cs="宋体"/>
          <w:b/>
          <w:bCs/>
          <w:color w:val="000000"/>
          <w:sz w:val="24"/>
          <w:szCs w:val="24"/>
        </w:rPr>
        <w:t>0分</w:t>
      </w:r>
    </w:p>
    <w:p>
      <w:pPr>
        <w:pStyle w:val="3"/>
        <w:keepNext w:val="0"/>
        <w:keepLines w:val="0"/>
        <w:pageBreakBefore w:val="0"/>
        <w:widowControl w:val="0"/>
        <w:kinsoku/>
        <w:wordWrap/>
        <w:overflowPunct/>
        <w:topLinePunct w:val="0"/>
        <w:autoSpaceDE/>
        <w:autoSpaceDN/>
        <w:bidi w:val="0"/>
        <w:adjustRightInd/>
        <w:snapToGrid w:val="0"/>
        <w:spacing w:line="400" w:lineRule="atLeast"/>
        <w:ind w:firstLine="480" w:firstLineChars="200"/>
        <w:textAlignment w:val="auto"/>
        <w:outlineLvl w:val="0"/>
        <w:rPr>
          <w:rFonts w:hint="eastAsia" w:ascii="宋体" w:hAnsi="宋体" w:eastAsia="宋体" w:cs="宋体"/>
          <w:color w:val="000000"/>
          <w:sz w:val="24"/>
          <w:szCs w:val="24"/>
        </w:rPr>
      </w:pPr>
      <w:r>
        <w:rPr>
          <w:rFonts w:hint="eastAsia" w:ascii="宋体" w:hAnsi="宋体" w:eastAsia="宋体" w:cs="宋体"/>
          <w:color w:val="000000"/>
          <w:sz w:val="24"/>
          <w:szCs w:val="24"/>
        </w:rPr>
        <w:t>（1）评标价为投标人的投标报价进行政策性扣除后的价格，评标价只是作为评标时使用。最终中标人的中标金额＝投标报价。</w:t>
      </w:r>
    </w:p>
    <w:p>
      <w:pPr>
        <w:pStyle w:val="3"/>
        <w:keepNext w:val="0"/>
        <w:keepLines w:val="0"/>
        <w:pageBreakBefore w:val="0"/>
        <w:widowControl w:val="0"/>
        <w:kinsoku/>
        <w:wordWrap/>
        <w:overflowPunct/>
        <w:topLinePunct w:val="0"/>
        <w:autoSpaceDE/>
        <w:autoSpaceDN/>
        <w:bidi w:val="0"/>
        <w:adjustRightInd/>
        <w:snapToGrid w:val="0"/>
        <w:spacing w:line="400" w:lineRule="atLeas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（2）按照《政府采购促进中小企业发展管理办法》的通知（财库﹝2020﹞46 号）之规定，投标人为小型和微型企业，并在其投标文件中提供《中小企业声明函》或者相关职能部门出具的证明材料，且其所投标产品或服务为小型和微型企业产品或服务的，对其投标价格给予10%的扣除。</w:t>
      </w:r>
    </w:p>
    <w:p>
      <w:pPr>
        <w:pStyle w:val="3"/>
        <w:keepNext w:val="0"/>
        <w:keepLines w:val="0"/>
        <w:pageBreakBefore w:val="0"/>
        <w:widowControl w:val="0"/>
        <w:kinsoku/>
        <w:wordWrap/>
        <w:overflowPunct/>
        <w:topLinePunct w:val="0"/>
        <w:autoSpaceDE/>
        <w:autoSpaceDN/>
        <w:bidi w:val="0"/>
        <w:adjustRightInd/>
        <w:snapToGrid w:val="0"/>
        <w:spacing w:line="400" w:lineRule="atLeas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w:t>
      </w:r>
    </w:p>
    <w:p>
      <w:pPr>
        <w:pStyle w:val="3"/>
        <w:keepNext w:val="0"/>
        <w:keepLines w:val="0"/>
        <w:pageBreakBefore w:val="0"/>
        <w:widowControl w:val="0"/>
        <w:kinsoku/>
        <w:wordWrap/>
        <w:overflowPunct/>
        <w:topLinePunct w:val="0"/>
        <w:autoSpaceDE/>
        <w:autoSpaceDN/>
        <w:bidi w:val="0"/>
        <w:adjustRightInd/>
        <w:snapToGrid w:val="0"/>
        <w:spacing w:line="400" w:lineRule="atLeas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3"/>
        <w:keepNext w:val="0"/>
        <w:keepLines w:val="0"/>
        <w:pageBreakBefore w:val="0"/>
        <w:widowControl w:val="0"/>
        <w:kinsoku/>
        <w:wordWrap/>
        <w:overflowPunct/>
        <w:topLinePunct w:val="0"/>
        <w:autoSpaceDE/>
        <w:autoSpaceDN/>
        <w:bidi w:val="0"/>
        <w:adjustRightInd/>
        <w:snapToGrid w:val="0"/>
        <w:spacing w:line="400" w:lineRule="atLeas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（5）政策性扣除计算方法。</w:t>
      </w:r>
    </w:p>
    <w:p>
      <w:pPr>
        <w:pStyle w:val="3"/>
        <w:keepNext w:val="0"/>
        <w:keepLines w:val="0"/>
        <w:pageBreakBefore w:val="0"/>
        <w:widowControl w:val="0"/>
        <w:kinsoku/>
        <w:wordWrap/>
        <w:overflowPunct/>
        <w:topLinePunct w:val="0"/>
        <w:autoSpaceDE/>
        <w:autoSpaceDN/>
        <w:bidi w:val="0"/>
        <w:adjustRightInd/>
        <w:snapToGrid w:val="0"/>
        <w:spacing w:line="400" w:lineRule="atLeast"/>
        <w:textAlignment w:val="auto"/>
        <w:outlineLvl w:val="0"/>
        <w:rPr>
          <w:rFonts w:hint="eastAsia" w:ascii="宋体" w:hAnsi="宋体" w:eastAsia="宋体" w:cs="宋体"/>
          <w:sz w:val="24"/>
          <w:szCs w:val="24"/>
        </w:rPr>
      </w:pPr>
      <w:r>
        <w:rPr>
          <w:rFonts w:hint="eastAsia" w:ascii="宋体" w:hAnsi="宋体" w:eastAsia="宋体" w:cs="宋体"/>
          <w:sz w:val="24"/>
          <w:szCs w:val="24"/>
        </w:rPr>
        <w:t>投标人被评定为监狱企业或残疾人福利性单位或小型和微型企业且其所投标产品为小型和微型企业产品的，该投标人的投标报价给予10%的扣除，扣除后的价格为评标报价，即评标报价=投标报价×（1-10%）；大中型企业和其他自然人、法人或者其他组织与小型、微型企业组成联合体投标，且联合体协议中约定小型、微型企业的协议合同金额占到联合体协议合同总金额30%以上的，联合体投标价给予2%的扣除，扣除后的价格为评标价，即评标报价=投标报价×（1-2%）；除上述情况外，评标报价=投标报价。</w:t>
      </w:r>
    </w:p>
    <w:p>
      <w:pPr>
        <w:pStyle w:val="3"/>
        <w:keepNext w:val="0"/>
        <w:keepLines w:val="0"/>
        <w:pageBreakBefore w:val="0"/>
        <w:widowControl w:val="0"/>
        <w:kinsoku/>
        <w:wordWrap/>
        <w:overflowPunct/>
        <w:topLinePunct w:val="0"/>
        <w:autoSpaceDE/>
        <w:autoSpaceDN/>
        <w:bidi w:val="0"/>
        <w:adjustRightInd/>
        <w:snapToGrid w:val="0"/>
        <w:spacing w:line="400" w:lineRule="atLeast"/>
        <w:ind w:firstLine="480" w:firstLineChars="200"/>
        <w:textAlignment w:val="auto"/>
        <w:outlineLvl w:val="0"/>
        <w:rPr>
          <w:rFonts w:hint="eastAsia" w:ascii="宋体" w:hAnsi="宋体" w:eastAsia="宋体" w:cs="宋体"/>
          <w:sz w:val="24"/>
          <w:szCs w:val="24"/>
        </w:rPr>
      </w:pPr>
      <w:r>
        <w:rPr>
          <w:rFonts w:hint="eastAsia" w:ascii="宋体" w:hAnsi="宋体" w:eastAsia="宋体" w:cs="宋体"/>
          <w:sz w:val="24"/>
          <w:szCs w:val="24"/>
        </w:rPr>
        <w:t>（6）在评标过程中，评标委员会发现投标人的报价明显低于其他投标人报价或者明显低于采购预算，使得其投标报价可能低于其个别成本的，应当要求该投标人做出书面说明并提供相关证明材料。</w:t>
      </w:r>
    </w:p>
    <w:p>
      <w:pPr>
        <w:pStyle w:val="3"/>
        <w:keepNext w:val="0"/>
        <w:keepLines w:val="0"/>
        <w:pageBreakBefore w:val="0"/>
        <w:widowControl w:val="0"/>
        <w:kinsoku/>
        <w:wordWrap/>
        <w:overflowPunct/>
        <w:topLinePunct w:val="0"/>
        <w:autoSpaceDE/>
        <w:autoSpaceDN/>
        <w:bidi w:val="0"/>
        <w:adjustRightInd/>
        <w:spacing w:line="400" w:lineRule="atLeast"/>
        <w:ind w:firstLine="420"/>
        <w:textAlignment w:val="auto"/>
        <w:rPr>
          <w:rFonts w:hint="eastAsia" w:ascii="宋体" w:hAnsi="宋体" w:eastAsia="宋体" w:cs="宋体"/>
          <w:sz w:val="24"/>
          <w:szCs w:val="24"/>
        </w:rPr>
      </w:pPr>
      <w:r>
        <w:rPr>
          <w:rFonts w:hint="eastAsia" w:ascii="宋体" w:hAnsi="宋体" w:eastAsia="宋体" w:cs="宋体"/>
          <w:sz w:val="24"/>
          <w:szCs w:val="24"/>
        </w:rPr>
        <w:t>（7）除上述情况外，评标价＝投标报价；</w:t>
      </w:r>
    </w:p>
    <w:p>
      <w:pPr>
        <w:pStyle w:val="3"/>
        <w:keepNext w:val="0"/>
        <w:keepLines w:val="0"/>
        <w:pageBreakBefore w:val="0"/>
        <w:widowControl w:val="0"/>
        <w:kinsoku/>
        <w:wordWrap/>
        <w:overflowPunct/>
        <w:topLinePunct w:val="0"/>
        <w:autoSpaceDE/>
        <w:autoSpaceDN/>
        <w:bidi w:val="0"/>
        <w:adjustRightInd/>
        <w:spacing w:line="400" w:lineRule="atLeast"/>
        <w:ind w:firstLine="420"/>
        <w:textAlignment w:val="auto"/>
        <w:rPr>
          <w:rFonts w:hint="eastAsia" w:ascii="宋体" w:hAnsi="宋体" w:eastAsia="宋体" w:cs="宋体"/>
          <w:bCs/>
          <w:sz w:val="24"/>
          <w:szCs w:val="24"/>
        </w:rPr>
      </w:pPr>
    </w:p>
    <w:p>
      <w:pPr>
        <w:pStyle w:val="3"/>
        <w:keepNext w:val="0"/>
        <w:keepLines w:val="0"/>
        <w:pageBreakBefore w:val="0"/>
        <w:widowControl w:val="0"/>
        <w:kinsoku/>
        <w:wordWrap/>
        <w:overflowPunct/>
        <w:topLinePunct w:val="0"/>
        <w:autoSpaceDE/>
        <w:autoSpaceDN/>
        <w:bidi w:val="0"/>
        <w:adjustRightInd/>
        <w:spacing w:line="400" w:lineRule="atLeast"/>
        <w:ind w:firstLine="3600" w:firstLineChars="1500"/>
        <w:textAlignment w:val="auto"/>
        <w:rPr>
          <w:rFonts w:hint="eastAsia" w:ascii="宋体" w:hAnsi="宋体" w:eastAsia="宋体" w:cs="宋体"/>
          <w:bCs/>
          <w:sz w:val="24"/>
          <w:szCs w:val="24"/>
        </w:rPr>
      </w:pPr>
      <w:r>
        <w:rPr>
          <w:rFonts w:hint="eastAsia" w:ascii="宋体" w:hAnsi="宋体" w:eastAsia="宋体" w:cs="宋体"/>
          <w:bCs/>
          <w:sz w:val="24"/>
          <w:szCs w:val="24"/>
        </w:rPr>
        <w:t>最低投标</w:t>
      </w:r>
      <w:r>
        <w:rPr>
          <w:rFonts w:hint="eastAsia" w:ascii="宋体" w:hAnsi="宋体" w:eastAsia="宋体" w:cs="宋体"/>
          <w:sz w:val="24"/>
          <w:szCs w:val="24"/>
        </w:rPr>
        <w:t>供应商评审报价</w:t>
      </w:r>
      <w:r>
        <w:rPr>
          <w:rFonts w:hint="eastAsia" w:ascii="宋体" w:hAnsi="宋体" w:eastAsia="宋体" w:cs="宋体"/>
          <w:bCs/>
          <w:sz w:val="24"/>
          <w:szCs w:val="24"/>
        </w:rPr>
        <w:t xml:space="preserve">金额          </w:t>
      </w:r>
    </w:p>
    <w:p>
      <w:pPr>
        <w:pStyle w:val="3"/>
        <w:keepNext w:val="0"/>
        <w:keepLines w:val="0"/>
        <w:pageBreakBefore w:val="0"/>
        <w:widowControl w:val="0"/>
        <w:kinsoku/>
        <w:wordWrap/>
        <w:overflowPunct/>
        <w:topLinePunct w:val="0"/>
        <w:autoSpaceDE/>
        <w:autoSpaceDN/>
        <w:bidi w:val="0"/>
        <w:adjustRightInd/>
        <w:spacing w:line="400" w:lineRule="atLeast"/>
        <w:ind w:firstLine="420"/>
        <w:textAlignment w:val="auto"/>
        <w:rPr>
          <w:rFonts w:hint="eastAsia" w:ascii="宋体" w:hAnsi="宋体" w:eastAsia="宋体" w:cs="宋体"/>
          <w:bCs/>
          <w:sz w:val="24"/>
          <w:szCs w:val="24"/>
        </w:rPr>
      </w:pPr>
      <w:r>
        <w:rPr>
          <w:rFonts w:hint="eastAsia" w:ascii="宋体" w:hAnsi="宋体" w:eastAsia="宋体" w:cs="宋体"/>
          <w:bCs/>
          <w:sz w:val="24"/>
          <w:szCs w:val="24"/>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44pt;margin-top:15.5pt;height:0pt;width:173.25pt;z-index:251659264;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1CqQ6&#10;1wAAAAkBAAAPAAAAAAAAAAEAIAAAACIAAABkcnMvZG93bnJldi54bWxQSwECFAAUAAAACACHTuJA&#10;11/6JOkBAAC4AwAADgAAAAAAAAABACAAAAAmAQAAZHJzL2Uyb0RvYy54bWxQSwUGAAAAAAYABgBZ&#10;AQAAgQUAAAAA&#10;">
                <v:fill on="f" focussize="0,0"/>
                <v:stroke color="#000000" joinstyle="round"/>
                <v:imagedata o:title=""/>
                <o:lock v:ext="edit" aspectratio="f"/>
              </v:line>
            </w:pict>
          </mc:Fallback>
        </mc:AlternateContent>
      </w:r>
      <w:r>
        <w:rPr>
          <w:rFonts w:hint="eastAsia" w:ascii="宋体" w:hAnsi="宋体" w:eastAsia="宋体" w:cs="宋体"/>
          <w:bCs/>
          <w:sz w:val="24"/>
          <w:szCs w:val="24"/>
        </w:rPr>
        <w:t>（8）投标</w:t>
      </w:r>
      <w:r>
        <w:rPr>
          <w:rFonts w:hint="eastAsia" w:ascii="宋体" w:hAnsi="宋体" w:eastAsia="宋体" w:cs="宋体"/>
          <w:sz w:val="24"/>
          <w:szCs w:val="24"/>
        </w:rPr>
        <w:t>供应商</w:t>
      </w:r>
      <w:r>
        <w:rPr>
          <w:rFonts w:hint="eastAsia" w:ascii="宋体" w:hAnsi="宋体" w:eastAsia="宋体" w:cs="宋体"/>
          <w:bCs/>
          <w:sz w:val="24"/>
          <w:szCs w:val="24"/>
        </w:rPr>
        <w:t>价格分 =                                    　</w:t>
      </w:r>
      <w:r>
        <w:rPr>
          <w:rFonts w:hint="eastAsia" w:hAnsi="宋体" w:cs="宋体"/>
          <w:bCs/>
          <w:sz w:val="24"/>
          <w:szCs w:val="24"/>
          <w:lang w:val="en-US" w:eastAsia="zh-CN"/>
        </w:rPr>
        <w:t>2</w:t>
      </w:r>
      <w:r>
        <w:rPr>
          <w:rFonts w:hint="eastAsia" w:ascii="宋体" w:hAnsi="宋体" w:eastAsia="宋体" w:cs="宋体"/>
          <w:bCs/>
          <w:sz w:val="24"/>
          <w:szCs w:val="24"/>
        </w:rPr>
        <w:t>0分</w:t>
      </w:r>
    </w:p>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 xml:space="preserve">                           投标</w:t>
      </w:r>
      <w:r>
        <w:rPr>
          <w:rFonts w:hint="eastAsia" w:ascii="宋体" w:hAnsi="宋体" w:eastAsia="宋体" w:cs="宋体"/>
          <w:sz w:val="24"/>
          <w:szCs w:val="24"/>
        </w:rPr>
        <w:t>供应商评审报价</w:t>
      </w:r>
      <w:r>
        <w:rPr>
          <w:rFonts w:hint="eastAsia" w:ascii="宋体" w:hAnsi="宋体" w:eastAsia="宋体" w:cs="宋体"/>
          <w:bCs/>
          <w:sz w:val="24"/>
          <w:szCs w:val="24"/>
        </w:rPr>
        <w:t xml:space="preserve">金额  </w:t>
      </w:r>
    </w:p>
    <w:p>
      <w:pPr>
        <w:keepNext w:val="0"/>
        <w:keepLines w:val="0"/>
        <w:pageBreakBefore w:val="0"/>
        <w:widowControl w:val="0"/>
        <w:kinsoku/>
        <w:wordWrap/>
        <w:overflowPunct/>
        <w:topLinePunct w:val="0"/>
        <w:autoSpaceDE/>
        <w:autoSpaceDN/>
        <w:bidi w:val="0"/>
        <w:adjustRightInd/>
        <w:spacing w:line="400" w:lineRule="atLeast"/>
        <w:ind w:firstLine="602" w:firstLineChars="250"/>
        <w:textAlignment w:val="auto"/>
        <w:rPr>
          <w:rFonts w:hint="eastAsia" w:ascii="宋体" w:hAnsi="宋体" w:eastAsia="宋体" w:cs="宋体"/>
          <w:b/>
          <w:sz w:val="24"/>
          <w:szCs w:val="24"/>
        </w:rPr>
      </w:pPr>
      <w:r>
        <w:rPr>
          <w:rFonts w:hint="eastAsia" w:ascii="宋体" w:hAnsi="宋体" w:eastAsia="宋体" w:cs="宋体"/>
          <w:b/>
          <w:sz w:val="24"/>
          <w:szCs w:val="24"/>
        </w:rPr>
        <w:t>2、服务方案分 …………………………………………</w:t>
      </w:r>
      <w:r>
        <w:rPr>
          <w:rFonts w:hint="eastAsia" w:ascii="宋体" w:hAnsi="宋体" w:cs="宋体"/>
          <w:b/>
          <w:bCs/>
          <w:kern w:val="28"/>
          <w:sz w:val="24"/>
          <w:szCs w:val="24"/>
          <w:lang w:val="en-US" w:eastAsia="zh-CN"/>
        </w:rPr>
        <w:t>5</w:t>
      </w:r>
      <w:r>
        <w:rPr>
          <w:rFonts w:hint="eastAsia" w:ascii="宋体" w:hAnsi="宋体" w:eastAsia="宋体" w:cs="宋体"/>
          <w:b/>
          <w:bCs/>
          <w:kern w:val="28"/>
          <w:sz w:val="24"/>
          <w:szCs w:val="24"/>
        </w:rPr>
        <w:t>0分</w:t>
      </w:r>
    </w:p>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bCs/>
          <w:sz w:val="24"/>
          <w:szCs w:val="24"/>
        </w:rPr>
      </w:pPr>
      <w:r>
        <w:rPr>
          <w:rFonts w:hint="eastAsia" w:ascii="宋体" w:hAnsi="宋体" w:eastAsia="宋体" w:cs="宋体"/>
          <w:sz w:val="24"/>
          <w:szCs w:val="24"/>
        </w:rPr>
        <w:t>评标小组根据各供应商提供的服务方案，</w:t>
      </w:r>
      <w:r>
        <w:rPr>
          <w:rFonts w:hint="eastAsia" w:ascii="宋体" w:hAnsi="宋体" w:eastAsia="宋体" w:cs="宋体"/>
          <w:bCs/>
          <w:sz w:val="24"/>
          <w:szCs w:val="24"/>
        </w:rPr>
        <w:t>对</w:t>
      </w:r>
      <w:r>
        <w:rPr>
          <w:rFonts w:hint="eastAsia" w:ascii="宋体" w:hAnsi="宋体" w:eastAsia="宋体" w:cs="宋体"/>
          <w:b/>
          <w:bCs/>
          <w:sz w:val="24"/>
          <w:szCs w:val="24"/>
        </w:rPr>
        <w:t>项目整体工作计划及</w:t>
      </w:r>
      <w:r>
        <w:rPr>
          <w:rFonts w:hint="eastAsia" w:ascii="宋体" w:hAnsi="宋体" w:eastAsia="宋体" w:cs="宋体"/>
          <w:b/>
          <w:bCs/>
          <w:sz w:val="24"/>
          <w:szCs w:val="24"/>
          <w:lang w:val="zh-TW"/>
        </w:rPr>
        <w:t>质量保障方案</w:t>
      </w:r>
      <w:r>
        <w:rPr>
          <w:rFonts w:hint="eastAsia" w:ascii="宋体" w:hAnsi="宋体" w:eastAsia="宋体" w:cs="宋体"/>
          <w:sz w:val="24"/>
          <w:szCs w:val="24"/>
          <w:lang w:val="zh-TW" w:eastAsia="zh-TW"/>
        </w:rPr>
        <w:t>（</w:t>
      </w:r>
      <w:r>
        <w:rPr>
          <w:rFonts w:hint="eastAsia" w:ascii="宋体" w:hAnsi="宋体" w:eastAsia="宋体" w:cs="宋体"/>
          <w:bCs/>
          <w:kern w:val="0"/>
          <w:sz w:val="24"/>
          <w:szCs w:val="24"/>
        </w:rPr>
        <w:t>重点各项工作安排、服务</w:t>
      </w:r>
      <w:r>
        <w:rPr>
          <w:rFonts w:hint="eastAsia" w:ascii="宋体" w:hAnsi="宋体" w:eastAsia="宋体" w:cs="宋体"/>
          <w:sz w:val="24"/>
          <w:szCs w:val="24"/>
          <w:lang w:val="zh-TW"/>
        </w:rPr>
        <w:t>质量保障措施</w:t>
      </w:r>
      <w:r>
        <w:rPr>
          <w:rFonts w:hint="eastAsia" w:ascii="宋体" w:hAnsi="宋体" w:eastAsia="宋体" w:cs="宋体"/>
          <w:sz w:val="24"/>
          <w:szCs w:val="24"/>
          <w:lang w:val="zh-TW" w:eastAsia="zh-TW"/>
        </w:rPr>
        <w:t>、</w:t>
      </w:r>
      <w:r>
        <w:rPr>
          <w:rFonts w:hint="eastAsia" w:ascii="宋体" w:hAnsi="宋体" w:eastAsia="宋体" w:cs="宋体"/>
          <w:sz w:val="24"/>
          <w:szCs w:val="24"/>
          <w:lang w:val="zh-TW"/>
        </w:rPr>
        <w:t>突发问题解决措施</w:t>
      </w:r>
      <w:r>
        <w:rPr>
          <w:rFonts w:hint="eastAsia" w:ascii="宋体" w:hAnsi="宋体" w:eastAsia="宋体" w:cs="宋体"/>
          <w:sz w:val="24"/>
          <w:szCs w:val="24"/>
          <w:lang w:val="zh-TW" w:eastAsia="zh-TW"/>
        </w:rPr>
        <w:t>等）</w:t>
      </w:r>
      <w:r>
        <w:rPr>
          <w:rFonts w:hint="eastAsia" w:ascii="宋体" w:hAnsi="宋体" w:eastAsia="宋体" w:cs="宋体"/>
          <w:sz w:val="24"/>
          <w:szCs w:val="24"/>
        </w:rPr>
        <w:t>的周密性、针对性、可行性进行横向综合评定，确定供应商“一档、二档、三档” 各所属档次，评委依照等级评定内容在相应档次内独立打分</w:t>
      </w:r>
      <w:r>
        <w:rPr>
          <w:rFonts w:hint="eastAsia" w:ascii="宋体" w:hAnsi="宋体" w:eastAsia="宋体" w:cs="宋体"/>
          <w:bCs/>
          <w:sz w:val="24"/>
          <w:szCs w:val="24"/>
        </w:rPr>
        <w:t>。</w:t>
      </w:r>
    </w:p>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一档（</w:t>
      </w:r>
      <w:r>
        <w:rPr>
          <w:rFonts w:hint="eastAsia" w:ascii="宋体" w:hAnsi="宋体" w:eastAsia="宋体" w:cs="宋体"/>
          <w:sz w:val="24"/>
          <w:szCs w:val="24"/>
        </w:rPr>
        <w:t>20分</w:t>
      </w:r>
      <w:r>
        <w:rPr>
          <w:rFonts w:hint="eastAsia" w:ascii="宋体" w:hAnsi="宋体" w:eastAsia="宋体" w:cs="宋体"/>
          <w:bCs/>
          <w:sz w:val="24"/>
          <w:szCs w:val="24"/>
        </w:rPr>
        <w:t>）：有简单的</w:t>
      </w:r>
      <w:r>
        <w:rPr>
          <w:rFonts w:hint="eastAsia" w:ascii="宋体" w:hAnsi="宋体" w:eastAsia="宋体" w:cs="宋体"/>
          <w:bCs/>
          <w:kern w:val="0"/>
          <w:sz w:val="24"/>
          <w:szCs w:val="24"/>
        </w:rPr>
        <w:t>工作安排说明及服务</w:t>
      </w:r>
      <w:r>
        <w:rPr>
          <w:rFonts w:hint="eastAsia" w:ascii="宋体" w:hAnsi="宋体" w:eastAsia="宋体" w:cs="宋体"/>
          <w:sz w:val="24"/>
          <w:szCs w:val="24"/>
          <w:lang w:val="zh-TW"/>
        </w:rPr>
        <w:t>质量保障措施等内容</w:t>
      </w:r>
      <w:r>
        <w:rPr>
          <w:rFonts w:hint="eastAsia" w:ascii="宋体" w:hAnsi="宋体" w:eastAsia="宋体" w:cs="宋体"/>
          <w:sz w:val="24"/>
          <w:szCs w:val="24"/>
        </w:rPr>
        <w:t>，</w:t>
      </w:r>
      <w:r>
        <w:rPr>
          <w:rFonts w:hint="eastAsia" w:ascii="宋体" w:hAnsi="宋体" w:eastAsia="宋体" w:cs="宋体"/>
          <w:bCs/>
          <w:sz w:val="24"/>
          <w:szCs w:val="24"/>
        </w:rPr>
        <w:t>可行性一般；</w:t>
      </w:r>
    </w:p>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二档（</w:t>
      </w:r>
      <w:r>
        <w:rPr>
          <w:rFonts w:hint="eastAsia" w:ascii="宋体" w:hAnsi="宋体" w:eastAsia="宋体" w:cs="宋体"/>
          <w:sz w:val="24"/>
          <w:szCs w:val="24"/>
        </w:rPr>
        <w:t>3</w:t>
      </w:r>
      <w:r>
        <w:rPr>
          <w:rFonts w:hint="eastAsia" w:hAnsi="宋体" w:cs="宋体"/>
          <w:sz w:val="24"/>
          <w:szCs w:val="24"/>
          <w:lang w:val="en-US" w:eastAsia="zh-CN"/>
        </w:rPr>
        <w:t>5</w:t>
      </w:r>
      <w:r>
        <w:rPr>
          <w:rFonts w:hint="eastAsia" w:ascii="宋体" w:hAnsi="宋体" w:eastAsia="宋体" w:cs="宋体"/>
          <w:sz w:val="24"/>
          <w:szCs w:val="24"/>
        </w:rPr>
        <w:t>分）：</w:t>
      </w:r>
      <w:r>
        <w:rPr>
          <w:rFonts w:hint="eastAsia" w:ascii="宋体" w:hAnsi="宋体" w:eastAsia="宋体" w:cs="宋体"/>
          <w:bCs/>
          <w:kern w:val="0"/>
          <w:sz w:val="24"/>
          <w:szCs w:val="24"/>
        </w:rPr>
        <w:t>工作安排说明</w:t>
      </w:r>
      <w:r>
        <w:rPr>
          <w:rFonts w:hint="eastAsia" w:ascii="宋体" w:hAnsi="宋体" w:eastAsia="宋体" w:cs="宋体"/>
          <w:sz w:val="24"/>
          <w:szCs w:val="24"/>
        </w:rPr>
        <w:t>较详细，针对各实施阶段出具服务质量保障措施，有基本的突发问题</w:t>
      </w:r>
      <w:r>
        <w:rPr>
          <w:rFonts w:hint="eastAsia" w:ascii="宋体" w:hAnsi="宋体" w:eastAsia="宋体" w:cs="宋体"/>
          <w:sz w:val="24"/>
          <w:szCs w:val="24"/>
          <w:lang w:val="zh-TW"/>
        </w:rPr>
        <w:t>分析</w:t>
      </w:r>
      <w:r>
        <w:rPr>
          <w:rFonts w:hint="eastAsia" w:ascii="宋体" w:hAnsi="宋体" w:eastAsia="宋体" w:cs="宋体"/>
          <w:sz w:val="24"/>
          <w:szCs w:val="24"/>
        </w:rPr>
        <w:t>及对应的</w:t>
      </w:r>
      <w:r>
        <w:rPr>
          <w:rFonts w:hint="eastAsia" w:ascii="宋体" w:hAnsi="宋体" w:eastAsia="宋体" w:cs="宋体"/>
          <w:sz w:val="24"/>
          <w:szCs w:val="24"/>
          <w:lang w:val="zh-TW"/>
        </w:rPr>
        <w:t>解决措施</w:t>
      </w:r>
      <w:r>
        <w:rPr>
          <w:rFonts w:hint="eastAsia" w:ascii="宋体" w:hAnsi="宋体" w:eastAsia="宋体" w:cs="宋体"/>
          <w:sz w:val="24"/>
          <w:szCs w:val="24"/>
        </w:rPr>
        <w:t>，有一定的</w:t>
      </w:r>
      <w:r>
        <w:rPr>
          <w:rFonts w:hint="eastAsia" w:ascii="宋体" w:hAnsi="宋体" w:eastAsia="宋体" w:cs="宋体"/>
          <w:bCs/>
          <w:sz w:val="24"/>
          <w:szCs w:val="24"/>
        </w:rPr>
        <w:t>针对性、可行性</w:t>
      </w:r>
      <w:r>
        <w:rPr>
          <w:rFonts w:hint="eastAsia" w:ascii="宋体" w:hAnsi="宋体" w:eastAsia="宋体" w:cs="宋体"/>
          <w:sz w:val="24"/>
          <w:szCs w:val="24"/>
        </w:rPr>
        <w:t>；</w:t>
      </w:r>
    </w:p>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三档（</w:t>
      </w:r>
      <w:r>
        <w:rPr>
          <w:rFonts w:hint="eastAsia" w:hAnsi="宋体" w:cs="宋体"/>
          <w:sz w:val="24"/>
          <w:szCs w:val="24"/>
          <w:lang w:val="en-US" w:eastAsia="zh-CN"/>
        </w:rPr>
        <w:t>5</w:t>
      </w:r>
      <w:r>
        <w:rPr>
          <w:rFonts w:hint="eastAsia" w:ascii="宋体" w:hAnsi="宋体" w:eastAsia="宋体" w:cs="宋体"/>
          <w:sz w:val="24"/>
          <w:szCs w:val="24"/>
        </w:rPr>
        <w:t>0分）：</w:t>
      </w:r>
      <w:r>
        <w:rPr>
          <w:rFonts w:hint="eastAsia" w:ascii="宋体" w:hAnsi="宋体" w:eastAsia="宋体" w:cs="宋体"/>
          <w:bCs/>
          <w:sz w:val="24"/>
          <w:szCs w:val="24"/>
        </w:rPr>
        <w:t>能结合采购人</w:t>
      </w:r>
      <w:r>
        <w:rPr>
          <w:rFonts w:hint="eastAsia" w:ascii="宋体" w:hAnsi="宋体" w:eastAsia="宋体" w:cs="宋体"/>
          <w:sz w:val="24"/>
          <w:szCs w:val="24"/>
        </w:rPr>
        <w:t>实际需要及项目情况，</w:t>
      </w:r>
      <w:r>
        <w:rPr>
          <w:rFonts w:hint="eastAsia" w:ascii="宋体" w:hAnsi="宋体" w:eastAsia="宋体" w:cs="宋体"/>
          <w:bCs/>
          <w:sz w:val="24"/>
          <w:szCs w:val="24"/>
        </w:rPr>
        <w:t>各项</w:t>
      </w:r>
      <w:r>
        <w:rPr>
          <w:rFonts w:hint="eastAsia" w:ascii="宋体" w:hAnsi="宋体" w:eastAsia="宋体" w:cs="宋体"/>
          <w:bCs/>
          <w:kern w:val="0"/>
          <w:sz w:val="24"/>
          <w:szCs w:val="24"/>
        </w:rPr>
        <w:t>工作安排详细、周密，</w:t>
      </w:r>
      <w:r>
        <w:rPr>
          <w:rFonts w:hint="eastAsia" w:ascii="宋体" w:hAnsi="宋体" w:eastAsia="宋体" w:cs="宋体"/>
          <w:sz w:val="24"/>
          <w:szCs w:val="24"/>
        </w:rPr>
        <w:t>针对各实施阶段出具可行的服务质量保障措施，突发问题</w:t>
      </w:r>
      <w:r>
        <w:rPr>
          <w:rFonts w:hint="eastAsia" w:ascii="宋体" w:hAnsi="宋体" w:eastAsia="宋体" w:cs="宋体"/>
          <w:sz w:val="24"/>
          <w:szCs w:val="24"/>
          <w:lang w:val="zh-TW"/>
        </w:rPr>
        <w:t>分析</w:t>
      </w:r>
      <w:r>
        <w:rPr>
          <w:rFonts w:hint="eastAsia" w:ascii="宋体" w:hAnsi="宋体" w:eastAsia="宋体" w:cs="宋体"/>
          <w:sz w:val="24"/>
          <w:szCs w:val="24"/>
        </w:rPr>
        <w:t>精准，对应问题的</w:t>
      </w:r>
      <w:r>
        <w:rPr>
          <w:rFonts w:hint="eastAsia" w:ascii="宋体" w:hAnsi="宋体" w:eastAsia="宋体" w:cs="宋体"/>
          <w:sz w:val="24"/>
          <w:szCs w:val="24"/>
          <w:lang w:val="zh-TW"/>
        </w:rPr>
        <w:t>解决措施可行性强</w:t>
      </w:r>
      <w:r>
        <w:rPr>
          <w:rFonts w:hint="eastAsia" w:ascii="宋体" w:hAnsi="宋体" w:eastAsia="宋体" w:cs="宋体"/>
          <w:sz w:val="24"/>
          <w:szCs w:val="24"/>
        </w:rPr>
        <w:t>。</w:t>
      </w:r>
    </w:p>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bCs/>
          <w:sz w:val="24"/>
          <w:szCs w:val="24"/>
          <w:lang w:val="en-US" w:eastAsia="zh-CN"/>
        </w:rPr>
        <w:t>备注：未提供方案的或者不满足档次要求的得0分。</w:t>
      </w:r>
    </w:p>
    <w:p>
      <w:pPr>
        <w:keepNext w:val="0"/>
        <w:keepLines w:val="0"/>
        <w:pageBreakBefore w:val="0"/>
        <w:widowControl w:val="0"/>
        <w:kinsoku/>
        <w:wordWrap/>
        <w:overflowPunct/>
        <w:topLinePunct w:val="0"/>
        <w:autoSpaceDE/>
        <w:autoSpaceDN/>
        <w:bidi w:val="0"/>
        <w:adjustRightInd/>
        <w:spacing w:line="400" w:lineRule="atLeast"/>
        <w:textAlignment w:val="auto"/>
        <w:rPr>
          <w:rFonts w:hint="eastAsia" w:ascii="宋体" w:hAnsi="宋体" w:eastAsia="宋体" w:cs="宋体"/>
          <w:sz w:val="24"/>
          <w:szCs w:val="24"/>
        </w:rPr>
      </w:pPr>
    </w:p>
    <w:p>
      <w:pPr>
        <w:pStyle w:val="3"/>
        <w:keepNext w:val="0"/>
        <w:keepLines w:val="0"/>
        <w:pageBreakBefore w:val="0"/>
        <w:widowControl w:val="0"/>
        <w:kinsoku/>
        <w:wordWrap/>
        <w:overflowPunct/>
        <w:topLinePunct w:val="0"/>
        <w:autoSpaceDE/>
        <w:autoSpaceDN/>
        <w:bidi w:val="0"/>
        <w:adjustRightInd/>
        <w:spacing w:line="400" w:lineRule="atLeast"/>
        <w:ind w:firstLine="482" w:firstLineChars="200"/>
        <w:textAlignment w:val="auto"/>
        <w:rPr>
          <w:rFonts w:hint="eastAsia" w:ascii="宋体" w:hAnsi="宋体" w:eastAsia="宋体" w:cs="宋体"/>
          <w:bCs/>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val="zh-TW"/>
        </w:rPr>
        <w:t>服务承诺分</w:t>
      </w:r>
      <w:r>
        <w:rPr>
          <w:rFonts w:hint="eastAsia" w:ascii="宋体" w:hAnsi="宋体" w:eastAsia="宋体" w:cs="宋体"/>
          <w:bCs/>
          <w:sz w:val="24"/>
          <w:szCs w:val="24"/>
        </w:rPr>
        <w:t>………………………………………</w:t>
      </w:r>
      <w:r>
        <w:rPr>
          <w:rFonts w:hint="eastAsia" w:ascii="宋体" w:hAnsi="宋体" w:eastAsia="宋体" w:cs="宋体"/>
          <w:b/>
          <w:bCs/>
          <w:sz w:val="24"/>
          <w:szCs w:val="24"/>
        </w:rPr>
        <w:t>…30分</w:t>
      </w:r>
    </w:p>
    <w:p>
      <w:pPr>
        <w:pStyle w:val="3"/>
        <w:keepNext w:val="0"/>
        <w:keepLines w:val="0"/>
        <w:pageBreakBefore w:val="0"/>
        <w:widowControl w:val="0"/>
        <w:kinsoku/>
        <w:wordWrap/>
        <w:overflowPunct/>
        <w:topLinePunct w:val="0"/>
        <w:autoSpaceDE/>
        <w:autoSpaceDN/>
        <w:bidi w:val="0"/>
        <w:adjustRightInd/>
        <w:spacing w:line="400" w:lineRule="atLeast"/>
        <w:ind w:firstLine="612" w:firstLineChars="255"/>
        <w:textAlignment w:val="auto"/>
        <w:rPr>
          <w:rFonts w:hint="eastAsia" w:ascii="宋体" w:hAnsi="宋体" w:eastAsia="宋体" w:cs="宋体"/>
          <w:bCs/>
          <w:sz w:val="24"/>
          <w:szCs w:val="24"/>
        </w:rPr>
      </w:pPr>
      <w:r>
        <w:rPr>
          <w:rFonts w:hint="eastAsia" w:ascii="宋体" w:hAnsi="宋体" w:eastAsia="宋体" w:cs="宋体"/>
          <w:sz w:val="24"/>
          <w:szCs w:val="24"/>
        </w:rPr>
        <w:t>评标小组</w:t>
      </w:r>
      <w:r>
        <w:rPr>
          <w:rFonts w:hint="eastAsia" w:ascii="宋体" w:hAnsi="宋体" w:eastAsia="宋体" w:cs="宋体"/>
          <w:bCs/>
          <w:sz w:val="24"/>
          <w:szCs w:val="24"/>
        </w:rPr>
        <w:t>根据各响应文件提供的</w:t>
      </w:r>
      <w:r>
        <w:rPr>
          <w:rFonts w:hint="eastAsia" w:ascii="宋体" w:hAnsi="宋体" w:eastAsia="宋体" w:cs="宋体"/>
          <w:b/>
          <w:bCs/>
          <w:sz w:val="24"/>
          <w:szCs w:val="24"/>
          <w:lang w:val="zh-TW"/>
        </w:rPr>
        <w:t>服务承诺，</w:t>
      </w:r>
      <w:r>
        <w:rPr>
          <w:rFonts w:hint="eastAsia" w:ascii="宋体" w:hAnsi="宋体" w:eastAsia="宋体" w:cs="宋体"/>
          <w:bCs/>
          <w:sz w:val="24"/>
          <w:szCs w:val="24"/>
          <w:lang w:val="zh-TW"/>
        </w:rPr>
        <w:t>从</w:t>
      </w:r>
      <w:r>
        <w:rPr>
          <w:rFonts w:hint="eastAsia" w:ascii="宋体" w:hAnsi="宋体" w:eastAsia="宋体" w:cs="宋体"/>
          <w:sz w:val="24"/>
          <w:szCs w:val="24"/>
        </w:rPr>
        <w:t>服务内容、服务措施、服务响应时间、</w:t>
      </w:r>
      <w:r>
        <w:rPr>
          <w:rFonts w:hint="eastAsia" w:ascii="宋体" w:hAnsi="宋体" w:eastAsia="宋体" w:cs="宋体"/>
          <w:sz w:val="24"/>
          <w:szCs w:val="24"/>
          <w:lang w:val="zh-CN"/>
        </w:rPr>
        <w:t>应急服务承诺、</w:t>
      </w:r>
      <w:r>
        <w:rPr>
          <w:rFonts w:hint="eastAsia" w:ascii="宋体" w:hAnsi="宋体" w:eastAsia="宋体" w:cs="宋体"/>
          <w:sz w:val="24"/>
          <w:szCs w:val="24"/>
        </w:rPr>
        <w:t>本地化服务等方面</w:t>
      </w:r>
      <w:r>
        <w:rPr>
          <w:rFonts w:hint="eastAsia" w:ascii="宋体" w:hAnsi="宋体" w:eastAsia="宋体" w:cs="宋体"/>
          <w:bCs/>
          <w:sz w:val="24"/>
          <w:szCs w:val="24"/>
        </w:rPr>
        <w:t>进行</w:t>
      </w:r>
      <w:r>
        <w:rPr>
          <w:rFonts w:hint="eastAsia" w:ascii="宋体" w:hAnsi="宋体" w:eastAsia="宋体" w:cs="宋体"/>
          <w:sz w:val="24"/>
          <w:szCs w:val="24"/>
        </w:rPr>
        <w:t>横向综合评定，确定供应商“一档、二档、三档” 各所属档次，评委依照等级评定内容在相应档次内独立打分</w:t>
      </w:r>
      <w:r>
        <w:rPr>
          <w:rFonts w:hint="eastAsia" w:ascii="宋体" w:hAnsi="宋体" w:eastAsia="宋体" w:cs="宋体"/>
          <w:bCs/>
          <w:sz w:val="24"/>
          <w:szCs w:val="24"/>
        </w:rPr>
        <w:t>。</w:t>
      </w:r>
    </w:p>
    <w:p>
      <w:pPr>
        <w:pStyle w:val="3"/>
        <w:keepNext w:val="0"/>
        <w:keepLines w:val="0"/>
        <w:pageBreakBefore w:val="0"/>
        <w:widowControl w:val="0"/>
        <w:kinsoku/>
        <w:wordWrap/>
        <w:overflowPunct/>
        <w:topLinePunct w:val="0"/>
        <w:autoSpaceDE/>
        <w:autoSpaceDN/>
        <w:bidi w:val="0"/>
        <w:adjustRightInd/>
        <w:spacing w:line="400" w:lineRule="atLeast"/>
        <w:ind w:firstLine="612" w:firstLineChars="255"/>
        <w:textAlignment w:val="auto"/>
        <w:rPr>
          <w:rFonts w:hint="eastAsia" w:ascii="宋体" w:hAnsi="宋体" w:eastAsia="宋体" w:cs="宋体"/>
          <w:sz w:val="24"/>
          <w:szCs w:val="24"/>
        </w:rPr>
      </w:pPr>
      <w:r>
        <w:rPr>
          <w:rFonts w:hint="eastAsia" w:ascii="宋体" w:hAnsi="宋体" w:eastAsia="宋体" w:cs="宋体"/>
          <w:bCs/>
          <w:sz w:val="24"/>
          <w:szCs w:val="24"/>
        </w:rPr>
        <w:t>一档（10分）：</w:t>
      </w:r>
      <w:r>
        <w:rPr>
          <w:rFonts w:hint="eastAsia" w:ascii="宋体" w:hAnsi="宋体" w:eastAsia="宋体" w:cs="宋体"/>
          <w:sz w:val="24"/>
          <w:szCs w:val="24"/>
        </w:rPr>
        <w:t>服务承诺内容（服务内容、服务措施、</w:t>
      </w:r>
      <w:r>
        <w:rPr>
          <w:rFonts w:hint="eastAsia" w:ascii="宋体" w:hAnsi="宋体" w:eastAsia="宋体" w:cs="宋体"/>
          <w:sz w:val="24"/>
          <w:szCs w:val="24"/>
          <w:lang w:val="zh-CN"/>
        </w:rPr>
        <w:t>应急服务承诺、</w:t>
      </w:r>
      <w:r>
        <w:rPr>
          <w:rFonts w:hint="eastAsia" w:ascii="宋体" w:hAnsi="宋体" w:eastAsia="宋体" w:cs="宋体"/>
          <w:sz w:val="24"/>
          <w:szCs w:val="24"/>
        </w:rPr>
        <w:t>本地化服务等方面）简单，各项承诺内容不够全面；承诺接到采购人工作通知后，在1小时内响应并在12小时内安排人员到达现场对接，按要求制定服务计划，综合评定一般；</w:t>
      </w:r>
    </w:p>
    <w:p>
      <w:pPr>
        <w:pStyle w:val="3"/>
        <w:keepNext w:val="0"/>
        <w:keepLines w:val="0"/>
        <w:pageBreakBefore w:val="0"/>
        <w:widowControl w:val="0"/>
        <w:kinsoku/>
        <w:wordWrap/>
        <w:overflowPunct/>
        <w:topLinePunct w:val="0"/>
        <w:autoSpaceDE/>
        <w:autoSpaceDN/>
        <w:bidi w:val="0"/>
        <w:adjustRightInd/>
        <w:spacing w:line="400" w:lineRule="atLeast"/>
        <w:ind w:firstLine="420"/>
        <w:textAlignment w:val="auto"/>
        <w:rPr>
          <w:rFonts w:hint="eastAsia" w:ascii="宋体" w:hAnsi="宋体" w:eastAsia="宋体" w:cs="宋体"/>
          <w:bCs/>
          <w:sz w:val="24"/>
          <w:szCs w:val="24"/>
        </w:rPr>
      </w:pPr>
      <w:r>
        <w:rPr>
          <w:rFonts w:hint="eastAsia" w:ascii="宋体" w:hAnsi="宋体" w:eastAsia="宋体" w:cs="宋体"/>
          <w:bCs/>
          <w:sz w:val="24"/>
          <w:szCs w:val="24"/>
        </w:rPr>
        <w:t>二档（20分）：</w:t>
      </w:r>
      <w:r>
        <w:rPr>
          <w:rFonts w:hint="eastAsia" w:ascii="宋体" w:hAnsi="宋体" w:eastAsia="宋体" w:cs="宋体"/>
          <w:sz w:val="24"/>
          <w:szCs w:val="24"/>
        </w:rPr>
        <w:t>服务承诺内容（服务内容、服务措施、</w:t>
      </w:r>
      <w:r>
        <w:rPr>
          <w:rFonts w:hint="eastAsia" w:ascii="宋体" w:hAnsi="宋体" w:eastAsia="宋体" w:cs="宋体"/>
          <w:sz w:val="24"/>
          <w:szCs w:val="24"/>
          <w:lang w:val="zh-CN"/>
        </w:rPr>
        <w:t>应急服务承诺、</w:t>
      </w:r>
      <w:r>
        <w:rPr>
          <w:rFonts w:hint="eastAsia" w:ascii="宋体" w:hAnsi="宋体" w:eastAsia="宋体" w:cs="宋体"/>
          <w:sz w:val="24"/>
          <w:szCs w:val="24"/>
        </w:rPr>
        <w:t>本地化服务）较完整，各项承诺内容基本合理，服务措施明确，</w:t>
      </w:r>
      <w:r>
        <w:rPr>
          <w:rFonts w:hint="eastAsia" w:ascii="宋体" w:hAnsi="宋体" w:eastAsia="宋体" w:cs="宋体"/>
          <w:sz w:val="24"/>
          <w:szCs w:val="24"/>
          <w:lang w:val="zh-CN"/>
        </w:rPr>
        <w:t>应急服务承诺、</w:t>
      </w:r>
      <w:r>
        <w:rPr>
          <w:rFonts w:hint="eastAsia" w:ascii="宋体" w:hAnsi="宋体" w:eastAsia="宋体" w:cs="宋体"/>
          <w:sz w:val="24"/>
          <w:szCs w:val="24"/>
        </w:rPr>
        <w:t>本地化服务基本满足项目需求；承诺接到采购人工作通知后，在1小时内响应并在6小时内安排人员到达现场对接，按要求制定服务计划，综合评定良好；</w:t>
      </w:r>
    </w:p>
    <w:p>
      <w:pPr>
        <w:pStyle w:val="3"/>
        <w:keepNext w:val="0"/>
        <w:keepLines w:val="0"/>
        <w:pageBreakBefore w:val="0"/>
        <w:widowControl w:val="0"/>
        <w:kinsoku/>
        <w:wordWrap/>
        <w:overflowPunct/>
        <w:topLinePunct w:val="0"/>
        <w:autoSpaceDE/>
        <w:autoSpaceDN/>
        <w:bidi w:val="0"/>
        <w:adjustRightInd/>
        <w:spacing w:line="400" w:lineRule="atLeast"/>
        <w:ind w:firstLine="420"/>
        <w:textAlignment w:val="auto"/>
        <w:rPr>
          <w:rFonts w:hint="eastAsia" w:ascii="宋体" w:hAnsi="宋体" w:eastAsia="宋体" w:cs="宋体"/>
          <w:sz w:val="24"/>
          <w:szCs w:val="24"/>
        </w:rPr>
      </w:pPr>
      <w:r>
        <w:rPr>
          <w:rFonts w:hint="eastAsia" w:ascii="宋体" w:hAnsi="宋体" w:eastAsia="宋体" w:cs="宋体"/>
          <w:bCs/>
          <w:sz w:val="24"/>
          <w:szCs w:val="24"/>
        </w:rPr>
        <w:t>三档（30分）：</w:t>
      </w:r>
      <w:r>
        <w:rPr>
          <w:rFonts w:hint="eastAsia" w:ascii="宋体" w:hAnsi="宋体" w:eastAsia="宋体" w:cs="宋体"/>
          <w:sz w:val="24"/>
          <w:szCs w:val="24"/>
        </w:rPr>
        <w:t>服务承诺内容（服务内容、服务措施、</w:t>
      </w:r>
      <w:r>
        <w:rPr>
          <w:rFonts w:hint="eastAsia" w:ascii="宋体" w:hAnsi="宋体" w:eastAsia="宋体" w:cs="宋体"/>
          <w:sz w:val="24"/>
          <w:szCs w:val="24"/>
          <w:lang w:val="zh-CN"/>
        </w:rPr>
        <w:t>应急服务承诺、</w:t>
      </w:r>
      <w:r>
        <w:rPr>
          <w:rFonts w:hint="eastAsia" w:ascii="宋体" w:hAnsi="宋体" w:eastAsia="宋体" w:cs="宋体"/>
          <w:sz w:val="24"/>
          <w:szCs w:val="24"/>
        </w:rPr>
        <w:t>本地化服务等方面）详细，各项承诺内容合理，针对性强，服务措施详细可行，</w:t>
      </w:r>
      <w:r>
        <w:rPr>
          <w:rFonts w:hint="eastAsia" w:ascii="宋体" w:hAnsi="宋体" w:eastAsia="宋体" w:cs="宋体"/>
          <w:sz w:val="24"/>
          <w:szCs w:val="24"/>
          <w:lang w:val="zh-CN"/>
        </w:rPr>
        <w:t>应急服务承诺、</w:t>
      </w:r>
      <w:r>
        <w:rPr>
          <w:rFonts w:hint="eastAsia" w:ascii="宋体" w:hAnsi="宋体" w:eastAsia="宋体" w:cs="宋体"/>
          <w:sz w:val="24"/>
          <w:szCs w:val="24"/>
        </w:rPr>
        <w:t>本地化服务完全满足项目需求；承诺接到采购人工作通知后，在30分钟内响应并在2小时内安排人员到达现场对接，按要求制定服务计划，充分为采购人考虑，有后续服务承诺，综合评定优秀。</w:t>
      </w:r>
    </w:p>
    <w:p>
      <w:pPr>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lang w:val="en-US" w:eastAsia="zh-CN"/>
        </w:rPr>
        <w:t>备注：未提供承诺的或者不满足档次要求的得0分。</w:t>
      </w:r>
    </w:p>
    <w:p>
      <w:pPr>
        <w:pStyle w:val="3"/>
        <w:keepNext w:val="0"/>
        <w:keepLines w:val="0"/>
        <w:pageBreakBefore w:val="0"/>
        <w:widowControl w:val="0"/>
        <w:kinsoku/>
        <w:wordWrap/>
        <w:overflowPunct/>
        <w:topLinePunct w:val="0"/>
        <w:autoSpaceDE/>
        <w:autoSpaceDN/>
        <w:bidi w:val="0"/>
        <w:adjustRightInd/>
        <w:spacing w:line="400" w:lineRule="atLeast"/>
        <w:ind w:firstLine="482" w:firstLineChars="200"/>
        <w:textAlignment w:val="auto"/>
        <w:rPr>
          <w:rFonts w:hint="eastAsia" w:ascii="宋体" w:hAnsi="宋体" w:eastAsia="宋体" w:cs="宋体"/>
          <w:b/>
          <w:w w:val="150"/>
          <w:sz w:val="24"/>
          <w:szCs w:val="24"/>
        </w:rPr>
      </w:pPr>
      <w:r>
        <w:rPr>
          <w:rFonts w:hint="eastAsia" w:ascii="宋体" w:hAnsi="宋体" w:eastAsia="宋体" w:cs="宋体"/>
          <w:b/>
          <w:sz w:val="24"/>
          <w:szCs w:val="24"/>
        </w:rPr>
        <w:t>综合得分＝1+2+3</w:t>
      </w:r>
    </w:p>
    <w:p>
      <w:pPr>
        <w:pStyle w:val="3"/>
        <w:keepNext w:val="0"/>
        <w:keepLines w:val="0"/>
        <w:pageBreakBefore w:val="0"/>
        <w:widowControl w:val="0"/>
        <w:tabs>
          <w:tab w:val="left" w:pos="4214"/>
        </w:tabs>
        <w:kinsoku/>
        <w:wordWrap/>
        <w:overflowPunct/>
        <w:topLinePunct w:val="0"/>
        <w:autoSpaceDE/>
        <w:autoSpaceDN/>
        <w:bidi w:val="0"/>
        <w:adjustRightInd/>
        <w:spacing w:line="400" w:lineRule="atLeast"/>
        <w:textAlignment w:val="auto"/>
        <w:rPr>
          <w:rFonts w:hint="eastAsia" w:ascii="宋体" w:hAnsi="宋体" w:eastAsia="宋体" w:cs="宋体"/>
          <w:b/>
          <w:sz w:val="24"/>
          <w:szCs w:val="24"/>
        </w:rPr>
      </w:pPr>
      <w:r>
        <w:rPr>
          <w:rFonts w:hint="eastAsia" w:ascii="宋体" w:hAnsi="宋体" w:eastAsia="宋体" w:cs="宋体"/>
          <w:b/>
          <w:sz w:val="24"/>
          <w:szCs w:val="24"/>
        </w:rPr>
        <w:t>三、推荐</w:t>
      </w:r>
      <w:r>
        <w:rPr>
          <w:rFonts w:hint="eastAsia" w:ascii="宋体" w:hAnsi="宋体" w:eastAsia="宋体" w:cs="宋体"/>
          <w:b/>
          <w:sz w:val="24"/>
          <w:szCs w:val="24"/>
          <w:lang w:eastAsia="zh-CN"/>
        </w:rPr>
        <w:t>中标候选供应商</w:t>
      </w:r>
      <w:r>
        <w:rPr>
          <w:rFonts w:hint="eastAsia" w:ascii="宋体" w:hAnsi="宋体" w:eastAsia="宋体" w:cs="宋体"/>
          <w:b/>
          <w:sz w:val="24"/>
          <w:szCs w:val="24"/>
        </w:rPr>
        <w:t>原则</w:t>
      </w:r>
    </w:p>
    <w:p>
      <w:pPr>
        <w:pStyle w:val="3"/>
        <w:keepNext w:val="0"/>
        <w:keepLines w:val="0"/>
        <w:pageBreakBefore w:val="0"/>
        <w:widowControl w:val="0"/>
        <w:tabs>
          <w:tab w:val="left" w:pos="4214"/>
        </w:tabs>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⑴评标小组应当根据综合评分情况，按照综合得分由高到低顺序推荐3名以下（含3名）</w:t>
      </w:r>
      <w:r>
        <w:rPr>
          <w:rFonts w:hint="eastAsia" w:ascii="宋体" w:hAnsi="宋体" w:eastAsia="宋体" w:cs="宋体"/>
          <w:sz w:val="24"/>
          <w:szCs w:val="24"/>
          <w:lang w:eastAsia="zh-CN"/>
        </w:rPr>
        <w:t>中标候选供应商</w:t>
      </w:r>
      <w:r>
        <w:rPr>
          <w:rFonts w:hint="eastAsia" w:ascii="宋体" w:hAnsi="宋体" w:eastAsia="宋体" w:cs="宋体"/>
          <w:sz w:val="24"/>
          <w:szCs w:val="24"/>
        </w:rPr>
        <w:t>，并编写评审报告；如采购项目为政府购买服务项目（含政府和社会资本合作项目），评标小组应当根据综合评分情况，按照评审得分由高到低顺序推荐3名以下（含3名）</w:t>
      </w:r>
      <w:r>
        <w:rPr>
          <w:rFonts w:hint="eastAsia" w:ascii="宋体" w:hAnsi="宋体" w:eastAsia="宋体" w:cs="宋体"/>
          <w:sz w:val="24"/>
          <w:szCs w:val="24"/>
          <w:lang w:eastAsia="zh-CN"/>
        </w:rPr>
        <w:t>中标候选供应商</w:t>
      </w:r>
      <w:r>
        <w:rPr>
          <w:rFonts w:hint="eastAsia" w:ascii="宋体" w:hAnsi="宋体" w:eastAsia="宋体" w:cs="宋体"/>
          <w:sz w:val="24"/>
          <w:szCs w:val="24"/>
        </w:rPr>
        <w:t>，并编写评审报告。评标小组根据综合得分由高到低排列次序，若得分相同时，以评标报价由低到高顺序排列；若得分相同且评标报价相同的，以投标报价由低到高顺序排列；若仍相同时，按服务建议方案得分由高到低的顺序排列并推荐成交供应商。若仍相同时，则由评标小组确定。</w:t>
      </w:r>
    </w:p>
    <w:p>
      <w:pPr>
        <w:pStyle w:val="3"/>
        <w:keepNext w:val="0"/>
        <w:keepLines w:val="0"/>
        <w:pageBreakBefore w:val="0"/>
        <w:widowControl w:val="0"/>
        <w:tabs>
          <w:tab w:val="left" w:pos="4214"/>
        </w:tabs>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⑵采购单位应当确定评标小组推荐排名第一的</w:t>
      </w:r>
      <w:r>
        <w:rPr>
          <w:rFonts w:hint="eastAsia" w:ascii="宋体" w:hAnsi="宋体" w:eastAsia="宋体" w:cs="宋体"/>
          <w:sz w:val="24"/>
          <w:szCs w:val="24"/>
          <w:lang w:eastAsia="zh-CN"/>
        </w:rPr>
        <w:t>中标候选供应商</w:t>
      </w:r>
      <w:r>
        <w:rPr>
          <w:rFonts w:hint="eastAsia" w:ascii="宋体" w:hAnsi="宋体" w:eastAsia="宋体" w:cs="宋体"/>
          <w:sz w:val="24"/>
          <w:szCs w:val="24"/>
        </w:rPr>
        <w:t>为成交供应商。</w:t>
      </w:r>
    </w:p>
    <w:p>
      <w:pPr>
        <w:pStyle w:val="3"/>
        <w:keepNext w:val="0"/>
        <w:keepLines w:val="0"/>
        <w:pageBreakBefore w:val="0"/>
        <w:widowControl w:val="0"/>
        <w:kinsoku/>
        <w:wordWrap/>
        <w:overflowPunct/>
        <w:topLinePunct w:val="0"/>
        <w:autoSpaceDE/>
        <w:autoSpaceDN/>
        <w:bidi w:val="0"/>
        <w:adjustRightInd/>
        <w:spacing w:line="400" w:lineRule="atLeast"/>
        <w:ind w:firstLine="511" w:firstLineChars="213"/>
        <w:textAlignment w:val="auto"/>
        <w:rPr>
          <w:rFonts w:hint="eastAsia" w:ascii="宋体" w:hAnsi="宋体" w:eastAsia="宋体" w:cs="宋体"/>
          <w:sz w:val="24"/>
          <w:szCs w:val="24"/>
        </w:rPr>
      </w:pPr>
      <w:r>
        <w:rPr>
          <w:rFonts w:hint="eastAsia" w:ascii="宋体" w:hAnsi="宋体" w:eastAsia="宋体" w:cs="宋体"/>
          <w:sz w:val="24"/>
          <w:szCs w:val="24"/>
        </w:rPr>
        <w:t>⑶排名第一的</w:t>
      </w:r>
      <w:r>
        <w:rPr>
          <w:rFonts w:hint="eastAsia" w:ascii="宋体" w:hAnsi="宋体" w:eastAsia="宋体" w:cs="宋体"/>
          <w:sz w:val="24"/>
          <w:szCs w:val="24"/>
          <w:lang w:eastAsia="zh-CN"/>
        </w:rPr>
        <w:t>中标候选供应商</w:t>
      </w:r>
      <w:r>
        <w:rPr>
          <w:rFonts w:hint="eastAsia" w:ascii="宋体" w:hAnsi="宋体" w:eastAsia="宋体" w:cs="宋体"/>
          <w:sz w:val="24"/>
          <w:szCs w:val="24"/>
        </w:rPr>
        <w:t>放弃成交、因不可抗力提出不能履行合同，或者投标文件规定应当提交履约保证金而在规定的期限内未能提交的，采购单位可以确定排名第二的</w:t>
      </w:r>
      <w:r>
        <w:rPr>
          <w:rFonts w:hint="eastAsia" w:ascii="宋体" w:hAnsi="宋体" w:eastAsia="宋体" w:cs="宋体"/>
          <w:sz w:val="24"/>
          <w:szCs w:val="24"/>
          <w:lang w:eastAsia="zh-CN"/>
        </w:rPr>
        <w:t>中标候选供应商</w:t>
      </w:r>
      <w:r>
        <w:rPr>
          <w:rFonts w:hint="eastAsia" w:ascii="宋体" w:hAnsi="宋体" w:eastAsia="宋体" w:cs="宋体"/>
          <w:sz w:val="24"/>
          <w:szCs w:val="24"/>
        </w:rPr>
        <w:t>为成交供应商或重新采购。</w:t>
      </w:r>
    </w:p>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⑷第二</w:t>
      </w:r>
      <w:r>
        <w:rPr>
          <w:rFonts w:hint="eastAsia" w:ascii="宋体" w:hAnsi="宋体" w:eastAsia="宋体" w:cs="宋体"/>
          <w:sz w:val="24"/>
          <w:szCs w:val="24"/>
          <w:lang w:eastAsia="zh-CN"/>
        </w:rPr>
        <w:t>中标候选供应商</w:t>
      </w:r>
      <w:r>
        <w:rPr>
          <w:rFonts w:hint="eastAsia" w:ascii="宋体" w:hAnsi="宋体" w:eastAsia="宋体" w:cs="宋体"/>
          <w:sz w:val="24"/>
          <w:szCs w:val="24"/>
        </w:rPr>
        <w:t>因前款规定的同样原因不能签订合同的，采购单位可以确定排名第三的</w:t>
      </w:r>
      <w:r>
        <w:rPr>
          <w:rFonts w:hint="eastAsia" w:ascii="宋体" w:hAnsi="宋体" w:eastAsia="宋体" w:cs="宋体"/>
          <w:sz w:val="24"/>
          <w:szCs w:val="24"/>
          <w:lang w:eastAsia="zh-CN"/>
        </w:rPr>
        <w:t>中标候选供应商</w:t>
      </w:r>
      <w:r>
        <w:rPr>
          <w:rFonts w:hint="eastAsia" w:ascii="宋体" w:hAnsi="宋体" w:eastAsia="宋体" w:cs="宋体"/>
          <w:sz w:val="24"/>
          <w:szCs w:val="24"/>
        </w:rPr>
        <w:t>为成交供应商或重新采购。</w:t>
      </w:r>
    </w:p>
    <w:p>
      <w:pPr>
        <w:pStyle w:val="3"/>
        <w:keepNext w:val="0"/>
        <w:keepLines w:val="0"/>
        <w:pageBreakBefore w:val="0"/>
        <w:widowControl w:val="0"/>
        <w:kinsoku/>
        <w:wordWrap/>
        <w:overflowPunct/>
        <w:topLinePunct w:val="0"/>
        <w:autoSpaceDE/>
        <w:autoSpaceDN/>
        <w:bidi w:val="0"/>
        <w:adjustRightInd/>
        <w:spacing w:line="400" w:lineRule="atLeast"/>
        <w:textAlignment w:val="auto"/>
        <w:rPr>
          <w:rFonts w:hint="eastAsia" w:ascii="宋体" w:hAnsi="宋体" w:eastAsia="宋体" w:cs="宋体"/>
          <w:bCs/>
          <w:color w:val="auto"/>
          <w:sz w:val="24"/>
          <w:szCs w:val="24"/>
          <w:highlight w:val="none"/>
        </w:rPr>
      </w:pPr>
    </w:p>
    <w:p>
      <w:pPr>
        <w:pStyle w:val="3"/>
        <w:keepNext w:val="0"/>
        <w:keepLines w:val="0"/>
        <w:pageBreakBefore w:val="0"/>
        <w:widowControl w:val="0"/>
        <w:kinsoku/>
        <w:wordWrap/>
        <w:overflowPunct/>
        <w:topLinePunct w:val="0"/>
        <w:autoSpaceDE/>
        <w:autoSpaceDN/>
        <w:bidi w:val="0"/>
        <w:adjustRightInd/>
        <w:spacing w:line="400" w:lineRule="atLeas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注：1.计分方法按四舍五入取至百分位；</w:t>
      </w:r>
    </w:p>
    <w:p>
      <w:pPr>
        <w:pStyle w:val="3"/>
        <w:keepNext w:val="0"/>
        <w:keepLines w:val="0"/>
        <w:pageBreakBefore w:val="0"/>
        <w:widowControl w:val="0"/>
        <w:kinsoku/>
        <w:wordWrap/>
        <w:overflowPunct/>
        <w:topLinePunct w:val="0"/>
        <w:autoSpaceDE/>
        <w:autoSpaceDN/>
        <w:bidi w:val="0"/>
        <w:adjustRightInd/>
        <w:spacing w:line="400" w:lineRule="atLeas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2.因落实政府采购政策进行价格调整的，以调整后的价格计算评标基准价和投标报价。</w:t>
      </w:r>
    </w:p>
    <w:p>
      <w:pPr>
        <w:pStyle w:val="6"/>
        <w:keepNext w:val="0"/>
        <w:keepLines w:val="0"/>
        <w:pageBreakBefore w:val="0"/>
        <w:widowControl w:val="0"/>
        <w:kinsoku/>
        <w:wordWrap/>
        <w:overflowPunct/>
        <w:topLinePunct w:val="0"/>
        <w:autoSpaceDE/>
        <w:autoSpaceDN/>
        <w:bidi w:val="0"/>
        <w:adjustRightInd/>
        <w:spacing w:before="0" w:after="0" w:line="400" w:lineRule="atLeas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四、中标候选人推荐原则</w:t>
      </w:r>
    </w:p>
    <w:p>
      <w:pPr>
        <w:pStyle w:val="3"/>
        <w:keepNext w:val="0"/>
        <w:keepLines w:val="0"/>
        <w:pageBreakBefore w:val="0"/>
        <w:widowControl w:val="0"/>
        <w:kinsoku/>
        <w:wordWrap/>
        <w:overflowPunct/>
        <w:topLinePunct w:val="0"/>
        <w:autoSpaceDE/>
        <w:autoSpaceDN/>
        <w:bidi w:val="0"/>
        <w:adjustRightInd/>
        <w:spacing w:line="400" w:lineRule="atLeast"/>
        <w:contextualSpacing/>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（一）综合评分法</w:t>
      </w:r>
    </w:p>
    <w:p>
      <w:pPr>
        <w:pStyle w:val="3"/>
        <w:keepNext w:val="0"/>
        <w:keepLines w:val="0"/>
        <w:pageBreakBefore w:val="0"/>
        <w:widowControl w:val="0"/>
        <w:kinsoku/>
        <w:wordWrap/>
        <w:overflowPunct/>
        <w:topLinePunct w:val="0"/>
        <w:autoSpaceDE/>
        <w:autoSpaceDN/>
        <w:bidi w:val="0"/>
        <w:adjustRightInd/>
        <w:spacing w:line="400" w:lineRule="atLeast"/>
        <w:ind w:firstLine="480" w:firstLineChars="2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3"/>
        <w:keepNext w:val="0"/>
        <w:keepLines w:val="0"/>
        <w:pageBreakBefore w:val="0"/>
        <w:widowControl w:val="0"/>
        <w:kinsoku/>
        <w:wordWrap/>
        <w:overflowPunct/>
        <w:topLinePunct w:val="0"/>
        <w:autoSpaceDE/>
        <w:autoSpaceDN/>
        <w:bidi w:val="0"/>
        <w:adjustRightInd/>
        <w:spacing w:line="400" w:lineRule="atLeast"/>
        <w:contextualSpacing/>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（二）最低评标价法</w:t>
      </w:r>
    </w:p>
    <w:p>
      <w:pPr>
        <w:keepNext w:val="0"/>
        <w:keepLines w:val="0"/>
        <w:pageBreakBefore w:val="0"/>
        <w:widowControl w:val="0"/>
        <w:kinsoku/>
        <w:wordWrap/>
        <w:overflowPunct/>
        <w:topLinePunct w:val="0"/>
        <w:autoSpaceDE/>
        <w:autoSpaceDN/>
        <w:bidi w:val="0"/>
        <w:adjustRightInd/>
        <w:spacing w:line="400" w:lineRule="atLeast"/>
        <w:ind w:firstLine="480" w:firstLineChars="200"/>
        <w:contextualSpacing/>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评标委员会按照评标报价从低到高排序并推荐中标候选人，评标报价相同的并列。投标文件满足招标文件全部实质性要求且评标报价最低的投标人为排名第一的中标候选人。</w:t>
      </w:r>
    </w:p>
    <w:p>
      <w:pPr>
        <w:pStyle w:val="26"/>
        <w:ind w:firstLine="0"/>
        <w:rPr>
          <w:rFonts w:hint="eastAsia" w:ascii="仿宋_GB2312" w:eastAsia="仿宋_GB2312"/>
          <w:color w:val="auto"/>
          <w:szCs w:val="32"/>
          <w:highlight w:val="none"/>
        </w:rPr>
      </w:pPr>
    </w:p>
    <w:p>
      <w:pPr>
        <w:pStyle w:val="4"/>
        <w:spacing w:before="0" w:after="0" w:line="240" w:lineRule="auto"/>
        <w:jc w:val="center"/>
        <w:rPr>
          <w:rFonts w:hint="eastAsia"/>
          <w:color w:val="auto"/>
          <w:highlight w:val="none"/>
        </w:rPr>
      </w:pPr>
      <w:r>
        <w:rPr>
          <w:rFonts w:hAnsi="宋体"/>
          <w:b w:val="0"/>
          <w:color w:val="auto"/>
          <w:sz w:val="24"/>
          <w:highlight w:val="none"/>
        </w:rPr>
        <w:br w:type="page"/>
      </w:r>
      <w:bookmarkStart w:id="127" w:name="_Toc4790"/>
      <w:r>
        <w:rPr>
          <w:rFonts w:hint="eastAsia"/>
          <w:color w:val="auto"/>
          <w:highlight w:val="none"/>
        </w:rPr>
        <w:t>第五章  拟签订的合同文本</w:t>
      </w:r>
      <w:bookmarkEnd w:id="127"/>
    </w:p>
    <w:p>
      <w:pPr>
        <w:widowControl/>
        <w:spacing w:line="500" w:lineRule="atLeast"/>
        <w:jc w:val="left"/>
        <w:rPr>
          <w:rFonts w:hint="eastAsia" w:ascii="宋体" w:hAnsi="宋体" w:cs="宋体"/>
          <w:b/>
          <w:bCs/>
          <w:color w:val="auto"/>
          <w:sz w:val="24"/>
          <w:highlight w:val="none"/>
        </w:rPr>
      </w:pPr>
    </w:p>
    <w:p>
      <w:pPr>
        <w:pStyle w:val="130"/>
        <w:spacing w:line="360" w:lineRule="auto"/>
        <w:rPr>
          <w:rFonts w:ascii="宋体" w:hAnsi="宋体" w:cs="Arial"/>
          <w:sz w:val="24"/>
        </w:rPr>
      </w:pPr>
      <w:r>
        <w:rPr>
          <w:rFonts w:hint="eastAsia" w:ascii="宋体" w:hAnsi="宋体" w:cs="Arial"/>
          <w:sz w:val="24"/>
        </w:rPr>
        <w:t>甲方（采购人）：</w:t>
      </w:r>
    </w:p>
    <w:p>
      <w:pPr>
        <w:pStyle w:val="130"/>
        <w:spacing w:line="360" w:lineRule="auto"/>
        <w:rPr>
          <w:rFonts w:hint="eastAsia" w:ascii="宋体" w:hAnsi="宋体" w:eastAsia="宋体" w:cs="Arial"/>
          <w:sz w:val="24"/>
        </w:rPr>
      </w:pPr>
      <w:r>
        <w:rPr>
          <w:rFonts w:hint="eastAsia" w:ascii="宋体" w:hAnsi="宋体" w:eastAsia="宋体" w:cs="Arial"/>
          <w:sz w:val="24"/>
        </w:rPr>
        <w:t>乙方（中标供应商）：</w:t>
      </w:r>
    </w:p>
    <w:p>
      <w:pPr>
        <w:pStyle w:val="130"/>
        <w:spacing w:line="360" w:lineRule="auto"/>
        <w:rPr>
          <w:rFonts w:hint="eastAsia" w:ascii="宋体" w:hAnsi="宋体" w:eastAsia="宋体" w:cs="Arial"/>
          <w:sz w:val="24"/>
        </w:rPr>
      </w:pPr>
      <w:r>
        <w:rPr>
          <w:rFonts w:hint="eastAsia" w:ascii="宋体" w:hAnsi="宋体" w:eastAsia="宋体" w:cs="Arial"/>
          <w:sz w:val="24"/>
          <w:lang w:val="en-US" w:eastAsia="zh-CN"/>
        </w:rPr>
        <w:t xml:space="preserve">   </w:t>
      </w:r>
      <w:r>
        <w:rPr>
          <w:rFonts w:hint="eastAsia" w:ascii="宋体" w:hAnsi="宋体" w:eastAsia="宋体" w:cs="Arial"/>
          <w:sz w:val="24"/>
        </w:rPr>
        <w:t xml:space="preserve">根据《中华人民共和国民法典》、《中华人民共和国政府采购法》及  </w:t>
      </w:r>
      <w:r>
        <w:rPr>
          <w:rFonts w:hint="eastAsia" w:ascii="宋体" w:hAnsi="宋体" w:eastAsia="宋体" w:cs="Arial"/>
          <w:sz w:val="24"/>
          <w:lang w:val="en-US" w:eastAsia="zh-CN"/>
        </w:rPr>
        <w:t>河池市机关事务服务中心</w:t>
      </w:r>
      <w:r>
        <w:rPr>
          <w:rFonts w:hint="eastAsia" w:ascii="宋体" w:hAnsi="宋体" w:eastAsia="宋体" w:cs="Arial"/>
          <w:sz w:val="24"/>
        </w:rPr>
        <w:t>“</w:t>
      </w:r>
      <w:r>
        <w:rPr>
          <w:rFonts w:hint="eastAsia" w:ascii="宋体" w:hAnsi="宋体" w:cs="Arial"/>
          <w:sz w:val="24"/>
          <w:lang w:eastAsia="zh-CN"/>
        </w:rPr>
        <w:t>金城江-宜州两城区通勤用车服务采购项目</w:t>
      </w:r>
      <w:r>
        <w:rPr>
          <w:rFonts w:hint="eastAsia" w:ascii="宋体" w:hAnsi="宋体" w:eastAsia="宋体" w:cs="Arial"/>
          <w:sz w:val="24"/>
        </w:rPr>
        <w:t>”（项目编号：       ）招标文件的要求和招标结果，经甲乙双方协商一致，签订本合同。双方共同遵守如下条款（技术说明及其他有关合同项目的特定信息由合同附件予以说明，合同附件及本项目的招标文件、投标文件等均为本合同不可分割之一部分）。</w:t>
      </w:r>
    </w:p>
    <w:p>
      <w:pPr>
        <w:pStyle w:val="130"/>
        <w:widowControl w:val="0"/>
        <w:numPr>
          <w:ilvl w:val="0"/>
          <w:numId w:val="11"/>
        </w:numPr>
        <w:tabs>
          <w:tab w:val="left" w:pos="840"/>
          <w:tab w:val="left" w:pos="3969"/>
          <w:tab w:val="left" w:pos="4395"/>
          <w:tab w:val="left" w:pos="4536"/>
          <w:tab w:val="left" w:pos="4678"/>
        </w:tabs>
        <w:spacing w:before="120" w:beforeLines="50" w:line="360" w:lineRule="auto"/>
        <w:ind w:left="681" w:hanging="454"/>
        <w:jc w:val="center"/>
        <w:rPr>
          <w:rFonts w:ascii="宋体" w:hAnsi="宋体"/>
          <w:b/>
          <w:sz w:val="24"/>
        </w:rPr>
      </w:pPr>
      <w:r>
        <w:rPr>
          <w:rFonts w:hint="eastAsia" w:ascii="宋体" w:hAnsi="宋体"/>
          <w:b/>
          <w:sz w:val="24"/>
        </w:rPr>
        <w:t>租赁标的</w:t>
      </w:r>
    </w:p>
    <w:p>
      <w:pPr>
        <w:pStyle w:val="130"/>
        <w:widowControl w:val="0"/>
        <w:numPr>
          <w:ilvl w:val="0"/>
          <w:numId w:val="12"/>
        </w:numPr>
        <w:tabs>
          <w:tab w:val="left" w:pos="840"/>
        </w:tabs>
        <w:spacing w:line="360" w:lineRule="auto"/>
        <w:jc w:val="both"/>
        <w:rPr>
          <w:rFonts w:ascii="宋体" w:hAnsi="宋体"/>
          <w:b/>
          <w:sz w:val="24"/>
        </w:rPr>
      </w:pPr>
      <w:r>
        <w:rPr>
          <w:rFonts w:hint="eastAsia" w:ascii="宋体" w:hAnsi="宋体"/>
          <w:b/>
          <w:sz w:val="24"/>
        </w:rPr>
        <w:t>租赁服务内容</w:t>
      </w:r>
    </w:p>
    <w:p>
      <w:pPr>
        <w:pStyle w:val="130"/>
        <w:spacing w:line="360" w:lineRule="auto"/>
        <w:ind w:firstLine="360" w:firstLineChars="150"/>
        <w:rPr>
          <w:rFonts w:ascii="宋体" w:hAnsi="宋体"/>
          <w:color w:val="000000"/>
          <w:sz w:val="24"/>
        </w:rPr>
      </w:pPr>
      <w:r>
        <w:rPr>
          <w:rFonts w:hint="eastAsia" w:ascii="宋体" w:hAnsi="宋体"/>
          <w:sz w:val="24"/>
        </w:rPr>
        <w:t>（一）车辆用途：</w:t>
      </w:r>
      <w:r>
        <w:rPr>
          <w:rFonts w:hint="eastAsia" w:ascii="宋体" w:hAnsi="宋体"/>
          <w:color w:val="FF0000"/>
          <w:sz w:val="24"/>
          <w:u w:val="single"/>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w:t>
      </w:r>
    </w:p>
    <w:p>
      <w:pPr>
        <w:pStyle w:val="130"/>
        <w:spacing w:line="360" w:lineRule="auto"/>
        <w:ind w:firstLine="360" w:firstLineChars="150"/>
        <w:rPr>
          <w:rFonts w:ascii="宋体" w:hAnsi="宋体"/>
          <w:color w:val="000000"/>
          <w:sz w:val="24"/>
        </w:rPr>
      </w:pPr>
      <w:r>
        <w:rPr>
          <w:rFonts w:hint="eastAsia" w:ascii="宋体" w:hAnsi="宋体"/>
          <w:color w:val="000000"/>
          <w:sz w:val="24"/>
        </w:rPr>
        <w:t>（二）提供车辆类型及数量：</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w:t>
      </w:r>
    </w:p>
    <w:p>
      <w:pPr>
        <w:pStyle w:val="130"/>
        <w:spacing w:line="360" w:lineRule="auto"/>
        <w:ind w:firstLine="360" w:firstLineChars="150"/>
        <w:rPr>
          <w:rFonts w:ascii="宋体" w:hAnsi="宋体"/>
          <w:color w:val="000000"/>
          <w:sz w:val="24"/>
        </w:rPr>
      </w:pPr>
      <w:r>
        <w:rPr>
          <w:rFonts w:hint="eastAsia" w:ascii="宋体" w:hAnsi="宋体"/>
          <w:color w:val="000000"/>
          <w:sz w:val="24"/>
        </w:rPr>
        <w:t>（三）服务内容：</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w:t>
      </w:r>
    </w:p>
    <w:p>
      <w:pPr>
        <w:pStyle w:val="130"/>
        <w:spacing w:line="360" w:lineRule="auto"/>
        <w:ind w:firstLine="360" w:firstLineChars="150"/>
        <w:rPr>
          <w:rFonts w:ascii="宋体" w:hAnsi="宋体"/>
          <w:color w:val="000000"/>
          <w:sz w:val="24"/>
          <w:u w:val="single"/>
        </w:rPr>
      </w:pPr>
      <w:r>
        <w:rPr>
          <w:rFonts w:hint="eastAsia" w:ascii="宋体" w:hAnsi="宋体"/>
          <w:color w:val="000000"/>
          <w:sz w:val="24"/>
        </w:rPr>
        <w:t>（四）行驶路线和时间：</w:t>
      </w:r>
      <w:r>
        <w:rPr>
          <w:rFonts w:hint="eastAsia" w:ascii="宋体" w:hAnsi="宋体"/>
          <w:color w:val="000000"/>
          <w:sz w:val="24"/>
          <w:u w:val="single"/>
          <w:lang w:val="en-US" w:eastAsia="zh-CN"/>
        </w:rPr>
        <w:t xml:space="preserve">                     </w:t>
      </w:r>
      <w:r>
        <w:rPr>
          <w:rFonts w:hint="eastAsia" w:ascii="宋体" w:hAnsi="宋体"/>
          <w:color w:val="000000"/>
          <w:sz w:val="24"/>
          <w:u w:val="single"/>
        </w:rPr>
        <w:t>。</w:t>
      </w:r>
    </w:p>
    <w:p>
      <w:pPr>
        <w:pStyle w:val="130"/>
        <w:widowControl w:val="0"/>
        <w:numPr>
          <w:ilvl w:val="0"/>
          <w:numId w:val="12"/>
        </w:numPr>
        <w:tabs>
          <w:tab w:val="left" w:pos="840"/>
        </w:tabs>
        <w:spacing w:line="360" w:lineRule="auto"/>
        <w:jc w:val="both"/>
        <w:rPr>
          <w:rFonts w:ascii="宋体" w:hAnsi="宋体"/>
          <w:b/>
          <w:color w:val="000000"/>
          <w:sz w:val="24"/>
        </w:rPr>
      </w:pPr>
      <w:r>
        <w:rPr>
          <w:rFonts w:hint="eastAsia" w:ascii="宋体" w:hAnsi="宋体"/>
          <w:b/>
          <w:color w:val="000000"/>
          <w:sz w:val="24"/>
        </w:rPr>
        <w:t>租赁服务期限</w:t>
      </w:r>
    </w:p>
    <w:p>
      <w:pPr>
        <w:pStyle w:val="130"/>
        <w:spacing w:line="360" w:lineRule="auto"/>
        <w:ind w:firstLine="480" w:firstLineChars="200"/>
        <w:rPr>
          <w:rFonts w:ascii="宋体" w:hAnsi="宋体"/>
          <w:color w:val="000000"/>
          <w:sz w:val="24"/>
          <w:u w:val="single"/>
        </w:rPr>
      </w:pPr>
      <w:r>
        <w:rPr>
          <w:rFonts w:hint="eastAsia" w:ascii="宋体" w:hAnsi="宋体"/>
          <w:color w:val="000000"/>
          <w:sz w:val="24"/>
          <w:lang w:val="en-US" w:eastAsia="zh-CN"/>
        </w:rPr>
        <w:t>三</w:t>
      </w:r>
      <w:r>
        <w:rPr>
          <w:rFonts w:hint="eastAsia" w:ascii="宋体" w:hAnsi="宋体"/>
          <w:color w:val="000000"/>
          <w:sz w:val="24"/>
        </w:rPr>
        <w:t>年，从</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lang w:val="en-US" w:eastAsia="zh-CN"/>
        </w:rPr>
        <w:t xml:space="preserve">       </w:t>
      </w:r>
      <w:r>
        <w:rPr>
          <w:rFonts w:hint="eastAsia" w:ascii="宋体" w:hAnsi="宋体"/>
          <w:color w:val="000000"/>
          <w:sz w:val="24"/>
        </w:rPr>
        <w:t>月</w:t>
      </w:r>
      <w:r>
        <w:rPr>
          <w:rFonts w:hint="eastAsia" w:ascii="宋体" w:hAnsi="宋体"/>
          <w:color w:val="000000"/>
          <w:sz w:val="24"/>
          <w:u w:val="single"/>
          <w:lang w:val="en-US" w:eastAsia="zh-CN"/>
        </w:rPr>
        <w:t xml:space="preserve">      </w:t>
      </w:r>
      <w:r>
        <w:rPr>
          <w:rFonts w:hint="eastAsia" w:ascii="宋体" w:hAnsi="宋体"/>
          <w:color w:val="000000"/>
          <w:sz w:val="24"/>
        </w:rPr>
        <w:t>日起至</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lang w:val="en-US" w:eastAsia="zh-CN"/>
        </w:rPr>
        <w:t xml:space="preserve">        </w:t>
      </w:r>
      <w:r>
        <w:rPr>
          <w:rFonts w:hint="eastAsia" w:ascii="宋体" w:hAnsi="宋体"/>
          <w:color w:val="000000"/>
          <w:sz w:val="24"/>
        </w:rPr>
        <w:t>月</w:t>
      </w:r>
      <w:r>
        <w:rPr>
          <w:rFonts w:hint="eastAsia" w:ascii="宋体" w:hAnsi="宋体"/>
          <w:color w:val="000000"/>
          <w:sz w:val="24"/>
          <w:u w:val="single"/>
          <w:lang w:val="en-US" w:eastAsia="zh-CN"/>
        </w:rPr>
        <w:t xml:space="preserve">        </w:t>
      </w:r>
      <w:r>
        <w:rPr>
          <w:rFonts w:hint="eastAsia" w:ascii="宋体" w:hAnsi="宋体"/>
          <w:color w:val="000000"/>
          <w:sz w:val="24"/>
        </w:rPr>
        <w:t>日止。</w:t>
      </w:r>
    </w:p>
    <w:p>
      <w:pPr>
        <w:pStyle w:val="130"/>
        <w:widowControl w:val="0"/>
        <w:numPr>
          <w:ilvl w:val="0"/>
          <w:numId w:val="11"/>
        </w:numPr>
        <w:tabs>
          <w:tab w:val="left" w:pos="840"/>
          <w:tab w:val="left" w:pos="3969"/>
          <w:tab w:val="left" w:pos="4395"/>
          <w:tab w:val="left" w:pos="4536"/>
          <w:tab w:val="left" w:pos="4678"/>
        </w:tabs>
        <w:spacing w:before="120" w:beforeLines="50" w:line="360" w:lineRule="auto"/>
        <w:ind w:left="681" w:hanging="454"/>
        <w:jc w:val="center"/>
        <w:rPr>
          <w:rFonts w:ascii="宋体" w:hAnsi="宋体"/>
          <w:b/>
          <w:color w:val="000000"/>
          <w:sz w:val="24"/>
        </w:rPr>
      </w:pPr>
      <w:r>
        <w:rPr>
          <w:rFonts w:hint="eastAsia" w:ascii="宋体" w:hAnsi="宋体"/>
          <w:b/>
          <w:color w:val="000000"/>
          <w:sz w:val="24"/>
        </w:rPr>
        <w:t>合同总价</w:t>
      </w:r>
    </w:p>
    <w:p>
      <w:pPr>
        <w:pStyle w:val="130"/>
        <w:widowControl w:val="0"/>
        <w:numPr>
          <w:ilvl w:val="0"/>
          <w:numId w:val="12"/>
        </w:numPr>
        <w:tabs>
          <w:tab w:val="left" w:pos="840"/>
        </w:tabs>
        <w:spacing w:line="360" w:lineRule="auto"/>
        <w:jc w:val="both"/>
        <w:rPr>
          <w:rFonts w:ascii="宋体" w:hAnsi="宋体"/>
          <w:color w:val="000000"/>
          <w:sz w:val="24"/>
        </w:rPr>
      </w:pPr>
      <w:r>
        <w:rPr>
          <w:rFonts w:hint="eastAsia" w:ascii="宋体" w:hAnsi="宋体"/>
          <w:color w:val="000000"/>
          <w:sz w:val="24"/>
        </w:rPr>
        <w:t>本合同预计总金额为</w:t>
      </w:r>
      <w:r>
        <w:rPr>
          <w:rFonts w:hint="eastAsia" w:ascii="宋体" w:hAnsi="宋体"/>
          <w:color w:val="000000"/>
          <w:sz w:val="24"/>
          <w:lang w:eastAsia="zh-CN"/>
        </w:rPr>
        <w:t>：早晚通勤：单程</w:t>
      </w:r>
      <w:r>
        <w:rPr>
          <w:rFonts w:hint="eastAsia" w:ascii="宋体" w:hAnsi="宋体"/>
          <w:color w:val="000000"/>
          <w:sz w:val="24"/>
          <w:u w:val="single"/>
          <w:lang w:val="en-US" w:eastAsia="zh-CN"/>
        </w:rPr>
        <w:t xml:space="preserve">    元/人</w:t>
      </w:r>
      <w:r>
        <w:rPr>
          <w:rFonts w:hint="eastAsia" w:ascii="宋体" w:hAnsi="宋体"/>
          <w:color w:val="000000"/>
          <w:sz w:val="24"/>
          <w:u w:val="none"/>
          <w:lang w:val="en-US" w:eastAsia="zh-CN"/>
        </w:rPr>
        <w:t>；周末通勤：</w:t>
      </w:r>
      <w:r>
        <w:rPr>
          <w:rFonts w:hint="eastAsia" w:ascii="宋体" w:hAnsi="宋体"/>
          <w:color w:val="000000"/>
          <w:sz w:val="24"/>
          <w:lang w:eastAsia="zh-CN"/>
        </w:rPr>
        <w:t>单程</w:t>
      </w:r>
      <w:r>
        <w:rPr>
          <w:rFonts w:hint="eastAsia" w:ascii="宋体" w:hAnsi="宋体"/>
          <w:color w:val="000000"/>
          <w:sz w:val="24"/>
          <w:u w:val="single"/>
          <w:lang w:val="en-US" w:eastAsia="zh-CN"/>
        </w:rPr>
        <w:t xml:space="preserve">    元/人</w:t>
      </w:r>
      <w:r>
        <w:rPr>
          <w:rFonts w:hint="eastAsia" w:ascii="宋体" w:hAnsi="宋体"/>
          <w:color w:val="000000"/>
          <w:sz w:val="24"/>
          <w:u w:val="none"/>
          <w:lang w:val="en-US" w:eastAsia="zh-CN"/>
        </w:rPr>
        <w:t>；日常业务通勤：</w:t>
      </w:r>
      <w:r>
        <w:rPr>
          <w:rFonts w:hint="eastAsia" w:ascii="宋体" w:hAnsi="宋体"/>
          <w:color w:val="000000"/>
          <w:sz w:val="24"/>
          <w:lang w:eastAsia="zh-CN"/>
        </w:rPr>
        <w:t>单程</w:t>
      </w:r>
      <w:r>
        <w:rPr>
          <w:rFonts w:hint="eastAsia" w:ascii="宋体" w:hAnsi="宋体"/>
          <w:color w:val="000000"/>
          <w:sz w:val="24"/>
          <w:u w:val="single"/>
          <w:lang w:val="en-US" w:eastAsia="zh-CN"/>
        </w:rPr>
        <w:t xml:space="preserve">    元/人。</w:t>
      </w:r>
      <w:r>
        <w:rPr>
          <w:rFonts w:hint="eastAsia" w:ascii="宋体" w:hAnsi="宋体"/>
          <w:color w:val="000000"/>
          <w:sz w:val="24"/>
        </w:rPr>
        <w:t>最终按实际运行车次乘以中标单价进行结算。</w:t>
      </w:r>
    </w:p>
    <w:p>
      <w:pPr>
        <w:pStyle w:val="130"/>
        <w:widowControl w:val="0"/>
        <w:numPr>
          <w:ilvl w:val="0"/>
          <w:numId w:val="12"/>
        </w:numPr>
        <w:tabs>
          <w:tab w:val="left" w:pos="840"/>
        </w:tabs>
        <w:spacing w:line="360" w:lineRule="auto"/>
        <w:ind w:left="0" w:firstLine="0"/>
        <w:jc w:val="both"/>
        <w:rPr>
          <w:rFonts w:ascii="宋体" w:hAnsi="宋体"/>
          <w:color w:val="000000"/>
          <w:sz w:val="24"/>
        </w:rPr>
      </w:pPr>
      <w:r>
        <w:rPr>
          <w:rFonts w:hint="eastAsia" w:ascii="宋体" w:hAnsi="宋体"/>
          <w:color w:val="000000"/>
          <w:sz w:val="24"/>
        </w:rPr>
        <w:t>合同金额</w:t>
      </w:r>
      <w:r>
        <w:rPr>
          <w:rFonts w:hint="eastAsia" w:ascii="宋体" w:hAnsi="宋体" w:cs="Arial"/>
          <w:color w:val="000000"/>
          <w:sz w:val="24"/>
        </w:rPr>
        <w:t>包括服务范围内所发生的租赁车辆的季审、年审、轮胎、维修、燃料、供养、税金、营运费、管理费、司机的薪金、购置交强险和乘客意外事故险商业险等一切费用</w:t>
      </w:r>
      <w:r>
        <w:rPr>
          <w:rFonts w:hint="eastAsia" w:ascii="宋体" w:hAnsi="宋体"/>
          <w:color w:val="000000"/>
          <w:sz w:val="24"/>
        </w:rPr>
        <w:t>。</w:t>
      </w:r>
    </w:p>
    <w:p>
      <w:pPr>
        <w:pStyle w:val="130"/>
        <w:widowControl w:val="0"/>
        <w:numPr>
          <w:ilvl w:val="0"/>
          <w:numId w:val="11"/>
        </w:numPr>
        <w:tabs>
          <w:tab w:val="left" w:pos="840"/>
          <w:tab w:val="left" w:pos="3969"/>
          <w:tab w:val="left" w:pos="4395"/>
          <w:tab w:val="left" w:pos="4536"/>
          <w:tab w:val="left" w:pos="4678"/>
        </w:tabs>
        <w:spacing w:before="120" w:beforeLines="50" w:line="360" w:lineRule="auto"/>
        <w:ind w:left="681" w:hanging="454"/>
        <w:jc w:val="center"/>
        <w:rPr>
          <w:rFonts w:ascii="宋体" w:hAnsi="宋体"/>
          <w:b/>
          <w:color w:val="000000"/>
          <w:sz w:val="24"/>
        </w:rPr>
      </w:pPr>
      <w:r>
        <w:rPr>
          <w:rFonts w:hint="eastAsia" w:ascii="宋体" w:hAnsi="宋体"/>
          <w:b/>
          <w:color w:val="000000"/>
          <w:sz w:val="24"/>
        </w:rPr>
        <w:t>服务要求</w:t>
      </w:r>
    </w:p>
    <w:p>
      <w:pPr>
        <w:pStyle w:val="130"/>
        <w:widowControl w:val="0"/>
        <w:numPr>
          <w:ilvl w:val="0"/>
          <w:numId w:val="12"/>
        </w:numPr>
        <w:tabs>
          <w:tab w:val="left" w:pos="840"/>
        </w:tabs>
        <w:spacing w:line="360" w:lineRule="auto"/>
        <w:ind w:left="0" w:firstLine="0"/>
        <w:jc w:val="both"/>
        <w:rPr>
          <w:rFonts w:ascii="宋体" w:hAnsi="宋体"/>
          <w:color w:val="000000"/>
          <w:sz w:val="24"/>
        </w:rPr>
      </w:pPr>
      <w:r>
        <w:rPr>
          <w:rFonts w:hint="eastAsia" w:ascii="宋体" w:hAnsi="宋体"/>
          <w:color w:val="000000"/>
          <w:sz w:val="24"/>
        </w:rPr>
        <w:t>按采购文件第二章采购人需求的规定。</w:t>
      </w:r>
    </w:p>
    <w:p>
      <w:pPr>
        <w:pStyle w:val="130"/>
        <w:widowControl w:val="0"/>
        <w:numPr>
          <w:ilvl w:val="0"/>
          <w:numId w:val="11"/>
        </w:numPr>
        <w:tabs>
          <w:tab w:val="left" w:pos="840"/>
          <w:tab w:val="left" w:pos="3969"/>
          <w:tab w:val="left" w:pos="4395"/>
          <w:tab w:val="left" w:pos="4536"/>
          <w:tab w:val="left" w:pos="4678"/>
        </w:tabs>
        <w:spacing w:before="120" w:beforeLines="50" w:line="360" w:lineRule="auto"/>
        <w:ind w:left="681" w:hanging="454"/>
        <w:jc w:val="center"/>
        <w:rPr>
          <w:rFonts w:ascii="宋体" w:hAnsi="宋体"/>
          <w:b/>
          <w:color w:val="000000"/>
          <w:sz w:val="24"/>
        </w:rPr>
      </w:pPr>
      <w:r>
        <w:rPr>
          <w:rFonts w:hint="eastAsia" w:ascii="宋体" w:hAnsi="宋体"/>
          <w:b/>
          <w:color w:val="000000"/>
          <w:sz w:val="24"/>
        </w:rPr>
        <w:t>付款方式</w:t>
      </w:r>
    </w:p>
    <w:p>
      <w:pPr>
        <w:pStyle w:val="130"/>
        <w:widowControl w:val="0"/>
        <w:numPr>
          <w:ilvl w:val="0"/>
          <w:numId w:val="12"/>
        </w:numPr>
        <w:tabs>
          <w:tab w:val="left" w:pos="840"/>
        </w:tabs>
        <w:spacing w:line="360" w:lineRule="auto"/>
        <w:jc w:val="both"/>
        <w:rPr>
          <w:rFonts w:ascii="宋体" w:hAnsi="宋体"/>
          <w:b/>
          <w:bCs/>
          <w:color w:val="000000"/>
          <w:sz w:val="24"/>
        </w:rPr>
      </w:pPr>
      <w:r>
        <w:rPr>
          <w:rFonts w:hint="eastAsia" w:ascii="宋体" w:hAnsi="宋体"/>
          <w:b/>
          <w:bCs/>
          <w:color w:val="000000"/>
          <w:sz w:val="24"/>
        </w:rPr>
        <w:t>付款方式</w:t>
      </w:r>
    </w:p>
    <w:p>
      <w:pPr>
        <w:pStyle w:val="128"/>
        <w:numPr>
          <w:ilvl w:val="0"/>
          <w:numId w:val="0"/>
        </w:numPr>
        <w:spacing w:line="360" w:lineRule="auto"/>
        <w:ind w:firstLine="480" w:firstLineChars="200"/>
        <w:rPr>
          <w:rFonts w:ascii="宋体" w:hAnsi="宋体"/>
          <w:color w:val="auto"/>
          <w:spacing w:val="-4"/>
          <w:sz w:val="24"/>
        </w:rPr>
      </w:pPr>
      <w:r>
        <w:rPr>
          <w:rFonts w:hint="eastAsia" w:ascii="宋体" w:hAnsi="宋体"/>
          <w:color w:val="auto"/>
          <w:sz w:val="24"/>
          <w:lang w:eastAsia="zh-CN"/>
        </w:rPr>
        <w:t>早晚通勤、周末通勤乘车费用：每人每次（单程）（以公开招标中标价格为准），费用由市财政负责保障。结算：按月结账。市财政局将费用统一拨付到市机关事务服务中心，市机关事务服务中心凭乘车明细清单和发票通过对公账号以转帐方式结算；</w:t>
      </w:r>
      <w:r>
        <w:rPr>
          <w:rFonts w:hint="eastAsia" w:ascii="宋体" w:hAnsi="宋体"/>
          <w:color w:val="auto"/>
          <w:sz w:val="24"/>
          <w:lang w:val="en-US" w:eastAsia="zh-CN"/>
        </w:rPr>
        <w:t>日常</w:t>
      </w:r>
      <w:r>
        <w:rPr>
          <w:rFonts w:hint="eastAsia" w:ascii="宋体" w:hAnsi="宋体"/>
          <w:color w:val="auto"/>
          <w:sz w:val="24"/>
          <w:lang w:eastAsia="zh-CN"/>
        </w:rPr>
        <w:t>业务通勤乘车费用：每人每次（单程）（以公开招标中标价格为准），费用由用车单位结算</w:t>
      </w:r>
      <w:r>
        <w:rPr>
          <w:rFonts w:hint="eastAsia" w:ascii="宋体" w:hAnsi="宋体"/>
          <w:color w:val="auto"/>
          <w:sz w:val="24"/>
        </w:rPr>
        <w:t>。</w:t>
      </w:r>
    </w:p>
    <w:p>
      <w:pPr>
        <w:pStyle w:val="130"/>
        <w:widowControl w:val="0"/>
        <w:numPr>
          <w:ilvl w:val="0"/>
          <w:numId w:val="11"/>
        </w:numPr>
        <w:tabs>
          <w:tab w:val="left" w:pos="840"/>
          <w:tab w:val="left" w:pos="3969"/>
          <w:tab w:val="left" w:pos="4395"/>
          <w:tab w:val="left" w:pos="4536"/>
          <w:tab w:val="left" w:pos="4678"/>
        </w:tabs>
        <w:spacing w:before="120" w:beforeLines="50" w:line="360" w:lineRule="auto"/>
        <w:ind w:left="681" w:hanging="454"/>
        <w:jc w:val="center"/>
        <w:rPr>
          <w:rFonts w:ascii="宋体" w:hAnsi="宋体"/>
          <w:b/>
          <w:color w:val="000000"/>
          <w:sz w:val="24"/>
        </w:rPr>
      </w:pPr>
      <w:r>
        <w:rPr>
          <w:rFonts w:hint="eastAsia" w:ascii="宋体" w:hAnsi="宋体"/>
          <w:b/>
          <w:color w:val="000000"/>
          <w:sz w:val="24"/>
        </w:rPr>
        <w:t>违约责任</w:t>
      </w:r>
    </w:p>
    <w:p>
      <w:pPr>
        <w:pStyle w:val="130"/>
        <w:widowControl w:val="0"/>
        <w:numPr>
          <w:ilvl w:val="0"/>
          <w:numId w:val="12"/>
        </w:numPr>
        <w:tabs>
          <w:tab w:val="left" w:pos="840"/>
        </w:tabs>
        <w:spacing w:line="360" w:lineRule="auto"/>
        <w:ind w:left="0" w:firstLine="0"/>
        <w:jc w:val="both"/>
        <w:rPr>
          <w:rFonts w:ascii="宋体" w:hAnsi="宋体"/>
          <w:color w:val="000000"/>
          <w:sz w:val="24"/>
        </w:rPr>
      </w:pPr>
      <w:r>
        <w:rPr>
          <w:rFonts w:hint="eastAsia" w:ascii="宋体" w:hAnsi="宋体"/>
          <w:color w:val="000000"/>
          <w:sz w:val="24"/>
        </w:rPr>
        <w:t>乙方在收到甲方车辆租赁通知后</w:t>
      </w:r>
      <w:r>
        <w:rPr>
          <w:rFonts w:hint="eastAsia" w:ascii="宋体" w:hAnsi="宋体"/>
          <w:color w:val="000000"/>
          <w:sz w:val="24"/>
          <w:u w:val="single"/>
        </w:rPr>
        <w:t xml:space="preserve">     </w:t>
      </w:r>
      <w:r>
        <w:rPr>
          <w:rFonts w:hint="eastAsia" w:ascii="宋体" w:hAnsi="宋体"/>
          <w:color w:val="000000"/>
          <w:sz w:val="24"/>
        </w:rPr>
        <w:t>个工作日内未开始投入运行服务，即被视为无故终止合同。</w:t>
      </w:r>
    </w:p>
    <w:p>
      <w:pPr>
        <w:pStyle w:val="130"/>
        <w:widowControl w:val="0"/>
        <w:numPr>
          <w:ilvl w:val="0"/>
          <w:numId w:val="12"/>
        </w:numPr>
        <w:tabs>
          <w:tab w:val="left" w:pos="840"/>
        </w:tabs>
        <w:spacing w:line="360" w:lineRule="auto"/>
        <w:ind w:left="0" w:firstLine="0"/>
        <w:jc w:val="both"/>
        <w:rPr>
          <w:rFonts w:ascii="宋体" w:hAnsi="宋体"/>
          <w:color w:val="000000"/>
          <w:sz w:val="24"/>
        </w:rPr>
      </w:pPr>
      <w:r>
        <w:rPr>
          <w:rFonts w:hint="eastAsia" w:ascii="宋体" w:hAnsi="宋体"/>
          <w:color w:val="000000"/>
          <w:sz w:val="24"/>
        </w:rPr>
        <w:t>在合同履行期间，单方无故终止合同的，违约方应支付已发生车辆租赁费总额</w:t>
      </w:r>
      <w:r>
        <w:rPr>
          <w:rFonts w:hint="eastAsia" w:ascii="宋体" w:hAnsi="宋体"/>
          <w:color w:val="000000"/>
          <w:sz w:val="24"/>
          <w:u w:val="single"/>
        </w:rPr>
        <w:t xml:space="preserve">50 </w:t>
      </w:r>
      <w:r>
        <w:rPr>
          <w:rFonts w:hint="eastAsia" w:ascii="宋体" w:hAnsi="宋体"/>
          <w:color w:val="000000"/>
          <w:sz w:val="24"/>
        </w:rPr>
        <w:t>%的违约金给对方。</w:t>
      </w:r>
    </w:p>
    <w:p>
      <w:pPr>
        <w:pStyle w:val="130"/>
        <w:widowControl w:val="0"/>
        <w:numPr>
          <w:ilvl w:val="0"/>
          <w:numId w:val="12"/>
        </w:numPr>
        <w:tabs>
          <w:tab w:val="left" w:pos="840"/>
        </w:tabs>
        <w:spacing w:line="360" w:lineRule="auto"/>
        <w:ind w:left="0" w:firstLine="0"/>
        <w:jc w:val="both"/>
        <w:rPr>
          <w:rFonts w:ascii="宋体" w:hAnsi="宋体"/>
          <w:color w:val="000000"/>
          <w:sz w:val="24"/>
        </w:rPr>
      </w:pPr>
      <w:r>
        <w:rPr>
          <w:rFonts w:hint="eastAsia" w:ascii="宋体" w:hAnsi="宋体"/>
          <w:color w:val="000000"/>
          <w:sz w:val="24"/>
        </w:rPr>
        <w:t>乙方违反本合同规定，未能按时完成合同约定的服务内容或服务质量达不到要求，甲方书面提出整改通知，累计提出达</w:t>
      </w:r>
      <w:r>
        <w:rPr>
          <w:rFonts w:hint="eastAsia" w:ascii="宋体" w:hAnsi="宋体"/>
          <w:color w:val="000000"/>
          <w:sz w:val="24"/>
          <w:u w:val="single"/>
        </w:rPr>
        <w:t xml:space="preserve"> 3 </w:t>
      </w:r>
      <w:r>
        <w:rPr>
          <w:rFonts w:hint="eastAsia" w:ascii="宋体" w:hAnsi="宋体"/>
          <w:color w:val="000000"/>
          <w:sz w:val="24"/>
        </w:rPr>
        <w:t>次，并且甲方有权</w:t>
      </w:r>
      <w:r>
        <w:rPr>
          <w:rFonts w:hint="eastAsia" w:ascii="宋体" w:hAnsi="宋体"/>
          <w:color w:val="000000"/>
          <w:sz w:val="24"/>
          <w:lang w:val="en-US" w:eastAsia="zh-CN"/>
        </w:rPr>
        <w:t>提出</w:t>
      </w:r>
      <w:r>
        <w:rPr>
          <w:rFonts w:hint="eastAsia" w:ascii="宋体" w:hAnsi="宋体"/>
          <w:color w:val="000000"/>
          <w:sz w:val="24"/>
        </w:rPr>
        <w:t>终止合同。</w:t>
      </w:r>
    </w:p>
    <w:p>
      <w:pPr>
        <w:pStyle w:val="130"/>
        <w:widowControl w:val="0"/>
        <w:numPr>
          <w:ilvl w:val="0"/>
          <w:numId w:val="12"/>
        </w:numPr>
        <w:tabs>
          <w:tab w:val="left" w:pos="840"/>
          <w:tab w:val="left" w:pos="993"/>
        </w:tabs>
        <w:spacing w:line="360" w:lineRule="auto"/>
        <w:ind w:left="0" w:firstLine="0"/>
        <w:jc w:val="both"/>
        <w:rPr>
          <w:rFonts w:ascii="宋体" w:hAnsi="宋体" w:cs="Arial"/>
          <w:color w:val="000000"/>
          <w:sz w:val="24"/>
        </w:rPr>
      </w:pPr>
      <w:r>
        <w:rPr>
          <w:rFonts w:hint="eastAsia" w:ascii="宋体" w:hAnsi="宋体"/>
          <w:color w:val="000000"/>
          <w:sz w:val="24"/>
        </w:rPr>
        <w:t>甲方应按期付清车辆租赁费，每逾期1天，加收欠款总额</w:t>
      </w:r>
      <w:r>
        <w:rPr>
          <w:rFonts w:hint="eastAsia" w:ascii="宋体" w:hAnsi="宋体"/>
          <w:color w:val="000000"/>
          <w:sz w:val="24"/>
          <w:u w:val="single"/>
        </w:rPr>
        <w:t>3</w:t>
      </w:r>
      <w:r>
        <w:rPr>
          <w:rFonts w:hint="eastAsia" w:ascii="宋体" w:hAnsi="宋体"/>
          <w:color w:val="000000"/>
          <w:sz w:val="24"/>
        </w:rPr>
        <w:t>‰的滞纳金，逾期超过</w:t>
      </w:r>
      <w:r>
        <w:rPr>
          <w:rFonts w:hint="eastAsia" w:ascii="宋体" w:hAnsi="宋体"/>
          <w:color w:val="000000"/>
          <w:sz w:val="24"/>
          <w:u w:val="single"/>
        </w:rPr>
        <w:t>30</w:t>
      </w:r>
      <w:r>
        <w:rPr>
          <w:rFonts w:hint="eastAsia" w:ascii="宋体" w:hAnsi="宋体"/>
          <w:color w:val="000000"/>
          <w:sz w:val="24"/>
        </w:rPr>
        <w:t>天，乙方有权撤回提供的车辆及服务人员，并依法向甲方索赔。但由于财政资金拨款不到位而导致甲方逾期付款的，甲方不承担违约责任，并且此情况不能成为乙方拒绝提供服务的理由。</w:t>
      </w:r>
    </w:p>
    <w:p>
      <w:pPr>
        <w:pStyle w:val="130"/>
        <w:widowControl w:val="0"/>
        <w:numPr>
          <w:ilvl w:val="0"/>
          <w:numId w:val="12"/>
        </w:numPr>
        <w:tabs>
          <w:tab w:val="left" w:pos="840"/>
          <w:tab w:val="left" w:pos="993"/>
        </w:tabs>
        <w:spacing w:line="360" w:lineRule="auto"/>
        <w:ind w:left="0" w:firstLine="0"/>
        <w:jc w:val="both"/>
        <w:rPr>
          <w:rFonts w:ascii="宋体" w:hAnsi="宋体" w:cs="Arial"/>
          <w:color w:val="000000"/>
          <w:sz w:val="24"/>
        </w:rPr>
      </w:pPr>
      <w:r>
        <w:rPr>
          <w:rFonts w:hint="eastAsia" w:ascii="宋体" w:hAnsi="宋体" w:cs="Arial"/>
          <w:color w:val="000000"/>
          <w:sz w:val="24"/>
        </w:rPr>
        <w:t>供应商在工作期间要按照国家有关规定文明开车，如遇交通事故、被盗抢等，一切后果由供应商负责；驾驶员在为</w:t>
      </w:r>
      <w:r>
        <w:rPr>
          <w:rFonts w:hint="eastAsia" w:ascii="宋体" w:hAnsi="宋体" w:cs="Arial"/>
          <w:color w:val="000000"/>
          <w:sz w:val="24"/>
          <w:lang w:eastAsia="zh-CN"/>
        </w:rPr>
        <w:t>采购人</w:t>
      </w:r>
      <w:r>
        <w:rPr>
          <w:rFonts w:hint="eastAsia" w:ascii="宋体" w:hAnsi="宋体" w:cs="Arial"/>
          <w:color w:val="000000"/>
          <w:sz w:val="24"/>
        </w:rPr>
        <w:t>提供用车服务的全过程严禁饮酒、驾车途中禁止接打电话，如发现此类危险驾驶情况，</w:t>
      </w:r>
      <w:r>
        <w:rPr>
          <w:rFonts w:hint="eastAsia" w:ascii="宋体" w:hAnsi="宋体"/>
          <w:color w:val="000000"/>
          <w:sz w:val="24"/>
        </w:rPr>
        <w:t>甲方</w:t>
      </w:r>
      <w:r>
        <w:rPr>
          <w:rFonts w:hint="eastAsia" w:ascii="宋体" w:hAnsi="宋体" w:cs="Arial"/>
          <w:color w:val="000000"/>
          <w:sz w:val="24"/>
        </w:rPr>
        <w:t>有权</w:t>
      </w:r>
      <w:r>
        <w:rPr>
          <w:rFonts w:hint="eastAsia" w:ascii="宋体" w:hAnsi="宋体" w:cs="Arial"/>
          <w:color w:val="000000"/>
          <w:sz w:val="24"/>
          <w:lang w:val="en-US" w:eastAsia="zh-CN"/>
        </w:rPr>
        <w:t>提出</w:t>
      </w:r>
      <w:r>
        <w:rPr>
          <w:rFonts w:hint="eastAsia" w:ascii="宋体" w:hAnsi="宋体" w:cs="Arial"/>
          <w:color w:val="000000"/>
          <w:sz w:val="24"/>
        </w:rPr>
        <w:t>终止合同。</w:t>
      </w:r>
    </w:p>
    <w:p>
      <w:pPr>
        <w:pStyle w:val="130"/>
        <w:widowControl w:val="0"/>
        <w:numPr>
          <w:ilvl w:val="0"/>
          <w:numId w:val="12"/>
        </w:numPr>
        <w:tabs>
          <w:tab w:val="left" w:pos="840"/>
          <w:tab w:val="left" w:pos="993"/>
        </w:tabs>
        <w:spacing w:line="360" w:lineRule="auto"/>
        <w:ind w:left="0" w:firstLine="0"/>
        <w:jc w:val="both"/>
        <w:rPr>
          <w:rFonts w:ascii="宋体" w:hAnsi="宋体" w:cs="Arial"/>
          <w:color w:val="000000"/>
          <w:sz w:val="24"/>
        </w:rPr>
      </w:pPr>
      <w:r>
        <w:rPr>
          <w:rFonts w:hint="eastAsia" w:ascii="宋体" w:hAnsi="宋体" w:cs="Arial"/>
          <w:color w:val="000000"/>
          <w:sz w:val="24"/>
        </w:rPr>
        <w:t>合同期内，双方都应遵守合同约定及国家有关规定，如果中标供应商出现违法违规行为或因中标供应商的违法违规行为造成</w:t>
      </w:r>
      <w:r>
        <w:rPr>
          <w:rFonts w:hint="eastAsia" w:ascii="宋体" w:hAnsi="宋体" w:cs="Arial"/>
          <w:color w:val="000000"/>
          <w:sz w:val="24"/>
          <w:lang w:val="en-US" w:eastAsia="zh-CN"/>
        </w:rPr>
        <w:t>通勤</w:t>
      </w:r>
      <w:r>
        <w:rPr>
          <w:rFonts w:hint="eastAsia" w:ascii="宋体" w:hAnsi="宋体" w:cs="Arial"/>
          <w:color w:val="000000"/>
          <w:sz w:val="24"/>
        </w:rPr>
        <w:t>任何损失的，</w:t>
      </w:r>
      <w:r>
        <w:rPr>
          <w:rFonts w:hint="eastAsia" w:ascii="宋体" w:hAnsi="宋体"/>
          <w:color w:val="000000"/>
          <w:sz w:val="24"/>
        </w:rPr>
        <w:t>甲方</w:t>
      </w:r>
      <w:r>
        <w:rPr>
          <w:rFonts w:hint="eastAsia" w:ascii="宋体" w:hAnsi="宋体" w:cs="Arial"/>
          <w:color w:val="000000"/>
          <w:sz w:val="24"/>
        </w:rPr>
        <w:t>有权</w:t>
      </w:r>
      <w:r>
        <w:rPr>
          <w:rFonts w:hint="eastAsia" w:ascii="宋体" w:hAnsi="宋体" w:cs="Arial"/>
          <w:color w:val="000000"/>
          <w:sz w:val="24"/>
          <w:lang w:val="en-US" w:eastAsia="zh-CN"/>
        </w:rPr>
        <w:t>提出</w:t>
      </w:r>
      <w:r>
        <w:rPr>
          <w:rFonts w:hint="eastAsia" w:ascii="宋体" w:hAnsi="宋体" w:cs="Arial"/>
          <w:color w:val="000000"/>
          <w:sz w:val="24"/>
        </w:rPr>
        <w:t>终止合同，并保留依法追究中标供应商各项责任的权利。</w:t>
      </w:r>
    </w:p>
    <w:p>
      <w:pPr>
        <w:pStyle w:val="130"/>
        <w:widowControl w:val="0"/>
        <w:numPr>
          <w:ilvl w:val="0"/>
          <w:numId w:val="12"/>
        </w:numPr>
        <w:tabs>
          <w:tab w:val="left" w:pos="840"/>
          <w:tab w:val="left" w:pos="993"/>
        </w:tabs>
        <w:spacing w:line="360" w:lineRule="auto"/>
        <w:jc w:val="both"/>
        <w:rPr>
          <w:rFonts w:ascii="宋体" w:hAnsi="宋体" w:cs="Arial"/>
          <w:color w:val="000000"/>
          <w:sz w:val="24"/>
        </w:rPr>
      </w:pPr>
      <w:r>
        <w:rPr>
          <w:rFonts w:hint="eastAsia" w:ascii="宋体" w:hAnsi="宋体" w:cs="Arial"/>
          <w:color w:val="000000"/>
          <w:sz w:val="24"/>
        </w:rPr>
        <w:t>中标供应商车辆必须按采购人指定的时间准时到达起点上客，</w:t>
      </w:r>
      <w:r>
        <w:rPr>
          <w:rFonts w:ascii="宋体" w:hAnsi="宋体" w:cs="Arial"/>
          <w:color w:val="000000"/>
          <w:sz w:val="24"/>
        </w:rPr>
        <w:t>中标供应商超过30分钟仍未派车到达采购人指定的起点，采购人可采取其他方式（四</w:t>
      </w:r>
      <w:r>
        <w:rPr>
          <w:rFonts w:hint="eastAsia" w:ascii="宋体" w:hAnsi="宋体" w:cs="Arial"/>
          <w:color w:val="000000"/>
          <w:sz w:val="24"/>
        </w:rPr>
        <w:t>人辆</w:t>
      </w:r>
      <w:r>
        <w:rPr>
          <w:rFonts w:ascii="宋体" w:hAnsi="宋体" w:cs="Arial"/>
          <w:color w:val="000000"/>
          <w:sz w:val="24"/>
        </w:rPr>
        <w:t>/</w:t>
      </w:r>
      <w:r>
        <w:rPr>
          <w:rFonts w:hint="eastAsia" w:ascii="宋体" w:hAnsi="宋体" w:cs="Arial"/>
          <w:color w:val="000000"/>
          <w:sz w:val="24"/>
        </w:rPr>
        <w:t>次座出租车）到</w:t>
      </w:r>
      <w:r>
        <w:rPr>
          <w:rFonts w:hint="eastAsia" w:ascii="宋体" w:hAnsi="宋体" w:cs="Arial"/>
          <w:color w:val="000000"/>
          <w:sz w:val="24"/>
          <w:lang w:val="en-US" w:eastAsia="zh-CN"/>
        </w:rPr>
        <w:t>达</w:t>
      </w:r>
      <w:r>
        <w:rPr>
          <w:rFonts w:hint="eastAsia" w:ascii="宋体" w:hAnsi="宋体" w:cs="Arial"/>
          <w:color w:val="000000"/>
          <w:sz w:val="24"/>
        </w:rPr>
        <w:t>目的地，所发生的车费由中标供应商负责。如车辆在行使途中发生故障排除或发生交通事故超过</w:t>
      </w:r>
      <w:r>
        <w:rPr>
          <w:rFonts w:ascii="宋体" w:hAnsi="宋体" w:cs="Arial"/>
          <w:color w:val="000000"/>
          <w:sz w:val="24"/>
        </w:rPr>
        <w:t>30分钟，当次车辆由中标供应商继续派出，并按原线路继续接载采购人人员。采购人部分人员可采取四</w:t>
      </w:r>
      <w:r>
        <w:rPr>
          <w:rFonts w:hint="eastAsia" w:ascii="宋体" w:hAnsi="宋体" w:cs="Arial"/>
          <w:color w:val="000000"/>
          <w:sz w:val="24"/>
        </w:rPr>
        <w:t>人辆</w:t>
      </w:r>
      <w:r>
        <w:rPr>
          <w:rFonts w:ascii="宋体" w:hAnsi="宋体" w:cs="Arial"/>
          <w:color w:val="000000"/>
          <w:sz w:val="24"/>
        </w:rPr>
        <w:t>/</w:t>
      </w:r>
      <w:r>
        <w:rPr>
          <w:rFonts w:hint="eastAsia" w:ascii="宋体" w:hAnsi="宋体" w:cs="Arial"/>
          <w:color w:val="000000"/>
          <w:sz w:val="24"/>
        </w:rPr>
        <w:t>次座出租车回目的地，所发生的车费由中标供应商负责。</w:t>
      </w:r>
    </w:p>
    <w:p>
      <w:pPr>
        <w:pStyle w:val="130"/>
        <w:widowControl w:val="0"/>
        <w:numPr>
          <w:ilvl w:val="0"/>
          <w:numId w:val="11"/>
        </w:numPr>
        <w:tabs>
          <w:tab w:val="left" w:pos="840"/>
          <w:tab w:val="left" w:pos="3969"/>
          <w:tab w:val="left" w:pos="4395"/>
          <w:tab w:val="left" w:pos="4536"/>
          <w:tab w:val="left" w:pos="4678"/>
        </w:tabs>
        <w:spacing w:before="120" w:beforeLines="50" w:line="360" w:lineRule="auto"/>
        <w:ind w:left="681" w:hanging="454"/>
        <w:jc w:val="center"/>
        <w:rPr>
          <w:rFonts w:ascii="宋体" w:hAnsi="宋体"/>
          <w:b/>
          <w:color w:val="000000"/>
          <w:sz w:val="24"/>
        </w:rPr>
      </w:pPr>
      <w:r>
        <w:rPr>
          <w:rFonts w:hint="eastAsia" w:ascii="宋体" w:hAnsi="宋体"/>
          <w:b/>
          <w:color w:val="000000"/>
          <w:sz w:val="24"/>
        </w:rPr>
        <w:t>不可抗力</w:t>
      </w:r>
    </w:p>
    <w:p>
      <w:pPr>
        <w:pStyle w:val="130"/>
        <w:widowControl w:val="0"/>
        <w:numPr>
          <w:ilvl w:val="0"/>
          <w:numId w:val="12"/>
        </w:numPr>
        <w:tabs>
          <w:tab w:val="left" w:pos="840"/>
          <w:tab w:val="left" w:pos="993"/>
        </w:tabs>
        <w:spacing w:line="360" w:lineRule="auto"/>
        <w:ind w:left="0" w:firstLine="0"/>
        <w:jc w:val="both"/>
        <w:rPr>
          <w:rFonts w:ascii="宋体" w:hAnsi="宋体"/>
          <w:color w:val="000000"/>
          <w:sz w:val="24"/>
        </w:rPr>
      </w:pPr>
      <w:r>
        <w:rPr>
          <w:rFonts w:hint="eastAsia" w:ascii="宋体" w:hAnsi="宋体"/>
          <w:color w:val="000000"/>
          <w:sz w:val="24"/>
        </w:rPr>
        <w:t>不可抗力指战争、严重火灾、洪水、台风、地震等或其他双方认定的不可抗力事件。甲乙双方的任何一方由于不可抗力的原因不能履行或不能完全履行合同时，应尽快向对方通报理由，在提供相应证明后，可允许延期履行、部分履行或不履行，并可根据情况部分或全部免于承担违约责任。</w:t>
      </w:r>
    </w:p>
    <w:p>
      <w:pPr>
        <w:pStyle w:val="130"/>
        <w:widowControl w:val="0"/>
        <w:numPr>
          <w:ilvl w:val="0"/>
          <w:numId w:val="11"/>
        </w:numPr>
        <w:tabs>
          <w:tab w:val="left" w:pos="840"/>
          <w:tab w:val="left" w:pos="3969"/>
          <w:tab w:val="left" w:pos="4395"/>
          <w:tab w:val="left" w:pos="4536"/>
          <w:tab w:val="left" w:pos="4678"/>
        </w:tabs>
        <w:spacing w:before="120" w:beforeLines="50" w:line="360" w:lineRule="auto"/>
        <w:ind w:left="681" w:hanging="454"/>
        <w:jc w:val="center"/>
        <w:rPr>
          <w:rFonts w:ascii="宋体" w:hAnsi="宋体"/>
          <w:b/>
          <w:color w:val="000000"/>
          <w:sz w:val="24"/>
        </w:rPr>
      </w:pPr>
      <w:r>
        <w:rPr>
          <w:rFonts w:hint="eastAsia" w:ascii="宋体" w:hAnsi="宋体"/>
          <w:b/>
          <w:color w:val="000000"/>
          <w:sz w:val="24"/>
        </w:rPr>
        <w:t>争议及解决办法</w:t>
      </w:r>
    </w:p>
    <w:p>
      <w:pPr>
        <w:pStyle w:val="130"/>
        <w:widowControl w:val="0"/>
        <w:numPr>
          <w:ilvl w:val="0"/>
          <w:numId w:val="12"/>
        </w:numPr>
        <w:tabs>
          <w:tab w:val="left" w:pos="840"/>
          <w:tab w:val="left" w:pos="993"/>
        </w:tabs>
        <w:spacing w:line="360" w:lineRule="auto"/>
        <w:ind w:left="0" w:firstLine="0"/>
        <w:jc w:val="both"/>
        <w:rPr>
          <w:rFonts w:ascii="宋体" w:hAnsi="宋体"/>
          <w:color w:val="auto"/>
          <w:sz w:val="24"/>
        </w:rPr>
      </w:pPr>
      <w:r>
        <w:rPr>
          <w:rFonts w:hint="eastAsia" w:ascii="宋体" w:hAnsi="宋体"/>
          <w:color w:val="000000"/>
          <w:sz w:val="24"/>
        </w:rPr>
        <w:t>本</w:t>
      </w:r>
      <w:r>
        <w:rPr>
          <w:rFonts w:hint="eastAsia" w:ascii="宋体" w:hAnsi="宋体"/>
          <w:color w:val="auto"/>
          <w:sz w:val="24"/>
        </w:rPr>
        <w:t>合同发生争议，由双方协商或由政府采购监管部门调解解决，协商或调解不成时按以下第</w:t>
      </w:r>
      <w:r>
        <w:rPr>
          <w:rFonts w:hint="eastAsia" w:ascii="宋体" w:hAnsi="宋体"/>
          <w:color w:val="auto"/>
          <w:sz w:val="24"/>
          <w:u w:val="single"/>
        </w:rPr>
        <w:t xml:space="preserve">     </w:t>
      </w:r>
      <w:r>
        <w:rPr>
          <w:rFonts w:hint="eastAsia" w:ascii="宋体" w:hAnsi="宋体"/>
          <w:color w:val="auto"/>
          <w:sz w:val="24"/>
        </w:rPr>
        <w:t>种方式解决（请选择）：</w:t>
      </w:r>
    </w:p>
    <w:p>
      <w:pPr>
        <w:pStyle w:val="130"/>
        <w:numPr>
          <w:ilvl w:val="2"/>
          <w:numId w:val="13"/>
        </w:numPr>
        <w:spacing w:line="360" w:lineRule="auto"/>
        <w:ind w:left="420" w:firstLine="0"/>
        <w:rPr>
          <w:rFonts w:ascii="宋体" w:hAnsi="宋体"/>
          <w:color w:val="auto"/>
          <w:sz w:val="24"/>
        </w:rPr>
      </w:pPr>
      <w:r>
        <w:rPr>
          <w:rFonts w:hint="eastAsia" w:ascii="宋体" w:hAnsi="宋体" w:cs="Arial"/>
          <w:color w:val="auto"/>
          <w:sz w:val="24"/>
          <w:lang w:eastAsia="zh-CN"/>
        </w:rPr>
        <w:t>河池市</w:t>
      </w:r>
      <w:r>
        <w:rPr>
          <w:rFonts w:hint="eastAsia" w:ascii="宋体" w:hAnsi="宋体" w:cs="Arial"/>
          <w:color w:val="auto"/>
          <w:sz w:val="24"/>
        </w:rPr>
        <w:t>仲裁委员会仲裁</w:t>
      </w:r>
      <w:r>
        <w:rPr>
          <w:rFonts w:hint="eastAsia" w:ascii="宋体" w:hAnsi="宋体"/>
          <w:color w:val="auto"/>
          <w:sz w:val="24"/>
        </w:rPr>
        <w:t>；</w:t>
      </w:r>
    </w:p>
    <w:p>
      <w:pPr>
        <w:pStyle w:val="130"/>
        <w:numPr>
          <w:ilvl w:val="2"/>
          <w:numId w:val="13"/>
        </w:numPr>
        <w:tabs>
          <w:tab w:val="left" w:pos="964"/>
        </w:tabs>
        <w:spacing w:line="360" w:lineRule="auto"/>
        <w:ind w:left="420" w:firstLine="0"/>
        <w:rPr>
          <w:rFonts w:ascii="宋体" w:hAnsi="宋体" w:cs="Arial"/>
          <w:color w:val="auto"/>
          <w:sz w:val="24"/>
        </w:rPr>
      </w:pPr>
      <w:r>
        <w:rPr>
          <w:rFonts w:hint="eastAsia" w:ascii="宋体" w:hAnsi="宋体"/>
          <w:color w:val="auto"/>
          <w:sz w:val="24"/>
        </w:rPr>
        <w:t>向甲方所在地人民法院提起诉讼</w:t>
      </w:r>
      <w:r>
        <w:rPr>
          <w:rFonts w:hint="eastAsia" w:ascii="宋体" w:hAnsi="宋体" w:cs="Arial"/>
          <w:color w:val="auto"/>
          <w:sz w:val="24"/>
        </w:rPr>
        <w:t>。</w:t>
      </w:r>
    </w:p>
    <w:p>
      <w:pPr>
        <w:pStyle w:val="130"/>
        <w:widowControl w:val="0"/>
        <w:numPr>
          <w:ilvl w:val="0"/>
          <w:numId w:val="11"/>
        </w:numPr>
        <w:tabs>
          <w:tab w:val="left" w:pos="840"/>
          <w:tab w:val="left" w:pos="3969"/>
          <w:tab w:val="left" w:pos="4395"/>
          <w:tab w:val="left" w:pos="4536"/>
          <w:tab w:val="left" w:pos="4678"/>
        </w:tabs>
        <w:spacing w:before="120" w:beforeLines="50" w:line="360" w:lineRule="auto"/>
        <w:ind w:left="681" w:hanging="454"/>
        <w:jc w:val="center"/>
        <w:rPr>
          <w:rFonts w:ascii="宋体" w:hAnsi="宋体"/>
          <w:b/>
          <w:color w:val="000000"/>
          <w:sz w:val="24"/>
        </w:rPr>
      </w:pPr>
      <w:r>
        <w:rPr>
          <w:rFonts w:hint="eastAsia" w:ascii="宋体" w:hAnsi="宋体"/>
          <w:b/>
          <w:color w:val="000000"/>
          <w:sz w:val="24"/>
        </w:rPr>
        <w:t>其   他</w:t>
      </w:r>
    </w:p>
    <w:p>
      <w:pPr>
        <w:pStyle w:val="130"/>
        <w:widowControl w:val="0"/>
        <w:numPr>
          <w:ilvl w:val="0"/>
          <w:numId w:val="12"/>
        </w:numPr>
        <w:tabs>
          <w:tab w:val="left" w:pos="840"/>
          <w:tab w:val="left" w:pos="993"/>
        </w:tabs>
        <w:spacing w:line="360" w:lineRule="auto"/>
        <w:ind w:left="0" w:firstLine="0"/>
        <w:jc w:val="both"/>
        <w:rPr>
          <w:rFonts w:ascii="宋体" w:hAnsi="宋体"/>
          <w:color w:val="000000"/>
          <w:sz w:val="24"/>
        </w:rPr>
      </w:pPr>
      <w:r>
        <w:rPr>
          <w:rFonts w:hint="eastAsia" w:ascii="宋体" w:hAnsi="宋体"/>
          <w:color w:val="000000"/>
          <w:sz w:val="24"/>
        </w:rPr>
        <w:t>本合同一式</w:t>
      </w:r>
      <w:r>
        <w:rPr>
          <w:rFonts w:hint="eastAsia" w:ascii="宋体" w:hAnsi="宋体"/>
          <w:color w:val="000000"/>
          <w:sz w:val="24"/>
          <w:u w:val="single"/>
        </w:rPr>
        <w:t xml:space="preserve">   </w:t>
      </w:r>
      <w:r>
        <w:rPr>
          <w:rFonts w:hint="eastAsia" w:ascii="宋体" w:hAnsi="宋体"/>
          <w:color w:val="000000"/>
          <w:sz w:val="24"/>
        </w:rPr>
        <w:t>份，具有同等效力，甲、乙双方各执</w:t>
      </w:r>
      <w:r>
        <w:rPr>
          <w:rFonts w:hint="eastAsia" w:ascii="宋体" w:hAnsi="宋体"/>
          <w:color w:val="000000"/>
          <w:sz w:val="24"/>
          <w:u w:val="single"/>
        </w:rPr>
        <w:t xml:space="preserve">    </w:t>
      </w:r>
      <w:r>
        <w:rPr>
          <w:rFonts w:hint="eastAsia" w:ascii="宋体" w:hAnsi="宋体"/>
          <w:color w:val="000000"/>
          <w:sz w:val="24"/>
        </w:rPr>
        <w:t>份，政府采购监管部门一份， **</w:t>
      </w:r>
      <w:r>
        <w:rPr>
          <w:rFonts w:hint="eastAsia" w:ascii="宋体" w:hAnsi="宋体"/>
          <w:color w:val="000000"/>
          <w:sz w:val="24"/>
          <w:u w:val="single"/>
        </w:rPr>
        <w:t xml:space="preserve">                  </w:t>
      </w:r>
      <w:r>
        <w:rPr>
          <w:rFonts w:hint="eastAsia" w:ascii="宋体" w:hAnsi="宋体"/>
          <w:color w:val="000000"/>
          <w:sz w:val="24"/>
          <w:lang w:eastAsia="zh-CN"/>
        </w:rPr>
        <w:t>招标代理机构</w:t>
      </w:r>
      <w:r>
        <w:rPr>
          <w:rFonts w:hint="eastAsia" w:ascii="宋体" w:hAnsi="宋体"/>
          <w:color w:val="000000"/>
          <w:sz w:val="24"/>
        </w:rPr>
        <w:t>一份。合同自双方法定代表人或委托代理人签字并加盖公章之日起生效。</w:t>
      </w:r>
    </w:p>
    <w:p>
      <w:pPr>
        <w:pStyle w:val="130"/>
        <w:widowControl w:val="0"/>
        <w:numPr>
          <w:ilvl w:val="0"/>
          <w:numId w:val="12"/>
        </w:numPr>
        <w:tabs>
          <w:tab w:val="left" w:pos="840"/>
          <w:tab w:val="left" w:pos="993"/>
        </w:tabs>
        <w:spacing w:line="360" w:lineRule="auto"/>
        <w:ind w:left="0" w:firstLine="0"/>
        <w:jc w:val="both"/>
        <w:rPr>
          <w:rFonts w:ascii="宋体" w:hAnsi="宋体"/>
          <w:color w:val="000000"/>
          <w:sz w:val="24"/>
        </w:rPr>
      </w:pPr>
      <w:r>
        <w:rPr>
          <w:rFonts w:hint="eastAsia" w:ascii="宋体" w:hAnsi="宋体"/>
          <w:color w:val="000000"/>
          <w:sz w:val="24"/>
        </w:rPr>
        <w:t>本合同未尽事宜，由双方协商处理。</w:t>
      </w:r>
    </w:p>
    <w:p>
      <w:pPr>
        <w:pStyle w:val="130"/>
        <w:spacing w:line="360" w:lineRule="auto"/>
        <w:rPr>
          <w:rFonts w:ascii="宋体" w:hAnsi="宋体" w:cs="Arial"/>
          <w:color w:val="000000"/>
          <w:sz w:val="24"/>
        </w:rPr>
      </w:pPr>
    </w:p>
    <w:tbl>
      <w:tblPr>
        <w:tblStyle w:val="45"/>
        <w:tblW w:w="9072" w:type="dxa"/>
        <w:jc w:val="center"/>
        <w:tblLayout w:type="fixed"/>
        <w:tblCellMar>
          <w:top w:w="0" w:type="dxa"/>
          <w:left w:w="108" w:type="dxa"/>
          <w:bottom w:w="0" w:type="dxa"/>
          <w:right w:w="108" w:type="dxa"/>
        </w:tblCellMar>
      </w:tblPr>
      <w:tblGrid>
        <w:gridCol w:w="1390"/>
        <w:gridCol w:w="3146"/>
        <w:gridCol w:w="1390"/>
        <w:gridCol w:w="3146"/>
      </w:tblGrid>
      <w:tr>
        <w:tblPrEx>
          <w:tblCellMar>
            <w:top w:w="0" w:type="dxa"/>
            <w:left w:w="108" w:type="dxa"/>
            <w:bottom w:w="0" w:type="dxa"/>
            <w:right w:w="108" w:type="dxa"/>
          </w:tblCellMar>
        </w:tblPrEx>
        <w:trPr>
          <w:trHeight w:val="567" w:hRule="atLeast"/>
          <w:jc w:val="center"/>
        </w:trPr>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甲方名称：</w:t>
            </w:r>
          </w:p>
        </w:tc>
        <w:tc>
          <w:tcPr>
            <w:tcW w:w="3146" w:type="dxa"/>
            <w:noWrap w:val="0"/>
            <w:vAlign w:val="top"/>
          </w:tcPr>
          <w:p>
            <w:pPr>
              <w:pStyle w:val="130"/>
              <w:spacing w:line="276" w:lineRule="auto"/>
              <w:jc w:val="right"/>
              <w:rPr>
                <w:rFonts w:ascii="宋体" w:hAnsi="宋体" w:cs="Arial"/>
                <w:color w:val="000000"/>
                <w:sz w:val="24"/>
              </w:rPr>
            </w:pPr>
            <w:r>
              <w:rPr>
                <w:rFonts w:hint="eastAsia" w:ascii="宋体" w:hAnsi="宋体" w:cs="Arial"/>
                <w:color w:val="000000"/>
                <w:sz w:val="24"/>
              </w:rPr>
              <w:t>（盖章）</w:t>
            </w:r>
          </w:p>
        </w:tc>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乙方名称：</w:t>
            </w:r>
          </w:p>
        </w:tc>
        <w:tc>
          <w:tcPr>
            <w:tcW w:w="3146" w:type="dxa"/>
            <w:noWrap w:val="0"/>
            <w:vAlign w:val="top"/>
          </w:tcPr>
          <w:p>
            <w:pPr>
              <w:pStyle w:val="130"/>
              <w:spacing w:line="276" w:lineRule="auto"/>
              <w:jc w:val="right"/>
              <w:rPr>
                <w:rFonts w:ascii="宋体" w:hAnsi="宋体" w:cs="Arial"/>
                <w:color w:val="000000"/>
                <w:sz w:val="24"/>
              </w:rPr>
            </w:pPr>
            <w:r>
              <w:rPr>
                <w:rFonts w:hint="eastAsia" w:ascii="宋体" w:hAnsi="宋体" w:cs="Arial"/>
                <w:color w:val="000000"/>
                <w:sz w:val="24"/>
              </w:rPr>
              <w:t>（盖章）</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法定代表人：</w:t>
            </w:r>
          </w:p>
        </w:tc>
        <w:tc>
          <w:tcPr>
            <w:tcW w:w="3146" w:type="dxa"/>
            <w:noWrap w:val="0"/>
            <w:vAlign w:val="top"/>
          </w:tcPr>
          <w:p>
            <w:pPr>
              <w:pStyle w:val="130"/>
              <w:spacing w:line="276" w:lineRule="auto"/>
              <w:jc w:val="right"/>
              <w:rPr>
                <w:rFonts w:ascii="宋体" w:hAnsi="宋体" w:cs="Arial"/>
                <w:color w:val="000000"/>
                <w:sz w:val="24"/>
              </w:rPr>
            </w:pPr>
          </w:p>
        </w:tc>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法定代表人：</w:t>
            </w:r>
          </w:p>
        </w:tc>
        <w:tc>
          <w:tcPr>
            <w:tcW w:w="3146" w:type="dxa"/>
            <w:noWrap w:val="0"/>
            <w:vAlign w:val="top"/>
          </w:tcPr>
          <w:p>
            <w:pPr>
              <w:pStyle w:val="130"/>
              <w:spacing w:line="276" w:lineRule="auto"/>
              <w:jc w:val="right"/>
              <w:rPr>
                <w:rFonts w:ascii="宋体" w:hAnsi="宋体" w:cs="Arial"/>
                <w:color w:val="000000"/>
                <w:sz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或委托代理人：</w:t>
            </w:r>
          </w:p>
        </w:tc>
        <w:tc>
          <w:tcPr>
            <w:tcW w:w="3146" w:type="dxa"/>
            <w:noWrap w:val="0"/>
            <w:vAlign w:val="top"/>
          </w:tcPr>
          <w:p>
            <w:pPr>
              <w:pStyle w:val="130"/>
              <w:spacing w:line="276" w:lineRule="auto"/>
              <w:rPr>
                <w:rFonts w:ascii="宋体" w:hAnsi="宋体" w:cs="Arial"/>
                <w:color w:val="000000"/>
                <w:sz w:val="24"/>
              </w:rPr>
            </w:pPr>
          </w:p>
        </w:tc>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或委托代理人：</w:t>
            </w:r>
          </w:p>
        </w:tc>
        <w:tc>
          <w:tcPr>
            <w:tcW w:w="3146" w:type="dxa"/>
            <w:noWrap w:val="0"/>
            <w:vAlign w:val="top"/>
          </w:tcPr>
          <w:p>
            <w:pPr>
              <w:pStyle w:val="130"/>
              <w:spacing w:line="276" w:lineRule="auto"/>
              <w:rPr>
                <w:rFonts w:ascii="宋体" w:hAnsi="宋体" w:cs="Arial"/>
                <w:color w:val="000000"/>
                <w:sz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地    址：</w:t>
            </w:r>
          </w:p>
        </w:tc>
        <w:tc>
          <w:tcPr>
            <w:tcW w:w="3146" w:type="dxa"/>
            <w:noWrap w:val="0"/>
            <w:vAlign w:val="top"/>
          </w:tcPr>
          <w:p>
            <w:pPr>
              <w:pStyle w:val="130"/>
              <w:spacing w:line="276" w:lineRule="auto"/>
              <w:rPr>
                <w:rFonts w:ascii="宋体" w:hAnsi="宋体" w:cs="Arial"/>
                <w:color w:val="000000"/>
                <w:sz w:val="24"/>
              </w:rPr>
            </w:pPr>
          </w:p>
        </w:tc>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地    址：</w:t>
            </w:r>
          </w:p>
        </w:tc>
        <w:tc>
          <w:tcPr>
            <w:tcW w:w="3146" w:type="dxa"/>
            <w:noWrap w:val="0"/>
            <w:vAlign w:val="top"/>
          </w:tcPr>
          <w:p>
            <w:pPr>
              <w:pStyle w:val="130"/>
              <w:spacing w:line="276" w:lineRule="auto"/>
              <w:rPr>
                <w:rFonts w:ascii="宋体" w:hAnsi="宋体" w:cs="Arial"/>
                <w:color w:val="000000"/>
                <w:sz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电    话：</w:t>
            </w:r>
          </w:p>
        </w:tc>
        <w:tc>
          <w:tcPr>
            <w:tcW w:w="3146" w:type="dxa"/>
            <w:noWrap w:val="0"/>
            <w:vAlign w:val="top"/>
          </w:tcPr>
          <w:p>
            <w:pPr>
              <w:pStyle w:val="130"/>
              <w:spacing w:line="276" w:lineRule="auto"/>
              <w:rPr>
                <w:rFonts w:ascii="宋体" w:hAnsi="宋体" w:cs="Arial"/>
                <w:color w:val="000000"/>
                <w:sz w:val="24"/>
              </w:rPr>
            </w:pPr>
          </w:p>
        </w:tc>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电    话：</w:t>
            </w:r>
          </w:p>
        </w:tc>
        <w:tc>
          <w:tcPr>
            <w:tcW w:w="3146" w:type="dxa"/>
            <w:noWrap w:val="0"/>
            <w:vAlign w:val="top"/>
          </w:tcPr>
          <w:p>
            <w:pPr>
              <w:pStyle w:val="130"/>
              <w:spacing w:line="276" w:lineRule="auto"/>
              <w:rPr>
                <w:rFonts w:ascii="宋体" w:hAnsi="宋体" w:cs="Arial"/>
                <w:color w:val="000000"/>
                <w:sz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传    真：</w:t>
            </w:r>
          </w:p>
        </w:tc>
        <w:tc>
          <w:tcPr>
            <w:tcW w:w="3146" w:type="dxa"/>
            <w:noWrap w:val="0"/>
            <w:vAlign w:val="top"/>
          </w:tcPr>
          <w:p>
            <w:pPr>
              <w:pStyle w:val="130"/>
              <w:spacing w:line="276" w:lineRule="auto"/>
              <w:rPr>
                <w:rFonts w:ascii="宋体" w:hAnsi="宋体" w:cs="Arial"/>
                <w:color w:val="000000"/>
                <w:sz w:val="24"/>
              </w:rPr>
            </w:pPr>
          </w:p>
        </w:tc>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传    真：</w:t>
            </w:r>
          </w:p>
        </w:tc>
        <w:tc>
          <w:tcPr>
            <w:tcW w:w="3146" w:type="dxa"/>
            <w:noWrap w:val="0"/>
            <w:vAlign w:val="top"/>
          </w:tcPr>
          <w:p>
            <w:pPr>
              <w:pStyle w:val="130"/>
              <w:spacing w:line="276" w:lineRule="auto"/>
              <w:rPr>
                <w:rFonts w:ascii="宋体" w:hAnsi="宋体" w:cs="Arial"/>
                <w:color w:val="000000"/>
                <w:sz w:val="24"/>
              </w:rPr>
            </w:pP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签约日期：</w:t>
            </w:r>
          </w:p>
        </w:tc>
        <w:tc>
          <w:tcPr>
            <w:tcW w:w="3146" w:type="dxa"/>
            <w:noWrap w:val="0"/>
            <w:vAlign w:val="top"/>
          </w:tcPr>
          <w:p>
            <w:pPr>
              <w:pStyle w:val="130"/>
              <w:spacing w:line="276" w:lineRule="auto"/>
              <w:ind w:firstLine="360" w:firstLineChars="150"/>
              <w:rPr>
                <w:rFonts w:ascii="宋体" w:hAnsi="宋体" w:cs="Arial"/>
                <w:color w:val="000000"/>
                <w:sz w:val="24"/>
              </w:rPr>
            </w:pPr>
            <w:r>
              <w:rPr>
                <w:rFonts w:hint="eastAsia" w:ascii="宋体" w:hAnsi="宋体" w:cs="Arial"/>
                <w:color w:val="000000"/>
                <w:sz w:val="24"/>
              </w:rPr>
              <w:t>年   月   日</w:t>
            </w:r>
          </w:p>
        </w:tc>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签约日期：</w:t>
            </w:r>
          </w:p>
        </w:tc>
        <w:tc>
          <w:tcPr>
            <w:tcW w:w="3146" w:type="dxa"/>
            <w:noWrap w:val="0"/>
            <w:vAlign w:val="top"/>
          </w:tcPr>
          <w:p>
            <w:pPr>
              <w:pStyle w:val="130"/>
              <w:spacing w:line="276" w:lineRule="auto"/>
              <w:ind w:firstLine="360" w:firstLineChars="150"/>
              <w:rPr>
                <w:rFonts w:ascii="宋体" w:hAnsi="宋体" w:cs="Arial"/>
                <w:color w:val="000000"/>
                <w:sz w:val="24"/>
              </w:rPr>
            </w:pPr>
            <w:r>
              <w:rPr>
                <w:rFonts w:hint="eastAsia" w:ascii="宋体" w:hAnsi="宋体" w:cs="Arial"/>
                <w:color w:val="000000"/>
                <w:sz w:val="24"/>
              </w:rPr>
              <w:t xml:space="preserve">  年   月   日</w:t>
            </w:r>
          </w:p>
        </w:tc>
      </w:tr>
      <w:tr>
        <w:tblPrEx>
          <w:tblCellMar>
            <w:top w:w="0" w:type="dxa"/>
            <w:left w:w="108" w:type="dxa"/>
            <w:bottom w:w="0" w:type="dxa"/>
            <w:right w:w="108" w:type="dxa"/>
          </w:tblCellMar>
        </w:tblPrEx>
        <w:trPr>
          <w:trHeight w:val="567" w:hRule="atLeast"/>
          <w:jc w:val="center"/>
        </w:trPr>
        <w:tc>
          <w:tcPr>
            <w:tcW w:w="1390" w:type="dxa"/>
            <w:noWrap w:val="0"/>
            <w:vAlign w:val="top"/>
          </w:tcPr>
          <w:p>
            <w:pPr>
              <w:pStyle w:val="130"/>
              <w:spacing w:line="276" w:lineRule="auto"/>
              <w:rPr>
                <w:rFonts w:ascii="宋体" w:hAnsi="宋体" w:cs="Arial"/>
                <w:b/>
                <w:color w:val="000000"/>
                <w:sz w:val="24"/>
              </w:rPr>
            </w:pPr>
            <w:r>
              <w:rPr>
                <w:rFonts w:hint="eastAsia" w:ascii="宋体" w:hAnsi="宋体" w:cs="Arial"/>
                <w:b/>
                <w:color w:val="000000"/>
                <w:sz w:val="24"/>
              </w:rPr>
              <w:t>签约地点：</w:t>
            </w:r>
          </w:p>
        </w:tc>
        <w:tc>
          <w:tcPr>
            <w:tcW w:w="3146" w:type="dxa"/>
            <w:noWrap w:val="0"/>
            <w:vAlign w:val="top"/>
          </w:tcPr>
          <w:p>
            <w:pPr>
              <w:pStyle w:val="130"/>
              <w:spacing w:line="276" w:lineRule="auto"/>
              <w:ind w:firstLine="360" w:firstLineChars="150"/>
              <w:rPr>
                <w:rFonts w:ascii="宋体" w:hAnsi="宋体" w:cs="Arial"/>
                <w:color w:val="000000"/>
                <w:sz w:val="24"/>
              </w:rPr>
            </w:pPr>
          </w:p>
        </w:tc>
        <w:tc>
          <w:tcPr>
            <w:tcW w:w="1390" w:type="dxa"/>
            <w:noWrap w:val="0"/>
            <w:vAlign w:val="top"/>
          </w:tcPr>
          <w:p>
            <w:pPr>
              <w:pStyle w:val="130"/>
              <w:spacing w:line="276" w:lineRule="auto"/>
              <w:rPr>
                <w:rFonts w:ascii="宋体" w:hAnsi="宋体" w:cs="Arial"/>
                <w:b/>
                <w:color w:val="000000"/>
                <w:sz w:val="24"/>
              </w:rPr>
            </w:pPr>
          </w:p>
        </w:tc>
        <w:tc>
          <w:tcPr>
            <w:tcW w:w="3146" w:type="dxa"/>
            <w:noWrap w:val="0"/>
            <w:vAlign w:val="top"/>
          </w:tcPr>
          <w:p>
            <w:pPr>
              <w:pStyle w:val="130"/>
              <w:spacing w:line="276" w:lineRule="auto"/>
              <w:ind w:firstLine="360" w:firstLineChars="150"/>
              <w:rPr>
                <w:rFonts w:ascii="宋体" w:hAnsi="宋体" w:cs="Arial"/>
                <w:color w:val="000000"/>
                <w:sz w:val="24"/>
              </w:rPr>
            </w:pPr>
          </w:p>
        </w:tc>
      </w:tr>
    </w:tbl>
    <w:p>
      <w:pPr>
        <w:snapToGrid w:val="0"/>
        <w:jc w:val="center"/>
        <w:rPr>
          <w:rFonts w:ascii="宋体" w:hAnsi="宋体"/>
          <w:bCs/>
          <w:color w:val="auto"/>
          <w:sz w:val="32"/>
          <w:szCs w:val="32"/>
          <w:highlight w:val="none"/>
        </w:rPr>
      </w:pPr>
    </w:p>
    <w:p>
      <w:pPr>
        <w:snapToGrid w:val="0"/>
        <w:spacing w:line="480" w:lineRule="auto"/>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pStyle w:val="4"/>
        <w:jc w:val="center"/>
        <w:rPr>
          <w:rFonts w:hint="eastAsia"/>
          <w:color w:val="auto"/>
          <w:highlight w:val="none"/>
        </w:rPr>
      </w:pPr>
      <w:bookmarkStart w:id="128" w:name="_Toc9899"/>
      <w:r>
        <w:rPr>
          <w:rFonts w:hint="eastAsia"/>
          <w:color w:val="auto"/>
          <w:highlight w:val="none"/>
        </w:rPr>
        <w:t>第六章　投标文件格式</w:t>
      </w:r>
      <w:bookmarkEnd w:id="128"/>
    </w:p>
    <w:p>
      <w:pPr>
        <w:rPr>
          <w:rFonts w:hint="eastAsia"/>
          <w:b/>
          <w:color w:val="auto"/>
          <w:sz w:val="28"/>
          <w:szCs w:val="28"/>
          <w:highlight w:val="none"/>
        </w:rPr>
      </w:pPr>
      <w:bookmarkStart w:id="129" w:name="_Toc19686835"/>
      <w:bookmarkStart w:id="130" w:name="_Toc254970556"/>
      <w:bookmarkStart w:id="131" w:name="_Toc254970697"/>
      <w:r>
        <w:rPr>
          <w:rFonts w:hint="eastAsia"/>
          <w:b/>
          <w:color w:val="auto"/>
          <w:sz w:val="28"/>
          <w:szCs w:val="28"/>
          <w:highlight w:val="none"/>
        </w:rPr>
        <w:t>一、投标文件外层包装封面格式</w:t>
      </w:r>
      <w:bookmarkEnd w:id="129"/>
      <w:bookmarkEnd w:id="130"/>
      <w:bookmarkEnd w:id="131"/>
      <w:r>
        <w:rPr>
          <w:rFonts w:hint="eastAsia"/>
          <w:b/>
          <w:color w:val="auto"/>
          <w:sz w:val="28"/>
          <w:szCs w:val="28"/>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Cs/>
          <w:color w:val="auto"/>
          <w:sz w:val="24"/>
          <w:szCs w:val="20"/>
          <w:highlight w:val="none"/>
        </w:rPr>
      </w:pPr>
    </w:p>
    <w:p>
      <w:pPr>
        <w:snapToGrid w:val="0"/>
        <w:spacing w:before="120" w:beforeLines="50" w:after="50"/>
        <w:jc w:val="center"/>
        <w:rPr>
          <w:rFonts w:hint="eastAsia" w:ascii="宋体" w:hAnsi="宋体"/>
          <w:b/>
          <w:color w:val="auto"/>
          <w:sz w:val="32"/>
          <w:szCs w:val="32"/>
          <w:highlight w:val="none"/>
        </w:rPr>
      </w:pPr>
      <w:r>
        <w:rPr>
          <w:rFonts w:hint="eastAsia" w:ascii="宋体" w:hAnsi="宋体"/>
          <w:b/>
          <w:color w:val="auto"/>
          <w:sz w:val="32"/>
          <w:szCs w:val="32"/>
          <w:highlight w:val="none"/>
        </w:rPr>
        <w:t>投 标 文 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szCs w:val="20"/>
          <w:highlight w:val="none"/>
        </w:rPr>
      </w:pPr>
      <w:r>
        <w:rPr>
          <w:rFonts w:hint="eastAsia" w:ascii="宋体" w:hAnsi="宋体"/>
          <w:bCs/>
          <w:color w:val="auto"/>
          <w:sz w:val="24"/>
          <w:szCs w:val="20"/>
          <w:highlight w:val="none"/>
        </w:rPr>
        <w:t>投标人名称：</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rPr>
          <w:rFonts w:hint="eastAsia" w:ascii="宋体" w:hAnsi="宋体"/>
          <w:bCs/>
          <w:color w:val="auto"/>
          <w:sz w:val="24"/>
          <w:szCs w:val="20"/>
          <w:highlight w:val="none"/>
        </w:rPr>
      </w:pPr>
      <w:r>
        <w:rPr>
          <w:rFonts w:hint="eastAsia" w:ascii="宋体" w:hAnsi="宋体"/>
          <w:bCs/>
          <w:color w:val="auto"/>
          <w:sz w:val="24"/>
          <w:szCs w:val="20"/>
          <w:highlight w:val="none"/>
        </w:rPr>
        <w:t>投标人地址：</w:t>
      </w:r>
    </w:p>
    <w:p>
      <w:pPr>
        <w:snapToGrid w:val="0"/>
        <w:spacing w:before="120" w:beforeLines="50" w:after="50"/>
        <w:ind w:firstLine="360" w:firstLineChars="150"/>
        <w:rPr>
          <w:rFonts w:hint="eastAsia" w:ascii="宋体" w:hAnsi="宋体"/>
          <w:bCs/>
          <w:color w:val="auto"/>
          <w:sz w:val="24"/>
          <w:szCs w:val="20"/>
          <w:highlight w:val="none"/>
        </w:rPr>
      </w:pPr>
    </w:p>
    <w:p>
      <w:pPr>
        <w:snapToGrid w:val="0"/>
        <w:spacing w:before="120" w:beforeLines="50" w:after="50"/>
        <w:ind w:firstLine="360" w:firstLineChars="150"/>
        <w:jc w:val="center"/>
        <w:rPr>
          <w:rFonts w:hint="eastAsia" w:ascii="宋体" w:hAnsi="宋体"/>
          <w:bCs/>
          <w:color w:val="auto"/>
          <w:sz w:val="24"/>
          <w:highlight w:val="none"/>
        </w:rPr>
      </w:pPr>
      <w:r>
        <w:rPr>
          <w:rFonts w:hint="eastAsia" w:ascii="宋体" w:hAnsi="宋体"/>
          <w:bCs/>
          <w:color w:val="auto"/>
          <w:sz w:val="24"/>
          <w:szCs w:val="20"/>
          <w:highlight w:val="none"/>
        </w:rPr>
        <w:t>投标截止时间前不得启封</w:t>
      </w:r>
    </w:p>
    <w:p>
      <w:pPr>
        <w:snapToGrid w:val="0"/>
        <w:spacing w:before="120" w:beforeLines="50" w:after="50"/>
        <w:ind w:firstLine="4080" w:firstLineChars="1700"/>
        <w:rPr>
          <w:rFonts w:hint="eastAsia" w:ascii="宋体" w:hAnsi="宋体"/>
          <w:bCs/>
          <w:color w:val="auto"/>
          <w:sz w:val="24"/>
          <w:szCs w:val="20"/>
          <w:highlight w:val="none"/>
        </w:rPr>
      </w:pPr>
    </w:p>
    <w:p>
      <w:pPr>
        <w:snapToGrid w:val="0"/>
        <w:spacing w:before="120" w:beforeLines="50" w:after="50"/>
        <w:ind w:firstLine="645"/>
        <w:jc w:val="left"/>
        <w:rPr>
          <w:rFonts w:hint="eastAsia" w:ascii="宋体" w:hAnsi="宋体"/>
          <w:bCs/>
          <w:color w:val="auto"/>
          <w:sz w:val="24"/>
          <w:szCs w:val="20"/>
          <w:highlight w:val="none"/>
        </w:rPr>
      </w:pPr>
      <w:r>
        <w:rPr>
          <w:rFonts w:hint="eastAsia" w:ascii="宋体" w:hAnsi="宋体"/>
          <w:bCs/>
          <w:color w:val="auto"/>
          <w:sz w:val="24"/>
          <w:highlight w:val="none"/>
        </w:rPr>
        <w:t xml:space="preserve">                        年    月    日</w:t>
      </w:r>
    </w:p>
    <w:p>
      <w:pPr>
        <w:snapToGrid w:val="0"/>
        <w:spacing w:before="120" w:beforeLines="50" w:after="50"/>
        <w:jc w:val="center"/>
        <w:rPr>
          <w:rFonts w:hint="eastAsia" w:ascii="宋体" w:hAnsi="宋体"/>
          <w:color w:val="auto"/>
          <w:highlight w:val="none"/>
        </w:rPr>
      </w:pPr>
    </w:p>
    <w:p>
      <w:pPr>
        <w:snapToGrid w:val="0"/>
        <w:spacing w:before="120" w:beforeLines="50" w:after="50"/>
        <w:jc w:val="center"/>
        <w:rPr>
          <w:rFonts w:hint="eastAsia" w:ascii="宋体" w:hAnsi="宋体"/>
          <w:color w:val="auto"/>
          <w:highlight w:val="none"/>
        </w:rPr>
      </w:pPr>
    </w:p>
    <w:p>
      <w:pPr>
        <w:snapToGrid w:val="0"/>
        <w:spacing w:before="120" w:beforeLines="50" w:after="50"/>
        <w:jc w:val="center"/>
        <w:rPr>
          <w:rFonts w:hint="eastAsia" w:ascii="宋体" w:hAnsi="宋体"/>
          <w:color w:val="auto"/>
          <w:highlight w:val="none"/>
        </w:rPr>
      </w:pPr>
    </w:p>
    <w:p>
      <w:pPr>
        <w:snapToGrid w:val="0"/>
        <w:spacing w:before="120" w:beforeLines="50" w:after="50"/>
        <w:rPr>
          <w:rFonts w:hint="eastAsia" w:ascii="宋体" w:hAnsi="宋体"/>
          <w:color w:val="auto"/>
          <w:highlight w:val="none"/>
        </w:rPr>
      </w:pPr>
    </w:p>
    <w:p>
      <w:pPr>
        <w:snapToGrid w:val="0"/>
        <w:spacing w:before="120" w:beforeLines="50" w:after="50"/>
        <w:rPr>
          <w:rFonts w:hint="eastAsia" w:ascii="宋体" w:hAnsi="宋体"/>
          <w:color w:val="auto"/>
          <w:highlight w:val="none"/>
        </w:rPr>
      </w:pPr>
    </w:p>
    <w:p>
      <w:pPr>
        <w:rPr>
          <w:rFonts w:hint="eastAsia" w:ascii="宋体" w:hAnsi="宋体"/>
          <w:color w:val="auto"/>
          <w:highlight w:val="none"/>
        </w:rPr>
      </w:pPr>
    </w:p>
    <w:p>
      <w:pPr>
        <w:rPr>
          <w:rFonts w:hint="eastAsia"/>
          <w:b/>
          <w:color w:val="auto"/>
          <w:sz w:val="28"/>
          <w:szCs w:val="28"/>
          <w:highlight w:val="none"/>
        </w:rPr>
      </w:pPr>
      <w:bookmarkStart w:id="132" w:name="_Toc19686836"/>
      <w:bookmarkStart w:id="133" w:name="_Toc254970557"/>
      <w:bookmarkStart w:id="134" w:name="_Toc254970698"/>
    </w:p>
    <w:p>
      <w:pPr>
        <w:rPr>
          <w:rFonts w:hint="eastAsia"/>
          <w:b/>
          <w:color w:val="auto"/>
          <w:sz w:val="28"/>
          <w:szCs w:val="28"/>
          <w:highlight w:val="none"/>
        </w:rPr>
      </w:pPr>
      <w:r>
        <w:rPr>
          <w:rFonts w:hint="eastAsia"/>
          <w:b/>
          <w:color w:val="auto"/>
          <w:sz w:val="28"/>
          <w:szCs w:val="28"/>
          <w:highlight w:val="none"/>
        </w:rPr>
        <w:t>二、报价文件格式</w:t>
      </w:r>
      <w:bookmarkEnd w:id="132"/>
    </w:p>
    <w:p>
      <w:pPr>
        <w:snapToGrid w:val="0"/>
        <w:spacing w:before="120" w:beforeLines="50" w:after="50" w:line="360" w:lineRule="auto"/>
        <w:ind w:left="142"/>
        <w:jc w:val="left"/>
        <w:rPr>
          <w:rFonts w:hint="eastAsia"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20" w:beforeLines="50" w:after="50" w:line="400" w:lineRule="exact"/>
        <w:rPr>
          <w:rFonts w:hint="eastAsia" w:ascii="宋体" w:hAnsi="宋体"/>
          <w:bCs/>
          <w:color w:val="auto"/>
          <w:sz w:val="32"/>
          <w:szCs w:val="20"/>
          <w:highlight w:val="none"/>
        </w:rPr>
      </w:pPr>
      <w:r>
        <w:rPr>
          <w:rFonts w:hint="eastAsia" w:ascii="宋体" w:hAnsi="宋体"/>
          <w:color w:val="auto"/>
          <w:sz w:val="24"/>
          <w:highlight w:val="none"/>
        </w:rPr>
        <w:t xml:space="preserve">                                                    </w:t>
      </w:r>
      <w:r>
        <w:rPr>
          <w:rFonts w:hint="eastAsia" w:ascii="宋体" w:hAnsi="宋体"/>
          <w:bCs/>
          <w:color w:val="auto"/>
          <w:highlight w:val="none"/>
        </w:rPr>
        <w:t xml:space="preserve"> </w:t>
      </w:r>
    </w:p>
    <w:p>
      <w:pPr>
        <w:snapToGrid w:val="0"/>
        <w:spacing w:before="120" w:beforeLines="50" w:after="50" w:line="400" w:lineRule="exact"/>
        <w:jc w:val="center"/>
        <w:rPr>
          <w:rFonts w:hint="eastAsia" w:ascii="宋体" w:hAnsi="宋体"/>
          <w:bCs/>
          <w:color w:val="auto"/>
          <w:sz w:val="24"/>
          <w:szCs w:val="20"/>
          <w:highlight w:val="none"/>
        </w:rPr>
      </w:pPr>
    </w:p>
    <w:p>
      <w:pPr>
        <w:snapToGrid w:val="0"/>
        <w:spacing w:before="120" w:beforeLines="50" w:after="50" w:line="40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  标  文  件</w:t>
      </w:r>
    </w:p>
    <w:p>
      <w:pPr>
        <w:snapToGrid w:val="0"/>
        <w:spacing w:before="120" w:beforeLines="50" w:after="50" w:line="400" w:lineRule="exact"/>
        <w:jc w:val="center"/>
        <w:rPr>
          <w:rFonts w:hint="eastAsia" w:ascii="宋体" w:hAnsi="宋体"/>
          <w:bCs/>
          <w:color w:val="auto"/>
          <w:sz w:val="24"/>
          <w:szCs w:val="20"/>
          <w:highlight w:val="none"/>
        </w:rPr>
      </w:pPr>
    </w:p>
    <w:p>
      <w:pPr>
        <w:snapToGrid w:val="0"/>
        <w:spacing w:before="120" w:beforeLines="50" w:after="50" w:line="400" w:lineRule="exact"/>
        <w:jc w:val="center"/>
        <w:rPr>
          <w:rFonts w:hint="eastAsia" w:ascii="宋体" w:hAnsi="宋体"/>
          <w:bCs/>
          <w:color w:val="auto"/>
          <w:sz w:val="24"/>
          <w:szCs w:val="20"/>
          <w:highlight w:val="none"/>
        </w:rPr>
      </w:pPr>
    </w:p>
    <w:p>
      <w:pPr>
        <w:snapToGrid w:val="0"/>
        <w:spacing w:before="120" w:beforeLines="50" w:after="50" w:line="400" w:lineRule="exact"/>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报  价  文  件</w:t>
      </w: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pStyle w:val="10"/>
        <w:snapToGrid w:val="0"/>
        <w:spacing w:before="50" w:after="50" w:line="400" w:lineRule="exact"/>
        <w:ind w:firstLine="960" w:firstLineChars="400"/>
        <w:rPr>
          <w:rFonts w:hint="eastAsia" w:ascii="宋体" w:hAnsi="宋体"/>
          <w:bCs/>
          <w:color w:val="auto"/>
          <w:sz w:val="24"/>
          <w:szCs w:val="24"/>
          <w:highlight w:val="none"/>
        </w:rPr>
      </w:pPr>
    </w:p>
    <w:p>
      <w:pPr>
        <w:snapToGrid w:val="0"/>
        <w:spacing w:before="120" w:beforeLines="50" w:after="50" w:line="400" w:lineRule="exact"/>
        <w:rPr>
          <w:rFonts w:hint="eastAsia"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hint="eastAsia"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20" w:lineRule="exact"/>
        <w:jc w:val="center"/>
        <w:rPr>
          <w:rFonts w:hint="eastAsia"/>
          <w:b/>
          <w:color w:val="auto"/>
          <w:sz w:val="32"/>
          <w:szCs w:val="32"/>
          <w:highlight w:val="none"/>
        </w:rPr>
      </w:pPr>
      <w:r>
        <w:rPr>
          <w:rFonts w:hint="eastAsia"/>
          <w:b/>
          <w:color w:val="auto"/>
          <w:sz w:val="32"/>
          <w:szCs w:val="32"/>
          <w:highlight w:val="none"/>
        </w:rPr>
        <w:t>投 标 函</w:t>
      </w:r>
    </w:p>
    <w:p>
      <w:pPr>
        <w:snapToGrid w:val="0"/>
        <w:spacing w:before="120" w:beforeLines="50" w:after="50" w:line="320" w:lineRule="exact"/>
        <w:jc w:val="center"/>
        <w:rPr>
          <w:rFonts w:hint="eastAsia"/>
          <w:b/>
          <w:color w:val="auto"/>
          <w:sz w:val="24"/>
          <w:highlight w:val="none"/>
        </w:rPr>
      </w:pPr>
    </w:p>
    <w:p>
      <w:pPr>
        <w:autoSpaceDE w:val="0"/>
        <w:autoSpaceDN w:val="0"/>
        <w:snapToGrid w:val="0"/>
        <w:spacing w:line="440" w:lineRule="exact"/>
        <w:rPr>
          <w:rFonts w:hint="eastAsia"/>
          <w:color w:val="auto"/>
          <w:sz w:val="24"/>
          <w:highlight w:val="none"/>
        </w:rPr>
      </w:pPr>
      <w:r>
        <w:rPr>
          <w:rFonts w:hint="eastAsia"/>
          <w:color w:val="auto"/>
          <w:sz w:val="24"/>
          <w:highlight w:val="none"/>
        </w:rPr>
        <w:t>致：</w:t>
      </w:r>
      <w:r>
        <w:rPr>
          <w:rFonts w:hint="eastAsia"/>
          <w:color w:val="auto"/>
          <w:sz w:val="24"/>
          <w:highlight w:val="none"/>
          <w:u w:val="single"/>
          <w:lang w:eastAsia="zh-CN"/>
        </w:rPr>
        <w:t>广西德胜工程项目管理有限公司</w:t>
      </w:r>
      <w:r>
        <w:rPr>
          <w:rFonts w:hint="eastAsia"/>
          <w:color w:val="auto"/>
          <w:sz w:val="24"/>
          <w:highlight w:val="none"/>
        </w:rPr>
        <w:t>：</w:t>
      </w:r>
    </w:p>
    <w:p>
      <w:pPr>
        <w:autoSpaceDE w:val="0"/>
        <w:autoSpaceDN w:val="0"/>
        <w:snapToGrid w:val="0"/>
        <w:spacing w:line="440" w:lineRule="exact"/>
        <w:ind w:firstLine="480"/>
        <w:rPr>
          <w:rFonts w:hint="eastAsia"/>
          <w:color w:val="auto"/>
          <w:sz w:val="24"/>
          <w:highlight w:val="none"/>
        </w:rPr>
      </w:pPr>
      <w:r>
        <w:rPr>
          <w:rFonts w:hint="eastAsia"/>
          <w:color w:val="auto"/>
          <w:sz w:val="24"/>
          <w:highlight w:val="none"/>
        </w:rPr>
        <w:t>根据贵方为</w:t>
      </w:r>
      <w:r>
        <w:rPr>
          <w:rFonts w:hint="eastAsia"/>
          <w:color w:val="auto"/>
          <w:sz w:val="24"/>
          <w:highlight w:val="none"/>
          <w:u w:val="single"/>
        </w:rPr>
        <w:t xml:space="preserve">                        </w:t>
      </w:r>
      <w:r>
        <w:rPr>
          <w:rFonts w:hint="eastAsia"/>
          <w:color w:val="auto"/>
          <w:sz w:val="24"/>
          <w:highlight w:val="none"/>
        </w:rPr>
        <w:t>项目的招标文件（项目编号：</w:t>
      </w:r>
      <w:r>
        <w:rPr>
          <w:rFonts w:hint="eastAsia"/>
          <w:color w:val="auto"/>
          <w:sz w:val="24"/>
          <w:highlight w:val="none"/>
          <w:u w:val="single"/>
        </w:rPr>
        <w:t xml:space="preserve">       </w:t>
      </w:r>
      <w:r>
        <w:rPr>
          <w:rFonts w:hint="eastAsia"/>
          <w:color w:val="auto"/>
          <w:sz w:val="24"/>
          <w:highlight w:val="none"/>
        </w:rPr>
        <w:t>），签字代表</w:t>
      </w:r>
      <w:r>
        <w:rPr>
          <w:rFonts w:hint="eastAsia"/>
          <w:color w:val="auto"/>
          <w:sz w:val="24"/>
          <w:highlight w:val="none"/>
          <w:u w:val="single"/>
        </w:rPr>
        <w:t xml:space="preserve">            </w:t>
      </w:r>
      <w:r>
        <w:rPr>
          <w:rFonts w:hint="eastAsia"/>
          <w:color w:val="auto"/>
          <w:sz w:val="24"/>
          <w:highlight w:val="none"/>
        </w:rPr>
        <w:t>（全名）经正式授权并代表投标人</w:t>
      </w:r>
      <w:r>
        <w:rPr>
          <w:rFonts w:hint="eastAsia"/>
          <w:color w:val="auto"/>
          <w:sz w:val="24"/>
          <w:highlight w:val="none"/>
          <w:u w:val="single"/>
        </w:rPr>
        <w:t xml:space="preserve">                  </w:t>
      </w:r>
      <w:r>
        <w:rPr>
          <w:rFonts w:hint="eastAsia"/>
          <w:color w:val="auto"/>
          <w:sz w:val="24"/>
          <w:highlight w:val="none"/>
        </w:rPr>
        <w:t>（投标人名称、地址。如为联合体的，则联合体成员名称、地址）提交投标文件（包括报价文件、资格证明文件、商务文件、技术文件）。</w:t>
      </w:r>
    </w:p>
    <w:p>
      <w:pPr>
        <w:autoSpaceDE w:val="0"/>
        <w:autoSpaceDN w:val="0"/>
        <w:snapToGrid w:val="0"/>
        <w:spacing w:line="440" w:lineRule="exact"/>
        <w:ind w:firstLine="480" w:firstLineChars="200"/>
        <w:rPr>
          <w:rFonts w:hint="eastAsia"/>
          <w:color w:val="auto"/>
          <w:sz w:val="24"/>
          <w:highlight w:val="none"/>
        </w:rPr>
      </w:pPr>
      <w:r>
        <w:rPr>
          <w:rFonts w:hint="eastAsia"/>
          <w:color w:val="auto"/>
          <w:sz w:val="24"/>
          <w:highlight w:val="none"/>
        </w:rPr>
        <w:t>据此函，签字代表宣布同意如下：</w:t>
      </w:r>
    </w:p>
    <w:p>
      <w:pPr>
        <w:autoSpaceDE w:val="0"/>
        <w:autoSpaceDN w:val="0"/>
        <w:snapToGrid w:val="0"/>
        <w:spacing w:line="440" w:lineRule="exact"/>
        <w:ind w:firstLine="480" w:firstLineChars="200"/>
        <w:rPr>
          <w:rFonts w:hint="eastAsia"/>
          <w:color w:val="auto"/>
          <w:sz w:val="24"/>
          <w:highlight w:val="none"/>
        </w:rPr>
      </w:pPr>
      <w:r>
        <w:rPr>
          <w:rFonts w:hint="eastAsia"/>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autoSpaceDE w:val="0"/>
        <w:autoSpaceDN w:val="0"/>
        <w:snapToGrid w:val="0"/>
        <w:spacing w:line="440" w:lineRule="exact"/>
        <w:ind w:firstLine="480" w:firstLineChars="200"/>
        <w:rPr>
          <w:rFonts w:hint="eastAsia"/>
          <w:color w:val="auto"/>
          <w:sz w:val="24"/>
          <w:highlight w:val="none"/>
        </w:rPr>
      </w:pPr>
      <w:r>
        <w:rPr>
          <w:rFonts w:hint="eastAsia"/>
          <w:color w:val="auto"/>
          <w:sz w:val="24"/>
          <w:highlight w:val="none"/>
        </w:rPr>
        <w:t>2.投标人在投标之前已经与贵方进行了充分的沟通，完全理解并接受招标文件的各项规定和要求，对招标文件的合理性、合法性不再有异议。</w:t>
      </w:r>
    </w:p>
    <w:p>
      <w:pPr>
        <w:autoSpaceDE w:val="0"/>
        <w:autoSpaceDN w:val="0"/>
        <w:snapToGrid w:val="0"/>
        <w:spacing w:line="440" w:lineRule="exact"/>
        <w:ind w:firstLine="480" w:firstLineChars="200"/>
        <w:rPr>
          <w:rFonts w:hint="eastAsia"/>
          <w:color w:val="auto"/>
          <w:sz w:val="24"/>
          <w:highlight w:val="none"/>
        </w:rPr>
      </w:pPr>
      <w:r>
        <w:rPr>
          <w:rFonts w:hint="eastAsia"/>
          <w:color w:val="auto"/>
          <w:sz w:val="24"/>
          <w:highlight w:val="none"/>
        </w:rPr>
        <w:t>3.本投标有效期自投标截止之日起至政府采购合同签订之日止。</w:t>
      </w:r>
    </w:p>
    <w:p>
      <w:pPr>
        <w:autoSpaceDE w:val="0"/>
        <w:autoSpaceDN w:val="0"/>
        <w:snapToGrid w:val="0"/>
        <w:spacing w:line="440" w:lineRule="exact"/>
        <w:ind w:firstLine="480" w:firstLineChars="200"/>
        <w:rPr>
          <w:rFonts w:hint="eastAsia"/>
          <w:color w:val="auto"/>
          <w:sz w:val="24"/>
          <w:highlight w:val="none"/>
        </w:rPr>
      </w:pPr>
      <w:r>
        <w:rPr>
          <w:rFonts w:hint="eastAsia"/>
          <w:color w:val="auto"/>
          <w:sz w:val="24"/>
          <w:highlight w:val="none"/>
        </w:rPr>
        <w:t>4.如中标，本投标文件至本项目合同履行完毕止均保持有效，本投标人将按“招标文件”及政府采购法律、法规的规定履行合同责任和义务。</w:t>
      </w:r>
    </w:p>
    <w:p>
      <w:pPr>
        <w:autoSpaceDE w:val="0"/>
        <w:autoSpaceDN w:val="0"/>
        <w:snapToGrid w:val="0"/>
        <w:spacing w:line="440" w:lineRule="exact"/>
        <w:ind w:firstLine="480" w:firstLineChars="200"/>
        <w:rPr>
          <w:rFonts w:hint="eastAsia"/>
          <w:color w:val="auto"/>
          <w:sz w:val="24"/>
          <w:highlight w:val="none"/>
        </w:rPr>
      </w:pPr>
      <w:r>
        <w:rPr>
          <w:rFonts w:hint="eastAsia"/>
          <w:color w:val="auto"/>
          <w:sz w:val="24"/>
          <w:highlight w:val="none"/>
        </w:rPr>
        <w:t>5.投标人同意按照贵方要求提供与投标有关的一切数据或资料。</w:t>
      </w:r>
    </w:p>
    <w:p>
      <w:pPr>
        <w:autoSpaceDE w:val="0"/>
        <w:autoSpaceDN w:val="0"/>
        <w:snapToGrid w:val="0"/>
        <w:spacing w:line="440" w:lineRule="exact"/>
        <w:ind w:firstLine="480" w:firstLineChars="200"/>
        <w:rPr>
          <w:rFonts w:hint="eastAsia"/>
          <w:color w:val="auto"/>
          <w:sz w:val="24"/>
          <w:highlight w:val="none"/>
        </w:rPr>
      </w:pPr>
      <w:r>
        <w:rPr>
          <w:rFonts w:hint="eastAsia"/>
          <w:color w:val="auto"/>
          <w:sz w:val="24"/>
          <w:highlight w:val="none"/>
        </w:rPr>
        <w:t>6.与本投标有关的一切正式往来信函请寄：</w:t>
      </w:r>
    </w:p>
    <w:p>
      <w:pPr>
        <w:autoSpaceDE w:val="0"/>
        <w:autoSpaceDN w:val="0"/>
        <w:snapToGrid w:val="0"/>
        <w:spacing w:line="440" w:lineRule="exact"/>
        <w:rPr>
          <w:rFonts w:hint="eastAsia"/>
          <w:color w:val="auto"/>
          <w:sz w:val="24"/>
          <w:highlight w:val="none"/>
        </w:rPr>
      </w:pPr>
      <w:r>
        <w:rPr>
          <w:rFonts w:hint="eastAsia"/>
          <w:color w:val="auto"/>
          <w:sz w:val="24"/>
          <w:highlight w:val="none"/>
        </w:rPr>
        <w:t>地址：</w:t>
      </w:r>
      <w:r>
        <w:rPr>
          <w:rFonts w:hint="eastAsia"/>
          <w:color w:val="auto"/>
          <w:sz w:val="24"/>
          <w:highlight w:val="none"/>
          <w:u w:val="single"/>
        </w:rPr>
        <w:t xml:space="preserve">          </w:t>
      </w:r>
      <w:r>
        <w:rPr>
          <w:rFonts w:hint="eastAsia"/>
          <w:color w:val="auto"/>
          <w:sz w:val="24"/>
          <w:highlight w:val="none"/>
        </w:rPr>
        <w:t>邮编：</w:t>
      </w:r>
      <w:r>
        <w:rPr>
          <w:rFonts w:hint="eastAsia"/>
          <w:color w:val="auto"/>
          <w:sz w:val="24"/>
          <w:highlight w:val="none"/>
          <w:u w:val="single"/>
        </w:rPr>
        <w:t xml:space="preserve">            </w:t>
      </w:r>
      <w:r>
        <w:rPr>
          <w:rFonts w:hint="eastAsia"/>
          <w:color w:val="auto"/>
          <w:sz w:val="24"/>
          <w:highlight w:val="none"/>
        </w:rPr>
        <w:t>电话：</w:t>
      </w:r>
      <w:r>
        <w:rPr>
          <w:rFonts w:hint="eastAsia"/>
          <w:color w:val="auto"/>
          <w:sz w:val="24"/>
          <w:highlight w:val="none"/>
          <w:u w:val="single"/>
        </w:rPr>
        <w:t xml:space="preserve">        </w:t>
      </w:r>
    </w:p>
    <w:p>
      <w:pPr>
        <w:autoSpaceDE w:val="0"/>
        <w:autoSpaceDN w:val="0"/>
        <w:snapToGrid w:val="0"/>
        <w:spacing w:line="440" w:lineRule="exact"/>
        <w:rPr>
          <w:rFonts w:hint="eastAsia"/>
          <w:color w:val="auto"/>
          <w:sz w:val="24"/>
          <w:highlight w:val="none"/>
        </w:rPr>
      </w:pPr>
      <w:r>
        <w:rPr>
          <w:rFonts w:hint="eastAsia"/>
          <w:color w:val="auto"/>
          <w:sz w:val="24"/>
          <w:highlight w:val="none"/>
        </w:rPr>
        <w:t>传真：</w:t>
      </w:r>
      <w:r>
        <w:rPr>
          <w:rFonts w:hint="eastAsia"/>
          <w:color w:val="auto"/>
          <w:sz w:val="24"/>
          <w:highlight w:val="none"/>
          <w:u w:val="single"/>
        </w:rPr>
        <w:t xml:space="preserve">          </w:t>
      </w:r>
      <w:r>
        <w:rPr>
          <w:rFonts w:hint="eastAsia"/>
          <w:color w:val="auto"/>
          <w:sz w:val="24"/>
          <w:highlight w:val="none"/>
        </w:rPr>
        <w:t>投标人代表姓名</w:t>
      </w:r>
      <w:r>
        <w:rPr>
          <w:rFonts w:hint="eastAsia"/>
          <w:color w:val="auto"/>
          <w:sz w:val="24"/>
          <w:highlight w:val="none"/>
          <w:u w:val="single"/>
        </w:rPr>
        <w:t xml:space="preserve">         </w:t>
      </w:r>
      <w:r>
        <w:rPr>
          <w:rFonts w:hint="eastAsia"/>
          <w:color w:val="auto"/>
          <w:sz w:val="24"/>
          <w:highlight w:val="none"/>
        </w:rPr>
        <w:t>职务：</w:t>
      </w:r>
      <w:r>
        <w:rPr>
          <w:rFonts w:hint="eastAsia"/>
          <w:color w:val="auto"/>
          <w:sz w:val="24"/>
          <w:highlight w:val="none"/>
          <w:u w:val="single"/>
        </w:rPr>
        <w:t xml:space="preserve">          </w:t>
      </w:r>
    </w:p>
    <w:p>
      <w:pPr>
        <w:autoSpaceDE w:val="0"/>
        <w:autoSpaceDN w:val="0"/>
        <w:snapToGrid w:val="0"/>
        <w:spacing w:line="440" w:lineRule="exact"/>
        <w:rPr>
          <w:rFonts w:hint="eastAsia"/>
          <w:color w:val="auto"/>
          <w:sz w:val="24"/>
          <w:highlight w:val="none"/>
        </w:rPr>
      </w:pPr>
      <w:r>
        <w:rPr>
          <w:rFonts w:hint="eastAsia"/>
          <w:color w:val="auto"/>
          <w:sz w:val="24"/>
          <w:highlight w:val="none"/>
        </w:rPr>
        <w:t>投标人名称(公章):</w:t>
      </w:r>
      <w:r>
        <w:rPr>
          <w:rFonts w:hint="eastAsia"/>
          <w:color w:val="auto"/>
          <w:sz w:val="24"/>
          <w:highlight w:val="none"/>
          <w:u w:val="single"/>
        </w:rPr>
        <w:t xml:space="preserve">                </w:t>
      </w:r>
    </w:p>
    <w:p>
      <w:pPr>
        <w:autoSpaceDE w:val="0"/>
        <w:autoSpaceDN w:val="0"/>
        <w:snapToGrid w:val="0"/>
        <w:spacing w:line="440" w:lineRule="exact"/>
        <w:rPr>
          <w:rFonts w:hint="eastAsia"/>
          <w:color w:val="auto"/>
          <w:sz w:val="24"/>
          <w:highlight w:val="none"/>
        </w:rPr>
      </w:pPr>
      <w:r>
        <w:rPr>
          <w:rFonts w:hint="eastAsia"/>
          <w:color w:val="auto"/>
          <w:sz w:val="24"/>
          <w:highlight w:val="none"/>
        </w:rPr>
        <w:t>开户银行：</w:t>
      </w:r>
      <w:r>
        <w:rPr>
          <w:rFonts w:hint="eastAsia"/>
          <w:color w:val="auto"/>
          <w:sz w:val="24"/>
          <w:highlight w:val="none"/>
          <w:u w:val="single"/>
        </w:rPr>
        <w:t xml:space="preserve">                      </w:t>
      </w:r>
      <w:r>
        <w:rPr>
          <w:rFonts w:hint="eastAsia"/>
          <w:color w:val="auto"/>
          <w:sz w:val="24"/>
          <w:highlight w:val="none"/>
        </w:rPr>
        <w:t xml:space="preserve">   银行帐号：</w:t>
      </w:r>
      <w:r>
        <w:rPr>
          <w:rFonts w:hint="eastAsia"/>
          <w:color w:val="auto"/>
          <w:sz w:val="24"/>
          <w:highlight w:val="none"/>
          <w:u w:val="single"/>
        </w:rPr>
        <w:t xml:space="preserve">                    </w:t>
      </w:r>
      <w:r>
        <w:rPr>
          <w:rFonts w:hint="eastAsia"/>
          <w:color w:val="auto"/>
          <w:sz w:val="24"/>
          <w:highlight w:val="none"/>
        </w:rPr>
        <w:t xml:space="preserve"> </w:t>
      </w:r>
    </w:p>
    <w:p>
      <w:pPr>
        <w:autoSpaceDE w:val="0"/>
        <w:autoSpaceDN w:val="0"/>
        <w:snapToGrid w:val="0"/>
        <w:spacing w:line="440" w:lineRule="exact"/>
        <w:rPr>
          <w:rFonts w:hint="eastAsia"/>
          <w:color w:val="auto"/>
          <w:sz w:val="30"/>
          <w:highlight w:val="none"/>
        </w:rPr>
      </w:pPr>
      <w:r>
        <w:rPr>
          <w:rFonts w:hint="eastAsia"/>
          <w:color w:val="auto"/>
          <w:sz w:val="24"/>
          <w:highlight w:val="none"/>
        </w:rPr>
        <w:t>被授权人签字:___________ 日期:_____年___月___日</w:t>
      </w:r>
    </w:p>
    <w:p>
      <w:pPr>
        <w:pStyle w:val="3"/>
        <w:snapToGrid w:val="0"/>
        <w:spacing w:before="295" w:after="295" w:line="320" w:lineRule="exact"/>
        <w:ind w:firstLine="6840" w:firstLineChars="2850"/>
        <w:rPr>
          <w:rFonts w:hint="eastAsia" w:hAnsi="宋体"/>
          <w:color w:val="auto"/>
          <w:sz w:val="24"/>
          <w:szCs w:val="24"/>
          <w:highlight w:val="none"/>
        </w:rPr>
      </w:pPr>
    </w:p>
    <w:p>
      <w:pPr>
        <w:pStyle w:val="3"/>
        <w:snapToGrid w:val="0"/>
        <w:spacing w:before="295" w:after="295" w:line="320" w:lineRule="exact"/>
        <w:ind w:firstLine="6840" w:firstLineChars="2850"/>
        <w:rPr>
          <w:rFonts w:hint="eastAsia" w:hAnsi="宋体"/>
          <w:color w:val="auto"/>
          <w:sz w:val="24"/>
          <w:szCs w:val="24"/>
          <w:highlight w:val="none"/>
        </w:rPr>
      </w:pPr>
    </w:p>
    <w:p>
      <w:pPr>
        <w:pStyle w:val="3"/>
        <w:snapToGrid w:val="0"/>
        <w:spacing w:before="295" w:after="295" w:line="320" w:lineRule="exact"/>
        <w:ind w:firstLine="4560" w:firstLineChars="1900"/>
        <w:rPr>
          <w:rFonts w:hint="eastAsia" w:hAnsi="宋体"/>
          <w:color w:val="auto"/>
          <w:sz w:val="24"/>
          <w:szCs w:val="24"/>
          <w:highlight w:val="none"/>
        </w:rPr>
      </w:pPr>
      <w:r>
        <w:rPr>
          <w:rFonts w:hint="eastAsia" w:hAnsi="宋体"/>
          <w:color w:val="auto"/>
          <w:sz w:val="24"/>
          <w:szCs w:val="24"/>
          <w:highlight w:val="none"/>
          <w:lang w:val="en-US" w:eastAsia="zh-CN"/>
        </w:rPr>
        <w:t>投标人</w:t>
      </w:r>
      <w:r>
        <w:rPr>
          <w:rFonts w:hint="eastAsia" w:ascii="宋体" w:hAnsi="宋体" w:cs="仿宋_GB2312"/>
          <w:color w:val="auto"/>
          <w:sz w:val="24"/>
          <w:highlight w:val="none"/>
          <w:lang w:eastAsia="zh-CN"/>
        </w:rPr>
        <w:t>（盖公章）</w:t>
      </w:r>
      <w:r>
        <w:rPr>
          <w:rFonts w:hint="eastAsia" w:hAnsi="宋体"/>
          <w:color w:val="auto"/>
          <w:sz w:val="24"/>
          <w:szCs w:val="24"/>
          <w:highlight w:val="none"/>
          <w:lang w:val="en-US" w:eastAsia="zh-CN"/>
        </w:rPr>
        <w:t>：</w:t>
      </w:r>
    </w:p>
    <w:p>
      <w:pPr>
        <w:pStyle w:val="3"/>
        <w:snapToGrid w:val="0"/>
        <w:spacing w:before="295" w:after="295" w:line="320" w:lineRule="exact"/>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rPr>
          <w:rFonts w:hint="eastAsia"/>
        </w:rPr>
      </w:pPr>
    </w:p>
    <w:p>
      <w:pPr>
        <w:pStyle w:val="3"/>
        <w:snapToGrid w:val="0"/>
        <w:spacing w:before="295" w:after="295" w:line="320" w:lineRule="exact"/>
        <w:rPr>
          <w:rFonts w:hint="eastAsia" w:hAnsi="宋体"/>
          <w:color w:val="auto"/>
          <w:sz w:val="24"/>
          <w:highlight w:val="none"/>
        </w:rPr>
      </w:pPr>
      <w:r>
        <w:rPr>
          <w:rFonts w:hint="eastAsia" w:hAnsi="宋体"/>
          <w:b/>
          <w:color w:val="auto"/>
          <w:sz w:val="24"/>
          <w:highlight w:val="none"/>
        </w:rPr>
        <w:t>4. 开标一览表格式：</w:t>
      </w:r>
    </w:p>
    <w:p>
      <w:pPr>
        <w:snapToGrid w:val="0"/>
        <w:spacing w:before="50" w:after="50"/>
        <w:jc w:val="center"/>
        <w:rPr>
          <w:rFonts w:hint="eastAsia"/>
          <w:b/>
          <w:color w:val="auto"/>
          <w:sz w:val="30"/>
          <w:highlight w:val="none"/>
        </w:rPr>
      </w:pPr>
      <w:r>
        <w:rPr>
          <w:rFonts w:hint="eastAsia"/>
          <w:b/>
          <w:color w:val="auto"/>
          <w:sz w:val="30"/>
          <w:highlight w:val="none"/>
        </w:rPr>
        <w:t>开标一览表</w:t>
      </w:r>
    </w:p>
    <w:p>
      <w:pPr>
        <w:snapToGrid w:val="0"/>
        <w:spacing w:before="50" w:after="50"/>
        <w:jc w:val="center"/>
        <w:rPr>
          <w:rFonts w:hint="eastAsia"/>
          <w:b/>
          <w:color w:val="auto"/>
          <w:sz w:val="30"/>
          <w:highlight w:val="none"/>
        </w:rPr>
      </w:pPr>
    </w:p>
    <w:p>
      <w:pPr>
        <w:snapToGrid w:val="0"/>
        <w:spacing w:before="50" w:after="50"/>
        <w:ind w:firstLine="315" w:firstLineChars="150"/>
        <w:rPr>
          <w:rFonts w:hint="eastAsia"/>
          <w:color w:val="auto"/>
          <w:szCs w:val="21"/>
          <w:highlight w:val="none"/>
          <w:u w:val="single"/>
        </w:rPr>
      </w:pPr>
      <w:r>
        <w:rPr>
          <w:rFonts w:hint="eastAsia"/>
          <w:color w:val="auto"/>
          <w:szCs w:val="21"/>
          <w:highlight w:val="none"/>
        </w:rPr>
        <w:t>项目编号：</w:t>
      </w:r>
      <w:r>
        <w:rPr>
          <w:rFonts w:hint="eastAsia"/>
          <w:color w:val="auto"/>
          <w:szCs w:val="21"/>
          <w:highlight w:val="none"/>
          <w:u w:val="single"/>
        </w:rPr>
        <w:t xml:space="preserve">                    </w:t>
      </w:r>
      <w:r>
        <w:rPr>
          <w:rFonts w:hint="eastAsia"/>
          <w:color w:val="auto"/>
          <w:szCs w:val="21"/>
          <w:highlight w:val="none"/>
        </w:rPr>
        <w:t xml:space="preserve">                项目名称：</w:t>
      </w:r>
      <w:r>
        <w:rPr>
          <w:rFonts w:hint="eastAsia"/>
          <w:color w:val="auto"/>
          <w:szCs w:val="21"/>
          <w:highlight w:val="none"/>
          <w:u w:val="single"/>
        </w:rPr>
        <w:t xml:space="preserve">              </w:t>
      </w:r>
    </w:p>
    <w:tbl>
      <w:tblPr>
        <w:tblStyle w:val="45"/>
        <w:tblW w:w="94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291"/>
        <w:gridCol w:w="675"/>
        <w:gridCol w:w="4599"/>
        <w:gridCol w:w="1712"/>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b/>
                <w:color w:val="auto"/>
                <w:szCs w:val="21"/>
                <w:highlight w:val="none"/>
              </w:rPr>
            </w:pPr>
            <w:bookmarkStart w:id="135" w:name="_Toc271206314"/>
            <w:bookmarkStart w:id="136" w:name="_Toc271300659"/>
            <w:bookmarkStart w:id="137" w:name="_Toc271300740"/>
            <w:r>
              <w:rPr>
                <w:rFonts w:hint="eastAsia"/>
                <w:b/>
                <w:color w:val="auto"/>
                <w:szCs w:val="21"/>
                <w:highlight w:val="none"/>
              </w:rPr>
              <w:t>序号</w:t>
            </w:r>
            <w:bookmarkEnd w:id="135"/>
            <w:bookmarkEnd w:id="136"/>
            <w:bookmarkEnd w:id="137"/>
          </w:p>
        </w:tc>
        <w:tc>
          <w:tcPr>
            <w:tcW w:w="12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b/>
                <w:color w:val="auto"/>
                <w:szCs w:val="21"/>
                <w:highlight w:val="none"/>
              </w:rPr>
            </w:pPr>
            <w:r>
              <w:rPr>
                <w:rFonts w:hint="eastAsia"/>
                <w:b/>
                <w:color w:val="auto"/>
                <w:szCs w:val="21"/>
                <w:highlight w:val="none"/>
              </w:rPr>
              <w:t>服务名称</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b/>
                <w:strike/>
                <w:color w:val="auto"/>
                <w:szCs w:val="21"/>
                <w:highlight w:val="none"/>
              </w:rPr>
            </w:pPr>
            <w:r>
              <w:rPr>
                <w:rFonts w:hint="eastAsia"/>
                <w:b/>
                <w:strike/>
                <w:color w:val="auto"/>
                <w:szCs w:val="21"/>
                <w:highlight w:val="none"/>
              </w:rPr>
              <w:t>数量</w:t>
            </w:r>
          </w:p>
        </w:tc>
        <w:tc>
          <w:tcPr>
            <w:tcW w:w="459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b/>
                <w:color w:val="auto"/>
                <w:szCs w:val="21"/>
                <w:highlight w:val="none"/>
              </w:rPr>
            </w:pPr>
            <w:r>
              <w:rPr>
                <w:rFonts w:hint="eastAsia"/>
                <w:b/>
                <w:color w:val="auto"/>
                <w:szCs w:val="21"/>
                <w:highlight w:val="none"/>
              </w:rPr>
              <w:t>项目内容及要求</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b/>
                <w:color w:val="auto"/>
                <w:szCs w:val="21"/>
                <w:highlight w:val="none"/>
              </w:rPr>
            </w:pPr>
            <w:r>
              <w:rPr>
                <w:rFonts w:hint="eastAsia"/>
                <w:b/>
                <w:color w:val="auto"/>
                <w:szCs w:val="21"/>
                <w:highlight w:val="none"/>
              </w:rPr>
              <w:t>投标报价</w:t>
            </w:r>
          </w:p>
        </w:tc>
        <w:tc>
          <w:tcPr>
            <w:tcW w:w="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b/>
                <w:color w:val="auto"/>
                <w:szCs w:val="21"/>
                <w:highlight w:val="none"/>
              </w:rPr>
            </w:pPr>
            <w:r>
              <w:rPr>
                <w:rFonts w:hint="eastAsia"/>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color w:val="auto"/>
                <w:szCs w:val="21"/>
                <w:highlight w:val="none"/>
              </w:rPr>
            </w:pPr>
            <w:bookmarkStart w:id="138" w:name="_Toc271300744"/>
            <w:bookmarkStart w:id="139" w:name="_Toc271206318"/>
            <w:bookmarkStart w:id="140" w:name="_Toc271300663"/>
            <w:r>
              <w:rPr>
                <w:rFonts w:hint="eastAsia"/>
                <w:color w:val="auto"/>
                <w:szCs w:val="21"/>
                <w:highlight w:val="none"/>
              </w:rPr>
              <w:t>1</w:t>
            </w:r>
            <w:bookmarkEnd w:id="138"/>
            <w:bookmarkEnd w:id="139"/>
            <w:bookmarkEnd w:id="140"/>
          </w:p>
        </w:tc>
        <w:tc>
          <w:tcPr>
            <w:tcW w:w="12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eastAsia"/>
                <w:color w:val="auto"/>
                <w:szCs w:val="21"/>
                <w:highlight w:val="none"/>
              </w:rPr>
            </w:pPr>
            <w:r>
              <w:rPr>
                <w:rFonts w:hint="eastAsia" w:ascii="宋体" w:hAnsi="宋体"/>
                <w:b/>
                <w:bCs/>
                <w:color w:val="000000"/>
                <w:sz w:val="24"/>
              </w:rPr>
              <w:t>早</w:t>
            </w:r>
            <w:r>
              <w:rPr>
                <w:rFonts w:hint="eastAsia" w:ascii="宋体" w:hAnsi="宋体"/>
                <w:b/>
                <w:bCs/>
                <w:color w:val="000000"/>
                <w:sz w:val="24"/>
                <w:lang w:eastAsia="zh-CN"/>
              </w:rPr>
              <w:t>晚</w:t>
            </w:r>
            <w:r>
              <w:rPr>
                <w:rFonts w:hint="eastAsia" w:ascii="宋体" w:hAnsi="宋体"/>
                <w:b/>
                <w:bCs/>
                <w:color w:val="000000"/>
                <w:sz w:val="24"/>
              </w:rPr>
              <w:t>通勤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color w:val="auto"/>
                <w:szCs w:val="21"/>
                <w:highlight w:val="none"/>
              </w:rPr>
            </w:pPr>
            <w:r>
              <w:rPr>
                <w:rFonts w:hint="eastAsia"/>
                <w:color w:val="auto"/>
                <w:szCs w:val="21"/>
                <w:highlight w:val="none"/>
              </w:rPr>
              <w:t>1项</w:t>
            </w:r>
          </w:p>
        </w:tc>
        <w:tc>
          <w:tcPr>
            <w:tcW w:w="4599" w:type="dxa"/>
            <w:tcBorders>
              <w:top w:val="single" w:color="auto" w:sz="4" w:space="0"/>
              <w:left w:val="single" w:color="auto" w:sz="4" w:space="0"/>
              <w:bottom w:val="single" w:color="auto" w:sz="4" w:space="0"/>
              <w:right w:val="single" w:color="auto" w:sz="4" w:space="0"/>
            </w:tcBorders>
            <w:noWrap w:val="0"/>
            <w:vAlign w:val="center"/>
          </w:tcPr>
          <w:p>
            <w:pPr>
              <w:pStyle w:val="128"/>
              <w:spacing w:line="400" w:lineRule="exact"/>
              <w:ind w:left="1" w:firstLine="468" w:firstLineChars="195"/>
              <w:jc w:val="left"/>
              <w:rPr>
                <w:rFonts w:hint="eastAsia" w:ascii="宋体" w:hAnsi="宋体" w:eastAsia="宋体"/>
                <w:color w:val="000000"/>
                <w:sz w:val="24"/>
                <w:lang w:eastAsia="zh-CN"/>
              </w:rPr>
            </w:pPr>
            <w:r>
              <w:rPr>
                <w:rFonts w:hint="eastAsia" w:ascii="宋体" w:hAnsi="宋体"/>
                <w:color w:val="000000"/>
                <w:sz w:val="24"/>
              </w:rPr>
              <w:t>（一）车次</w:t>
            </w:r>
            <w:r>
              <w:rPr>
                <w:rFonts w:hint="eastAsia" w:ascii="宋体" w:hAnsi="宋体"/>
                <w:color w:val="000000"/>
                <w:sz w:val="24"/>
                <w:lang w:eastAsia="zh-CN"/>
              </w:rPr>
              <w:t>及路线</w:t>
            </w:r>
            <w:r>
              <w:rPr>
                <w:rFonts w:hint="eastAsia" w:ascii="宋体" w:hAnsi="宋体"/>
                <w:color w:val="000000"/>
                <w:sz w:val="24"/>
              </w:rPr>
              <w:t>安排</w:t>
            </w:r>
          </w:p>
          <w:p>
            <w:pPr>
              <w:pStyle w:val="128"/>
              <w:spacing w:line="400" w:lineRule="exact"/>
              <w:ind w:left="1" w:firstLine="468" w:firstLineChars="195"/>
              <w:jc w:val="left"/>
              <w:rPr>
                <w:rFonts w:hint="eastAsia" w:ascii="宋体" w:hAnsi="宋体"/>
                <w:color w:val="000000"/>
                <w:sz w:val="24"/>
              </w:rPr>
            </w:pPr>
            <w:r>
              <w:rPr>
                <w:rFonts w:hint="eastAsia" w:ascii="宋体" w:hAnsi="宋体"/>
                <w:color w:val="000000"/>
                <w:sz w:val="24"/>
              </w:rPr>
              <w:t>1.金城江→宜州，周一至周五每天7:35。</w:t>
            </w:r>
          </w:p>
          <w:p>
            <w:pPr>
              <w:pStyle w:val="128"/>
              <w:spacing w:line="400" w:lineRule="exact"/>
              <w:ind w:left="1" w:firstLine="468" w:firstLineChars="195"/>
              <w:jc w:val="left"/>
              <w:rPr>
                <w:rFonts w:hint="eastAsia" w:ascii="宋体" w:hAnsi="宋体"/>
                <w:color w:val="000000"/>
                <w:sz w:val="24"/>
              </w:rPr>
            </w:pPr>
            <w:r>
              <w:rPr>
                <w:rFonts w:hint="eastAsia" w:ascii="宋体" w:hAnsi="宋体"/>
                <w:color w:val="000000"/>
                <w:sz w:val="24"/>
              </w:rPr>
              <w:t>①市体育馆广场→市行政办公中心（宜州）</w:t>
            </w:r>
          </w:p>
          <w:p>
            <w:pPr>
              <w:pStyle w:val="128"/>
              <w:spacing w:line="400" w:lineRule="exact"/>
              <w:ind w:left="1" w:firstLine="468" w:firstLineChars="195"/>
              <w:jc w:val="left"/>
              <w:rPr>
                <w:rFonts w:hint="eastAsia" w:ascii="宋体" w:hAnsi="宋体"/>
                <w:color w:val="000000"/>
                <w:sz w:val="24"/>
              </w:rPr>
            </w:pPr>
            <w:r>
              <w:rPr>
                <w:rFonts w:hint="eastAsia" w:ascii="宋体" w:hAnsi="宋体"/>
                <w:color w:val="000000"/>
                <w:sz w:val="24"/>
              </w:rPr>
              <w:t>②老地委→市行政办公中心（宜州）</w:t>
            </w:r>
          </w:p>
          <w:p>
            <w:pPr>
              <w:pStyle w:val="128"/>
              <w:spacing w:line="400" w:lineRule="exact"/>
              <w:ind w:left="1" w:firstLine="468" w:firstLineChars="195"/>
              <w:jc w:val="left"/>
              <w:rPr>
                <w:rFonts w:hint="eastAsia" w:ascii="宋体" w:hAnsi="宋体"/>
                <w:color w:val="000000"/>
                <w:sz w:val="24"/>
              </w:rPr>
            </w:pPr>
            <w:r>
              <w:rPr>
                <w:rFonts w:hint="eastAsia" w:ascii="宋体" w:hAnsi="宋体"/>
                <w:color w:val="000000"/>
                <w:sz w:val="24"/>
              </w:rPr>
              <w:t>③原市行政办公中心→市行政办公中心（宜州）</w:t>
            </w:r>
          </w:p>
          <w:p>
            <w:pPr>
              <w:pStyle w:val="128"/>
              <w:numPr>
                <w:ilvl w:val="0"/>
                <w:numId w:val="3"/>
              </w:numPr>
              <w:spacing w:line="400" w:lineRule="exact"/>
              <w:ind w:left="1" w:firstLine="468" w:firstLineChars="195"/>
              <w:jc w:val="left"/>
              <w:rPr>
                <w:rFonts w:hint="eastAsia" w:ascii="宋体" w:hAnsi="宋体"/>
                <w:color w:val="000000"/>
                <w:sz w:val="24"/>
              </w:rPr>
            </w:pPr>
            <w:r>
              <w:rPr>
                <w:rFonts w:hint="eastAsia" w:ascii="宋体" w:hAnsi="宋体"/>
                <w:color w:val="000000"/>
                <w:sz w:val="24"/>
              </w:rPr>
              <w:t>宜州→金城江，周一至周五每天17:10、17:30、18:00。</w:t>
            </w:r>
          </w:p>
          <w:p>
            <w:pPr>
              <w:adjustRightInd w:val="0"/>
              <w:spacing w:line="400" w:lineRule="exact"/>
              <w:jc w:val="left"/>
              <w:rPr>
                <w:rFonts w:hint="eastAsia"/>
                <w:color w:val="auto"/>
                <w:szCs w:val="21"/>
                <w:highlight w:val="none"/>
              </w:rPr>
            </w:pPr>
            <w:r>
              <w:rPr>
                <w:rFonts w:hint="eastAsia" w:ascii="宋体" w:hAnsi="宋体"/>
                <w:color w:val="000000"/>
                <w:sz w:val="24"/>
              </w:rPr>
              <w:t>市行政办公中心（宜州）→原市行政办公中心→老地委→市体育馆广场</w:t>
            </w:r>
            <w:r>
              <w:rPr>
                <w:rFonts w:hint="eastAsia"/>
                <w:color w:val="auto"/>
                <w:szCs w:val="21"/>
                <w:highlight w:val="none"/>
              </w:rPr>
              <w:t xml:space="preserve"> </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left="16" w:hanging="16" w:hangingChars="8"/>
              <w:jc w:val="left"/>
              <w:rPr>
                <w:rFonts w:hint="default" w:eastAsia="宋体"/>
                <w:color w:val="auto"/>
                <w:szCs w:val="21"/>
                <w:highlight w:val="none"/>
                <w:u w:val="single"/>
                <w:lang w:val="en-US" w:eastAsia="zh-CN"/>
              </w:rPr>
            </w:pPr>
            <w:r>
              <w:rPr>
                <w:rFonts w:hint="eastAsia"/>
                <w:color w:val="auto"/>
                <w:szCs w:val="21"/>
                <w:highlight w:val="none"/>
                <w:lang w:val="en-US" w:eastAsia="zh-CN"/>
              </w:rPr>
              <w:t>单程</w:t>
            </w:r>
            <w:r>
              <w:rPr>
                <w:rFonts w:hint="eastAsia"/>
                <w:color w:val="auto"/>
                <w:szCs w:val="21"/>
                <w:highlight w:val="none"/>
                <w:u w:val="single"/>
                <w:lang w:val="en-US" w:eastAsia="zh-CN"/>
              </w:rPr>
              <w:t xml:space="preserve">    </w:t>
            </w:r>
            <w:r>
              <w:rPr>
                <w:rFonts w:hint="eastAsia"/>
                <w:color w:val="auto"/>
                <w:szCs w:val="21"/>
                <w:highlight w:val="none"/>
                <w:u w:val="none"/>
                <w:lang w:val="en-US" w:eastAsia="zh-CN"/>
              </w:rPr>
              <w:t>元/人</w:t>
            </w:r>
          </w:p>
        </w:tc>
        <w:tc>
          <w:tcPr>
            <w:tcW w:w="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left="480"/>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color w:val="auto"/>
                <w:szCs w:val="21"/>
                <w:highlight w:val="none"/>
              </w:rPr>
            </w:pPr>
            <w:r>
              <w:rPr>
                <w:rFonts w:hint="eastAsia"/>
                <w:color w:val="auto"/>
                <w:szCs w:val="21"/>
                <w:highlight w:val="none"/>
              </w:rPr>
              <w:t>2</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pStyle w:val="128"/>
              <w:numPr>
                <w:ilvl w:val="0"/>
                <w:numId w:val="0"/>
              </w:numPr>
              <w:spacing w:line="400" w:lineRule="exact"/>
              <w:rPr>
                <w:rFonts w:hint="eastAsia"/>
                <w:color w:val="auto"/>
                <w:szCs w:val="21"/>
                <w:highlight w:val="none"/>
              </w:rPr>
            </w:pPr>
            <w:r>
              <w:rPr>
                <w:rFonts w:hint="eastAsia" w:ascii="宋体" w:hAnsi="宋体"/>
                <w:b/>
                <w:bCs/>
                <w:color w:val="000000"/>
                <w:sz w:val="24"/>
              </w:rPr>
              <w:t>周末通勤</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default" w:eastAsia="宋体"/>
                <w:color w:val="auto"/>
                <w:szCs w:val="21"/>
                <w:highlight w:val="none"/>
                <w:lang w:val="en-US" w:eastAsia="zh-CN"/>
              </w:rPr>
            </w:pPr>
            <w:r>
              <w:rPr>
                <w:rFonts w:hint="eastAsia"/>
                <w:color w:val="auto"/>
                <w:szCs w:val="21"/>
                <w:highlight w:val="none"/>
                <w:lang w:val="en-US" w:eastAsia="zh-CN"/>
              </w:rPr>
              <w:t>1项</w:t>
            </w:r>
          </w:p>
        </w:tc>
        <w:tc>
          <w:tcPr>
            <w:tcW w:w="4599" w:type="dxa"/>
            <w:tcBorders>
              <w:top w:val="single" w:color="auto" w:sz="4" w:space="0"/>
              <w:left w:val="single" w:color="auto" w:sz="4" w:space="0"/>
              <w:bottom w:val="single" w:color="auto" w:sz="4" w:space="0"/>
              <w:right w:val="single" w:color="auto" w:sz="4" w:space="0"/>
            </w:tcBorders>
            <w:noWrap w:val="0"/>
            <w:vAlign w:val="center"/>
          </w:tcPr>
          <w:p>
            <w:pPr>
              <w:pStyle w:val="128"/>
              <w:numPr>
                <w:ilvl w:val="0"/>
                <w:numId w:val="5"/>
              </w:numPr>
              <w:spacing w:line="400" w:lineRule="exact"/>
              <w:ind w:leftChars="195"/>
              <w:jc w:val="left"/>
              <w:rPr>
                <w:rFonts w:hint="eastAsia" w:ascii="宋体" w:hAnsi="宋体"/>
                <w:color w:val="000000"/>
                <w:sz w:val="24"/>
              </w:rPr>
            </w:pPr>
            <w:r>
              <w:rPr>
                <w:rFonts w:hint="eastAsia" w:ascii="宋体" w:hAnsi="宋体"/>
                <w:color w:val="000000"/>
                <w:sz w:val="24"/>
              </w:rPr>
              <w:t>车次安排</w:t>
            </w:r>
          </w:p>
          <w:p>
            <w:pPr>
              <w:pStyle w:val="128"/>
              <w:numPr>
                <w:ilvl w:val="0"/>
                <w:numId w:val="0"/>
              </w:numPr>
              <w:spacing w:line="400" w:lineRule="exact"/>
              <w:ind w:firstLine="480" w:firstLineChars="200"/>
              <w:jc w:val="left"/>
              <w:rPr>
                <w:rFonts w:hint="eastAsia" w:ascii="宋体" w:hAnsi="宋体"/>
                <w:color w:val="000000"/>
                <w:sz w:val="24"/>
              </w:rPr>
            </w:pPr>
            <w:r>
              <w:rPr>
                <w:rFonts w:hint="eastAsia" w:ascii="宋体" w:hAnsi="宋体"/>
                <w:color w:val="000000"/>
                <w:sz w:val="24"/>
              </w:rPr>
              <w:t>1.金城江→宜州，周日晚20:30。</w:t>
            </w:r>
          </w:p>
          <w:p>
            <w:pPr>
              <w:pStyle w:val="128"/>
              <w:numPr>
                <w:ilvl w:val="0"/>
                <w:numId w:val="0"/>
              </w:numPr>
              <w:spacing w:line="400" w:lineRule="exact"/>
              <w:ind w:firstLine="480"/>
              <w:jc w:val="left"/>
              <w:rPr>
                <w:rFonts w:hint="eastAsia" w:ascii="宋体" w:hAnsi="宋体"/>
                <w:color w:val="000000"/>
                <w:sz w:val="24"/>
              </w:rPr>
            </w:pPr>
            <w:r>
              <w:rPr>
                <w:rFonts w:hint="eastAsia" w:ascii="宋体" w:hAnsi="宋体"/>
                <w:color w:val="000000"/>
                <w:sz w:val="24"/>
              </w:rPr>
              <w:t>市体育馆广场→老地委→市行政办公中心（宜州）。</w:t>
            </w:r>
          </w:p>
          <w:p>
            <w:pPr>
              <w:pStyle w:val="128"/>
              <w:numPr>
                <w:ilvl w:val="0"/>
                <w:numId w:val="0"/>
              </w:numPr>
              <w:spacing w:line="400" w:lineRule="exact"/>
              <w:ind w:firstLine="480" w:firstLineChars="200"/>
              <w:jc w:val="left"/>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宜州→金城江，周五18:00、18:30(注：最晚通勤车班次，有乘车超过10人要求延时发车的，可根据实际情况更改发车时间)。</w:t>
            </w:r>
          </w:p>
          <w:p>
            <w:pPr>
              <w:pStyle w:val="128"/>
              <w:numPr>
                <w:ilvl w:val="0"/>
                <w:numId w:val="0"/>
              </w:numPr>
              <w:spacing w:line="400" w:lineRule="exact"/>
              <w:ind w:leftChars="195"/>
              <w:jc w:val="left"/>
              <w:rPr>
                <w:rFonts w:hint="eastAsia" w:ascii="宋体" w:hAnsi="宋体"/>
                <w:color w:val="000000"/>
                <w:sz w:val="24"/>
                <w:lang w:eastAsia="zh-CN"/>
              </w:rPr>
            </w:pPr>
            <w:r>
              <w:rPr>
                <w:rFonts w:hint="eastAsia" w:ascii="宋体" w:hAnsi="宋体"/>
                <w:color w:val="000000"/>
                <w:sz w:val="24"/>
              </w:rPr>
              <w:t>市行政办公中心（宜州）→原市行政办公中心→老地委→市体育馆广场</w:t>
            </w:r>
            <w:r>
              <w:rPr>
                <w:rFonts w:hint="eastAsia" w:ascii="宋体" w:hAnsi="宋体"/>
                <w:color w:val="000000"/>
                <w:sz w:val="24"/>
                <w:lang w:eastAsia="zh-CN"/>
              </w:rPr>
              <w:t>。</w:t>
            </w:r>
          </w:p>
          <w:p>
            <w:pPr>
              <w:adjustRightInd w:val="0"/>
              <w:spacing w:line="400" w:lineRule="exact"/>
              <w:jc w:val="left"/>
              <w:rPr>
                <w:rFonts w:hint="eastAsia"/>
                <w:color w:val="auto"/>
                <w:szCs w:val="21"/>
                <w:highlight w:val="none"/>
              </w:rPr>
            </w:pP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left="16" w:hanging="16" w:hangingChars="8"/>
              <w:jc w:val="center"/>
              <w:rPr>
                <w:rFonts w:hint="eastAsia"/>
                <w:color w:val="auto"/>
                <w:szCs w:val="21"/>
                <w:highlight w:val="none"/>
              </w:rPr>
            </w:pPr>
            <w:r>
              <w:rPr>
                <w:rFonts w:hint="eastAsia"/>
                <w:color w:val="auto"/>
                <w:szCs w:val="21"/>
                <w:highlight w:val="none"/>
                <w:lang w:val="en-US" w:eastAsia="zh-CN"/>
              </w:rPr>
              <w:t>单程</w:t>
            </w:r>
            <w:r>
              <w:rPr>
                <w:rFonts w:hint="eastAsia"/>
                <w:color w:val="auto"/>
                <w:szCs w:val="21"/>
                <w:highlight w:val="none"/>
                <w:u w:val="single"/>
                <w:lang w:val="en-US" w:eastAsia="zh-CN"/>
              </w:rPr>
              <w:t xml:space="preserve">    </w:t>
            </w:r>
            <w:r>
              <w:rPr>
                <w:rFonts w:hint="eastAsia"/>
                <w:color w:val="auto"/>
                <w:szCs w:val="21"/>
                <w:highlight w:val="none"/>
                <w:u w:val="none"/>
                <w:lang w:val="en-US" w:eastAsia="zh-CN"/>
              </w:rPr>
              <w:t>元/人</w:t>
            </w:r>
          </w:p>
        </w:tc>
        <w:tc>
          <w:tcPr>
            <w:tcW w:w="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left="480"/>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jc w:val="center"/>
              <w:rPr>
                <w:rFonts w:hint="eastAsia" w:eastAsia="宋体"/>
                <w:color w:val="auto"/>
                <w:szCs w:val="21"/>
                <w:highlight w:val="none"/>
                <w:lang w:eastAsia="zh-CN"/>
              </w:rPr>
            </w:pPr>
            <w:r>
              <w:rPr>
                <w:rFonts w:hint="eastAsia"/>
                <w:color w:val="auto"/>
                <w:szCs w:val="21"/>
                <w:highlight w:val="none"/>
                <w:lang w:val="en-US" w:eastAsia="zh-CN"/>
              </w:rPr>
              <w:t>3</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eastAsia" w:eastAsia="宋体"/>
                <w:color w:val="auto"/>
                <w:szCs w:val="21"/>
                <w:highlight w:val="none"/>
                <w:lang w:eastAsia="zh-CN"/>
              </w:rPr>
            </w:pPr>
            <w:r>
              <w:rPr>
                <w:rFonts w:hint="eastAsia"/>
                <w:b/>
                <w:bCs/>
                <w:color w:val="auto"/>
                <w:szCs w:val="21"/>
                <w:highlight w:val="none"/>
                <w:lang w:val="en-US" w:eastAsia="zh-CN"/>
              </w:rPr>
              <w:t>日常</w:t>
            </w:r>
            <w:r>
              <w:rPr>
                <w:rFonts w:hint="eastAsia"/>
                <w:b/>
                <w:bCs/>
                <w:color w:val="auto"/>
                <w:szCs w:val="21"/>
                <w:highlight w:val="none"/>
                <w:lang w:eastAsia="zh-CN"/>
              </w:rPr>
              <w:t>业务通勤劳</w:t>
            </w:r>
          </w:p>
        </w:tc>
        <w:tc>
          <w:tcPr>
            <w:tcW w:w="675"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eastAsia" w:eastAsia="宋体"/>
                <w:color w:val="auto"/>
                <w:szCs w:val="21"/>
                <w:highlight w:val="none"/>
                <w:lang w:val="en-US" w:eastAsia="zh-CN"/>
              </w:rPr>
            </w:pPr>
            <w:r>
              <w:rPr>
                <w:rFonts w:hint="eastAsia"/>
                <w:color w:val="auto"/>
                <w:szCs w:val="21"/>
                <w:highlight w:val="none"/>
                <w:lang w:val="en-US" w:eastAsia="zh-CN"/>
              </w:rPr>
              <w:t>1项</w:t>
            </w:r>
          </w:p>
        </w:tc>
        <w:tc>
          <w:tcPr>
            <w:tcW w:w="4599" w:type="dxa"/>
            <w:tcBorders>
              <w:top w:val="single" w:color="auto" w:sz="4" w:space="0"/>
              <w:left w:val="single" w:color="auto" w:sz="4" w:space="0"/>
              <w:bottom w:val="single" w:color="auto" w:sz="4" w:space="0"/>
              <w:right w:val="single" w:color="auto" w:sz="4" w:space="0"/>
            </w:tcBorders>
            <w:noWrap w:val="0"/>
            <w:vAlign w:val="center"/>
          </w:tcPr>
          <w:p>
            <w:pPr>
              <w:pStyle w:val="128"/>
              <w:numPr>
                <w:ilvl w:val="-1"/>
                <w:numId w:val="0"/>
              </w:numPr>
              <w:adjustRightInd w:val="0"/>
              <w:spacing w:line="360" w:lineRule="auto"/>
              <w:ind w:left="0" w:leftChars="0" w:firstLine="420" w:firstLineChars="175"/>
              <w:jc w:val="center"/>
              <w:rPr>
                <w:rFonts w:hint="eastAsia"/>
                <w:color w:val="auto"/>
                <w:szCs w:val="21"/>
                <w:highlight w:val="none"/>
              </w:rPr>
            </w:pPr>
            <w:r>
              <w:rPr>
                <w:rFonts w:hint="eastAsia" w:ascii="宋体" w:hAnsi="宋体"/>
                <w:b w:val="0"/>
                <w:bCs w:val="0"/>
                <w:color w:val="000000"/>
                <w:sz w:val="24"/>
              </w:rPr>
              <w:t>日常业务通勤为解决市直部门平时往返两城区重要材料传送、业务办理、参加会议等公务活动交通问题，由中标公司开通中巴（商务）车通勤随机保障，同时充分利用早晚通勤车空余车位解决。</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left="16" w:hanging="16" w:hangingChars="8"/>
              <w:jc w:val="center"/>
              <w:rPr>
                <w:rFonts w:hint="eastAsia"/>
                <w:color w:val="auto"/>
                <w:szCs w:val="21"/>
                <w:highlight w:val="none"/>
              </w:rPr>
            </w:pPr>
            <w:r>
              <w:rPr>
                <w:rFonts w:hint="eastAsia"/>
                <w:color w:val="auto"/>
                <w:szCs w:val="21"/>
                <w:highlight w:val="none"/>
                <w:lang w:val="en-US" w:eastAsia="zh-CN"/>
              </w:rPr>
              <w:t>单程</w:t>
            </w:r>
            <w:r>
              <w:rPr>
                <w:rFonts w:hint="eastAsia"/>
                <w:color w:val="auto"/>
                <w:szCs w:val="21"/>
                <w:highlight w:val="none"/>
                <w:u w:val="single"/>
                <w:lang w:val="en-US" w:eastAsia="zh-CN"/>
              </w:rPr>
              <w:t xml:space="preserve">    </w:t>
            </w:r>
            <w:r>
              <w:rPr>
                <w:rFonts w:hint="eastAsia"/>
                <w:color w:val="auto"/>
                <w:szCs w:val="21"/>
                <w:highlight w:val="none"/>
                <w:u w:val="none"/>
                <w:lang w:val="en-US" w:eastAsia="zh-CN"/>
              </w:rPr>
              <w:t>元/人</w:t>
            </w:r>
          </w:p>
        </w:tc>
        <w:tc>
          <w:tcPr>
            <w:tcW w:w="41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ind w:left="480"/>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9497"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400" w:lineRule="exact"/>
              <w:rPr>
                <w:rFonts w:hint="default" w:eastAsia="宋体"/>
                <w:color w:val="auto"/>
                <w:szCs w:val="21"/>
                <w:highlight w:val="none"/>
                <w:lang w:val="en-US" w:eastAsia="zh-CN"/>
              </w:rPr>
            </w:pPr>
            <w:r>
              <w:rPr>
                <w:rFonts w:hint="eastAsia"/>
                <w:bCs/>
                <w:color w:val="auto"/>
                <w:highlight w:val="none"/>
              </w:rPr>
              <w:t>服务期限：</w:t>
            </w:r>
            <w:r>
              <w:rPr>
                <w:rFonts w:hint="eastAsia"/>
                <w:bCs/>
                <w:color w:val="auto"/>
                <w:highlight w:val="none"/>
                <w:lang w:val="en-US" w:eastAsia="zh-CN"/>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trPr>
        <w:tc>
          <w:tcPr>
            <w:tcW w:w="9497" w:type="dxa"/>
            <w:gridSpan w:val="6"/>
            <w:tcBorders>
              <w:top w:val="single" w:color="auto" w:sz="4" w:space="0"/>
              <w:left w:val="single" w:color="auto" w:sz="4" w:space="0"/>
              <w:bottom w:val="single" w:color="auto" w:sz="4" w:space="0"/>
              <w:right w:val="single" w:color="auto" w:sz="4" w:space="0"/>
            </w:tcBorders>
            <w:noWrap w:val="0"/>
            <w:vAlign w:val="center"/>
          </w:tcPr>
          <w:p>
            <w:pPr>
              <w:pStyle w:val="3"/>
              <w:spacing w:line="400" w:lineRule="exact"/>
              <w:rPr>
                <w:rFonts w:hint="eastAsia" w:hAnsi="宋体"/>
                <w:color w:val="auto"/>
                <w:kern w:val="2"/>
                <w:sz w:val="21"/>
                <w:highlight w:val="none"/>
              </w:rPr>
            </w:pPr>
            <w:r>
              <w:rPr>
                <w:rFonts w:hint="eastAsia" w:hAnsi="宋体"/>
                <w:color w:val="auto"/>
                <w:kern w:val="2"/>
                <w:sz w:val="21"/>
                <w:highlight w:val="none"/>
              </w:rPr>
              <w:t>备注：</w:t>
            </w:r>
          </w:p>
          <w:p>
            <w:pPr>
              <w:pStyle w:val="3"/>
              <w:spacing w:line="400" w:lineRule="exact"/>
              <w:ind w:firstLine="420" w:firstLineChars="200"/>
              <w:rPr>
                <w:rFonts w:hint="eastAsia" w:hAnsi="宋体"/>
                <w:color w:val="auto"/>
                <w:kern w:val="2"/>
                <w:sz w:val="21"/>
                <w:highlight w:val="none"/>
              </w:rPr>
            </w:pPr>
            <w:r>
              <w:rPr>
                <w:rFonts w:hint="eastAsia" w:hAnsi="宋体"/>
                <w:color w:val="auto"/>
                <w:kern w:val="2"/>
                <w:sz w:val="21"/>
                <w:highlight w:val="none"/>
              </w:rPr>
              <w:t>1、参考市场价格和其他有关规定，根据业主提供的部分资料，由投标人考虑各方面因素、风险，以费率报价。</w:t>
            </w:r>
          </w:p>
          <w:p>
            <w:pPr>
              <w:adjustRightInd w:val="0"/>
              <w:spacing w:line="400" w:lineRule="exact"/>
              <w:ind w:firstLine="420" w:firstLineChars="200"/>
              <w:rPr>
                <w:rFonts w:hint="eastAsia"/>
                <w:color w:val="auto"/>
                <w:szCs w:val="21"/>
                <w:highlight w:val="none"/>
              </w:rPr>
            </w:pPr>
            <w:r>
              <w:rPr>
                <w:rFonts w:hint="eastAsia"/>
                <w:color w:val="auto"/>
                <w:szCs w:val="21"/>
                <w:highlight w:val="none"/>
              </w:rPr>
              <w:t>2、本项目报价含</w:t>
            </w:r>
            <w:r>
              <w:rPr>
                <w:rFonts w:hint="eastAsia"/>
                <w:color w:val="auto"/>
                <w:highlight w:val="none"/>
              </w:rPr>
              <w:t>投标报价、投标费用、资料、协作、勘察、设计、咨询、管理、税金及其它所有成本费用的总和等服务发生的一切费用</w:t>
            </w:r>
          </w:p>
        </w:tc>
      </w:tr>
    </w:tbl>
    <w:p>
      <w:pPr>
        <w:pStyle w:val="3"/>
        <w:ind w:firstLine="400" w:firstLineChars="200"/>
        <w:rPr>
          <w:rFonts w:hint="eastAsia" w:hAnsi="宋体"/>
          <w:color w:val="auto"/>
          <w:highlight w:val="none"/>
        </w:rPr>
      </w:pPr>
    </w:p>
    <w:p>
      <w:pPr>
        <w:pStyle w:val="3"/>
        <w:ind w:firstLine="400" w:firstLineChars="200"/>
        <w:rPr>
          <w:rFonts w:hint="eastAsia" w:hAnsi="宋体"/>
          <w:color w:val="auto"/>
          <w:highlight w:val="none"/>
        </w:rPr>
      </w:pPr>
    </w:p>
    <w:p>
      <w:pPr>
        <w:pStyle w:val="3"/>
        <w:ind w:firstLine="400" w:firstLineChars="200"/>
        <w:rPr>
          <w:rFonts w:hint="eastAsia" w:hAnsi="宋体"/>
          <w:color w:val="auto"/>
          <w:highlight w:val="none"/>
        </w:rPr>
      </w:pPr>
    </w:p>
    <w:p>
      <w:pPr>
        <w:pStyle w:val="3"/>
        <w:ind w:firstLine="400" w:firstLineChars="200"/>
        <w:rPr>
          <w:rFonts w:hint="eastAsia" w:hAnsi="宋体"/>
          <w:color w:val="auto"/>
          <w:highlight w:val="none"/>
          <w:u w:val="single"/>
        </w:rPr>
      </w:pPr>
      <w:r>
        <w:rPr>
          <w:rFonts w:hint="eastAsia" w:hAnsi="宋体"/>
          <w:color w:val="auto"/>
          <w:highlight w:val="none"/>
        </w:rPr>
        <w:t>投标人</w:t>
      </w:r>
      <w:r>
        <w:rPr>
          <w:rFonts w:hint="eastAsia" w:hAnsi="宋体"/>
          <w:color w:val="auto"/>
          <w:highlight w:val="none"/>
          <w:lang w:eastAsia="zh-CN"/>
        </w:rPr>
        <w:t>（盖公章）</w:t>
      </w:r>
      <w:r>
        <w:rPr>
          <w:rFonts w:hint="eastAsia" w:hAnsi="宋体"/>
          <w:color w:val="auto"/>
          <w:highlight w:val="none"/>
        </w:rPr>
        <w:t>：</w:t>
      </w:r>
      <w:r>
        <w:rPr>
          <w:rFonts w:hint="eastAsia" w:hAnsi="宋体"/>
          <w:color w:val="auto"/>
          <w:highlight w:val="none"/>
          <w:u w:val="single"/>
        </w:rPr>
        <w:t xml:space="preserve">                                          </w:t>
      </w:r>
    </w:p>
    <w:p>
      <w:pPr>
        <w:pStyle w:val="3"/>
        <w:rPr>
          <w:rFonts w:hint="eastAsia" w:hAnsi="宋体"/>
          <w:color w:val="auto"/>
          <w:highlight w:val="none"/>
        </w:rPr>
      </w:pPr>
      <w:r>
        <w:rPr>
          <w:rFonts w:hint="eastAsia" w:hAnsi="宋体"/>
          <w:color w:val="auto"/>
          <w:highlight w:val="none"/>
        </w:rPr>
        <w:t xml:space="preserve">                    </w:t>
      </w:r>
    </w:p>
    <w:p>
      <w:pPr>
        <w:pStyle w:val="3"/>
        <w:spacing w:line="500" w:lineRule="exact"/>
        <w:ind w:left="2420" w:leftChars="200" w:hanging="2000" w:hangingChars="1000"/>
        <w:rPr>
          <w:rFonts w:hint="eastAsia" w:hAnsi="宋体"/>
          <w:color w:val="auto"/>
          <w:sz w:val="32"/>
          <w:highlight w:val="none"/>
        </w:rPr>
      </w:pPr>
      <w:r>
        <w:rPr>
          <w:rFonts w:hint="eastAsia" w:hAnsi="宋体"/>
          <w:color w:val="auto"/>
          <w:highlight w:val="none"/>
        </w:rPr>
        <w:t>法定代表人或委托代理人（签字或签章）：</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u w:val="single"/>
        </w:rPr>
        <w:t xml:space="preserve">        </w:t>
      </w:r>
    </w:p>
    <w:p>
      <w:pPr>
        <w:pStyle w:val="3"/>
        <w:spacing w:line="500" w:lineRule="exact"/>
        <w:ind w:left="2420" w:leftChars="200" w:hanging="2000" w:hangingChars="1000"/>
        <w:rPr>
          <w:rFonts w:hint="eastAsia" w:hAnsi="宋体"/>
          <w:bCs/>
          <w:color w:val="auto"/>
          <w:highlight w:val="none"/>
        </w:rPr>
      </w:pPr>
      <w:r>
        <w:rPr>
          <w:rFonts w:hint="eastAsia" w:hAnsi="宋体"/>
          <w:bCs/>
          <w:color w:val="auto"/>
          <w:highlight w:val="none"/>
        </w:rPr>
        <w:t>日期：     年    月    日</w:t>
      </w:r>
    </w:p>
    <w:p>
      <w:pPr>
        <w:pStyle w:val="3"/>
        <w:ind w:left="3620" w:leftChars="200" w:hanging="3200" w:hangingChars="1000"/>
        <w:rPr>
          <w:rFonts w:hint="eastAsia" w:hAnsi="宋体"/>
          <w:color w:val="auto"/>
          <w:sz w:val="32"/>
          <w:highlight w:val="none"/>
        </w:rPr>
      </w:pPr>
    </w:p>
    <w:p>
      <w:pPr>
        <w:snapToGrid w:val="0"/>
        <w:spacing w:before="50" w:after="50"/>
        <w:ind w:left="-6" w:leftChars="-15" w:right="-227" w:rightChars="-108" w:hanging="25" w:hangingChars="12"/>
        <w:rPr>
          <w:rFonts w:hint="eastAsia"/>
          <w:color w:val="auto"/>
          <w:highlight w:val="none"/>
        </w:rPr>
      </w:pPr>
      <w:r>
        <w:rPr>
          <w:rFonts w:hint="eastAsia"/>
          <w:color w:val="auto"/>
          <w:highlight w:val="none"/>
        </w:rPr>
        <w:t>投标说明：</w:t>
      </w:r>
    </w:p>
    <w:p>
      <w:pPr>
        <w:snapToGrid w:val="0"/>
        <w:spacing w:before="50" w:after="50"/>
        <w:ind w:left="-6" w:leftChars="-15" w:right="-227" w:rightChars="-108" w:hanging="25" w:hangingChars="12"/>
        <w:rPr>
          <w:rFonts w:hint="eastAsia"/>
          <w:color w:val="auto"/>
          <w:highlight w:val="none"/>
        </w:rPr>
      </w:pPr>
      <w:r>
        <w:rPr>
          <w:rFonts w:hint="eastAsia"/>
          <w:color w:val="auto"/>
          <w:highlight w:val="none"/>
          <w:lang w:val="en-US" w:eastAsia="zh-CN"/>
        </w:rPr>
        <w:t>1</w:t>
      </w:r>
      <w:r>
        <w:rPr>
          <w:rFonts w:hint="eastAsia"/>
          <w:color w:val="auto"/>
          <w:highlight w:val="none"/>
        </w:rPr>
        <w:t>.如为联合体投标，“投标人名称”处必须列明联合体各方名称，并标注联合体牵头人名称，否则其投标作无效标处理。</w:t>
      </w:r>
    </w:p>
    <w:p>
      <w:pPr>
        <w:snapToGrid w:val="0"/>
        <w:spacing w:before="50" w:after="50"/>
        <w:ind w:left="-6" w:leftChars="-15" w:right="-227" w:rightChars="-108" w:hanging="25" w:hangingChars="12"/>
        <w:rPr>
          <w:rFonts w:hint="eastAsia"/>
          <w:color w:val="auto"/>
          <w:highlight w:val="none"/>
        </w:rPr>
      </w:pPr>
      <w:r>
        <w:rPr>
          <w:rFonts w:hint="eastAsia"/>
          <w:color w:val="auto"/>
          <w:highlight w:val="none"/>
          <w:lang w:val="en-US" w:eastAsia="zh-CN"/>
        </w:rPr>
        <w:t>2</w:t>
      </w:r>
      <w:r>
        <w:rPr>
          <w:rFonts w:hint="eastAsia"/>
          <w:color w:val="auto"/>
          <w:highlight w:val="none"/>
        </w:rPr>
        <w:t>.如为联合体投标，盖章处须加盖联合体各方公章，否则其投标作无效标处理。</w:t>
      </w:r>
    </w:p>
    <w:p>
      <w:pPr>
        <w:snapToGrid w:val="0"/>
        <w:spacing w:before="50" w:after="50"/>
        <w:ind w:left="-6" w:leftChars="-15" w:right="-227" w:rightChars="-108" w:hanging="25" w:hangingChars="12"/>
        <w:rPr>
          <w:rFonts w:hint="eastAsia"/>
          <w:bCs/>
          <w:color w:val="auto"/>
          <w:highlight w:val="none"/>
        </w:rPr>
      </w:pPr>
      <w:r>
        <w:rPr>
          <w:rFonts w:hint="eastAsia"/>
          <w:color w:val="auto"/>
          <w:highlight w:val="none"/>
          <w:lang w:val="en-US" w:eastAsia="zh-CN"/>
        </w:rPr>
        <w:t>3.</w:t>
      </w:r>
      <w:r>
        <w:rPr>
          <w:rFonts w:hint="eastAsia"/>
          <w:color w:val="auto"/>
          <w:highlight w:val="none"/>
        </w:rPr>
        <w:t>若此表由多页构成的，应逐页加盖投标人公章并由法定代表人（或委托代理</w:t>
      </w:r>
      <w:r>
        <w:rPr>
          <w:rFonts w:hint="eastAsia"/>
          <w:bCs/>
          <w:color w:val="auto"/>
          <w:highlight w:val="none"/>
        </w:rPr>
        <w:t>人）签字</w:t>
      </w:r>
      <w:r>
        <w:rPr>
          <w:rFonts w:hint="eastAsia"/>
          <w:color w:val="auto"/>
          <w:highlight w:val="none"/>
        </w:rPr>
        <w:t>，</w:t>
      </w:r>
      <w:r>
        <w:rPr>
          <w:rFonts w:hint="eastAsia"/>
          <w:bCs/>
          <w:color w:val="auto"/>
          <w:highlight w:val="none"/>
        </w:rPr>
        <w:t>否则该投标无效。</w:t>
      </w:r>
    </w:p>
    <w:p>
      <w:pPr>
        <w:pStyle w:val="3"/>
        <w:snapToGrid w:val="0"/>
        <w:spacing w:before="295" w:after="295" w:line="320" w:lineRule="exact"/>
        <w:rPr>
          <w:rFonts w:hint="eastAsia"/>
          <w:b/>
          <w:color w:val="auto"/>
          <w:sz w:val="28"/>
          <w:szCs w:val="28"/>
          <w:highlight w:val="none"/>
        </w:rPr>
      </w:pPr>
      <w:r>
        <w:rPr>
          <w:rFonts w:hint="eastAsia" w:hAnsi="宋体" w:cs="宋体"/>
          <w:color w:val="auto"/>
          <w:highlight w:val="none"/>
        </w:rPr>
        <w:br w:type="page"/>
      </w:r>
      <w:bookmarkStart w:id="141" w:name="_Toc19686837"/>
      <w:r>
        <w:rPr>
          <w:rFonts w:hint="eastAsia"/>
          <w:b/>
          <w:color w:val="auto"/>
          <w:sz w:val="28"/>
          <w:szCs w:val="28"/>
          <w:highlight w:val="none"/>
        </w:rPr>
        <w:t>三、资格证明文件格式</w:t>
      </w:r>
      <w:bookmarkEnd w:id="133"/>
      <w:bookmarkEnd w:id="134"/>
      <w:bookmarkEnd w:id="141"/>
    </w:p>
    <w:p>
      <w:pPr>
        <w:numPr>
          <w:ilvl w:val="2"/>
          <w:numId w:val="14"/>
        </w:numPr>
        <w:snapToGrid w:val="0"/>
        <w:spacing w:before="120" w:beforeLines="50" w:after="50" w:line="360" w:lineRule="auto"/>
        <w:ind w:left="0" w:firstLine="0"/>
        <w:jc w:val="left"/>
        <w:rPr>
          <w:rFonts w:hint="eastAsia" w:ascii="宋体" w:hAnsi="宋体"/>
          <w:b/>
          <w:color w:val="auto"/>
          <w:sz w:val="24"/>
          <w:highlight w:val="none"/>
        </w:rPr>
      </w:pPr>
      <w:r>
        <w:rPr>
          <w:rFonts w:hint="eastAsia" w:ascii="宋体" w:hAnsi="宋体"/>
          <w:b/>
          <w:color w:val="auto"/>
          <w:sz w:val="24"/>
          <w:highlight w:val="none"/>
        </w:rPr>
        <w:t xml:space="preserve">资格证明文件封面格式：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line="40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  标  文  件</w:t>
      </w: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资  格  证  明  文  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pStyle w:val="10"/>
        <w:snapToGrid w:val="0"/>
        <w:spacing w:before="50" w:after="50"/>
        <w:ind w:firstLine="540" w:firstLineChars="225"/>
        <w:rPr>
          <w:rFonts w:hint="eastAsia" w:ascii="宋体" w:hAnsi="宋体"/>
          <w:bCs/>
          <w:color w:val="auto"/>
          <w:sz w:val="24"/>
          <w:szCs w:val="24"/>
          <w:highlight w:val="none"/>
        </w:rPr>
      </w:pPr>
    </w:p>
    <w:p>
      <w:pPr>
        <w:pStyle w:val="10"/>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10"/>
        <w:snapToGrid w:val="0"/>
        <w:spacing w:before="50" w:after="50"/>
        <w:ind w:firstLine="540" w:firstLineChars="225"/>
        <w:rPr>
          <w:rFonts w:hint="eastAsia" w:ascii="宋体" w:hAnsi="宋体"/>
          <w:bCs/>
          <w:color w:val="auto"/>
          <w:sz w:val="24"/>
          <w:szCs w:val="24"/>
          <w:highlight w:val="none"/>
        </w:rPr>
      </w:pPr>
    </w:p>
    <w:p>
      <w:pPr>
        <w:pStyle w:val="10"/>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hint="eastAsia" w:ascii="宋体" w:hAnsi="宋体"/>
          <w:color w:val="auto"/>
          <w:sz w:val="24"/>
          <w:szCs w:val="20"/>
          <w:highlight w:val="none"/>
        </w:rPr>
      </w:pPr>
    </w:p>
    <w:p>
      <w:pPr>
        <w:numPr>
          <w:ilvl w:val="2"/>
          <w:numId w:val="14"/>
        </w:numPr>
        <w:snapToGrid w:val="0"/>
        <w:spacing w:before="120" w:beforeLines="50" w:after="50" w:line="360" w:lineRule="auto"/>
        <w:ind w:left="0" w:firstLine="0"/>
        <w:jc w:val="left"/>
        <w:rPr>
          <w:rFonts w:hint="eastAsia"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rPr>
        <w:t>资格证明文件目录</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hint="eastAsia" w:ascii="宋体" w:hAnsi="宋体"/>
          <w:color w:val="auto"/>
          <w:sz w:val="24"/>
          <w:highlight w:val="none"/>
        </w:rPr>
      </w:pPr>
    </w:p>
    <w:p>
      <w:pPr>
        <w:snapToGrid w:val="0"/>
        <w:spacing w:before="50" w:after="120" w:afterLines="50"/>
        <w:jc w:val="left"/>
        <w:rPr>
          <w:rFonts w:hint="eastAsia" w:ascii="宋体" w:hAnsi="宋体"/>
          <w:color w:val="auto"/>
          <w:sz w:val="24"/>
          <w:highlight w:val="none"/>
        </w:rPr>
      </w:pPr>
    </w:p>
    <w:p>
      <w:pPr>
        <w:numPr>
          <w:ilvl w:val="2"/>
          <w:numId w:val="14"/>
        </w:numPr>
        <w:snapToGrid w:val="0"/>
        <w:spacing w:before="120" w:beforeLines="50" w:after="50"/>
        <w:ind w:left="0" w:firstLine="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8"/>
          <w:szCs w:val="28"/>
          <w:highlight w:val="none"/>
        </w:rPr>
        <w:t>投标人直接控股、管理关系信息表</w:t>
      </w:r>
    </w:p>
    <w:p>
      <w:pPr>
        <w:snapToGrid w:val="0"/>
        <w:spacing w:before="50" w:after="120" w:afterLines="50"/>
        <w:jc w:val="center"/>
        <w:rPr>
          <w:rFonts w:hint="eastAsia" w:ascii="宋体" w:hAnsi="宋体"/>
          <w:b/>
          <w:color w:val="auto"/>
          <w:sz w:val="28"/>
          <w:szCs w:val="28"/>
          <w:highlight w:val="none"/>
        </w:rPr>
      </w:pPr>
    </w:p>
    <w:p>
      <w:pPr>
        <w:snapToGrid w:val="0"/>
        <w:spacing w:before="50" w:after="120" w:afterLines="50"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投标人直接控股股东信息表</w:t>
      </w:r>
    </w:p>
    <w:tbl>
      <w:tblPr>
        <w:tblStyle w:val="45"/>
        <w:tblW w:w="9476" w:type="dxa"/>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line="360" w:lineRule="auto"/>
        <w:ind w:right="480" w:firstLine="1440" w:firstLineChars="600"/>
        <w:rPr>
          <w:rFonts w:hint="eastAsia" w:ascii="宋体" w:hAnsi="宋体"/>
          <w:color w:val="auto"/>
          <w:sz w:val="24"/>
          <w:highlight w:val="none"/>
          <w:u w:val="single"/>
        </w:rPr>
      </w:pPr>
      <w:r>
        <w:rPr>
          <w:rFonts w:hint="eastAsia" w:ascii="宋体" w:hAnsi="宋体"/>
          <w:color w:val="auto"/>
          <w:sz w:val="24"/>
          <w:highlight w:val="none"/>
        </w:rPr>
        <w:t>法定代表人或者委托代理人（签字或签章）：</w:t>
      </w:r>
      <w:r>
        <w:rPr>
          <w:rFonts w:hint="eastAsia" w:ascii="宋体" w:hAnsi="宋体"/>
          <w:color w:val="auto"/>
          <w:sz w:val="24"/>
          <w:highlight w:val="none"/>
          <w:u w:val="single"/>
        </w:rPr>
        <w:t xml:space="preserve">             </w:t>
      </w:r>
    </w:p>
    <w:p>
      <w:pPr>
        <w:snapToGrid w:val="0"/>
        <w:spacing w:before="120" w:beforeLines="50" w:after="50" w:line="360" w:lineRule="auto"/>
        <w:ind w:right="480" w:firstLine="3600" w:firstLineChars="1500"/>
        <w:rPr>
          <w:rFonts w:hint="eastAsia" w:ascii="宋体" w:hAnsi="宋体"/>
          <w:color w:val="auto"/>
          <w:sz w:val="24"/>
          <w:highlight w:val="none"/>
          <w:u w:val="single"/>
        </w:rPr>
      </w:pPr>
      <w:r>
        <w:rPr>
          <w:rFonts w:hint="eastAsia" w:ascii="宋体" w:hAnsi="宋体"/>
          <w:color w:val="auto"/>
          <w:sz w:val="24"/>
          <w:highlight w:val="none"/>
        </w:rPr>
        <w:t>投标人</w:t>
      </w:r>
      <w:r>
        <w:rPr>
          <w:rFonts w:hint="eastAsia" w:ascii="宋体" w:hAnsi="宋体"/>
          <w:color w:val="auto"/>
          <w:sz w:val="24"/>
          <w:highlight w:val="none"/>
          <w:lang w:eastAsia="zh-CN"/>
        </w:rPr>
        <w:t>（盖公章）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hint="eastAsia" w:ascii="宋体" w:hAnsi="宋体"/>
          <w:b/>
          <w:color w:val="auto"/>
          <w:sz w:val="28"/>
          <w:szCs w:val="28"/>
          <w:highlight w:val="none"/>
        </w:rPr>
      </w:pPr>
      <w:r>
        <w:rPr>
          <w:rFonts w:hint="eastAsia" w:ascii="宋体" w:hAnsi="宋体"/>
          <w:color w:val="auto"/>
          <w:sz w:val="24"/>
          <w:highlight w:val="none"/>
        </w:rPr>
        <w:t>年    月    日</w:t>
      </w:r>
      <w:r>
        <w:rPr>
          <w:rFonts w:ascii="宋体" w:hAnsi="宋体"/>
          <w:b/>
          <w:color w:val="auto"/>
          <w:sz w:val="28"/>
          <w:szCs w:val="28"/>
          <w:highlight w:val="none"/>
        </w:rPr>
        <w:br w:type="page"/>
      </w:r>
    </w:p>
    <w:p>
      <w:pPr>
        <w:snapToGrid w:val="0"/>
        <w:spacing w:line="360" w:lineRule="auto"/>
        <w:jc w:val="center"/>
        <w:rPr>
          <w:rFonts w:hint="eastAsia" w:ascii="宋体" w:hAnsi="宋体"/>
          <w:color w:val="auto"/>
          <w:sz w:val="32"/>
          <w:szCs w:val="32"/>
          <w:highlight w:val="none"/>
        </w:rPr>
      </w:pPr>
      <w:r>
        <w:rPr>
          <w:rFonts w:hint="eastAsia" w:ascii="宋体" w:hAnsi="宋体"/>
          <w:b/>
          <w:color w:val="auto"/>
          <w:sz w:val="32"/>
          <w:szCs w:val="32"/>
          <w:highlight w:val="none"/>
        </w:rPr>
        <w:t>投标人直接管理关系信息表</w:t>
      </w:r>
    </w:p>
    <w:tbl>
      <w:tblPr>
        <w:tblStyle w:val="45"/>
        <w:tblW w:w="8820" w:type="dxa"/>
        <w:tblInd w:w="0" w:type="dxa"/>
        <w:tblLayout w:type="fixed"/>
        <w:tblCellMar>
          <w:top w:w="0" w:type="dxa"/>
          <w:left w:w="0" w:type="dxa"/>
          <w:bottom w:w="0" w:type="dxa"/>
          <w:right w:w="0" w:type="dxa"/>
        </w:tblCellMar>
      </w:tblPr>
      <w:tblGrid>
        <w:gridCol w:w="1005"/>
        <w:gridCol w:w="2659"/>
        <w:gridCol w:w="3924"/>
        <w:gridCol w:w="1232"/>
      </w:tblGrid>
      <w:tr>
        <w:tblPrEx>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1232"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2"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2"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2"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2" w:type="dxa"/>
            <w:tcBorders>
              <w:top w:val="single" w:color="auto" w:sz="4" w:space="0"/>
              <w:left w:val="single" w:color="auto" w:sz="4" w:space="0"/>
              <w:bottom w:val="single" w:color="auto" w:sz="4" w:space="0"/>
              <w:right w:val="single" w:color="auto" w:sz="4" w:space="0"/>
            </w:tcBorders>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before="120" w:beforeLines="50" w:line="360" w:lineRule="auto"/>
        <w:ind w:right="480" w:firstLine="1440" w:firstLineChars="600"/>
        <w:rPr>
          <w:rFonts w:hint="eastAsia" w:ascii="宋体" w:hAnsi="宋体"/>
          <w:color w:val="auto"/>
          <w:sz w:val="24"/>
          <w:highlight w:val="none"/>
          <w:u w:val="single"/>
        </w:rPr>
      </w:pPr>
      <w:r>
        <w:rPr>
          <w:rFonts w:hint="eastAsia" w:ascii="宋体" w:hAnsi="宋体"/>
          <w:color w:val="auto"/>
          <w:sz w:val="24"/>
          <w:highlight w:val="none"/>
        </w:rPr>
        <w:t>法定代表人或者委托代理人（签字或签章）：</w:t>
      </w:r>
      <w:r>
        <w:rPr>
          <w:rFonts w:hint="eastAsia" w:ascii="宋体" w:hAnsi="宋体"/>
          <w:color w:val="auto"/>
          <w:sz w:val="24"/>
          <w:highlight w:val="none"/>
          <w:u w:val="single"/>
        </w:rPr>
        <w:t xml:space="preserve">             </w:t>
      </w:r>
    </w:p>
    <w:p>
      <w:pPr>
        <w:snapToGrid w:val="0"/>
        <w:spacing w:before="120" w:beforeLines="50" w:after="50" w:line="360" w:lineRule="auto"/>
        <w:ind w:left="0" w:leftChars="0" w:right="480" w:firstLine="3578" w:firstLineChars="1491"/>
        <w:rPr>
          <w:rFonts w:hint="eastAsia" w:ascii="宋体" w:hAnsi="宋体"/>
          <w:color w:val="auto"/>
          <w:sz w:val="24"/>
          <w:highlight w:val="none"/>
        </w:rPr>
      </w:pPr>
      <w:r>
        <w:rPr>
          <w:rFonts w:hint="eastAsia" w:ascii="宋体" w:hAnsi="宋体"/>
          <w:color w:val="auto"/>
          <w:sz w:val="24"/>
          <w:highlight w:val="none"/>
        </w:rPr>
        <w:t>投标人</w:t>
      </w:r>
      <w:r>
        <w:rPr>
          <w:rFonts w:hint="eastAsia" w:ascii="宋体" w:hAnsi="宋体"/>
          <w:color w:val="auto"/>
          <w:sz w:val="24"/>
          <w:highlight w:val="none"/>
          <w:lang w:eastAsia="zh-CN"/>
        </w:rPr>
        <w:t>（盖公章）</w:t>
      </w:r>
      <w:r>
        <w:rPr>
          <w:rFonts w:hint="eastAsia"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p>
    <w:p>
      <w:pPr>
        <w:snapToGrid w:val="0"/>
        <w:spacing w:before="120" w:beforeLines="50" w:after="50" w:line="360" w:lineRule="auto"/>
        <w:ind w:right="480" w:firstLine="240" w:firstLineChars="100"/>
        <w:jc w:val="center"/>
        <w:rPr>
          <w:rFonts w:hint="eastAsia" w:ascii="宋体" w:hAnsi="宋体"/>
          <w:color w:val="auto"/>
          <w:sz w:val="24"/>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年    月    日</w:t>
      </w:r>
    </w:p>
    <w:p>
      <w:pPr>
        <w:snapToGrid w:val="0"/>
        <w:spacing w:before="50" w:after="120" w:afterLines="50"/>
        <w:jc w:val="left"/>
        <w:rPr>
          <w:rFonts w:hint="eastAsia" w:ascii="宋体" w:hAnsi="宋体"/>
          <w:color w:val="auto"/>
          <w:szCs w:val="21"/>
          <w:highlight w:val="none"/>
        </w:rPr>
      </w:pPr>
    </w:p>
    <w:p>
      <w:pPr>
        <w:snapToGrid w:val="0"/>
        <w:spacing w:before="120" w:beforeLines="50" w:after="50"/>
        <w:jc w:val="left"/>
        <w:rPr>
          <w:rFonts w:hint="eastAsia" w:ascii="宋体" w:hAnsi="宋体"/>
          <w:b/>
          <w:color w:val="auto"/>
          <w:sz w:val="24"/>
          <w:szCs w:val="20"/>
          <w:highlight w:val="none"/>
        </w:rPr>
      </w:pPr>
    </w:p>
    <w:p>
      <w:pPr>
        <w:numPr>
          <w:ilvl w:val="2"/>
          <w:numId w:val="14"/>
        </w:numPr>
        <w:snapToGrid w:val="0"/>
        <w:spacing w:before="120" w:beforeLines="50" w:after="50"/>
        <w:ind w:left="0" w:firstLine="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投标声明</w:t>
      </w:r>
    </w:p>
    <w:p>
      <w:pPr>
        <w:snapToGrid w:val="0"/>
        <w:spacing w:before="50" w:after="120" w:afterLines="50"/>
        <w:jc w:val="left"/>
        <w:rPr>
          <w:rFonts w:hint="eastAsia" w:ascii="宋体" w:hAnsi="宋体"/>
          <w:color w:val="auto"/>
          <w:highlight w:val="none"/>
        </w:rPr>
      </w:pPr>
    </w:p>
    <w:p>
      <w:pPr>
        <w:snapToGrid w:val="0"/>
        <w:spacing w:before="50" w:after="120" w:afterLines="50"/>
        <w:jc w:val="center"/>
        <w:rPr>
          <w:rFonts w:hint="eastAsia" w:ascii="宋体" w:hAnsi="宋体"/>
          <w:b/>
          <w:color w:val="auto"/>
          <w:sz w:val="32"/>
          <w:szCs w:val="32"/>
          <w:highlight w:val="none"/>
        </w:rPr>
      </w:pPr>
      <w:r>
        <w:rPr>
          <w:rFonts w:hint="eastAsia" w:ascii="宋体" w:hAnsi="宋体"/>
          <w:b/>
          <w:color w:val="auto"/>
          <w:sz w:val="32"/>
          <w:szCs w:val="32"/>
          <w:highlight w:val="none"/>
        </w:rPr>
        <w:t>投标声明</w:t>
      </w:r>
    </w:p>
    <w:p>
      <w:pPr>
        <w:spacing w:line="360" w:lineRule="auto"/>
        <w:contextualSpacing/>
        <w:rPr>
          <w:rFonts w:hint="eastAsia" w:ascii="宋体" w:hAnsi="宋体"/>
          <w:b/>
          <w:color w:val="auto"/>
          <w:sz w:val="28"/>
          <w:szCs w:val="28"/>
          <w:highlight w:val="none"/>
        </w:rPr>
      </w:pPr>
    </w:p>
    <w:p>
      <w:pPr>
        <w:spacing w:line="400" w:lineRule="exact"/>
        <w:contextualSpacing/>
        <w:jc w:val="left"/>
        <w:rPr>
          <w:rFonts w:hint="eastAsia"/>
          <w:color w:val="auto"/>
          <w:sz w:val="24"/>
          <w:highlight w:val="none"/>
        </w:rPr>
      </w:pPr>
      <w:r>
        <w:rPr>
          <w:rFonts w:hint="eastAsia"/>
          <w:color w:val="auto"/>
          <w:sz w:val="24"/>
          <w:highlight w:val="none"/>
        </w:rPr>
        <w:t>（采购人名称）：</w:t>
      </w:r>
    </w:p>
    <w:p>
      <w:pPr>
        <w:spacing w:line="400" w:lineRule="exact"/>
        <w:ind w:firstLine="523" w:firstLineChars="218"/>
        <w:contextualSpacing/>
        <w:jc w:val="left"/>
        <w:rPr>
          <w:rFonts w:hint="eastAsia"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2.我方不是为本次采购项目提供整体设计、规范编制或者项目管理、监理、检测等服务的供应商。</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（六）法律、行政法规规定的其他条件。</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pacing w:line="400" w:lineRule="exact"/>
        <w:contextualSpacing/>
        <w:jc w:val="left"/>
        <w:rPr>
          <w:rFonts w:ascii="宋体" w:hAnsi="宋体"/>
          <w:b/>
          <w:color w:val="auto"/>
          <w:sz w:val="24"/>
          <w:highlight w:val="none"/>
        </w:rPr>
      </w:pPr>
      <w:r>
        <w:rPr>
          <w:rFonts w:hint="eastAsia" w:ascii="宋体" w:hAnsi="宋体"/>
          <w:b/>
          <w:color w:val="auto"/>
          <w:sz w:val="24"/>
          <w:highlight w:val="none"/>
        </w:rPr>
        <w:t xml:space="preserve">    注：如为联合体投标，盖章处须加盖联合体各方公章并由联合体各方法定代表人分别签字，否则投标无效。</w:t>
      </w:r>
    </w:p>
    <w:p>
      <w:pPr>
        <w:spacing w:line="400" w:lineRule="exact"/>
        <w:contextualSpacing/>
        <w:jc w:val="left"/>
        <w:rPr>
          <w:rFonts w:hint="eastAsia" w:ascii="宋体" w:hAnsi="宋体"/>
          <w:color w:val="auto"/>
          <w:sz w:val="24"/>
          <w:highlight w:val="none"/>
        </w:rPr>
      </w:pPr>
      <w:r>
        <w:rPr>
          <w:rFonts w:hint="eastAsia" w:ascii="宋体" w:hAnsi="宋体"/>
          <w:color w:val="auto"/>
          <w:sz w:val="24"/>
          <w:highlight w:val="none"/>
        </w:rPr>
        <w:t xml:space="preserve">                                  法定代表人（签字或签章）：</w:t>
      </w:r>
      <w:r>
        <w:rPr>
          <w:rFonts w:hint="eastAsia" w:ascii="宋体" w:hAnsi="宋体"/>
          <w:color w:val="auto"/>
          <w:sz w:val="24"/>
          <w:highlight w:val="none"/>
          <w:u w:val="single"/>
        </w:rPr>
        <w:t xml:space="preserve">             </w:t>
      </w:r>
    </w:p>
    <w:p>
      <w:pPr>
        <w:spacing w:line="400" w:lineRule="exact"/>
        <w:contextualSpacing/>
        <w:jc w:val="left"/>
        <w:rPr>
          <w:rFonts w:hint="eastAsia" w:ascii="宋体" w:hAnsi="宋体"/>
          <w:color w:val="auto"/>
          <w:sz w:val="24"/>
          <w:highlight w:val="none"/>
        </w:rPr>
      </w:pPr>
      <w:r>
        <w:rPr>
          <w:rFonts w:hint="eastAsia" w:ascii="宋体" w:hAnsi="宋体"/>
          <w:color w:val="auto"/>
          <w:sz w:val="24"/>
          <w:highlight w:val="none"/>
        </w:rPr>
        <w:t xml:space="preserve">                                      投标人</w:t>
      </w:r>
      <w:r>
        <w:rPr>
          <w:rFonts w:hint="eastAsia" w:ascii="宋体" w:hAnsi="宋体"/>
          <w:color w:val="auto"/>
          <w:sz w:val="24"/>
          <w:highlight w:val="none"/>
          <w:lang w:eastAsia="zh-CN"/>
        </w:rPr>
        <w:t>（盖公章）</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400" w:lineRule="exact"/>
        <w:contextualSpacing/>
        <w:jc w:val="left"/>
        <w:rPr>
          <w:rFonts w:hint="eastAsia" w:ascii="宋体" w:hAnsi="宋体"/>
          <w:color w:val="auto"/>
          <w:sz w:val="24"/>
          <w:highlight w:val="none"/>
        </w:rPr>
      </w:pPr>
      <w:r>
        <w:rPr>
          <w:rFonts w:hint="eastAsia" w:ascii="宋体" w:hAnsi="宋体"/>
          <w:color w:val="auto"/>
          <w:sz w:val="24"/>
          <w:highlight w:val="none"/>
        </w:rPr>
        <w:t xml:space="preserve">                                                  年    月    日</w:t>
      </w:r>
    </w:p>
    <w:p>
      <w:pPr>
        <w:spacing w:line="400" w:lineRule="exact"/>
        <w:contextualSpacing/>
        <w:jc w:val="left"/>
        <w:rPr>
          <w:rFonts w:hint="eastAsia" w:ascii="宋体" w:hAnsi="宋体"/>
          <w:color w:val="auto"/>
          <w:sz w:val="24"/>
          <w:highlight w:val="none"/>
        </w:rPr>
      </w:pPr>
    </w:p>
    <w:p>
      <w:pPr>
        <w:rPr>
          <w:rFonts w:hint="eastAsia"/>
          <w:b/>
          <w:color w:val="auto"/>
          <w:sz w:val="28"/>
          <w:szCs w:val="28"/>
          <w:highlight w:val="none"/>
        </w:rPr>
      </w:pPr>
      <w:bookmarkStart w:id="142" w:name="_Toc19686838"/>
      <w:r>
        <w:rPr>
          <w:b/>
          <w:color w:val="auto"/>
          <w:sz w:val="28"/>
          <w:szCs w:val="28"/>
          <w:highlight w:val="none"/>
        </w:rPr>
        <w:br w:type="page"/>
      </w:r>
      <w:r>
        <w:rPr>
          <w:rFonts w:hint="eastAsia"/>
          <w:b/>
          <w:color w:val="auto"/>
          <w:sz w:val="28"/>
          <w:szCs w:val="28"/>
          <w:highlight w:val="none"/>
        </w:rPr>
        <w:t>四、商务文件格式</w:t>
      </w:r>
      <w:bookmarkEnd w:id="142"/>
    </w:p>
    <w:p>
      <w:pPr>
        <w:snapToGrid w:val="0"/>
        <w:spacing w:before="120" w:beforeLines="50" w:after="50" w:line="360" w:lineRule="auto"/>
        <w:jc w:val="left"/>
        <w:rPr>
          <w:rFonts w:hint="eastAsia" w:ascii="宋体" w:hAnsi="宋体"/>
          <w:b/>
          <w:color w:val="auto"/>
          <w:sz w:val="24"/>
          <w:highlight w:val="none"/>
        </w:rPr>
      </w:pPr>
      <w:r>
        <w:rPr>
          <w:rFonts w:hint="eastAsia" w:ascii="宋体" w:hAnsi="宋体"/>
          <w:b/>
          <w:color w:val="auto"/>
          <w:sz w:val="24"/>
          <w:highlight w:val="none"/>
        </w:rPr>
        <w:t xml:space="preserve">1.商务文件封面格式： </w:t>
      </w:r>
    </w:p>
    <w:p>
      <w:pPr>
        <w:snapToGrid w:val="0"/>
        <w:spacing w:before="120" w:beforeLines="50" w:after="50"/>
        <w:rPr>
          <w:rFonts w:hint="eastAsia"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line="40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  标  文  件</w:t>
      </w: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商  务  文  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ind w:firstLine="540" w:firstLineChars="225"/>
        <w:rPr>
          <w:rFonts w:hint="eastAsia" w:ascii="宋体" w:hAnsi="宋体"/>
          <w:bCs/>
          <w:color w:val="auto"/>
          <w:sz w:val="24"/>
          <w:szCs w:val="20"/>
          <w:highlight w:val="none"/>
        </w:rPr>
      </w:pPr>
    </w:p>
    <w:p>
      <w:pPr>
        <w:pStyle w:val="10"/>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10"/>
        <w:snapToGrid w:val="0"/>
        <w:spacing w:before="50" w:after="50"/>
        <w:ind w:firstLine="540" w:firstLineChars="225"/>
        <w:rPr>
          <w:rFonts w:hint="eastAsia" w:ascii="宋体" w:hAnsi="宋体"/>
          <w:bCs/>
          <w:color w:val="auto"/>
          <w:sz w:val="24"/>
          <w:szCs w:val="24"/>
          <w:highlight w:val="none"/>
        </w:rPr>
      </w:pPr>
    </w:p>
    <w:p>
      <w:pPr>
        <w:pStyle w:val="10"/>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投标人地址：</w:t>
      </w:r>
    </w:p>
    <w:p>
      <w:pPr>
        <w:pStyle w:val="10"/>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hint="eastAsia" w:ascii="宋体" w:hAnsi="宋体"/>
          <w:b/>
          <w:bCs/>
          <w:color w:val="auto"/>
          <w:sz w:val="24"/>
          <w:highlight w:val="none"/>
        </w:rPr>
      </w:pPr>
      <w:r>
        <w:rPr>
          <w:rFonts w:ascii="宋体" w:hAnsi="宋体"/>
          <w:color w:val="auto"/>
          <w:sz w:val="24"/>
          <w:szCs w:val="20"/>
          <w:highlight w:val="none"/>
        </w:rPr>
        <w:br w:type="page"/>
      </w:r>
      <w:r>
        <w:rPr>
          <w:rFonts w:hint="eastAsia" w:ascii="宋体" w:hAnsi="宋体"/>
          <w:b/>
          <w:bCs/>
          <w:color w:val="auto"/>
          <w:sz w:val="24"/>
          <w:highlight w:val="none"/>
        </w:rPr>
        <w:t>2.商务文件目录</w:t>
      </w:r>
    </w:p>
    <w:p>
      <w:pPr>
        <w:snapToGrid w:val="0"/>
        <w:spacing w:before="50" w:after="120" w:afterLines="50" w:line="360" w:lineRule="auto"/>
        <w:ind w:firstLine="480" w:firstLineChars="200"/>
        <w:jc w:val="left"/>
        <w:rPr>
          <w:rFonts w:hint="eastAsia" w:ascii="宋体" w:hAnsi="宋体"/>
          <w:color w:val="auto"/>
          <w:sz w:val="32"/>
          <w:szCs w:val="32"/>
          <w:highlight w:val="none"/>
        </w:rPr>
      </w:pPr>
      <w:r>
        <w:rPr>
          <w:rFonts w:hint="eastAsia" w:ascii="宋体" w:hAnsi="宋体"/>
          <w:color w:val="auto"/>
          <w:sz w:val="24"/>
          <w:highlight w:val="none"/>
        </w:rPr>
        <w:t>根据招标文件规定及投标人提供的材料自行编写目录。</w:t>
      </w:r>
    </w:p>
    <w:p>
      <w:pPr>
        <w:snapToGrid w:val="0"/>
        <w:spacing w:before="50" w:after="120" w:afterLines="50"/>
        <w:jc w:val="left"/>
        <w:rPr>
          <w:rFonts w:hint="eastAsia" w:ascii="宋体" w:hAnsi="宋体"/>
          <w:color w:val="auto"/>
          <w:highlight w:val="none"/>
        </w:rPr>
      </w:pPr>
    </w:p>
    <w:p>
      <w:pPr>
        <w:snapToGrid w:val="0"/>
        <w:spacing w:before="120" w:beforeLines="50" w:after="5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hint="eastAsia" w:ascii="宋体" w:hAnsi="宋体"/>
          <w:b/>
          <w:color w:val="auto"/>
          <w:sz w:val="24"/>
          <w:highlight w:val="none"/>
        </w:rPr>
      </w:pPr>
    </w:p>
    <w:p>
      <w:pPr>
        <w:snapToGrid w:val="0"/>
        <w:spacing w:before="120" w:beforeLines="50" w:after="50"/>
        <w:ind w:left="420"/>
        <w:jc w:val="center"/>
        <w:rPr>
          <w:rFonts w:hint="eastAsia" w:ascii="宋体" w:hAnsi="宋体"/>
          <w:b/>
          <w:color w:val="auto"/>
          <w:spacing w:val="-17"/>
          <w:sz w:val="32"/>
          <w:szCs w:val="32"/>
          <w:highlight w:val="none"/>
        </w:rPr>
      </w:pPr>
      <w:r>
        <w:rPr>
          <w:rFonts w:hint="eastAsia" w:ascii="方正小标宋简体" w:hAnsi="方正小标宋简体" w:eastAsia="方正小标宋简体" w:cs="方正小标宋简体"/>
          <w:bCs/>
          <w:color w:val="auto"/>
          <w:spacing w:val="-17"/>
          <w:sz w:val="44"/>
          <w:szCs w:val="44"/>
          <w:highlight w:val="none"/>
        </w:rPr>
        <w:t>投标人参加本项目无围标串标行为的承诺函</w:t>
      </w:r>
    </w:p>
    <w:p>
      <w:pPr>
        <w:snapToGrid w:val="0"/>
        <w:spacing w:before="120" w:beforeLines="50" w:after="50"/>
        <w:rPr>
          <w:rFonts w:ascii="宋体" w:hAnsi="宋体"/>
          <w:b/>
          <w:color w:val="auto"/>
          <w:sz w:val="24"/>
          <w:highlight w:val="none"/>
        </w:rPr>
      </w:pPr>
    </w:p>
    <w:p>
      <w:pPr>
        <w:spacing w:line="400" w:lineRule="exact"/>
        <w:contextualSpacing/>
        <w:jc w:val="left"/>
        <w:rPr>
          <w:rFonts w:hint="eastAsia"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 xml:space="preserve">1.不同投标人的投标文件由同一单位或者个人编制； </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5.不同投标人的投标文件相互混装；</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400" w:lineRule="exact"/>
        <w:contextualSpacing/>
        <w:jc w:val="left"/>
        <w:rPr>
          <w:rFonts w:hint="eastAsia" w:ascii="宋体" w:hAnsi="宋体"/>
          <w:color w:val="auto"/>
          <w:sz w:val="24"/>
          <w:highlight w:val="none"/>
        </w:rPr>
      </w:pPr>
      <w:r>
        <w:rPr>
          <w:rFonts w:hint="eastAsia" w:ascii="宋体" w:hAnsi="宋体"/>
          <w:b/>
          <w:color w:val="auto"/>
          <w:sz w:val="24"/>
          <w:highlight w:val="none"/>
        </w:rPr>
        <w:t>二、我方承诺无下列恶意串通的情形：</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1.投标人直接或者间接从采购人或者采购代理机构处获得其他投标人的相关信息并修改其投标文件或者投标文件；</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2.投标人按照采购人或者采购代理机构的授意撤换、修改投标文件或者投标文件；</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3.投标人之间协商报价、技术方案等投标文件或者投标文件的实质性内容；</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400" w:lineRule="exact"/>
        <w:ind w:firstLine="472" w:firstLineChars="196"/>
        <w:contextualSpacing/>
        <w:jc w:val="left"/>
        <w:rPr>
          <w:rFonts w:hint="eastAsia"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3"/>
        <w:spacing w:line="400" w:lineRule="exact"/>
        <w:ind w:firstLine="6840" w:firstLineChars="2850"/>
        <w:contextualSpacing/>
        <w:rPr>
          <w:rFonts w:hint="eastAsia" w:hAnsi="宋体"/>
          <w:color w:val="auto"/>
          <w:sz w:val="24"/>
          <w:szCs w:val="24"/>
          <w:highlight w:val="none"/>
        </w:rPr>
      </w:pPr>
    </w:p>
    <w:p>
      <w:pPr>
        <w:pStyle w:val="3"/>
        <w:spacing w:line="400" w:lineRule="exact"/>
        <w:contextualSpacing/>
        <w:jc w:val="center"/>
        <w:rPr>
          <w:rFonts w:hint="eastAsia" w:hAnsi="宋体" w:eastAsia="宋体"/>
          <w:color w:val="auto"/>
          <w:sz w:val="24"/>
          <w:szCs w:val="24"/>
          <w:highlight w:val="none"/>
          <w:lang w:eastAsia="zh-CN"/>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lang w:val="en-US" w:eastAsia="zh-CN"/>
        </w:rPr>
        <w:t xml:space="preserve">    </w:t>
      </w:r>
      <w:r>
        <w:rPr>
          <w:rFonts w:hAnsi="宋体"/>
          <w:color w:val="auto"/>
          <w:sz w:val="24"/>
          <w:szCs w:val="24"/>
          <w:highlight w:val="none"/>
        </w:rPr>
        <w:t xml:space="preserve">    </w:t>
      </w:r>
      <w:r>
        <w:rPr>
          <w:rFonts w:hint="eastAsia" w:hAnsi="宋体"/>
          <w:color w:val="auto"/>
          <w:sz w:val="24"/>
          <w:szCs w:val="24"/>
          <w:highlight w:val="none"/>
        </w:rPr>
        <w:t>投标人名称</w:t>
      </w:r>
      <w:r>
        <w:rPr>
          <w:rFonts w:hint="eastAsia" w:hAnsi="宋体"/>
          <w:color w:val="auto"/>
          <w:sz w:val="24"/>
          <w:szCs w:val="24"/>
          <w:highlight w:val="none"/>
          <w:lang w:eastAsia="zh-CN"/>
        </w:rPr>
        <w:t>（盖公章）</w:t>
      </w:r>
    </w:p>
    <w:p>
      <w:pPr>
        <w:pStyle w:val="3"/>
        <w:spacing w:line="400" w:lineRule="exact"/>
        <w:contextualSpacing/>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napToGrid w:val="0"/>
        <w:spacing w:before="120" w:beforeLines="50" w:after="50"/>
        <w:ind w:firstLine="472" w:firstLineChars="196"/>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4.法定代表人身份证明</w:t>
      </w:r>
    </w:p>
    <w:p>
      <w:pPr>
        <w:spacing w:before="240" w:beforeLines="100" w:after="120" w:afterLines="50"/>
        <w:ind w:left="540"/>
        <w:jc w:val="center"/>
        <w:rPr>
          <w:rFonts w:hint="eastAsia" w:ascii="宋体" w:hAnsi="Courier New"/>
          <w:b/>
          <w:color w:val="auto"/>
          <w:sz w:val="32"/>
          <w:szCs w:val="32"/>
          <w:highlight w:val="none"/>
        </w:rPr>
      </w:pPr>
    </w:p>
    <w:p>
      <w:pPr>
        <w:spacing w:before="240" w:beforeLines="100" w:after="120" w:afterLines="50"/>
        <w:ind w:left="54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法定代表人身份证明</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hint="eastAsia" w:ascii="宋体" w:hAnsi="宋体"/>
          <w:color w:val="auto"/>
          <w:sz w:val="24"/>
          <w:highlight w:val="none"/>
        </w:rPr>
      </w:pPr>
    </w:p>
    <w:p>
      <w:pPr>
        <w:spacing w:line="500" w:lineRule="exact"/>
        <w:ind w:left="540"/>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投标人名称</w:t>
      </w:r>
      <w:r>
        <w:rPr>
          <w:rFonts w:hint="eastAsia" w:ascii="宋体" w:hAnsi="宋体"/>
          <w:color w:val="auto"/>
          <w:sz w:val="24"/>
          <w:highlight w:val="none"/>
          <w:lang w:eastAsia="zh-CN"/>
        </w:rPr>
        <w:t>（盖公章）</w:t>
      </w:r>
    </w:p>
    <w:p>
      <w:pPr>
        <w:spacing w:line="500" w:lineRule="exact"/>
        <w:ind w:left="540"/>
        <w:jc w:val="right"/>
        <w:rPr>
          <w:rFonts w:hint="eastAsia" w:ascii="宋体" w:hAnsi="宋体"/>
          <w:color w:val="auto"/>
          <w:sz w:val="24"/>
          <w:highlight w:val="none"/>
        </w:rPr>
      </w:pPr>
    </w:p>
    <w:p>
      <w:pPr>
        <w:snapToGrid w:val="0"/>
        <w:spacing w:before="120" w:beforeLines="50" w:after="50"/>
        <w:ind w:left="540"/>
        <w:jc w:val="righ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napToGrid w:val="0"/>
        <w:spacing w:before="120" w:beforeLines="50" w:after="50"/>
        <w:jc w:val="center"/>
        <w:rPr>
          <w:rFonts w:hint="eastAsia" w:ascii="宋体" w:hAnsi="宋体"/>
          <w:b/>
          <w:color w:val="auto"/>
          <w:sz w:val="44"/>
          <w:szCs w:val="44"/>
          <w:highlight w:val="none"/>
        </w:rPr>
      </w:pPr>
    </w:p>
    <w:p>
      <w:pPr>
        <w:snapToGrid w:val="0"/>
        <w:spacing w:before="120" w:beforeLines="50" w:after="5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授权委托书</w:t>
      </w:r>
    </w:p>
    <w:p>
      <w:pPr>
        <w:snapToGrid w:val="0"/>
        <w:spacing w:before="120" w:beforeLines="50" w:after="50"/>
        <w:jc w:val="center"/>
        <w:rPr>
          <w:rFonts w:hint="eastAsia" w:ascii="宋体" w:hAnsi="宋体"/>
          <w:b/>
          <w:color w:val="auto"/>
          <w:sz w:val="32"/>
          <w:szCs w:val="32"/>
          <w:highlight w:val="none"/>
        </w:rPr>
      </w:pPr>
      <w:r>
        <w:rPr>
          <w:rFonts w:hint="eastAsia" w:ascii="宋体" w:hAnsi="宋体"/>
          <w:b/>
          <w:color w:val="auto"/>
          <w:sz w:val="32"/>
          <w:szCs w:val="32"/>
          <w:highlight w:val="none"/>
        </w:rPr>
        <w:t>（非联合体投标格式）</w:t>
      </w:r>
    </w:p>
    <w:p>
      <w:pPr>
        <w:snapToGrid w:val="0"/>
        <w:spacing w:before="120" w:beforeLines="50" w:after="50"/>
        <w:jc w:val="center"/>
        <w:rPr>
          <w:rFonts w:hint="eastAsia" w:ascii="宋体" w:hAnsi="宋体"/>
          <w:b/>
          <w:color w:val="auto"/>
          <w:sz w:val="24"/>
          <w:highlight w:val="none"/>
        </w:rPr>
      </w:pPr>
      <w:r>
        <w:rPr>
          <w:rFonts w:hint="eastAsia" w:ascii="宋体" w:hAnsi="宋体"/>
          <w:b/>
          <w:color w:val="auto"/>
          <w:sz w:val="32"/>
          <w:szCs w:val="32"/>
          <w:highlight w:val="none"/>
        </w:rPr>
        <w:t>（如有委托时）</w:t>
      </w:r>
    </w:p>
    <w:p>
      <w:pPr>
        <w:snapToGrid w:val="0"/>
        <w:spacing w:before="120" w:beforeLines="50" w:after="50"/>
        <w:jc w:val="center"/>
        <w:rPr>
          <w:rFonts w:hint="eastAsia" w:ascii="宋体" w:hAnsi="宋体"/>
          <w:b/>
          <w:color w:val="auto"/>
          <w:sz w:val="24"/>
          <w:highlight w:val="none"/>
        </w:rPr>
      </w:pPr>
    </w:p>
    <w:p>
      <w:pPr>
        <w:spacing w:line="360" w:lineRule="auto"/>
        <w:contextualSpacing/>
        <w:rPr>
          <w:rFonts w:hint="eastAsia"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 xml:space="preserve">    我方对委托代理人的签字事项负全部责任。</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委托代理人无转委托权，特此委托。</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附：法定代表人身份证明及委托代理人有效身份证正反面复印件</w:t>
      </w:r>
    </w:p>
    <w:p>
      <w:pPr>
        <w:spacing w:line="360" w:lineRule="auto"/>
        <w:contextualSpacing/>
        <w:rPr>
          <w:rFonts w:hint="eastAsia" w:ascii="宋体" w:hAnsi="宋体"/>
          <w:color w:val="auto"/>
          <w:sz w:val="24"/>
          <w:highlight w:val="none"/>
        </w:rPr>
      </w:pPr>
    </w:p>
    <w:p>
      <w:pPr>
        <w:spacing w:line="360" w:lineRule="auto"/>
        <w:contextualSpacing/>
        <w:rPr>
          <w:rFonts w:hint="eastAsia" w:ascii="宋体" w:hAnsi="宋体"/>
          <w:color w:val="auto"/>
          <w:sz w:val="24"/>
          <w:highlight w:val="none"/>
          <w:u w:val="singl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法定代表人（签字或签章）：</w:t>
      </w:r>
      <w:r>
        <w:rPr>
          <w:rFonts w:hint="eastAsia" w:ascii="宋体" w:hAnsi="宋体"/>
          <w:color w:val="auto"/>
          <w:sz w:val="24"/>
          <w:highlight w:val="none"/>
          <w:u w:val="single"/>
        </w:rPr>
        <w:t xml:space="preserve">              </w:t>
      </w:r>
    </w:p>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委托代理人身份证号码：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contextualSpacing/>
        <w:jc w:val="center"/>
        <w:rPr>
          <w:rFonts w:hint="eastAsia" w:ascii="宋体" w:hAnsi="宋体"/>
          <w:color w:val="auto"/>
          <w:sz w:val="24"/>
          <w:highlight w:val="none"/>
        </w:rPr>
      </w:pPr>
      <w:r>
        <w:rPr>
          <w:rFonts w:hint="eastAsia" w:ascii="宋体" w:hAnsi="宋体"/>
          <w:color w:val="auto"/>
          <w:sz w:val="24"/>
          <w:highlight w:val="none"/>
        </w:rPr>
        <w:t xml:space="preserve">                                                投标人</w:t>
      </w:r>
      <w:r>
        <w:rPr>
          <w:rFonts w:hint="eastAsia" w:ascii="宋体" w:hAnsi="宋体"/>
          <w:color w:val="auto"/>
          <w:sz w:val="24"/>
          <w:highlight w:val="none"/>
          <w:lang w:eastAsia="zh-CN"/>
        </w:rPr>
        <w:t>（盖公章）</w:t>
      </w:r>
      <w:r>
        <w:rPr>
          <w:rFonts w:hint="eastAsia" w:ascii="宋体" w:hAnsi="宋体"/>
          <w:color w:val="auto"/>
          <w:sz w:val="24"/>
          <w:highlight w:val="none"/>
        </w:rPr>
        <w:t>：</w:t>
      </w:r>
    </w:p>
    <w:p>
      <w:pPr>
        <w:spacing w:line="360" w:lineRule="auto"/>
        <w:contextualSpacing/>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pacing w:line="360" w:lineRule="auto"/>
        <w:contextualSpacing/>
        <w:rPr>
          <w:rFonts w:hint="eastAsia" w:ascii="宋体" w:hAnsi="宋体"/>
          <w:color w:val="auto"/>
          <w:sz w:val="24"/>
          <w:highlight w:val="none"/>
        </w:rPr>
      </w:pPr>
    </w:p>
    <w:p>
      <w:pPr>
        <w:spacing w:line="360" w:lineRule="auto"/>
        <w:contextualSpacing/>
        <w:rPr>
          <w:rFonts w:hint="eastAsia" w:ascii="宋体" w:hAnsi="宋体" w:cs="仿宋_GB2312"/>
          <w:color w:val="auto"/>
          <w:sz w:val="24"/>
          <w:highlight w:val="none"/>
        </w:rPr>
      </w:pPr>
      <w:r>
        <w:rPr>
          <w:rFonts w:hint="eastAsia" w:ascii="宋体" w:hAnsi="宋体" w:cs="仿宋_GB2312"/>
          <w:color w:val="auto"/>
          <w:sz w:val="24"/>
          <w:highlight w:val="none"/>
        </w:rPr>
        <w:t>注：1.</w:t>
      </w:r>
      <w:bookmarkStart w:id="143" w:name="_Hlk65851555"/>
      <w:r>
        <w:rPr>
          <w:rFonts w:hint="eastAsia" w:ascii="宋体" w:hAnsi="宋体" w:cs="仿宋_GB2312"/>
          <w:color w:val="auto"/>
          <w:sz w:val="24"/>
          <w:highlight w:val="none"/>
        </w:rPr>
        <w:t xml:space="preserve"> </w:t>
      </w:r>
      <w:bookmarkStart w:id="144" w:name="_Hlk65852380"/>
      <w:r>
        <w:rPr>
          <w:rFonts w:hint="eastAsia" w:ascii="宋体" w:hAnsi="宋体" w:cs="仿宋_GB2312"/>
          <w:color w:val="auto"/>
          <w:sz w:val="24"/>
          <w:highlight w:val="none"/>
        </w:rPr>
        <w:t>法定代表人必须在授权委托书上亲笔签字或签章，</w:t>
      </w:r>
      <w:bookmarkEnd w:id="143"/>
      <w:r>
        <w:rPr>
          <w:rFonts w:hint="eastAsia" w:ascii="宋体" w:hAnsi="宋体" w:cs="仿宋_GB2312"/>
          <w:color w:val="auto"/>
          <w:sz w:val="24"/>
          <w:highlight w:val="none"/>
        </w:rPr>
        <w:t>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bookmarkEnd w:id="144"/>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s="仿宋_GB2312"/>
          <w:color w:val="auto"/>
          <w:sz w:val="24"/>
          <w:highlight w:val="none"/>
        </w:rPr>
        <w:t>2.</w:t>
      </w:r>
      <w:bookmarkStart w:id="145" w:name="_Hlk65852305"/>
      <w:r>
        <w:rPr>
          <w:rFonts w:hint="eastAsia" w:ascii="宋体" w:hAnsi="宋体" w:cs="仿宋_GB2312"/>
          <w:color w:val="auto"/>
          <w:sz w:val="24"/>
          <w:highlight w:val="none"/>
        </w:rPr>
        <w:t>法人、其他组织投标时“我方”是指“我单位”，自然人投标时“我方”是指“本人”。</w:t>
      </w:r>
    </w:p>
    <w:bookmarkEnd w:id="145"/>
    <w:p>
      <w:pPr>
        <w:snapToGrid w:val="0"/>
        <w:spacing w:before="120" w:beforeLines="50" w:after="50"/>
        <w:ind w:firstLine="566" w:firstLineChars="236"/>
        <w:jc w:val="center"/>
        <w:rPr>
          <w:rFonts w:hint="eastAsia" w:ascii="方正小标宋简体" w:hAnsi="方正小标宋简体" w:eastAsia="方正小标宋简体" w:cs="方正小标宋简体"/>
          <w:color w:val="auto"/>
          <w:sz w:val="44"/>
          <w:szCs w:val="44"/>
          <w:highlight w:val="none"/>
        </w:rPr>
      </w:pPr>
      <w:r>
        <w:rPr>
          <w:rFonts w:ascii="宋体" w:hAnsi="宋体"/>
          <w:color w:val="auto"/>
          <w:sz w:val="24"/>
          <w:highlight w:val="none"/>
        </w:rPr>
        <w:br w:type="page"/>
      </w:r>
      <w:r>
        <w:rPr>
          <w:rFonts w:hint="eastAsia" w:ascii="方正小标宋简体" w:hAnsi="方正小标宋简体" w:eastAsia="方正小标宋简体" w:cs="方正小标宋简体"/>
          <w:color w:val="auto"/>
          <w:sz w:val="44"/>
          <w:szCs w:val="44"/>
          <w:highlight w:val="none"/>
        </w:rPr>
        <w:t>授权委托书</w:t>
      </w:r>
    </w:p>
    <w:p>
      <w:pPr>
        <w:snapToGrid w:val="0"/>
        <w:spacing w:before="120" w:beforeLines="50" w:after="50"/>
        <w:ind w:firstLine="758" w:firstLineChars="236"/>
        <w:jc w:val="center"/>
        <w:rPr>
          <w:rFonts w:hint="eastAsia" w:ascii="宋体" w:hAnsi="宋体"/>
          <w:b/>
          <w:bCs/>
          <w:color w:val="auto"/>
          <w:sz w:val="32"/>
          <w:szCs w:val="32"/>
          <w:highlight w:val="none"/>
        </w:rPr>
      </w:pPr>
      <w:r>
        <w:rPr>
          <w:rFonts w:hint="eastAsia" w:ascii="宋体" w:hAnsi="宋体"/>
          <w:b/>
          <w:bCs/>
          <w:color w:val="auto"/>
          <w:sz w:val="32"/>
          <w:szCs w:val="32"/>
          <w:highlight w:val="none"/>
        </w:rPr>
        <w:t>（联合体投标格式）</w:t>
      </w:r>
    </w:p>
    <w:p>
      <w:pPr>
        <w:snapToGrid w:val="0"/>
        <w:spacing w:before="120" w:beforeLines="50" w:after="50"/>
        <w:ind w:firstLine="758" w:firstLineChars="236"/>
        <w:jc w:val="center"/>
        <w:rPr>
          <w:rFonts w:ascii="宋体" w:hAnsi="宋体"/>
          <w:color w:val="auto"/>
          <w:sz w:val="24"/>
          <w:highlight w:val="none"/>
        </w:rPr>
      </w:pPr>
      <w:r>
        <w:rPr>
          <w:rFonts w:hint="eastAsia" w:ascii="宋体" w:hAnsi="宋体"/>
          <w:b/>
          <w:bCs/>
          <w:color w:val="auto"/>
          <w:sz w:val="32"/>
          <w:szCs w:val="32"/>
          <w:highlight w:val="none"/>
        </w:rPr>
        <w:t>（如有委托时）</w:t>
      </w:r>
    </w:p>
    <w:p>
      <w:pPr>
        <w:spacing w:line="360" w:lineRule="auto"/>
        <w:contextualSpacing/>
        <w:jc w:val="left"/>
        <w:rPr>
          <w:rFonts w:hint="eastAsia" w:ascii="宋体" w:hAnsi="宋体"/>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 xml:space="preserve">根据 </w:t>
      </w:r>
      <w:r>
        <w:rPr>
          <w:rFonts w:hint="eastAsia" w:ascii="宋体" w:hAnsi="宋体"/>
          <w:color w:val="auto"/>
          <w:sz w:val="24"/>
          <w:highlight w:val="none"/>
          <w:u w:val="single"/>
        </w:rPr>
        <w:t xml:space="preserve"> （牵头人名称）</w:t>
      </w:r>
      <w:r>
        <w:rPr>
          <w:rFonts w:hint="eastAsia" w:ascii="宋体" w:hAnsi="宋体"/>
          <w:color w:val="auto"/>
          <w:sz w:val="24"/>
          <w:highlight w:val="none"/>
        </w:rPr>
        <w:t>与</w:t>
      </w:r>
      <w:r>
        <w:rPr>
          <w:rFonts w:hint="eastAsia" w:ascii="宋体" w:hAnsi="宋体"/>
          <w:color w:val="auto"/>
          <w:sz w:val="24"/>
          <w:highlight w:val="none"/>
          <w:u w:val="single"/>
        </w:rPr>
        <w:t>（联合体其他成员名称）</w:t>
      </w:r>
      <w:r>
        <w:rPr>
          <w:rFonts w:hint="eastAsia" w:ascii="宋体" w:hAnsi="宋体"/>
          <w:color w:val="auto"/>
          <w:sz w:val="24"/>
          <w:highlight w:val="none"/>
        </w:rPr>
        <w:t>签订的《联合体投标协议书》的内容，</w:t>
      </w:r>
      <w:r>
        <w:rPr>
          <w:rFonts w:hint="eastAsia" w:ascii="宋体" w:hAnsi="宋体"/>
          <w:color w:val="auto"/>
          <w:sz w:val="24"/>
          <w:highlight w:val="none"/>
          <w:u w:val="single"/>
        </w:rPr>
        <w:t>（牵头人名称）</w:t>
      </w:r>
      <w:r>
        <w:rPr>
          <w:rFonts w:hint="eastAsia" w:ascii="宋体" w:hAnsi="宋体"/>
          <w:color w:val="auto"/>
          <w:sz w:val="24"/>
          <w:highlight w:val="none"/>
        </w:rPr>
        <w:t>的法定代表人</w:t>
      </w:r>
      <w:r>
        <w:rPr>
          <w:rFonts w:hint="eastAsia" w:ascii="宋体" w:hAnsi="宋体"/>
          <w:color w:val="auto"/>
          <w:sz w:val="24"/>
          <w:highlight w:val="none"/>
          <w:u w:val="single"/>
        </w:rPr>
        <w:t>（姓名）</w:t>
      </w:r>
      <w:r>
        <w:rPr>
          <w:rFonts w:hint="eastAsia" w:ascii="宋体" w:hAnsi="宋体"/>
          <w:color w:val="auto"/>
          <w:sz w:val="24"/>
          <w:highlight w:val="none"/>
        </w:rPr>
        <w:t>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我方对委托代理人的签字事项负全部责任。</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本授权书自签署之日起生效，在撤销授权的书面通知以前，本授权书一直有效。委托代理人在授权书有效期内签署的所有文件不因授权的撤销而失效。</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委托代理人无转委托权，特此委托。</w:t>
      </w:r>
    </w:p>
    <w:p>
      <w:pPr>
        <w:spacing w:line="360" w:lineRule="auto"/>
        <w:ind w:firstLine="566" w:firstLineChars="236"/>
        <w:contextualSpacing/>
        <w:rPr>
          <w:rFonts w:ascii="宋体" w:hAnsi="宋体"/>
          <w:color w:val="auto"/>
          <w:sz w:val="24"/>
          <w:highlight w:val="none"/>
        </w:rPr>
      </w:pPr>
      <w:r>
        <w:rPr>
          <w:rFonts w:hint="eastAsia" w:ascii="宋体" w:hAnsi="宋体"/>
          <w:color w:val="auto"/>
          <w:sz w:val="24"/>
          <w:highlight w:val="none"/>
        </w:rPr>
        <w:t>附：牵头人法定代表人身份证明及委托代理人有效身份证正反面复印件</w:t>
      </w:r>
    </w:p>
    <w:p>
      <w:pPr>
        <w:spacing w:line="360" w:lineRule="auto"/>
        <w:ind w:firstLine="566" w:firstLineChars="236"/>
        <w:contextualSpacing/>
        <w:rPr>
          <w:rFonts w:hint="eastAsia" w:ascii="宋体" w:hAnsi="宋体"/>
          <w:color w:val="auto"/>
          <w:sz w:val="24"/>
          <w:highlight w:val="none"/>
        </w:rPr>
      </w:pP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牵头人法定代表人（签字或签章）：</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牵头人</w:t>
      </w:r>
      <w:r>
        <w:rPr>
          <w:rFonts w:hint="eastAsia" w:ascii="宋体" w:hAnsi="宋体"/>
          <w:color w:val="auto"/>
          <w:sz w:val="24"/>
          <w:highlight w:val="none"/>
          <w:lang w:eastAsia="zh-CN"/>
        </w:rPr>
        <w:t>（盖公章）</w:t>
      </w:r>
      <w:r>
        <w:rPr>
          <w:rFonts w:hint="eastAsia" w:ascii="宋体" w:hAnsi="宋体"/>
          <w:color w:val="auto"/>
          <w:sz w:val="24"/>
          <w:highlight w:val="none"/>
        </w:rPr>
        <w:t>：</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日期：    年   月   日</w:t>
      </w:r>
    </w:p>
    <w:p>
      <w:pPr>
        <w:spacing w:line="360" w:lineRule="auto"/>
        <w:ind w:firstLine="566" w:firstLineChars="236"/>
        <w:contextualSpacing/>
        <w:rPr>
          <w:rFonts w:hint="eastAsia" w:ascii="宋体" w:hAnsi="宋体"/>
          <w:color w:val="auto"/>
          <w:sz w:val="24"/>
          <w:highlight w:val="none"/>
        </w:rPr>
      </w:pP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被授权人（签字）：</w:t>
      </w:r>
    </w:p>
    <w:p>
      <w:pPr>
        <w:spacing w:line="360" w:lineRule="auto"/>
        <w:ind w:firstLine="566" w:firstLineChars="236"/>
        <w:contextualSpacing/>
        <w:rPr>
          <w:rFonts w:hint="eastAsia" w:ascii="宋体" w:hAnsi="宋体" w:cs="仿宋_GB2312"/>
          <w:color w:val="auto"/>
          <w:sz w:val="24"/>
          <w:highlight w:val="none"/>
        </w:rPr>
      </w:pPr>
      <w:r>
        <w:rPr>
          <w:rFonts w:hint="eastAsia" w:ascii="宋体" w:hAnsi="宋体"/>
          <w:color w:val="auto"/>
          <w:sz w:val="24"/>
          <w:highlight w:val="none"/>
        </w:rPr>
        <w:t>日期：    年   月   日</w:t>
      </w:r>
    </w:p>
    <w:p>
      <w:pPr>
        <w:spacing w:line="360" w:lineRule="auto"/>
        <w:rPr>
          <w:rFonts w:hint="eastAsia" w:ascii="宋体" w:hAnsi="宋体" w:cs="仿宋_GB2312"/>
          <w:color w:val="auto"/>
          <w:sz w:val="24"/>
          <w:highlight w:val="none"/>
        </w:rPr>
      </w:pPr>
      <w:r>
        <w:rPr>
          <w:rFonts w:hint="eastAsia" w:ascii="宋体" w:hAnsi="宋体" w:cs="仿宋_GB2312"/>
          <w:color w:val="auto"/>
          <w:sz w:val="24"/>
          <w:highlight w:val="none"/>
        </w:rPr>
        <w:t>注：1.</w:t>
      </w:r>
      <w:bookmarkStart w:id="146" w:name="_Hlk65852428"/>
      <w:r>
        <w:rPr>
          <w:rFonts w:hint="eastAsia" w:ascii="宋体" w:hAnsi="宋体" w:cs="仿宋_GB2312"/>
          <w:color w:val="auto"/>
          <w:sz w:val="24"/>
          <w:highlight w:val="none"/>
        </w:rPr>
        <w:t xml:space="preserve"> 法定代表人必须在授权委托书上亲笔签字或签章，委托代理人必须在授权委托书上亲笔签字，</w:t>
      </w:r>
      <w:bookmarkEnd w:id="146"/>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p>
    <w:p>
      <w:pPr>
        <w:spacing w:line="360" w:lineRule="auto"/>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2.本授权委托书应由联合体牵头人的法定代表人按上述规定签字。</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s="仿宋_GB2312"/>
          <w:color w:val="auto"/>
          <w:sz w:val="24"/>
          <w:highlight w:val="none"/>
        </w:rPr>
        <w:t>3</w:t>
      </w:r>
      <w:r>
        <w:rPr>
          <w:rFonts w:ascii="宋体" w:hAnsi="宋体" w:cs="仿宋_GB2312"/>
          <w:color w:val="auto"/>
          <w:sz w:val="24"/>
          <w:highlight w:val="none"/>
        </w:rPr>
        <w:t>.</w:t>
      </w:r>
      <w:bookmarkStart w:id="147" w:name="_Hlk65852658"/>
      <w:r>
        <w:rPr>
          <w:rFonts w:hint="eastAsia" w:ascii="宋体" w:hAnsi="宋体" w:cs="仿宋_GB2312"/>
          <w:color w:val="auto"/>
          <w:sz w:val="24"/>
          <w:highlight w:val="none"/>
        </w:rPr>
        <w:t>法人、其他组织投标时“我方”是指“我单位”，自然人投标时“我方”是指“本人”。</w:t>
      </w:r>
    </w:p>
    <w:bookmarkEnd w:id="147"/>
    <w:p>
      <w:pPr>
        <w:snapToGrid w:val="0"/>
        <w:spacing w:before="50" w:after="120" w:afterLines="50"/>
        <w:ind w:firstLine="480" w:firstLineChars="200"/>
        <w:jc w:val="left"/>
        <w:rPr>
          <w:rFonts w:hint="eastAsia" w:ascii="宋体" w:hAnsi="宋体"/>
          <w:color w:val="auto"/>
          <w:sz w:val="24"/>
          <w:highlight w:val="none"/>
        </w:rPr>
        <w:sectPr>
          <w:headerReference r:id="rId6" w:type="first"/>
          <w:footerReference r:id="rId9" w:type="first"/>
          <w:headerReference r:id="rId5" w:type="default"/>
          <w:footerReference r:id="rId7" w:type="default"/>
          <w:footerReference r:id="rId8" w:type="even"/>
          <w:pgSz w:w="11906" w:h="16838"/>
          <w:pgMar w:top="1417" w:right="1701" w:bottom="1417" w:left="1701" w:header="851" w:footer="992" w:gutter="0"/>
          <w:cols w:space="720" w:num="1"/>
          <w:titlePg/>
          <w:docGrid w:linePitch="312" w:charSpace="0"/>
        </w:sectPr>
      </w:pPr>
    </w:p>
    <w:p>
      <w:pPr>
        <w:rPr>
          <w:rFonts w:hint="eastAsia" w:ascii="宋体" w:hAnsi="宋体"/>
          <w:b/>
          <w:color w:val="auto"/>
          <w:sz w:val="24"/>
          <w:szCs w:val="20"/>
          <w:highlight w:val="none"/>
        </w:rPr>
      </w:pPr>
      <w:r>
        <w:rPr>
          <w:rFonts w:hint="eastAsia" w:ascii="宋体" w:hAnsi="宋体"/>
          <w:b/>
          <w:color w:val="auto"/>
          <w:sz w:val="24"/>
          <w:highlight w:val="none"/>
          <w:lang w:val="en-US" w:eastAsia="zh-CN"/>
        </w:rPr>
        <w:t>6.</w:t>
      </w:r>
      <w:r>
        <w:rPr>
          <w:rFonts w:hint="eastAsia" w:ascii="宋体" w:hAnsi="宋体"/>
          <w:b/>
          <w:color w:val="auto"/>
          <w:sz w:val="24"/>
          <w:highlight w:val="none"/>
        </w:rPr>
        <w:t>商务条款偏离表格式(注：按项目需求表具体项目修改)</w:t>
      </w:r>
    </w:p>
    <w:p>
      <w:pPr>
        <w:snapToGrid w:val="0"/>
        <w:spacing w:before="50"/>
        <w:jc w:val="left"/>
        <w:rPr>
          <w:rFonts w:hint="eastAsia" w:ascii="宋体" w:hAnsi="宋体"/>
          <w:color w:val="auto"/>
          <w:sz w:val="24"/>
          <w:highlight w:val="none"/>
        </w:rPr>
      </w:pPr>
    </w:p>
    <w:p>
      <w:pPr>
        <w:pStyle w:val="3"/>
        <w:rPr>
          <w:rFonts w:hint="eastAsia"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p>
      <w:pPr>
        <w:snapToGrid w:val="0"/>
        <w:spacing w:before="50"/>
        <w:jc w:val="left"/>
        <w:rPr>
          <w:rFonts w:hint="eastAsia" w:ascii="宋体" w:hAnsi="宋体"/>
          <w:color w:val="auto"/>
          <w:sz w:val="24"/>
          <w:highlight w:val="none"/>
          <w:u w:val="single"/>
        </w:rPr>
      </w:pPr>
    </w:p>
    <w:tbl>
      <w:tblPr>
        <w:tblStyle w:val="45"/>
        <w:tblW w:w="8641" w:type="dxa"/>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项目</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招标文件商务条款要求</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auto"/>
                <w:sz w:val="24"/>
                <w:highlight w:val="none"/>
              </w:rPr>
            </w:pP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olor w:val="auto"/>
                <w:sz w:val="24"/>
                <w:highlight w:val="none"/>
                <w:u w:val="singl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 w:val="24"/>
                <w:highlight w:val="none"/>
              </w:rPr>
            </w:pP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bl>
    <w:p>
      <w:pPr>
        <w:pStyle w:val="18"/>
        <w:rPr>
          <w:rFonts w:hint="eastAsia" w:ascii="宋体" w:hAnsi="宋体"/>
          <w:color w:val="auto"/>
          <w:highlight w:val="none"/>
        </w:rPr>
      </w:pPr>
      <w:r>
        <w:rPr>
          <w:rFonts w:hint="eastAsia" w:ascii="宋体" w:hAnsi="宋体"/>
          <w:color w:val="auto"/>
          <w:highlight w:val="none"/>
        </w:rPr>
        <w:t>注：</w:t>
      </w:r>
    </w:p>
    <w:p>
      <w:pPr>
        <w:pStyle w:val="19"/>
        <w:spacing w:line="520" w:lineRule="exact"/>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 说明：应对照招标文件“第二章 采购需求”中的商务条款逐条实质性响应，并作出偏离说明。</w:t>
      </w:r>
    </w:p>
    <w:p>
      <w:pPr>
        <w:pStyle w:val="18"/>
        <w:rPr>
          <w:rFonts w:ascii="宋体" w:hAnsi="宋体"/>
          <w:b w:val="0"/>
          <w:bCs w:val="0"/>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投标人应根据自身的承诺，对照招标文件要求在“偏离说明”中注明“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snapToGrid w:val="0"/>
        <w:spacing w:before="50" w:after="50"/>
        <w:rPr>
          <w:rFonts w:ascii="宋体" w:hAnsi="宋体"/>
          <w:color w:val="auto"/>
          <w:sz w:val="24"/>
          <w:highlight w:val="none"/>
        </w:rPr>
      </w:pPr>
    </w:p>
    <w:p>
      <w:pPr>
        <w:snapToGrid w:val="0"/>
        <w:spacing w:before="50" w:after="50"/>
        <w:rPr>
          <w:rFonts w:ascii="宋体" w:hAnsi="宋体"/>
          <w:color w:val="auto"/>
          <w:sz w:val="24"/>
          <w:highlight w:val="none"/>
        </w:rPr>
      </w:pPr>
    </w:p>
    <w:p>
      <w:pPr>
        <w:snapToGrid w:val="0"/>
        <w:spacing w:before="50" w:after="50"/>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（签字或签章）：</w:t>
      </w:r>
      <w:r>
        <w:rPr>
          <w:rFonts w:hint="eastAsia" w:ascii="宋体" w:hAnsi="宋体"/>
          <w:color w:val="auto"/>
          <w:spacing w:val="20"/>
          <w:sz w:val="24"/>
          <w:highlight w:val="none"/>
          <w:u w:val="single"/>
        </w:rPr>
        <w:t xml:space="preserve">        </w:t>
      </w:r>
    </w:p>
    <w:p>
      <w:pPr>
        <w:snapToGrid w:val="0"/>
        <w:spacing w:before="120" w:beforeLines="50"/>
        <w:rPr>
          <w:rFonts w:hint="eastAsia" w:ascii="宋体" w:hAnsi="宋体"/>
          <w:color w:val="auto"/>
          <w:spacing w:val="20"/>
          <w:sz w:val="24"/>
          <w:highlight w:val="none"/>
        </w:rPr>
      </w:pPr>
      <w:r>
        <w:rPr>
          <w:rFonts w:hint="eastAsia" w:ascii="宋体" w:hAnsi="宋体"/>
          <w:color w:val="auto"/>
          <w:spacing w:val="20"/>
          <w:sz w:val="24"/>
          <w:highlight w:val="none"/>
        </w:rPr>
        <w:t>投标人</w:t>
      </w:r>
      <w:r>
        <w:rPr>
          <w:rFonts w:hint="eastAsia" w:ascii="宋体" w:hAnsi="宋体"/>
          <w:color w:val="auto"/>
          <w:spacing w:val="20"/>
          <w:sz w:val="24"/>
          <w:highlight w:val="none"/>
          <w:lang w:eastAsia="zh-CN"/>
        </w:rPr>
        <w:t>（盖公章）</w:t>
      </w:r>
      <w:r>
        <w:rPr>
          <w:rFonts w:hint="eastAsia" w:ascii="宋体" w:hAnsi="宋体"/>
          <w:color w:val="auto"/>
          <w:spacing w:val="20"/>
          <w:sz w:val="24"/>
          <w:highlight w:val="none"/>
        </w:rPr>
        <w:t>：</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120" w:beforeLines="50"/>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after="50"/>
        <w:jc w:val="left"/>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pStyle w:val="44"/>
        <w:rPr>
          <w:rFonts w:hint="default" w:ascii="宋体" w:hAnsi="宋体" w:eastAsia="宋体"/>
          <w:b/>
          <w:color w:val="auto"/>
          <w:sz w:val="24"/>
          <w:highlight w:val="none"/>
          <w:lang w:val="en-US" w:eastAsia="zh-CN"/>
        </w:rPr>
      </w:pPr>
    </w:p>
    <w:p>
      <w:pPr>
        <w:snapToGrid w:val="0"/>
        <w:spacing w:before="120" w:beforeLines="50" w:after="50"/>
        <w:jc w:val="left"/>
        <w:rPr>
          <w:rFonts w:hint="eastAsia" w:ascii="宋体" w:hAnsi="宋体"/>
          <w:b/>
          <w:color w:val="auto"/>
          <w:sz w:val="24"/>
          <w:highlight w:val="none"/>
        </w:rPr>
      </w:pPr>
      <w:r>
        <w:rPr>
          <w:rFonts w:hint="eastAsia" w:ascii="宋体" w:hAnsi="宋体"/>
          <w:b/>
          <w:color w:val="auto"/>
          <w:sz w:val="24"/>
          <w:highlight w:val="none"/>
          <w:lang w:val="en-US" w:eastAsia="zh-CN"/>
        </w:rPr>
        <w:t>7</w:t>
      </w:r>
      <w:r>
        <w:rPr>
          <w:rFonts w:hint="eastAsia" w:ascii="宋体" w:hAnsi="宋体"/>
          <w:b/>
          <w:color w:val="auto"/>
          <w:sz w:val="24"/>
          <w:highlight w:val="none"/>
        </w:rPr>
        <w:t>.投标人业绩证明材料</w:t>
      </w:r>
    </w:p>
    <w:p>
      <w:pPr>
        <w:pStyle w:val="33"/>
        <w:snapToGrid w:val="0"/>
        <w:ind w:left="480" w:hanging="480"/>
        <w:rPr>
          <w:rFonts w:hint="eastAsia" w:ascii="宋体" w:hAnsi="宋体"/>
          <w:color w:val="auto"/>
          <w:sz w:val="24"/>
          <w:highlight w:val="none"/>
        </w:rPr>
      </w:pPr>
    </w:p>
    <w:p>
      <w:pPr>
        <w:pStyle w:val="33"/>
        <w:snapToGrid w:val="0"/>
        <w:ind w:left="480" w:hanging="480"/>
        <w:rPr>
          <w:rFonts w:hint="eastAsia"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45"/>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13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highlight w:val="none"/>
              </w:rPr>
            </w:pPr>
            <w:r>
              <w:rPr>
                <w:rFonts w:hint="eastAsia" w:ascii="宋体" w:hAnsi="宋体"/>
                <w:color w:val="auto"/>
                <w:sz w:val="24"/>
                <w:highlight w:val="none"/>
              </w:rPr>
              <w:t>采购人名称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highlight w:val="none"/>
              </w:rPr>
            </w:pPr>
            <w:r>
              <w:rPr>
                <w:rFonts w:hint="eastAsia" w:ascii="宋体" w:hAnsi="宋体"/>
                <w:color w:val="auto"/>
                <w:sz w:val="24"/>
                <w:highlight w:val="none"/>
              </w:rPr>
              <w:t>项目名称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highlight w:val="none"/>
              </w:rPr>
            </w:pPr>
            <w:r>
              <w:rPr>
                <w:rFonts w:hint="eastAsia" w:ascii="宋体" w:hAnsi="宋体"/>
                <w:color w:val="auto"/>
                <w:sz w:val="24"/>
                <w:highlight w:val="none"/>
              </w:rPr>
              <w:t>合同金额</w:t>
            </w:r>
          </w:p>
          <w:p>
            <w:pPr>
              <w:snapToGrid w:val="0"/>
              <w:spacing w:line="400" w:lineRule="exact"/>
              <w:jc w:val="center"/>
              <w:rPr>
                <w:rFonts w:hint="eastAsia" w:ascii="宋体" w:hAnsi="宋体"/>
                <w:color w:val="auto"/>
                <w:sz w:val="24"/>
                <w:highlight w:val="none"/>
              </w:rPr>
            </w:pPr>
            <w:r>
              <w:rPr>
                <w:rFonts w:hint="eastAsia" w:ascii="宋体" w:hAnsi="宋体"/>
                <w:color w:val="auto"/>
                <w:sz w:val="24"/>
                <w:highlight w:val="none"/>
              </w:rPr>
              <w:t>（万元）</w:t>
            </w:r>
          </w:p>
        </w:tc>
        <w:tc>
          <w:tcPr>
            <w:tcW w:w="285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olor w:val="auto"/>
                <w:sz w:val="24"/>
                <w:highlight w:val="none"/>
              </w:rPr>
            </w:pPr>
            <w:r>
              <w:rPr>
                <w:rFonts w:hint="eastAsia" w:ascii="宋体" w:hAnsi="宋体"/>
                <w:color w:val="auto"/>
                <w:sz w:val="24"/>
                <w:highlight w:val="none"/>
              </w:rPr>
              <w:t>采购人联系人及</w:t>
            </w:r>
          </w:p>
          <w:p>
            <w:pPr>
              <w:snapToGrid w:val="0"/>
              <w:spacing w:line="400" w:lineRule="exact"/>
              <w:jc w:val="center"/>
              <w:rPr>
                <w:rFonts w:hint="eastAsia"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13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285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bl>
    <w:p>
      <w:pPr>
        <w:pStyle w:val="16"/>
        <w:spacing w:before="0" w:after="0" w:line="360" w:lineRule="auto"/>
        <w:contextualSpacing/>
        <w:rPr>
          <w:rFonts w:hint="eastAsia" w:ascii="宋体" w:hAnsi="宋体" w:eastAsia="宋体"/>
          <w:color w:val="auto"/>
          <w:sz w:val="24"/>
          <w:szCs w:val="24"/>
          <w:highlight w:val="none"/>
        </w:rPr>
      </w:pPr>
    </w:p>
    <w:p>
      <w:pPr>
        <w:pStyle w:val="16"/>
        <w:spacing w:before="0" w:after="0" w:line="360" w:lineRule="auto"/>
        <w:contextualSpacing/>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color w:val="auto"/>
          <w:sz w:val="24"/>
          <w:highlight w:val="none"/>
        </w:rPr>
        <w:t>投标人根据评标标准具体要求附业绩证明材料。</w:t>
      </w:r>
    </w:p>
    <w:p>
      <w:pPr>
        <w:spacing w:line="360" w:lineRule="auto"/>
        <w:contextualSpacing/>
        <w:jc w:val="left"/>
        <w:rPr>
          <w:rFonts w:hint="eastAsia" w:ascii="宋体" w:hAnsi="宋体"/>
          <w:color w:val="auto"/>
          <w:sz w:val="24"/>
          <w:highlight w:val="none"/>
          <w:u w:val="single"/>
        </w:rPr>
      </w:pPr>
      <w:r>
        <w:rPr>
          <w:rFonts w:hint="eastAsia" w:ascii="宋体" w:hAnsi="宋体"/>
          <w:color w:val="auto"/>
          <w:sz w:val="24"/>
          <w:highlight w:val="none"/>
        </w:rPr>
        <w:t>法定代表人或者委托代理人（签字或签章）：</w:t>
      </w:r>
      <w:r>
        <w:rPr>
          <w:rFonts w:hint="eastAsia" w:ascii="宋体" w:hAnsi="宋体"/>
          <w:color w:val="auto"/>
          <w:sz w:val="24"/>
          <w:highlight w:val="none"/>
          <w:u w:val="single"/>
        </w:rPr>
        <w:t>　　　　　</w:t>
      </w:r>
    </w:p>
    <w:p>
      <w:pPr>
        <w:spacing w:line="360" w:lineRule="auto"/>
        <w:ind w:right="480"/>
        <w:contextualSpacing/>
        <w:jc w:val="left"/>
        <w:rPr>
          <w:rFonts w:hint="eastAsia" w:ascii="宋体" w:hAnsi="宋体"/>
          <w:color w:val="auto"/>
          <w:sz w:val="24"/>
          <w:szCs w:val="20"/>
          <w:highlight w:val="none"/>
        </w:rPr>
      </w:pPr>
      <w:r>
        <w:rPr>
          <w:rFonts w:hint="eastAsia" w:ascii="宋体" w:hAnsi="宋体" w:cs="Arial"/>
          <w:color w:val="auto"/>
          <w:sz w:val="24"/>
          <w:highlight w:val="none"/>
        </w:rPr>
        <w:t>投标人</w:t>
      </w:r>
      <w:r>
        <w:rPr>
          <w:rFonts w:hint="eastAsia" w:ascii="宋体" w:hAnsi="宋体" w:cs="Arial"/>
          <w:color w:val="auto"/>
          <w:sz w:val="24"/>
          <w:highlight w:val="none"/>
          <w:lang w:eastAsia="zh-CN"/>
        </w:rPr>
        <w:t>（盖公章）</w:t>
      </w:r>
      <w:r>
        <w:rPr>
          <w:rFonts w:hint="eastAsia" w:ascii="宋体" w:hAnsi="宋体" w:cs="Arial"/>
          <w:color w:val="auto"/>
          <w:sz w:val="24"/>
          <w:highlight w:val="non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hint="eastAsia" w:ascii="宋体" w:hAnsi="宋体"/>
          <w:color w:val="auto"/>
          <w:sz w:val="24"/>
          <w:szCs w:val="20"/>
          <w:highlight w:val="none"/>
        </w:rPr>
      </w:pPr>
    </w:p>
    <w:p>
      <w:pPr>
        <w:snapToGrid w:val="0"/>
        <w:spacing w:before="50"/>
        <w:jc w:val="left"/>
        <w:rPr>
          <w:rFonts w:hint="eastAsia" w:ascii="宋体" w:hAnsi="宋体"/>
          <w:color w:val="auto"/>
          <w:sz w:val="24"/>
          <w:highlight w:val="none"/>
        </w:rPr>
      </w:pPr>
    </w:p>
    <w:p>
      <w:pPr>
        <w:snapToGrid w:val="0"/>
        <w:spacing w:before="120" w:beforeLines="50"/>
        <w:rPr>
          <w:rFonts w:ascii="宋体" w:hAnsi="宋体"/>
          <w:color w:val="auto"/>
          <w:sz w:val="24"/>
          <w:szCs w:val="20"/>
          <w:highlight w:val="none"/>
        </w:rPr>
        <w:sectPr>
          <w:headerReference r:id="rId10" w:type="default"/>
          <w:footerReference r:id="rId11" w:type="default"/>
          <w:pgSz w:w="11906" w:h="16838"/>
          <w:pgMar w:top="1440" w:right="1797" w:bottom="1440" w:left="1797" w:header="851" w:footer="992" w:gutter="0"/>
          <w:cols w:space="720" w:num="1"/>
          <w:docGrid w:linePitch="312" w:charSpace="0"/>
        </w:sectPr>
      </w:pPr>
    </w:p>
    <w:p>
      <w:pPr>
        <w:rPr>
          <w:rFonts w:hint="eastAsia"/>
          <w:b/>
          <w:color w:val="auto"/>
          <w:sz w:val="28"/>
          <w:szCs w:val="28"/>
          <w:highlight w:val="none"/>
        </w:rPr>
      </w:pPr>
      <w:bookmarkStart w:id="148" w:name="_Toc19686839"/>
      <w:r>
        <w:rPr>
          <w:rFonts w:hint="eastAsia"/>
          <w:b/>
          <w:color w:val="auto"/>
          <w:sz w:val="28"/>
          <w:szCs w:val="28"/>
          <w:highlight w:val="none"/>
        </w:rPr>
        <w:t>五、技术文件格式</w:t>
      </w:r>
      <w:bookmarkEnd w:id="148"/>
    </w:p>
    <w:p>
      <w:pPr>
        <w:snapToGrid w:val="0"/>
        <w:spacing w:before="120" w:beforeLines="50" w:after="50"/>
        <w:ind w:left="142"/>
        <w:jc w:val="left"/>
        <w:rPr>
          <w:rFonts w:hint="eastAsia" w:ascii="宋体" w:hAnsi="宋体"/>
          <w:b/>
          <w:color w:val="auto"/>
          <w:sz w:val="24"/>
          <w:highlight w:val="none"/>
        </w:rPr>
      </w:pPr>
      <w:r>
        <w:rPr>
          <w:rFonts w:hint="eastAsia" w:ascii="宋体" w:hAnsi="宋体"/>
          <w:b/>
          <w:color w:val="auto"/>
          <w:sz w:val="24"/>
          <w:highlight w:val="none"/>
        </w:rPr>
        <w:t xml:space="preserve">1. 技术文件封面格式： </w:t>
      </w:r>
    </w:p>
    <w:p>
      <w:pPr>
        <w:snapToGrid w:val="0"/>
        <w:spacing w:before="120" w:beforeLines="50" w:after="50"/>
        <w:rPr>
          <w:rFonts w:hint="eastAsia" w:ascii="宋体" w:hAnsi="宋体"/>
          <w:b/>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hint="eastAsia" w:ascii="宋体" w:hAnsi="宋体"/>
          <w:color w:val="auto"/>
          <w:sz w:val="24"/>
          <w:szCs w:val="20"/>
          <w:highlight w:val="none"/>
        </w:rPr>
      </w:pPr>
    </w:p>
    <w:p>
      <w:pPr>
        <w:snapToGrid w:val="0"/>
        <w:spacing w:before="120" w:beforeLines="50" w:after="50" w:line="400" w:lineRule="exact"/>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  标  文  件</w:t>
      </w:r>
    </w:p>
    <w:p>
      <w:pPr>
        <w:snapToGrid w:val="0"/>
        <w:spacing w:before="120" w:beforeLines="50" w:after="50"/>
        <w:rPr>
          <w:rFonts w:hint="eastAsia" w:ascii="宋体" w:hAnsi="宋体"/>
          <w:color w:val="auto"/>
          <w:sz w:val="24"/>
          <w:szCs w:val="20"/>
          <w:highlight w:val="none"/>
        </w:rPr>
      </w:pPr>
    </w:p>
    <w:p>
      <w:pPr>
        <w:snapToGrid w:val="0"/>
        <w:spacing w:before="120" w:beforeLines="50" w:after="50"/>
        <w:rPr>
          <w:rFonts w:hint="eastAsia" w:ascii="宋体" w:hAnsi="宋体"/>
          <w:color w:val="auto"/>
          <w:sz w:val="24"/>
          <w:szCs w:val="20"/>
          <w:highlight w:val="none"/>
        </w:rPr>
      </w:pPr>
    </w:p>
    <w:p>
      <w:pPr>
        <w:snapToGrid w:val="0"/>
        <w:spacing w:before="120" w:beforeLines="50" w:after="50"/>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技  术  文  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line="400" w:lineRule="exact"/>
        <w:ind w:firstLine="360" w:firstLineChars="150"/>
        <w:rPr>
          <w:rFonts w:hint="eastAsia" w:ascii="宋体" w:hAnsi="宋体"/>
          <w:bCs/>
          <w:color w:val="auto"/>
          <w:sz w:val="24"/>
          <w:szCs w:val="20"/>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snapToGrid w:val="0"/>
        <w:spacing w:before="120" w:beforeLines="50" w:after="50"/>
        <w:ind w:firstLine="645"/>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ind w:firstLine="645"/>
        <w:jc w:val="center"/>
        <w:rPr>
          <w:rFonts w:hint="eastAsia" w:ascii="宋体" w:hAnsi="宋体"/>
          <w:color w:val="auto"/>
          <w:sz w:val="24"/>
          <w:szCs w:val="20"/>
          <w:highlight w:val="none"/>
        </w:rPr>
      </w:pPr>
    </w:p>
    <w:p>
      <w:pPr>
        <w:snapToGrid w:val="0"/>
        <w:spacing w:before="120" w:beforeLines="50" w:after="50"/>
        <w:ind w:left="142"/>
        <w:jc w:val="left"/>
        <w:rPr>
          <w:rFonts w:hint="eastAsia"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2.技术文件目录</w:t>
      </w:r>
    </w:p>
    <w:p>
      <w:pPr>
        <w:snapToGrid w:val="0"/>
        <w:spacing w:before="50" w:after="120" w:afterLines="50" w:line="280" w:lineRule="exact"/>
        <w:ind w:left="283" w:leftChars="135"/>
        <w:jc w:val="left"/>
        <w:rPr>
          <w:rFonts w:hint="eastAsia" w:ascii="宋体" w:hAnsi="宋体"/>
          <w:color w:val="auto"/>
          <w:sz w:val="24"/>
          <w:szCs w:val="20"/>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jc w:val="left"/>
        <w:rPr>
          <w:rFonts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ascii="宋体" w:hAnsi="宋体"/>
          <w:b/>
          <w:color w:val="auto"/>
          <w:sz w:val="24"/>
          <w:highlight w:val="none"/>
        </w:rPr>
        <w:br w:type="page"/>
      </w:r>
      <w:bookmarkStart w:id="149" w:name="_Toc19686840"/>
      <w:r>
        <w:rPr>
          <w:rFonts w:hint="eastAsia" w:ascii="宋体" w:hAnsi="宋体"/>
          <w:b/>
          <w:color w:val="auto"/>
          <w:sz w:val="32"/>
          <w:szCs w:val="32"/>
          <w:highlight w:val="none"/>
        </w:rPr>
        <w:t>技术响应表</w:t>
      </w:r>
    </w:p>
    <w:p>
      <w:pPr>
        <w:pStyle w:val="3"/>
        <w:rPr>
          <w:rFonts w:hint="eastAsia"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tbl>
      <w:tblPr>
        <w:tblStyle w:val="45"/>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pStyle w:val="3"/>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项号</w:t>
            </w:r>
          </w:p>
        </w:tc>
        <w:tc>
          <w:tcPr>
            <w:tcW w:w="2143" w:type="dxa"/>
            <w:noWrap w:val="0"/>
            <w:vAlign w:val="center"/>
          </w:tcPr>
          <w:p>
            <w:pPr>
              <w:pStyle w:val="3"/>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标的的名称</w:t>
            </w:r>
          </w:p>
        </w:tc>
        <w:tc>
          <w:tcPr>
            <w:tcW w:w="1834" w:type="dxa"/>
            <w:noWrap w:val="0"/>
            <w:vAlign w:val="center"/>
          </w:tcPr>
          <w:p>
            <w:pPr>
              <w:pStyle w:val="3"/>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招标要求</w:t>
            </w:r>
          </w:p>
        </w:tc>
        <w:tc>
          <w:tcPr>
            <w:tcW w:w="2181" w:type="dxa"/>
            <w:noWrap w:val="0"/>
            <w:vAlign w:val="center"/>
          </w:tcPr>
          <w:p>
            <w:pPr>
              <w:pStyle w:val="3"/>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投标响应</w:t>
            </w:r>
          </w:p>
        </w:tc>
        <w:tc>
          <w:tcPr>
            <w:tcW w:w="1934" w:type="dxa"/>
            <w:noWrap w:val="0"/>
            <w:vAlign w:val="center"/>
          </w:tcPr>
          <w:p>
            <w:pPr>
              <w:pStyle w:val="3"/>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jc w:val="center"/>
              <w:rPr>
                <w:rFonts w:hint="eastAsia" w:hAnsi="宋体" w:cs="Courier New"/>
                <w:color w:val="auto"/>
                <w:kern w:val="2"/>
                <w:sz w:val="24"/>
                <w:szCs w:val="24"/>
                <w:highlight w:val="none"/>
                <w:lang w:val="en-US" w:eastAsia="zh-CN"/>
              </w:rPr>
            </w:pPr>
          </w:p>
        </w:tc>
        <w:tc>
          <w:tcPr>
            <w:tcW w:w="2143" w:type="dxa"/>
            <w:noWrap w:val="0"/>
            <w:vAlign w:val="center"/>
          </w:tcPr>
          <w:p>
            <w:pPr>
              <w:pStyle w:val="3"/>
              <w:spacing w:line="600" w:lineRule="exact"/>
              <w:jc w:val="center"/>
              <w:rPr>
                <w:rFonts w:hint="eastAsia" w:hAnsi="宋体" w:cs="Courier New"/>
                <w:color w:val="auto"/>
                <w:kern w:val="2"/>
                <w:sz w:val="24"/>
                <w:szCs w:val="24"/>
                <w:highlight w:val="none"/>
                <w:lang w:val="en-US" w:eastAsia="zh-CN"/>
              </w:rPr>
            </w:pPr>
          </w:p>
        </w:tc>
        <w:tc>
          <w:tcPr>
            <w:tcW w:w="1834" w:type="dxa"/>
            <w:noWrap w:val="0"/>
            <w:vAlign w:val="center"/>
          </w:tcPr>
          <w:p>
            <w:pPr>
              <w:pStyle w:val="3"/>
              <w:spacing w:line="600" w:lineRule="exact"/>
              <w:jc w:val="center"/>
              <w:rPr>
                <w:rFonts w:hint="eastAsia" w:hAnsi="宋体" w:cs="Courier New"/>
                <w:color w:val="auto"/>
                <w:kern w:val="2"/>
                <w:sz w:val="24"/>
                <w:szCs w:val="24"/>
                <w:highlight w:val="none"/>
                <w:lang w:val="en-US" w:eastAsia="zh-CN"/>
              </w:rPr>
            </w:pPr>
          </w:p>
        </w:tc>
        <w:tc>
          <w:tcPr>
            <w:tcW w:w="2181" w:type="dxa"/>
            <w:noWrap w:val="0"/>
            <w:vAlign w:val="center"/>
          </w:tcPr>
          <w:p>
            <w:pPr>
              <w:pStyle w:val="3"/>
              <w:spacing w:line="600" w:lineRule="exact"/>
              <w:jc w:val="center"/>
              <w:rPr>
                <w:rFonts w:hint="eastAsia" w:hAnsi="宋体" w:cs="Courier New"/>
                <w:color w:val="auto"/>
                <w:kern w:val="2"/>
                <w:sz w:val="24"/>
                <w:szCs w:val="24"/>
                <w:highlight w:val="none"/>
                <w:lang w:val="en-US" w:eastAsia="zh-CN"/>
              </w:rPr>
            </w:pPr>
          </w:p>
        </w:tc>
        <w:tc>
          <w:tcPr>
            <w:tcW w:w="1934" w:type="dxa"/>
            <w:noWrap w:val="0"/>
            <w:vAlign w:val="center"/>
          </w:tcPr>
          <w:p>
            <w:pPr>
              <w:pStyle w:val="3"/>
              <w:spacing w:line="600" w:lineRule="exact"/>
              <w:jc w:val="center"/>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3"/>
              <w:spacing w:line="600" w:lineRule="exact"/>
              <w:rPr>
                <w:rFonts w:hint="eastAsia" w:hAnsi="宋体" w:cs="Courier New"/>
                <w:color w:val="auto"/>
                <w:kern w:val="2"/>
                <w:sz w:val="24"/>
                <w:szCs w:val="24"/>
                <w:highlight w:val="none"/>
                <w:lang w:val="en-US" w:eastAsia="zh-CN"/>
              </w:rPr>
            </w:pPr>
          </w:p>
        </w:tc>
      </w:tr>
    </w:tbl>
    <w:p>
      <w:pPr>
        <w:pStyle w:val="18"/>
        <w:rPr>
          <w:rFonts w:hint="eastAsia" w:ascii="宋体" w:hAnsi="宋体"/>
          <w:color w:val="auto"/>
          <w:highlight w:val="none"/>
        </w:rPr>
      </w:pPr>
      <w:r>
        <w:rPr>
          <w:rFonts w:hint="eastAsia" w:ascii="宋体" w:hAnsi="宋体"/>
          <w:color w:val="auto"/>
          <w:highlight w:val="none"/>
        </w:rPr>
        <w:t>注：</w:t>
      </w:r>
    </w:p>
    <w:p>
      <w:pPr>
        <w:pStyle w:val="19"/>
        <w:spacing w:line="520" w:lineRule="exact"/>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 说明：应对照招标文件“第二章 采购需求”中的技术需求逐条实质性响应，并作出偏离说明。</w:t>
      </w:r>
    </w:p>
    <w:p>
      <w:pPr>
        <w:pStyle w:val="18"/>
        <w:rPr>
          <w:rFonts w:hint="eastAsia" w:ascii="宋体" w:hAnsi="宋体"/>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投标人应根据自身的承诺，对照招标文件要求，在“偏离说明”中注明“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pStyle w:val="18"/>
        <w:rPr>
          <w:rFonts w:hint="eastAsia" w:ascii="宋体" w:hAnsi="宋体"/>
          <w:color w:val="auto"/>
          <w:spacing w:val="20"/>
          <w:highlight w:val="none"/>
        </w:rPr>
      </w:pPr>
    </w:p>
    <w:p>
      <w:pPr>
        <w:snapToGrid w:val="0"/>
        <w:spacing w:before="50" w:after="50"/>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（签字或签章）：</w:t>
      </w:r>
      <w:r>
        <w:rPr>
          <w:rFonts w:hint="eastAsia" w:ascii="宋体" w:hAnsi="宋体"/>
          <w:color w:val="auto"/>
          <w:spacing w:val="20"/>
          <w:sz w:val="24"/>
          <w:highlight w:val="none"/>
          <w:u w:val="single"/>
        </w:rPr>
        <w:t xml:space="preserve">        </w:t>
      </w:r>
    </w:p>
    <w:p>
      <w:pPr>
        <w:snapToGrid w:val="0"/>
        <w:spacing w:before="50" w:after="50"/>
        <w:rPr>
          <w:rFonts w:hint="eastAsia" w:ascii="宋体" w:hAnsi="宋体"/>
          <w:color w:val="auto"/>
          <w:spacing w:val="20"/>
          <w:sz w:val="24"/>
          <w:highlight w:val="none"/>
        </w:rPr>
      </w:pPr>
      <w:r>
        <w:rPr>
          <w:rFonts w:hint="eastAsia" w:ascii="宋体" w:hAnsi="宋体"/>
          <w:color w:val="auto"/>
          <w:spacing w:val="20"/>
          <w:sz w:val="24"/>
          <w:highlight w:val="none"/>
        </w:rPr>
        <w:t>投标人</w:t>
      </w:r>
      <w:r>
        <w:rPr>
          <w:rFonts w:hint="eastAsia" w:ascii="宋体" w:hAnsi="宋体"/>
          <w:color w:val="auto"/>
          <w:spacing w:val="20"/>
          <w:sz w:val="24"/>
          <w:highlight w:val="none"/>
          <w:lang w:eastAsia="zh-CN"/>
        </w:rPr>
        <w:t>（盖公章）</w:t>
      </w:r>
      <w:r>
        <w:rPr>
          <w:rFonts w:hint="eastAsia" w:ascii="宋体" w:hAnsi="宋体"/>
          <w:color w:val="auto"/>
          <w:spacing w:val="20"/>
          <w:sz w:val="24"/>
          <w:highlight w:val="none"/>
        </w:rPr>
        <w:t>：</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50" w:after="50"/>
        <w:rPr>
          <w:rFonts w:hint="eastAsia" w:ascii="宋体" w:hAnsi="宋体"/>
          <w:color w:val="auto"/>
          <w:spacing w:val="20"/>
          <w:sz w:val="24"/>
          <w:highlight w:val="none"/>
          <w:u w:val="singl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50" w:after="50"/>
        <w:rPr>
          <w:rFonts w:hint="eastAsia" w:ascii="宋体" w:hAnsi="宋体"/>
          <w:color w:val="auto"/>
          <w:sz w:val="24"/>
          <w:szCs w:val="20"/>
          <w:highlight w:val="none"/>
        </w:rPr>
      </w:pPr>
    </w:p>
    <w:p>
      <w:pPr>
        <w:rPr>
          <w:rFonts w:ascii="宋体" w:hAnsi="宋体"/>
          <w:b/>
          <w:color w:val="auto"/>
          <w:sz w:val="24"/>
          <w:highlight w:val="none"/>
        </w:rPr>
      </w:pPr>
    </w:p>
    <w:p>
      <w:pPr>
        <w:pStyle w:val="44"/>
        <w:rPr>
          <w:rFonts w:ascii="宋体" w:hAnsi="宋体"/>
          <w:b/>
          <w:color w:val="auto"/>
          <w:sz w:val="24"/>
          <w:highlight w:val="none"/>
        </w:rPr>
      </w:pPr>
    </w:p>
    <w:p>
      <w:pPr>
        <w:pStyle w:val="44"/>
        <w:rPr>
          <w:rFonts w:ascii="宋体" w:hAnsi="宋体"/>
          <w:b/>
          <w:color w:val="auto"/>
          <w:sz w:val="24"/>
          <w:highlight w:val="none"/>
        </w:rPr>
      </w:pPr>
    </w:p>
    <w:p>
      <w:pPr>
        <w:pStyle w:val="44"/>
        <w:rPr>
          <w:rFonts w:ascii="宋体" w:hAnsi="宋体"/>
          <w:b/>
          <w:color w:val="auto"/>
          <w:sz w:val="24"/>
          <w:highlight w:val="none"/>
        </w:rPr>
      </w:pPr>
    </w:p>
    <w:p>
      <w:pPr>
        <w:pStyle w:val="44"/>
        <w:rPr>
          <w:rFonts w:ascii="宋体" w:hAnsi="宋体"/>
          <w:b/>
          <w:color w:val="auto"/>
          <w:sz w:val="24"/>
          <w:highlight w:val="none"/>
        </w:rPr>
      </w:pPr>
    </w:p>
    <w:p>
      <w:pPr>
        <w:rPr>
          <w:rFonts w:hint="eastAsia"/>
          <w:b/>
          <w:color w:val="auto"/>
          <w:sz w:val="28"/>
          <w:szCs w:val="28"/>
          <w:highlight w:val="none"/>
        </w:rPr>
      </w:pPr>
      <w:r>
        <w:rPr>
          <w:rFonts w:hint="eastAsia"/>
          <w:b/>
          <w:color w:val="auto"/>
          <w:sz w:val="28"/>
          <w:szCs w:val="28"/>
          <w:highlight w:val="none"/>
        </w:rPr>
        <w:t>六、其他文书、文件格式</w:t>
      </w:r>
      <w:bookmarkEnd w:id="149"/>
    </w:p>
    <w:p>
      <w:pPr>
        <w:spacing w:before="120" w:beforeLines="50" w:after="120" w:afterLines="50" w:line="400" w:lineRule="exact"/>
        <w:rPr>
          <w:rFonts w:hint="eastAsia" w:ascii="宋体" w:hAnsi="宋体"/>
          <w:color w:val="auto"/>
          <w:sz w:val="24"/>
          <w:highlight w:val="none"/>
        </w:rPr>
      </w:pPr>
    </w:p>
    <w:p>
      <w:pPr>
        <w:snapToGrid w:val="0"/>
        <w:spacing w:before="120" w:beforeLines="50" w:after="50"/>
        <w:ind w:left="142"/>
        <w:jc w:val="left"/>
        <w:rPr>
          <w:rFonts w:hint="eastAsia" w:ascii="宋体" w:hAnsi="宋体"/>
          <w:b/>
          <w:color w:val="auto"/>
          <w:spacing w:val="20"/>
          <w:sz w:val="24"/>
          <w:highlight w:val="none"/>
        </w:rPr>
      </w:pPr>
      <w:r>
        <w:rPr>
          <w:rFonts w:hint="eastAsia" w:ascii="宋体" w:hAnsi="宋体"/>
          <w:b/>
          <w:color w:val="auto"/>
          <w:spacing w:val="20"/>
          <w:sz w:val="24"/>
          <w:highlight w:val="none"/>
        </w:rPr>
        <w:t>1.联合投标协议书格式</w:t>
      </w:r>
    </w:p>
    <w:p>
      <w:pPr>
        <w:pStyle w:val="10"/>
        <w:overflowPunct w:val="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联合体协议书</w:t>
      </w:r>
    </w:p>
    <w:p>
      <w:pPr>
        <w:pStyle w:val="10"/>
        <w:overflowPunct w:val="0"/>
        <w:spacing w:line="360" w:lineRule="auto"/>
        <w:ind w:firstLine="0"/>
        <w:contextualSpacing/>
        <w:rPr>
          <w:rFonts w:ascii="宋体" w:hAnsi="宋体"/>
          <w:color w:val="auto"/>
          <w:sz w:val="24"/>
          <w:highlight w:val="none"/>
        </w:rPr>
      </w:pPr>
    </w:p>
    <w:p>
      <w:pPr>
        <w:pStyle w:val="10"/>
        <w:overflowPunct w:val="0"/>
        <w:spacing w:line="360" w:lineRule="auto"/>
        <w:contextualSpacing/>
        <w:rPr>
          <w:rFonts w:ascii="宋体" w:hAnsi="宋体"/>
          <w:color w:val="auto"/>
          <w:sz w:val="24"/>
          <w:highlight w:val="none"/>
        </w:rPr>
      </w:pP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（所有成员单位名称）自愿组成</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（联合体名称）联合体，共同参加</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u w:val="single"/>
        </w:rPr>
        <w:t>（项</w:t>
      </w:r>
      <w:r>
        <w:rPr>
          <w:rFonts w:hint="eastAsia" w:ascii="宋体" w:hAnsi="宋体"/>
          <w:color w:val="auto"/>
          <w:sz w:val="24"/>
          <w:highlight w:val="none"/>
        </w:rPr>
        <w:t>目名称）采购招标项目投标。现就联合体投标事宜订立如下协议。</w:t>
      </w:r>
    </w:p>
    <w:p>
      <w:pPr>
        <w:pStyle w:val="10"/>
        <w:overflowPunct w:val="0"/>
        <w:spacing w:line="360" w:lineRule="auto"/>
        <w:contextualSpacing/>
        <w:rPr>
          <w:rFonts w:ascii="宋体" w:hAnsi="宋体"/>
          <w:color w:val="auto"/>
          <w:sz w:val="24"/>
          <w:highlight w:val="none"/>
        </w:rPr>
      </w:pPr>
    </w:p>
    <w:p>
      <w:pPr>
        <w:pStyle w:val="10"/>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 xml:space="preserve">1.  </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（某成员单位名称）为</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（联合体名称）牵头人。</w:t>
      </w:r>
    </w:p>
    <w:p>
      <w:pPr>
        <w:pStyle w:val="10"/>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联合体各成员授权牵头人代表联合体参加投标活动，签署文件及对文件的盖章，提交和接收相关的资料、</w:t>
      </w:r>
      <w:r>
        <w:rPr>
          <w:rFonts w:ascii="宋体" w:hAnsi="宋体"/>
          <w:color w:val="auto"/>
          <w:sz w:val="24"/>
          <w:highlight w:val="none"/>
        </w:rPr>
        <w:t xml:space="preserve"> </w:t>
      </w:r>
      <w:r>
        <w:rPr>
          <w:rFonts w:hint="eastAsia" w:ascii="宋体" w:hAnsi="宋体"/>
          <w:color w:val="auto"/>
          <w:sz w:val="24"/>
          <w:highlight w:val="none"/>
        </w:rPr>
        <w:t>信息及指示，进行合同谈判活动，负责合同实施阶段的组织和协调工作，以及处理与本招标项</w:t>
      </w:r>
      <w:r>
        <w:rPr>
          <w:rFonts w:ascii="宋体" w:hAnsi="宋体"/>
          <w:color w:val="auto"/>
          <w:sz w:val="24"/>
          <w:highlight w:val="none"/>
        </w:rPr>
        <w:t xml:space="preserve"> </w:t>
      </w:r>
      <w:r>
        <w:rPr>
          <w:rFonts w:hint="eastAsia" w:ascii="宋体" w:hAnsi="宋体"/>
          <w:color w:val="auto"/>
          <w:sz w:val="24"/>
          <w:highlight w:val="none"/>
        </w:rPr>
        <w:t>目有关的一切事宜。</w:t>
      </w:r>
    </w:p>
    <w:p>
      <w:pPr>
        <w:pStyle w:val="10"/>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联合体牵头人在本项目中签署和盖章的一切文件和处理的一切事宜，联合体各成员均予以承认。</w:t>
      </w:r>
      <w:r>
        <w:rPr>
          <w:rFonts w:ascii="宋体" w:hAnsi="宋体"/>
          <w:color w:val="auto"/>
          <w:sz w:val="24"/>
          <w:highlight w:val="none"/>
        </w:rPr>
        <w:t xml:space="preserve"> </w:t>
      </w:r>
      <w:r>
        <w:rPr>
          <w:rFonts w:hint="eastAsia" w:ascii="宋体" w:hAnsi="宋体"/>
          <w:color w:val="auto"/>
          <w:sz w:val="24"/>
          <w:highlight w:val="none"/>
        </w:rPr>
        <w:t>联合体各成员将严格按照招标文件、投标文件和合同的要求全面履行义务，并向招标人承担连带责任。</w:t>
      </w:r>
    </w:p>
    <w:p>
      <w:pPr>
        <w:pStyle w:val="10"/>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联合体各成员单位内部的职责分工如下：</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w:t>
      </w:r>
    </w:p>
    <w:p>
      <w:pPr>
        <w:pStyle w:val="10"/>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本协议书自所有成员单位法定代表人或者其委托代理人签字或者盖公章之日起生效，合同履行完毕后自动失效。</w:t>
      </w:r>
    </w:p>
    <w:p>
      <w:pPr>
        <w:pStyle w:val="10"/>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本协议书一式</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份，联合体成员和招标人各执一份。</w:t>
      </w:r>
    </w:p>
    <w:p>
      <w:pPr>
        <w:pStyle w:val="10"/>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注：本协议书由法定代表人签字的，应附法定代表人身份证明；由委托代理人签字的，应附授权委托书。</w:t>
      </w:r>
    </w:p>
    <w:p>
      <w:pPr>
        <w:pStyle w:val="10"/>
        <w:overflowPunct w:val="0"/>
        <w:spacing w:line="360" w:lineRule="auto"/>
        <w:ind w:firstLineChars="175"/>
        <w:contextualSpacing/>
        <w:rPr>
          <w:rFonts w:ascii="宋体" w:hAnsi="宋体"/>
          <w:color w:val="auto"/>
          <w:sz w:val="24"/>
          <w:highlight w:val="none"/>
        </w:rPr>
      </w:pPr>
    </w:p>
    <w:p>
      <w:pPr>
        <w:pStyle w:val="10"/>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联合体牵头人名称（盖公章）：</w:t>
      </w:r>
    </w:p>
    <w:p>
      <w:pPr>
        <w:pStyle w:val="10"/>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法定代表人或者其委托代理人：（签字）</w:t>
      </w:r>
    </w:p>
    <w:p>
      <w:pPr>
        <w:pStyle w:val="10"/>
        <w:overflowPunct w:val="0"/>
        <w:spacing w:line="360" w:lineRule="auto"/>
        <w:ind w:firstLine="0"/>
        <w:contextualSpacing/>
        <w:rPr>
          <w:rFonts w:ascii="宋体" w:hAnsi="宋体"/>
          <w:color w:val="auto"/>
          <w:sz w:val="24"/>
          <w:highlight w:val="none"/>
        </w:rPr>
      </w:pPr>
    </w:p>
    <w:p>
      <w:pPr>
        <w:pStyle w:val="10"/>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联合体成员名称（盖公章）：</w:t>
      </w:r>
    </w:p>
    <w:p>
      <w:pPr>
        <w:pStyle w:val="10"/>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法定代表人或者其委托代理人：（签字）</w:t>
      </w:r>
    </w:p>
    <w:p>
      <w:pPr>
        <w:pStyle w:val="10"/>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w:t>
      </w:r>
    </w:p>
    <w:p>
      <w:pPr>
        <w:pStyle w:val="10"/>
        <w:overflowPunct w:val="0"/>
        <w:spacing w:line="360" w:lineRule="auto"/>
        <w:ind w:firstLineChars="175"/>
        <w:contextualSpacing/>
        <w:jc w:val="right"/>
        <w:rPr>
          <w:rFonts w:ascii="宋体" w:hAnsi="宋体"/>
          <w:b/>
          <w:color w:val="auto"/>
          <w:sz w:val="24"/>
          <w:highlight w:val="none"/>
        </w:rPr>
      </w:pPr>
      <w:r>
        <w:rPr>
          <w:rFonts w:hint="eastAsia" w:ascii="宋体" w:hAnsi="宋体"/>
          <w:color w:val="auto"/>
          <w:sz w:val="24"/>
          <w:highlight w:val="none"/>
        </w:rPr>
        <w:t>年</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月</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日</w:t>
      </w:r>
    </w:p>
    <w:p>
      <w:pPr>
        <w:snapToGrid w:val="0"/>
        <w:spacing w:before="120" w:beforeLines="50" w:after="50"/>
        <w:jc w:val="left"/>
        <w:rPr>
          <w:rFonts w:hint="eastAsia"/>
          <w:color w:val="auto"/>
          <w:highlight w:val="none"/>
        </w:rPr>
      </w:pPr>
      <w:r>
        <w:rPr>
          <w:rFonts w:hint="eastAsia" w:ascii="宋体" w:hAnsi="宋体"/>
          <w:b/>
          <w:color w:val="auto"/>
          <w:sz w:val="24"/>
          <w:highlight w:val="none"/>
        </w:rPr>
        <w:t xml:space="preserve"> 2.中小企业声明函格式</w:t>
      </w:r>
    </w:p>
    <w:p>
      <w:pPr>
        <w:rPr>
          <w:rFonts w:hint="eastAsia"/>
          <w:color w:val="auto"/>
          <w:highlight w:val="none"/>
        </w:rPr>
      </w:pP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中小企业声明函（服务）</w:t>
      </w:r>
    </w:p>
    <w:p>
      <w:pPr>
        <w:spacing w:before="2" w:line="500" w:lineRule="exact"/>
        <w:rPr>
          <w:rFonts w:ascii="宋体" w:hAnsi="宋体" w:cs="宋体"/>
          <w:b/>
          <w:bCs/>
          <w:color w:val="auto"/>
          <w:sz w:val="24"/>
          <w:highlight w:val="none"/>
        </w:rPr>
      </w:pPr>
    </w:p>
    <w:p>
      <w:pPr>
        <w:pStyle w:val="2"/>
        <w:spacing w:line="500" w:lineRule="exact"/>
        <w:ind w:right="142" w:firstLine="480" w:firstLineChars="200"/>
        <w:rPr>
          <w:rFonts w:ascii="宋体" w:hAnsi="宋体"/>
          <w:color w:val="auto"/>
          <w:highlight w:val="none"/>
        </w:rPr>
      </w:pPr>
      <w:r>
        <w:rPr>
          <w:rFonts w:ascii="宋体" w:hAnsi="宋体"/>
          <w:color w:val="auto"/>
          <w:highlight w:val="none"/>
        </w:rPr>
        <w:t>本公司（联合体）郑重声明，根据《政府采购促进中小企业发展管理办法》（财库﹝2020﹞46号）的规定，本公司（联合体）参加</w:t>
      </w:r>
      <w:r>
        <w:rPr>
          <w:rFonts w:ascii="宋体" w:hAnsi="宋体"/>
          <w:color w:val="auto"/>
          <w:highlight w:val="none"/>
          <w:u w:val="single"/>
        </w:rPr>
        <w:t>（单位名称）</w:t>
      </w:r>
      <w:r>
        <w:rPr>
          <w:rFonts w:ascii="宋体" w:hAnsi="宋体"/>
          <w:color w:val="auto"/>
          <w:highlight w:val="none"/>
        </w:rPr>
        <w:t>的</w:t>
      </w:r>
      <w:r>
        <w:rPr>
          <w:rFonts w:ascii="宋体" w:hAnsi="宋体"/>
          <w:color w:val="auto"/>
          <w:highlight w:val="none"/>
          <w:u w:val="single"/>
        </w:rPr>
        <w:t>（项目名称）</w:t>
      </w:r>
      <w:r>
        <w:rPr>
          <w:rFonts w:ascii="宋体" w:hAnsi="宋体"/>
          <w:color w:val="auto"/>
          <w:highlight w:val="none"/>
        </w:rPr>
        <w:t>采购活动，</w:t>
      </w:r>
      <w:r>
        <w:rPr>
          <w:rFonts w:hint="eastAsia" w:ascii="宋体" w:hAnsi="宋体"/>
          <w:color w:val="auto"/>
          <w:highlight w:val="none"/>
        </w:rPr>
        <w:t>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86" w:firstLineChars="286"/>
        <w:rPr>
          <w:rFonts w:ascii="宋体" w:hAnsi="宋体"/>
          <w:color w:val="auto"/>
          <w:sz w:val="24"/>
          <w:highlight w:val="none"/>
        </w:rPr>
      </w:pPr>
      <w:r>
        <w:rPr>
          <w:rFonts w:ascii="宋体" w:hAnsi="宋体"/>
          <w:color w:val="auto"/>
          <w:sz w:val="24"/>
          <w:highlight w:val="none"/>
        </w:rPr>
        <w:t>1.</w:t>
      </w:r>
      <w:r>
        <w:rPr>
          <w:rFonts w:ascii="宋体" w:hAnsi="宋体"/>
          <w:color w:val="auto"/>
          <w:sz w:val="24"/>
          <w:highlight w:val="none"/>
          <w:u w:val="single"/>
        </w:rPr>
        <w:t>（标的名称）</w:t>
      </w:r>
      <w:r>
        <w:rPr>
          <w:rFonts w:ascii="宋体" w:hAnsi="宋体"/>
          <w:color w:val="auto"/>
          <w:sz w:val="24"/>
          <w:highlight w:val="none"/>
        </w:rPr>
        <w:t>，属于</w:t>
      </w:r>
      <w:r>
        <w:rPr>
          <w:rFonts w:ascii="宋体" w:hAnsi="宋体"/>
          <w:color w:val="auto"/>
          <w:sz w:val="24"/>
          <w:highlight w:val="none"/>
          <w:u w:val="single"/>
        </w:rPr>
        <w:t>（采购文件中明确的所属</w:t>
      </w:r>
      <w:r>
        <w:rPr>
          <w:rFonts w:hint="eastAsia" w:ascii="宋体" w:hAnsi="宋体"/>
          <w:color w:val="auto"/>
          <w:sz w:val="24"/>
          <w:highlight w:val="none"/>
          <w:u w:val="single"/>
        </w:rPr>
        <w:t>行</w:t>
      </w:r>
      <w:r>
        <w:rPr>
          <w:rFonts w:ascii="宋体" w:hAnsi="宋体"/>
          <w:color w:val="auto"/>
          <w:sz w:val="24"/>
          <w:highlight w:val="none"/>
          <w:u w:val="single"/>
        </w:rPr>
        <w:t>业）</w:t>
      </w:r>
      <w:r>
        <w:rPr>
          <w:rFonts w:ascii="宋体" w:hAnsi="宋体"/>
          <w:color w:val="auto"/>
          <w:sz w:val="24"/>
          <w:highlight w:val="none"/>
        </w:rPr>
        <w:t>；</w:t>
      </w:r>
      <w:r>
        <w:rPr>
          <w:rFonts w:hint="eastAsia" w:ascii="宋体" w:hAnsi="宋体"/>
          <w:color w:val="auto"/>
          <w:sz w:val="24"/>
          <w:highlight w:val="none"/>
        </w:rPr>
        <w:t>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万元</w:t>
      </w:r>
      <w:r>
        <w:rPr>
          <w:rFonts w:ascii="宋体" w:hAnsi="宋体"/>
          <w:color w:val="auto"/>
          <w:sz w:val="24"/>
          <w:highlight w:val="none"/>
        </w:rPr>
        <w:t>，属于</w:t>
      </w:r>
      <w:r>
        <w:rPr>
          <w:rFonts w:ascii="宋体" w:hAnsi="宋体"/>
          <w:color w:val="auto"/>
          <w:sz w:val="24"/>
          <w:highlight w:val="none"/>
          <w:u w:val="single"/>
        </w:rPr>
        <w:t>（中型企业、</w:t>
      </w:r>
      <w:r>
        <w:rPr>
          <w:rFonts w:hint="eastAsia" w:ascii="宋体" w:hAnsi="宋体"/>
          <w:color w:val="auto"/>
          <w:sz w:val="24"/>
          <w:highlight w:val="none"/>
          <w:u w:val="single"/>
        </w:rPr>
        <w:t>小型企业、微型企业）</w:t>
      </w:r>
      <w:r>
        <w:rPr>
          <w:rFonts w:hint="eastAsia" w:ascii="宋体" w:hAnsi="宋体"/>
          <w:color w:val="auto"/>
          <w:sz w:val="24"/>
          <w:highlight w:val="none"/>
        </w:rPr>
        <w:t>；</w:t>
      </w:r>
    </w:p>
    <w:p>
      <w:pPr>
        <w:tabs>
          <w:tab w:val="left" w:pos="1065"/>
          <w:tab w:val="left" w:pos="4262"/>
          <w:tab w:val="left" w:pos="6477"/>
        </w:tabs>
        <w:spacing w:before="20" w:line="500" w:lineRule="exact"/>
        <w:ind w:right="84" w:firstLine="686" w:firstLineChars="286"/>
        <w:rPr>
          <w:rFonts w:ascii="宋体" w:hAnsi="宋体"/>
          <w:color w:val="auto"/>
          <w:sz w:val="24"/>
          <w:highlight w:val="none"/>
          <w:u w:val="single"/>
        </w:rPr>
      </w:pPr>
      <w:r>
        <w:rPr>
          <w:rFonts w:ascii="宋体" w:hAnsi="宋体"/>
          <w:color w:val="auto"/>
          <w:sz w:val="24"/>
          <w:highlight w:val="none"/>
        </w:rPr>
        <w:t>2.</w:t>
      </w:r>
      <w:r>
        <w:rPr>
          <w:rFonts w:ascii="宋体" w:hAnsi="宋体"/>
          <w:color w:val="auto"/>
          <w:sz w:val="24"/>
          <w:highlight w:val="none"/>
          <w:u w:val="single"/>
        </w:rPr>
        <w:t>（标的名称）</w:t>
      </w:r>
      <w:r>
        <w:rPr>
          <w:rFonts w:ascii="宋体" w:hAnsi="宋体"/>
          <w:color w:val="auto"/>
          <w:sz w:val="24"/>
          <w:highlight w:val="none"/>
        </w:rPr>
        <w:t>，属于</w:t>
      </w:r>
      <w:r>
        <w:rPr>
          <w:rFonts w:ascii="宋体" w:hAnsi="宋体"/>
          <w:color w:val="auto"/>
          <w:sz w:val="24"/>
          <w:highlight w:val="none"/>
          <w:u w:val="single"/>
        </w:rPr>
        <w:t>（采购文件中明确的所属</w:t>
      </w:r>
      <w:r>
        <w:rPr>
          <w:rFonts w:hint="eastAsia" w:ascii="宋体" w:hAnsi="宋体"/>
          <w:color w:val="auto"/>
          <w:sz w:val="24"/>
          <w:highlight w:val="none"/>
          <w:u w:val="single"/>
        </w:rPr>
        <w:t>行业</w:t>
      </w:r>
      <w:r>
        <w:rPr>
          <w:rFonts w:ascii="宋体" w:hAnsi="宋体"/>
          <w:color w:val="auto"/>
          <w:sz w:val="24"/>
          <w:highlight w:val="none"/>
          <w:u w:val="single"/>
        </w:rPr>
        <w:t>）</w:t>
      </w:r>
      <w:r>
        <w:rPr>
          <w:rFonts w:ascii="宋体" w:hAnsi="宋体"/>
          <w:color w:val="auto"/>
          <w:sz w:val="24"/>
          <w:highlight w:val="none"/>
        </w:rPr>
        <w:t>；</w:t>
      </w:r>
      <w:r>
        <w:rPr>
          <w:rFonts w:hint="eastAsia" w:ascii="宋体" w:hAnsi="宋体"/>
          <w:color w:val="auto"/>
          <w:sz w:val="24"/>
          <w:highlight w:val="none"/>
        </w:rPr>
        <w:t>承接企业为</w:t>
      </w:r>
      <w:r>
        <w:rPr>
          <w:rFonts w:hint="eastAsia" w:ascii="宋体" w:hAnsi="宋体"/>
          <w:color w:val="auto"/>
          <w:sz w:val="24"/>
          <w:highlight w:val="none"/>
          <w:u w:val="single"/>
        </w:rPr>
        <w:t>（企业名称）</w:t>
      </w:r>
      <w:r>
        <w:rPr>
          <w:rFonts w:hint="eastAsia" w:ascii="宋体" w:hAnsi="宋体"/>
          <w:color w:val="auto"/>
          <w:sz w:val="24"/>
          <w:highlight w:val="none"/>
        </w:rPr>
        <w:t>，从业人员</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人，营业收入为</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万元，资产总额为</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万元</w:t>
      </w:r>
      <w:r>
        <w:rPr>
          <w:rFonts w:ascii="宋体" w:hAnsi="宋体"/>
          <w:color w:val="auto"/>
          <w:sz w:val="24"/>
          <w:highlight w:val="none"/>
        </w:rPr>
        <w:t>，属于</w:t>
      </w:r>
      <w:r>
        <w:rPr>
          <w:rFonts w:ascii="宋体" w:hAnsi="宋体"/>
          <w:color w:val="auto"/>
          <w:sz w:val="24"/>
          <w:highlight w:val="none"/>
          <w:u w:val="single"/>
        </w:rPr>
        <w:t>（中型企业、</w:t>
      </w:r>
      <w:r>
        <w:rPr>
          <w:rFonts w:hint="eastAsia" w:ascii="宋体" w:hAnsi="宋体"/>
          <w:color w:val="auto"/>
          <w:sz w:val="24"/>
          <w:highlight w:val="none"/>
          <w:u w:val="single"/>
        </w:rPr>
        <w:t>小型企业、微型企业）</w:t>
      </w:r>
      <w:r>
        <w:rPr>
          <w:rFonts w:hint="eastAsia" w:ascii="宋体" w:hAnsi="宋体"/>
          <w:color w:val="auto"/>
          <w:sz w:val="24"/>
          <w:highlight w:val="none"/>
        </w:rPr>
        <w:t>；</w:t>
      </w:r>
    </w:p>
    <w:p>
      <w:pPr>
        <w:pStyle w:val="2"/>
        <w:spacing w:before="34" w:line="500" w:lineRule="exact"/>
        <w:ind w:left="765" w:right="142" w:hanging="5"/>
        <w:rPr>
          <w:rFonts w:ascii="宋体" w:hAnsi="宋体"/>
          <w:color w:val="auto"/>
          <w:highlight w:val="none"/>
        </w:rPr>
      </w:pPr>
      <w:r>
        <w:rPr>
          <w:rFonts w:ascii="宋体" w:hAnsi="宋体"/>
          <w:color w:val="auto"/>
          <w:highlight w:val="none"/>
        </w:rPr>
        <w:t xml:space="preserve">…… </w:t>
      </w:r>
    </w:p>
    <w:p>
      <w:pPr>
        <w:pStyle w:val="2"/>
        <w:spacing w:before="34" w:line="500" w:lineRule="exact"/>
        <w:ind w:right="142" w:firstLine="480" w:firstLineChars="200"/>
        <w:rPr>
          <w:rFonts w:hint="eastAsia" w:ascii="宋体" w:hAnsi="宋体"/>
          <w:color w:val="auto"/>
          <w:highlight w:val="none"/>
        </w:rPr>
      </w:pPr>
      <w:r>
        <w:rPr>
          <w:rFonts w:ascii="宋体" w:hAnsi="宋体"/>
          <w:color w:val="auto"/>
          <w:highlight w:val="none"/>
        </w:rPr>
        <w:t>以上企业，不属于大企业的分支机构，不存在控股股东为大企业的情形，也不存在与大企业的负责人为同一人的情形。</w:t>
      </w:r>
    </w:p>
    <w:p>
      <w:pPr>
        <w:pStyle w:val="2"/>
        <w:spacing w:before="34" w:line="500" w:lineRule="exact"/>
        <w:ind w:right="142" w:firstLine="480" w:firstLineChars="200"/>
        <w:rPr>
          <w:rFonts w:ascii="宋体" w:hAnsi="宋体"/>
          <w:color w:val="auto"/>
          <w:highlight w:val="none"/>
        </w:rPr>
      </w:pPr>
      <w:r>
        <w:rPr>
          <w:rFonts w:ascii="宋体" w:hAnsi="宋体"/>
          <w:color w:val="auto"/>
          <w:highlight w:val="none"/>
        </w:rPr>
        <w:t>本企业对上述声明内容的真实性负责。如有虚假，将依法承担相应责任。</w:t>
      </w:r>
    </w:p>
    <w:p>
      <w:pPr>
        <w:pStyle w:val="2"/>
        <w:spacing w:before="56" w:line="500" w:lineRule="exact"/>
        <w:ind w:left="3960" w:right="1808"/>
        <w:rPr>
          <w:rFonts w:ascii="宋体" w:hAnsi="宋体"/>
          <w:color w:val="auto"/>
          <w:highlight w:val="none"/>
        </w:rPr>
      </w:pPr>
      <w:r>
        <w:rPr>
          <w:rFonts w:ascii="宋体" w:hAnsi="宋体"/>
          <w:color w:val="auto"/>
          <w:highlight w:val="none"/>
        </w:rPr>
        <w:t>企业名称</w:t>
      </w:r>
      <w:r>
        <w:rPr>
          <w:rFonts w:hint="eastAsia" w:ascii="宋体" w:hAnsi="宋体"/>
          <w:color w:val="auto"/>
          <w:highlight w:val="none"/>
          <w:lang w:eastAsia="zh-CN"/>
        </w:rPr>
        <w:t>（盖公章）</w:t>
      </w:r>
      <w:r>
        <w:rPr>
          <w:rFonts w:ascii="宋体" w:hAnsi="宋体"/>
          <w:color w:val="auto"/>
          <w:highlight w:val="none"/>
        </w:rPr>
        <w:t xml:space="preserve">： </w:t>
      </w:r>
    </w:p>
    <w:p>
      <w:pPr>
        <w:pStyle w:val="2"/>
        <w:spacing w:before="56" w:line="500" w:lineRule="exact"/>
        <w:ind w:left="3960" w:right="1808"/>
        <w:rPr>
          <w:rFonts w:hint="eastAsia" w:ascii="宋体" w:hAnsi="宋体"/>
          <w:color w:val="auto"/>
          <w:highlight w:val="none"/>
        </w:rPr>
      </w:pPr>
      <w:r>
        <w:rPr>
          <w:rFonts w:ascii="宋体" w:hAnsi="宋体"/>
          <w:color w:val="auto"/>
          <w:highlight w:val="none"/>
        </w:rPr>
        <w:t>日 期：</w:t>
      </w:r>
    </w:p>
    <w:p>
      <w:pPr>
        <w:rPr>
          <w:rFonts w:hint="eastAsia" w:ascii="宋体" w:hAnsi="宋体"/>
          <w:color w:val="auto"/>
          <w:sz w:val="24"/>
          <w:highlight w:val="none"/>
        </w:rPr>
      </w:pPr>
      <w:r>
        <w:rPr>
          <w:rFonts w:hint="eastAsia" w:ascii="宋体" w:hAnsi="宋体"/>
          <w:color w:val="auto"/>
          <w:spacing w:val="6"/>
          <w:sz w:val="24"/>
          <w:highlight w:val="none"/>
        </w:rPr>
        <w:t xml:space="preserve"> </w:t>
      </w:r>
    </w:p>
    <w:p>
      <w:pPr>
        <w:rPr>
          <w:rFonts w:hint="eastAsia" w:ascii="宋体" w:hAnsi="宋体"/>
          <w:b/>
          <w:color w:val="auto"/>
          <w:sz w:val="24"/>
          <w:highlight w:val="none"/>
        </w:rPr>
      </w:pPr>
      <w:r>
        <w:rPr>
          <w:rFonts w:hint="eastAsia" w:ascii="宋体" w:hAnsi="宋体"/>
          <w:color w:val="auto"/>
          <w:sz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r>
        <w:rPr>
          <w:color w:val="auto"/>
          <w:highlight w:val="none"/>
        </w:rPr>
        <w:br w:type="page"/>
      </w:r>
      <w:r>
        <w:rPr>
          <w:rFonts w:hint="eastAsia" w:ascii="宋体" w:hAnsi="宋体"/>
          <w:b/>
          <w:color w:val="auto"/>
          <w:sz w:val="24"/>
          <w:highlight w:val="none"/>
        </w:rPr>
        <w:t>3.残疾人福利性单位声明函格式</w:t>
      </w:r>
    </w:p>
    <w:p>
      <w:pPr>
        <w:spacing w:line="588" w:lineRule="exact"/>
        <w:jc w:val="center"/>
        <w:rPr>
          <w:rFonts w:hint="eastAsia" w:ascii="仿宋_GB2312" w:eastAsia="仿宋_GB2312"/>
          <w:b/>
          <w:color w:val="auto"/>
          <w:spacing w:val="6"/>
          <w:sz w:val="32"/>
          <w:szCs w:val="32"/>
          <w:highlight w:val="none"/>
        </w:rPr>
      </w:pPr>
      <w:bookmarkStart w:id="150" w:name="OLE_LINK14"/>
      <w:bookmarkStart w:id="151" w:name="OLE_LINK13"/>
    </w:p>
    <w:p>
      <w:pPr>
        <w:spacing w:line="588" w:lineRule="exact"/>
        <w:jc w:val="center"/>
        <w:rPr>
          <w:rFonts w:hint="eastAsia" w:ascii="方正小标宋简体" w:hAnsi="方正小标宋简体" w:eastAsia="方正小标宋简体" w:cs="方正小标宋简体"/>
          <w:bCs/>
          <w:color w:val="auto"/>
          <w:spacing w:val="6"/>
          <w:sz w:val="44"/>
          <w:szCs w:val="44"/>
          <w:highlight w:val="none"/>
        </w:rPr>
      </w:pPr>
      <w:r>
        <w:rPr>
          <w:rFonts w:hint="eastAsia" w:ascii="方正小标宋简体" w:hAnsi="方正小标宋简体" w:eastAsia="方正小标宋简体" w:cs="方正小标宋简体"/>
          <w:bCs/>
          <w:color w:val="auto"/>
          <w:spacing w:val="6"/>
          <w:sz w:val="44"/>
          <w:szCs w:val="44"/>
          <w:highlight w:val="none"/>
        </w:rPr>
        <w:t>残疾人福利性单位声明函</w:t>
      </w:r>
    </w:p>
    <w:bookmarkEnd w:id="150"/>
    <w:bookmarkEnd w:id="151"/>
    <w:p>
      <w:pPr>
        <w:spacing w:line="588" w:lineRule="exact"/>
        <w:rPr>
          <w:rFonts w:ascii="仿宋_GB2312" w:eastAsia="仿宋_GB2312"/>
          <w:b/>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w:t>
      </w:r>
      <w:r>
        <w:rPr>
          <w:rFonts w:hint="eastAsia" w:ascii="宋体" w:hAnsi="宋体"/>
          <w:color w:val="auto"/>
          <w:spacing w:val="6"/>
          <w:sz w:val="24"/>
          <w:highlight w:val="none"/>
          <w:lang w:eastAsia="zh-CN"/>
        </w:rPr>
        <w:t>（盖公章）</w:t>
      </w:r>
      <w:r>
        <w:rPr>
          <w:rFonts w:hint="eastAsia" w:ascii="宋体" w:hAnsi="宋体"/>
          <w:color w:val="auto"/>
          <w:spacing w:val="6"/>
          <w:sz w:val="24"/>
          <w:highlight w:val="none"/>
        </w:rPr>
        <w:t>：</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hint="eastAsia"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hint="eastAsia" w:ascii="宋体" w:hAnsi="宋体"/>
          <w:b/>
          <w:bCs/>
          <w:color w:val="auto"/>
          <w:sz w:val="32"/>
          <w:szCs w:val="32"/>
          <w:highlight w:val="none"/>
        </w:rPr>
      </w:pPr>
      <w:r>
        <w:rPr>
          <w:rFonts w:ascii="宋体" w:hAnsi="宋体"/>
          <w:color w:val="auto"/>
          <w:sz w:val="24"/>
          <w:highlight w:val="none"/>
        </w:rPr>
        <w:br w:type="page"/>
      </w:r>
      <w:r>
        <w:rPr>
          <w:rFonts w:hint="eastAsia" w:ascii="宋体" w:hAnsi="宋体"/>
          <w:b/>
          <w:color w:val="auto"/>
          <w:sz w:val="24"/>
          <w:highlight w:val="none"/>
        </w:rPr>
        <w:t>4.质疑函（格式）</w:t>
      </w:r>
    </w:p>
    <w:p>
      <w:pPr>
        <w:spacing w:line="360" w:lineRule="auto"/>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质疑函（格式）</w:t>
      </w:r>
    </w:p>
    <w:p>
      <w:pPr>
        <w:pStyle w:val="3"/>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一、质疑供应商基本信息：</w:t>
      </w:r>
    </w:p>
    <w:p>
      <w:pPr>
        <w:pStyle w:val="3"/>
        <w:snapToGrid w:val="0"/>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质疑供应商：</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3"/>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3"/>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联系人</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3"/>
        <w:snapToGrid w:val="0"/>
        <w:spacing w:line="360" w:lineRule="auto"/>
        <w:ind w:firstLine="480" w:firstLineChars="200"/>
        <w:rPr>
          <w:rFonts w:hint="eastAsia" w:hAnsi="宋体"/>
          <w:bCs/>
          <w:color w:val="auto"/>
          <w:sz w:val="24"/>
          <w:szCs w:val="24"/>
          <w:highlight w:val="non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p>
    <w:p>
      <w:pPr>
        <w:pStyle w:val="3"/>
        <w:snapToGrid w:val="0"/>
        <w:spacing w:line="360" w:lineRule="auto"/>
        <w:ind w:firstLine="480" w:firstLineChars="200"/>
        <w:rPr>
          <w:rFonts w:hint="eastAsia" w:hAnsi="宋体"/>
          <w:bCs/>
          <w:color w:val="auto"/>
          <w:sz w:val="24"/>
          <w:szCs w:val="24"/>
          <w:highlight w:val="none"/>
          <w:u w:val="single"/>
        </w:rPr>
      </w:pP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3"/>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3"/>
        <w:snapToGrid w:val="0"/>
        <w:spacing w:line="360" w:lineRule="auto"/>
        <w:ind w:firstLine="482" w:firstLineChars="200"/>
        <w:rPr>
          <w:rFonts w:hint="eastAsia" w:hAnsi="宋体"/>
          <w:b/>
          <w:bCs/>
          <w:color w:val="auto"/>
          <w:sz w:val="24"/>
          <w:szCs w:val="24"/>
          <w:highlight w:val="none"/>
        </w:rPr>
      </w:pPr>
      <w:r>
        <w:rPr>
          <w:rFonts w:hint="eastAsia" w:hAnsi="宋体"/>
          <w:b/>
          <w:bCs/>
          <w:color w:val="auto"/>
          <w:sz w:val="24"/>
          <w:szCs w:val="24"/>
          <w:highlight w:val="none"/>
        </w:rPr>
        <w:t>二、质疑项目基本情况：</w:t>
      </w:r>
    </w:p>
    <w:p>
      <w:pPr>
        <w:pStyle w:val="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w:t>
      </w:r>
    </w:p>
    <w:p>
      <w:pPr>
        <w:pStyle w:val="3"/>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□招标文件   招标文件获取日期：</w:t>
      </w:r>
      <w:r>
        <w:rPr>
          <w:rFonts w:hint="eastAsia" w:hAnsi="宋体"/>
          <w:bCs/>
          <w:color w:val="auto"/>
          <w:sz w:val="24"/>
          <w:szCs w:val="24"/>
          <w:highlight w:val="none"/>
          <w:u w:val="single"/>
        </w:rPr>
        <w:t xml:space="preserve">                                   </w:t>
      </w:r>
    </w:p>
    <w:p>
      <w:pPr>
        <w:pStyle w:val="3"/>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 xml:space="preserve">□采购过程   </w:t>
      </w:r>
    </w:p>
    <w:p>
      <w:pPr>
        <w:pStyle w:val="3"/>
        <w:spacing w:line="360" w:lineRule="auto"/>
        <w:ind w:left="25" w:leftChars="12" w:firstLine="352" w:firstLineChars="147"/>
        <w:rPr>
          <w:rFonts w:hint="eastAsia" w:hAnsi="宋体"/>
          <w:bCs/>
          <w:color w:val="auto"/>
          <w:sz w:val="24"/>
          <w:szCs w:val="24"/>
          <w:highlight w:val="none"/>
          <w:u w:val="single"/>
        </w:rPr>
      </w:pPr>
      <w:r>
        <w:rPr>
          <w:rFonts w:hint="eastAsia" w:hAnsi="宋体"/>
          <w:color w:val="auto"/>
          <w:sz w:val="24"/>
          <w:szCs w:val="24"/>
          <w:highlight w:val="none"/>
        </w:rPr>
        <w:t xml:space="preserve">□中标结果   </w:t>
      </w:r>
    </w:p>
    <w:p>
      <w:pPr>
        <w:pStyle w:val="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三、质疑事项具体内容</w:t>
      </w: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质疑事项1：</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事实依据：</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法律依据：</w:t>
      </w:r>
      <w:r>
        <w:rPr>
          <w:rFonts w:hint="eastAsia" w:hAnsi="宋体"/>
          <w:color w:val="auto"/>
          <w:sz w:val="24"/>
          <w:szCs w:val="24"/>
          <w:highlight w:val="none"/>
          <w:u w:val="single"/>
        </w:rPr>
        <w:t xml:space="preserve">                                                        </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质疑事项2</w:t>
      </w:r>
    </w:p>
    <w:p>
      <w:pPr>
        <w:pStyle w:val="3"/>
        <w:spacing w:line="360" w:lineRule="auto"/>
        <w:ind w:left="25" w:leftChars="12" w:firstLine="472" w:firstLineChars="197"/>
        <w:rPr>
          <w:rFonts w:hint="eastAsia" w:hAnsi="宋体"/>
          <w:color w:val="auto"/>
          <w:sz w:val="24"/>
          <w:szCs w:val="24"/>
          <w:highlight w:val="none"/>
        </w:rPr>
      </w:pPr>
      <w:r>
        <w:rPr>
          <w:rFonts w:hAnsi="宋体"/>
          <w:color w:val="auto"/>
          <w:sz w:val="24"/>
          <w:szCs w:val="24"/>
          <w:highlight w:val="none"/>
        </w:rPr>
        <w:t>……</w:t>
      </w: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四、与质疑事项相关的质疑请求：</w:t>
      </w: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3"/>
        <w:spacing w:line="360" w:lineRule="auto"/>
        <w:ind w:left="25" w:leftChars="12" w:firstLine="352" w:firstLineChars="147"/>
        <w:rPr>
          <w:rFonts w:hint="eastAsia" w:hAnsi="宋体"/>
          <w:color w:val="auto"/>
          <w:sz w:val="24"/>
          <w:szCs w:val="24"/>
          <w:highlight w:val="none"/>
        </w:rPr>
      </w:pP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3"/>
        <w:spacing w:line="360" w:lineRule="auto"/>
        <w:ind w:left="25" w:leftChars="12" w:firstLine="352" w:firstLineChars="147"/>
        <w:rPr>
          <w:rFonts w:hint="eastAsia" w:hAnsi="宋体"/>
          <w:color w:val="auto"/>
          <w:sz w:val="24"/>
          <w:szCs w:val="24"/>
          <w:highlight w:val="none"/>
        </w:rPr>
      </w:pP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3"/>
        <w:snapToGrid w:val="0"/>
        <w:spacing w:line="360" w:lineRule="auto"/>
        <w:rPr>
          <w:rFonts w:hint="eastAsia" w:hAnsi="宋体"/>
          <w:b/>
          <w:color w:val="auto"/>
          <w:sz w:val="24"/>
          <w:szCs w:val="24"/>
          <w:highlight w:val="none"/>
        </w:rPr>
      </w:pPr>
    </w:p>
    <w:p>
      <w:pPr>
        <w:pStyle w:val="3"/>
        <w:snapToGrid w:val="0"/>
        <w:spacing w:line="360" w:lineRule="auto"/>
        <w:rPr>
          <w:rFonts w:hint="eastAsia" w:hAnsi="宋体"/>
          <w:b/>
          <w:color w:val="auto"/>
          <w:sz w:val="24"/>
          <w:szCs w:val="24"/>
          <w:highlight w:val="none"/>
        </w:rPr>
      </w:pPr>
      <w:r>
        <w:rPr>
          <w:rFonts w:hint="eastAsia" w:hAnsi="宋体"/>
          <w:b/>
          <w:color w:val="auto"/>
          <w:sz w:val="24"/>
          <w:szCs w:val="24"/>
          <w:highlight w:val="none"/>
        </w:rPr>
        <w:t>说明：</w:t>
      </w:r>
    </w:p>
    <w:p>
      <w:pPr>
        <w:pStyle w:val="3"/>
        <w:spacing w:line="360" w:lineRule="auto"/>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1.供应商提出质疑时，应提交质疑函和必要的证明材料</w:t>
      </w:r>
      <w:r>
        <w:rPr>
          <w:rFonts w:hint="eastAsia" w:hAnsi="宋体"/>
          <w:b/>
          <w:bCs/>
          <w:color w:val="auto"/>
          <w:sz w:val="24"/>
          <w:szCs w:val="24"/>
          <w:highlight w:val="none"/>
        </w:rPr>
        <w:t>。</w:t>
      </w:r>
    </w:p>
    <w:p>
      <w:pPr>
        <w:pStyle w:val="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3.质疑函的质疑事项应具体、明确，并有必要的事实依据和法律依据。</w:t>
      </w:r>
    </w:p>
    <w:p>
      <w:pPr>
        <w:pStyle w:val="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4.质疑函的质疑请求应与质疑事项相关。</w:t>
      </w:r>
    </w:p>
    <w:p>
      <w:pPr>
        <w:pStyle w:val="3"/>
        <w:spacing w:line="360" w:lineRule="auto"/>
        <w:ind w:left="25" w:leftChars="12" w:firstLine="354" w:firstLineChars="147"/>
        <w:rPr>
          <w:rFonts w:hint="eastAsia" w:hAnsi="宋体"/>
          <w:b/>
          <w:color w:val="auto"/>
          <w:highlight w:val="none"/>
        </w:rPr>
      </w:pPr>
      <w:r>
        <w:rPr>
          <w:rFonts w:hint="eastAsia" w:hAnsi="宋体"/>
          <w:b/>
          <w:color w:val="auto"/>
          <w:sz w:val="24"/>
          <w:szCs w:val="24"/>
          <w:highlight w:val="none"/>
        </w:rPr>
        <w:t>5.质疑供应商为法人或者其他组织的，质疑函应由法定代表人、主要负责人，或者其授权代表签字或者盖章，并加盖公章。</w:t>
      </w:r>
    </w:p>
    <w:p>
      <w:pPr>
        <w:spacing w:line="460" w:lineRule="exact"/>
        <w:rPr>
          <w:rFonts w:hint="eastAsia" w:eastAsia="隶书"/>
          <w:color w:val="auto"/>
          <w:sz w:val="44"/>
          <w:highlight w:val="none"/>
        </w:rPr>
      </w:pPr>
    </w:p>
    <w:p>
      <w:pPr>
        <w:spacing w:line="360" w:lineRule="auto"/>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5.投诉书（格式）</w:t>
      </w:r>
    </w:p>
    <w:p>
      <w:pPr>
        <w:spacing w:line="360" w:lineRule="auto"/>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投诉书（格式）</w:t>
      </w:r>
    </w:p>
    <w:p>
      <w:pPr>
        <w:pStyle w:val="3"/>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一、投诉相关主体基本情况：</w:t>
      </w:r>
    </w:p>
    <w:p>
      <w:pPr>
        <w:pStyle w:val="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投标人：</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法定代表人/主要负责人：</w:t>
      </w:r>
      <w:r>
        <w:rPr>
          <w:rFonts w:hint="eastAsia" w:hAnsi="宋体"/>
          <w:bCs/>
          <w:color w:val="auto"/>
          <w:sz w:val="24"/>
          <w:szCs w:val="24"/>
          <w:highlight w:val="none"/>
          <w:u w:val="single"/>
        </w:rPr>
        <w:t xml:space="preserve">                                                         </w:t>
      </w:r>
    </w:p>
    <w:p>
      <w:pPr>
        <w:pStyle w:val="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3"/>
        <w:snapToGrid w:val="0"/>
        <w:spacing w:line="360" w:lineRule="auto"/>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3"/>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被投诉人1：</w:t>
      </w:r>
    </w:p>
    <w:p>
      <w:pPr>
        <w:pStyle w:val="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地址：</w:t>
      </w:r>
      <w:r>
        <w:rPr>
          <w:rFonts w:hint="eastAsia" w:hAnsi="宋体"/>
          <w:bCs/>
          <w:color w:val="auto"/>
          <w:sz w:val="24"/>
          <w:szCs w:val="24"/>
          <w:highlight w:val="none"/>
          <w:u w:val="single"/>
        </w:rPr>
        <w:t xml:space="preserve">                                                            </w:t>
      </w:r>
    </w:p>
    <w:p>
      <w:pPr>
        <w:pStyle w:val="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3"/>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被投诉人2：</w:t>
      </w:r>
    </w:p>
    <w:p>
      <w:pPr>
        <w:pStyle w:val="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w:t>
      </w:r>
    </w:p>
    <w:p>
      <w:pPr>
        <w:pStyle w:val="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相关供应商：</w:t>
      </w:r>
      <w:r>
        <w:rPr>
          <w:rFonts w:hint="eastAsia" w:hAnsi="宋体"/>
          <w:bCs/>
          <w:color w:val="auto"/>
          <w:sz w:val="24"/>
          <w:szCs w:val="24"/>
          <w:highlight w:val="none"/>
          <w:u w:val="single"/>
        </w:rPr>
        <w:t xml:space="preserve">                                                                       </w:t>
      </w:r>
    </w:p>
    <w:p>
      <w:pPr>
        <w:pStyle w:val="3"/>
        <w:snapToGrid w:val="0"/>
        <w:spacing w:line="360" w:lineRule="auto"/>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3"/>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3"/>
        <w:snapToGrid w:val="0"/>
        <w:spacing w:line="360" w:lineRule="auto"/>
        <w:ind w:firstLine="482" w:firstLineChars="200"/>
        <w:rPr>
          <w:rFonts w:hint="eastAsia" w:hAnsi="宋体"/>
          <w:b/>
          <w:bCs/>
          <w:color w:val="auto"/>
          <w:sz w:val="24"/>
          <w:szCs w:val="24"/>
          <w:highlight w:val="none"/>
        </w:rPr>
      </w:pPr>
      <w:r>
        <w:rPr>
          <w:rFonts w:hint="eastAsia" w:hAnsi="宋体"/>
          <w:b/>
          <w:bCs/>
          <w:color w:val="auto"/>
          <w:sz w:val="24"/>
          <w:szCs w:val="24"/>
          <w:highlight w:val="none"/>
        </w:rPr>
        <w:t>二、投诉项目基本情况：</w:t>
      </w:r>
    </w:p>
    <w:p>
      <w:pPr>
        <w:pStyle w:val="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代理机构名称：</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bCs/>
          <w:color w:val="auto"/>
          <w:sz w:val="24"/>
          <w:szCs w:val="24"/>
          <w:highlight w:val="none"/>
          <w:u w:val="single"/>
        </w:rPr>
      </w:pPr>
      <w:r>
        <w:rPr>
          <w:rFonts w:hint="eastAsia" w:hAnsi="宋体"/>
          <w:bCs/>
          <w:color w:val="auto"/>
          <w:sz w:val="24"/>
          <w:szCs w:val="24"/>
          <w:highlight w:val="none"/>
        </w:rPr>
        <w:t>招标文件公告：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b/>
          <w:color w:val="auto"/>
          <w:sz w:val="24"/>
          <w:szCs w:val="24"/>
          <w:highlight w:val="none"/>
        </w:rPr>
      </w:pPr>
      <w:r>
        <w:rPr>
          <w:rFonts w:hint="eastAsia" w:hAnsi="宋体"/>
          <w:bCs/>
          <w:color w:val="auto"/>
          <w:sz w:val="24"/>
          <w:szCs w:val="24"/>
          <w:highlight w:val="none"/>
        </w:rPr>
        <w:t>采购结果公告：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三、质疑基本情况</w:t>
      </w:r>
    </w:p>
    <w:p>
      <w:pPr>
        <w:pStyle w:val="3"/>
        <w:spacing w:line="360" w:lineRule="auto"/>
        <w:ind w:left="25" w:leftChars="12" w:firstLine="480" w:firstLineChars="200"/>
        <w:rPr>
          <w:rFonts w:hint="eastAsia" w:hAnsi="宋体"/>
          <w:color w:val="auto"/>
          <w:sz w:val="24"/>
          <w:szCs w:val="24"/>
          <w:highlight w:val="none"/>
        </w:rPr>
      </w:pPr>
      <w:r>
        <w:rPr>
          <w:rFonts w:hint="eastAsia" w:hAnsi="宋体"/>
          <w:color w:val="auto"/>
          <w:sz w:val="24"/>
          <w:szCs w:val="24"/>
          <w:highlight w:val="none"/>
        </w:rPr>
        <w:t>投诉人于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日，向</w:t>
      </w:r>
      <w:r>
        <w:rPr>
          <w:rFonts w:hint="eastAsia" w:hAnsi="宋体"/>
          <w:color w:val="auto"/>
          <w:sz w:val="24"/>
          <w:szCs w:val="24"/>
          <w:highlight w:val="none"/>
          <w:u w:val="single"/>
        </w:rPr>
        <w:t xml:space="preserve">                                </w:t>
      </w:r>
      <w:r>
        <w:rPr>
          <w:rFonts w:hint="eastAsia" w:hAnsi="宋体"/>
          <w:color w:val="auto"/>
          <w:sz w:val="24"/>
          <w:szCs w:val="24"/>
          <w:highlight w:val="none"/>
        </w:rPr>
        <w:t>提出质疑，质疑事项为：</w:t>
      </w:r>
    </w:p>
    <w:p>
      <w:pPr>
        <w:pStyle w:val="3"/>
        <w:spacing w:line="360" w:lineRule="auto"/>
        <w:ind w:firstLine="241"/>
        <w:rPr>
          <w:rFonts w:hint="eastAsia" w:hAnsi="宋体"/>
          <w:bCs/>
          <w:color w:val="auto"/>
          <w:sz w:val="24"/>
          <w:szCs w:val="24"/>
          <w:highlight w:val="none"/>
          <w:u w:val="single"/>
        </w:rPr>
      </w:pP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3"/>
        <w:spacing w:line="360" w:lineRule="auto"/>
        <w:ind w:firstLine="241"/>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3"/>
        <w:spacing w:line="360" w:lineRule="auto"/>
        <w:ind w:firstLine="480" w:firstLineChars="200"/>
        <w:rPr>
          <w:rFonts w:hint="eastAsia" w:hAnsi="宋体"/>
          <w:color w:val="auto"/>
          <w:sz w:val="24"/>
          <w:szCs w:val="24"/>
          <w:highlight w:val="none"/>
        </w:rPr>
      </w:pPr>
      <w:r>
        <w:rPr>
          <w:rFonts w:hint="eastAsia" w:hAnsi="宋体"/>
          <w:bCs/>
          <w:color w:val="auto"/>
          <w:sz w:val="24"/>
          <w:szCs w:val="24"/>
          <w:highlight w:val="none"/>
          <w:u w:val="single"/>
        </w:rPr>
        <w:t>采购人/代理机构</w:t>
      </w:r>
      <w:r>
        <w:rPr>
          <w:rFonts w:hint="eastAsia" w:hAnsi="宋体"/>
          <w:bCs/>
          <w:color w:val="auto"/>
          <w:sz w:val="24"/>
          <w:szCs w:val="24"/>
          <w:highlight w:val="none"/>
        </w:rPr>
        <w:t>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bCs/>
          <w:color w:val="auto"/>
          <w:sz w:val="24"/>
          <w:szCs w:val="24"/>
          <w:highlight w:val="none"/>
        </w:rPr>
        <w:t xml:space="preserve">就质疑事项作出了答复/没有在法定期限内作出答复。                                                                                             </w:t>
      </w:r>
    </w:p>
    <w:p>
      <w:pPr>
        <w:pStyle w:val="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四、投诉事项具体内容</w:t>
      </w:r>
    </w:p>
    <w:p>
      <w:pPr>
        <w:pStyle w:val="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投诉事项1：</w:t>
      </w:r>
      <w:r>
        <w:rPr>
          <w:rFonts w:hint="eastAsia" w:hAnsi="宋体"/>
          <w:bCs/>
          <w:color w:val="auto"/>
          <w:sz w:val="24"/>
          <w:szCs w:val="24"/>
          <w:highlight w:val="none"/>
          <w:u w:val="single"/>
        </w:rPr>
        <w:t xml:space="preserve">                                                                           </w:t>
      </w:r>
    </w:p>
    <w:p>
      <w:pPr>
        <w:pStyle w:val="3"/>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事实依据：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u w:val="single"/>
        </w:rPr>
        <w:t xml:space="preserve">                                                                                        </w:t>
      </w:r>
    </w:p>
    <w:p>
      <w:pPr>
        <w:pStyle w:val="3"/>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法律依据：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3"/>
        <w:spacing w:line="360" w:lineRule="auto"/>
        <w:ind w:left="25" w:leftChars="12" w:firstLine="352" w:firstLineChars="147"/>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3"/>
        <w:spacing w:line="360" w:lineRule="auto"/>
        <w:ind w:left="25" w:leftChars="12" w:firstLine="472" w:firstLineChars="197"/>
        <w:rPr>
          <w:rFonts w:hint="eastAsia" w:hAnsi="宋体"/>
          <w:bCs/>
          <w:color w:val="auto"/>
          <w:sz w:val="24"/>
          <w:szCs w:val="24"/>
          <w:highlight w:val="none"/>
        </w:rPr>
      </w:pPr>
      <w:r>
        <w:rPr>
          <w:rFonts w:hint="eastAsia" w:hAnsi="宋体"/>
          <w:color w:val="auto"/>
          <w:sz w:val="24"/>
          <w:szCs w:val="24"/>
          <w:highlight w:val="none"/>
        </w:rPr>
        <w:t xml:space="preserve">投诉事项2  </w:t>
      </w:r>
      <w:r>
        <w:rPr>
          <w:rFonts w:hint="eastAsia" w:hAnsi="宋体"/>
          <w:bCs/>
          <w:color w:val="auto"/>
          <w:sz w:val="24"/>
          <w:szCs w:val="24"/>
          <w:highlight w:val="none"/>
        </w:rPr>
        <w:t xml:space="preserve">   </w:t>
      </w:r>
    </w:p>
    <w:p>
      <w:pPr>
        <w:pStyle w:val="3"/>
        <w:spacing w:line="360" w:lineRule="auto"/>
        <w:ind w:left="25" w:leftChars="12" w:firstLine="472" w:firstLineChars="197"/>
        <w:rPr>
          <w:rFonts w:hint="eastAsia" w:hAnsi="宋体"/>
          <w:bCs/>
          <w:color w:val="auto"/>
          <w:sz w:val="24"/>
          <w:szCs w:val="24"/>
          <w:highlight w:val="none"/>
        </w:rPr>
      </w:pPr>
      <w:r>
        <w:rPr>
          <w:rFonts w:hAnsi="宋体"/>
          <w:bCs/>
          <w:color w:val="auto"/>
          <w:sz w:val="24"/>
          <w:szCs w:val="24"/>
          <w:highlight w:val="none"/>
        </w:rPr>
        <w:t>……</w:t>
      </w:r>
    </w:p>
    <w:p>
      <w:pPr>
        <w:pStyle w:val="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五、与投诉事项相关的投诉请求：</w:t>
      </w: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3"/>
        <w:spacing w:line="360" w:lineRule="auto"/>
        <w:ind w:left="25" w:leftChars="12" w:firstLine="352" w:firstLineChars="147"/>
        <w:rPr>
          <w:rFonts w:hint="eastAsia" w:hAnsi="宋体"/>
          <w:color w:val="auto"/>
          <w:sz w:val="24"/>
          <w:szCs w:val="24"/>
          <w:highlight w:val="none"/>
        </w:rPr>
      </w:pP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3"/>
        <w:spacing w:line="360" w:lineRule="auto"/>
        <w:ind w:left="25" w:leftChars="12" w:firstLine="352" w:firstLineChars="147"/>
        <w:rPr>
          <w:rFonts w:hint="eastAsia" w:hAnsi="宋体"/>
          <w:color w:val="auto"/>
          <w:sz w:val="24"/>
          <w:szCs w:val="24"/>
          <w:highlight w:val="none"/>
        </w:rPr>
      </w:pPr>
    </w:p>
    <w:p>
      <w:pPr>
        <w:pStyle w:val="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3"/>
        <w:spacing w:line="360" w:lineRule="auto"/>
        <w:ind w:left="25" w:leftChars="12" w:firstLine="472" w:firstLineChars="197"/>
        <w:rPr>
          <w:rFonts w:hint="eastAsia" w:hAnsi="宋体"/>
          <w:b/>
          <w:color w:val="auto"/>
          <w:sz w:val="24"/>
          <w:szCs w:val="24"/>
          <w:highlight w:val="none"/>
        </w:rPr>
      </w:pPr>
      <w:r>
        <w:rPr>
          <w:rFonts w:hint="eastAsia" w:hAnsi="宋体"/>
          <w:bCs/>
          <w:color w:val="auto"/>
          <w:sz w:val="24"/>
          <w:szCs w:val="24"/>
          <w:highlight w:val="none"/>
        </w:rPr>
        <w:t xml:space="preserve">                                                                                </w:t>
      </w:r>
      <w:r>
        <w:rPr>
          <w:rFonts w:hint="eastAsia" w:hAnsi="宋体"/>
          <w:b/>
          <w:color w:val="auto"/>
          <w:sz w:val="24"/>
          <w:szCs w:val="24"/>
          <w:highlight w:val="none"/>
        </w:rPr>
        <w:t>说明：</w:t>
      </w:r>
    </w:p>
    <w:p>
      <w:pPr>
        <w:pStyle w:val="3"/>
        <w:spacing w:line="360" w:lineRule="auto"/>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b/>
          <w:bCs/>
          <w:color w:val="auto"/>
          <w:sz w:val="24"/>
          <w:szCs w:val="24"/>
          <w:highlight w:val="none"/>
        </w:rPr>
        <w:t>。</w:t>
      </w:r>
    </w:p>
    <w:p>
      <w:pPr>
        <w:pStyle w:val="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3.投诉书应简要列明质疑事项，质疑函、质疑答复等作为附件材料提供。</w:t>
      </w:r>
    </w:p>
    <w:p>
      <w:pPr>
        <w:pStyle w:val="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4.投诉书的投诉事项应具体、明确，并有必要的事实依据和法律依据。</w:t>
      </w:r>
    </w:p>
    <w:p>
      <w:pPr>
        <w:pStyle w:val="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5.投诉书的投诉请求应与投诉事项相关。</w:t>
      </w:r>
    </w:p>
    <w:p>
      <w:pPr>
        <w:pStyle w:val="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6.投诉人为法人或者其他组织的，投诉书应由法定代表人、主要负责人，或者其授权代表签字或者盖章，并加盖公章。</w:t>
      </w:r>
    </w:p>
    <w:p>
      <w:pPr>
        <w:spacing w:line="600" w:lineRule="exact"/>
        <w:jc w:val="center"/>
        <w:rPr>
          <w:rFonts w:hAnsi="宋体"/>
          <w:b/>
          <w:color w:val="auto"/>
          <w:sz w:val="44"/>
          <w:szCs w:val="44"/>
          <w:highlight w:val="none"/>
        </w:rPr>
      </w:pPr>
      <w:r>
        <w:rPr>
          <w:rFonts w:hint="eastAsia" w:hAnsi="宋体"/>
          <w:b/>
          <w:color w:val="auto"/>
          <w:sz w:val="48"/>
          <w:szCs w:val="48"/>
          <w:highlight w:val="none"/>
        </w:rPr>
        <w:t>招标文件签章页</w:t>
      </w:r>
    </w:p>
    <w:p>
      <w:pPr>
        <w:snapToGrid w:val="0"/>
        <w:spacing w:line="480" w:lineRule="auto"/>
        <w:rPr>
          <w:rFonts w:hint="eastAsia" w:hAnsi="宋体"/>
          <w:color w:val="auto"/>
          <w:sz w:val="28"/>
          <w:szCs w:val="28"/>
          <w:highlight w:val="none"/>
        </w:rPr>
      </w:pPr>
    </w:p>
    <w:p>
      <w:pPr>
        <w:pStyle w:val="2"/>
        <w:spacing w:line="600" w:lineRule="exact"/>
        <w:ind w:left="1680" w:right="63" w:hanging="1680" w:hangingChars="525"/>
        <w:jc w:val="left"/>
        <w:rPr>
          <w:rFonts w:hint="eastAsia" w:hAnsi="宋体" w:eastAsia="宋体"/>
          <w:color w:val="auto"/>
          <w:sz w:val="32"/>
          <w:szCs w:val="32"/>
          <w:highlight w:val="none"/>
          <w:lang w:eastAsia="zh-CN"/>
        </w:rPr>
      </w:pPr>
      <w:r>
        <w:rPr>
          <w:rFonts w:hint="eastAsia" w:hAnsi="宋体"/>
          <w:color w:val="auto"/>
          <w:sz w:val="32"/>
          <w:szCs w:val="32"/>
          <w:highlight w:val="none"/>
        </w:rPr>
        <w:t>项目名称：</w:t>
      </w:r>
      <w:r>
        <w:rPr>
          <w:rFonts w:hint="eastAsia" w:hAnsi="宋体"/>
          <w:color w:val="auto"/>
          <w:sz w:val="32"/>
          <w:szCs w:val="32"/>
          <w:highlight w:val="none"/>
          <w:lang w:eastAsia="zh-CN"/>
        </w:rPr>
        <w:t>金城江-宜州两城区通勤用车服务采购项目</w:t>
      </w:r>
    </w:p>
    <w:p>
      <w:pPr>
        <w:pStyle w:val="2"/>
        <w:spacing w:line="600" w:lineRule="exact"/>
        <w:ind w:right="63"/>
        <w:jc w:val="left"/>
        <w:rPr>
          <w:rFonts w:hint="eastAsia" w:hAnsi="宋体"/>
          <w:color w:val="auto"/>
          <w:sz w:val="32"/>
          <w:szCs w:val="32"/>
          <w:highlight w:val="none"/>
        </w:rPr>
      </w:pPr>
      <w:r>
        <w:rPr>
          <w:rFonts w:hint="eastAsia" w:hAnsi="宋体"/>
          <w:color w:val="auto"/>
          <w:sz w:val="32"/>
          <w:szCs w:val="32"/>
          <w:highlight w:val="none"/>
        </w:rPr>
        <w:t>项目编号：</w:t>
      </w:r>
      <w:r>
        <w:rPr>
          <w:rFonts w:hint="eastAsia" w:hAnsi="宋体"/>
          <w:color w:val="auto"/>
          <w:sz w:val="32"/>
          <w:szCs w:val="32"/>
          <w:highlight w:val="none"/>
          <w:lang w:eastAsia="zh-CN"/>
        </w:rPr>
        <w:t>HCZC2022-G3-990086-DSGS</w:t>
      </w:r>
      <w:r>
        <w:rPr>
          <w:rFonts w:hint="eastAsia" w:hAnsi="宋体"/>
          <w:color w:val="auto"/>
          <w:sz w:val="32"/>
          <w:szCs w:val="32"/>
          <w:highlight w:val="none"/>
        </w:rPr>
        <w:t xml:space="preserve"> </w:t>
      </w:r>
    </w:p>
    <w:p>
      <w:pPr>
        <w:pStyle w:val="2"/>
        <w:spacing w:line="600" w:lineRule="exact"/>
        <w:ind w:right="63"/>
        <w:jc w:val="left"/>
        <w:rPr>
          <w:rFonts w:hint="eastAsia" w:hAnsi="宋体"/>
          <w:color w:val="auto"/>
          <w:sz w:val="32"/>
          <w:szCs w:val="32"/>
          <w:highlight w:val="none"/>
        </w:rPr>
      </w:pPr>
    </w:p>
    <w:p>
      <w:pPr>
        <w:pStyle w:val="2"/>
        <w:spacing w:line="600" w:lineRule="exact"/>
        <w:ind w:right="63"/>
        <w:jc w:val="left"/>
        <w:rPr>
          <w:rFonts w:hint="eastAsia" w:hAnsi="宋体"/>
          <w:color w:val="auto"/>
          <w:sz w:val="32"/>
          <w:szCs w:val="32"/>
          <w:highlight w:val="none"/>
        </w:rPr>
      </w:pPr>
    </w:p>
    <w:p>
      <w:pPr>
        <w:snapToGrid w:val="0"/>
        <w:spacing w:line="480" w:lineRule="auto"/>
        <w:rPr>
          <w:rFonts w:hint="eastAsia" w:hAnsi="宋体" w:cs="宋体"/>
          <w:color w:val="auto"/>
          <w:sz w:val="32"/>
          <w:szCs w:val="32"/>
          <w:highlight w:val="none"/>
        </w:rPr>
      </w:pPr>
      <w:r>
        <w:rPr>
          <w:rFonts w:hint="eastAsia" w:hAnsi="宋体"/>
          <w:color w:val="auto"/>
          <w:sz w:val="32"/>
          <w:szCs w:val="32"/>
          <w:highlight w:val="none"/>
        </w:rPr>
        <w:t>采购人：</w:t>
      </w:r>
      <w:r>
        <w:rPr>
          <w:rFonts w:hint="eastAsia" w:hAnsi="宋体" w:cs="宋体"/>
          <w:color w:val="auto"/>
          <w:sz w:val="32"/>
          <w:szCs w:val="32"/>
          <w:highlight w:val="none"/>
          <w:lang w:eastAsia="zh-CN"/>
        </w:rPr>
        <w:t>河池市机关事务服务中心</w:t>
      </w:r>
      <w:r>
        <w:rPr>
          <w:rFonts w:hint="eastAsia" w:hAnsi="宋体"/>
          <w:color w:val="auto"/>
          <w:sz w:val="32"/>
          <w:szCs w:val="32"/>
          <w:highlight w:val="none"/>
        </w:rPr>
        <w:t>（盖单位章）</w:t>
      </w:r>
      <w:r>
        <w:rPr>
          <w:rFonts w:hint="eastAsia" w:hAnsi="宋体" w:cs="宋体"/>
          <w:color w:val="auto"/>
          <w:sz w:val="32"/>
          <w:szCs w:val="32"/>
          <w:highlight w:val="none"/>
        </w:rPr>
        <w:t xml:space="preserve"> </w:t>
      </w:r>
    </w:p>
    <w:p>
      <w:pPr>
        <w:snapToGrid w:val="0"/>
        <w:spacing w:line="480" w:lineRule="auto"/>
        <w:rPr>
          <w:rFonts w:hint="eastAsia" w:hAnsi="宋体" w:cs="宋体"/>
          <w:color w:val="auto"/>
          <w:sz w:val="32"/>
          <w:szCs w:val="32"/>
          <w:highlight w:val="none"/>
        </w:rPr>
      </w:pPr>
      <w:r>
        <w:rPr>
          <w:rFonts w:hint="eastAsia" w:hAnsi="宋体" w:cs="宋体"/>
          <w:color w:val="auto"/>
          <w:sz w:val="32"/>
          <w:szCs w:val="32"/>
          <w:highlight w:val="none"/>
        </w:rPr>
        <w:t>法定代表人或项目负责人：</w:t>
      </w:r>
      <w:r>
        <w:rPr>
          <w:rFonts w:hint="eastAsia" w:hAnsi="宋体" w:cs="宋体"/>
          <w:color w:val="auto"/>
          <w:sz w:val="32"/>
          <w:szCs w:val="32"/>
          <w:highlight w:val="none"/>
          <w:u w:val="single"/>
        </w:rPr>
        <w:t xml:space="preserve">               </w:t>
      </w:r>
      <w:r>
        <w:rPr>
          <w:rFonts w:hint="eastAsia" w:hAnsi="宋体" w:cs="宋体"/>
          <w:color w:val="auto"/>
          <w:sz w:val="32"/>
          <w:szCs w:val="32"/>
          <w:highlight w:val="none"/>
        </w:rPr>
        <w:t>（签字或盖章）</w:t>
      </w:r>
    </w:p>
    <w:p>
      <w:pPr>
        <w:snapToGrid w:val="0"/>
        <w:spacing w:line="480" w:lineRule="auto"/>
        <w:rPr>
          <w:rFonts w:hAnsi="宋体"/>
          <w:color w:val="auto"/>
          <w:sz w:val="32"/>
          <w:szCs w:val="32"/>
          <w:highlight w:val="none"/>
        </w:rPr>
      </w:pPr>
      <w:r>
        <w:rPr>
          <w:rFonts w:hint="eastAsia" w:hAnsi="宋体"/>
          <w:color w:val="auto"/>
          <w:sz w:val="32"/>
          <w:szCs w:val="32"/>
          <w:highlight w:val="none"/>
        </w:rPr>
        <w:t>日 期：2022年</w:t>
      </w:r>
      <w:r>
        <w:rPr>
          <w:rFonts w:hint="eastAsia" w:hAnsi="宋体"/>
          <w:color w:val="auto"/>
          <w:sz w:val="32"/>
          <w:szCs w:val="32"/>
          <w:highlight w:val="none"/>
          <w:lang w:val="en-US" w:eastAsia="zh-CN"/>
        </w:rPr>
        <w:t xml:space="preserve">  </w:t>
      </w:r>
      <w:r>
        <w:rPr>
          <w:rFonts w:hint="eastAsia" w:hAnsi="宋体"/>
          <w:color w:val="auto"/>
          <w:sz w:val="32"/>
          <w:szCs w:val="32"/>
          <w:highlight w:val="none"/>
        </w:rPr>
        <w:t>月</w:t>
      </w:r>
      <w:r>
        <w:rPr>
          <w:rFonts w:hint="eastAsia" w:hAnsi="宋体"/>
          <w:color w:val="auto"/>
          <w:sz w:val="32"/>
          <w:szCs w:val="32"/>
          <w:highlight w:val="none"/>
          <w:lang w:val="en-US" w:eastAsia="zh-CN"/>
        </w:rPr>
        <w:t xml:space="preserve">  </w:t>
      </w:r>
      <w:r>
        <w:rPr>
          <w:rFonts w:hint="eastAsia" w:hAnsi="宋体"/>
          <w:color w:val="auto"/>
          <w:sz w:val="32"/>
          <w:szCs w:val="32"/>
          <w:highlight w:val="none"/>
        </w:rPr>
        <w:t>日</w:t>
      </w:r>
    </w:p>
    <w:p>
      <w:pPr>
        <w:snapToGrid w:val="0"/>
        <w:spacing w:line="480" w:lineRule="auto"/>
        <w:rPr>
          <w:rFonts w:hAnsi="宋体"/>
          <w:color w:val="auto"/>
          <w:sz w:val="32"/>
          <w:szCs w:val="32"/>
          <w:highlight w:val="none"/>
        </w:rPr>
      </w:pPr>
    </w:p>
    <w:p>
      <w:pPr>
        <w:spacing w:line="480" w:lineRule="auto"/>
        <w:rPr>
          <w:rFonts w:hint="eastAsia" w:hAnsi="宋体"/>
          <w:color w:val="auto"/>
          <w:sz w:val="32"/>
          <w:szCs w:val="32"/>
          <w:highlight w:val="none"/>
        </w:rPr>
      </w:pPr>
    </w:p>
    <w:p>
      <w:pPr>
        <w:snapToGrid w:val="0"/>
        <w:spacing w:line="480" w:lineRule="auto"/>
        <w:rPr>
          <w:rFonts w:hint="eastAsia" w:hAnsi="宋体"/>
          <w:color w:val="auto"/>
          <w:sz w:val="32"/>
          <w:szCs w:val="32"/>
          <w:highlight w:val="none"/>
        </w:rPr>
      </w:pPr>
      <w:r>
        <w:rPr>
          <w:rFonts w:hint="eastAsia" w:hAnsi="宋体"/>
          <w:color w:val="auto"/>
          <w:sz w:val="32"/>
          <w:szCs w:val="32"/>
          <w:highlight w:val="none"/>
        </w:rPr>
        <w:t>采购代理机构：</w:t>
      </w:r>
      <w:r>
        <w:rPr>
          <w:rFonts w:hAnsi="宋体"/>
          <w:color w:val="auto"/>
          <w:sz w:val="32"/>
          <w:szCs w:val="32"/>
          <w:highlight w:val="none"/>
        </w:rPr>
        <w:t xml:space="preserve"> </w:t>
      </w:r>
      <w:r>
        <w:rPr>
          <w:rFonts w:hint="eastAsia" w:hAnsi="宋体"/>
          <w:color w:val="auto"/>
          <w:sz w:val="32"/>
          <w:szCs w:val="32"/>
          <w:highlight w:val="none"/>
          <w:lang w:eastAsia="zh-CN"/>
        </w:rPr>
        <w:t>广西德胜工程项目管理有限公司</w:t>
      </w:r>
      <w:r>
        <w:rPr>
          <w:rFonts w:hint="eastAsia" w:hAnsi="宋体"/>
          <w:color w:val="auto"/>
          <w:sz w:val="32"/>
          <w:szCs w:val="32"/>
          <w:highlight w:val="none"/>
        </w:rPr>
        <w:t>（盖单位章）</w:t>
      </w:r>
    </w:p>
    <w:p>
      <w:pPr>
        <w:snapToGrid w:val="0"/>
        <w:spacing w:line="480" w:lineRule="auto"/>
        <w:rPr>
          <w:rFonts w:hint="eastAsia" w:hAnsi="宋体"/>
          <w:color w:val="auto"/>
          <w:sz w:val="32"/>
          <w:szCs w:val="32"/>
          <w:highlight w:val="none"/>
        </w:rPr>
      </w:pPr>
      <w:r>
        <w:rPr>
          <w:rFonts w:hint="eastAsia" w:hAnsi="宋体"/>
          <w:color w:val="auto"/>
          <w:sz w:val="32"/>
          <w:szCs w:val="32"/>
          <w:highlight w:val="none"/>
        </w:rPr>
        <w:t>法定代表人或项目负责人：</w:t>
      </w:r>
      <w:r>
        <w:rPr>
          <w:rFonts w:hint="eastAsia" w:hAnsi="宋体"/>
          <w:color w:val="auto"/>
          <w:sz w:val="32"/>
          <w:szCs w:val="32"/>
          <w:highlight w:val="none"/>
          <w:u w:val="single"/>
        </w:rPr>
        <w:t xml:space="preserve">               </w:t>
      </w:r>
      <w:r>
        <w:rPr>
          <w:rFonts w:hint="eastAsia" w:hAnsi="宋体"/>
          <w:color w:val="auto"/>
          <w:sz w:val="32"/>
          <w:szCs w:val="32"/>
          <w:highlight w:val="none"/>
        </w:rPr>
        <w:t>（签字或盖章）</w:t>
      </w:r>
    </w:p>
    <w:p>
      <w:pPr>
        <w:adjustRightInd w:val="0"/>
        <w:spacing w:line="300" w:lineRule="auto"/>
        <w:rPr>
          <w:rFonts w:hint="eastAsia" w:hAnsi="宋体" w:cs="宋体"/>
          <w:b/>
          <w:color w:val="auto"/>
          <w:sz w:val="32"/>
          <w:szCs w:val="32"/>
          <w:highlight w:val="none"/>
        </w:rPr>
      </w:pPr>
      <w:r>
        <w:rPr>
          <w:rFonts w:hint="eastAsia" w:hAnsi="宋体"/>
          <w:color w:val="auto"/>
          <w:sz w:val="32"/>
          <w:szCs w:val="32"/>
          <w:highlight w:val="none"/>
        </w:rPr>
        <w:t>日 期：2022年</w:t>
      </w:r>
      <w:r>
        <w:rPr>
          <w:rFonts w:hint="eastAsia" w:hAnsi="宋体"/>
          <w:color w:val="auto"/>
          <w:sz w:val="32"/>
          <w:szCs w:val="32"/>
          <w:highlight w:val="none"/>
          <w:lang w:val="en-US" w:eastAsia="zh-CN"/>
        </w:rPr>
        <w:t xml:space="preserve">   </w:t>
      </w:r>
      <w:r>
        <w:rPr>
          <w:rFonts w:hint="eastAsia" w:hAnsi="宋体"/>
          <w:color w:val="auto"/>
          <w:sz w:val="32"/>
          <w:szCs w:val="32"/>
          <w:highlight w:val="none"/>
        </w:rPr>
        <w:t>月</w:t>
      </w:r>
      <w:r>
        <w:rPr>
          <w:rFonts w:hint="eastAsia" w:hAnsi="宋体"/>
          <w:color w:val="auto"/>
          <w:sz w:val="32"/>
          <w:szCs w:val="32"/>
          <w:highlight w:val="none"/>
          <w:lang w:val="en-US" w:eastAsia="zh-CN"/>
        </w:rPr>
        <w:t xml:space="preserve">  </w:t>
      </w:r>
      <w:r>
        <w:rPr>
          <w:rFonts w:hint="eastAsia" w:hAnsi="宋体"/>
          <w:color w:val="auto"/>
          <w:sz w:val="32"/>
          <w:szCs w:val="32"/>
          <w:highlight w:val="none"/>
        </w:rPr>
        <w:t>日</w:t>
      </w:r>
    </w:p>
    <w:p>
      <w:pPr>
        <w:rPr>
          <w:rFonts w:hint="eastAsia" w:hAnsi="宋体" w:cs="宋体"/>
          <w:b/>
          <w:color w:val="auto"/>
          <w:highlight w:val="none"/>
        </w:rPr>
      </w:pPr>
    </w:p>
    <w:p>
      <w:pPr>
        <w:snapToGrid w:val="0"/>
        <w:spacing w:line="360" w:lineRule="auto"/>
        <w:ind w:firstLine="480" w:firstLineChars="200"/>
        <w:jc w:val="left"/>
        <w:rPr>
          <w:rFonts w:hint="eastAsia" w:hAnsi="宋体"/>
          <w:bCs/>
          <w:color w:val="auto"/>
          <w:sz w:val="24"/>
          <w:highlight w:val="none"/>
        </w:rPr>
      </w:pPr>
    </w:p>
    <w:p>
      <w:pPr>
        <w:snapToGrid w:val="0"/>
        <w:spacing w:before="50" w:after="50" w:line="320" w:lineRule="exact"/>
        <w:rPr>
          <w:rFonts w:hint="eastAsia"/>
          <w:color w:val="auto"/>
          <w:highlight w:val="none"/>
        </w:rPr>
      </w:pPr>
      <w:r>
        <w:rPr>
          <w:rFonts w:hint="eastAsia"/>
          <w:color w:val="auto"/>
          <w:highlight w:val="none"/>
        </w:rPr>
        <w:tab/>
      </w:r>
      <w:r>
        <w:rPr>
          <w:rFonts w:hint="eastAsia"/>
          <w:color w:val="auto"/>
          <w:highlight w:val="none"/>
        </w:rPr>
        <w:t xml:space="preserve">           </w:t>
      </w:r>
    </w:p>
    <w:p>
      <w:pPr>
        <w:rPr>
          <w:rFonts w:hint="eastAsia"/>
          <w:color w:val="auto"/>
          <w:highlight w:val="none"/>
        </w:rPr>
      </w:pPr>
    </w:p>
    <w:p>
      <w:pPr>
        <w:rPr>
          <w:rFonts w:hint="eastAsia"/>
          <w:color w:val="auto"/>
          <w:highlight w:val="none"/>
        </w:rPr>
      </w:pPr>
    </w:p>
    <w:sectPr>
      <w:footerReference r:id="rId15" w:type="first"/>
      <w:headerReference r:id="rId12" w:type="default"/>
      <w:footerReference r:id="rId13" w:type="default"/>
      <w:footerReference r:id="rId14" w:type="even"/>
      <w:pgSz w:w="11906" w:h="16838"/>
      <w:pgMar w:top="1134" w:right="1503" w:bottom="1559" w:left="167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426079F-68BA-46B6-B87A-8C3BB1402D61}"/>
  </w:font>
  <w:font w:name="黑体">
    <w:panose1 w:val="02010609060101010101"/>
    <w:charset w:val="86"/>
    <w:family w:val="auto"/>
    <w:pitch w:val="default"/>
    <w:sig w:usb0="800002BF" w:usb1="38CF7CFA" w:usb2="00000016" w:usb3="00000000" w:csb0="00040001" w:csb1="00000000"/>
    <w:embedRegular r:id="rId2" w:fontKey="{430C86A5-21DA-4048-9105-0CAFE99EC171}"/>
  </w:font>
  <w:font w:name="Courier New">
    <w:panose1 w:val="02070309020205020404"/>
    <w:charset w:val="01"/>
    <w:family w:val="modern"/>
    <w:pitch w:val="default"/>
    <w:sig w:usb0="E0002EFF" w:usb1="C0007843" w:usb2="00000009" w:usb3="00000000" w:csb0="400001FF" w:csb1="FFFF0000"/>
    <w:embedRegular r:id="rId3" w:fontKey="{757B985D-C4ED-49CB-AE91-6C3E97940F4D}"/>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4" w:fontKey="{9334AF13-329E-46BD-967A-ADC2D0630653}"/>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Century">
    <w:altName w:val="Times New Roman"/>
    <w:panose1 w:val="02040604050505020304"/>
    <w:charset w:val="00"/>
    <w:family w:val="roman"/>
    <w:pitch w:val="default"/>
    <w:sig w:usb0="00000000" w:usb1="000000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5" w:fontKey="{41CFC072-27AE-4409-8F4B-56F4F14EAF0C}"/>
  </w:font>
  <w:font w:name="华文新魏">
    <w:panose1 w:val="02010800040101010101"/>
    <w:charset w:val="86"/>
    <w:family w:val="auto"/>
    <w:pitch w:val="default"/>
    <w:sig w:usb0="00000001" w:usb1="080F0000" w:usb2="00000000" w:usb3="00000000" w:csb0="00040000" w:csb1="00000000"/>
    <w:embedRegular r:id="rId6" w:fontKey="{7B9BD63F-E008-453D-AC62-315517F8A77D}"/>
  </w:font>
  <w:font w:name="Wingdings 2">
    <w:panose1 w:val="05020102010507070707"/>
    <w:charset w:val="02"/>
    <w:family w:val="auto"/>
    <w:pitch w:val="default"/>
    <w:sig w:usb0="00000000" w:usb1="00000000" w:usb2="00000000" w:usb3="00000000" w:csb0="80000000" w:csb1="00000000"/>
    <w:embedRegular r:id="rId7" w:fontKey="{72F16162-4C40-4252-83C2-628DC2420963}"/>
  </w:font>
  <w:font w:name="隶书">
    <w:panose1 w:val="02010509060101010101"/>
    <w:charset w:val="86"/>
    <w:family w:val="modern"/>
    <w:pitch w:val="default"/>
    <w:sig w:usb0="00000001" w:usb1="080E0000" w:usb2="00000000" w:usb3="00000000" w:csb0="00040000" w:csb1="00000000"/>
    <w:embedRegular r:id="rId8" w:fontKey="{9321FF8F-3586-42AF-8ACA-E7652E04012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41</w:t>
                          </w:r>
                          <w:r>
                            <w:fldChar w:fldCharType="end"/>
                          </w:r>
                        </w:p>
                      </w:txbxContent>
                    </wps:txbx>
                    <wps:bodyPr wrap="none" lIns="0" tIns="0" rIns="0" bIns="0" upright="0">
                      <a:spAutoFit/>
                    </wps:bodyPr>
                  </wps:wsp>
                </a:graphicData>
              </a:graphic>
            </wp:anchor>
          </w:drawing>
        </mc:Choice>
        <mc:Fallback>
          <w:pict>
            <v:shape id="文本框 206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XmcG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V&#10;N8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V5nBrLAQAAnAMAAA4AAAAAAAAAAQAgAAAAHgEAAGRycy9lMm9E&#10;b2MueG1sUEsFBgAAAAAGAAYAWQEAAFs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41</w:t>
                    </w:r>
                    <w:r>
                      <w:fldChar w:fldCharType="end"/>
                    </w:r>
                  </w:p>
                </w:txbxContent>
              </v:textbox>
            </v:shape>
          </w:pict>
        </mc:Fallback>
      </mc:AlternateContent>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shape id="文本框 206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OmlAGsoBAACcAwAADgAAAAAAAAABACAAAAAeAQAAZHJzL2Uyb0Rv&#10;Yy54bWxQSwUGAAAAAAYABgBZAQAAWg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0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57</w:t>
                          </w:r>
                          <w:r>
                            <w:fldChar w:fldCharType="end"/>
                          </w:r>
                        </w:p>
                      </w:txbxContent>
                    </wps:txbx>
                    <wps:bodyPr wrap="none" lIns="0" tIns="0" rIns="0" bIns="0" upright="0">
                      <a:spAutoFit/>
                    </wps:bodyPr>
                  </wps:wsp>
                </a:graphicData>
              </a:graphic>
            </wp:anchor>
          </w:drawing>
        </mc:Choice>
        <mc:Fallback>
          <w:pict>
            <v:shape id="文本框 206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PBk26zLAQAAnAMAAA4AAAAAAAAAAQAgAAAAHgEAAGRycy9lMm9E&#10;b2MueG1sUEsFBgAAAAAGAAYAWQEAAFs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57</w:t>
                    </w:r>
                    <w:r>
                      <w:fldChar w:fldCharType="end"/>
                    </w:r>
                  </w:p>
                </w:txbxContent>
              </v:textbox>
            </v:shape>
          </w:pict>
        </mc:Fallback>
      </mc:AlternateContent>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0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59</w:t>
                          </w:r>
                          <w:r>
                            <w:fldChar w:fldCharType="end"/>
                          </w:r>
                        </w:p>
                      </w:txbxContent>
                    </wps:txbx>
                    <wps:bodyPr wrap="none" lIns="0" tIns="0" rIns="0" bIns="0" upright="0">
                      <a:spAutoFit/>
                    </wps:bodyPr>
                  </wps:wsp>
                </a:graphicData>
              </a:graphic>
            </wp:anchor>
          </w:drawing>
        </mc:Choice>
        <mc:Fallback>
          <w:pict>
            <v:shape id="文本框 206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ARJ+BvLAQAAnAMAAA4AAAAAAAAAAQAgAAAAHgEAAGRycy9lMm9E&#10;b2MueG1sUEsFBgAAAAAGAAYAWQEAAFs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59</w:t>
                    </w:r>
                    <w:r>
                      <w:fldChar w:fldCharType="end"/>
                    </w:r>
                  </w:p>
                </w:txbxContent>
              </v:textbox>
            </v:shape>
          </w:pict>
        </mc:Fallback>
      </mc:AlternateContent>
    </w:r>
  </w:p>
  <w:p>
    <w:pPr>
      <w:pStyle w:val="2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49"/>
      </w:rPr>
    </w:pPr>
    <w:r>
      <w:fldChar w:fldCharType="begin"/>
    </w:r>
    <w:r>
      <w:rPr>
        <w:rStyle w:val="49"/>
      </w:rPr>
      <w:instrText xml:space="preserve">PAGE  </w:instrText>
    </w:r>
    <w:r>
      <w:fldChar w:fldCharType="end"/>
    </w:r>
  </w:p>
  <w:p>
    <w:pPr>
      <w:pStyle w:val="2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文本框 206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M5EY63LAQAAnAMAAA4AAAAAAAAAAQAgAAAAHgEAAGRycy9lMm9E&#10;b2MueG1sUEsFBgAAAAAGAAYAWQEAAFs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58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tabs>
        <w:tab w:val="center" w:pos="4153"/>
        <w:tab w:val="right" w:pos="8306"/>
        <w:tab w:val="clear" w:pos="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3104A1"/>
    <w:multiLevelType w:val="singleLevel"/>
    <w:tmpl w:val="CE3104A1"/>
    <w:lvl w:ilvl="0" w:tentative="0">
      <w:start w:val="2"/>
      <w:numFmt w:val="decimal"/>
      <w:lvlText w:val="%1."/>
      <w:lvlJc w:val="left"/>
      <w:pPr>
        <w:tabs>
          <w:tab w:val="left" w:pos="312"/>
        </w:tabs>
      </w:pPr>
    </w:lvl>
  </w:abstractNum>
  <w:abstractNum w:abstractNumId="1">
    <w:nsid w:val="FFFFFF7E"/>
    <w:multiLevelType w:val="singleLevel"/>
    <w:tmpl w:val="FFFFFF7E"/>
    <w:lvl w:ilvl="0" w:tentative="0">
      <w:start w:val="1"/>
      <w:numFmt w:val="decimal"/>
      <w:pStyle w:val="20"/>
      <w:lvlText w:val="%1."/>
      <w:lvlJc w:val="left"/>
      <w:pPr>
        <w:tabs>
          <w:tab w:val="left" w:pos="1200"/>
        </w:tabs>
        <w:ind w:left="1200" w:hanging="360"/>
      </w:pPr>
    </w:lvl>
  </w:abstractNum>
  <w:abstractNum w:abstractNumId="2">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1"/>
      <w:suff w:val="nothing"/>
      <w:lvlText w:val=""/>
      <w:lvlJc w:val="left"/>
      <w:pPr>
        <w:ind w:left="0" w:firstLine="0"/>
      </w:pPr>
      <w:rPr>
        <w:rFonts w:hint="eastAsia"/>
      </w:rPr>
    </w:lvl>
    <w:lvl w:ilvl="7" w:tentative="0">
      <w:start w:val="1"/>
      <w:numFmt w:val="none"/>
      <w:pStyle w:val="12"/>
      <w:suff w:val="nothing"/>
      <w:lvlText w:val=""/>
      <w:lvlJc w:val="left"/>
      <w:pPr>
        <w:ind w:left="0" w:firstLine="0"/>
      </w:pPr>
      <w:rPr>
        <w:rFonts w:hint="eastAsia"/>
      </w:rPr>
    </w:lvl>
    <w:lvl w:ilvl="8" w:tentative="0">
      <w:start w:val="1"/>
      <w:numFmt w:val="none"/>
      <w:pStyle w:val="13"/>
      <w:suff w:val="nothing"/>
      <w:lvlText w:val=""/>
      <w:lvlJc w:val="left"/>
      <w:pPr>
        <w:ind w:left="0" w:firstLine="0"/>
      </w:pPr>
      <w:rPr>
        <w:rFonts w:hint="eastAsia"/>
      </w:rPr>
    </w:lvl>
  </w:abstractNum>
  <w:abstractNum w:abstractNumId="3">
    <w:nsid w:val="3329B659"/>
    <w:multiLevelType w:val="singleLevel"/>
    <w:tmpl w:val="3329B659"/>
    <w:lvl w:ilvl="0" w:tentative="0">
      <w:start w:val="8"/>
      <w:numFmt w:val="chineseCounting"/>
      <w:suff w:val="nothing"/>
      <w:lvlText w:val="%1、"/>
      <w:lvlJc w:val="left"/>
      <w:rPr>
        <w:rFonts w:hint="eastAsia"/>
      </w:rPr>
    </w:lvl>
  </w:abstractNum>
  <w:abstractNum w:abstractNumId="4">
    <w:nsid w:val="3BE8B3DA"/>
    <w:multiLevelType w:val="singleLevel"/>
    <w:tmpl w:val="3BE8B3DA"/>
    <w:lvl w:ilvl="0" w:tentative="0">
      <w:start w:val="1"/>
      <w:numFmt w:val="chineseCounting"/>
      <w:suff w:val="nothing"/>
      <w:lvlText w:val="（%1）"/>
      <w:lvlJc w:val="left"/>
      <w:rPr>
        <w:rFonts w:hint="eastAsia"/>
      </w:rPr>
    </w:lvl>
  </w:abstractNum>
  <w:abstractNum w:abstractNumId="5">
    <w:nsid w:val="42405056"/>
    <w:multiLevelType w:val="multilevel"/>
    <w:tmpl w:val="42405056"/>
    <w:lvl w:ilvl="0" w:tentative="0">
      <w:start w:val="1"/>
      <w:numFmt w:val="decimal"/>
      <w:lvlText w:val="%1."/>
      <w:lvlJc w:val="left"/>
      <w:pPr>
        <w:ind w:left="773" w:hanging="360"/>
      </w:pPr>
      <w:rPr>
        <w:rFonts w:hint="default"/>
        <w:b/>
        <w:sz w:val="24"/>
        <w:szCs w:val="24"/>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6">
    <w:nsid w:val="4C601917"/>
    <w:multiLevelType w:val="singleLevel"/>
    <w:tmpl w:val="4C601917"/>
    <w:lvl w:ilvl="0" w:tentative="0">
      <w:start w:val="1"/>
      <w:numFmt w:val="decimal"/>
      <w:suff w:val="nothing"/>
      <w:lvlText w:val="（%1）"/>
      <w:lvlJc w:val="left"/>
    </w:lvl>
  </w:abstractNum>
  <w:abstractNum w:abstractNumId="7">
    <w:nsid w:val="5FABD14B"/>
    <w:multiLevelType w:val="singleLevel"/>
    <w:tmpl w:val="5FABD14B"/>
    <w:lvl w:ilvl="0" w:tentative="0">
      <w:start w:val="1"/>
      <w:numFmt w:val="decimal"/>
      <w:suff w:val="nothing"/>
      <w:lvlText w:val="（%1）"/>
      <w:lvlJc w:val="left"/>
    </w:lvl>
  </w:abstractNum>
  <w:abstractNum w:abstractNumId="8">
    <w:nsid w:val="6E6F60E5"/>
    <w:multiLevelType w:val="multilevel"/>
    <w:tmpl w:val="6E6F60E5"/>
    <w:lvl w:ilvl="0" w:tentative="0">
      <w:start w:val="1"/>
      <w:numFmt w:val="chineseCountingThousand"/>
      <w:lvlText w:val="%1、"/>
      <w:lvlJc w:val="left"/>
      <w:pPr>
        <w:ind w:left="4197" w:hanging="227"/>
      </w:pPr>
      <w:rPr>
        <w:rFonts w:hint="eastAsia"/>
      </w:rPr>
    </w:lvl>
    <w:lvl w:ilvl="1" w:tentative="0">
      <w:start w:val="1"/>
      <w:numFmt w:val="lowerLetter"/>
      <w:lvlText w:val="%2)"/>
      <w:lvlJc w:val="left"/>
      <w:pPr>
        <w:ind w:left="4810" w:hanging="420"/>
      </w:pPr>
    </w:lvl>
    <w:lvl w:ilvl="2" w:tentative="0">
      <w:start w:val="1"/>
      <w:numFmt w:val="lowerRoman"/>
      <w:lvlText w:val="%3."/>
      <w:lvlJc w:val="right"/>
      <w:pPr>
        <w:ind w:left="5230" w:hanging="420"/>
      </w:pPr>
    </w:lvl>
    <w:lvl w:ilvl="3" w:tentative="0">
      <w:start w:val="1"/>
      <w:numFmt w:val="decimal"/>
      <w:lvlText w:val="%4."/>
      <w:lvlJc w:val="left"/>
      <w:pPr>
        <w:ind w:left="5650" w:hanging="420"/>
      </w:pPr>
    </w:lvl>
    <w:lvl w:ilvl="4" w:tentative="0">
      <w:start w:val="1"/>
      <w:numFmt w:val="lowerLetter"/>
      <w:lvlText w:val="%5)"/>
      <w:lvlJc w:val="left"/>
      <w:pPr>
        <w:ind w:left="6070" w:hanging="420"/>
      </w:pPr>
    </w:lvl>
    <w:lvl w:ilvl="5" w:tentative="0">
      <w:start w:val="1"/>
      <w:numFmt w:val="lowerRoman"/>
      <w:lvlText w:val="%6."/>
      <w:lvlJc w:val="right"/>
      <w:pPr>
        <w:ind w:left="6490" w:hanging="420"/>
      </w:pPr>
    </w:lvl>
    <w:lvl w:ilvl="6" w:tentative="0">
      <w:start w:val="1"/>
      <w:numFmt w:val="decimal"/>
      <w:lvlText w:val="%7."/>
      <w:lvlJc w:val="left"/>
      <w:pPr>
        <w:ind w:left="6910" w:hanging="420"/>
      </w:pPr>
    </w:lvl>
    <w:lvl w:ilvl="7" w:tentative="0">
      <w:start w:val="1"/>
      <w:numFmt w:val="lowerLetter"/>
      <w:lvlText w:val="%8)"/>
      <w:lvlJc w:val="left"/>
      <w:pPr>
        <w:ind w:left="7330" w:hanging="420"/>
      </w:pPr>
    </w:lvl>
    <w:lvl w:ilvl="8" w:tentative="0">
      <w:start w:val="1"/>
      <w:numFmt w:val="lowerRoman"/>
      <w:lvlText w:val="%9."/>
      <w:lvlJc w:val="right"/>
      <w:pPr>
        <w:ind w:left="7750" w:hanging="420"/>
      </w:pPr>
    </w:lvl>
  </w:abstractNum>
  <w:abstractNum w:abstractNumId="9">
    <w:nsid w:val="6E6F60E6"/>
    <w:multiLevelType w:val="multilevel"/>
    <w:tmpl w:val="6E6F60E6"/>
    <w:lvl w:ilvl="0" w:tentative="0">
      <w:start w:val="1"/>
      <w:numFmt w:val="chineseCountingThousand"/>
      <w:lvlText w:val="第%1条"/>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E6F60E7"/>
    <w:multiLevelType w:val="multilevel"/>
    <w:tmpl w:val="6E6F60E7"/>
    <w:lvl w:ilvl="0" w:tentative="0">
      <w:start w:val="7"/>
      <w:numFmt w:val="japaneseCounting"/>
      <w:lvlText w:val="%1、"/>
      <w:lvlJc w:val="left"/>
      <w:pPr>
        <w:ind w:left="1287" w:hanging="720"/>
      </w:pPr>
      <w:rPr>
        <w:rFonts w:hint="default"/>
      </w:rPr>
    </w:lvl>
    <w:lvl w:ilvl="1" w:tentative="0">
      <w:start w:val="1"/>
      <w:numFmt w:val="decimal"/>
      <w:lvlText w:val="%2."/>
      <w:lvlJc w:val="left"/>
      <w:pPr>
        <w:ind w:left="1407" w:hanging="420"/>
      </w:pPr>
    </w:lvl>
    <w:lvl w:ilvl="2" w:tentative="0">
      <w:start w:val="1"/>
      <w:numFmt w:val="decimal"/>
      <w:lvlText w:val="%3."/>
      <w:lvlJc w:val="left"/>
      <w:pPr>
        <w:ind w:left="1680" w:hanging="420"/>
      </w:pPr>
      <w:rPr>
        <w:rFonts w:hint="eastAsia" w:cs="Times New Roman"/>
      </w:r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70BD51E6"/>
    <w:multiLevelType w:val="multilevel"/>
    <w:tmpl w:val="70BD51E6"/>
    <w:lvl w:ilvl="0" w:tentative="0">
      <w:start w:val="1"/>
      <w:numFmt w:val="decimal"/>
      <w:lvlText w:val="%1."/>
      <w:lvlJc w:val="left"/>
      <w:pPr>
        <w:ind w:left="840" w:hanging="420"/>
      </w:pPr>
      <w:rPr>
        <w:rFonts w:hint="default"/>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7301DE82"/>
    <w:multiLevelType w:val="singleLevel"/>
    <w:tmpl w:val="7301DE82"/>
    <w:lvl w:ilvl="0" w:tentative="0">
      <w:start w:val="2"/>
      <w:numFmt w:val="chineseCounting"/>
      <w:suff w:val="nothing"/>
      <w:lvlText w:val="%1、"/>
      <w:lvlJc w:val="left"/>
      <w:rPr>
        <w:rFonts w:hint="eastAsia"/>
      </w:rPr>
    </w:lvl>
  </w:abstractNum>
  <w:abstractNum w:abstractNumId="13">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2"/>
  </w:num>
  <w:num w:numId="2">
    <w:abstractNumId w:val="1"/>
  </w:num>
  <w:num w:numId="3">
    <w:abstractNumId w:val="0"/>
  </w:num>
  <w:num w:numId="4">
    <w:abstractNumId w:val="12"/>
  </w:num>
  <w:num w:numId="5">
    <w:abstractNumId w:val="4"/>
  </w:num>
  <w:num w:numId="6">
    <w:abstractNumId w:val="3"/>
  </w:num>
  <w:num w:numId="7">
    <w:abstractNumId w:val="11"/>
  </w:num>
  <w:num w:numId="8">
    <w:abstractNumId w:val="5"/>
  </w:num>
  <w:num w:numId="9">
    <w:abstractNumId w:val="6"/>
  </w:num>
  <w:num w:numId="10">
    <w:abstractNumId w:val="7"/>
  </w:num>
  <w:num w:numId="11">
    <w:abstractNumId w:val="8"/>
  </w:num>
  <w:num w:numId="12">
    <w:abstractNumId w:val="9"/>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revisionView w:markup="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YzM2NDc5M2ExMjMxMzgxZDg0OWNmMmYxODY4MzgifQ=="/>
  </w:docVars>
  <w:rsids>
    <w:rsidRoot w:val="00172A27"/>
    <w:rsid w:val="0000010C"/>
    <w:rsid w:val="00000D21"/>
    <w:rsid w:val="00000FE0"/>
    <w:rsid w:val="00001068"/>
    <w:rsid w:val="0000114A"/>
    <w:rsid w:val="00001731"/>
    <w:rsid w:val="00001C2D"/>
    <w:rsid w:val="00001C55"/>
    <w:rsid w:val="00001CA8"/>
    <w:rsid w:val="00001FAE"/>
    <w:rsid w:val="00002291"/>
    <w:rsid w:val="00002644"/>
    <w:rsid w:val="00002DBF"/>
    <w:rsid w:val="00002EC0"/>
    <w:rsid w:val="00003224"/>
    <w:rsid w:val="000033F5"/>
    <w:rsid w:val="000034EA"/>
    <w:rsid w:val="0000358C"/>
    <w:rsid w:val="00003BEF"/>
    <w:rsid w:val="00004130"/>
    <w:rsid w:val="0000431F"/>
    <w:rsid w:val="00004634"/>
    <w:rsid w:val="00004D8B"/>
    <w:rsid w:val="000059E2"/>
    <w:rsid w:val="00006AE7"/>
    <w:rsid w:val="00006B9B"/>
    <w:rsid w:val="00006C35"/>
    <w:rsid w:val="000072B1"/>
    <w:rsid w:val="00007329"/>
    <w:rsid w:val="00007E28"/>
    <w:rsid w:val="00007E84"/>
    <w:rsid w:val="00010401"/>
    <w:rsid w:val="000105A1"/>
    <w:rsid w:val="000107AD"/>
    <w:rsid w:val="00010835"/>
    <w:rsid w:val="00011842"/>
    <w:rsid w:val="00012137"/>
    <w:rsid w:val="000121EE"/>
    <w:rsid w:val="000121FF"/>
    <w:rsid w:val="000125B8"/>
    <w:rsid w:val="00012692"/>
    <w:rsid w:val="00013446"/>
    <w:rsid w:val="00013509"/>
    <w:rsid w:val="000135BC"/>
    <w:rsid w:val="000135DC"/>
    <w:rsid w:val="000136D6"/>
    <w:rsid w:val="00013979"/>
    <w:rsid w:val="00014085"/>
    <w:rsid w:val="00014B4C"/>
    <w:rsid w:val="00014DD9"/>
    <w:rsid w:val="000151E4"/>
    <w:rsid w:val="000153D8"/>
    <w:rsid w:val="00015577"/>
    <w:rsid w:val="000156E4"/>
    <w:rsid w:val="000159A7"/>
    <w:rsid w:val="00015FB8"/>
    <w:rsid w:val="0001609F"/>
    <w:rsid w:val="0001635B"/>
    <w:rsid w:val="00016549"/>
    <w:rsid w:val="00016BF7"/>
    <w:rsid w:val="00016D20"/>
    <w:rsid w:val="0001767E"/>
    <w:rsid w:val="0001776D"/>
    <w:rsid w:val="00017C00"/>
    <w:rsid w:val="00017F31"/>
    <w:rsid w:val="00020607"/>
    <w:rsid w:val="0002103A"/>
    <w:rsid w:val="000217E4"/>
    <w:rsid w:val="00021852"/>
    <w:rsid w:val="00021A12"/>
    <w:rsid w:val="00022622"/>
    <w:rsid w:val="00023363"/>
    <w:rsid w:val="000235F3"/>
    <w:rsid w:val="00023644"/>
    <w:rsid w:val="00023712"/>
    <w:rsid w:val="00024C02"/>
    <w:rsid w:val="00024E3C"/>
    <w:rsid w:val="00024EB0"/>
    <w:rsid w:val="00025A93"/>
    <w:rsid w:val="0002646A"/>
    <w:rsid w:val="0002651D"/>
    <w:rsid w:val="00026CFD"/>
    <w:rsid w:val="000279F9"/>
    <w:rsid w:val="00027A11"/>
    <w:rsid w:val="00027C8B"/>
    <w:rsid w:val="00027CD9"/>
    <w:rsid w:val="00030242"/>
    <w:rsid w:val="00030B06"/>
    <w:rsid w:val="0003183A"/>
    <w:rsid w:val="00031CDC"/>
    <w:rsid w:val="00031DC8"/>
    <w:rsid w:val="0003263B"/>
    <w:rsid w:val="0003282C"/>
    <w:rsid w:val="0003304A"/>
    <w:rsid w:val="0003317E"/>
    <w:rsid w:val="00033413"/>
    <w:rsid w:val="000337F3"/>
    <w:rsid w:val="00034C27"/>
    <w:rsid w:val="00034E2A"/>
    <w:rsid w:val="0003577F"/>
    <w:rsid w:val="000361E7"/>
    <w:rsid w:val="00036466"/>
    <w:rsid w:val="0003675E"/>
    <w:rsid w:val="00037633"/>
    <w:rsid w:val="00037E9E"/>
    <w:rsid w:val="00037F87"/>
    <w:rsid w:val="00037FA2"/>
    <w:rsid w:val="000400D0"/>
    <w:rsid w:val="0004044E"/>
    <w:rsid w:val="000425AC"/>
    <w:rsid w:val="00042F4A"/>
    <w:rsid w:val="00043BE5"/>
    <w:rsid w:val="00044003"/>
    <w:rsid w:val="00044527"/>
    <w:rsid w:val="0004469E"/>
    <w:rsid w:val="00044897"/>
    <w:rsid w:val="00044ACF"/>
    <w:rsid w:val="00044D83"/>
    <w:rsid w:val="000454F4"/>
    <w:rsid w:val="00045D1E"/>
    <w:rsid w:val="00045E69"/>
    <w:rsid w:val="00045EF4"/>
    <w:rsid w:val="00046547"/>
    <w:rsid w:val="000466D7"/>
    <w:rsid w:val="00046753"/>
    <w:rsid w:val="00047254"/>
    <w:rsid w:val="000472FD"/>
    <w:rsid w:val="0005022B"/>
    <w:rsid w:val="00050771"/>
    <w:rsid w:val="000513F3"/>
    <w:rsid w:val="00052287"/>
    <w:rsid w:val="000522E0"/>
    <w:rsid w:val="000532F4"/>
    <w:rsid w:val="000536AE"/>
    <w:rsid w:val="00054CD5"/>
    <w:rsid w:val="00054D03"/>
    <w:rsid w:val="000550AC"/>
    <w:rsid w:val="0005580E"/>
    <w:rsid w:val="0005584D"/>
    <w:rsid w:val="00055CC3"/>
    <w:rsid w:val="00055CEE"/>
    <w:rsid w:val="000566FA"/>
    <w:rsid w:val="00056A2B"/>
    <w:rsid w:val="00056E37"/>
    <w:rsid w:val="00056EE2"/>
    <w:rsid w:val="00056FE2"/>
    <w:rsid w:val="000570FB"/>
    <w:rsid w:val="000575B8"/>
    <w:rsid w:val="00060131"/>
    <w:rsid w:val="0006026B"/>
    <w:rsid w:val="00060293"/>
    <w:rsid w:val="00061BDA"/>
    <w:rsid w:val="000621FE"/>
    <w:rsid w:val="00062B90"/>
    <w:rsid w:val="00062C70"/>
    <w:rsid w:val="00062DD0"/>
    <w:rsid w:val="00062E6F"/>
    <w:rsid w:val="000630C7"/>
    <w:rsid w:val="0006400F"/>
    <w:rsid w:val="000643DA"/>
    <w:rsid w:val="000645DD"/>
    <w:rsid w:val="00064D7E"/>
    <w:rsid w:val="00064F65"/>
    <w:rsid w:val="00064FD0"/>
    <w:rsid w:val="0006534A"/>
    <w:rsid w:val="00065A5D"/>
    <w:rsid w:val="00065BA2"/>
    <w:rsid w:val="000661CA"/>
    <w:rsid w:val="0006668D"/>
    <w:rsid w:val="00066F2B"/>
    <w:rsid w:val="00067002"/>
    <w:rsid w:val="0006710A"/>
    <w:rsid w:val="00067993"/>
    <w:rsid w:val="00067B1C"/>
    <w:rsid w:val="00067CED"/>
    <w:rsid w:val="00067D39"/>
    <w:rsid w:val="00067F66"/>
    <w:rsid w:val="0007041A"/>
    <w:rsid w:val="00070634"/>
    <w:rsid w:val="00070883"/>
    <w:rsid w:val="00070C3F"/>
    <w:rsid w:val="0007102C"/>
    <w:rsid w:val="00071D68"/>
    <w:rsid w:val="00071FCE"/>
    <w:rsid w:val="00072661"/>
    <w:rsid w:val="00072CCC"/>
    <w:rsid w:val="00073549"/>
    <w:rsid w:val="00073A58"/>
    <w:rsid w:val="0007483E"/>
    <w:rsid w:val="000751DB"/>
    <w:rsid w:val="0007578F"/>
    <w:rsid w:val="000759A3"/>
    <w:rsid w:val="00075E43"/>
    <w:rsid w:val="00077706"/>
    <w:rsid w:val="00077878"/>
    <w:rsid w:val="00077DE2"/>
    <w:rsid w:val="000804EF"/>
    <w:rsid w:val="00080558"/>
    <w:rsid w:val="00081230"/>
    <w:rsid w:val="000814E2"/>
    <w:rsid w:val="000818C9"/>
    <w:rsid w:val="00081CBB"/>
    <w:rsid w:val="00081D42"/>
    <w:rsid w:val="000822EF"/>
    <w:rsid w:val="0008241E"/>
    <w:rsid w:val="000826F5"/>
    <w:rsid w:val="000829B1"/>
    <w:rsid w:val="00082AAB"/>
    <w:rsid w:val="0008307D"/>
    <w:rsid w:val="000831E9"/>
    <w:rsid w:val="00083288"/>
    <w:rsid w:val="000833BB"/>
    <w:rsid w:val="0008452D"/>
    <w:rsid w:val="0008467B"/>
    <w:rsid w:val="000846E2"/>
    <w:rsid w:val="000850FA"/>
    <w:rsid w:val="00085C12"/>
    <w:rsid w:val="00085DA0"/>
    <w:rsid w:val="00085F82"/>
    <w:rsid w:val="00086506"/>
    <w:rsid w:val="00086B6E"/>
    <w:rsid w:val="00086C64"/>
    <w:rsid w:val="00087703"/>
    <w:rsid w:val="0008781A"/>
    <w:rsid w:val="00090951"/>
    <w:rsid w:val="00090A61"/>
    <w:rsid w:val="000918F5"/>
    <w:rsid w:val="000919B5"/>
    <w:rsid w:val="00091C1D"/>
    <w:rsid w:val="00091E08"/>
    <w:rsid w:val="00091E29"/>
    <w:rsid w:val="000922D8"/>
    <w:rsid w:val="000932E7"/>
    <w:rsid w:val="0009333A"/>
    <w:rsid w:val="00093459"/>
    <w:rsid w:val="00093B8B"/>
    <w:rsid w:val="000951E7"/>
    <w:rsid w:val="00095B82"/>
    <w:rsid w:val="00096098"/>
    <w:rsid w:val="000961C5"/>
    <w:rsid w:val="000968AF"/>
    <w:rsid w:val="000969D9"/>
    <w:rsid w:val="00096F37"/>
    <w:rsid w:val="00097FE5"/>
    <w:rsid w:val="000A0354"/>
    <w:rsid w:val="000A091F"/>
    <w:rsid w:val="000A0958"/>
    <w:rsid w:val="000A0FCC"/>
    <w:rsid w:val="000A1033"/>
    <w:rsid w:val="000A2712"/>
    <w:rsid w:val="000A2877"/>
    <w:rsid w:val="000A355D"/>
    <w:rsid w:val="000A35DA"/>
    <w:rsid w:val="000A371E"/>
    <w:rsid w:val="000A3DE5"/>
    <w:rsid w:val="000A4011"/>
    <w:rsid w:val="000A45D5"/>
    <w:rsid w:val="000A490E"/>
    <w:rsid w:val="000A5B49"/>
    <w:rsid w:val="000A5FE5"/>
    <w:rsid w:val="000A688F"/>
    <w:rsid w:val="000A7218"/>
    <w:rsid w:val="000A740A"/>
    <w:rsid w:val="000A7446"/>
    <w:rsid w:val="000A7A56"/>
    <w:rsid w:val="000A7E7F"/>
    <w:rsid w:val="000A7ECD"/>
    <w:rsid w:val="000B04DD"/>
    <w:rsid w:val="000B0F01"/>
    <w:rsid w:val="000B1346"/>
    <w:rsid w:val="000B1795"/>
    <w:rsid w:val="000B1914"/>
    <w:rsid w:val="000B19DC"/>
    <w:rsid w:val="000B1CA2"/>
    <w:rsid w:val="000B202E"/>
    <w:rsid w:val="000B2293"/>
    <w:rsid w:val="000B242E"/>
    <w:rsid w:val="000B24A4"/>
    <w:rsid w:val="000B255A"/>
    <w:rsid w:val="000B255C"/>
    <w:rsid w:val="000B292B"/>
    <w:rsid w:val="000B395E"/>
    <w:rsid w:val="000B39C3"/>
    <w:rsid w:val="000B3A00"/>
    <w:rsid w:val="000B3BFD"/>
    <w:rsid w:val="000B4840"/>
    <w:rsid w:val="000B4D79"/>
    <w:rsid w:val="000B5627"/>
    <w:rsid w:val="000B5671"/>
    <w:rsid w:val="000B6BF0"/>
    <w:rsid w:val="000B6CE8"/>
    <w:rsid w:val="000B7DAF"/>
    <w:rsid w:val="000C01A9"/>
    <w:rsid w:val="000C071C"/>
    <w:rsid w:val="000C0BB4"/>
    <w:rsid w:val="000C0BEE"/>
    <w:rsid w:val="000C1CB9"/>
    <w:rsid w:val="000C2159"/>
    <w:rsid w:val="000C21BB"/>
    <w:rsid w:val="000C289B"/>
    <w:rsid w:val="000C34B8"/>
    <w:rsid w:val="000C3F01"/>
    <w:rsid w:val="000C420D"/>
    <w:rsid w:val="000C4773"/>
    <w:rsid w:val="000C4944"/>
    <w:rsid w:val="000C4E24"/>
    <w:rsid w:val="000C5C4A"/>
    <w:rsid w:val="000C5F01"/>
    <w:rsid w:val="000C63C4"/>
    <w:rsid w:val="000C66C1"/>
    <w:rsid w:val="000C6F0B"/>
    <w:rsid w:val="000C6F32"/>
    <w:rsid w:val="000C778C"/>
    <w:rsid w:val="000C7833"/>
    <w:rsid w:val="000C7DFB"/>
    <w:rsid w:val="000C7E1B"/>
    <w:rsid w:val="000C7E73"/>
    <w:rsid w:val="000D001B"/>
    <w:rsid w:val="000D0A45"/>
    <w:rsid w:val="000D136E"/>
    <w:rsid w:val="000D14AC"/>
    <w:rsid w:val="000D15BA"/>
    <w:rsid w:val="000D2365"/>
    <w:rsid w:val="000D2C9B"/>
    <w:rsid w:val="000D35FD"/>
    <w:rsid w:val="000D3D2D"/>
    <w:rsid w:val="000D3D99"/>
    <w:rsid w:val="000D4653"/>
    <w:rsid w:val="000D4696"/>
    <w:rsid w:val="000D4817"/>
    <w:rsid w:val="000D4FB9"/>
    <w:rsid w:val="000D54B4"/>
    <w:rsid w:val="000D584B"/>
    <w:rsid w:val="000D5F55"/>
    <w:rsid w:val="000D6372"/>
    <w:rsid w:val="000D6979"/>
    <w:rsid w:val="000D6CE7"/>
    <w:rsid w:val="000D6E38"/>
    <w:rsid w:val="000D6E63"/>
    <w:rsid w:val="000D711C"/>
    <w:rsid w:val="000D7B6E"/>
    <w:rsid w:val="000E042A"/>
    <w:rsid w:val="000E0644"/>
    <w:rsid w:val="000E076D"/>
    <w:rsid w:val="000E0CD2"/>
    <w:rsid w:val="000E187C"/>
    <w:rsid w:val="000E1B28"/>
    <w:rsid w:val="000E1E8D"/>
    <w:rsid w:val="000E1EBC"/>
    <w:rsid w:val="000E2173"/>
    <w:rsid w:val="000E220B"/>
    <w:rsid w:val="000E2A50"/>
    <w:rsid w:val="000E30F2"/>
    <w:rsid w:val="000E316B"/>
    <w:rsid w:val="000E3D08"/>
    <w:rsid w:val="000E4728"/>
    <w:rsid w:val="000E4D1F"/>
    <w:rsid w:val="000E5658"/>
    <w:rsid w:val="000E5698"/>
    <w:rsid w:val="000E5723"/>
    <w:rsid w:val="000E581B"/>
    <w:rsid w:val="000E58B4"/>
    <w:rsid w:val="000E65D2"/>
    <w:rsid w:val="000E6919"/>
    <w:rsid w:val="000E6B1B"/>
    <w:rsid w:val="000E6F0C"/>
    <w:rsid w:val="000E732D"/>
    <w:rsid w:val="000F07ED"/>
    <w:rsid w:val="000F0CF2"/>
    <w:rsid w:val="000F1A32"/>
    <w:rsid w:val="000F1CC2"/>
    <w:rsid w:val="000F1D15"/>
    <w:rsid w:val="000F270A"/>
    <w:rsid w:val="000F34C8"/>
    <w:rsid w:val="000F38BC"/>
    <w:rsid w:val="000F3E2A"/>
    <w:rsid w:val="000F4D26"/>
    <w:rsid w:val="000F5639"/>
    <w:rsid w:val="000F58A4"/>
    <w:rsid w:val="000F6833"/>
    <w:rsid w:val="000F6A24"/>
    <w:rsid w:val="000F7616"/>
    <w:rsid w:val="000F7DE9"/>
    <w:rsid w:val="000F7F7A"/>
    <w:rsid w:val="0010004B"/>
    <w:rsid w:val="001002F4"/>
    <w:rsid w:val="001011FC"/>
    <w:rsid w:val="0010165F"/>
    <w:rsid w:val="001018C1"/>
    <w:rsid w:val="00101E7C"/>
    <w:rsid w:val="00102260"/>
    <w:rsid w:val="001023DC"/>
    <w:rsid w:val="0010256D"/>
    <w:rsid w:val="00102572"/>
    <w:rsid w:val="00102702"/>
    <w:rsid w:val="00102946"/>
    <w:rsid w:val="00102FBF"/>
    <w:rsid w:val="0010333D"/>
    <w:rsid w:val="0010372A"/>
    <w:rsid w:val="00103F41"/>
    <w:rsid w:val="00104E77"/>
    <w:rsid w:val="00104F34"/>
    <w:rsid w:val="001053C5"/>
    <w:rsid w:val="001055AD"/>
    <w:rsid w:val="00105C14"/>
    <w:rsid w:val="001065A3"/>
    <w:rsid w:val="0010691D"/>
    <w:rsid w:val="00106B33"/>
    <w:rsid w:val="00106E69"/>
    <w:rsid w:val="00110AC5"/>
    <w:rsid w:val="00110F0B"/>
    <w:rsid w:val="0011108B"/>
    <w:rsid w:val="00111136"/>
    <w:rsid w:val="00111164"/>
    <w:rsid w:val="00111761"/>
    <w:rsid w:val="00112164"/>
    <w:rsid w:val="0011241F"/>
    <w:rsid w:val="001128BF"/>
    <w:rsid w:val="00112D09"/>
    <w:rsid w:val="00112F03"/>
    <w:rsid w:val="00112F38"/>
    <w:rsid w:val="00113821"/>
    <w:rsid w:val="0011394B"/>
    <w:rsid w:val="00113CEE"/>
    <w:rsid w:val="00114058"/>
    <w:rsid w:val="00114342"/>
    <w:rsid w:val="0011449E"/>
    <w:rsid w:val="001153EF"/>
    <w:rsid w:val="00115D55"/>
    <w:rsid w:val="00115E45"/>
    <w:rsid w:val="00115F85"/>
    <w:rsid w:val="001165CC"/>
    <w:rsid w:val="0011688E"/>
    <w:rsid w:val="00116ACD"/>
    <w:rsid w:val="00117B7D"/>
    <w:rsid w:val="001205A8"/>
    <w:rsid w:val="00120948"/>
    <w:rsid w:val="0012180B"/>
    <w:rsid w:val="00122A64"/>
    <w:rsid w:val="00123641"/>
    <w:rsid w:val="0012388A"/>
    <w:rsid w:val="0012388C"/>
    <w:rsid w:val="00123AFA"/>
    <w:rsid w:val="00123C8C"/>
    <w:rsid w:val="00123D68"/>
    <w:rsid w:val="00123E8B"/>
    <w:rsid w:val="00124B43"/>
    <w:rsid w:val="00124DF8"/>
    <w:rsid w:val="001253EA"/>
    <w:rsid w:val="00125B99"/>
    <w:rsid w:val="00126160"/>
    <w:rsid w:val="00126DB5"/>
    <w:rsid w:val="00127178"/>
    <w:rsid w:val="00127D2B"/>
    <w:rsid w:val="00127F09"/>
    <w:rsid w:val="0013002A"/>
    <w:rsid w:val="0013085D"/>
    <w:rsid w:val="0013089C"/>
    <w:rsid w:val="00130A2D"/>
    <w:rsid w:val="00130F54"/>
    <w:rsid w:val="00131888"/>
    <w:rsid w:val="00131F17"/>
    <w:rsid w:val="001323F9"/>
    <w:rsid w:val="0013251F"/>
    <w:rsid w:val="00132FA3"/>
    <w:rsid w:val="00133088"/>
    <w:rsid w:val="00133346"/>
    <w:rsid w:val="00133387"/>
    <w:rsid w:val="001335B1"/>
    <w:rsid w:val="0013372D"/>
    <w:rsid w:val="00133733"/>
    <w:rsid w:val="00133B4E"/>
    <w:rsid w:val="00133D47"/>
    <w:rsid w:val="001346AF"/>
    <w:rsid w:val="00134990"/>
    <w:rsid w:val="00134AD9"/>
    <w:rsid w:val="00135416"/>
    <w:rsid w:val="001354D1"/>
    <w:rsid w:val="001355E7"/>
    <w:rsid w:val="00135A0A"/>
    <w:rsid w:val="00135BB9"/>
    <w:rsid w:val="0013621D"/>
    <w:rsid w:val="00136354"/>
    <w:rsid w:val="00136674"/>
    <w:rsid w:val="00136B0E"/>
    <w:rsid w:val="00136C3B"/>
    <w:rsid w:val="00137103"/>
    <w:rsid w:val="001376AB"/>
    <w:rsid w:val="0013777C"/>
    <w:rsid w:val="00137D5F"/>
    <w:rsid w:val="00140082"/>
    <w:rsid w:val="00140175"/>
    <w:rsid w:val="00140757"/>
    <w:rsid w:val="00140B62"/>
    <w:rsid w:val="00140D07"/>
    <w:rsid w:val="00141A3A"/>
    <w:rsid w:val="001422F4"/>
    <w:rsid w:val="001423FA"/>
    <w:rsid w:val="001427B5"/>
    <w:rsid w:val="001428CF"/>
    <w:rsid w:val="00142D0C"/>
    <w:rsid w:val="00142E3C"/>
    <w:rsid w:val="00144013"/>
    <w:rsid w:val="001454B8"/>
    <w:rsid w:val="00145A17"/>
    <w:rsid w:val="00145BBE"/>
    <w:rsid w:val="00145D7F"/>
    <w:rsid w:val="001460B5"/>
    <w:rsid w:val="0014641F"/>
    <w:rsid w:val="001464A8"/>
    <w:rsid w:val="00146618"/>
    <w:rsid w:val="001467BB"/>
    <w:rsid w:val="00146AB3"/>
    <w:rsid w:val="00146CA8"/>
    <w:rsid w:val="001472A5"/>
    <w:rsid w:val="00147884"/>
    <w:rsid w:val="00150669"/>
    <w:rsid w:val="00150827"/>
    <w:rsid w:val="00150B0D"/>
    <w:rsid w:val="00151E31"/>
    <w:rsid w:val="00151F9B"/>
    <w:rsid w:val="00152095"/>
    <w:rsid w:val="00152289"/>
    <w:rsid w:val="00152425"/>
    <w:rsid w:val="00152BAD"/>
    <w:rsid w:val="00152CE3"/>
    <w:rsid w:val="00153652"/>
    <w:rsid w:val="00153697"/>
    <w:rsid w:val="00153956"/>
    <w:rsid w:val="00153B95"/>
    <w:rsid w:val="00154146"/>
    <w:rsid w:val="00154190"/>
    <w:rsid w:val="001545EA"/>
    <w:rsid w:val="001549BA"/>
    <w:rsid w:val="00154FFC"/>
    <w:rsid w:val="00155099"/>
    <w:rsid w:val="001553F5"/>
    <w:rsid w:val="00155C85"/>
    <w:rsid w:val="00156A6C"/>
    <w:rsid w:val="00156B10"/>
    <w:rsid w:val="001570FF"/>
    <w:rsid w:val="00157823"/>
    <w:rsid w:val="0015790D"/>
    <w:rsid w:val="00157C5E"/>
    <w:rsid w:val="0016015A"/>
    <w:rsid w:val="0016020E"/>
    <w:rsid w:val="00160503"/>
    <w:rsid w:val="00160701"/>
    <w:rsid w:val="00160D7C"/>
    <w:rsid w:val="00160E30"/>
    <w:rsid w:val="0016106D"/>
    <w:rsid w:val="001612E1"/>
    <w:rsid w:val="001614DB"/>
    <w:rsid w:val="0016194E"/>
    <w:rsid w:val="0016236C"/>
    <w:rsid w:val="00162625"/>
    <w:rsid w:val="001630A8"/>
    <w:rsid w:val="001634C7"/>
    <w:rsid w:val="00163826"/>
    <w:rsid w:val="00163943"/>
    <w:rsid w:val="00163BA1"/>
    <w:rsid w:val="00163F22"/>
    <w:rsid w:val="0016417B"/>
    <w:rsid w:val="0016470E"/>
    <w:rsid w:val="00164E0A"/>
    <w:rsid w:val="001652D7"/>
    <w:rsid w:val="0016596E"/>
    <w:rsid w:val="00165A5F"/>
    <w:rsid w:val="00166223"/>
    <w:rsid w:val="00166492"/>
    <w:rsid w:val="001670D8"/>
    <w:rsid w:val="0016793E"/>
    <w:rsid w:val="00167D4D"/>
    <w:rsid w:val="00170635"/>
    <w:rsid w:val="0017070D"/>
    <w:rsid w:val="00170837"/>
    <w:rsid w:val="00171035"/>
    <w:rsid w:val="001713B7"/>
    <w:rsid w:val="00171ADB"/>
    <w:rsid w:val="00172029"/>
    <w:rsid w:val="00172516"/>
    <w:rsid w:val="001733A4"/>
    <w:rsid w:val="00173AB9"/>
    <w:rsid w:val="00173EED"/>
    <w:rsid w:val="00174368"/>
    <w:rsid w:val="001744EA"/>
    <w:rsid w:val="00174D82"/>
    <w:rsid w:val="00174E44"/>
    <w:rsid w:val="00175053"/>
    <w:rsid w:val="001753B7"/>
    <w:rsid w:val="001757E7"/>
    <w:rsid w:val="00175873"/>
    <w:rsid w:val="0017592E"/>
    <w:rsid w:val="00175C59"/>
    <w:rsid w:val="001760BC"/>
    <w:rsid w:val="00176674"/>
    <w:rsid w:val="00176818"/>
    <w:rsid w:val="00176B82"/>
    <w:rsid w:val="00176E3B"/>
    <w:rsid w:val="00176ECB"/>
    <w:rsid w:val="0017716E"/>
    <w:rsid w:val="0017752D"/>
    <w:rsid w:val="0017759F"/>
    <w:rsid w:val="00177832"/>
    <w:rsid w:val="00177866"/>
    <w:rsid w:val="00177D48"/>
    <w:rsid w:val="00181178"/>
    <w:rsid w:val="0018119E"/>
    <w:rsid w:val="00181EEF"/>
    <w:rsid w:val="00181F3E"/>
    <w:rsid w:val="00182FE0"/>
    <w:rsid w:val="00183911"/>
    <w:rsid w:val="001845FB"/>
    <w:rsid w:val="00184CDD"/>
    <w:rsid w:val="00184DAB"/>
    <w:rsid w:val="00185490"/>
    <w:rsid w:val="00185DA6"/>
    <w:rsid w:val="00185F64"/>
    <w:rsid w:val="00186096"/>
    <w:rsid w:val="00186F7C"/>
    <w:rsid w:val="0018772E"/>
    <w:rsid w:val="00187A94"/>
    <w:rsid w:val="0019029E"/>
    <w:rsid w:val="00190804"/>
    <w:rsid w:val="0019088F"/>
    <w:rsid w:val="00190C51"/>
    <w:rsid w:val="00192FA5"/>
    <w:rsid w:val="0019336B"/>
    <w:rsid w:val="001939A6"/>
    <w:rsid w:val="00193ACC"/>
    <w:rsid w:val="00193BFE"/>
    <w:rsid w:val="00194E7E"/>
    <w:rsid w:val="00195322"/>
    <w:rsid w:val="0019560E"/>
    <w:rsid w:val="00195702"/>
    <w:rsid w:val="001958E3"/>
    <w:rsid w:val="0019601B"/>
    <w:rsid w:val="00196048"/>
    <w:rsid w:val="00196A82"/>
    <w:rsid w:val="0019769B"/>
    <w:rsid w:val="00197FFE"/>
    <w:rsid w:val="001A0D25"/>
    <w:rsid w:val="001A1570"/>
    <w:rsid w:val="001A1917"/>
    <w:rsid w:val="001A1C64"/>
    <w:rsid w:val="001A1E7F"/>
    <w:rsid w:val="001A228D"/>
    <w:rsid w:val="001A2918"/>
    <w:rsid w:val="001A2D02"/>
    <w:rsid w:val="001A2DFE"/>
    <w:rsid w:val="001A3076"/>
    <w:rsid w:val="001A3120"/>
    <w:rsid w:val="001A31A5"/>
    <w:rsid w:val="001A389C"/>
    <w:rsid w:val="001A3B75"/>
    <w:rsid w:val="001A46FB"/>
    <w:rsid w:val="001A5944"/>
    <w:rsid w:val="001A5FB1"/>
    <w:rsid w:val="001A698A"/>
    <w:rsid w:val="001A6CCC"/>
    <w:rsid w:val="001A70C8"/>
    <w:rsid w:val="001A71C9"/>
    <w:rsid w:val="001A7429"/>
    <w:rsid w:val="001A760C"/>
    <w:rsid w:val="001A799B"/>
    <w:rsid w:val="001A7AC7"/>
    <w:rsid w:val="001A7C38"/>
    <w:rsid w:val="001B02F8"/>
    <w:rsid w:val="001B2104"/>
    <w:rsid w:val="001B2279"/>
    <w:rsid w:val="001B2729"/>
    <w:rsid w:val="001B2866"/>
    <w:rsid w:val="001B2881"/>
    <w:rsid w:val="001B34A3"/>
    <w:rsid w:val="001B3675"/>
    <w:rsid w:val="001B37C8"/>
    <w:rsid w:val="001B4B2C"/>
    <w:rsid w:val="001B4F10"/>
    <w:rsid w:val="001B5026"/>
    <w:rsid w:val="001B5154"/>
    <w:rsid w:val="001B5B75"/>
    <w:rsid w:val="001B6326"/>
    <w:rsid w:val="001B6E30"/>
    <w:rsid w:val="001B7C83"/>
    <w:rsid w:val="001B7F9E"/>
    <w:rsid w:val="001C0206"/>
    <w:rsid w:val="001C0246"/>
    <w:rsid w:val="001C04D4"/>
    <w:rsid w:val="001C0B34"/>
    <w:rsid w:val="001C12A3"/>
    <w:rsid w:val="001C17BB"/>
    <w:rsid w:val="001C187E"/>
    <w:rsid w:val="001C1A37"/>
    <w:rsid w:val="001C1C49"/>
    <w:rsid w:val="001C286F"/>
    <w:rsid w:val="001C2B86"/>
    <w:rsid w:val="001C2F54"/>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1D9"/>
    <w:rsid w:val="001C7E48"/>
    <w:rsid w:val="001D039B"/>
    <w:rsid w:val="001D1258"/>
    <w:rsid w:val="001D14AB"/>
    <w:rsid w:val="001D1AB8"/>
    <w:rsid w:val="001D286F"/>
    <w:rsid w:val="001D2C94"/>
    <w:rsid w:val="001D33D9"/>
    <w:rsid w:val="001D36F6"/>
    <w:rsid w:val="001D3D5F"/>
    <w:rsid w:val="001D4303"/>
    <w:rsid w:val="001D45E5"/>
    <w:rsid w:val="001D461A"/>
    <w:rsid w:val="001D4A9D"/>
    <w:rsid w:val="001D4AAD"/>
    <w:rsid w:val="001D5AFA"/>
    <w:rsid w:val="001D5FB4"/>
    <w:rsid w:val="001D7177"/>
    <w:rsid w:val="001D756E"/>
    <w:rsid w:val="001D784A"/>
    <w:rsid w:val="001E04A4"/>
    <w:rsid w:val="001E04EE"/>
    <w:rsid w:val="001E07C5"/>
    <w:rsid w:val="001E176D"/>
    <w:rsid w:val="001E17C8"/>
    <w:rsid w:val="001E1BCE"/>
    <w:rsid w:val="001E1E05"/>
    <w:rsid w:val="001E2086"/>
    <w:rsid w:val="001E339F"/>
    <w:rsid w:val="001E3629"/>
    <w:rsid w:val="001E3B2C"/>
    <w:rsid w:val="001E40F0"/>
    <w:rsid w:val="001E4172"/>
    <w:rsid w:val="001E4AC7"/>
    <w:rsid w:val="001E5490"/>
    <w:rsid w:val="001E5513"/>
    <w:rsid w:val="001E5730"/>
    <w:rsid w:val="001E5E2E"/>
    <w:rsid w:val="001E6352"/>
    <w:rsid w:val="001E70AD"/>
    <w:rsid w:val="001E7237"/>
    <w:rsid w:val="001E7AF6"/>
    <w:rsid w:val="001E7FBF"/>
    <w:rsid w:val="001F01B8"/>
    <w:rsid w:val="001F0FC3"/>
    <w:rsid w:val="001F1188"/>
    <w:rsid w:val="001F1B8D"/>
    <w:rsid w:val="001F274F"/>
    <w:rsid w:val="001F289C"/>
    <w:rsid w:val="001F2BF9"/>
    <w:rsid w:val="001F3AF2"/>
    <w:rsid w:val="001F6008"/>
    <w:rsid w:val="001F641B"/>
    <w:rsid w:val="001F6C19"/>
    <w:rsid w:val="001F6D4D"/>
    <w:rsid w:val="001F7C00"/>
    <w:rsid w:val="0020042C"/>
    <w:rsid w:val="002009A3"/>
    <w:rsid w:val="00200F1A"/>
    <w:rsid w:val="0020130D"/>
    <w:rsid w:val="00201D06"/>
    <w:rsid w:val="00201E9F"/>
    <w:rsid w:val="00202F25"/>
    <w:rsid w:val="002035B3"/>
    <w:rsid w:val="00203929"/>
    <w:rsid w:val="00203CD6"/>
    <w:rsid w:val="00203F0A"/>
    <w:rsid w:val="00204460"/>
    <w:rsid w:val="002051EA"/>
    <w:rsid w:val="00205CBC"/>
    <w:rsid w:val="00205E9E"/>
    <w:rsid w:val="00206259"/>
    <w:rsid w:val="00206CE5"/>
    <w:rsid w:val="002074B7"/>
    <w:rsid w:val="0020758D"/>
    <w:rsid w:val="00207C7B"/>
    <w:rsid w:val="00211470"/>
    <w:rsid w:val="00211922"/>
    <w:rsid w:val="0021213A"/>
    <w:rsid w:val="0021265F"/>
    <w:rsid w:val="0021380F"/>
    <w:rsid w:val="00213817"/>
    <w:rsid w:val="00214428"/>
    <w:rsid w:val="002145EB"/>
    <w:rsid w:val="00215834"/>
    <w:rsid w:val="00215CC2"/>
    <w:rsid w:val="00215ED8"/>
    <w:rsid w:val="00217700"/>
    <w:rsid w:val="002177E2"/>
    <w:rsid w:val="002205F3"/>
    <w:rsid w:val="0022085B"/>
    <w:rsid w:val="00220E53"/>
    <w:rsid w:val="0022176C"/>
    <w:rsid w:val="002225D1"/>
    <w:rsid w:val="002230FA"/>
    <w:rsid w:val="002235D9"/>
    <w:rsid w:val="00223DF2"/>
    <w:rsid w:val="00224737"/>
    <w:rsid w:val="00224C0C"/>
    <w:rsid w:val="00225323"/>
    <w:rsid w:val="002256C2"/>
    <w:rsid w:val="002256D0"/>
    <w:rsid w:val="00225C8E"/>
    <w:rsid w:val="00226428"/>
    <w:rsid w:val="002265A9"/>
    <w:rsid w:val="002266CB"/>
    <w:rsid w:val="0022701E"/>
    <w:rsid w:val="00227052"/>
    <w:rsid w:val="002272D5"/>
    <w:rsid w:val="0022738E"/>
    <w:rsid w:val="00227906"/>
    <w:rsid w:val="00227934"/>
    <w:rsid w:val="0022793D"/>
    <w:rsid w:val="00227E21"/>
    <w:rsid w:val="00230178"/>
    <w:rsid w:val="00231D05"/>
    <w:rsid w:val="002336E2"/>
    <w:rsid w:val="00233AC2"/>
    <w:rsid w:val="00233BAF"/>
    <w:rsid w:val="00235420"/>
    <w:rsid w:val="00235DAA"/>
    <w:rsid w:val="0024065B"/>
    <w:rsid w:val="002409A6"/>
    <w:rsid w:val="00240EA5"/>
    <w:rsid w:val="00241132"/>
    <w:rsid w:val="00241205"/>
    <w:rsid w:val="002418C5"/>
    <w:rsid w:val="002419ED"/>
    <w:rsid w:val="0024261D"/>
    <w:rsid w:val="00242DFB"/>
    <w:rsid w:val="00243807"/>
    <w:rsid w:val="002440AC"/>
    <w:rsid w:val="00244365"/>
    <w:rsid w:val="0024459A"/>
    <w:rsid w:val="00244771"/>
    <w:rsid w:val="00244903"/>
    <w:rsid w:val="00244AFB"/>
    <w:rsid w:val="002453DF"/>
    <w:rsid w:val="00245A81"/>
    <w:rsid w:val="00246B86"/>
    <w:rsid w:val="00247335"/>
    <w:rsid w:val="002473EF"/>
    <w:rsid w:val="002477B9"/>
    <w:rsid w:val="00247CBE"/>
    <w:rsid w:val="00250100"/>
    <w:rsid w:val="00250A1F"/>
    <w:rsid w:val="00250ADA"/>
    <w:rsid w:val="00250F1D"/>
    <w:rsid w:val="0025194E"/>
    <w:rsid w:val="00251FF1"/>
    <w:rsid w:val="002520BA"/>
    <w:rsid w:val="00252234"/>
    <w:rsid w:val="0025228C"/>
    <w:rsid w:val="002527AF"/>
    <w:rsid w:val="002528E3"/>
    <w:rsid w:val="00252944"/>
    <w:rsid w:val="00252D55"/>
    <w:rsid w:val="00252D82"/>
    <w:rsid w:val="00253006"/>
    <w:rsid w:val="002533F5"/>
    <w:rsid w:val="002538CE"/>
    <w:rsid w:val="00253C60"/>
    <w:rsid w:val="00253F21"/>
    <w:rsid w:val="0025429D"/>
    <w:rsid w:val="002549E9"/>
    <w:rsid w:val="00254FF6"/>
    <w:rsid w:val="00255099"/>
    <w:rsid w:val="002555C6"/>
    <w:rsid w:val="00255E14"/>
    <w:rsid w:val="0025615C"/>
    <w:rsid w:val="00257059"/>
    <w:rsid w:val="0025712F"/>
    <w:rsid w:val="00257395"/>
    <w:rsid w:val="00257857"/>
    <w:rsid w:val="002578DA"/>
    <w:rsid w:val="00257CBC"/>
    <w:rsid w:val="002602C2"/>
    <w:rsid w:val="002602DA"/>
    <w:rsid w:val="0026040B"/>
    <w:rsid w:val="00260802"/>
    <w:rsid w:val="002609E3"/>
    <w:rsid w:val="00261223"/>
    <w:rsid w:val="002617AB"/>
    <w:rsid w:val="00261D08"/>
    <w:rsid w:val="00261DCC"/>
    <w:rsid w:val="002624D0"/>
    <w:rsid w:val="00263AE7"/>
    <w:rsid w:val="00263EC7"/>
    <w:rsid w:val="00264441"/>
    <w:rsid w:val="0026491B"/>
    <w:rsid w:val="00264A36"/>
    <w:rsid w:val="00264B06"/>
    <w:rsid w:val="00264C1B"/>
    <w:rsid w:val="00265E2E"/>
    <w:rsid w:val="002661AB"/>
    <w:rsid w:val="002668DB"/>
    <w:rsid w:val="0026742B"/>
    <w:rsid w:val="002674FE"/>
    <w:rsid w:val="00270748"/>
    <w:rsid w:val="0027105A"/>
    <w:rsid w:val="0027117F"/>
    <w:rsid w:val="00271283"/>
    <w:rsid w:val="002712DC"/>
    <w:rsid w:val="00271875"/>
    <w:rsid w:val="002718FF"/>
    <w:rsid w:val="00271955"/>
    <w:rsid w:val="00272278"/>
    <w:rsid w:val="00272432"/>
    <w:rsid w:val="00272633"/>
    <w:rsid w:val="00272FBF"/>
    <w:rsid w:val="00273A10"/>
    <w:rsid w:val="00273A58"/>
    <w:rsid w:val="00273FBB"/>
    <w:rsid w:val="00274CAB"/>
    <w:rsid w:val="00274E8A"/>
    <w:rsid w:val="0027507D"/>
    <w:rsid w:val="00275FCE"/>
    <w:rsid w:val="002766B8"/>
    <w:rsid w:val="0027680F"/>
    <w:rsid w:val="00281006"/>
    <w:rsid w:val="002815B1"/>
    <w:rsid w:val="00281A3D"/>
    <w:rsid w:val="00281C1F"/>
    <w:rsid w:val="00281EEA"/>
    <w:rsid w:val="00281F88"/>
    <w:rsid w:val="0028288D"/>
    <w:rsid w:val="002829B7"/>
    <w:rsid w:val="00282B82"/>
    <w:rsid w:val="00282C74"/>
    <w:rsid w:val="00282E5B"/>
    <w:rsid w:val="00282F51"/>
    <w:rsid w:val="00283995"/>
    <w:rsid w:val="00283B11"/>
    <w:rsid w:val="002841A9"/>
    <w:rsid w:val="00284313"/>
    <w:rsid w:val="002848AD"/>
    <w:rsid w:val="00284A5E"/>
    <w:rsid w:val="00285154"/>
    <w:rsid w:val="00285BF2"/>
    <w:rsid w:val="00285C78"/>
    <w:rsid w:val="002863CE"/>
    <w:rsid w:val="00286405"/>
    <w:rsid w:val="0028702A"/>
    <w:rsid w:val="0028732A"/>
    <w:rsid w:val="00290F01"/>
    <w:rsid w:val="00291035"/>
    <w:rsid w:val="00291492"/>
    <w:rsid w:val="00291527"/>
    <w:rsid w:val="0029199A"/>
    <w:rsid w:val="00291BBE"/>
    <w:rsid w:val="00291FEB"/>
    <w:rsid w:val="002920B3"/>
    <w:rsid w:val="00293146"/>
    <w:rsid w:val="0029361E"/>
    <w:rsid w:val="00293D68"/>
    <w:rsid w:val="0029431E"/>
    <w:rsid w:val="00294352"/>
    <w:rsid w:val="002944A0"/>
    <w:rsid w:val="002946E4"/>
    <w:rsid w:val="0029495C"/>
    <w:rsid w:val="00294CEE"/>
    <w:rsid w:val="002957D9"/>
    <w:rsid w:val="00295B52"/>
    <w:rsid w:val="00296024"/>
    <w:rsid w:val="00296293"/>
    <w:rsid w:val="0029686F"/>
    <w:rsid w:val="00296AF7"/>
    <w:rsid w:val="002972F9"/>
    <w:rsid w:val="002977CA"/>
    <w:rsid w:val="00297DC9"/>
    <w:rsid w:val="00297ED7"/>
    <w:rsid w:val="002A0007"/>
    <w:rsid w:val="002A03AA"/>
    <w:rsid w:val="002A056D"/>
    <w:rsid w:val="002A0649"/>
    <w:rsid w:val="002A07FE"/>
    <w:rsid w:val="002A094D"/>
    <w:rsid w:val="002A0CAF"/>
    <w:rsid w:val="002A1565"/>
    <w:rsid w:val="002A16A9"/>
    <w:rsid w:val="002A2941"/>
    <w:rsid w:val="002A2DC4"/>
    <w:rsid w:val="002A3E69"/>
    <w:rsid w:val="002A44F9"/>
    <w:rsid w:val="002A46D1"/>
    <w:rsid w:val="002A49EF"/>
    <w:rsid w:val="002A4B8B"/>
    <w:rsid w:val="002A4C3D"/>
    <w:rsid w:val="002A5107"/>
    <w:rsid w:val="002A535E"/>
    <w:rsid w:val="002A6406"/>
    <w:rsid w:val="002A6AD0"/>
    <w:rsid w:val="002A6CF0"/>
    <w:rsid w:val="002A6FFC"/>
    <w:rsid w:val="002A7010"/>
    <w:rsid w:val="002A70BA"/>
    <w:rsid w:val="002A7A57"/>
    <w:rsid w:val="002A7BB2"/>
    <w:rsid w:val="002A7DCB"/>
    <w:rsid w:val="002B0B53"/>
    <w:rsid w:val="002B1617"/>
    <w:rsid w:val="002B194B"/>
    <w:rsid w:val="002B1D11"/>
    <w:rsid w:val="002B273B"/>
    <w:rsid w:val="002B29AA"/>
    <w:rsid w:val="002B2A7E"/>
    <w:rsid w:val="002B2F1B"/>
    <w:rsid w:val="002B4A32"/>
    <w:rsid w:val="002B4C6B"/>
    <w:rsid w:val="002B5AFB"/>
    <w:rsid w:val="002B5CDD"/>
    <w:rsid w:val="002B6320"/>
    <w:rsid w:val="002B66AC"/>
    <w:rsid w:val="002B6852"/>
    <w:rsid w:val="002B77E1"/>
    <w:rsid w:val="002C0714"/>
    <w:rsid w:val="002C0A96"/>
    <w:rsid w:val="002C10A8"/>
    <w:rsid w:val="002C1BF4"/>
    <w:rsid w:val="002C1E0D"/>
    <w:rsid w:val="002C2266"/>
    <w:rsid w:val="002C2309"/>
    <w:rsid w:val="002C24D1"/>
    <w:rsid w:val="002C28EB"/>
    <w:rsid w:val="002C3265"/>
    <w:rsid w:val="002C3666"/>
    <w:rsid w:val="002C3AED"/>
    <w:rsid w:val="002C3E56"/>
    <w:rsid w:val="002C414C"/>
    <w:rsid w:val="002C4C2F"/>
    <w:rsid w:val="002C5776"/>
    <w:rsid w:val="002C5EED"/>
    <w:rsid w:val="002C66DE"/>
    <w:rsid w:val="002C7193"/>
    <w:rsid w:val="002C7699"/>
    <w:rsid w:val="002C7A49"/>
    <w:rsid w:val="002C7B1A"/>
    <w:rsid w:val="002D0128"/>
    <w:rsid w:val="002D0E85"/>
    <w:rsid w:val="002D0FA7"/>
    <w:rsid w:val="002D12FB"/>
    <w:rsid w:val="002D19D1"/>
    <w:rsid w:val="002D1F35"/>
    <w:rsid w:val="002D1FA3"/>
    <w:rsid w:val="002D20CD"/>
    <w:rsid w:val="002D23C6"/>
    <w:rsid w:val="002D24F0"/>
    <w:rsid w:val="002D25EB"/>
    <w:rsid w:val="002D29F3"/>
    <w:rsid w:val="002D3126"/>
    <w:rsid w:val="002D3529"/>
    <w:rsid w:val="002D3D0A"/>
    <w:rsid w:val="002D478E"/>
    <w:rsid w:val="002D47AE"/>
    <w:rsid w:val="002D4A94"/>
    <w:rsid w:val="002D5CBF"/>
    <w:rsid w:val="002D65FF"/>
    <w:rsid w:val="002D6D10"/>
    <w:rsid w:val="002D71E2"/>
    <w:rsid w:val="002D7367"/>
    <w:rsid w:val="002D7961"/>
    <w:rsid w:val="002D7B6A"/>
    <w:rsid w:val="002D7E36"/>
    <w:rsid w:val="002E0026"/>
    <w:rsid w:val="002E08E8"/>
    <w:rsid w:val="002E0918"/>
    <w:rsid w:val="002E0BAA"/>
    <w:rsid w:val="002E0D96"/>
    <w:rsid w:val="002E0EA5"/>
    <w:rsid w:val="002E1E19"/>
    <w:rsid w:val="002E283F"/>
    <w:rsid w:val="002E2854"/>
    <w:rsid w:val="002E2E74"/>
    <w:rsid w:val="002E32D2"/>
    <w:rsid w:val="002E361B"/>
    <w:rsid w:val="002E37AB"/>
    <w:rsid w:val="002E3A80"/>
    <w:rsid w:val="002E41C7"/>
    <w:rsid w:val="002E51DF"/>
    <w:rsid w:val="002E555B"/>
    <w:rsid w:val="002E57B9"/>
    <w:rsid w:val="002E6127"/>
    <w:rsid w:val="002E6885"/>
    <w:rsid w:val="002E6E81"/>
    <w:rsid w:val="002E72E4"/>
    <w:rsid w:val="002E739D"/>
    <w:rsid w:val="002F0F36"/>
    <w:rsid w:val="002F1276"/>
    <w:rsid w:val="002F1986"/>
    <w:rsid w:val="002F1E5F"/>
    <w:rsid w:val="002F2A49"/>
    <w:rsid w:val="002F3550"/>
    <w:rsid w:val="002F3B63"/>
    <w:rsid w:val="002F3C56"/>
    <w:rsid w:val="002F46B0"/>
    <w:rsid w:val="002F4B17"/>
    <w:rsid w:val="002F5150"/>
    <w:rsid w:val="002F5463"/>
    <w:rsid w:val="002F58C2"/>
    <w:rsid w:val="002F5932"/>
    <w:rsid w:val="002F5C85"/>
    <w:rsid w:val="002F603B"/>
    <w:rsid w:val="002F6201"/>
    <w:rsid w:val="002F6884"/>
    <w:rsid w:val="002F6A2B"/>
    <w:rsid w:val="002F6CB1"/>
    <w:rsid w:val="002F724B"/>
    <w:rsid w:val="002F72BA"/>
    <w:rsid w:val="00300267"/>
    <w:rsid w:val="003004D2"/>
    <w:rsid w:val="00300674"/>
    <w:rsid w:val="00300C88"/>
    <w:rsid w:val="00300D6B"/>
    <w:rsid w:val="00301380"/>
    <w:rsid w:val="00301E89"/>
    <w:rsid w:val="00302052"/>
    <w:rsid w:val="00302142"/>
    <w:rsid w:val="00302169"/>
    <w:rsid w:val="00302612"/>
    <w:rsid w:val="00303254"/>
    <w:rsid w:val="00303B08"/>
    <w:rsid w:val="0030408D"/>
    <w:rsid w:val="003044D9"/>
    <w:rsid w:val="00304D8A"/>
    <w:rsid w:val="00305216"/>
    <w:rsid w:val="0030555B"/>
    <w:rsid w:val="00305BFD"/>
    <w:rsid w:val="003061F5"/>
    <w:rsid w:val="00306D27"/>
    <w:rsid w:val="0030739C"/>
    <w:rsid w:val="00310D51"/>
    <w:rsid w:val="00311B36"/>
    <w:rsid w:val="00311C92"/>
    <w:rsid w:val="003133AE"/>
    <w:rsid w:val="00313414"/>
    <w:rsid w:val="0031371B"/>
    <w:rsid w:val="00313F2D"/>
    <w:rsid w:val="00314156"/>
    <w:rsid w:val="00315081"/>
    <w:rsid w:val="0031535B"/>
    <w:rsid w:val="003170F4"/>
    <w:rsid w:val="0031750F"/>
    <w:rsid w:val="0032035D"/>
    <w:rsid w:val="003205E9"/>
    <w:rsid w:val="00320B28"/>
    <w:rsid w:val="0032123E"/>
    <w:rsid w:val="003216D5"/>
    <w:rsid w:val="003216FF"/>
    <w:rsid w:val="00321866"/>
    <w:rsid w:val="00321A83"/>
    <w:rsid w:val="00321C1A"/>
    <w:rsid w:val="00321F6B"/>
    <w:rsid w:val="00322389"/>
    <w:rsid w:val="00322BE5"/>
    <w:rsid w:val="00322E87"/>
    <w:rsid w:val="0032312D"/>
    <w:rsid w:val="00323AA5"/>
    <w:rsid w:val="003242E4"/>
    <w:rsid w:val="0032468D"/>
    <w:rsid w:val="00324926"/>
    <w:rsid w:val="00324B25"/>
    <w:rsid w:val="0032522F"/>
    <w:rsid w:val="003253C4"/>
    <w:rsid w:val="0032550F"/>
    <w:rsid w:val="00325992"/>
    <w:rsid w:val="00325B74"/>
    <w:rsid w:val="0032638F"/>
    <w:rsid w:val="00326B59"/>
    <w:rsid w:val="003272C6"/>
    <w:rsid w:val="0032746C"/>
    <w:rsid w:val="00327752"/>
    <w:rsid w:val="00327C7C"/>
    <w:rsid w:val="00330009"/>
    <w:rsid w:val="003301E6"/>
    <w:rsid w:val="003310AB"/>
    <w:rsid w:val="003314D2"/>
    <w:rsid w:val="00331712"/>
    <w:rsid w:val="00331A3F"/>
    <w:rsid w:val="00332191"/>
    <w:rsid w:val="00332720"/>
    <w:rsid w:val="00332EED"/>
    <w:rsid w:val="003334A7"/>
    <w:rsid w:val="003337E8"/>
    <w:rsid w:val="00333A14"/>
    <w:rsid w:val="00333B2A"/>
    <w:rsid w:val="00333FD5"/>
    <w:rsid w:val="003350E9"/>
    <w:rsid w:val="003351BA"/>
    <w:rsid w:val="0033520F"/>
    <w:rsid w:val="00335519"/>
    <w:rsid w:val="0033596B"/>
    <w:rsid w:val="00335A93"/>
    <w:rsid w:val="0033650E"/>
    <w:rsid w:val="003366EF"/>
    <w:rsid w:val="00336907"/>
    <w:rsid w:val="003369DF"/>
    <w:rsid w:val="00336C71"/>
    <w:rsid w:val="00336D96"/>
    <w:rsid w:val="00336DFC"/>
    <w:rsid w:val="00337230"/>
    <w:rsid w:val="00337588"/>
    <w:rsid w:val="003377D0"/>
    <w:rsid w:val="00337D75"/>
    <w:rsid w:val="00340020"/>
    <w:rsid w:val="0034081A"/>
    <w:rsid w:val="00341162"/>
    <w:rsid w:val="00341866"/>
    <w:rsid w:val="00341DAF"/>
    <w:rsid w:val="00342181"/>
    <w:rsid w:val="0034339B"/>
    <w:rsid w:val="00343560"/>
    <w:rsid w:val="00343A20"/>
    <w:rsid w:val="0034402B"/>
    <w:rsid w:val="0034449E"/>
    <w:rsid w:val="00344D46"/>
    <w:rsid w:val="0034621B"/>
    <w:rsid w:val="003465A5"/>
    <w:rsid w:val="00346817"/>
    <w:rsid w:val="00347440"/>
    <w:rsid w:val="003475EA"/>
    <w:rsid w:val="0034792D"/>
    <w:rsid w:val="00347A27"/>
    <w:rsid w:val="00347CD4"/>
    <w:rsid w:val="00350A55"/>
    <w:rsid w:val="00350DF8"/>
    <w:rsid w:val="00351A8A"/>
    <w:rsid w:val="00352541"/>
    <w:rsid w:val="0035266A"/>
    <w:rsid w:val="0035279C"/>
    <w:rsid w:val="00352B23"/>
    <w:rsid w:val="00352C49"/>
    <w:rsid w:val="003534D3"/>
    <w:rsid w:val="003535D2"/>
    <w:rsid w:val="0035384D"/>
    <w:rsid w:val="00353BF0"/>
    <w:rsid w:val="00353C0B"/>
    <w:rsid w:val="00354AE4"/>
    <w:rsid w:val="00354B0A"/>
    <w:rsid w:val="0035551B"/>
    <w:rsid w:val="003555ED"/>
    <w:rsid w:val="00355911"/>
    <w:rsid w:val="0035636B"/>
    <w:rsid w:val="00356714"/>
    <w:rsid w:val="00357424"/>
    <w:rsid w:val="00361789"/>
    <w:rsid w:val="0036196D"/>
    <w:rsid w:val="00361EEC"/>
    <w:rsid w:val="0036208F"/>
    <w:rsid w:val="003627BD"/>
    <w:rsid w:val="00362997"/>
    <w:rsid w:val="003629B5"/>
    <w:rsid w:val="00362C59"/>
    <w:rsid w:val="00363040"/>
    <w:rsid w:val="003630B7"/>
    <w:rsid w:val="00363275"/>
    <w:rsid w:val="00363786"/>
    <w:rsid w:val="003638A4"/>
    <w:rsid w:val="003639BF"/>
    <w:rsid w:val="00363DDC"/>
    <w:rsid w:val="00363E41"/>
    <w:rsid w:val="00363ED8"/>
    <w:rsid w:val="00363FD2"/>
    <w:rsid w:val="003644D0"/>
    <w:rsid w:val="003651F5"/>
    <w:rsid w:val="0036572E"/>
    <w:rsid w:val="003663D9"/>
    <w:rsid w:val="003666BF"/>
    <w:rsid w:val="00366707"/>
    <w:rsid w:val="00366FA9"/>
    <w:rsid w:val="00367E49"/>
    <w:rsid w:val="003700E6"/>
    <w:rsid w:val="00371C86"/>
    <w:rsid w:val="0037236C"/>
    <w:rsid w:val="003729DE"/>
    <w:rsid w:val="003735D3"/>
    <w:rsid w:val="0037386D"/>
    <w:rsid w:val="00373956"/>
    <w:rsid w:val="00374153"/>
    <w:rsid w:val="003750E0"/>
    <w:rsid w:val="00375AF1"/>
    <w:rsid w:val="00375C2F"/>
    <w:rsid w:val="00375FC5"/>
    <w:rsid w:val="003769BA"/>
    <w:rsid w:val="00377871"/>
    <w:rsid w:val="003778B2"/>
    <w:rsid w:val="00377E58"/>
    <w:rsid w:val="003805E3"/>
    <w:rsid w:val="00380618"/>
    <w:rsid w:val="0038062E"/>
    <w:rsid w:val="003807F7"/>
    <w:rsid w:val="00381610"/>
    <w:rsid w:val="00382106"/>
    <w:rsid w:val="00382657"/>
    <w:rsid w:val="00382B82"/>
    <w:rsid w:val="00383E73"/>
    <w:rsid w:val="003844BF"/>
    <w:rsid w:val="003852BA"/>
    <w:rsid w:val="003854D5"/>
    <w:rsid w:val="0038552A"/>
    <w:rsid w:val="003859EA"/>
    <w:rsid w:val="0038709E"/>
    <w:rsid w:val="00387D30"/>
    <w:rsid w:val="00390A4D"/>
    <w:rsid w:val="00391753"/>
    <w:rsid w:val="00391C7F"/>
    <w:rsid w:val="00392454"/>
    <w:rsid w:val="00392A6C"/>
    <w:rsid w:val="00392C85"/>
    <w:rsid w:val="00392FD8"/>
    <w:rsid w:val="00393E11"/>
    <w:rsid w:val="00394475"/>
    <w:rsid w:val="00394C48"/>
    <w:rsid w:val="0039517A"/>
    <w:rsid w:val="00395B51"/>
    <w:rsid w:val="00396796"/>
    <w:rsid w:val="00396EC6"/>
    <w:rsid w:val="00396F3C"/>
    <w:rsid w:val="003970BA"/>
    <w:rsid w:val="0039746C"/>
    <w:rsid w:val="00397DC6"/>
    <w:rsid w:val="003A0E82"/>
    <w:rsid w:val="003A0FAC"/>
    <w:rsid w:val="003A184D"/>
    <w:rsid w:val="003A1FB7"/>
    <w:rsid w:val="003A2962"/>
    <w:rsid w:val="003A371E"/>
    <w:rsid w:val="003A462A"/>
    <w:rsid w:val="003A4CE8"/>
    <w:rsid w:val="003A595F"/>
    <w:rsid w:val="003A5EEC"/>
    <w:rsid w:val="003A79AE"/>
    <w:rsid w:val="003A7CA3"/>
    <w:rsid w:val="003B00B6"/>
    <w:rsid w:val="003B01C4"/>
    <w:rsid w:val="003B0BB0"/>
    <w:rsid w:val="003B11EE"/>
    <w:rsid w:val="003B15F8"/>
    <w:rsid w:val="003B18EB"/>
    <w:rsid w:val="003B230B"/>
    <w:rsid w:val="003B23BC"/>
    <w:rsid w:val="003B2DB5"/>
    <w:rsid w:val="003B2F05"/>
    <w:rsid w:val="003B3966"/>
    <w:rsid w:val="003B39B7"/>
    <w:rsid w:val="003B4EB0"/>
    <w:rsid w:val="003B5F6A"/>
    <w:rsid w:val="003B6B7F"/>
    <w:rsid w:val="003B7820"/>
    <w:rsid w:val="003C01A4"/>
    <w:rsid w:val="003C0219"/>
    <w:rsid w:val="003C07FE"/>
    <w:rsid w:val="003C0C12"/>
    <w:rsid w:val="003C16EE"/>
    <w:rsid w:val="003C1C87"/>
    <w:rsid w:val="003C2C85"/>
    <w:rsid w:val="003C2F61"/>
    <w:rsid w:val="003C345E"/>
    <w:rsid w:val="003C4409"/>
    <w:rsid w:val="003C4997"/>
    <w:rsid w:val="003C4DA5"/>
    <w:rsid w:val="003C5666"/>
    <w:rsid w:val="003C64F4"/>
    <w:rsid w:val="003C6DE1"/>
    <w:rsid w:val="003C724B"/>
    <w:rsid w:val="003C73DB"/>
    <w:rsid w:val="003D0185"/>
    <w:rsid w:val="003D02CB"/>
    <w:rsid w:val="003D0382"/>
    <w:rsid w:val="003D057A"/>
    <w:rsid w:val="003D069C"/>
    <w:rsid w:val="003D0BC2"/>
    <w:rsid w:val="003D191E"/>
    <w:rsid w:val="003D22A5"/>
    <w:rsid w:val="003D22C7"/>
    <w:rsid w:val="003D23A4"/>
    <w:rsid w:val="003D3414"/>
    <w:rsid w:val="003D3426"/>
    <w:rsid w:val="003D3721"/>
    <w:rsid w:val="003D46BA"/>
    <w:rsid w:val="003D590A"/>
    <w:rsid w:val="003D6722"/>
    <w:rsid w:val="003D7428"/>
    <w:rsid w:val="003D77F2"/>
    <w:rsid w:val="003D78CC"/>
    <w:rsid w:val="003D7901"/>
    <w:rsid w:val="003D7D01"/>
    <w:rsid w:val="003D7ED8"/>
    <w:rsid w:val="003E0003"/>
    <w:rsid w:val="003E0099"/>
    <w:rsid w:val="003E08C7"/>
    <w:rsid w:val="003E0992"/>
    <w:rsid w:val="003E1A72"/>
    <w:rsid w:val="003E2880"/>
    <w:rsid w:val="003E28FB"/>
    <w:rsid w:val="003E2A00"/>
    <w:rsid w:val="003E382C"/>
    <w:rsid w:val="003E3D00"/>
    <w:rsid w:val="003E3FD6"/>
    <w:rsid w:val="003E4531"/>
    <w:rsid w:val="003E4771"/>
    <w:rsid w:val="003E54A8"/>
    <w:rsid w:val="003E5833"/>
    <w:rsid w:val="003E5DA8"/>
    <w:rsid w:val="003E7109"/>
    <w:rsid w:val="003E77DC"/>
    <w:rsid w:val="003E7BC1"/>
    <w:rsid w:val="003F0453"/>
    <w:rsid w:val="003F097D"/>
    <w:rsid w:val="003F0C9F"/>
    <w:rsid w:val="003F144A"/>
    <w:rsid w:val="003F1B02"/>
    <w:rsid w:val="003F1EFE"/>
    <w:rsid w:val="003F2212"/>
    <w:rsid w:val="003F2240"/>
    <w:rsid w:val="003F2460"/>
    <w:rsid w:val="003F2BD1"/>
    <w:rsid w:val="003F2E7B"/>
    <w:rsid w:val="003F3932"/>
    <w:rsid w:val="003F3CD5"/>
    <w:rsid w:val="003F4473"/>
    <w:rsid w:val="003F4CF5"/>
    <w:rsid w:val="003F4E31"/>
    <w:rsid w:val="003F51EE"/>
    <w:rsid w:val="003F574E"/>
    <w:rsid w:val="003F60D6"/>
    <w:rsid w:val="003F68E9"/>
    <w:rsid w:val="003F73EA"/>
    <w:rsid w:val="003F7E15"/>
    <w:rsid w:val="003F7FDA"/>
    <w:rsid w:val="00400DE4"/>
    <w:rsid w:val="004013AD"/>
    <w:rsid w:val="004021C0"/>
    <w:rsid w:val="004028CE"/>
    <w:rsid w:val="0040313D"/>
    <w:rsid w:val="004043FA"/>
    <w:rsid w:val="00404970"/>
    <w:rsid w:val="00405181"/>
    <w:rsid w:val="0040567F"/>
    <w:rsid w:val="00405873"/>
    <w:rsid w:val="00405F09"/>
    <w:rsid w:val="004066F4"/>
    <w:rsid w:val="00406A32"/>
    <w:rsid w:val="0040760B"/>
    <w:rsid w:val="00410117"/>
    <w:rsid w:val="00410C32"/>
    <w:rsid w:val="004111FB"/>
    <w:rsid w:val="00411237"/>
    <w:rsid w:val="00411557"/>
    <w:rsid w:val="004115DA"/>
    <w:rsid w:val="00411815"/>
    <w:rsid w:val="00411994"/>
    <w:rsid w:val="00411D74"/>
    <w:rsid w:val="00411DDE"/>
    <w:rsid w:val="00411F84"/>
    <w:rsid w:val="00412069"/>
    <w:rsid w:val="004121A1"/>
    <w:rsid w:val="00412477"/>
    <w:rsid w:val="00412570"/>
    <w:rsid w:val="004127A2"/>
    <w:rsid w:val="0041280A"/>
    <w:rsid w:val="00412A9D"/>
    <w:rsid w:val="00412CB1"/>
    <w:rsid w:val="004133A5"/>
    <w:rsid w:val="00413B02"/>
    <w:rsid w:val="00413D45"/>
    <w:rsid w:val="00414197"/>
    <w:rsid w:val="00414D68"/>
    <w:rsid w:val="00414FD9"/>
    <w:rsid w:val="00415773"/>
    <w:rsid w:val="00415CAE"/>
    <w:rsid w:val="00415EE7"/>
    <w:rsid w:val="004160FA"/>
    <w:rsid w:val="004164AE"/>
    <w:rsid w:val="0041669E"/>
    <w:rsid w:val="00416ACA"/>
    <w:rsid w:val="00416C56"/>
    <w:rsid w:val="00417294"/>
    <w:rsid w:val="004176B8"/>
    <w:rsid w:val="00417B99"/>
    <w:rsid w:val="00417CE0"/>
    <w:rsid w:val="004209D5"/>
    <w:rsid w:val="00420FAF"/>
    <w:rsid w:val="00421184"/>
    <w:rsid w:val="004212C1"/>
    <w:rsid w:val="004214B7"/>
    <w:rsid w:val="00421988"/>
    <w:rsid w:val="00421FB5"/>
    <w:rsid w:val="0042219F"/>
    <w:rsid w:val="004226ED"/>
    <w:rsid w:val="00422AF4"/>
    <w:rsid w:val="004235F4"/>
    <w:rsid w:val="004236C9"/>
    <w:rsid w:val="00423CF3"/>
    <w:rsid w:val="00423E18"/>
    <w:rsid w:val="00424B7C"/>
    <w:rsid w:val="0042500C"/>
    <w:rsid w:val="00425514"/>
    <w:rsid w:val="004256BD"/>
    <w:rsid w:val="00425863"/>
    <w:rsid w:val="00425D02"/>
    <w:rsid w:val="00425EDC"/>
    <w:rsid w:val="00426C3E"/>
    <w:rsid w:val="004275CD"/>
    <w:rsid w:val="00427FEB"/>
    <w:rsid w:val="00427FF2"/>
    <w:rsid w:val="004305C0"/>
    <w:rsid w:val="00430B20"/>
    <w:rsid w:val="00430B6C"/>
    <w:rsid w:val="0043135D"/>
    <w:rsid w:val="0043227C"/>
    <w:rsid w:val="004335C0"/>
    <w:rsid w:val="00433AFC"/>
    <w:rsid w:val="00434193"/>
    <w:rsid w:val="00435068"/>
    <w:rsid w:val="00435715"/>
    <w:rsid w:val="0043571B"/>
    <w:rsid w:val="00435EE0"/>
    <w:rsid w:val="00435F29"/>
    <w:rsid w:val="0043610C"/>
    <w:rsid w:val="004366FF"/>
    <w:rsid w:val="004376D3"/>
    <w:rsid w:val="0043777D"/>
    <w:rsid w:val="00437D83"/>
    <w:rsid w:val="004401DD"/>
    <w:rsid w:val="00440344"/>
    <w:rsid w:val="00441264"/>
    <w:rsid w:val="00441B0F"/>
    <w:rsid w:val="004425C6"/>
    <w:rsid w:val="00443512"/>
    <w:rsid w:val="00443A55"/>
    <w:rsid w:val="00443CA6"/>
    <w:rsid w:val="00443D5D"/>
    <w:rsid w:val="00445CBA"/>
    <w:rsid w:val="004463CB"/>
    <w:rsid w:val="004466F7"/>
    <w:rsid w:val="00446858"/>
    <w:rsid w:val="00447304"/>
    <w:rsid w:val="00450127"/>
    <w:rsid w:val="0045075F"/>
    <w:rsid w:val="004516AD"/>
    <w:rsid w:val="00451E84"/>
    <w:rsid w:val="00451EA3"/>
    <w:rsid w:val="00451F01"/>
    <w:rsid w:val="00453349"/>
    <w:rsid w:val="004546A7"/>
    <w:rsid w:val="00454831"/>
    <w:rsid w:val="004548DF"/>
    <w:rsid w:val="00455B98"/>
    <w:rsid w:val="00455E25"/>
    <w:rsid w:val="00456CC0"/>
    <w:rsid w:val="00457933"/>
    <w:rsid w:val="00457C78"/>
    <w:rsid w:val="00460136"/>
    <w:rsid w:val="00460735"/>
    <w:rsid w:val="00460AD5"/>
    <w:rsid w:val="00460EB8"/>
    <w:rsid w:val="00461090"/>
    <w:rsid w:val="004611D5"/>
    <w:rsid w:val="00461991"/>
    <w:rsid w:val="00461A6B"/>
    <w:rsid w:val="00461C43"/>
    <w:rsid w:val="00462125"/>
    <w:rsid w:val="00463216"/>
    <w:rsid w:val="0046334D"/>
    <w:rsid w:val="00463848"/>
    <w:rsid w:val="00463BBF"/>
    <w:rsid w:val="00463C95"/>
    <w:rsid w:val="00463E1C"/>
    <w:rsid w:val="00464052"/>
    <w:rsid w:val="00465153"/>
    <w:rsid w:val="00465602"/>
    <w:rsid w:val="00466763"/>
    <w:rsid w:val="004669A6"/>
    <w:rsid w:val="00466AFD"/>
    <w:rsid w:val="00466E99"/>
    <w:rsid w:val="00470563"/>
    <w:rsid w:val="00470696"/>
    <w:rsid w:val="004724C9"/>
    <w:rsid w:val="00472585"/>
    <w:rsid w:val="00473045"/>
    <w:rsid w:val="00474130"/>
    <w:rsid w:val="00475A6C"/>
    <w:rsid w:val="004764AF"/>
    <w:rsid w:val="00476D04"/>
    <w:rsid w:val="0047775E"/>
    <w:rsid w:val="00477AAE"/>
    <w:rsid w:val="00477AF6"/>
    <w:rsid w:val="00477B3B"/>
    <w:rsid w:val="00477BCB"/>
    <w:rsid w:val="004801A7"/>
    <w:rsid w:val="00480E47"/>
    <w:rsid w:val="00481666"/>
    <w:rsid w:val="0048181B"/>
    <w:rsid w:val="00481F2B"/>
    <w:rsid w:val="004820C5"/>
    <w:rsid w:val="00482198"/>
    <w:rsid w:val="004823D8"/>
    <w:rsid w:val="00482F20"/>
    <w:rsid w:val="00483196"/>
    <w:rsid w:val="0048340F"/>
    <w:rsid w:val="0048384A"/>
    <w:rsid w:val="0048423C"/>
    <w:rsid w:val="00484449"/>
    <w:rsid w:val="004845A6"/>
    <w:rsid w:val="00484C71"/>
    <w:rsid w:val="004852CE"/>
    <w:rsid w:val="0048540C"/>
    <w:rsid w:val="0048561D"/>
    <w:rsid w:val="00485EDD"/>
    <w:rsid w:val="00485F92"/>
    <w:rsid w:val="004860BD"/>
    <w:rsid w:val="004866E1"/>
    <w:rsid w:val="00486C72"/>
    <w:rsid w:val="0049030D"/>
    <w:rsid w:val="00490954"/>
    <w:rsid w:val="004921DC"/>
    <w:rsid w:val="0049277A"/>
    <w:rsid w:val="00492B38"/>
    <w:rsid w:val="00492FE4"/>
    <w:rsid w:val="00493035"/>
    <w:rsid w:val="00493321"/>
    <w:rsid w:val="004936DE"/>
    <w:rsid w:val="0049544E"/>
    <w:rsid w:val="00495670"/>
    <w:rsid w:val="0049604B"/>
    <w:rsid w:val="00496AC9"/>
    <w:rsid w:val="004A040E"/>
    <w:rsid w:val="004A042D"/>
    <w:rsid w:val="004A11E0"/>
    <w:rsid w:val="004A1FC5"/>
    <w:rsid w:val="004A2158"/>
    <w:rsid w:val="004A29A5"/>
    <w:rsid w:val="004A3225"/>
    <w:rsid w:val="004A374A"/>
    <w:rsid w:val="004A395B"/>
    <w:rsid w:val="004A39D9"/>
    <w:rsid w:val="004A3C59"/>
    <w:rsid w:val="004A3FE2"/>
    <w:rsid w:val="004A480D"/>
    <w:rsid w:val="004A4D76"/>
    <w:rsid w:val="004A522F"/>
    <w:rsid w:val="004A5848"/>
    <w:rsid w:val="004A5851"/>
    <w:rsid w:val="004A5A91"/>
    <w:rsid w:val="004A5B0F"/>
    <w:rsid w:val="004A5CF1"/>
    <w:rsid w:val="004A66E0"/>
    <w:rsid w:val="004A7AAE"/>
    <w:rsid w:val="004A7D49"/>
    <w:rsid w:val="004A7F21"/>
    <w:rsid w:val="004B08DB"/>
    <w:rsid w:val="004B1422"/>
    <w:rsid w:val="004B24EB"/>
    <w:rsid w:val="004B29AC"/>
    <w:rsid w:val="004B3C8B"/>
    <w:rsid w:val="004B44A9"/>
    <w:rsid w:val="004B4509"/>
    <w:rsid w:val="004B452A"/>
    <w:rsid w:val="004B4871"/>
    <w:rsid w:val="004B4ADF"/>
    <w:rsid w:val="004B4C00"/>
    <w:rsid w:val="004B4E06"/>
    <w:rsid w:val="004B5493"/>
    <w:rsid w:val="004B5914"/>
    <w:rsid w:val="004B6C77"/>
    <w:rsid w:val="004B6D0A"/>
    <w:rsid w:val="004B7995"/>
    <w:rsid w:val="004C02B3"/>
    <w:rsid w:val="004C098E"/>
    <w:rsid w:val="004C0BBE"/>
    <w:rsid w:val="004C0E2F"/>
    <w:rsid w:val="004C1194"/>
    <w:rsid w:val="004C222E"/>
    <w:rsid w:val="004C2561"/>
    <w:rsid w:val="004C2806"/>
    <w:rsid w:val="004C3ADD"/>
    <w:rsid w:val="004C428E"/>
    <w:rsid w:val="004C4775"/>
    <w:rsid w:val="004C483D"/>
    <w:rsid w:val="004C48A9"/>
    <w:rsid w:val="004C590B"/>
    <w:rsid w:val="004C6326"/>
    <w:rsid w:val="004C63C7"/>
    <w:rsid w:val="004C6D39"/>
    <w:rsid w:val="004C6D98"/>
    <w:rsid w:val="004C7217"/>
    <w:rsid w:val="004C75B5"/>
    <w:rsid w:val="004C7743"/>
    <w:rsid w:val="004C77A7"/>
    <w:rsid w:val="004C7DBE"/>
    <w:rsid w:val="004C7F57"/>
    <w:rsid w:val="004D032B"/>
    <w:rsid w:val="004D039E"/>
    <w:rsid w:val="004D04A3"/>
    <w:rsid w:val="004D0C9F"/>
    <w:rsid w:val="004D15FD"/>
    <w:rsid w:val="004D2369"/>
    <w:rsid w:val="004D2485"/>
    <w:rsid w:val="004D3A57"/>
    <w:rsid w:val="004D3B2A"/>
    <w:rsid w:val="004D47FF"/>
    <w:rsid w:val="004D4D35"/>
    <w:rsid w:val="004D518F"/>
    <w:rsid w:val="004D54D7"/>
    <w:rsid w:val="004D5BB7"/>
    <w:rsid w:val="004D6053"/>
    <w:rsid w:val="004D61EF"/>
    <w:rsid w:val="004D6FA4"/>
    <w:rsid w:val="004D7C23"/>
    <w:rsid w:val="004D7EBE"/>
    <w:rsid w:val="004E01C6"/>
    <w:rsid w:val="004E0212"/>
    <w:rsid w:val="004E0ADC"/>
    <w:rsid w:val="004E0FB1"/>
    <w:rsid w:val="004E1043"/>
    <w:rsid w:val="004E1DCA"/>
    <w:rsid w:val="004E21B4"/>
    <w:rsid w:val="004E252B"/>
    <w:rsid w:val="004E2861"/>
    <w:rsid w:val="004E2A85"/>
    <w:rsid w:val="004E2C09"/>
    <w:rsid w:val="004E3F72"/>
    <w:rsid w:val="004E4A78"/>
    <w:rsid w:val="004E551E"/>
    <w:rsid w:val="004E58F6"/>
    <w:rsid w:val="004E5E37"/>
    <w:rsid w:val="004E5E4C"/>
    <w:rsid w:val="004E623E"/>
    <w:rsid w:val="004E6CF9"/>
    <w:rsid w:val="004E734E"/>
    <w:rsid w:val="004E7EC0"/>
    <w:rsid w:val="004E7F48"/>
    <w:rsid w:val="004F014E"/>
    <w:rsid w:val="004F0BC6"/>
    <w:rsid w:val="004F1123"/>
    <w:rsid w:val="004F1715"/>
    <w:rsid w:val="004F17DA"/>
    <w:rsid w:val="004F2927"/>
    <w:rsid w:val="004F3BD2"/>
    <w:rsid w:val="004F4372"/>
    <w:rsid w:val="004F43E0"/>
    <w:rsid w:val="004F45EB"/>
    <w:rsid w:val="004F521B"/>
    <w:rsid w:val="004F52BB"/>
    <w:rsid w:val="004F53BF"/>
    <w:rsid w:val="004F5582"/>
    <w:rsid w:val="004F59B8"/>
    <w:rsid w:val="004F5BD9"/>
    <w:rsid w:val="004F62A7"/>
    <w:rsid w:val="004F62F9"/>
    <w:rsid w:val="004F66B3"/>
    <w:rsid w:val="004F674C"/>
    <w:rsid w:val="004F7352"/>
    <w:rsid w:val="004F7EE2"/>
    <w:rsid w:val="0050015C"/>
    <w:rsid w:val="00500418"/>
    <w:rsid w:val="00500CCF"/>
    <w:rsid w:val="00500E62"/>
    <w:rsid w:val="005010DE"/>
    <w:rsid w:val="005011FD"/>
    <w:rsid w:val="0050164B"/>
    <w:rsid w:val="00502958"/>
    <w:rsid w:val="00502BD2"/>
    <w:rsid w:val="00502DA4"/>
    <w:rsid w:val="00503F83"/>
    <w:rsid w:val="0050421C"/>
    <w:rsid w:val="00504A9B"/>
    <w:rsid w:val="00504E9A"/>
    <w:rsid w:val="00504F83"/>
    <w:rsid w:val="005059B9"/>
    <w:rsid w:val="00505F64"/>
    <w:rsid w:val="00506DCD"/>
    <w:rsid w:val="00507325"/>
    <w:rsid w:val="00507C56"/>
    <w:rsid w:val="00507F13"/>
    <w:rsid w:val="00510809"/>
    <w:rsid w:val="005109D4"/>
    <w:rsid w:val="00510CF4"/>
    <w:rsid w:val="0051160A"/>
    <w:rsid w:val="005118BA"/>
    <w:rsid w:val="005120B4"/>
    <w:rsid w:val="00512D87"/>
    <w:rsid w:val="005130DA"/>
    <w:rsid w:val="00513998"/>
    <w:rsid w:val="00513DDA"/>
    <w:rsid w:val="00513E19"/>
    <w:rsid w:val="005148B4"/>
    <w:rsid w:val="00514B29"/>
    <w:rsid w:val="00514C19"/>
    <w:rsid w:val="005152B1"/>
    <w:rsid w:val="005152F0"/>
    <w:rsid w:val="00515856"/>
    <w:rsid w:val="005163E6"/>
    <w:rsid w:val="005167B6"/>
    <w:rsid w:val="005172EC"/>
    <w:rsid w:val="0051740D"/>
    <w:rsid w:val="00517888"/>
    <w:rsid w:val="005178CE"/>
    <w:rsid w:val="00521CAB"/>
    <w:rsid w:val="005224EF"/>
    <w:rsid w:val="00522654"/>
    <w:rsid w:val="00522835"/>
    <w:rsid w:val="0052293D"/>
    <w:rsid w:val="00522AF4"/>
    <w:rsid w:val="00522B93"/>
    <w:rsid w:val="00523499"/>
    <w:rsid w:val="00523BC7"/>
    <w:rsid w:val="00523C08"/>
    <w:rsid w:val="00523C10"/>
    <w:rsid w:val="005245D5"/>
    <w:rsid w:val="00524889"/>
    <w:rsid w:val="0052575D"/>
    <w:rsid w:val="00525A53"/>
    <w:rsid w:val="00525C1F"/>
    <w:rsid w:val="00526569"/>
    <w:rsid w:val="00526726"/>
    <w:rsid w:val="00527256"/>
    <w:rsid w:val="00527B57"/>
    <w:rsid w:val="00527C8D"/>
    <w:rsid w:val="0053021B"/>
    <w:rsid w:val="00530AC4"/>
    <w:rsid w:val="00532115"/>
    <w:rsid w:val="0053265B"/>
    <w:rsid w:val="00533169"/>
    <w:rsid w:val="00533194"/>
    <w:rsid w:val="005332C8"/>
    <w:rsid w:val="0053464E"/>
    <w:rsid w:val="005346C8"/>
    <w:rsid w:val="005352C8"/>
    <w:rsid w:val="005354C1"/>
    <w:rsid w:val="00535F99"/>
    <w:rsid w:val="00536356"/>
    <w:rsid w:val="00536CBB"/>
    <w:rsid w:val="00536DDD"/>
    <w:rsid w:val="00537033"/>
    <w:rsid w:val="00537085"/>
    <w:rsid w:val="00540A37"/>
    <w:rsid w:val="00540B49"/>
    <w:rsid w:val="005418DB"/>
    <w:rsid w:val="005434EA"/>
    <w:rsid w:val="00545D55"/>
    <w:rsid w:val="005461AB"/>
    <w:rsid w:val="00546C6A"/>
    <w:rsid w:val="00546FBA"/>
    <w:rsid w:val="0054782D"/>
    <w:rsid w:val="00547F04"/>
    <w:rsid w:val="00550924"/>
    <w:rsid w:val="00550D63"/>
    <w:rsid w:val="00550EF1"/>
    <w:rsid w:val="00551075"/>
    <w:rsid w:val="005513C8"/>
    <w:rsid w:val="0055248E"/>
    <w:rsid w:val="0055352C"/>
    <w:rsid w:val="00553672"/>
    <w:rsid w:val="005538A6"/>
    <w:rsid w:val="00554F94"/>
    <w:rsid w:val="00555161"/>
    <w:rsid w:val="00555DE6"/>
    <w:rsid w:val="00555EB3"/>
    <w:rsid w:val="005567F6"/>
    <w:rsid w:val="00556E29"/>
    <w:rsid w:val="00557474"/>
    <w:rsid w:val="00557DAA"/>
    <w:rsid w:val="00557DAD"/>
    <w:rsid w:val="00561138"/>
    <w:rsid w:val="00561699"/>
    <w:rsid w:val="0056194F"/>
    <w:rsid w:val="005619E1"/>
    <w:rsid w:val="00562629"/>
    <w:rsid w:val="005628FE"/>
    <w:rsid w:val="0056330E"/>
    <w:rsid w:val="0056364B"/>
    <w:rsid w:val="00564191"/>
    <w:rsid w:val="00564557"/>
    <w:rsid w:val="0056458C"/>
    <w:rsid w:val="00564628"/>
    <w:rsid w:val="005648B9"/>
    <w:rsid w:val="00564A3C"/>
    <w:rsid w:val="00564F82"/>
    <w:rsid w:val="005653AF"/>
    <w:rsid w:val="00565501"/>
    <w:rsid w:val="00565755"/>
    <w:rsid w:val="0056601E"/>
    <w:rsid w:val="00566406"/>
    <w:rsid w:val="00566538"/>
    <w:rsid w:val="0056725A"/>
    <w:rsid w:val="0056741F"/>
    <w:rsid w:val="00567647"/>
    <w:rsid w:val="0056781B"/>
    <w:rsid w:val="00567BE2"/>
    <w:rsid w:val="00570102"/>
    <w:rsid w:val="00570505"/>
    <w:rsid w:val="005712E6"/>
    <w:rsid w:val="00572942"/>
    <w:rsid w:val="005730DB"/>
    <w:rsid w:val="00573251"/>
    <w:rsid w:val="005733A8"/>
    <w:rsid w:val="00573B5B"/>
    <w:rsid w:val="00573F55"/>
    <w:rsid w:val="0057540E"/>
    <w:rsid w:val="005757B6"/>
    <w:rsid w:val="00576EB8"/>
    <w:rsid w:val="0058000F"/>
    <w:rsid w:val="00580557"/>
    <w:rsid w:val="0058074F"/>
    <w:rsid w:val="005808F3"/>
    <w:rsid w:val="00580A76"/>
    <w:rsid w:val="00581042"/>
    <w:rsid w:val="00581703"/>
    <w:rsid w:val="00581B15"/>
    <w:rsid w:val="005821DD"/>
    <w:rsid w:val="00583908"/>
    <w:rsid w:val="00584757"/>
    <w:rsid w:val="00584E21"/>
    <w:rsid w:val="005856D5"/>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6A0"/>
    <w:rsid w:val="00594B8A"/>
    <w:rsid w:val="00595009"/>
    <w:rsid w:val="005954B7"/>
    <w:rsid w:val="00595A05"/>
    <w:rsid w:val="00595F17"/>
    <w:rsid w:val="00595F3D"/>
    <w:rsid w:val="00595F89"/>
    <w:rsid w:val="00596873"/>
    <w:rsid w:val="00596BB3"/>
    <w:rsid w:val="00596BD4"/>
    <w:rsid w:val="00596FA8"/>
    <w:rsid w:val="005971A7"/>
    <w:rsid w:val="00597310"/>
    <w:rsid w:val="005977AB"/>
    <w:rsid w:val="005A01C5"/>
    <w:rsid w:val="005A0201"/>
    <w:rsid w:val="005A0532"/>
    <w:rsid w:val="005A07E7"/>
    <w:rsid w:val="005A0A57"/>
    <w:rsid w:val="005A0B9F"/>
    <w:rsid w:val="005A0DBB"/>
    <w:rsid w:val="005A0EBD"/>
    <w:rsid w:val="005A1270"/>
    <w:rsid w:val="005A1295"/>
    <w:rsid w:val="005A1FBF"/>
    <w:rsid w:val="005A2081"/>
    <w:rsid w:val="005A29B1"/>
    <w:rsid w:val="005A2EBF"/>
    <w:rsid w:val="005A380B"/>
    <w:rsid w:val="005A4890"/>
    <w:rsid w:val="005A49D4"/>
    <w:rsid w:val="005A4D7C"/>
    <w:rsid w:val="005A51C9"/>
    <w:rsid w:val="005A5DC0"/>
    <w:rsid w:val="005A6B6D"/>
    <w:rsid w:val="005A6F0E"/>
    <w:rsid w:val="005A6F57"/>
    <w:rsid w:val="005A7079"/>
    <w:rsid w:val="005A7235"/>
    <w:rsid w:val="005A795B"/>
    <w:rsid w:val="005A7A1A"/>
    <w:rsid w:val="005A7BAF"/>
    <w:rsid w:val="005B0652"/>
    <w:rsid w:val="005B1213"/>
    <w:rsid w:val="005B1329"/>
    <w:rsid w:val="005B1512"/>
    <w:rsid w:val="005B1B55"/>
    <w:rsid w:val="005B1DBD"/>
    <w:rsid w:val="005B2769"/>
    <w:rsid w:val="005B3EBD"/>
    <w:rsid w:val="005B48E8"/>
    <w:rsid w:val="005B56D9"/>
    <w:rsid w:val="005B5BA3"/>
    <w:rsid w:val="005B5E62"/>
    <w:rsid w:val="005B727B"/>
    <w:rsid w:val="005B7341"/>
    <w:rsid w:val="005B778C"/>
    <w:rsid w:val="005B7E97"/>
    <w:rsid w:val="005B7F46"/>
    <w:rsid w:val="005C09A7"/>
    <w:rsid w:val="005C102D"/>
    <w:rsid w:val="005C132C"/>
    <w:rsid w:val="005C17FB"/>
    <w:rsid w:val="005C1833"/>
    <w:rsid w:val="005C1838"/>
    <w:rsid w:val="005C18C2"/>
    <w:rsid w:val="005C1D93"/>
    <w:rsid w:val="005C2063"/>
    <w:rsid w:val="005C244F"/>
    <w:rsid w:val="005C2767"/>
    <w:rsid w:val="005C2922"/>
    <w:rsid w:val="005C2F60"/>
    <w:rsid w:val="005C323D"/>
    <w:rsid w:val="005C3772"/>
    <w:rsid w:val="005C39C3"/>
    <w:rsid w:val="005C4229"/>
    <w:rsid w:val="005C4580"/>
    <w:rsid w:val="005C5065"/>
    <w:rsid w:val="005C52F3"/>
    <w:rsid w:val="005C564C"/>
    <w:rsid w:val="005C6234"/>
    <w:rsid w:val="005C6605"/>
    <w:rsid w:val="005C71A0"/>
    <w:rsid w:val="005C751C"/>
    <w:rsid w:val="005C7802"/>
    <w:rsid w:val="005C7B50"/>
    <w:rsid w:val="005C7E73"/>
    <w:rsid w:val="005D029E"/>
    <w:rsid w:val="005D0427"/>
    <w:rsid w:val="005D0776"/>
    <w:rsid w:val="005D07AE"/>
    <w:rsid w:val="005D0B55"/>
    <w:rsid w:val="005D0C83"/>
    <w:rsid w:val="005D113B"/>
    <w:rsid w:val="005D1732"/>
    <w:rsid w:val="005D1BAC"/>
    <w:rsid w:val="005D2D9A"/>
    <w:rsid w:val="005D3A6E"/>
    <w:rsid w:val="005D3B21"/>
    <w:rsid w:val="005D4019"/>
    <w:rsid w:val="005D41DC"/>
    <w:rsid w:val="005D43C3"/>
    <w:rsid w:val="005D460F"/>
    <w:rsid w:val="005D4D7D"/>
    <w:rsid w:val="005D4DC5"/>
    <w:rsid w:val="005D5C22"/>
    <w:rsid w:val="005D5E6C"/>
    <w:rsid w:val="005D63A9"/>
    <w:rsid w:val="005D65D5"/>
    <w:rsid w:val="005D6C56"/>
    <w:rsid w:val="005D6F49"/>
    <w:rsid w:val="005D7E8A"/>
    <w:rsid w:val="005E06FA"/>
    <w:rsid w:val="005E11A5"/>
    <w:rsid w:val="005E13D4"/>
    <w:rsid w:val="005E1435"/>
    <w:rsid w:val="005E21F3"/>
    <w:rsid w:val="005E235C"/>
    <w:rsid w:val="005E3078"/>
    <w:rsid w:val="005E34C0"/>
    <w:rsid w:val="005E3D71"/>
    <w:rsid w:val="005E44F1"/>
    <w:rsid w:val="005E49CA"/>
    <w:rsid w:val="005E5427"/>
    <w:rsid w:val="005E5428"/>
    <w:rsid w:val="005E5A7C"/>
    <w:rsid w:val="005E5C33"/>
    <w:rsid w:val="005E5F53"/>
    <w:rsid w:val="005E6976"/>
    <w:rsid w:val="005E6E12"/>
    <w:rsid w:val="005E70CD"/>
    <w:rsid w:val="005E74B3"/>
    <w:rsid w:val="005E74EC"/>
    <w:rsid w:val="005E7AB6"/>
    <w:rsid w:val="005E7B1E"/>
    <w:rsid w:val="005E7CBC"/>
    <w:rsid w:val="005F0A62"/>
    <w:rsid w:val="005F0FA8"/>
    <w:rsid w:val="005F1C5D"/>
    <w:rsid w:val="005F222B"/>
    <w:rsid w:val="005F2317"/>
    <w:rsid w:val="005F2550"/>
    <w:rsid w:val="005F297E"/>
    <w:rsid w:val="005F2B2D"/>
    <w:rsid w:val="005F2D9C"/>
    <w:rsid w:val="005F2FD5"/>
    <w:rsid w:val="005F340A"/>
    <w:rsid w:val="005F3AE8"/>
    <w:rsid w:val="005F3B09"/>
    <w:rsid w:val="005F3B47"/>
    <w:rsid w:val="005F47C1"/>
    <w:rsid w:val="005F4926"/>
    <w:rsid w:val="005F4B6F"/>
    <w:rsid w:val="005F5009"/>
    <w:rsid w:val="005F5054"/>
    <w:rsid w:val="005F530F"/>
    <w:rsid w:val="005F65D9"/>
    <w:rsid w:val="005F6768"/>
    <w:rsid w:val="005F69CF"/>
    <w:rsid w:val="005F6E39"/>
    <w:rsid w:val="005F6E58"/>
    <w:rsid w:val="005F704C"/>
    <w:rsid w:val="005F7A22"/>
    <w:rsid w:val="005F7B9D"/>
    <w:rsid w:val="00600501"/>
    <w:rsid w:val="006006CD"/>
    <w:rsid w:val="00600B0C"/>
    <w:rsid w:val="00601078"/>
    <w:rsid w:val="00602543"/>
    <w:rsid w:val="0060254C"/>
    <w:rsid w:val="00602DFA"/>
    <w:rsid w:val="006031D1"/>
    <w:rsid w:val="006033BF"/>
    <w:rsid w:val="00603702"/>
    <w:rsid w:val="00603B4B"/>
    <w:rsid w:val="00603F20"/>
    <w:rsid w:val="00604A11"/>
    <w:rsid w:val="00604F37"/>
    <w:rsid w:val="0060508A"/>
    <w:rsid w:val="006055AF"/>
    <w:rsid w:val="00605942"/>
    <w:rsid w:val="00605C9F"/>
    <w:rsid w:val="00606814"/>
    <w:rsid w:val="006068E8"/>
    <w:rsid w:val="00606ADB"/>
    <w:rsid w:val="006072DE"/>
    <w:rsid w:val="006075F4"/>
    <w:rsid w:val="006078A8"/>
    <w:rsid w:val="00607BAD"/>
    <w:rsid w:val="00607EC7"/>
    <w:rsid w:val="0061048A"/>
    <w:rsid w:val="006104F8"/>
    <w:rsid w:val="00610AE7"/>
    <w:rsid w:val="00610BEE"/>
    <w:rsid w:val="00611178"/>
    <w:rsid w:val="0061148D"/>
    <w:rsid w:val="00611D01"/>
    <w:rsid w:val="006124B3"/>
    <w:rsid w:val="00612611"/>
    <w:rsid w:val="0061279A"/>
    <w:rsid w:val="00613009"/>
    <w:rsid w:val="006132EA"/>
    <w:rsid w:val="0061401C"/>
    <w:rsid w:val="0061420B"/>
    <w:rsid w:val="00614931"/>
    <w:rsid w:val="00614D33"/>
    <w:rsid w:val="0061537D"/>
    <w:rsid w:val="0061537F"/>
    <w:rsid w:val="00615DEA"/>
    <w:rsid w:val="00616A60"/>
    <w:rsid w:val="00616EE6"/>
    <w:rsid w:val="006171FB"/>
    <w:rsid w:val="00617A2A"/>
    <w:rsid w:val="006207F4"/>
    <w:rsid w:val="00620C67"/>
    <w:rsid w:val="00621646"/>
    <w:rsid w:val="00621803"/>
    <w:rsid w:val="006220F1"/>
    <w:rsid w:val="00623C68"/>
    <w:rsid w:val="00623E46"/>
    <w:rsid w:val="00624604"/>
    <w:rsid w:val="00624D2C"/>
    <w:rsid w:val="00624EF1"/>
    <w:rsid w:val="00625145"/>
    <w:rsid w:val="00627402"/>
    <w:rsid w:val="00630480"/>
    <w:rsid w:val="0063058E"/>
    <w:rsid w:val="006305F8"/>
    <w:rsid w:val="00631DA7"/>
    <w:rsid w:val="00632B9C"/>
    <w:rsid w:val="00632F18"/>
    <w:rsid w:val="006332D7"/>
    <w:rsid w:val="0063333D"/>
    <w:rsid w:val="00634225"/>
    <w:rsid w:val="00635003"/>
    <w:rsid w:val="006351CE"/>
    <w:rsid w:val="006352FD"/>
    <w:rsid w:val="00635B15"/>
    <w:rsid w:val="006362E1"/>
    <w:rsid w:val="006367DA"/>
    <w:rsid w:val="00636FAD"/>
    <w:rsid w:val="006370E1"/>
    <w:rsid w:val="006375B2"/>
    <w:rsid w:val="006375BB"/>
    <w:rsid w:val="006407FE"/>
    <w:rsid w:val="006409EE"/>
    <w:rsid w:val="00640BF7"/>
    <w:rsid w:val="00640C7D"/>
    <w:rsid w:val="00640E7E"/>
    <w:rsid w:val="00640FFF"/>
    <w:rsid w:val="00641761"/>
    <w:rsid w:val="006421D9"/>
    <w:rsid w:val="006424FE"/>
    <w:rsid w:val="006425FC"/>
    <w:rsid w:val="00642631"/>
    <w:rsid w:val="00642C3C"/>
    <w:rsid w:val="00642DF5"/>
    <w:rsid w:val="0064304A"/>
    <w:rsid w:val="0064329C"/>
    <w:rsid w:val="0064380B"/>
    <w:rsid w:val="00643A4F"/>
    <w:rsid w:val="00643FF5"/>
    <w:rsid w:val="006441FD"/>
    <w:rsid w:val="00644E5A"/>
    <w:rsid w:val="00644F2C"/>
    <w:rsid w:val="00645141"/>
    <w:rsid w:val="00645AEE"/>
    <w:rsid w:val="00646428"/>
    <w:rsid w:val="0064707F"/>
    <w:rsid w:val="006471E8"/>
    <w:rsid w:val="00647E90"/>
    <w:rsid w:val="00647FA3"/>
    <w:rsid w:val="006500F7"/>
    <w:rsid w:val="00650769"/>
    <w:rsid w:val="00650DF8"/>
    <w:rsid w:val="006516B7"/>
    <w:rsid w:val="006518E4"/>
    <w:rsid w:val="00651FB8"/>
    <w:rsid w:val="00652BA0"/>
    <w:rsid w:val="00652DF6"/>
    <w:rsid w:val="00652FCA"/>
    <w:rsid w:val="00653045"/>
    <w:rsid w:val="00653A25"/>
    <w:rsid w:val="00653D93"/>
    <w:rsid w:val="00653FDA"/>
    <w:rsid w:val="006541A0"/>
    <w:rsid w:val="00654E99"/>
    <w:rsid w:val="00655104"/>
    <w:rsid w:val="0065548F"/>
    <w:rsid w:val="0065558B"/>
    <w:rsid w:val="00655633"/>
    <w:rsid w:val="006559BB"/>
    <w:rsid w:val="00655A93"/>
    <w:rsid w:val="00655D93"/>
    <w:rsid w:val="00655E86"/>
    <w:rsid w:val="00656614"/>
    <w:rsid w:val="00656C4D"/>
    <w:rsid w:val="006577CD"/>
    <w:rsid w:val="00657CCC"/>
    <w:rsid w:val="00660162"/>
    <w:rsid w:val="0066036D"/>
    <w:rsid w:val="006604FA"/>
    <w:rsid w:val="00660879"/>
    <w:rsid w:val="00661639"/>
    <w:rsid w:val="0066174D"/>
    <w:rsid w:val="00661E36"/>
    <w:rsid w:val="00661F03"/>
    <w:rsid w:val="006631D3"/>
    <w:rsid w:val="00663D0F"/>
    <w:rsid w:val="00664525"/>
    <w:rsid w:val="0066465B"/>
    <w:rsid w:val="00664C81"/>
    <w:rsid w:val="0066521A"/>
    <w:rsid w:val="0066540C"/>
    <w:rsid w:val="00665EAE"/>
    <w:rsid w:val="006661EA"/>
    <w:rsid w:val="00666909"/>
    <w:rsid w:val="00666EBC"/>
    <w:rsid w:val="00667189"/>
    <w:rsid w:val="0066749E"/>
    <w:rsid w:val="00667CCB"/>
    <w:rsid w:val="00667EFD"/>
    <w:rsid w:val="00670475"/>
    <w:rsid w:val="00670B8C"/>
    <w:rsid w:val="00670C4A"/>
    <w:rsid w:val="00671F3E"/>
    <w:rsid w:val="00672482"/>
    <w:rsid w:val="00672A18"/>
    <w:rsid w:val="006735D0"/>
    <w:rsid w:val="006739E9"/>
    <w:rsid w:val="00674AF5"/>
    <w:rsid w:val="00674D52"/>
    <w:rsid w:val="00674F93"/>
    <w:rsid w:val="0067546F"/>
    <w:rsid w:val="00675A94"/>
    <w:rsid w:val="00676CE4"/>
    <w:rsid w:val="00676EC2"/>
    <w:rsid w:val="00676FA5"/>
    <w:rsid w:val="006771A4"/>
    <w:rsid w:val="006771AD"/>
    <w:rsid w:val="006774A8"/>
    <w:rsid w:val="00677572"/>
    <w:rsid w:val="00681229"/>
    <w:rsid w:val="0068185E"/>
    <w:rsid w:val="00681BE5"/>
    <w:rsid w:val="00681E30"/>
    <w:rsid w:val="0068379B"/>
    <w:rsid w:val="00683D98"/>
    <w:rsid w:val="00683D99"/>
    <w:rsid w:val="00684079"/>
    <w:rsid w:val="0068629B"/>
    <w:rsid w:val="00686C12"/>
    <w:rsid w:val="00686D75"/>
    <w:rsid w:val="0068736A"/>
    <w:rsid w:val="00687D17"/>
    <w:rsid w:val="00690024"/>
    <w:rsid w:val="0069017D"/>
    <w:rsid w:val="006903A4"/>
    <w:rsid w:val="00690883"/>
    <w:rsid w:val="00690CAA"/>
    <w:rsid w:val="00690E5A"/>
    <w:rsid w:val="00690EFB"/>
    <w:rsid w:val="006911F9"/>
    <w:rsid w:val="006912CB"/>
    <w:rsid w:val="0069137B"/>
    <w:rsid w:val="006913EC"/>
    <w:rsid w:val="006914B7"/>
    <w:rsid w:val="00691742"/>
    <w:rsid w:val="00691DEE"/>
    <w:rsid w:val="00692147"/>
    <w:rsid w:val="00692242"/>
    <w:rsid w:val="0069236E"/>
    <w:rsid w:val="00692704"/>
    <w:rsid w:val="00692E67"/>
    <w:rsid w:val="00693ACF"/>
    <w:rsid w:val="00693EE5"/>
    <w:rsid w:val="00693FBC"/>
    <w:rsid w:val="006944C5"/>
    <w:rsid w:val="00694A7E"/>
    <w:rsid w:val="00694B8D"/>
    <w:rsid w:val="0069561C"/>
    <w:rsid w:val="00695634"/>
    <w:rsid w:val="0069600D"/>
    <w:rsid w:val="00696143"/>
    <w:rsid w:val="006963AE"/>
    <w:rsid w:val="00696B07"/>
    <w:rsid w:val="00697053"/>
    <w:rsid w:val="006A066A"/>
    <w:rsid w:val="006A06CA"/>
    <w:rsid w:val="006A083E"/>
    <w:rsid w:val="006A0FFD"/>
    <w:rsid w:val="006A1170"/>
    <w:rsid w:val="006A14A3"/>
    <w:rsid w:val="006A159D"/>
    <w:rsid w:val="006A18BF"/>
    <w:rsid w:val="006A1F58"/>
    <w:rsid w:val="006A242E"/>
    <w:rsid w:val="006A26AB"/>
    <w:rsid w:val="006A298D"/>
    <w:rsid w:val="006A2F80"/>
    <w:rsid w:val="006A3FD6"/>
    <w:rsid w:val="006A4076"/>
    <w:rsid w:val="006A436F"/>
    <w:rsid w:val="006A4E5B"/>
    <w:rsid w:val="006A59D8"/>
    <w:rsid w:val="006A5A45"/>
    <w:rsid w:val="006A608E"/>
    <w:rsid w:val="006A6B7B"/>
    <w:rsid w:val="006A73D2"/>
    <w:rsid w:val="006A78F8"/>
    <w:rsid w:val="006A7991"/>
    <w:rsid w:val="006A7C26"/>
    <w:rsid w:val="006A7E27"/>
    <w:rsid w:val="006B010E"/>
    <w:rsid w:val="006B091F"/>
    <w:rsid w:val="006B0CAF"/>
    <w:rsid w:val="006B0ED0"/>
    <w:rsid w:val="006B0EED"/>
    <w:rsid w:val="006B147E"/>
    <w:rsid w:val="006B1DF6"/>
    <w:rsid w:val="006B233F"/>
    <w:rsid w:val="006B275E"/>
    <w:rsid w:val="006B28EA"/>
    <w:rsid w:val="006B2DA3"/>
    <w:rsid w:val="006B2FBB"/>
    <w:rsid w:val="006B378A"/>
    <w:rsid w:val="006B3BD5"/>
    <w:rsid w:val="006B4185"/>
    <w:rsid w:val="006B4224"/>
    <w:rsid w:val="006B4493"/>
    <w:rsid w:val="006B4B62"/>
    <w:rsid w:val="006B53DC"/>
    <w:rsid w:val="006B5423"/>
    <w:rsid w:val="006B5855"/>
    <w:rsid w:val="006B5AB2"/>
    <w:rsid w:val="006B5C67"/>
    <w:rsid w:val="006B6B5D"/>
    <w:rsid w:val="006B6C0D"/>
    <w:rsid w:val="006B7825"/>
    <w:rsid w:val="006B7D68"/>
    <w:rsid w:val="006C033F"/>
    <w:rsid w:val="006C1818"/>
    <w:rsid w:val="006C1F8B"/>
    <w:rsid w:val="006C2721"/>
    <w:rsid w:val="006C323A"/>
    <w:rsid w:val="006C3868"/>
    <w:rsid w:val="006C38FF"/>
    <w:rsid w:val="006C39EC"/>
    <w:rsid w:val="006C3E6E"/>
    <w:rsid w:val="006C3EEA"/>
    <w:rsid w:val="006C43A6"/>
    <w:rsid w:val="006C4A4A"/>
    <w:rsid w:val="006C53EB"/>
    <w:rsid w:val="006C5D29"/>
    <w:rsid w:val="006C650D"/>
    <w:rsid w:val="006C69A5"/>
    <w:rsid w:val="006C6A4D"/>
    <w:rsid w:val="006C6CF3"/>
    <w:rsid w:val="006C7740"/>
    <w:rsid w:val="006D0389"/>
    <w:rsid w:val="006D0848"/>
    <w:rsid w:val="006D0BA5"/>
    <w:rsid w:val="006D0C15"/>
    <w:rsid w:val="006D0D8B"/>
    <w:rsid w:val="006D0FBF"/>
    <w:rsid w:val="006D10DC"/>
    <w:rsid w:val="006D1586"/>
    <w:rsid w:val="006D19C1"/>
    <w:rsid w:val="006D2827"/>
    <w:rsid w:val="006D2848"/>
    <w:rsid w:val="006D2B19"/>
    <w:rsid w:val="006D2EC9"/>
    <w:rsid w:val="006D3A05"/>
    <w:rsid w:val="006D3B62"/>
    <w:rsid w:val="006D3FDF"/>
    <w:rsid w:val="006D4527"/>
    <w:rsid w:val="006D4B05"/>
    <w:rsid w:val="006D4EE5"/>
    <w:rsid w:val="006D4F86"/>
    <w:rsid w:val="006D5F98"/>
    <w:rsid w:val="006D6665"/>
    <w:rsid w:val="006D7098"/>
    <w:rsid w:val="006D740E"/>
    <w:rsid w:val="006D7C8A"/>
    <w:rsid w:val="006D7F72"/>
    <w:rsid w:val="006E00B7"/>
    <w:rsid w:val="006E0503"/>
    <w:rsid w:val="006E0CB5"/>
    <w:rsid w:val="006E0E5B"/>
    <w:rsid w:val="006E132F"/>
    <w:rsid w:val="006E2701"/>
    <w:rsid w:val="006E3023"/>
    <w:rsid w:val="006E3369"/>
    <w:rsid w:val="006E3D12"/>
    <w:rsid w:val="006E449C"/>
    <w:rsid w:val="006E4726"/>
    <w:rsid w:val="006E4E72"/>
    <w:rsid w:val="006E4FCD"/>
    <w:rsid w:val="006E50D0"/>
    <w:rsid w:val="006E5B0B"/>
    <w:rsid w:val="006E663E"/>
    <w:rsid w:val="006E6655"/>
    <w:rsid w:val="006E6EDF"/>
    <w:rsid w:val="006E7BA5"/>
    <w:rsid w:val="006F01E8"/>
    <w:rsid w:val="006F02D7"/>
    <w:rsid w:val="006F07FA"/>
    <w:rsid w:val="006F0EBB"/>
    <w:rsid w:val="006F1E96"/>
    <w:rsid w:val="006F2D24"/>
    <w:rsid w:val="006F37F7"/>
    <w:rsid w:val="006F38C3"/>
    <w:rsid w:val="006F3909"/>
    <w:rsid w:val="006F4036"/>
    <w:rsid w:val="006F428E"/>
    <w:rsid w:val="006F48E1"/>
    <w:rsid w:val="006F5160"/>
    <w:rsid w:val="006F5374"/>
    <w:rsid w:val="006F60DF"/>
    <w:rsid w:val="006F68C1"/>
    <w:rsid w:val="006F6CE2"/>
    <w:rsid w:val="006F6E10"/>
    <w:rsid w:val="007014F8"/>
    <w:rsid w:val="0070150D"/>
    <w:rsid w:val="007016D2"/>
    <w:rsid w:val="007018D8"/>
    <w:rsid w:val="007029E8"/>
    <w:rsid w:val="00703107"/>
    <w:rsid w:val="00703138"/>
    <w:rsid w:val="00703277"/>
    <w:rsid w:val="0070356D"/>
    <w:rsid w:val="00703981"/>
    <w:rsid w:val="00703D7E"/>
    <w:rsid w:val="00703DE6"/>
    <w:rsid w:val="007041A7"/>
    <w:rsid w:val="0070495F"/>
    <w:rsid w:val="00704B6E"/>
    <w:rsid w:val="00704F73"/>
    <w:rsid w:val="0070508D"/>
    <w:rsid w:val="0070542E"/>
    <w:rsid w:val="00706096"/>
    <w:rsid w:val="007060D4"/>
    <w:rsid w:val="0070624C"/>
    <w:rsid w:val="00706451"/>
    <w:rsid w:val="00707E0F"/>
    <w:rsid w:val="007100F9"/>
    <w:rsid w:val="0071068A"/>
    <w:rsid w:val="00710E19"/>
    <w:rsid w:val="00710E52"/>
    <w:rsid w:val="0071154B"/>
    <w:rsid w:val="007116B6"/>
    <w:rsid w:val="0071174F"/>
    <w:rsid w:val="0071196A"/>
    <w:rsid w:val="0071227C"/>
    <w:rsid w:val="007131CF"/>
    <w:rsid w:val="007132CD"/>
    <w:rsid w:val="007133C0"/>
    <w:rsid w:val="00713613"/>
    <w:rsid w:val="007137C6"/>
    <w:rsid w:val="007138FC"/>
    <w:rsid w:val="0071393D"/>
    <w:rsid w:val="00713E79"/>
    <w:rsid w:val="00714245"/>
    <w:rsid w:val="00715441"/>
    <w:rsid w:val="00715739"/>
    <w:rsid w:val="0071576C"/>
    <w:rsid w:val="00715C94"/>
    <w:rsid w:val="00715EA7"/>
    <w:rsid w:val="00716A09"/>
    <w:rsid w:val="007170DB"/>
    <w:rsid w:val="00717880"/>
    <w:rsid w:val="00717CA8"/>
    <w:rsid w:val="007205E7"/>
    <w:rsid w:val="007209C4"/>
    <w:rsid w:val="00721ACB"/>
    <w:rsid w:val="00721E9E"/>
    <w:rsid w:val="007227FE"/>
    <w:rsid w:val="007233C3"/>
    <w:rsid w:val="00723C95"/>
    <w:rsid w:val="007244E7"/>
    <w:rsid w:val="0072505F"/>
    <w:rsid w:val="00725B00"/>
    <w:rsid w:val="00725E54"/>
    <w:rsid w:val="0072680C"/>
    <w:rsid w:val="0072698B"/>
    <w:rsid w:val="00726A25"/>
    <w:rsid w:val="00726B3D"/>
    <w:rsid w:val="00726C64"/>
    <w:rsid w:val="007310B7"/>
    <w:rsid w:val="00731237"/>
    <w:rsid w:val="0073207E"/>
    <w:rsid w:val="00732664"/>
    <w:rsid w:val="00732BA7"/>
    <w:rsid w:val="007333EA"/>
    <w:rsid w:val="00733535"/>
    <w:rsid w:val="00733601"/>
    <w:rsid w:val="00733A57"/>
    <w:rsid w:val="00733F36"/>
    <w:rsid w:val="007340CE"/>
    <w:rsid w:val="00734781"/>
    <w:rsid w:val="007349FC"/>
    <w:rsid w:val="00734B6F"/>
    <w:rsid w:val="00735293"/>
    <w:rsid w:val="00735376"/>
    <w:rsid w:val="007363EA"/>
    <w:rsid w:val="00736E06"/>
    <w:rsid w:val="00736E37"/>
    <w:rsid w:val="00737286"/>
    <w:rsid w:val="007373DB"/>
    <w:rsid w:val="00737F27"/>
    <w:rsid w:val="00737FD3"/>
    <w:rsid w:val="007407DB"/>
    <w:rsid w:val="0074085F"/>
    <w:rsid w:val="00740BFC"/>
    <w:rsid w:val="00740F76"/>
    <w:rsid w:val="00741037"/>
    <w:rsid w:val="0074198F"/>
    <w:rsid w:val="007422B3"/>
    <w:rsid w:val="007424BF"/>
    <w:rsid w:val="007434BD"/>
    <w:rsid w:val="007435F1"/>
    <w:rsid w:val="00743DDD"/>
    <w:rsid w:val="00744625"/>
    <w:rsid w:val="007446BB"/>
    <w:rsid w:val="00745882"/>
    <w:rsid w:val="00745A04"/>
    <w:rsid w:val="00745A0F"/>
    <w:rsid w:val="00745DFD"/>
    <w:rsid w:val="00746197"/>
    <w:rsid w:val="0074689C"/>
    <w:rsid w:val="00746B3F"/>
    <w:rsid w:val="00747117"/>
    <w:rsid w:val="007479C2"/>
    <w:rsid w:val="00747B0D"/>
    <w:rsid w:val="007511BA"/>
    <w:rsid w:val="00751452"/>
    <w:rsid w:val="00751D06"/>
    <w:rsid w:val="00751D74"/>
    <w:rsid w:val="007521A5"/>
    <w:rsid w:val="00752243"/>
    <w:rsid w:val="007531BA"/>
    <w:rsid w:val="00753959"/>
    <w:rsid w:val="00753DD6"/>
    <w:rsid w:val="00754A4A"/>
    <w:rsid w:val="007567A8"/>
    <w:rsid w:val="00760D1E"/>
    <w:rsid w:val="00760F66"/>
    <w:rsid w:val="00761103"/>
    <w:rsid w:val="007611F8"/>
    <w:rsid w:val="00761200"/>
    <w:rsid w:val="007615F6"/>
    <w:rsid w:val="007618E2"/>
    <w:rsid w:val="00761931"/>
    <w:rsid w:val="00761BD1"/>
    <w:rsid w:val="007627BA"/>
    <w:rsid w:val="0076291E"/>
    <w:rsid w:val="00762D81"/>
    <w:rsid w:val="0076317B"/>
    <w:rsid w:val="007634C7"/>
    <w:rsid w:val="00763CB9"/>
    <w:rsid w:val="007643D5"/>
    <w:rsid w:val="00765366"/>
    <w:rsid w:val="00765914"/>
    <w:rsid w:val="0076614D"/>
    <w:rsid w:val="0076624C"/>
    <w:rsid w:val="0076627D"/>
    <w:rsid w:val="00766304"/>
    <w:rsid w:val="00767A28"/>
    <w:rsid w:val="00767DD2"/>
    <w:rsid w:val="0077082B"/>
    <w:rsid w:val="00770B12"/>
    <w:rsid w:val="00770E60"/>
    <w:rsid w:val="00771C8F"/>
    <w:rsid w:val="0077266E"/>
    <w:rsid w:val="0077292E"/>
    <w:rsid w:val="007737D8"/>
    <w:rsid w:val="0077391C"/>
    <w:rsid w:val="00773D24"/>
    <w:rsid w:val="00774576"/>
    <w:rsid w:val="00774C37"/>
    <w:rsid w:val="0077508A"/>
    <w:rsid w:val="00775567"/>
    <w:rsid w:val="00775E0D"/>
    <w:rsid w:val="00776343"/>
    <w:rsid w:val="00776416"/>
    <w:rsid w:val="00776C7B"/>
    <w:rsid w:val="00776CEF"/>
    <w:rsid w:val="00777173"/>
    <w:rsid w:val="0077790B"/>
    <w:rsid w:val="00777E7E"/>
    <w:rsid w:val="007804DD"/>
    <w:rsid w:val="0078095A"/>
    <w:rsid w:val="00780F3B"/>
    <w:rsid w:val="007816EE"/>
    <w:rsid w:val="00782071"/>
    <w:rsid w:val="00782946"/>
    <w:rsid w:val="00782AB1"/>
    <w:rsid w:val="00782ECD"/>
    <w:rsid w:val="0078363B"/>
    <w:rsid w:val="00783CCF"/>
    <w:rsid w:val="00783F5B"/>
    <w:rsid w:val="00784609"/>
    <w:rsid w:val="00784720"/>
    <w:rsid w:val="0078481D"/>
    <w:rsid w:val="007859FC"/>
    <w:rsid w:val="00785F4C"/>
    <w:rsid w:val="0078609C"/>
    <w:rsid w:val="00786355"/>
    <w:rsid w:val="00787370"/>
    <w:rsid w:val="007874AE"/>
    <w:rsid w:val="0078750B"/>
    <w:rsid w:val="00787F5E"/>
    <w:rsid w:val="0079024D"/>
    <w:rsid w:val="007911B8"/>
    <w:rsid w:val="00791DAE"/>
    <w:rsid w:val="007930E8"/>
    <w:rsid w:val="007935F5"/>
    <w:rsid w:val="00793D04"/>
    <w:rsid w:val="00793F28"/>
    <w:rsid w:val="00793FDB"/>
    <w:rsid w:val="00794252"/>
    <w:rsid w:val="007944D2"/>
    <w:rsid w:val="00794B19"/>
    <w:rsid w:val="00795B8D"/>
    <w:rsid w:val="00795EB9"/>
    <w:rsid w:val="00795F0E"/>
    <w:rsid w:val="007960A9"/>
    <w:rsid w:val="00797D8F"/>
    <w:rsid w:val="007A0C00"/>
    <w:rsid w:val="007A0E15"/>
    <w:rsid w:val="007A176E"/>
    <w:rsid w:val="007A19BF"/>
    <w:rsid w:val="007A2A69"/>
    <w:rsid w:val="007A2CF1"/>
    <w:rsid w:val="007A41B5"/>
    <w:rsid w:val="007A4486"/>
    <w:rsid w:val="007A4682"/>
    <w:rsid w:val="007A5879"/>
    <w:rsid w:val="007A58A8"/>
    <w:rsid w:val="007A5BDC"/>
    <w:rsid w:val="007A629D"/>
    <w:rsid w:val="007A6610"/>
    <w:rsid w:val="007A6DD3"/>
    <w:rsid w:val="007A6FF3"/>
    <w:rsid w:val="007A71DC"/>
    <w:rsid w:val="007A7A04"/>
    <w:rsid w:val="007B04FF"/>
    <w:rsid w:val="007B0976"/>
    <w:rsid w:val="007B0CAC"/>
    <w:rsid w:val="007B15F3"/>
    <w:rsid w:val="007B1701"/>
    <w:rsid w:val="007B17C0"/>
    <w:rsid w:val="007B1C32"/>
    <w:rsid w:val="007B1DBB"/>
    <w:rsid w:val="007B2319"/>
    <w:rsid w:val="007B2FBF"/>
    <w:rsid w:val="007B3E13"/>
    <w:rsid w:val="007B4046"/>
    <w:rsid w:val="007B4300"/>
    <w:rsid w:val="007B44CE"/>
    <w:rsid w:val="007B44F9"/>
    <w:rsid w:val="007B565C"/>
    <w:rsid w:val="007B595F"/>
    <w:rsid w:val="007B5D75"/>
    <w:rsid w:val="007B6388"/>
    <w:rsid w:val="007B6D5E"/>
    <w:rsid w:val="007B7115"/>
    <w:rsid w:val="007B736B"/>
    <w:rsid w:val="007C0090"/>
    <w:rsid w:val="007C0853"/>
    <w:rsid w:val="007C08D0"/>
    <w:rsid w:val="007C08FD"/>
    <w:rsid w:val="007C0C90"/>
    <w:rsid w:val="007C0E07"/>
    <w:rsid w:val="007C0E86"/>
    <w:rsid w:val="007C249E"/>
    <w:rsid w:val="007C26CF"/>
    <w:rsid w:val="007C271B"/>
    <w:rsid w:val="007C2C14"/>
    <w:rsid w:val="007C2D50"/>
    <w:rsid w:val="007C357D"/>
    <w:rsid w:val="007C3A55"/>
    <w:rsid w:val="007C4166"/>
    <w:rsid w:val="007C44E1"/>
    <w:rsid w:val="007C48DD"/>
    <w:rsid w:val="007C4A05"/>
    <w:rsid w:val="007C4D79"/>
    <w:rsid w:val="007C5711"/>
    <w:rsid w:val="007C57B9"/>
    <w:rsid w:val="007C6325"/>
    <w:rsid w:val="007C6C53"/>
    <w:rsid w:val="007C73A3"/>
    <w:rsid w:val="007C7975"/>
    <w:rsid w:val="007C7EF5"/>
    <w:rsid w:val="007D06AC"/>
    <w:rsid w:val="007D0741"/>
    <w:rsid w:val="007D0A53"/>
    <w:rsid w:val="007D0FFC"/>
    <w:rsid w:val="007D1013"/>
    <w:rsid w:val="007D19EC"/>
    <w:rsid w:val="007D2180"/>
    <w:rsid w:val="007D2608"/>
    <w:rsid w:val="007D30C3"/>
    <w:rsid w:val="007D35AC"/>
    <w:rsid w:val="007D36B1"/>
    <w:rsid w:val="007D36D7"/>
    <w:rsid w:val="007D3BA1"/>
    <w:rsid w:val="007D3EC8"/>
    <w:rsid w:val="007D40AC"/>
    <w:rsid w:val="007D4317"/>
    <w:rsid w:val="007D4C12"/>
    <w:rsid w:val="007D57E0"/>
    <w:rsid w:val="007D5962"/>
    <w:rsid w:val="007D63B2"/>
    <w:rsid w:val="007D651D"/>
    <w:rsid w:val="007D71B7"/>
    <w:rsid w:val="007D7C66"/>
    <w:rsid w:val="007D7CF3"/>
    <w:rsid w:val="007E0274"/>
    <w:rsid w:val="007E02A7"/>
    <w:rsid w:val="007E0415"/>
    <w:rsid w:val="007E0991"/>
    <w:rsid w:val="007E0B2C"/>
    <w:rsid w:val="007E107F"/>
    <w:rsid w:val="007E1C84"/>
    <w:rsid w:val="007E25ED"/>
    <w:rsid w:val="007E2B9B"/>
    <w:rsid w:val="007E2FD7"/>
    <w:rsid w:val="007E310B"/>
    <w:rsid w:val="007E38DA"/>
    <w:rsid w:val="007E3D65"/>
    <w:rsid w:val="007E3EE2"/>
    <w:rsid w:val="007E47E7"/>
    <w:rsid w:val="007E4A98"/>
    <w:rsid w:val="007E4EB6"/>
    <w:rsid w:val="007E5DD7"/>
    <w:rsid w:val="007E7139"/>
    <w:rsid w:val="007E7366"/>
    <w:rsid w:val="007E7EA1"/>
    <w:rsid w:val="007E7EA4"/>
    <w:rsid w:val="007F03CE"/>
    <w:rsid w:val="007F04D3"/>
    <w:rsid w:val="007F0DB7"/>
    <w:rsid w:val="007F0E95"/>
    <w:rsid w:val="007F137D"/>
    <w:rsid w:val="007F2D8D"/>
    <w:rsid w:val="007F2EBF"/>
    <w:rsid w:val="007F3044"/>
    <w:rsid w:val="007F3249"/>
    <w:rsid w:val="007F4657"/>
    <w:rsid w:val="007F49E6"/>
    <w:rsid w:val="007F5609"/>
    <w:rsid w:val="007F5625"/>
    <w:rsid w:val="007F568A"/>
    <w:rsid w:val="007F59F7"/>
    <w:rsid w:val="007F5D13"/>
    <w:rsid w:val="007F5E21"/>
    <w:rsid w:val="007F619D"/>
    <w:rsid w:val="007F6413"/>
    <w:rsid w:val="007F676E"/>
    <w:rsid w:val="007F6B11"/>
    <w:rsid w:val="007F6C91"/>
    <w:rsid w:val="007F6E2B"/>
    <w:rsid w:val="007F6F3C"/>
    <w:rsid w:val="007F7D12"/>
    <w:rsid w:val="007F7F02"/>
    <w:rsid w:val="00800258"/>
    <w:rsid w:val="00800562"/>
    <w:rsid w:val="00800C97"/>
    <w:rsid w:val="00800E69"/>
    <w:rsid w:val="008015BF"/>
    <w:rsid w:val="0080220F"/>
    <w:rsid w:val="00802735"/>
    <w:rsid w:val="008028C2"/>
    <w:rsid w:val="00802DDB"/>
    <w:rsid w:val="00803165"/>
    <w:rsid w:val="008037D8"/>
    <w:rsid w:val="00803B7E"/>
    <w:rsid w:val="00803DA6"/>
    <w:rsid w:val="008040D9"/>
    <w:rsid w:val="0080436E"/>
    <w:rsid w:val="00804937"/>
    <w:rsid w:val="00804E1E"/>
    <w:rsid w:val="00804E43"/>
    <w:rsid w:val="008050F5"/>
    <w:rsid w:val="00805112"/>
    <w:rsid w:val="0080512F"/>
    <w:rsid w:val="0080519C"/>
    <w:rsid w:val="00810BC2"/>
    <w:rsid w:val="00811683"/>
    <w:rsid w:val="00811AFF"/>
    <w:rsid w:val="00812373"/>
    <w:rsid w:val="00813F3A"/>
    <w:rsid w:val="008140E8"/>
    <w:rsid w:val="00814271"/>
    <w:rsid w:val="00814941"/>
    <w:rsid w:val="00814955"/>
    <w:rsid w:val="00814A65"/>
    <w:rsid w:val="00814BD9"/>
    <w:rsid w:val="008158AC"/>
    <w:rsid w:val="00816805"/>
    <w:rsid w:val="00816BE8"/>
    <w:rsid w:val="00816CD5"/>
    <w:rsid w:val="00816DBD"/>
    <w:rsid w:val="00816FE2"/>
    <w:rsid w:val="00817062"/>
    <w:rsid w:val="00817991"/>
    <w:rsid w:val="00817F58"/>
    <w:rsid w:val="008203C5"/>
    <w:rsid w:val="00820B84"/>
    <w:rsid w:val="0082199B"/>
    <w:rsid w:val="00821C2A"/>
    <w:rsid w:val="008227B7"/>
    <w:rsid w:val="008243A8"/>
    <w:rsid w:val="00824925"/>
    <w:rsid w:val="00824C8B"/>
    <w:rsid w:val="008252E8"/>
    <w:rsid w:val="00825BA8"/>
    <w:rsid w:val="00825C14"/>
    <w:rsid w:val="00825FD5"/>
    <w:rsid w:val="0082641D"/>
    <w:rsid w:val="008267CA"/>
    <w:rsid w:val="0082722B"/>
    <w:rsid w:val="00827C1B"/>
    <w:rsid w:val="0083016B"/>
    <w:rsid w:val="008301F1"/>
    <w:rsid w:val="00830C0E"/>
    <w:rsid w:val="008313E0"/>
    <w:rsid w:val="00831742"/>
    <w:rsid w:val="008317EC"/>
    <w:rsid w:val="0083195D"/>
    <w:rsid w:val="00831B7B"/>
    <w:rsid w:val="00831D90"/>
    <w:rsid w:val="008324F3"/>
    <w:rsid w:val="00832691"/>
    <w:rsid w:val="0083296B"/>
    <w:rsid w:val="00833547"/>
    <w:rsid w:val="00833852"/>
    <w:rsid w:val="00833AB9"/>
    <w:rsid w:val="00834820"/>
    <w:rsid w:val="00834C82"/>
    <w:rsid w:val="00834DB6"/>
    <w:rsid w:val="00834F93"/>
    <w:rsid w:val="008354DB"/>
    <w:rsid w:val="00840C4A"/>
    <w:rsid w:val="008411B9"/>
    <w:rsid w:val="0084122F"/>
    <w:rsid w:val="00841573"/>
    <w:rsid w:val="00841D08"/>
    <w:rsid w:val="00842D43"/>
    <w:rsid w:val="0084323E"/>
    <w:rsid w:val="0084375D"/>
    <w:rsid w:val="00843D50"/>
    <w:rsid w:val="0084464E"/>
    <w:rsid w:val="008458BF"/>
    <w:rsid w:val="00846262"/>
    <w:rsid w:val="00846370"/>
    <w:rsid w:val="00846DCD"/>
    <w:rsid w:val="00847665"/>
    <w:rsid w:val="00847BC5"/>
    <w:rsid w:val="00847F11"/>
    <w:rsid w:val="00850010"/>
    <w:rsid w:val="008503F4"/>
    <w:rsid w:val="008504A0"/>
    <w:rsid w:val="00850AC1"/>
    <w:rsid w:val="00850C2A"/>
    <w:rsid w:val="00850DFA"/>
    <w:rsid w:val="00851331"/>
    <w:rsid w:val="008516D1"/>
    <w:rsid w:val="00852003"/>
    <w:rsid w:val="0085212C"/>
    <w:rsid w:val="00852F9E"/>
    <w:rsid w:val="00854053"/>
    <w:rsid w:val="008543AC"/>
    <w:rsid w:val="008548B8"/>
    <w:rsid w:val="00854965"/>
    <w:rsid w:val="00854DF4"/>
    <w:rsid w:val="008554D1"/>
    <w:rsid w:val="008558E0"/>
    <w:rsid w:val="00857AF7"/>
    <w:rsid w:val="00860109"/>
    <w:rsid w:val="008601BD"/>
    <w:rsid w:val="00860359"/>
    <w:rsid w:val="00860700"/>
    <w:rsid w:val="00860DF2"/>
    <w:rsid w:val="00860E43"/>
    <w:rsid w:val="00860EE9"/>
    <w:rsid w:val="00861075"/>
    <w:rsid w:val="00861252"/>
    <w:rsid w:val="0086171A"/>
    <w:rsid w:val="00861B89"/>
    <w:rsid w:val="00861DB8"/>
    <w:rsid w:val="0086226C"/>
    <w:rsid w:val="00862C76"/>
    <w:rsid w:val="00863968"/>
    <w:rsid w:val="008644A4"/>
    <w:rsid w:val="00864A6C"/>
    <w:rsid w:val="00864BB1"/>
    <w:rsid w:val="00864DF7"/>
    <w:rsid w:val="00864FDB"/>
    <w:rsid w:val="00865278"/>
    <w:rsid w:val="008654F9"/>
    <w:rsid w:val="008657DA"/>
    <w:rsid w:val="008658C0"/>
    <w:rsid w:val="00866388"/>
    <w:rsid w:val="00866FE3"/>
    <w:rsid w:val="0086722D"/>
    <w:rsid w:val="00867D56"/>
    <w:rsid w:val="0087028A"/>
    <w:rsid w:val="00870BAA"/>
    <w:rsid w:val="00870D91"/>
    <w:rsid w:val="008716D1"/>
    <w:rsid w:val="008716ED"/>
    <w:rsid w:val="0087193F"/>
    <w:rsid w:val="008724E6"/>
    <w:rsid w:val="008728C8"/>
    <w:rsid w:val="00873205"/>
    <w:rsid w:val="008735E8"/>
    <w:rsid w:val="0087377E"/>
    <w:rsid w:val="008739AB"/>
    <w:rsid w:val="00874043"/>
    <w:rsid w:val="00874594"/>
    <w:rsid w:val="00874776"/>
    <w:rsid w:val="0087487C"/>
    <w:rsid w:val="00874A07"/>
    <w:rsid w:val="00874B75"/>
    <w:rsid w:val="00875007"/>
    <w:rsid w:val="008750DB"/>
    <w:rsid w:val="00875144"/>
    <w:rsid w:val="008751B4"/>
    <w:rsid w:val="0087527F"/>
    <w:rsid w:val="0087543F"/>
    <w:rsid w:val="008754B5"/>
    <w:rsid w:val="008758A8"/>
    <w:rsid w:val="00875AF3"/>
    <w:rsid w:val="008765E9"/>
    <w:rsid w:val="00876605"/>
    <w:rsid w:val="00876B13"/>
    <w:rsid w:val="00880017"/>
    <w:rsid w:val="00880305"/>
    <w:rsid w:val="00880315"/>
    <w:rsid w:val="0088031C"/>
    <w:rsid w:val="0088088A"/>
    <w:rsid w:val="00880A3F"/>
    <w:rsid w:val="00880EE2"/>
    <w:rsid w:val="00881318"/>
    <w:rsid w:val="00881732"/>
    <w:rsid w:val="008818A2"/>
    <w:rsid w:val="008820FB"/>
    <w:rsid w:val="0088213D"/>
    <w:rsid w:val="008821C6"/>
    <w:rsid w:val="0088243C"/>
    <w:rsid w:val="0088243D"/>
    <w:rsid w:val="0088251A"/>
    <w:rsid w:val="00882D28"/>
    <w:rsid w:val="00883A67"/>
    <w:rsid w:val="008848E9"/>
    <w:rsid w:val="00884FD8"/>
    <w:rsid w:val="00885244"/>
    <w:rsid w:val="008857C7"/>
    <w:rsid w:val="008858B3"/>
    <w:rsid w:val="008866CF"/>
    <w:rsid w:val="00886782"/>
    <w:rsid w:val="008869A1"/>
    <w:rsid w:val="00886B3F"/>
    <w:rsid w:val="0089015D"/>
    <w:rsid w:val="0089021A"/>
    <w:rsid w:val="0089022E"/>
    <w:rsid w:val="00890475"/>
    <w:rsid w:val="00890A7C"/>
    <w:rsid w:val="00890D11"/>
    <w:rsid w:val="008910EE"/>
    <w:rsid w:val="00891A26"/>
    <w:rsid w:val="008923F8"/>
    <w:rsid w:val="0089253F"/>
    <w:rsid w:val="008928F1"/>
    <w:rsid w:val="00892BBF"/>
    <w:rsid w:val="00892DB5"/>
    <w:rsid w:val="00892F62"/>
    <w:rsid w:val="0089389C"/>
    <w:rsid w:val="0089414C"/>
    <w:rsid w:val="008942BD"/>
    <w:rsid w:val="0089478A"/>
    <w:rsid w:val="0089480A"/>
    <w:rsid w:val="00894BEE"/>
    <w:rsid w:val="00894FE5"/>
    <w:rsid w:val="008954D2"/>
    <w:rsid w:val="00895658"/>
    <w:rsid w:val="008956DA"/>
    <w:rsid w:val="008959E5"/>
    <w:rsid w:val="00895BA9"/>
    <w:rsid w:val="00895D79"/>
    <w:rsid w:val="0089601B"/>
    <w:rsid w:val="0089655D"/>
    <w:rsid w:val="00896784"/>
    <w:rsid w:val="00897824"/>
    <w:rsid w:val="008979DB"/>
    <w:rsid w:val="00897BCB"/>
    <w:rsid w:val="00897C07"/>
    <w:rsid w:val="00897DBA"/>
    <w:rsid w:val="008A02FA"/>
    <w:rsid w:val="008A06A8"/>
    <w:rsid w:val="008A1AAC"/>
    <w:rsid w:val="008A1D3C"/>
    <w:rsid w:val="008A20CA"/>
    <w:rsid w:val="008A239B"/>
    <w:rsid w:val="008A2956"/>
    <w:rsid w:val="008A2EA1"/>
    <w:rsid w:val="008A2EF6"/>
    <w:rsid w:val="008A3480"/>
    <w:rsid w:val="008A425D"/>
    <w:rsid w:val="008A4B88"/>
    <w:rsid w:val="008A4F3C"/>
    <w:rsid w:val="008A51AD"/>
    <w:rsid w:val="008A53BA"/>
    <w:rsid w:val="008A551D"/>
    <w:rsid w:val="008A56BA"/>
    <w:rsid w:val="008A570A"/>
    <w:rsid w:val="008A58E4"/>
    <w:rsid w:val="008A58E7"/>
    <w:rsid w:val="008A5C1D"/>
    <w:rsid w:val="008A615A"/>
    <w:rsid w:val="008A650C"/>
    <w:rsid w:val="008A6A36"/>
    <w:rsid w:val="008A6CB9"/>
    <w:rsid w:val="008A6DC1"/>
    <w:rsid w:val="008A7100"/>
    <w:rsid w:val="008A7139"/>
    <w:rsid w:val="008A776D"/>
    <w:rsid w:val="008A7C74"/>
    <w:rsid w:val="008B0107"/>
    <w:rsid w:val="008B04C0"/>
    <w:rsid w:val="008B0A83"/>
    <w:rsid w:val="008B0E93"/>
    <w:rsid w:val="008B198D"/>
    <w:rsid w:val="008B29A4"/>
    <w:rsid w:val="008B2BB4"/>
    <w:rsid w:val="008B2C30"/>
    <w:rsid w:val="008B2D73"/>
    <w:rsid w:val="008B3AB6"/>
    <w:rsid w:val="008B3C2B"/>
    <w:rsid w:val="008B4679"/>
    <w:rsid w:val="008B4D00"/>
    <w:rsid w:val="008B4D13"/>
    <w:rsid w:val="008B4E78"/>
    <w:rsid w:val="008B4FE2"/>
    <w:rsid w:val="008B61A1"/>
    <w:rsid w:val="008B66EE"/>
    <w:rsid w:val="008B6793"/>
    <w:rsid w:val="008B6E62"/>
    <w:rsid w:val="008B6E87"/>
    <w:rsid w:val="008B728A"/>
    <w:rsid w:val="008B7342"/>
    <w:rsid w:val="008B75C2"/>
    <w:rsid w:val="008B770F"/>
    <w:rsid w:val="008B787A"/>
    <w:rsid w:val="008C0773"/>
    <w:rsid w:val="008C0A89"/>
    <w:rsid w:val="008C0E71"/>
    <w:rsid w:val="008C1852"/>
    <w:rsid w:val="008C27B4"/>
    <w:rsid w:val="008C2CFF"/>
    <w:rsid w:val="008C2E1E"/>
    <w:rsid w:val="008C2E22"/>
    <w:rsid w:val="008C2ED2"/>
    <w:rsid w:val="008C3D4D"/>
    <w:rsid w:val="008C4026"/>
    <w:rsid w:val="008C417E"/>
    <w:rsid w:val="008C5B51"/>
    <w:rsid w:val="008C5F0A"/>
    <w:rsid w:val="008C6105"/>
    <w:rsid w:val="008C6124"/>
    <w:rsid w:val="008C6334"/>
    <w:rsid w:val="008C66BD"/>
    <w:rsid w:val="008C6968"/>
    <w:rsid w:val="008C742A"/>
    <w:rsid w:val="008C74C7"/>
    <w:rsid w:val="008C7714"/>
    <w:rsid w:val="008C7F4F"/>
    <w:rsid w:val="008D00F3"/>
    <w:rsid w:val="008D0F27"/>
    <w:rsid w:val="008D15A2"/>
    <w:rsid w:val="008D18CD"/>
    <w:rsid w:val="008D1F86"/>
    <w:rsid w:val="008D20E0"/>
    <w:rsid w:val="008D2796"/>
    <w:rsid w:val="008D2B6E"/>
    <w:rsid w:val="008D335C"/>
    <w:rsid w:val="008D35B7"/>
    <w:rsid w:val="008D4007"/>
    <w:rsid w:val="008D436A"/>
    <w:rsid w:val="008D4C72"/>
    <w:rsid w:val="008D50BA"/>
    <w:rsid w:val="008D561B"/>
    <w:rsid w:val="008D582B"/>
    <w:rsid w:val="008D5999"/>
    <w:rsid w:val="008D5CF9"/>
    <w:rsid w:val="008D5D0A"/>
    <w:rsid w:val="008D6794"/>
    <w:rsid w:val="008D7F65"/>
    <w:rsid w:val="008E0178"/>
    <w:rsid w:val="008E02F8"/>
    <w:rsid w:val="008E1189"/>
    <w:rsid w:val="008E12AF"/>
    <w:rsid w:val="008E1592"/>
    <w:rsid w:val="008E211C"/>
    <w:rsid w:val="008E2BB3"/>
    <w:rsid w:val="008E2BC5"/>
    <w:rsid w:val="008E2C79"/>
    <w:rsid w:val="008E3176"/>
    <w:rsid w:val="008E3564"/>
    <w:rsid w:val="008E3A0B"/>
    <w:rsid w:val="008E3A90"/>
    <w:rsid w:val="008E3AAB"/>
    <w:rsid w:val="008E4043"/>
    <w:rsid w:val="008E4520"/>
    <w:rsid w:val="008E54E8"/>
    <w:rsid w:val="008E5740"/>
    <w:rsid w:val="008E5868"/>
    <w:rsid w:val="008E5DC8"/>
    <w:rsid w:val="008E6465"/>
    <w:rsid w:val="008E6C57"/>
    <w:rsid w:val="008E6E66"/>
    <w:rsid w:val="008E7082"/>
    <w:rsid w:val="008E72AF"/>
    <w:rsid w:val="008F0952"/>
    <w:rsid w:val="008F1154"/>
    <w:rsid w:val="008F1B84"/>
    <w:rsid w:val="008F1B9D"/>
    <w:rsid w:val="008F1DB6"/>
    <w:rsid w:val="008F1DDC"/>
    <w:rsid w:val="008F39C0"/>
    <w:rsid w:val="008F57CD"/>
    <w:rsid w:val="008F5960"/>
    <w:rsid w:val="008F5CD0"/>
    <w:rsid w:val="008F6100"/>
    <w:rsid w:val="008F629A"/>
    <w:rsid w:val="008F6A9B"/>
    <w:rsid w:val="008F6F03"/>
    <w:rsid w:val="008F6F9D"/>
    <w:rsid w:val="008F7603"/>
    <w:rsid w:val="008F769D"/>
    <w:rsid w:val="008F76DC"/>
    <w:rsid w:val="008F7A06"/>
    <w:rsid w:val="008F7D2F"/>
    <w:rsid w:val="009013C5"/>
    <w:rsid w:val="0090147B"/>
    <w:rsid w:val="00901649"/>
    <w:rsid w:val="00901CBA"/>
    <w:rsid w:val="00901DC6"/>
    <w:rsid w:val="009021DC"/>
    <w:rsid w:val="00903026"/>
    <w:rsid w:val="0090357B"/>
    <w:rsid w:val="00903832"/>
    <w:rsid w:val="009044BE"/>
    <w:rsid w:val="009048EB"/>
    <w:rsid w:val="00904913"/>
    <w:rsid w:val="00904D4B"/>
    <w:rsid w:val="009050B3"/>
    <w:rsid w:val="00905945"/>
    <w:rsid w:val="00905FEB"/>
    <w:rsid w:val="00906252"/>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C77"/>
    <w:rsid w:val="00911D1C"/>
    <w:rsid w:val="00912F38"/>
    <w:rsid w:val="00913C58"/>
    <w:rsid w:val="00913FCD"/>
    <w:rsid w:val="009140B4"/>
    <w:rsid w:val="00914174"/>
    <w:rsid w:val="0091428A"/>
    <w:rsid w:val="00914733"/>
    <w:rsid w:val="00914AA5"/>
    <w:rsid w:val="009162DD"/>
    <w:rsid w:val="009163E7"/>
    <w:rsid w:val="0091671A"/>
    <w:rsid w:val="009169F6"/>
    <w:rsid w:val="00916D5B"/>
    <w:rsid w:val="0091715C"/>
    <w:rsid w:val="0091719D"/>
    <w:rsid w:val="00917903"/>
    <w:rsid w:val="009200D3"/>
    <w:rsid w:val="00920997"/>
    <w:rsid w:val="00920B1E"/>
    <w:rsid w:val="00920DD5"/>
    <w:rsid w:val="00921161"/>
    <w:rsid w:val="00921E0A"/>
    <w:rsid w:val="00922492"/>
    <w:rsid w:val="009224EB"/>
    <w:rsid w:val="0092272F"/>
    <w:rsid w:val="00922BE2"/>
    <w:rsid w:val="00922EDE"/>
    <w:rsid w:val="0092337C"/>
    <w:rsid w:val="009237D9"/>
    <w:rsid w:val="009239D2"/>
    <w:rsid w:val="0092406C"/>
    <w:rsid w:val="00924096"/>
    <w:rsid w:val="009243BC"/>
    <w:rsid w:val="009244D5"/>
    <w:rsid w:val="009252F1"/>
    <w:rsid w:val="00925588"/>
    <w:rsid w:val="00925AF5"/>
    <w:rsid w:val="00925C76"/>
    <w:rsid w:val="00926268"/>
    <w:rsid w:val="009264A2"/>
    <w:rsid w:val="00926F3D"/>
    <w:rsid w:val="0092715D"/>
    <w:rsid w:val="00927206"/>
    <w:rsid w:val="00930632"/>
    <w:rsid w:val="009310BC"/>
    <w:rsid w:val="00931D3F"/>
    <w:rsid w:val="009324C4"/>
    <w:rsid w:val="00932671"/>
    <w:rsid w:val="00932A7A"/>
    <w:rsid w:val="009330BF"/>
    <w:rsid w:val="00933817"/>
    <w:rsid w:val="00933C07"/>
    <w:rsid w:val="00934172"/>
    <w:rsid w:val="00934510"/>
    <w:rsid w:val="0093476C"/>
    <w:rsid w:val="00935A1E"/>
    <w:rsid w:val="00935B7C"/>
    <w:rsid w:val="00935E3A"/>
    <w:rsid w:val="00936005"/>
    <w:rsid w:val="0093607C"/>
    <w:rsid w:val="00937A83"/>
    <w:rsid w:val="00937B51"/>
    <w:rsid w:val="00940008"/>
    <w:rsid w:val="00940FFA"/>
    <w:rsid w:val="00941503"/>
    <w:rsid w:val="00941543"/>
    <w:rsid w:val="0094187D"/>
    <w:rsid w:val="00942C90"/>
    <w:rsid w:val="00942F29"/>
    <w:rsid w:val="00942FB6"/>
    <w:rsid w:val="009434EB"/>
    <w:rsid w:val="00943EA6"/>
    <w:rsid w:val="00944400"/>
    <w:rsid w:val="009448F2"/>
    <w:rsid w:val="009448F3"/>
    <w:rsid w:val="0094524B"/>
    <w:rsid w:val="009456E3"/>
    <w:rsid w:val="00945759"/>
    <w:rsid w:val="009466E9"/>
    <w:rsid w:val="00946CB3"/>
    <w:rsid w:val="00946D20"/>
    <w:rsid w:val="00946E51"/>
    <w:rsid w:val="009473F4"/>
    <w:rsid w:val="0094767D"/>
    <w:rsid w:val="00950231"/>
    <w:rsid w:val="00950794"/>
    <w:rsid w:val="009507AA"/>
    <w:rsid w:val="009509EF"/>
    <w:rsid w:val="009515CA"/>
    <w:rsid w:val="00951691"/>
    <w:rsid w:val="00951A1F"/>
    <w:rsid w:val="00951FCE"/>
    <w:rsid w:val="009521CC"/>
    <w:rsid w:val="0095226C"/>
    <w:rsid w:val="00952C05"/>
    <w:rsid w:val="00952D52"/>
    <w:rsid w:val="009540B7"/>
    <w:rsid w:val="009543D0"/>
    <w:rsid w:val="00954DAE"/>
    <w:rsid w:val="00955410"/>
    <w:rsid w:val="0095555D"/>
    <w:rsid w:val="009558EE"/>
    <w:rsid w:val="009559D5"/>
    <w:rsid w:val="00955C17"/>
    <w:rsid w:val="00955D04"/>
    <w:rsid w:val="00955FFA"/>
    <w:rsid w:val="00956170"/>
    <w:rsid w:val="00956BA1"/>
    <w:rsid w:val="00956D42"/>
    <w:rsid w:val="00956F0F"/>
    <w:rsid w:val="0095727F"/>
    <w:rsid w:val="009572AF"/>
    <w:rsid w:val="00957E41"/>
    <w:rsid w:val="0096023A"/>
    <w:rsid w:val="009607AB"/>
    <w:rsid w:val="00960A9A"/>
    <w:rsid w:val="009615DB"/>
    <w:rsid w:val="00962683"/>
    <w:rsid w:val="00962E23"/>
    <w:rsid w:val="00963149"/>
    <w:rsid w:val="0096456D"/>
    <w:rsid w:val="0096487C"/>
    <w:rsid w:val="00964BC2"/>
    <w:rsid w:val="00964D4A"/>
    <w:rsid w:val="00964EAE"/>
    <w:rsid w:val="00965023"/>
    <w:rsid w:val="009650B7"/>
    <w:rsid w:val="0096515D"/>
    <w:rsid w:val="00965841"/>
    <w:rsid w:val="00965EE1"/>
    <w:rsid w:val="00966623"/>
    <w:rsid w:val="00966D23"/>
    <w:rsid w:val="009678DB"/>
    <w:rsid w:val="00970728"/>
    <w:rsid w:val="009707C9"/>
    <w:rsid w:val="0097082A"/>
    <w:rsid w:val="00971E0B"/>
    <w:rsid w:val="00972101"/>
    <w:rsid w:val="00972D22"/>
    <w:rsid w:val="00972FB5"/>
    <w:rsid w:val="009736FE"/>
    <w:rsid w:val="00973B96"/>
    <w:rsid w:val="00973BAA"/>
    <w:rsid w:val="00973E3C"/>
    <w:rsid w:val="00973FB8"/>
    <w:rsid w:val="00974763"/>
    <w:rsid w:val="009757CA"/>
    <w:rsid w:val="00975C9D"/>
    <w:rsid w:val="00976E76"/>
    <w:rsid w:val="00977A14"/>
    <w:rsid w:val="00977E9B"/>
    <w:rsid w:val="009807BF"/>
    <w:rsid w:val="009809CE"/>
    <w:rsid w:val="00980D42"/>
    <w:rsid w:val="0098131F"/>
    <w:rsid w:val="00981479"/>
    <w:rsid w:val="00981CF9"/>
    <w:rsid w:val="00982295"/>
    <w:rsid w:val="009829B3"/>
    <w:rsid w:val="00982C31"/>
    <w:rsid w:val="00982D45"/>
    <w:rsid w:val="00982FE4"/>
    <w:rsid w:val="00983165"/>
    <w:rsid w:val="00983343"/>
    <w:rsid w:val="009833C4"/>
    <w:rsid w:val="009834E0"/>
    <w:rsid w:val="009838FF"/>
    <w:rsid w:val="00984149"/>
    <w:rsid w:val="00984788"/>
    <w:rsid w:val="00984909"/>
    <w:rsid w:val="00984D7E"/>
    <w:rsid w:val="00984FF3"/>
    <w:rsid w:val="00984FF9"/>
    <w:rsid w:val="009850C5"/>
    <w:rsid w:val="00986326"/>
    <w:rsid w:val="00986849"/>
    <w:rsid w:val="00986BB7"/>
    <w:rsid w:val="00986D4B"/>
    <w:rsid w:val="00986E1E"/>
    <w:rsid w:val="00986F6D"/>
    <w:rsid w:val="0098727C"/>
    <w:rsid w:val="00987708"/>
    <w:rsid w:val="00987DDD"/>
    <w:rsid w:val="00987DF0"/>
    <w:rsid w:val="00987DF4"/>
    <w:rsid w:val="00987E2E"/>
    <w:rsid w:val="0099008B"/>
    <w:rsid w:val="00991202"/>
    <w:rsid w:val="0099177B"/>
    <w:rsid w:val="009917E0"/>
    <w:rsid w:val="0099367E"/>
    <w:rsid w:val="00993FE4"/>
    <w:rsid w:val="0099425E"/>
    <w:rsid w:val="0099482F"/>
    <w:rsid w:val="00994CDC"/>
    <w:rsid w:val="009969CD"/>
    <w:rsid w:val="00996CFC"/>
    <w:rsid w:val="0099770A"/>
    <w:rsid w:val="00997769"/>
    <w:rsid w:val="00997A2E"/>
    <w:rsid w:val="009A048E"/>
    <w:rsid w:val="009A119F"/>
    <w:rsid w:val="009A1609"/>
    <w:rsid w:val="009A1A7E"/>
    <w:rsid w:val="009A3480"/>
    <w:rsid w:val="009A3DB8"/>
    <w:rsid w:val="009A4356"/>
    <w:rsid w:val="009A43B3"/>
    <w:rsid w:val="009A464D"/>
    <w:rsid w:val="009A496F"/>
    <w:rsid w:val="009A4B78"/>
    <w:rsid w:val="009A4D73"/>
    <w:rsid w:val="009A4E41"/>
    <w:rsid w:val="009A5297"/>
    <w:rsid w:val="009A5D40"/>
    <w:rsid w:val="009A5E10"/>
    <w:rsid w:val="009A5E9E"/>
    <w:rsid w:val="009A6665"/>
    <w:rsid w:val="009A6785"/>
    <w:rsid w:val="009A743F"/>
    <w:rsid w:val="009A74F7"/>
    <w:rsid w:val="009A76B0"/>
    <w:rsid w:val="009A7FD7"/>
    <w:rsid w:val="009B00F2"/>
    <w:rsid w:val="009B0FB2"/>
    <w:rsid w:val="009B1113"/>
    <w:rsid w:val="009B1C34"/>
    <w:rsid w:val="009B1D22"/>
    <w:rsid w:val="009B1E86"/>
    <w:rsid w:val="009B235E"/>
    <w:rsid w:val="009B27C4"/>
    <w:rsid w:val="009B2D92"/>
    <w:rsid w:val="009B3250"/>
    <w:rsid w:val="009B3344"/>
    <w:rsid w:val="009B42D2"/>
    <w:rsid w:val="009B4A06"/>
    <w:rsid w:val="009B5E9C"/>
    <w:rsid w:val="009B609E"/>
    <w:rsid w:val="009B70C8"/>
    <w:rsid w:val="009B722F"/>
    <w:rsid w:val="009B737C"/>
    <w:rsid w:val="009B742E"/>
    <w:rsid w:val="009C0AC6"/>
    <w:rsid w:val="009C0E66"/>
    <w:rsid w:val="009C11B2"/>
    <w:rsid w:val="009C1456"/>
    <w:rsid w:val="009C164F"/>
    <w:rsid w:val="009C1C30"/>
    <w:rsid w:val="009C22DD"/>
    <w:rsid w:val="009C29D5"/>
    <w:rsid w:val="009C30A0"/>
    <w:rsid w:val="009C359E"/>
    <w:rsid w:val="009C37FE"/>
    <w:rsid w:val="009C4082"/>
    <w:rsid w:val="009C4806"/>
    <w:rsid w:val="009C4A38"/>
    <w:rsid w:val="009C4AD8"/>
    <w:rsid w:val="009C4D3D"/>
    <w:rsid w:val="009C55E2"/>
    <w:rsid w:val="009C5A4E"/>
    <w:rsid w:val="009C5EE5"/>
    <w:rsid w:val="009C61E3"/>
    <w:rsid w:val="009C6B56"/>
    <w:rsid w:val="009C6C93"/>
    <w:rsid w:val="009C76F9"/>
    <w:rsid w:val="009C7785"/>
    <w:rsid w:val="009C7DB8"/>
    <w:rsid w:val="009C7FF0"/>
    <w:rsid w:val="009D010D"/>
    <w:rsid w:val="009D0244"/>
    <w:rsid w:val="009D050F"/>
    <w:rsid w:val="009D0F71"/>
    <w:rsid w:val="009D111C"/>
    <w:rsid w:val="009D141A"/>
    <w:rsid w:val="009D17A0"/>
    <w:rsid w:val="009D1A08"/>
    <w:rsid w:val="009D1F7A"/>
    <w:rsid w:val="009D2165"/>
    <w:rsid w:val="009D2873"/>
    <w:rsid w:val="009D2942"/>
    <w:rsid w:val="009D3827"/>
    <w:rsid w:val="009D3A1A"/>
    <w:rsid w:val="009D426A"/>
    <w:rsid w:val="009D5BDB"/>
    <w:rsid w:val="009D5CCA"/>
    <w:rsid w:val="009D6B03"/>
    <w:rsid w:val="009D6B3D"/>
    <w:rsid w:val="009D7422"/>
    <w:rsid w:val="009D77A4"/>
    <w:rsid w:val="009D78E7"/>
    <w:rsid w:val="009E0505"/>
    <w:rsid w:val="009E0742"/>
    <w:rsid w:val="009E1291"/>
    <w:rsid w:val="009E12BC"/>
    <w:rsid w:val="009E224D"/>
    <w:rsid w:val="009E26D5"/>
    <w:rsid w:val="009E276C"/>
    <w:rsid w:val="009E2A07"/>
    <w:rsid w:val="009E3398"/>
    <w:rsid w:val="009E3577"/>
    <w:rsid w:val="009E3D2B"/>
    <w:rsid w:val="009E3E84"/>
    <w:rsid w:val="009E4097"/>
    <w:rsid w:val="009E4664"/>
    <w:rsid w:val="009E4D8E"/>
    <w:rsid w:val="009E4E90"/>
    <w:rsid w:val="009E4EB7"/>
    <w:rsid w:val="009E56C7"/>
    <w:rsid w:val="009E57C1"/>
    <w:rsid w:val="009E624A"/>
    <w:rsid w:val="009E6B32"/>
    <w:rsid w:val="009E70F3"/>
    <w:rsid w:val="009E7E98"/>
    <w:rsid w:val="009F00EE"/>
    <w:rsid w:val="009F0827"/>
    <w:rsid w:val="009F0BED"/>
    <w:rsid w:val="009F1673"/>
    <w:rsid w:val="009F1EA5"/>
    <w:rsid w:val="009F3255"/>
    <w:rsid w:val="009F34AA"/>
    <w:rsid w:val="009F3DCE"/>
    <w:rsid w:val="009F44FF"/>
    <w:rsid w:val="009F46E8"/>
    <w:rsid w:val="009F472D"/>
    <w:rsid w:val="009F4CF0"/>
    <w:rsid w:val="009F4E88"/>
    <w:rsid w:val="009F50D1"/>
    <w:rsid w:val="009F568A"/>
    <w:rsid w:val="009F573B"/>
    <w:rsid w:val="009F5918"/>
    <w:rsid w:val="009F596D"/>
    <w:rsid w:val="009F6A91"/>
    <w:rsid w:val="009F71A6"/>
    <w:rsid w:val="009F71AA"/>
    <w:rsid w:val="009F7326"/>
    <w:rsid w:val="009F754A"/>
    <w:rsid w:val="009F791F"/>
    <w:rsid w:val="009F7F86"/>
    <w:rsid w:val="00A0034D"/>
    <w:rsid w:val="00A00BFB"/>
    <w:rsid w:val="00A00DCF"/>
    <w:rsid w:val="00A0126C"/>
    <w:rsid w:val="00A012DA"/>
    <w:rsid w:val="00A0187E"/>
    <w:rsid w:val="00A02450"/>
    <w:rsid w:val="00A026F0"/>
    <w:rsid w:val="00A02F2D"/>
    <w:rsid w:val="00A02F61"/>
    <w:rsid w:val="00A03E0E"/>
    <w:rsid w:val="00A040D1"/>
    <w:rsid w:val="00A04424"/>
    <w:rsid w:val="00A04A0A"/>
    <w:rsid w:val="00A050A8"/>
    <w:rsid w:val="00A056A3"/>
    <w:rsid w:val="00A056AA"/>
    <w:rsid w:val="00A05B51"/>
    <w:rsid w:val="00A06286"/>
    <w:rsid w:val="00A06318"/>
    <w:rsid w:val="00A063BC"/>
    <w:rsid w:val="00A068E1"/>
    <w:rsid w:val="00A06A80"/>
    <w:rsid w:val="00A06D8A"/>
    <w:rsid w:val="00A0711F"/>
    <w:rsid w:val="00A07B0B"/>
    <w:rsid w:val="00A102A0"/>
    <w:rsid w:val="00A108C2"/>
    <w:rsid w:val="00A114FA"/>
    <w:rsid w:val="00A11AF3"/>
    <w:rsid w:val="00A12C09"/>
    <w:rsid w:val="00A13084"/>
    <w:rsid w:val="00A1327F"/>
    <w:rsid w:val="00A13817"/>
    <w:rsid w:val="00A138D3"/>
    <w:rsid w:val="00A13E0F"/>
    <w:rsid w:val="00A144B7"/>
    <w:rsid w:val="00A149B4"/>
    <w:rsid w:val="00A15F4F"/>
    <w:rsid w:val="00A160AB"/>
    <w:rsid w:val="00A160F0"/>
    <w:rsid w:val="00A16745"/>
    <w:rsid w:val="00A16747"/>
    <w:rsid w:val="00A17C1D"/>
    <w:rsid w:val="00A20013"/>
    <w:rsid w:val="00A20582"/>
    <w:rsid w:val="00A20C65"/>
    <w:rsid w:val="00A21767"/>
    <w:rsid w:val="00A21FD5"/>
    <w:rsid w:val="00A22751"/>
    <w:rsid w:val="00A22940"/>
    <w:rsid w:val="00A23102"/>
    <w:rsid w:val="00A23284"/>
    <w:rsid w:val="00A2343F"/>
    <w:rsid w:val="00A23505"/>
    <w:rsid w:val="00A23598"/>
    <w:rsid w:val="00A2428B"/>
    <w:rsid w:val="00A2476B"/>
    <w:rsid w:val="00A247E5"/>
    <w:rsid w:val="00A24D81"/>
    <w:rsid w:val="00A24EA5"/>
    <w:rsid w:val="00A25173"/>
    <w:rsid w:val="00A252F0"/>
    <w:rsid w:val="00A259F2"/>
    <w:rsid w:val="00A25FDB"/>
    <w:rsid w:val="00A26463"/>
    <w:rsid w:val="00A26608"/>
    <w:rsid w:val="00A2660E"/>
    <w:rsid w:val="00A26916"/>
    <w:rsid w:val="00A26B47"/>
    <w:rsid w:val="00A26FF1"/>
    <w:rsid w:val="00A27806"/>
    <w:rsid w:val="00A2791E"/>
    <w:rsid w:val="00A3068C"/>
    <w:rsid w:val="00A3127F"/>
    <w:rsid w:val="00A31922"/>
    <w:rsid w:val="00A31BCC"/>
    <w:rsid w:val="00A31C70"/>
    <w:rsid w:val="00A32382"/>
    <w:rsid w:val="00A325BB"/>
    <w:rsid w:val="00A3297A"/>
    <w:rsid w:val="00A32A58"/>
    <w:rsid w:val="00A32EEC"/>
    <w:rsid w:val="00A336C5"/>
    <w:rsid w:val="00A3510A"/>
    <w:rsid w:val="00A3515F"/>
    <w:rsid w:val="00A35751"/>
    <w:rsid w:val="00A35762"/>
    <w:rsid w:val="00A3577F"/>
    <w:rsid w:val="00A35BBC"/>
    <w:rsid w:val="00A35DAB"/>
    <w:rsid w:val="00A36724"/>
    <w:rsid w:val="00A367AF"/>
    <w:rsid w:val="00A36C13"/>
    <w:rsid w:val="00A377C2"/>
    <w:rsid w:val="00A37A31"/>
    <w:rsid w:val="00A40B1F"/>
    <w:rsid w:val="00A40B4D"/>
    <w:rsid w:val="00A411E2"/>
    <w:rsid w:val="00A41373"/>
    <w:rsid w:val="00A41638"/>
    <w:rsid w:val="00A41B15"/>
    <w:rsid w:val="00A4224E"/>
    <w:rsid w:val="00A4229F"/>
    <w:rsid w:val="00A428A9"/>
    <w:rsid w:val="00A42ACA"/>
    <w:rsid w:val="00A43AAB"/>
    <w:rsid w:val="00A43AFE"/>
    <w:rsid w:val="00A44AAD"/>
    <w:rsid w:val="00A44E8A"/>
    <w:rsid w:val="00A45280"/>
    <w:rsid w:val="00A45BF7"/>
    <w:rsid w:val="00A463B5"/>
    <w:rsid w:val="00A463BA"/>
    <w:rsid w:val="00A46675"/>
    <w:rsid w:val="00A471A3"/>
    <w:rsid w:val="00A47597"/>
    <w:rsid w:val="00A47E08"/>
    <w:rsid w:val="00A47E44"/>
    <w:rsid w:val="00A47F91"/>
    <w:rsid w:val="00A507D7"/>
    <w:rsid w:val="00A50A5C"/>
    <w:rsid w:val="00A50BE2"/>
    <w:rsid w:val="00A50CC6"/>
    <w:rsid w:val="00A50E40"/>
    <w:rsid w:val="00A51462"/>
    <w:rsid w:val="00A51946"/>
    <w:rsid w:val="00A51C1F"/>
    <w:rsid w:val="00A51FF7"/>
    <w:rsid w:val="00A52079"/>
    <w:rsid w:val="00A52143"/>
    <w:rsid w:val="00A521E9"/>
    <w:rsid w:val="00A5298E"/>
    <w:rsid w:val="00A52B3E"/>
    <w:rsid w:val="00A5313B"/>
    <w:rsid w:val="00A5320E"/>
    <w:rsid w:val="00A53F7B"/>
    <w:rsid w:val="00A54090"/>
    <w:rsid w:val="00A54282"/>
    <w:rsid w:val="00A549D3"/>
    <w:rsid w:val="00A54DF0"/>
    <w:rsid w:val="00A56E99"/>
    <w:rsid w:val="00A57212"/>
    <w:rsid w:val="00A57E98"/>
    <w:rsid w:val="00A60849"/>
    <w:rsid w:val="00A6105B"/>
    <w:rsid w:val="00A61355"/>
    <w:rsid w:val="00A61668"/>
    <w:rsid w:val="00A621D3"/>
    <w:rsid w:val="00A628F8"/>
    <w:rsid w:val="00A62B7A"/>
    <w:rsid w:val="00A632EA"/>
    <w:rsid w:val="00A634BE"/>
    <w:rsid w:val="00A63AD7"/>
    <w:rsid w:val="00A63BFD"/>
    <w:rsid w:val="00A6444A"/>
    <w:rsid w:val="00A6491F"/>
    <w:rsid w:val="00A64C72"/>
    <w:rsid w:val="00A64D1A"/>
    <w:rsid w:val="00A65320"/>
    <w:rsid w:val="00A65BA5"/>
    <w:rsid w:val="00A66288"/>
    <w:rsid w:val="00A66354"/>
    <w:rsid w:val="00A66E37"/>
    <w:rsid w:val="00A66ECF"/>
    <w:rsid w:val="00A67E38"/>
    <w:rsid w:val="00A703E4"/>
    <w:rsid w:val="00A70DC6"/>
    <w:rsid w:val="00A71080"/>
    <w:rsid w:val="00A713B3"/>
    <w:rsid w:val="00A71986"/>
    <w:rsid w:val="00A71E73"/>
    <w:rsid w:val="00A72740"/>
    <w:rsid w:val="00A73A64"/>
    <w:rsid w:val="00A742AD"/>
    <w:rsid w:val="00A746D7"/>
    <w:rsid w:val="00A74AB2"/>
    <w:rsid w:val="00A75A46"/>
    <w:rsid w:val="00A75B36"/>
    <w:rsid w:val="00A762F1"/>
    <w:rsid w:val="00A7663A"/>
    <w:rsid w:val="00A7696B"/>
    <w:rsid w:val="00A769D4"/>
    <w:rsid w:val="00A80268"/>
    <w:rsid w:val="00A804C7"/>
    <w:rsid w:val="00A80857"/>
    <w:rsid w:val="00A80A39"/>
    <w:rsid w:val="00A80DF0"/>
    <w:rsid w:val="00A80E64"/>
    <w:rsid w:val="00A81A16"/>
    <w:rsid w:val="00A823A7"/>
    <w:rsid w:val="00A825C8"/>
    <w:rsid w:val="00A82742"/>
    <w:rsid w:val="00A83984"/>
    <w:rsid w:val="00A83A1E"/>
    <w:rsid w:val="00A84198"/>
    <w:rsid w:val="00A841AB"/>
    <w:rsid w:val="00A84FFD"/>
    <w:rsid w:val="00A86104"/>
    <w:rsid w:val="00A8655A"/>
    <w:rsid w:val="00A87203"/>
    <w:rsid w:val="00A87744"/>
    <w:rsid w:val="00A87AE6"/>
    <w:rsid w:val="00A87B09"/>
    <w:rsid w:val="00A87C22"/>
    <w:rsid w:val="00A90590"/>
    <w:rsid w:val="00A90A97"/>
    <w:rsid w:val="00A90CB4"/>
    <w:rsid w:val="00A910DA"/>
    <w:rsid w:val="00A920E1"/>
    <w:rsid w:val="00A923D6"/>
    <w:rsid w:val="00A92B42"/>
    <w:rsid w:val="00A933AE"/>
    <w:rsid w:val="00A93863"/>
    <w:rsid w:val="00A9415E"/>
    <w:rsid w:val="00A9423F"/>
    <w:rsid w:val="00A94EBD"/>
    <w:rsid w:val="00A94FB4"/>
    <w:rsid w:val="00A9510D"/>
    <w:rsid w:val="00A956AC"/>
    <w:rsid w:val="00A95D2A"/>
    <w:rsid w:val="00A96214"/>
    <w:rsid w:val="00A967E8"/>
    <w:rsid w:val="00A97AF8"/>
    <w:rsid w:val="00A97D38"/>
    <w:rsid w:val="00A97F4B"/>
    <w:rsid w:val="00AA04C5"/>
    <w:rsid w:val="00AA1044"/>
    <w:rsid w:val="00AA10B1"/>
    <w:rsid w:val="00AA239B"/>
    <w:rsid w:val="00AA2803"/>
    <w:rsid w:val="00AA2BF2"/>
    <w:rsid w:val="00AA2D65"/>
    <w:rsid w:val="00AA2D68"/>
    <w:rsid w:val="00AA2D6F"/>
    <w:rsid w:val="00AA3987"/>
    <w:rsid w:val="00AA3B68"/>
    <w:rsid w:val="00AA3E79"/>
    <w:rsid w:val="00AA447C"/>
    <w:rsid w:val="00AA4FB4"/>
    <w:rsid w:val="00AA5C0B"/>
    <w:rsid w:val="00AA5E3B"/>
    <w:rsid w:val="00AA63AD"/>
    <w:rsid w:val="00AA65B4"/>
    <w:rsid w:val="00AA745E"/>
    <w:rsid w:val="00AA7E43"/>
    <w:rsid w:val="00AB0352"/>
    <w:rsid w:val="00AB047A"/>
    <w:rsid w:val="00AB04AB"/>
    <w:rsid w:val="00AB0733"/>
    <w:rsid w:val="00AB09D2"/>
    <w:rsid w:val="00AB0B64"/>
    <w:rsid w:val="00AB0C30"/>
    <w:rsid w:val="00AB176B"/>
    <w:rsid w:val="00AB37E6"/>
    <w:rsid w:val="00AB3DBA"/>
    <w:rsid w:val="00AB431C"/>
    <w:rsid w:val="00AB470E"/>
    <w:rsid w:val="00AB5A7E"/>
    <w:rsid w:val="00AB7538"/>
    <w:rsid w:val="00AB75A7"/>
    <w:rsid w:val="00AB77F3"/>
    <w:rsid w:val="00AC0AAD"/>
    <w:rsid w:val="00AC1231"/>
    <w:rsid w:val="00AC15D4"/>
    <w:rsid w:val="00AC1992"/>
    <w:rsid w:val="00AC1E14"/>
    <w:rsid w:val="00AC2CFA"/>
    <w:rsid w:val="00AC3263"/>
    <w:rsid w:val="00AC3E12"/>
    <w:rsid w:val="00AC406E"/>
    <w:rsid w:val="00AC430C"/>
    <w:rsid w:val="00AC4A6B"/>
    <w:rsid w:val="00AC5C19"/>
    <w:rsid w:val="00AC60F0"/>
    <w:rsid w:val="00AC6657"/>
    <w:rsid w:val="00AC6A24"/>
    <w:rsid w:val="00AC6D7A"/>
    <w:rsid w:val="00AC72B0"/>
    <w:rsid w:val="00AC7363"/>
    <w:rsid w:val="00AC7401"/>
    <w:rsid w:val="00AC7901"/>
    <w:rsid w:val="00AC79F3"/>
    <w:rsid w:val="00AC7FDD"/>
    <w:rsid w:val="00AD0949"/>
    <w:rsid w:val="00AD0F1D"/>
    <w:rsid w:val="00AD1179"/>
    <w:rsid w:val="00AD1359"/>
    <w:rsid w:val="00AD194B"/>
    <w:rsid w:val="00AD19F0"/>
    <w:rsid w:val="00AD1FCE"/>
    <w:rsid w:val="00AD26E1"/>
    <w:rsid w:val="00AD29CC"/>
    <w:rsid w:val="00AD3268"/>
    <w:rsid w:val="00AD3DE2"/>
    <w:rsid w:val="00AD4261"/>
    <w:rsid w:val="00AD46F5"/>
    <w:rsid w:val="00AD51A3"/>
    <w:rsid w:val="00AD598B"/>
    <w:rsid w:val="00AD7154"/>
    <w:rsid w:val="00AD7844"/>
    <w:rsid w:val="00AD797D"/>
    <w:rsid w:val="00AD7E02"/>
    <w:rsid w:val="00AE0483"/>
    <w:rsid w:val="00AE08DD"/>
    <w:rsid w:val="00AE13BD"/>
    <w:rsid w:val="00AE1681"/>
    <w:rsid w:val="00AE1AF9"/>
    <w:rsid w:val="00AE1E60"/>
    <w:rsid w:val="00AE2068"/>
    <w:rsid w:val="00AE2258"/>
    <w:rsid w:val="00AE277E"/>
    <w:rsid w:val="00AE2A36"/>
    <w:rsid w:val="00AE2BC6"/>
    <w:rsid w:val="00AE3251"/>
    <w:rsid w:val="00AE3FE0"/>
    <w:rsid w:val="00AE44A2"/>
    <w:rsid w:val="00AE4A71"/>
    <w:rsid w:val="00AE5058"/>
    <w:rsid w:val="00AE5170"/>
    <w:rsid w:val="00AE51CD"/>
    <w:rsid w:val="00AE5471"/>
    <w:rsid w:val="00AE54AA"/>
    <w:rsid w:val="00AE60E4"/>
    <w:rsid w:val="00AE6872"/>
    <w:rsid w:val="00AE6C58"/>
    <w:rsid w:val="00AE72C4"/>
    <w:rsid w:val="00AE7F05"/>
    <w:rsid w:val="00AE7F38"/>
    <w:rsid w:val="00AF054D"/>
    <w:rsid w:val="00AF0939"/>
    <w:rsid w:val="00AF0A7C"/>
    <w:rsid w:val="00AF1813"/>
    <w:rsid w:val="00AF24E7"/>
    <w:rsid w:val="00AF272B"/>
    <w:rsid w:val="00AF291B"/>
    <w:rsid w:val="00AF2DAA"/>
    <w:rsid w:val="00AF2EBD"/>
    <w:rsid w:val="00AF33AE"/>
    <w:rsid w:val="00AF409A"/>
    <w:rsid w:val="00AF44B1"/>
    <w:rsid w:val="00AF5800"/>
    <w:rsid w:val="00AF6986"/>
    <w:rsid w:val="00AF6D1B"/>
    <w:rsid w:val="00AF6E05"/>
    <w:rsid w:val="00AF73ED"/>
    <w:rsid w:val="00AF7D69"/>
    <w:rsid w:val="00AF7ED2"/>
    <w:rsid w:val="00B004D8"/>
    <w:rsid w:val="00B00830"/>
    <w:rsid w:val="00B00CC5"/>
    <w:rsid w:val="00B016D2"/>
    <w:rsid w:val="00B01E41"/>
    <w:rsid w:val="00B02091"/>
    <w:rsid w:val="00B02B3F"/>
    <w:rsid w:val="00B02B43"/>
    <w:rsid w:val="00B02BCB"/>
    <w:rsid w:val="00B03D36"/>
    <w:rsid w:val="00B03F3D"/>
    <w:rsid w:val="00B04384"/>
    <w:rsid w:val="00B04540"/>
    <w:rsid w:val="00B05116"/>
    <w:rsid w:val="00B051A7"/>
    <w:rsid w:val="00B05F1A"/>
    <w:rsid w:val="00B07B33"/>
    <w:rsid w:val="00B07FA2"/>
    <w:rsid w:val="00B100CF"/>
    <w:rsid w:val="00B10E82"/>
    <w:rsid w:val="00B111A6"/>
    <w:rsid w:val="00B115E5"/>
    <w:rsid w:val="00B118EE"/>
    <w:rsid w:val="00B11B03"/>
    <w:rsid w:val="00B11C5B"/>
    <w:rsid w:val="00B121CD"/>
    <w:rsid w:val="00B12343"/>
    <w:rsid w:val="00B12529"/>
    <w:rsid w:val="00B128C5"/>
    <w:rsid w:val="00B12B11"/>
    <w:rsid w:val="00B12C94"/>
    <w:rsid w:val="00B135AB"/>
    <w:rsid w:val="00B137BF"/>
    <w:rsid w:val="00B13A1B"/>
    <w:rsid w:val="00B13A59"/>
    <w:rsid w:val="00B142D9"/>
    <w:rsid w:val="00B14BC4"/>
    <w:rsid w:val="00B156C8"/>
    <w:rsid w:val="00B158A3"/>
    <w:rsid w:val="00B15B25"/>
    <w:rsid w:val="00B15EA0"/>
    <w:rsid w:val="00B17A4E"/>
    <w:rsid w:val="00B17B30"/>
    <w:rsid w:val="00B17C2F"/>
    <w:rsid w:val="00B21175"/>
    <w:rsid w:val="00B2153E"/>
    <w:rsid w:val="00B21FA7"/>
    <w:rsid w:val="00B22022"/>
    <w:rsid w:val="00B225E4"/>
    <w:rsid w:val="00B23F7A"/>
    <w:rsid w:val="00B240B1"/>
    <w:rsid w:val="00B24208"/>
    <w:rsid w:val="00B24728"/>
    <w:rsid w:val="00B248A9"/>
    <w:rsid w:val="00B24D28"/>
    <w:rsid w:val="00B24F1C"/>
    <w:rsid w:val="00B25890"/>
    <w:rsid w:val="00B25D76"/>
    <w:rsid w:val="00B27032"/>
    <w:rsid w:val="00B30003"/>
    <w:rsid w:val="00B31201"/>
    <w:rsid w:val="00B3167E"/>
    <w:rsid w:val="00B319F7"/>
    <w:rsid w:val="00B31B4B"/>
    <w:rsid w:val="00B31CD5"/>
    <w:rsid w:val="00B31E36"/>
    <w:rsid w:val="00B32E26"/>
    <w:rsid w:val="00B338B7"/>
    <w:rsid w:val="00B34061"/>
    <w:rsid w:val="00B3440A"/>
    <w:rsid w:val="00B34441"/>
    <w:rsid w:val="00B35534"/>
    <w:rsid w:val="00B35A87"/>
    <w:rsid w:val="00B35AB6"/>
    <w:rsid w:val="00B35AFD"/>
    <w:rsid w:val="00B35F9A"/>
    <w:rsid w:val="00B36236"/>
    <w:rsid w:val="00B3662E"/>
    <w:rsid w:val="00B366D2"/>
    <w:rsid w:val="00B366FA"/>
    <w:rsid w:val="00B36E86"/>
    <w:rsid w:val="00B379BA"/>
    <w:rsid w:val="00B410E1"/>
    <w:rsid w:val="00B412FD"/>
    <w:rsid w:val="00B422BE"/>
    <w:rsid w:val="00B4241D"/>
    <w:rsid w:val="00B426BB"/>
    <w:rsid w:val="00B42EB9"/>
    <w:rsid w:val="00B434E9"/>
    <w:rsid w:val="00B441FE"/>
    <w:rsid w:val="00B44821"/>
    <w:rsid w:val="00B44AD3"/>
    <w:rsid w:val="00B44BDC"/>
    <w:rsid w:val="00B45152"/>
    <w:rsid w:val="00B45E54"/>
    <w:rsid w:val="00B464E4"/>
    <w:rsid w:val="00B4689A"/>
    <w:rsid w:val="00B46D5F"/>
    <w:rsid w:val="00B46E7B"/>
    <w:rsid w:val="00B47DC5"/>
    <w:rsid w:val="00B505B3"/>
    <w:rsid w:val="00B50A74"/>
    <w:rsid w:val="00B520A0"/>
    <w:rsid w:val="00B5257E"/>
    <w:rsid w:val="00B525CE"/>
    <w:rsid w:val="00B52CFD"/>
    <w:rsid w:val="00B545A8"/>
    <w:rsid w:val="00B548E8"/>
    <w:rsid w:val="00B560F2"/>
    <w:rsid w:val="00B56527"/>
    <w:rsid w:val="00B56918"/>
    <w:rsid w:val="00B576DA"/>
    <w:rsid w:val="00B57710"/>
    <w:rsid w:val="00B601C9"/>
    <w:rsid w:val="00B60D04"/>
    <w:rsid w:val="00B61EE8"/>
    <w:rsid w:val="00B62D9B"/>
    <w:rsid w:val="00B633A3"/>
    <w:rsid w:val="00B63533"/>
    <w:rsid w:val="00B63BDB"/>
    <w:rsid w:val="00B64A0E"/>
    <w:rsid w:val="00B64CC6"/>
    <w:rsid w:val="00B64DDF"/>
    <w:rsid w:val="00B65728"/>
    <w:rsid w:val="00B6601E"/>
    <w:rsid w:val="00B663AA"/>
    <w:rsid w:val="00B66DD5"/>
    <w:rsid w:val="00B6715C"/>
    <w:rsid w:val="00B67B97"/>
    <w:rsid w:val="00B67F01"/>
    <w:rsid w:val="00B711AB"/>
    <w:rsid w:val="00B714E9"/>
    <w:rsid w:val="00B714F0"/>
    <w:rsid w:val="00B71A40"/>
    <w:rsid w:val="00B71BFA"/>
    <w:rsid w:val="00B71C8C"/>
    <w:rsid w:val="00B71CB4"/>
    <w:rsid w:val="00B71FD7"/>
    <w:rsid w:val="00B72003"/>
    <w:rsid w:val="00B7210F"/>
    <w:rsid w:val="00B725E7"/>
    <w:rsid w:val="00B72C07"/>
    <w:rsid w:val="00B72DF7"/>
    <w:rsid w:val="00B72F42"/>
    <w:rsid w:val="00B73E44"/>
    <w:rsid w:val="00B74290"/>
    <w:rsid w:val="00B74510"/>
    <w:rsid w:val="00B74822"/>
    <w:rsid w:val="00B74BD4"/>
    <w:rsid w:val="00B74BF7"/>
    <w:rsid w:val="00B76185"/>
    <w:rsid w:val="00B7676C"/>
    <w:rsid w:val="00B76BCD"/>
    <w:rsid w:val="00B76FBC"/>
    <w:rsid w:val="00B7782B"/>
    <w:rsid w:val="00B779E6"/>
    <w:rsid w:val="00B804E2"/>
    <w:rsid w:val="00B811B2"/>
    <w:rsid w:val="00B82024"/>
    <w:rsid w:val="00B8276E"/>
    <w:rsid w:val="00B83997"/>
    <w:rsid w:val="00B83A62"/>
    <w:rsid w:val="00B83B59"/>
    <w:rsid w:val="00B84252"/>
    <w:rsid w:val="00B84677"/>
    <w:rsid w:val="00B8468F"/>
    <w:rsid w:val="00B84FC6"/>
    <w:rsid w:val="00B857F5"/>
    <w:rsid w:val="00B85A56"/>
    <w:rsid w:val="00B85B2C"/>
    <w:rsid w:val="00B86D6C"/>
    <w:rsid w:val="00B86F47"/>
    <w:rsid w:val="00B874B4"/>
    <w:rsid w:val="00B875E9"/>
    <w:rsid w:val="00B8787A"/>
    <w:rsid w:val="00B87887"/>
    <w:rsid w:val="00B90123"/>
    <w:rsid w:val="00B90196"/>
    <w:rsid w:val="00B90FBE"/>
    <w:rsid w:val="00B911C1"/>
    <w:rsid w:val="00B92008"/>
    <w:rsid w:val="00B922C3"/>
    <w:rsid w:val="00B9272E"/>
    <w:rsid w:val="00B927A7"/>
    <w:rsid w:val="00B92B9E"/>
    <w:rsid w:val="00B93315"/>
    <w:rsid w:val="00B93519"/>
    <w:rsid w:val="00B9372A"/>
    <w:rsid w:val="00B93FD0"/>
    <w:rsid w:val="00B9425C"/>
    <w:rsid w:val="00B94AAF"/>
    <w:rsid w:val="00B94DB1"/>
    <w:rsid w:val="00B953FF"/>
    <w:rsid w:val="00B9622D"/>
    <w:rsid w:val="00B96263"/>
    <w:rsid w:val="00B968A5"/>
    <w:rsid w:val="00B972CD"/>
    <w:rsid w:val="00B9769B"/>
    <w:rsid w:val="00B97D02"/>
    <w:rsid w:val="00BA0304"/>
    <w:rsid w:val="00BA0557"/>
    <w:rsid w:val="00BA2A34"/>
    <w:rsid w:val="00BA3038"/>
    <w:rsid w:val="00BA370A"/>
    <w:rsid w:val="00BA48BC"/>
    <w:rsid w:val="00BA4A29"/>
    <w:rsid w:val="00BA4BE7"/>
    <w:rsid w:val="00BA5F20"/>
    <w:rsid w:val="00BA68D9"/>
    <w:rsid w:val="00BA7172"/>
    <w:rsid w:val="00BA7B01"/>
    <w:rsid w:val="00BB02D7"/>
    <w:rsid w:val="00BB0D9F"/>
    <w:rsid w:val="00BB0DEE"/>
    <w:rsid w:val="00BB1031"/>
    <w:rsid w:val="00BB1B33"/>
    <w:rsid w:val="00BB2480"/>
    <w:rsid w:val="00BB2C4E"/>
    <w:rsid w:val="00BB2E29"/>
    <w:rsid w:val="00BB2F74"/>
    <w:rsid w:val="00BB3206"/>
    <w:rsid w:val="00BB32C2"/>
    <w:rsid w:val="00BB3B0D"/>
    <w:rsid w:val="00BB524C"/>
    <w:rsid w:val="00BB5DAB"/>
    <w:rsid w:val="00BB6195"/>
    <w:rsid w:val="00BB61A3"/>
    <w:rsid w:val="00BB707E"/>
    <w:rsid w:val="00BB7568"/>
    <w:rsid w:val="00BB7F82"/>
    <w:rsid w:val="00BC007C"/>
    <w:rsid w:val="00BC0AB2"/>
    <w:rsid w:val="00BC1308"/>
    <w:rsid w:val="00BC1BF4"/>
    <w:rsid w:val="00BC2600"/>
    <w:rsid w:val="00BC2F24"/>
    <w:rsid w:val="00BC33BE"/>
    <w:rsid w:val="00BC3A47"/>
    <w:rsid w:val="00BC3EEB"/>
    <w:rsid w:val="00BC4780"/>
    <w:rsid w:val="00BC4DD7"/>
    <w:rsid w:val="00BC4F46"/>
    <w:rsid w:val="00BC52C8"/>
    <w:rsid w:val="00BC5485"/>
    <w:rsid w:val="00BC549C"/>
    <w:rsid w:val="00BC570E"/>
    <w:rsid w:val="00BC5A6C"/>
    <w:rsid w:val="00BC5AF6"/>
    <w:rsid w:val="00BC5B4B"/>
    <w:rsid w:val="00BC5EDB"/>
    <w:rsid w:val="00BC69A2"/>
    <w:rsid w:val="00BC6ED6"/>
    <w:rsid w:val="00BC6F03"/>
    <w:rsid w:val="00BC6FA1"/>
    <w:rsid w:val="00BD024F"/>
    <w:rsid w:val="00BD0570"/>
    <w:rsid w:val="00BD0853"/>
    <w:rsid w:val="00BD112D"/>
    <w:rsid w:val="00BD214E"/>
    <w:rsid w:val="00BD22F7"/>
    <w:rsid w:val="00BD2395"/>
    <w:rsid w:val="00BD25B8"/>
    <w:rsid w:val="00BD2842"/>
    <w:rsid w:val="00BD2892"/>
    <w:rsid w:val="00BD3120"/>
    <w:rsid w:val="00BD3354"/>
    <w:rsid w:val="00BD368C"/>
    <w:rsid w:val="00BD384E"/>
    <w:rsid w:val="00BD3E76"/>
    <w:rsid w:val="00BD3EE2"/>
    <w:rsid w:val="00BD3FCF"/>
    <w:rsid w:val="00BD42D2"/>
    <w:rsid w:val="00BD47D7"/>
    <w:rsid w:val="00BD4EFB"/>
    <w:rsid w:val="00BD5076"/>
    <w:rsid w:val="00BD5551"/>
    <w:rsid w:val="00BD5581"/>
    <w:rsid w:val="00BD5AF1"/>
    <w:rsid w:val="00BD6D43"/>
    <w:rsid w:val="00BD7090"/>
    <w:rsid w:val="00BD7490"/>
    <w:rsid w:val="00BD767F"/>
    <w:rsid w:val="00BE09C3"/>
    <w:rsid w:val="00BE0C27"/>
    <w:rsid w:val="00BE15BB"/>
    <w:rsid w:val="00BE198F"/>
    <w:rsid w:val="00BE1A78"/>
    <w:rsid w:val="00BE3864"/>
    <w:rsid w:val="00BE473E"/>
    <w:rsid w:val="00BE5135"/>
    <w:rsid w:val="00BE5964"/>
    <w:rsid w:val="00BE5F2B"/>
    <w:rsid w:val="00BE660B"/>
    <w:rsid w:val="00BE6AFE"/>
    <w:rsid w:val="00BE6BBE"/>
    <w:rsid w:val="00BE6FDA"/>
    <w:rsid w:val="00BE7021"/>
    <w:rsid w:val="00BE7300"/>
    <w:rsid w:val="00BE784F"/>
    <w:rsid w:val="00BF0238"/>
    <w:rsid w:val="00BF0717"/>
    <w:rsid w:val="00BF071D"/>
    <w:rsid w:val="00BF1750"/>
    <w:rsid w:val="00BF178E"/>
    <w:rsid w:val="00BF189F"/>
    <w:rsid w:val="00BF1B44"/>
    <w:rsid w:val="00BF1F01"/>
    <w:rsid w:val="00BF21FF"/>
    <w:rsid w:val="00BF23CC"/>
    <w:rsid w:val="00BF243F"/>
    <w:rsid w:val="00BF284E"/>
    <w:rsid w:val="00BF2F93"/>
    <w:rsid w:val="00BF3ACF"/>
    <w:rsid w:val="00BF3FB6"/>
    <w:rsid w:val="00BF4C2B"/>
    <w:rsid w:val="00BF507A"/>
    <w:rsid w:val="00BF53F1"/>
    <w:rsid w:val="00BF5717"/>
    <w:rsid w:val="00BF5B9D"/>
    <w:rsid w:val="00BF5CD8"/>
    <w:rsid w:val="00BF5FA3"/>
    <w:rsid w:val="00BF62F2"/>
    <w:rsid w:val="00BF63A5"/>
    <w:rsid w:val="00BF72A7"/>
    <w:rsid w:val="00BF7558"/>
    <w:rsid w:val="00C0111E"/>
    <w:rsid w:val="00C01A02"/>
    <w:rsid w:val="00C02676"/>
    <w:rsid w:val="00C029AB"/>
    <w:rsid w:val="00C03BD5"/>
    <w:rsid w:val="00C03C8B"/>
    <w:rsid w:val="00C03F3C"/>
    <w:rsid w:val="00C049BE"/>
    <w:rsid w:val="00C04A71"/>
    <w:rsid w:val="00C04DF0"/>
    <w:rsid w:val="00C05A4C"/>
    <w:rsid w:val="00C05A67"/>
    <w:rsid w:val="00C073E0"/>
    <w:rsid w:val="00C1001D"/>
    <w:rsid w:val="00C10B5A"/>
    <w:rsid w:val="00C11113"/>
    <w:rsid w:val="00C11687"/>
    <w:rsid w:val="00C11E28"/>
    <w:rsid w:val="00C1225B"/>
    <w:rsid w:val="00C122F9"/>
    <w:rsid w:val="00C124C3"/>
    <w:rsid w:val="00C1253A"/>
    <w:rsid w:val="00C128C9"/>
    <w:rsid w:val="00C12CF3"/>
    <w:rsid w:val="00C12F88"/>
    <w:rsid w:val="00C131A8"/>
    <w:rsid w:val="00C1322D"/>
    <w:rsid w:val="00C135A3"/>
    <w:rsid w:val="00C1477A"/>
    <w:rsid w:val="00C14A62"/>
    <w:rsid w:val="00C158EB"/>
    <w:rsid w:val="00C159B1"/>
    <w:rsid w:val="00C161F5"/>
    <w:rsid w:val="00C16C92"/>
    <w:rsid w:val="00C1706B"/>
    <w:rsid w:val="00C17648"/>
    <w:rsid w:val="00C17DB7"/>
    <w:rsid w:val="00C17E48"/>
    <w:rsid w:val="00C17FF5"/>
    <w:rsid w:val="00C201E7"/>
    <w:rsid w:val="00C20AA2"/>
    <w:rsid w:val="00C20B91"/>
    <w:rsid w:val="00C20F78"/>
    <w:rsid w:val="00C21155"/>
    <w:rsid w:val="00C21180"/>
    <w:rsid w:val="00C2146C"/>
    <w:rsid w:val="00C214D7"/>
    <w:rsid w:val="00C21561"/>
    <w:rsid w:val="00C217EE"/>
    <w:rsid w:val="00C21CBF"/>
    <w:rsid w:val="00C22784"/>
    <w:rsid w:val="00C227D6"/>
    <w:rsid w:val="00C2395D"/>
    <w:rsid w:val="00C23A4C"/>
    <w:rsid w:val="00C2419D"/>
    <w:rsid w:val="00C243A4"/>
    <w:rsid w:val="00C24416"/>
    <w:rsid w:val="00C248DB"/>
    <w:rsid w:val="00C26170"/>
    <w:rsid w:val="00C26B5A"/>
    <w:rsid w:val="00C26D52"/>
    <w:rsid w:val="00C277DA"/>
    <w:rsid w:val="00C303E4"/>
    <w:rsid w:val="00C30775"/>
    <w:rsid w:val="00C30B8D"/>
    <w:rsid w:val="00C310BA"/>
    <w:rsid w:val="00C3134E"/>
    <w:rsid w:val="00C315D8"/>
    <w:rsid w:val="00C31C4A"/>
    <w:rsid w:val="00C31D2D"/>
    <w:rsid w:val="00C32639"/>
    <w:rsid w:val="00C32AD2"/>
    <w:rsid w:val="00C34193"/>
    <w:rsid w:val="00C347FD"/>
    <w:rsid w:val="00C34DAE"/>
    <w:rsid w:val="00C34E1E"/>
    <w:rsid w:val="00C34E5A"/>
    <w:rsid w:val="00C35A84"/>
    <w:rsid w:val="00C36219"/>
    <w:rsid w:val="00C3698E"/>
    <w:rsid w:val="00C36CCA"/>
    <w:rsid w:val="00C36E1C"/>
    <w:rsid w:val="00C36F42"/>
    <w:rsid w:val="00C3718A"/>
    <w:rsid w:val="00C377B1"/>
    <w:rsid w:val="00C379C5"/>
    <w:rsid w:val="00C37E84"/>
    <w:rsid w:val="00C37EEE"/>
    <w:rsid w:val="00C40453"/>
    <w:rsid w:val="00C40E71"/>
    <w:rsid w:val="00C41879"/>
    <w:rsid w:val="00C41A7C"/>
    <w:rsid w:val="00C42CEF"/>
    <w:rsid w:val="00C42D55"/>
    <w:rsid w:val="00C43080"/>
    <w:rsid w:val="00C4370E"/>
    <w:rsid w:val="00C43823"/>
    <w:rsid w:val="00C4384B"/>
    <w:rsid w:val="00C4393C"/>
    <w:rsid w:val="00C44068"/>
    <w:rsid w:val="00C442AE"/>
    <w:rsid w:val="00C4518B"/>
    <w:rsid w:val="00C45780"/>
    <w:rsid w:val="00C458D6"/>
    <w:rsid w:val="00C46268"/>
    <w:rsid w:val="00C4655A"/>
    <w:rsid w:val="00C466BF"/>
    <w:rsid w:val="00C47385"/>
    <w:rsid w:val="00C47555"/>
    <w:rsid w:val="00C476AC"/>
    <w:rsid w:val="00C47E67"/>
    <w:rsid w:val="00C47FD9"/>
    <w:rsid w:val="00C50387"/>
    <w:rsid w:val="00C50C1A"/>
    <w:rsid w:val="00C51508"/>
    <w:rsid w:val="00C51D73"/>
    <w:rsid w:val="00C51DEB"/>
    <w:rsid w:val="00C52A05"/>
    <w:rsid w:val="00C52E97"/>
    <w:rsid w:val="00C52EAF"/>
    <w:rsid w:val="00C53189"/>
    <w:rsid w:val="00C534E5"/>
    <w:rsid w:val="00C534F4"/>
    <w:rsid w:val="00C5375B"/>
    <w:rsid w:val="00C53B15"/>
    <w:rsid w:val="00C53DA9"/>
    <w:rsid w:val="00C53EF7"/>
    <w:rsid w:val="00C54280"/>
    <w:rsid w:val="00C54929"/>
    <w:rsid w:val="00C556B1"/>
    <w:rsid w:val="00C55A05"/>
    <w:rsid w:val="00C55A12"/>
    <w:rsid w:val="00C56101"/>
    <w:rsid w:val="00C565F2"/>
    <w:rsid w:val="00C56C45"/>
    <w:rsid w:val="00C573CC"/>
    <w:rsid w:val="00C57B81"/>
    <w:rsid w:val="00C57FB9"/>
    <w:rsid w:val="00C60145"/>
    <w:rsid w:val="00C6077B"/>
    <w:rsid w:val="00C60950"/>
    <w:rsid w:val="00C60DD1"/>
    <w:rsid w:val="00C61565"/>
    <w:rsid w:val="00C61574"/>
    <w:rsid w:val="00C615B4"/>
    <w:rsid w:val="00C61765"/>
    <w:rsid w:val="00C61A90"/>
    <w:rsid w:val="00C6211D"/>
    <w:rsid w:val="00C62B32"/>
    <w:rsid w:val="00C63DED"/>
    <w:rsid w:val="00C63E88"/>
    <w:rsid w:val="00C64F97"/>
    <w:rsid w:val="00C65585"/>
    <w:rsid w:val="00C656EB"/>
    <w:rsid w:val="00C65C5A"/>
    <w:rsid w:val="00C65D7B"/>
    <w:rsid w:val="00C65DF4"/>
    <w:rsid w:val="00C6762C"/>
    <w:rsid w:val="00C67B49"/>
    <w:rsid w:val="00C70942"/>
    <w:rsid w:val="00C711F5"/>
    <w:rsid w:val="00C713A1"/>
    <w:rsid w:val="00C71828"/>
    <w:rsid w:val="00C72105"/>
    <w:rsid w:val="00C72BCE"/>
    <w:rsid w:val="00C74954"/>
    <w:rsid w:val="00C76028"/>
    <w:rsid w:val="00C76184"/>
    <w:rsid w:val="00C7673D"/>
    <w:rsid w:val="00C76A80"/>
    <w:rsid w:val="00C76C27"/>
    <w:rsid w:val="00C76F07"/>
    <w:rsid w:val="00C77EF6"/>
    <w:rsid w:val="00C80B4B"/>
    <w:rsid w:val="00C80D63"/>
    <w:rsid w:val="00C812D5"/>
    <w:rsid w:val="00C818D0"/>
    <w:rsid w:val="00C81BEA"/>
    <w:rsid w:val="00C81DF5"/>
    <w:rsid w:val="00C82188"/>
    <w:rsid w:val="00C8242B"/>
    <w:rsid w:val="00C829FA"/>
    <w:rsid w:val="00C82A50"/>
    <w:rsid w:val="00C83240"/>
    <w:rsid w:val="00C832E7"/>
    <w:rsid w:val="00C83381"/>
    <w:rsid w:val="00C83607"/>
    <w:rsid w:val="00C83768"/>
    <w:rsid w:val="00C83B18"/>
    <w:rsid w:val="00C840C3"/>
    <w:rsid w:val="00C841B4"/>
    <w:rsid w:val="00C84266"/>
    <w:rsid w:val="00C849E0"/>
    <w:rsid w:val="00C84B74"/>
    <w:rsid w:val="00C8512A"/>
    <w:rsid w:val="00C85970"/>
    <w:rsid w:val="00C85E9B"/>
    <w:rsid w:val="00C874C8"/>
    <w:rsid w:val="00C90165"/>
    <w:rsid w:val="00C90733"/>
    <w:rsid w:val="00C921C4"/>
    <w:rsid w:val="00C9235F"/>
    <w:rsid w:val="00C9257F"/>
    <w:rsid w:val="00C9319C"/>
    <w:rsid w:val="00C934F6"/>
    <w:rsid w:val="00C937CB"/>
    <w:rsid w:val="00C93874"/>
    <w:rsid w:val="00C93A4C"/>
    <w:rsid w:val="00C9448D"/>
    <w:rsid w:val="00C94FD2"/>
    <w:rsid w:val="00C9514C"/>
    <w:rsid w:val="00C95341"/>
    <w:rsid w:val="00C95B76"/>
    <w:rsid w:val="00C964C3"/>
    <w:rsid w:val="00C96635"/>
    <w:rsid w:val="00C966B7"/>
    <w:rsid w:val="00C969DB"/>
    <w:rsid w:val="00C97A4A"/>
    <w:rsid w:val="00C97DC9"/>
    <w:rsid w:val="00C97EE3"/>
    <w:rsid w:val="00CA12BA"/>
    <w:rsid w:val="00CA165C"/>
    <w:rsid w:val="00CA1C0D"/>
    <w:rsid w:val="00CA1DAE"/>
    <w:rsid w:val="00CA2267"/>
    <w:rsid w:val="00CA38AD"/>
    <w:rsid w:val="00CA413F"/>
    <w:rsid w:val="00CA5098"/>
    <w:rsid w:val="00CA5503"/>
    <w:rsid w:val="00CA55C3"/>
    <w:rsid w:val="00CA65B3"/>
    <w:rsid w:val="00CA66C3"/>
    <w:rsid w:val="00CA6CAD"/>
    <w:rsid w:val="00CA70A8"/>
    <w:rsid w:val="00CA70D0"/>
    <w:rsid w:val="00CA74A4"/>
    <w:rsid w:val="00CA7683"/>
    <w:rsid w:val="00CA7EA1"/>
    <w:rsid w:val="00CA7EEB"/>
    <w:rsid w:val="00CB009B"/>
    <w:rsid w:val="00CB0231"/>
    <w:rsid w:val="00CB0838"/>
    <w:rsid w:val="00CB1AFD"/>
    <w:rsid w:val="00CB1E7F"/>
    <w:rsid w:val="00CB1EB3"/>
    <w:rsid w:val="00CB2126"/>
    <w:rsid w:val="00CB24AD"/>
    <w:rsid w:val="00CB2C59"/>
    <w:rsid w:val="00CB2D9C"/>
    <w:rsid w:val="00CB34AB"/>
    <w:rsid w:val="00CB3529"/>
    <w:rsid w:val="00CB3562"/>
    <w:rsid w:val="00CB38A9"/>
    <w:rsid w:val="00CB4728"/>
    <w:rsid w:val="00CB4994"/>
    <w:rsid w:val="00CB59E7"/>
    <w:rsid w:val="00CB5E4A"/>
    <w:rsid w:val="00CB668A"/>
    <w:rsid w:val="00CB6976"/>
    <w:rsid w:val="00CB6FCA"/>
    <w:rsid w:val="00CB724D"/>
    <w:rsid w:val="00CB73EA"/>
    <w:rsid w:val="00CB7D4E"/>
    <w:rsid w:val="00CC002B"/>
    <w:rsid w:val="00CC07E5"/>
    <w:rsid w:val="00CC09F0"/>
    <w:rsid w:val="00CC0C11"/>
    <w:rsid w:val="00CC15B5"/>
    <w:rsid w:val="00CC1F52"/>
    <w:rsid w:val="00CC233F"/>
    <w:rsid w:val="00CC27FD"/>
    <w:rsid w:val="00CC31E8"/>
    <w:rsid w:val="00CC33C6"/>
    <w:rsid w:val="00CC3AB9"/>
    <w:rsid w:val="00CC3C9E"/>
    <w:rsid w:val="00CC45E0"/>
    <w:rsid w:val="00CC4BBE"/>
    <w:rsid w:val="00CC4BC3"/>
    <w:rsid w:val="00CC50C7"/>
    <w:rsid w:val="00CC55AC"/>
    <w:rsid w:val="00CC5859"/>
    <w:rsid w:val="00CC6159"/>
    <w:rsid w:val="00CC65A8"/>
    <w:rsid w:val="00CC6FF2"/>
    <w:rsid w:val="00CC71F3"/>
    <w:rsid w:val="00CC72C0"/>
    <w:rsid w:val="00CC757D"/>
    <w:rsid w:val="00CC7C74"/>
    <w:rsid w:val="00CD00DB"/>
    <w:rsid w:val="00CD0119"/>
    <w:rsid w:val="00CD07FD"/>
    <w:rsid w:val="00CD0866"/>
    <w:rsid w:val="00CD1169"/>
    <w:rsid w:val="00CD16C7"/>
    <w:rsid w:val="00CD1A40"/>
    <w:rsid w:val="00CD1B33"/>
    <w:rsid w:val="00CD25F3"/>
    <w:rsid w:val="00CD27FF"/>
    <w:rsid w:val="00CD305C"/>
    <w:rsid w:val="00CD3A6D"/>
    <w:rsid w:val="00CD3E5A"/>
    <w:rsid w:val="00CD3E63"/>
    <w:rsid w:val="00CD40A3"/>
    <w:rsid w:val="00CD4CD3"/>
    <w:rsid w:val="00CD589F"/>
    <w:rsid w:val="00CD60C9"/>
    <w:rsid w:val="00CD6345"/>
    <w:rsid w:val="00CD6BBB"/>
    <w:rsid w:val="00CD6C19"/>
    <w:rsid w:val="00CD6E47"/>
    <w:rsid w:val="00CD7482"/>
    <w:rsid w:val="00CE07C1"/>
    <w:rsid w:val="00CE1567"/>
    <w:rsid w:val="00CE186F"/>
    <w:rsid w:val="00CE1C09"/>
    <w:rsid w:val="00CE20E3"/>
    <w:rsid w:val="00CE24B7"/>
    <w:rsid w:val="00CE273A"/>
    <w:rsid w:val="00CE321C"/>
    <w:rsid w:val="00CE32E8"/>
    <w:rsid w:val="00CE3700"/>
    <w:rsid w:val="00CE3B69"/>
    <w:rsid w:val="00CE3B77"/>
    <w:rsid w:val="00CE4559"/>
    <w:rsid w:val="00CE5118"/>
    <w:rsid w:val="00CE5487"/>
    <w:rsid w:val="00CE59B5"/>
    <w:rsid w:val="00CE59DB"/>
    <w:rsid w:val="00CE5D3A"/>
    <w:rsid w:val="00CE7381"/>
    <w:rsid w:val="00CE7447"/>
    <w:rsid w:val="00CE74CE"/>
    <w:rsid w:val="00CE7F36"/>
    <w:rsid w:val="00CF0829"/>
    <w:rsid w:val="00CF0E74"/>
    <w:rsid w:val="00CF1833"/>
    <w:rsid w:val="00CF1AEA"/>
    <w:rsid w:val="00CF1B4F"/>
    <w:rsid w:val="00CF2091"/>
    <w:rsid w:val="00CF21F6"/>
    <w:rsid w:val="00CF2278"/>
    <w:rsid w:val="00CF2C62"/>
    <w:rsid w:val="00CF2F66"/>
    <w:rsid w:val="00CF337B"/>
    <w:rsid w:val="00CF3FE7"/>
    <w:rsid w:val="00CF4059"/>
    <w:rsid w:val="00CF4416"/>
    <w:rsid w:val="00CF5762"/>
    <w:rsid w:val="00CF65B4"/>
    <w:rsid w:val="00CF69B0"/>
    <w:rsid w:val="00CF6C05"/>
    <w:rsid w:val="00CF7485"/>
    <w:rsid w:val="00CF7E56"/>
    <w:rsid w:val="00D0139C"/>
    <w:rsid w:val="00D01744"/>
    <w:rsid w:val="00D025CE"/>
    <w:rsid w:val="00D02A0F"/>
    <w:rsid w:val="00D02DF3"/>
    <w:rsid w:val="00D03181"/>
    <w:rsid w:val="00D037DC"/>
    <w:rsid w:val="00D0383B"/>
    <w:rsid w:val="00D03A8A"/>
    <w:rsid w:val="00D03DA5"/>
    <w:rsid w:val="00D03F27"/>
    <w:rsid w:val="00D043EE"/>
    <w:rsid w:val="00D0470D"/>
    <w:rsid w:val="00D05249"/>
    <w:rsid w:val="00D055CA"/>
    <w:rsid w:val="00D059FC"/>
    <w:rsid w:val="00D05DEF"/>
    <w:rsid w:val="00D06861"/>
    <w:rsid w:val="00D0688A"/>
    <w:rsid w:val="00D06F22"/>
    <w:rsid w:val="00D07A9C"/>
    <w:rsid w:val="00D10076"/>
    <w:rsid w:val="00D1033B"/>
    <w:rsid w:val="00D10477"/>
    <w:rsid w:val="00D107E2"/>
    <w:rsid w:val="00D11D76"/>
    <w:rsid w:val="00D11E73"/>
    <w:rsid w:val="00D121F5"/>
    <w:rsid w:val="00D126E4"/>
    <w:rsid w:val="00D131BF"/>
    <w:rsid w:val="00D140E6"/>
    <w:rsid w:val="00D158EF"/>
    <w:rsid w:val="00D15C14"/>
    <w:rsid w:val="00D15E74"/>
    <w:rsid w:val="00D15FAA"/>
    <w:rsid w:val="00D16ECB"/>
    <w:rsid w:val="00D16EEE"/>
    <w:rsid w:val="00D17167"/>
    <w:rsid w:val="00D1794C"/>
    <w:rsid w:val="00D17BA5"/>
    <w:rsid w:val="00D17EC9"/>
    <w:rsid w:val="00D2058D"/>
    <w:rsid w:val="00D2176E"/>
    <w:rsid w:val="00D2182A"/>
    <w:rsid w:val="00D22105"/>
    <w:rsid w:val="00D2211C"/>
    <w:rsid w:val="00D22945"/>
    <w:rsid w:val="00D22B55"/>
    <w:rsid w:val="00D23055"/>
    <w:rsid w:val="00D230AD"/>
    <w:rsid w:val="00D251AB"/>
    <w:rsid w:val="00D25AC6"/>
    <w:rsid w:val="00D261D3"/>
    <w:rsid w:val="00D31255"/>
    <w:rsid w:val="00D319DF"/>
    <w:rsid w:val="00D3225E"/>
    <w:rsid w:val="00D324BC"/>
    <w:rsid w:val="00D33565"/>
    <w:rsid w:val="00D33762"/>
    <w:rsid w:val="00D34025"/>
    <w:rsid w:val="00D3413A"/>
    <w:rsid w:val="00D34BD1"/>
    <w:rsid w:val="00D35177"/>
    <w:rsid w:val="00D356E1"/>
    <w:rsid w:val="00D37006"/>
    <w:rsid w:val="00D40609"/>
    <w:rsid w:val="00D40983"/>
    <w:rsid w:val="00D41188"/>
    <w:rsid w:val="00D417D3"/>
    <w:rsid w:val="00D418D5"/>
    <w:rsid w:val="00D41A6B"/>
    <w:rsid w:val="00D41DB1"/>
    <w:rsid w:val="00D42045"/>
    <w:rsid w:val="00D4276D"/>
    <w:rsid w:val="00D42798"/>
    <w:rsid w:val="00D42970"/>
    <w:rsid w:val="00D43492"/>
    <w:rsid w:val="00D43AED"/>
    <w:rsid w:val="00D44916"/>
    <w:rsid w:val="00D45CA4"/>
    <w:rsid w:val="00D45EA7"/>
    <w:rsid w:val="00D45F22"/>
    <w:rsid w:val="00D46485"/>
    <w:rsid w:val="00D47178"/>
    <w:rsid w:val="00D4752E"/>
    <w:rsid w:val="00D47842"/>
    <w:rsid w:val="00D478A8"/>
    <w:rsid w:val="00D47BEF"/>
    <w:rsid w:val="00D50826"/>
    <w:rsid w:val="00D51675"/>
    <w:rsid w:val="00D51A75"/>
    <w:rsid w:val="00D51F73"/>
    <w:rsid w:val="00D52827"/>
    <w:rsid w:val="00D529BE"/>
    <w:rsid w:val="00D52CF6"/>
    <w:rsid w:val="00D53D3E"/>
    <w:rsid w:val="00D547E0"/>
    <w:rsid w:val="00D54992"/>
    <w:rsid w:val="00D55291"/>
    <w:rsid w:val="00D55C48"/>
    <w:rsid w:val="00D55E47"/>
    <w:rsid w:val="00D56997"/>
    <w:rsid w:val="00D570E6"/>
    <w:rsid w:val="00D5730F"/>
    <w:rsid w:val="00D5774F"/>
    <w:rsid w:val="00D578B1"/>
    <w:rsid w:val="00D57A52"/>
    <w:rsid w:val="00D60809"/>
    <w:rsid w:val="00D60D7F"/>
    <w:rsid w:val="00D61C9C"/>
    <w:rsid w:val="00D62111"/>
    <w:rsid w:val="00D62229"/>
    <w:rsid w:val="00D625B8"/>
    <w:rsid w:val="00D626F8"/>
    <w:rsid w:val="00D634CD"/>
    <w:rsid w:val="00D636DC"/>
    <w:rsid w:val="00D63F4C"/>
    <w:rsid w:val="00D64265"/>
    <w:rsid w:val="00D64613"/>
    <w:rsid w:val="00D64702"/>
    <w:rsid w:val="00D66BD9"/>
    <w:rsid w:val="00D66BFD"/>
    <w:rsid w:val="00D66C91"/>
    <w:rsid w:val="00D674EE"/>
    <w:rsid w:val="00D67535"/>
    <w:rsid w:val="00D67B2A"/>
    <w:rsid w:val="00D67BC9"/>
    <w:rsid w:val="00D67DBC"/>
    <w:rsid w:val="00D704D9"/>
    <w:rsid w:val="00D70BD2"/>
    <w:rsid w:val="00D713F2"/>
    <w:rsid w:val="00D72705"/>
    <w:rsid w:val="00D738BF"/>
    <w:rsid w:val="00D73B93"/>
    <w:rsid w:val="00D73C95"/>
    <w:rsid w:val="00D745C1"/>
    <w:rsid w:val="00D75676"/>
    <w:rsid w:val="00D75731"/>
    <w:rsid w:val="00D75B45"/>
    <w:rsid w:val="00D75B5C"/>
    <w:rsid w:val="00D75F8C"/>
    <w:rsid w:val="00D76050"/>
    <w:rsid w:val="00D76309"/>
    <w:rsid w:val="00D76423"/>
    <w:rsid w:val="00D767BF"/>
    <w:rsid w:val="00D77278"/>
    <w:rsid w:val="00D775B5"/>
    <w:rsid w:val="00D77961"/>
    <w:rsid w:val="00D77B20"/>
    <w:rsid w:val="00D77B3B"/>
    <w:rsid w:val="00D8007C"/>
    <w:rsid w:val="00D8079F"/>
    <w:rsid w:val="00D8103B"/>
    <w:rsid w:val="00D8111B"/>
    <w:rsid w:val="00D81242"/>
    <w:rsid w:val="00D812D2"/>
    <w:rsid w:val="00D822FA"/>
    <w:rsid w:val="00D82D02"/>
    <w:rsid w:val="00D82D0F"/>
    <w:rsid w:val="00D83A5A"/>
    <w:rsid w:val="00D84157"/>
    <w:rsid w:val="00D84BD7"/>
    <w:rsid w:val="00D84DCA"/>
    <w:rsid w:val="00D850FC"/>
    <w:rsid w:val="00D85114"/>
    <w:rsid w:val="00D857BC"/>
    <w:rsid w:val="00D86144"/>
    <w:rsid w:val="00D8718F"/>
    <w:rsid w:val="00D871B6"/>
    <w:rsid w:val="00D875E1"/>
    <w:rsid w:val="00D90275"/>
    <w:rsid w:val="00D902F5"/>
    <w:rsid w:val="00D9075D"/>
    <w:rsid w:val="00D90959"/>
    <w:rsid w:val="00D91410"/>
    <w:rsid w:val="00D91438"/>
    <w:rsid w:val="00D91594"/>
    <w:rsid w:val="00D91A8F"/>
    <w:rsid w:val="00D91ABE"/>
    <w:rsid w:val="00D91DFB"/>
    <w:rsid w:val="00D921DA"/>
    <w:rsid w:val="00D92C2F"/>
    <w:rsid w:val="00D92F7F"/>
    <w:rsid w:val="00D9459D"/>
    <w:rsid w:val="00D94730"/>
    <w:rsid w:val="00D94858"/>
    <w:rsid w:val="00D94972"/>
    <w:rsid w:val="00D954A1"/>
    <w:rsid w:val="00D95519"/>
    <w:rsid w:val="00D95744"/>
    <w:rsid w:val="00D958FC"/>
    <w:rsid w:val="00D959AE"/>
    <w:rsid w:val="00D95DC2"/>
    <w:rsid w:val="00D96678"/>
    <w:rsid w:val="00D96C73"/>
    <w:rsid w:val="00D96D46"/>
    <w:rsid w:val="00D97C27"/>
    <w:rsid w:val="00DA0526"/>
    <w:rsid w:val="00DA0639"/>
    <w:rsid w:val="00DA0CF7"/>
    <w:rsid w:val="00DA0E96"/>
    <w:rsid w:val="00DA1203"/>
    <w:rsid w:val="00DA18DA"/>
    <w:rsid w:val="00DA1F0C"/>
    <w:rsid w:val="00DA1F38"/>
    <w:rsid w:val="00DA2F0F"/>
    <w:rsid w:val="00DA3565"/>
    <w:rsid w:val="00DA3A5B"/>
    <w:rsid w:val="00DA3D0B"/>
    <w:rsid w:val="00DA3F51"/>
    <w:rsid w:val="00DA441B"/>
    <w:rsid w:val="00DA45DB"/>
    <w:rsid w:val="00DA48D9"/>
    <w:rsid w:val="00DA49F8"/>
    <w:rsid w:val="00DA4AAE"/>
    <w:rsid w:val="00DA5572"/>
    <w:rsid w:val="00DA6A15"/>
    <w:rsid w:val="00DA6CC2"/>
    <w:rsid w:val="00DA6E1C"/>
    <w:rsid w:val="00DA7029"/>
    <w:rsid w:val="00DA77A0"/>
    <w:rsid w:val="00DB09A2"/>
    <w:rsid w:val="00DB0C79"/>
    <w:rsid w:val="00DB103D"/>
    <w:rsid w:val="00DB1448"/>
    <w:rsid w:val="00DB1998"/>
    <w:rsid w:val="00DB1FC4"/>
    <w:rsid w:val="00DB21F0"/>
    <w:rsid w:val="00DB2C5F"/>
    <w:rsid w:val="00DB3A58"/>
    <w:rsid w:val="00DB3BDF"/>
    <w:rsid w:val="00DB3C58"/>
    <w:rsid w:val="00DB3D46"/>
    <w:rsid w:val="00DB401C"/>
    <w:rsid w:val="00DB46C8"/>
    <w:rsid w:val="00DB540E"/>
    <w:rsid w:val="00DB5A63"/>
    <w:rsid w:val="00DB6166"/>
    <w:rsid w:val="00DB656B"/>
    <w:rsid w:val="00DB691E"/>
    <w:rsid w:val="00DB75A3"/>
    <w:rsid w:val="00DB799D"/>
    <w:rsid w:val="00DB79C8"/>
    <w:rsid w:val="00DC0574"/>
    <w:rsid w:val="00DC0C65"/>
    <w:rsid w:val="00DC16BF"/>
    <w:rsid w:val="00DC16E1"/>
    <w:rsid w:val="00DC16FC"/>
    <w:rsid w:val="00DC1881"/>
    <w:rsid w:val="00DC1ED7"/>
    <w:rsid w:val="00DC3A6F"/>
    <w:rsid w:val="00DC3D1C"/>
    <w:rsid w:val="00DC43E1"/>
    <w:rsid w:val="00DC4EE7"/>
    <w:rsid w:val="00DC5199"/>
    <w:rsid w:val="00DC5A32"/>
    <w:rsid w:val="00DC5E4E"/>
    <w:rsid w:val="00DC651B"/>
    <w:rsid w:val="00DC662F"/>
    <w:rsid w:val="00DC6E78"/>
    <w:rsid w:val="00DC729A"/>
    <w:rsid w:val="00DC7328"/>
    <w:rsid w:val="00DC73B1"/>
    <w:rsid w:val="00DC7519"/>
    <w:rsid w:val="00DC75C6"/>
    <w:rsid w:val="00DC7630"/>
    <w:rsid w:val="00DC7EB5"/>
    <w:rsid w:val="00DD04AC"/>
    <w:rsid w:val="00DD04DD"/>
    <w:rsid w:val="00DD0891"/>
    <w:rsid w:val="00DD0B35"/>
    <w:rsid w:val="00DD0F9F"/>
    <w:rsid w:val="00DD11A7"/>
    <w:rsid w:val="00DD1298"/>
    <w:rsid w:val="00DD2300"/>
    <w:rsid w:val="00DD2309"/>
    <w:rsid w:val="00DD28B3"/>
    <w:rsid w:val="00DD2DE3"/>
    <w:rsid w:val="00DD2DE8"/>
    <w:rsid w:val="00DD316F"/>
    <w:rsid w:val="00DD357C"/>
    <w:rsid w:val="00DD37CA"/>
    <w:rsid w:val="00DD3D55"/>
    <w:rsid w:val="00DD3DF7"/>
    <w:rsid w:val="00DD4AE2"/>
    <w:rsid w:val="00DD4BFA"/>
    <w:rsid w:val="00DD51F8"/>
    <w:rsid w:val="00DD6388"/>
    <w:rsid w:val="00DD6C53"/>
    <w:rsid w:val="00DD7198"/>
    <w:rsid w:val="00DD7199"/>
    <w:rsid w:val="00DD7C44"/>
    <w:rsid w:val="00DD7CB6"/>
    <w:rsid w:val="00DE0077"/>
    <w:rsid w:val="00DE0137"/>
    <w:rsid w:val="00DE01BA"/>
    <w:rsid w:val="00DE0DCF"/>
    <w:rsid w:val="00DE137B"/>
    <w:rsid w:val="00DE19D9"/>
    <w:rsid w:val="00DE1C18"/>
    <w:rsid w:val="00DE1DC6"/>
    <w:rsid w:val="00DE1F77"/>
    <w:rsid w:val="00DE21C6"/>
    <w:rsid w:val="00DE22AA"/>
    <w:rsid w:val="00DE288F"/>
    <w:rsid w:val="00DE2D49"/>
    <w:rsid w:val="00DE388A"/>
    <w:rsid w:val="00DE3E66"/>
    <w:rsid w:val="00DE3F75"/>
    <w:rsid w:val="00DE45F5"/>
    <w:rsid w:val="00DE4AAD"/>
    <w:rsid w:val="00DE4C0C"/>
    <w:rsid w:val="00DE4FC8"/>
    <w:rsid w:val="00DE53B5"/>
    <w:rsid w:val="00DE5A50"/>
    <w:rsid w:val="00DE60C5"/>
    <w:rsid w:val="00DE7323"/>
    <w:rsid w:val="00DE75F0"/>
    <w:rsid w:val="00DE77CB"/>
    <w:rsid w:val="00DE7EBA"/>
    <w:rsid w:val="00DF04BD"/>
    <w:rsid w:val="00DF068D"/>
    <w:rsid w:val="00DF0D3A"/>
    <w:rsid w:val="00DF1A9A"/>
    <w:rsid w:val="00DF1C2D"/>
    <w:rsid w:val="00DF1DB6"/>
    <w:rsid w:val="00DF1F8A"/>
    <w:rsid w:val="00DF248E"/>
    <w:rsid w:val="00DF253D"/>
    <w:rsid w:val="00DF3222"/>
    <w:rsid w:val="00DF3577"/>
    <w:rsid w:val="00DF4063"/>
    <w:rsid w:val="00DF5F13"/>
    <w:rsid w:val="00DF63DD"/>
    <w:rsid w:val="00DF6B62"/>
    <w:rsid w:val="00DF7BD0"/>
    <w:rsid w:val="00DF7BDF"/>
    <w:rsid w:val="00E00303"/>
    <w:rsid w:val="00E00489"/>
    <w:rsid w:val="00E00A62"/>
    <w:rsid w:val="00E010A0"/>
    <w:rsid w:val="00E0125E"/>
    <w:rsid w:val="00E01668"/>
    <w:rsid w:val="00E0173A"/>
    <w:rsid w:val="00E01849"/>
    <w:rsid w:val="00E020D1"/>
    <w:rsid w:val="00E02B64"/>
    <w:rsid w:val="00E02EAD"/>
    <w:rsid w:val="00E03D3F"/>
    <w:rsid w:val="00E0437C"/>
    <w:rsid w:val="00E0452C"/>
    <w:rsid w:val="00E04D61"/>
    <w:rsid w:val="00E0504C"/>
    <w:rsid w:val="00E05074"/>
    <w:rsid w:val="00E05489"/>
    <w:rsid w:val="00E05741"/>
    <w:rsid w:val="00E05F7F"/>
    <w:rsid w:val="00E06930"/>
    <w:rsid w:val="00E06971"/>
    <w:rsid w:val="00E06B43"/>
    <w:rsid w:val="00E06E32"/>
    <w:rsid w:val="00E06EC4"/>
    <w:rsid w:val="00E070D9"/>
    <w:rsid w:val="00E105B3"/>
    <w:rsid w:val="00E10846"/>
    <w:rsid w:val="00E108F4"/>
    <w:rsid w:val="00E10A4B"/>
    <w:rsid w:val="00E10D4E"/>
    <w:rsid w:val="00E1100C"/>
    <w:rsid w:val="00E11489"/>
    <w:rsid w:val="00E11711"/>
    <w:rsid w:val="00E11E63"/>
    <w:rsid w:val="00E12696"/>
    <w:rsid w:val="00E12DEE"/>
    <w:rsid w:val="00E1310D"/>
    <w:rsid w:val="00E13359"/>
    <w:rsid w:val="00E138BF"/>
    <w:rsid w:val="00E14EFA"/>
    <w:rsid w:val="00E151B9"/>
    <w:rsid w:val="00E1566E"/>
    <w:rsid w:val="00E158C4"/>
    <w:rsid w:val="00E161E6"/>
    <w:rsid w:val="00E167C9"/>
    <w:rsid w:val="00E1698C"/>
    <w:rsid w:val="00E172BE"/>
    <w:rsid w:val="00E17CF7"/>
    <w:rsid w:val="00E205D6"/>
    <w:rsid w:val="00E216EC"/>
    <w:rsid w:val="00E2189A"/>
    <w:rsid w:val="00E22B5A"/>
    <w:rsid w:val="00E22B68"/>
    <w:rsid w:val="00E231C9"/>
    <w:rsid w:val="00E23379"/>
    <w:rsid w:val="00E23EBF"/>
    <w:rsid w:val="00E23FD5"/>
    <w:rsid w:val="00E24669"/>
    <w:rsid w:val="00E248B2"/>
    <w:rsid w:val="00E24C48"/>
    <w:rsid w:val="00E25981"/>
    <w:rsid w:val="00E25BC1"/>
    <w:rsid w:val="00E26141"/>
    <w:rsid w:val="00E266F5"/>
    <w:rsid w:val="00E26948"/>
    <w:rsid w:val="00E26F90"/>
    <w:rsid w:val="00E270D3"/>
    <w:rsid w:val="00E27FC7"/>
    <w:rsid w:val="00E30700"/>
    <w:rsid w:val="00E30D87"/>
    <w:rsid w:val="00E30E57"/>
    <w:rsid w:val="00E31360"/>
    <w:rsid w:val="00E31D28"/>
    <w:rsid w:val="00E325FF"/>
    <w:rsid w:val="00E32CB8"/>
    <w:rsid w:val="00E32D5A"/>
    <w:rsid w:val="00E3419B"/>
    <w:rsid w:val="00E3440F"/>
    <w:rsid w:val="00E34F3A"/>
    <w:rsid w:val="00E35030"/>
    <w:rsid w:val="00E35F99"/>
    <w:rsid w:val="00E35F9A"/>
    <w:rsid w:val="00E3637F"/>
    <w:rsid w:val="00E364B6"/>
    <w:rsid w:val="00E36723"/>
    <w:rsid w:val="00E3713C"/>
    <w:rsid w:val="00E3767B"/>
    <w:rsid w:val="00E37A3D"/>
    <w:rsid w:val="00E37E1C"/>
    <w:rsid w:val="00E40126"/>
    <w:rsid w:val="00E40CBF"/>
    <w:rsid w:val="00E40E7D"/>
    <w:rsid w:val="00E40EE4"/>
    <w:rsid w:val="00E413C6"/>
    <w:rsid w:val="00E41C4E"/>
    <w:rsid w:val="00E420D5"/>
    <w:rsid w:val="00E42517"/>
    <w:rsid w:val="00E42D55"/>
    <w:rsid w:val="00E42FFE"/>
    <w:rsid w:val="00E4316E"/>
    <w:rsid w:val="00E435AB"/>
    <w:rsid w:val="00E44275"/>
    <w:rsid w:val="00E44777"/>
    <w:rsid w:val="00E4535F"/>
    <w:rsid w:val="00E466BC"/>
    <w:rsid w:val="00E4686A"/>
    <w:rsid w:val="00E47538"/>
    <w:rsid w:val="00E479FD"/>
    <w:rsid w:val="00E504D6"/>
    <w:rsid w:val="00E50B6F"/>
    <w:rsid w:val="00E50DF1"/>
    <w:rsid w:val="00E50EBE"/>
    <w:rsid w:val="00E50F69"/>
    <w:rsid w:val="00E50FC6"/>
    <w:rsid w:val="00E517CD"/>
    <w:rsid w:val="00E52185"/>
    <w:rsid w:val="00E52372"/>
    <w:rsid w:val="00E52786"/>
    <w:rsid w:val="00E5294B"/>
    <w:rsid w:val="00E52C21"/>
    <w:rsid w:val="00E52F05"/>
    <w:rsid w:val="00E53785"/>
    <w:rsid w:val="00E53DB1"/>
    <w:rsid w:val="00E540CA"/>
    <w:rsid w:val="00E54B37"/>
    <w:rsid w:val="00E55B28"/>
    <w:rsid w:val="00E56D4A"/>
    <w:rsid w:val="00E57119"/>
    <w:rsid w:val="00E5719E"/>
    <w:rsid w:val="00E57D7B"/>
    <w:rsid w:val="00E57F4B"/>
    <w:rsid w:val="00E602E5"/>
    <w:rsid w:val="00E602F8"/>
    <w:rsid w:val="00E6085B"/>
    <w:rsid w:val="00E60FBA"/>
    <w:rsid w:val="00E60FBF"/>
    <w:rsid w:val="00E616F9"/>
    <w:rsid w:val="00E61852"/>
    <w:rsid w:val="00E61A0C"/>
    <w:rsid w:val="00E61D22"/>
    <w:rsid w:val="00E61D96"/>
    <w:rsid w:val="00E61E4B"/>
    <w:rsid w:val="00E6342F"/>
    <w:rsid w:val="00E63DA2"/>
    <w:rsid w:val="00E642AF"/>
    <w:rsid w:val="00E644C6"/>
    <w:rsid w:val="00E64555"/>
    <w:rsid w:val="00E64595"/>
    <w:rsid w:val="00E646BB"/>
    <w:rsid w:val="00E64D24"/>
    <w:rsid w:val="00E64E69"/>
    <w:rsid w:val="00E6549C"/>
    <w:rsid w:val="00E654B9"/>
    <w:rsid w:val="00E6589D"/>
    <w:rsid w:val="00E65E8C"/>
    <w:rsid w:val="00E665E7"/>
    <w:rsid w:val="00E66C96"/>
    <w:rsid w:val="00E6703E"/>
    <w:rsid w:val="00E70130"/>
    <w:rsid w:val="00E715FC"/>
    <w:rsid w:val="00E71A45"/>
    <w:rsid w:val="00E71C21"/>
    <w:rsid w:val="00E72D84"/>
    <w:rsid w:val="00E730FC"/>
    <w:rsid w:val="00E7318D"/>
    <w:rsid w:val="00E7385A"/>
    <w:rsid w:val="00E73CE6"/>
    <w:rsid w:val="00E74780"/>
    <w:rsid w:val="00E7487D"/>
    <w:rsid w:val="00E74956"/>
    <w:rsid w:val="00E752F7"/>
    <w:rsid w:val="00E75848"/>
    <w:rsid w:val="00E759D4"/>
    <w:rsid w:val="00E76A3C"/>
    <w:rsid w:val="00E76F9B"/>
    <w:rsid w:val="00E771FC"/>
    <w:rsid w:val="00E773E5"/>
    <w:rsid w:val="00E77511"/>
    <w:rsid w:val="00E77BDD"/>
    <w:rsid w:val="00E806D3"/>
    <w:rsid w:val="00E81C34"/>
    <w:rsid w:val="00E81D83"/>
    <w:rsid w:val="00E821BB"/>
    <w:rsid w:val="00E822E9"/>
    <w:rsid w:val="00E826FE"/>
    <w:rsid w:val="00E8275E"/>
    <w:rsid w:val="00E827AF"/>
    <w:rsid w:val="00E82DE9"/>
    <w:rsid w:val="00E83253"/>
    <w:rsid w:val="00E844AB"/>
    <w:rsid w:val="00E84C97"/>
    <w:rsid w:val="00E85005"/>
    <w:rsid w:val="00E85296"/>
    <w:rsid w:val="00E8533B"/>
    <w:rsid w:val="00E8575B"/>
    <w:rsid w:val="00E85931"/>
    <w:rsid w:val="00E85E4E"/>
    <w:rsid w:val="00E862BB"/>
    <w:rsid w:val="00E86327"/>
    <w:rsid w:val="00E86DF0"/>
    <w:rsid w:val="00E87BD2"/>
    <w:rsid w:val="00E87CDC"/>
    <w:rsid w:val="00E906E0"/>
    <w:rsid w:val="00E90B33"/>
    <w:rsid w:val="00E911E0"/>
    <w:rsid w:val="00E93407"/>
    <w:rsid w:val="00E940A8"/>
    <w:rsid w:val="00E94759"/>
    <w:rsid w:val="00E947E8"/>
    <w:rsid w:val="00E94B0F"/>
    <w:rsid w:val="00E9503F"/>
    <w:rsid w:val="00E96726"/>
    <w:rsid w:val="00E96E68"/>
    <w:rsid w:val="00E973BA"/>
    <w:rsid w:val="00E97EA1"/>
    <w:rsid w:val="00EA0BBE"/>
    <w:rsid w:val="00EA1FBC"/>
    <w:rsid w:val="00EA20A1"/>
    <w:rsid w:val="00EA212B"/>
    <w:rsid w:val="00EA24FB"/>
    <w:rsid w:val="00EA2D44"/>
    <w:rsid w:val="00EA32F4"/>
    <w:rsid w:val="00EA33FA"/>
    <w:rsid w:val="00EA3A1D"/>
    <w:rsid w:val="00EA3CD7"/>
    <w:rsid w:val="00EA3E2D"/>
    <w:rsid w:val="00EA429D"/>
    <w:rsid w:val="00EA43AF"/>
    <w:rsid w:val="00EA4676"/>
    <w:rsid w:val="00EA4C7C"/>
    <w:rsid w:val="00EA4D4C"/>
    <w:rsid w:val="00EA554F"/>
    <w:rsid w:val="00EA6250"/>
    <w:rsid w:val="00EA66A4"/>
    <w:rsid w:val="00EA6819"/>
    <w:rsid w:val="00EA6A1E"/>
    <w:rsid w:val="00EA75BD"/>
    <w:rsid w:val="00EA760C"/>
    <w:rsid w:val="00EA7C47"/>
    <w:rsid w:val="00EB0C01"/>
    <w:rsid w:val="00EB0F0F"/>
    <w:rsid w:val="00EB12A5"/>
    <w:rsid w:val="00EB24D8"/>
    <w:rsid w:val="00EB277B"/>
    <w:rsid w:val="00EB2F20"/>
    <w:rsid w:val="00EB2F35"/>
    <w:rsid w:val="00EB31DB"/>
    <w:rsid w:val="00EB3422"/>
    <w:rsid w:val="00EB3A31"/>
    <w:rsid w:val="00EB4EAF"/>
    <w:rsid w:val="00EB548E"/>
    <w:rsid w:val="00EB5C41"/>
    <w:rsid w:val="00EB5F5A"/>
    <w:rsid w:val="00EB657E"/>
    <w:rsid w:val="00EB695E"/>
    <w:rsid w:val="00EB69D1"/>
    <w:rsid w:val="00EB6FE9"/>
    <w:rsid w:val="00EB72FF"/>
    <w:rsid w:val="00EB756F"/>
    <w:rsid w:val="00EB79C8"/>
    <w:rsid w:val="00EB7E78"/>
    <w:rsid w:val="00EC0301"/>
    <w:rsid w:val="00EC09C6"/>
    <w:rsid w:val="00EC0EA5"/>
    <w:rsid w:val="00EC1056"/>
    <w:rsid w:val="00EC1470"/>
    <w:rsid w:val="00EC222E"/>
    <w:rsid w:val="00EC25CD"/>
    <w:rsid w:val="00EC2716"/>
    <w:rsid w:val="00EC2DBB"/>
    <w:rsid w:val="00EC358E"/>
    <w:rsid w:val="00EC3F3F"/>
    <w:rsid w:val="00EC3FD2"/>
    <w:rsid w:val="00EC4095"/>
    <w:rsid w:val="00EC43B5"/>
    <w:rsid w:val="00EC4537"/>
    <w:rsid w:val="00EC4960"/>
    <w:rsid w:val="00EC4AE3"/>
    <w:rsid w:val="00EC54EE"/>
    <w:rsid w:val="00EC59B2"/>
    <w:rsid w:val="00EC5A3B"/>
    <w:rsid w:val="00EC6BCB"/>
    <w:rsid w:val="00EC786C"/>
    <w:rsid w:val="00EC7ADD"/>
    <w:rsid w:val="00ED04FE"/>
    <w:rsid w:val="00ED0C24"/>
    <w:rsid w:val="00ED0DD0"/>
    <w:rsid w:val="00ED1989"/>
    <w:rsid w:val="00ED28F2"/>
    <w:rsid w:val="00ED3145"/>
    <w:rsid w:val="00ED3309"/>
    <w:rsid w:val="00ED356E"/>
    <w:rsid w:val="00ED3BDA"/>
    <w:rsid w:val="00ED3DA4"/>
    <w:rsid w:val="00ED4B67"/>
    <w:rsid w:val="00ED5A3B"/>
    <w:rsid w:val="00ED5C30"/>
    <w:rsid w:val="00ED5E02"/>
    <w:rsid w:val="00ED5EED"/>
    <w:rsid w:val="00ED6B1C"/>
    <w:rsid w:val="00ED6CF7"/>
    <w:rsid w:val="00ED6F33"/>
    <w:rsid w:val="00ED741E"/>
    <w:rsid w:val="00ED7716"/>
    <w:rsid w:val="00ED7737"/>
    <w:rsid w:val="00ED7747"/>
    <w:rsid w:val="00ED7CF4"/>
    <w:rsid w:val="00EE0EA8"/>
    <w:rsid w:val="00EE1B0E"/>
    <w:rsid w:val="00EE22FB"/>
    <w:rsid w:val="00EE2407"/>
    <w:rsid w:val="00EE26AE"/>
    <w:rsid w:val="00EE29C8"/>
    <w:rsid w:val="00EE2A54"/>
    <w:rsid w:val="00EE2FC2"/>
    <w:rsid w:val="00EE3B88"/>
    <w:rsid w:val="00EE47D1"/>
    <w:rsid w:val="00EE4B75"/>
    <w:rsid w:val="00EE4DBD"/>
    <w:rsid w:val="00EE57D6"/>
    <w:rsid w:val="00EE6025"/>
    <w:rsid w:val="00EE6AC6"/>
    <w:rsid w:val="00EE6E26"/>
    <w:rsid w:val="00EE784F"/>
    <w:rsid w:val="00EE7A1D"/>
    <w:rsid w:val="00EF0500"/>
    <w:rsid w:val="00EF0B66"/>
    <w:rsid w:val="00EF0E62"/>
    <w:rsid w:val="00EF1002"/>
    <w:rsid w:val="00EF143F"/>
    <w:rsid w:val="00EF23D8"/>
    <w:rsid w:val="00EF2A5A"/>
    <w:rsid w:val="00EF2A87"/>
    <w:rsid w:val="00EF3A74"/>
    <w:rsid w:val="00EF3AE9"/>
    <w:rsid w:val="00EF3EA5"/>
    <w:rsid w:val="00EF40DC"/>
    <w:rsid w:val="00EF49FB"/>
    <w:rsid w:val="00EF4D23"/>
    <w:rsid w:val="00EF55D6"/>
    <w:rsid w:val="00EF644D"/>
    <w:rsid w:val="00EF6D29"/>
    <w:rsid w:val="00EF7138"/>
    <w:rsid w:val="00EF7149"/>
    <w:rsid w:val="00F00881"/>
    <w:rsid w:val="00F00917"/>
    <w:rsid w:val="00F01032"/>
    <w:rsid w:val="00F010BB"/>
    <w:rsid w:val="00F012C1"/>
    <w:rsid w:val="00F0175F"/>
    <w:rsid w:val="00F01C5B"/>
    <w:rsid w:val="00F03280"/>
    <w:rsid w:val="00F0362A"/>
    <w:rsid w:val="00F0385C"/>
    <w:rsid w:val="00F03ABE"/>
    <w:rsid w:val="00F04345"/>
    <w:rsid w:val="00F047A4"/>
    <w:rsid w:val="00F04F52"/>
    <w:rsid w:val="00F0510F"/>
    <w:rsid w:val="00F0563F"/>
    <w:rsid w:val="00F06239"/>
    <w:rsid w:val="00F064EF"/>
    <w:rsid w:val="00F06558"/>
    <w:rsid w:val="00F06F42"/>
    <w:rsid w:val="00F07122"/>
    <w:rsid w:val="00F074C9"/>
    <w:rsid w:val="00F07C82"/>
    <w:rsid w:val="00F07F5E"/>
    <w:rsid w:val="00F1001E"/>
    <w:rsid w:val="00F106BB"/>
    <w:rsid w:val="00F11027"/>
    <w:rsid w:val="00F111BA"/>
    <w:rsid w:val="00F116DD"/>
    <w:rsid w:val="00F11D9F"/>
    <w:rsid w:val="00F11E31"/>
    <w:rsid w:val="00F13137"/>
    <w:rsid w:val="00F13AA1"/>
    <w:rsid w:val="00F13F2A"/>
    <w:rsid w:val="00F140EC"/>
    <w:rsid w:val="00F15097"/>
    <w:rsid w:val="00F15671"/>
    <w:rsid w:val="00F15DC7"/>
    <w:rsid w:val="00F16000"/>
    <w:rsid w:val="00F16695"/>
    <w:rsid w:val="00F202E3"/>
    <w:rsid w:val="00F20C6E"/>
    <w:rsid w:val="00F20D6C"/>
    <w:rsid w:val="00F2242D"/>
    <w:rsid w:val="00F2255F"/>
    <w:rsid w:val="00F225CF"/>
    <w:rsid w:val="00F22882"/>
    <w:rsid w:val="00F22985"/>
    <w:rsid w:val="00F22AEF"/>
    <w:rsid w:val="00F22F7A"/>
    <w:rsid w:val="00F2322E"/>
    <w:rsid w:val="00F2343C"/>
    <w:rsid w:val="00F23CFC"/>
    <w:rsid w:val="00F24076"/>
    <w:rsid w:val="00F240CB"/>
    <w:rsid w:val="00F2492F"/>
    <w:rsid w:val="00F2500D"/>
    <w:rsid w:val="00F256DA"/>
    <w:rsid w:val="00F25742"/>
    <w:rsid w:val="00F2596D"/>
    <w:rsid w:val="00F25CAA"/>
    <w:rsid w:val="00F26AD6"/>
    <w:rsid w:val="00F2711C"/>
    <w:rsid w:val="00F277E8"/>
    <w:rsid w:val="00F27B04"/>
    <w:rsid w:val="00F27E3D"/>
    <w:rsid w:val="00F301D0"/>
    <w:rsid w:val="00F3069F"/>
    <w:rsid w:val="00F30BA9"/>
    <w:rsid w:val="00F30C3F"/>
    <w:rsid w:val="00F30C60"/>
    <w:rsid w:val="00F30EFB"/>
    <w:rsid w:val="00F30F38"/>
    <w:rsid w:val="00F311D1"/>
    <w:rsid w:val="00F3158A"/>
    <w:rsid w:val="00F318DB"/>
    <w:rsid w:val="00F3199C"/>
    <w:rsid w:val="00F31F7D"/>
    <w:rsid w:val="00F32AFF"/>
    <w:rsid w:val="00F32B46"/>
    <w:rsid w:val="00F33825"/>
    <w:rsid w:val="00F33A8B"/>
    <w:rsid w:val="00F33D3B"/>
    <w:rsid w:val="00F341D4"/>
    <w:rsid w:val="00F34A96"/>
    <w:rsid w:val="00F34EBF"/>
    <w:rsid w:val="00F34F05"/>
    <w:rsid w:val="00F34F85"/>
    <w:rsid w:val="00F356D5"/>
    <w:rsid w:val="00F361AE"/>
    <w:rsid w:val="00F36240"/>
    <w:rsid w:val="00F363EB"/>
    <w:rsid w:val="00F365DE"/>
    <w:rsid w:val="00F36764"/>
    <w:rsid w:val="00F367CF"/>
    <w:rsid w:val="00F36D37"/>
    <w:rsid w:val="00F3719A"/>
    <w:rsid w:val="00F379BF"/>
    <w:rsid w:val="00F37EA7"/>
    <w:rsid w:val="00F40805"/>
    <w:rsid w:val="00F40C5E"/>
    <w:rsid w:val="00F40E3E"/>
    <w:rsid w:val="00F4163A"/>
    <w:rsid w:val="00F41873"/>
    <w:rsid w:val="00F419C3"/>
    <w:rsid w:val="00F41A56"/>
    <w:rsid w:val="00F41D91"/>
    <w:rsid w:val="00F41E2B"/>
    <w:rsid w:val="00F423BE"/>
    <w:rsid w:val="00F424A5"/>
    <w:rsid w:val="00F425EF"/>
    <w:rsid w:val="00F428AC"/>
    <w:rsid w:val="00F42EE3"/>
    <w:rsid w:val="00F43660"/>
    <w:rsid w:val="00F44542"/>
    <w:rsid w:val="00F448DD"/>
    <w:rsid w:val="00F44C5F"/>
    <w:rsid w:val="00F44DB8"/>
    <w:rsid w:val="00F45760"/>
    <w:rsid w:val="00F45925"/>
    <w:rsid w:val="00F462B6"/>
    <w:rsid w:val="00F46BA6"/>
    <w:rsid w:val="00F46C97"/>
    <w:rsid w:val="00F4703E"/>
    <w:rsid w:val="00F47AE6"/>
    <w:rsid w:val="00F50511"/>
    <w:rsid w:val="00F50781"/>
    <w:rsid w:val="00F50CA3"/>
    <w:rsid w:val="00F517ED"/>
    <w:rsid w:val="00F51F3F"/>
    <w:rsid w:val="00F528B5"/>
    <w:rsid w:val="00F528E7"/>
    <w:rsid w:val="00F52C8A"/>
    <w:rsid w:val="00F53615"/>
    <w:rsid w:val="00F53A91"/>
    <w:rsid w:val="00F54783"/>
    <w:rsid w:val="00F547E9"/>
    <w:rsid w:val="00F5494E"/>
    <w:rsid w:val="00F54ABE"/>
    <w:rsid w:val="00F553D2"/>
    <w:rsid w:val="00F5564F"/>
    <w:rsid w:val="00F55804"/>
    <w:rsid w:val="00F55F1A"/>
    <w:rsid w:val="00F56310"/>
    <w:rsid w:val="00F5684C"/>
    <w:rsid w:val="00F57210"/>
    <w:rsid w:val="00F577FC"/>
    <w:rsid w:val="00F602F0"/>
    <w:rsid w:val="00F6098E"/>
    <w:rsid w:val="00F60C90"/>
    <w:rsid w:val="00F619EE"/>
    <w:rsid w:val="00F61CF5"/>
    <w:rsid w:val="00F61FF9"/>
    <w:rsid w:val="00F62069"/>
    <w:rsid w:val="00F62159"/>
    <w:rsid w:val="00F62A7C"/>
    <w:rsid w:val="00F62B93"/>
    <w:rsid w:val="00F633E5"/>
    <w:rsid w:val="00F63A07"/>
    <w:rsid w:val="00F63C89"/>
    <w:rsid w:val="00F63FDE"/>
    <w:rsid w:val="00F643CA"/>
    <w:rsid w:val="00F647EC"/>
    <w:rsid w:val="00F64D57"/>
    <w:rsid w:val="00F64FAB"/>
    <w:rsid w:val="00F65329"/>
    <w:rsid w:val="00F6546A"/>
    <w:rsid w:val="00F65CEA"/>
    <w:rsid w:val="00F65F15"/>
    <w:rsid w:val="00F66443"/>
    <w:rsid w:val="00F675EA"/>
    <w:rsid w:val="00F7074A"/>
    <w:rsid w:val="00F711A0"/>
    <w:rsid w:val="00F71687"/>
    <w:rsid w:val="00F71708"/>
    <w:rsid w:val="00F717C1"/>
    <w:rsid w:val="00F71AB3"/>
    <w:rsid w:val="00F725D3"/>
    <w:rsid w:val="00F7281E"/>
    <w:rsid w:val="00F72C1A"/>
    <w:rsid w:val="00F72C3D"/>
    <w:rsid w:val="00F73269"/>
    <w:rsid w:val="00F737AB"/>
    <w:rsid w:val="00F74216"/>
    <w:rsid w:val="00F74F0F"/>
    <w:rsid w:val="00F75731"/>
    <w:rsid w:val="00F75841"/>
    <w:rsid w:val="00F76333"/>
    <w:rsid w:val="00F77100"/>
    <w:rsid w:val="00F77C84"/>
    <w:rsid w:val="00F8090F"/>
    <w:rsid w:val="00F8139A"/>
    <w:rsid w:val="00F82AAE"/>
    <w:rsid w:val="00F834BE"/>
    <w:rsid w:val="00F838A9"/>
    <w:rsid w:val="00F849E3"/>
    <w:rsid w:val="00F84B4E"/>
    <w:rsid w:val="00F84C44"/>
    <w:rsid w:val="00F851B7"/>
    <w:rsid w:val="00F8566C"/>
    <w:rsid w:val="00F858D4"/>
    <w:rsid w:val="00F85C65"/>
    <w:rsid w:val="00F860EB"/>
    <w:rsid w:val="00F86268"/>
    <w:rsid w:val="00F868B6"/>
    <w:rsid w:val="00F86968"/>
    <w:rsid w:val="00F86E21"/>
    <w:rsid w:val="00F86E42"/>
    <w:rsid w:val="00F86FD9"/>
    <w:rsid w:val="00F876E6"/>
    <w:rsid w:val="00F87825"/>
    <w:rsid w:val="00F87838"/>
    <w:rsid w:val="00F879E8"/>
    <w:rsid w:val="00F87FCE"/>
    <w:rsid w:val="00F9008B"/>
    <w:rsid w:val="00F91669"/>
    <w:rsid w:val="00F9184F"/>
    <w:rsid w:val="00F91943"/>
    <w:rsid w:val="00F92A66"/>
    <w:rsid w:val="00F931CF"/>
    <w:rsid w:val="00F93A31"/>
    <w:rsid w:val="00F93BA1"/>
    <w:rsid w:val="00F93D6E"/>
    <w:rsid w:val="00F9423D"/>
    <w:rsid w:val="00F94609"/>
    <w:rsid w:val="00F95182"/>
    <w:rsid w:val="00F957D2"/>
    <w:rsid w:val="00F95D94"/>
    <w:rsid w:val="00F96F86"/>
    <w:rsid w:val="00F97711"/>
    <w:rsid w:val="00FA02B8"/>
    <w:rsid w:val="00FA0980"/>
    <w:rsid w:val="00FA1028"/>
    <w:rsid w:val="00FA10F7"/>
    <w:rsid w:val="00FA157E"/>
    <w:rsid w:val="00FA181F"/>
    <w:rsid w:val="00FA1C1F"/>
    <w:rsid w:val="00FA1E82"/>
    <w:rsid w:val="00FA2137"/>
    <w:rsid w:val="00FA272D"/>
    <w:rsid w:val="00FA2C40"/>
    <w:rsid w:val="00FA338D"/>
    <w:rsid w:val="00FA34A2"/>
    <w:rsid w:val="00FA3742"/>
    <w:rsid w:val="00FA3837"/>
    <w:rsid w:val="00FA39FC"/>
    <w:rsid w:val="00FA44B4"/>
    <w:rsid w:val="00FA4538"/>
    <w:rsid w:val="00FA486C"/>
    <w:rsid w:val="00FA4998"/>
    <w:rsid w:val="00FA4DC2"/>
    <w:rsid w:val="00FA5EA3"/>
    <w:rsid w:val="00FA67E3"/>
    <w:rsid w:val="00FA7157"/>
    <w:rsid w:val="00FA73A6"/>
    <w:rsid w:val="00FA7698"/>
    <w:rsid w:val="00FA78C2"/>
    <w:rsid w:val="00FA7A2D"/>
    <w:rsid w:val="00FA7B4F"/>
    <w:rsid w:val="00FA7F36"/>
    <w:rsid w:val="00FB06E7"/>
    <w:rsid w:val="00FB06E9"/>
    <w:rsid w:val="00FB0822"/>
    <w:rsid w:val="00FB09AA"/>
    <w:rsid w:val="00FB1093"/>
    <w:rsid w:val="00FB13A0"/>
    <w:rsid w:val="00FB227E"/>
    <w:rsid w:val="00FB267D"/>
    <w:rsid w:val="00FB2A18"/>
    <w:rsid w:val="00FB2BF4"/>
    <w:rsid w:val="00FB2C8D"/>
    <w:rsid w:val="00FB2DC6"/>
    <w:rsid w:val="00FB4FDE"/>
    <w:rsid w:val="00FB5E81"/>
    <w:rsid w:val="00FB6E6C"/>
    <w:rsid w:val="00FB71B0"/>
    <w:rsid w:val="00FB7ABA"/>
    <w:rsid w:val="00FB7C21"/>
    <w:rsid w:val="00FB7C46"/>
    <w:rsid w:val="00FC04E0"/>
    <w:rsid w:val="00FC0D98"/>
    <w:rsid w:val="00FC1042"/>
    <w:rsid w:val="00FC11C6"/>
    <w:rsid w:val="00FC17D8"/>
    <w:rsid w:val="00FC279A"/>
    <w:rsid w:val="00FC324D"/>
    <w:rsid w:val="00FC39A1"/>
    <w:rsid w:val="00FC3BC3"/>
    <w:rsid w:val="00FC3E47"/>
    <w:rsid w:val="00FC4B53"/>
    <w:rsid w:val="00FC4BAE"/>
    <w:rsid w:val="00FC5160"/>
    <w:rsid w:val="00FC5A36"/>
    <w:rsid w:val="00FC69CF"/>
    <w:rsid w:val="00FC6B0B"/>
    <w:rsid w:val="00FC713B"/>
    <w:rsid w:val="00FC7862"/>
    <w:rsid w:val="00FC79D5"/>
    <w:rsid w:val="00FC7B35"/>
    <w:rsid w:val="00FC7B53"/>
    <w:rsid w:val="00FD0177"/>
    <w:rsid w:val="00FD051A"/>
    <w:rsid w:val="00FD0AE7"/>
    <w:rsid w:val="00FD0B44"/>
    <w:rsid w:val="00FD0F70"/>
    <w:rsid w:val="00FD2315"/>
    <w:rsid w:val="00FD29A7"/>
    <w:rsid w:val="00FD2B15"/>
    <w:rsid w:val="00FD3092"/>
    <w:rsid w:val="00FD35A1"/>
    <w:rsid w:val="00FD40FC"/>
    <w:rsid w:val="00FD412E"/>
    <w:rsid w:val="00FD420F"/>
    <w:rsid w:val="00FD4F2F"/>
    <w:rsid w:val="00FD51F7"/>
    <w:rsid w:val="00FD5258"/>
    <w:rsid w:val="00FD5602"/>
    <w:rsid w:val="00FD5A2A"/>
    <w:rsid w:val="00FD5AE2"/>
    <w:rsid w:val="00FD62B4"/>
    <w:rsid w:val="00FD7142"/>
    <w:rsid w:val="00FD750F"/>
    <w:rsid w:val="00FE011C"/>
    <w:rsid w:val="00FE07DC"/>
    <w:rsid w:val="00FE1116"/>
    <w:rsid w:val="00FE1E64"/>
    <w:rsid w:val="00FE2075"/>
    <w:rsid w:val="00FE2080"/>
    <w:rsid w:val="00FE2647"/>
    <w:rsid w:val="00FE27B9"/>
    <w:rsid w:val="00FE2E37"/>
    <w:rsid w:val="00FE3156"/>
    <w:rsid w:val="00FE3640"/>
    <w:rsid w:val="00FE3780"/>
    <w:rsid w:val="00FE3954"/>
    <w:rsid w:val="00FE3CF7"/>
    <w:rsid w:val="00FE4071"/>
    <w:rsid w:val="00FE42E3"/>
    <w:rsid w:val="00FE4ECD"/>
    <w:rsid w:val="00FE52B7"/>
    <w:rsid w:val="00FE53C5"/>
    <w:rsid w:val="00FE5807"/>
    <w:rsid w:val="00FE5C39"/>
    <w:rsid w:val="00FE5C57"/>
    <w:rsid w:val="00FE624E"/>
    <w:rsid w:val="00FE6415"/>
    <w:rsid w:val="00FE69E7"/>
    <w:rsid w:val="00FE6BB8"/>
    <w:rsid w:val="00FE6E76"/>
    <w:rsid w:val="00FE79AD"/>
    <w:rsid w:val="00FF027B"/>
    <w:rsid w:val="00FF08E5"/>
    <w:rsid w:val="00FF1174"/>
    <w:rsid w:val="00FF165A"/>
    <w:rsid w:val="00FF1B72"/>
    <w:rsid w:val="00FF1CF1"/>
    <w:rsid w:val="00FF1F4C"/>
    <w:rsid w:val="00FF2654"/>
    <w:rsid w:val="00FF2FF4"/>
    <w:rsid w:val="00FF3361"/>
    <w:rsid w:val="00FF35DC"/>
    <w:rsid w:val="00FF3A6A"/>
    <w:rsid w:val="00FF3C7A"/>
    <w:rsid w:val="00FF3E09"/>
    <w:rsid w:val="00FF411C"/>
    <w:rsid w:val="00FF4B2E"/>
    <w:rsid w:val="00FF4E4B"/>
    <w:rsid w:val="00FF4E4E"/>
    <w:rsid w:val="00FF5049"/>
    <w:rsid w:val="00FF5D1F"/>
    <w:rsid w:val="00FF5F95"/>
    <w:rsid w:val="00FF6126"/>
    <w:rsid w:val="00FF61F5"/>
    <w:rsid w:val="00FF62AA"/>
    <w:rsid w:val="00FF64D7"/>
    <w:rsid w:val="00FF6B6C"/>
    <w:rsid w:val="00FF773F"/>
    <w:rsid w:val="01133A10"/>
    <w:rsid w:val="011569C1"/>
    <w:rsid w:val="01303AC5"/>
    <w:rsid w:val="013C06BC"/>
    <w:rsid w:val="01420B2A"/>
    <w:rsid w:val="014D4677"/>
    <w:rsid w:val="016F0FEF"/>
    <w:rsid w:val="0189722C"/>
    <w:rsid w:val="018C1643"/>
    <w:rsid w:val="01923611"/>
    <w:rsid w:val="01A2045C"/>
    <w:rsid w:val="01AA2C10"/>
    <w:rsid w:val="01AE6902"/>
    <w:rsid w:val="01C0309B"/>
    <w:rsid w:val="01D80157"/>
    <w:rsid w:val="01DB10C6"/>
    <w:rsid w:val="01E00548"/>
    <w:rsid w:val="01F61C5A"/>
    <w:rsid w:val="01FE60B2"/>
    <w:rsid w:val="02016A00"/>
    <w:rsid w:val="020A2143"/>
    <w:rsid w:val="020A428C"/>
    <w:rsid w:val="0213141D"/>
    <w:rsid w:val="021F4265"/>
    <w:rsid w:val="02295CA9"/>
    <w:rsid w:val="02491C75"/>
    <w:rsid w:val="0259614B"/>
    <w:rsid w:val="026054A0"/>
    <w:rsid w:val="026954E1"/>
    <w:rsid w:val="026F552F"/>
    <w:rsid w:val="02797307"/>
    <w:rsid w:val="02810A7C"/>
    <w:rsid w:val="02CB3617"/>
    <w:rsid w:val="02CD6408"/>
    <w:rsid w:val="02D316DC"/>
    <w:rsid w:val="02D7201B"/>
    <w:rsid w:val="02DC102E"/>
    <w:rsid w:val="02E97F56"/>
    <w:rsid w:val="02EB4148"/>
    <w:rsid w:val="030070C8"/>
    <w:rsid w:val="0341020B"/>
    <w:rsid w:val="034823D7"/>
    <w:rsid w:val="0369246B"/>
    <w:rsid w:val="037738D8"/>
    <w:rsid w:val="03990047"/>
    <w:rsid w:val="03B21628"/>
    <w:rsid w:val="03E43D89"/>
    <w:rsid w:val="03EE579D"/>
    <w:rsid w:val="03F211D9"/>
    <w:rsid w:val="03F57A28"/>
    <w:rsid w:val="03F84D6E"/>
    <w:rsid w:val="044D5E3F"/>
    <w:rsid w:val="045049E5"/>
    <w:rsid w:val="045426C5"/>
    <w:rsid w:val="0461342B"/>
    <w:rsid w:val="04732647"/>
    <w:rsid w:val="04747B6E"/>
    <w:rsid w:val="049A7438"/>
    <w:rsid w:val="049C62A3"/>
    <w:rsid w:val="049D27AB"/>
    <w:rsid w:val="04C107ED"/>
    <w:rsid w:val="04CE3D21"/>
    <w:rsid w:val="050D2C5A"/>
    <w:rsid w:val="05237BC9"/>
    <w:rsid w:val="0537509A"/>
    <w:rsid w:val="053C3E44"/>
    <w:rsid w:val="05583A03"/>
    <w:rsid w:val="05751C38"/>
    <w:rsid w:val="057C4621"/>
    <w:rsid w:val="05834B0B"/>
    <w:rsid w:val="058B39C0"/>
    <w:rsid w:val="05976AA9"/>
    <w:rsid w:val="059E1945"/>
    <w:rsid w:val="05A96137"/>
    <w:rsid w:val="05AF45C3"/>
    <w:rsid w:val="05BB42A5"/>
    <w:rsid w:val="05C741D0"/>
    <w:rsid w:val="05DC6372"/>
    <w:rsid w:val="06100A10"/>
    <w:rsid w:val="0616772D"/>
    <w:rsid w:val="063709F6"/>
    <w:rsid w:val="069825C3"/>
    <w:rsid w:val="06D66EBD"/>
    <w:rsid w:val="06D73361"/>
    <w:rsid w:val="06EB482D"/>
    <w:rsid w:val="07240BFB"/>
    <w:rsid w:val="07267E44"/>
    <w:rsid w:val="07542FDD"/>
    <w:rsid w:val="07577FFE"/>
    <w:rsid w:val="075F0692"/>
    <w:rsid w:val="076F13FF"/>
    <w:rsid w:val="07944DAE"/>
    <w:rsid w:val="079F50C1"/>
    <w:rsid w:val="07F5126F"/>
    <w:rsid w:val="07F936E8"/>
    <w:rsid w:val="08002443"/>
    <w:rsid w:val="080A32C2"/>
    <w:rsid w:val="08136BD8"/>
    <w:rsid w:val="085D6AAE"/>
    <w:rsid w:val="08664D78"/>
    <w:rsid w:val="087C3772"/>
    <w:rsid w:val="087F5A8C"/>
    <w:rsid w:val="08884FF0"/>
    <w:rsid w:val="0892121B"/>
    <w:rsid w:val="089415E9"/>
    <w:rsid w:val="08A5686E"/>
    <w:rsid w:val="08B97BEE"/>
    <w:rsid w:val="08C95168"/>
    <w:rsid w:val="08F53B23"/>
    <w:rsid w:val="0910289B"/>
    <w:rsid w:val="092232AC"/>
    <w:rsid w:val="09502F56"/>
    <w:rsid w:val="09631CB3"/>
    <w:rsid w:val="09750C0F"/>
    <w:rsid w:val="09F45666"/>
    <w:rsid w:val="0A070656"/>
    <w:rsid w:val="0A4306B3"/>
    <w:rsid w:val="0A7D421F"/>
    <w:rsid w:val="0A836711"/>
    <w:rsid w:val="0A913ED8"/>
    <w:rsid w:val="0AA13910"/>
    <w:rsid w:val="0AAD3287"/>
    <w:rsid w:val="0AB160D0"/>
    <w:rsid w:val="0AD11E75"/>
    <w:rsid w:val="0AE9221C"/>
    <w:rsid w:val="0AEA7949"/>
    <w:rsid w:val="0AF8499D"/>
    <w:rsid w:val="0B065FC2"/>
    <w:rsid w:val="0B086489"/>
    <w:rsid w:val="0B091535"/>
    <w:rsid w:val="0B0C4A56"/>
    <w:rsid w:val="0B0E2A13"/>
    <w:rsid w:val="0B24171E"/>
    <w:rsid w:val="0B40239B"/>
    <w:rsid w:val="0B5D6D37"/>
    <w:rsid w:val="0B986D09"/>
    <w:rsid w:val="0B9A4803"/>
    <w:rsid w:val="0BB84817"/>
    <w:rsid w:val="0BB85F48"/>
    <w:rsid w:val="0BF26281"/>
    <w:rsid w:val="0C030D0A"/>
    <w:rsid w:val="0C305CF9"/>
    <w:rsid w:val="0C384038"/>
    <w:rsid w:val="0C5136A2"/>
    <w:rsid w:val="0C5268CB"/>
    <w:rsid w:val="0C6E6656"/>
    <w:rsid w:val="0C86322E"/>
    <w:rsid w:val="0C931AD8"/>
    <w:rsid w:val="0C9905D0"/>
    <w:rsid w:val="0CAA06EF"/>
    <w:rsid w:val="0CD31D20"/>
    <w:rsid w:val="0CD44754"/>
    <w:rsid w:val="0CDA2CB8"/>
    <w:rsid w:val="0CDA65E1"/>
    <w:rsid w:val="0CDB017B"/>
    <w:rsid w:val="0CF16FD9"/>
    <w:rsid w:val="0D081F34"/>
    <w:rsid w:val="0D1C5478"/>
    <w:rsid w:val="0D5154EF"/>
    <w:rsid w:val="0D584403"/>
    <w:rsid w:val="0D6225E1"/>
    <w:rsid w:val="0D7336B7"/>
    <w:rsid w:val="0D826FDE"/>
    <w:rsid w:val="0DA75940"/>
    <w:rsid w:val="0E145CDB"/>
    <w:rsid w:val="0E3015A8"/>
    <w:rsid w:val="0E405C64"/>
    <w:rsid w:val="0E4C3F2C"/>
    <w:rsid w:val="0E76520D"/>
    <w:rsid w:val="0E8923D3"/>
    <w:rsid w:val="0E946534"/>
    <w:rsid w:val="0EA041B9"/>
    <w:rsid w:val="0EA55AF2"/>
    <w:rsid w:val="0EC6188F"/>
    <w:rsid w:val="0EC73EB7"/>
    <w:rsid w:val="0ECA770D"/>
    <w:rsid w:val="0ED227F3"/>
    <w:rsid w:val="0F0547E3"/>
    <w:rsid w:val="0F0A55C0"/>
    <w:rsid w:val="0F2D48A0"/>
    <w:rsid w:val="0F31382A"/>
    <w:rsid w:val="0F333B7C"/>
    <w:rsid w:val="0F771915"/>
    <w:rsid w:val="0F841BAC"/>
    <w:rsid w:val="0F8C5872"/>
    <w:rsid w:val="0FAA29BA"/>
    <w:rsid w:val="0FAC0B6F"/>
    <w:rsid w:val="0FB4569D"/>
    <w:rsid w:val="0FBB3E63"/>
    <w:rsid w:val="0FBC419A"/>
    <w:rsid w:val="0FD70E2B"/>
    <w:rsid w:val="0FFD086A"/>
    <w:rsid w:val="10036F74"/>
    <w:rsid w:val="101C0A97"/>
    <w:rsid w:val="103B4960"/>
    <w:rsid w:val="10421716"/>
    <w:rsid w:val="104E5820"/>
    <w:rsid w:val="105E5A52"/>
    <w:rsid w:val="10676389"/>
    <w:rsid w:val="107F2381"/>
    <w:rsid w:val="10994137"/>
    <w:rsid w:val="10B65987"/>
    <w:rsid w:val="10D721D9"/>
    <w:rsid w:val="10D73F5D"/>
    <w:rsid w:val="10DE043D"/>
    <w:rsid w:val="10E8442D"/>
    <w:rsid w:val="10ED3781"/>
    <w:rsid w:val="10F67974"/>
    <w:rsid w:val="11083B38"/>
    <w:rsid w:val="110C1D72"/>
    <w:rsid w:val="11111A7D"/>
    <w:rsid w:val="114D07DA"/>
    <w:rsid w:val="114F1D45"/>
    <w:rsid w:val="115B693C"/>
    <w:rsid w:val="11604167"/>
    <w:rsid w:val="116353E3"/>
    <w:rsid w:val="116645D4"/>
    <w:rsid w:val="116C28F7"/>
    <w:rsid w:val="11733C86"/>
    <w:rsid w:val="117C7228"/>
    <w:rsid w:val="118A1561"/>
    <w:rsid w:val="11C95EBC"/>
    <w:rsid w:val="11E16884"/>
    <w:rsid w:val="11F761C4"/>
    <w:rsid w:val="120D0F7E"/>
    <w:rsid w:val="121511E1"/>
    <w:rsid w:val="123940D2"/>
    <w:rsid w:val="125B234C"/>
    <w:rsid w:val="129261B9"/>
    <w:rsid w:val="12C53943"/>
    <w:rsid w:val="12D6790A"/>
    <w:rsid w:val="12EB3CF0"/>
    <w:rsid w:val="12FC5EFD"/>
    <w:rsid w:val="12FE69BD"/>
    <w:rsid w:val="131C6B9D"/>
    <w:rsid w:val="133E6515"/>
    <w:rsid w:val="13484452"/>
    <w:rsid w:val="13670F27"/>
    <w:rsid w:val="13826402"/>
    <w:rsid w:val="13977E74"/>
    <w:rsid w:val="13AE44B8"/>
    <w:rsid w:val="13D64BCB"/>
    <w:rsid w:val="13E02EDD"/>
    <w:rsid w:val="13EB70BB"/>
    <w:rsid w:val="13EC2404"/>
    <w:rsid w:val="13EE3C4B"/>
    <w:rsid w:val="13F2596D"/>
    <w:rsid w:val="141B7F51"/>
    <w:rsid w:val="143343B4"/>
    <w:rsid w:val="143F0797"/>
    <w:rsid w:val="146F2C7A"/>
    <w:rsid w:val="14815CDD"/>
    <w:rsid w:val="149E4992"/>
    <w:rsid w:val="14A5048D"/>
    <w:rsid w:val="14C400EB"/>
    <w:rsid w:val="14E86739"/>
    <w:rsid w:val="150572EB"/>
    <w:rsid w:val="154A2C14"/>
    <w:rsid w:val="15792890"/>
    <w:rsid w:val="158D108E"/>
    <w:rsid w:val="15A053C7"/>
    <w:rsid w:val="15A14AA0"/>
    <w:rsid w:val="15A217AD"/>
    <w:rsid w:val="15C20D5B"/>
    <w:rsid w:val="15C57492"/>
    <w:rsid w:val="15E2762C"/>
    <w:rsid w:val="15FD22A9"/>
    <w:rsid w:val="160465DF"/>
    <w:rsid w:val="161812A0"/>
    <w:rsid w:val="161C0D90"/>
    <w:rsid w:val="162B2D81"/>
    <w:rsid w:val="166C05E7"/>
    <w:rsid w:val="16844368"/>
    <w:rsid w:val="16994B66"/>
    <w:rsid w:val="169C77DB"/>
    <w:rsid w:val="16A4294F"/>
    <w:rsid w:val="16D57191"/>
    <w:rsid w:val="16DB2418"/>
    <w:rsid w:val="16FA3F0A"/>
    <w:rsid w:val="16FF6A6E"/>
    <w:rsid w:val="17064457"/>
    <w:rsid w:val="170D06D9"/>
    <w:rsid w:val="173B7F86"/>
    <w:rsid w:val="176E614F"/>
    <w:rsid w:val="17887C78"/>
    <w:rsid w:val="179D7CAF"/>
    <w:rsid w:val="17A81616"/>
    <w:rsid w:val="17D80227"/>
    <w:rsid w:val="17EC0AAB"/>
    <w:rsid w:val="17EF7C70"/>
    <w:rsid w:val="18005CCD"/>
    <w:rsid w:val="18095344"/>
    <w:rsid w:val="18264464"/>
    <w:rsid w:val="18473867"/>
    <w:rsid w:val="18575E9D"/>
    <w:rsid w:val="185A794E"/>
    <w:rsid w:val="18605836"/>
    <w:rsid w:val="186C7681"/>
    <w:rsid w:val="186D0CF5"/>
    <w:rsid w:val="187D57ED"/>
    <w:rsid w:val="189150AD"/>
    <w:rsid w:val="189439F5"/>
    <w:rsid w:val="189D1842"/>
    <w:rsid w:val="18A54E45"/>
    <w:rsid w:val="18AD0BC4"/>
    <w:rsid w:val="18C47EF6"/>
    <w:rsid w:val="18C643E3"/>
    <w:rsid w:val="18EB67F8"/>
    <w:rsid w:val="18FD3F8D"/>
    <w:rsid w:val="19100ADE"/>
    <w:rsid w:val="19212219"/>
    <w:rsid w:val="1938614D"/>
    <w:rsid w:val="194335A9"/>
    <w:rsid w:val="19497206"/>
    <w:rsid w:val="19622F5E"/>
    <w:rsid w:val="19831126"/>
    <w:rsid w:val="19AB0A6A"/>
    <w:rsid w:val="19B65F09"/>
    <w:rsid w:val="19D26DAE"/>
    <w:rsid w:val="19D92AF4"/>
    <w:rsid w:val="19DE010A"/>
    <w:rsid w:val="1A116732"/>
    <w:rsid w:val="1A3E352A"/>
    <w:rsid w:val="1A3E7147"/>
    <w:rsid w:val="1A420497"/>
    <w:rsid w:val="1A442DE9"/>
    <w:rsid w:val="1A734BD6"/>
    <w:rsid w:val="1A8769F4"/>
    <w:rsid w:val="1AA9364E"/>
    <w:rsid w:val="1ABB69F7"/>
    <w:rsid w:val="1ACE7B05"/>
    <w:rsid w:val="1ADA4D76"/>
    <w:rsid w:val="1B012302"/>
    <w:rsid w:val="1B0F4C92"/>
    <w:rsid w:val="1B1F0450"/>
    <w:rsid w:val="1B414DF5"/>
    <w:rsid w:val="1B590390"/>
    <w:rsid w:val="1B7E7CA4"/>
    <w:rsid w:val="1B992C18"/>
    <w:rsid w:val="1B9C027D"/>
    <w:rsid w:val="1BA01B1B"/>
    <w:rsid w:val="1BA86C22"/>
    <w:rsid w:val="1BE168C7"/>
    <w:rsid w:val="1BFB149B"/>
    <w:rsid w:val="1C1442B7"/>
    <w:rsid w:val="1C16008D"/>
    <w:rsid w:val="1C1C4604"/>
    <w:rsid w:val="1C2F10F1"/>
    <w:rsid w:val="1C302341"/>
    <w:rsid w:val="1C6464F3"/>
    <w:rsid w:val="1C737502"/>
    <w:rsid w:val="1C955FF5"/>
    <w:rsid w:val="1CA4563B"/>
    <w:rsid w:val="1CA46CAD"/>
    <w:rsid w:val="1CB33AD0"/>
    <w:rsid w:val="1CBF7FFC"/>
    <w:rsid w:val="1D0C307E"/>
    <w:rsid w:val="1D102CD1"/>
    <w:rsid w:val="1D1E1E49"/>
    <w:rsid w:val="1D321E13"/>
    <w:rsid w:val="1D3D4B26"/>
    <w:rsid w:val="1D487B47"/>
    <w:rsid w:val="1D5C4168"/>
    <w:rsid w:val="1D5D393E"/>
    <w:rsid w:val="1D816CA1"/>
    <w:rsid w:val="1D894A4E"/>
    <w:rsid w:val="1DA455C9"/>
    <w:rsid w:val="1DD106B2"/>
    <w:rsid w:val="1E1C1CC6"/>
    <w:rsid w:val="1E1F22E7"/>
    <w:rsid w:val="1E21773D"/>
    <w:rsid w:val="1E253B0C"/>
    <w:rsid w:val="1E34479D"/>
    <w:rsid w:val="1E424EF2"/>
    <w:rsid w:val="1E4F43B5"/>
    <w:rsid w:val="1E592455"/>
    <w:rsid w:val="1E62755C"/>
    <w:rsid w:val="1E782FE3"/>
    <w:rsid w:val="1E876FC3"/>
    <w:rsid w:val="1EA55F0B"/>
    <w:rsid w:val="1EA57ED5"/>
    <w:rsid w:val="1EAF1621"/>
    <w:rsid w:val="1EC16202"/>
    <w:rsid w:val="1F277F55"/>
    <w:rsid w:val="1F3021BB"/>
    <w:rsid w:val="1F462152"/>
    <w:rsid w:val="1F574BE7"/>
    <w:rsid w:val="1F6074BC"/>
    <w:rsid w:val="1F6E16F7"/>
    <w:rsid w:val="1F92061B"/>
    <w:rsid w:val="1F95341E"/>
    <w:rsid w:val="1FC3402A"/>
    <w:rsid w:val="1FD2426D"/>
    <w:rsid w:val="1FDE795F"/>
    <w:rsid w:val="20464779"/>
    <w:rsid w:val="2059673D"/>
    <w:rsid w:val="205E3D53"/>
    <w:rsid w:val="20674D05"/>
    <w:rsid w:val="20780ECB"/>
    <w:rsid w:val="207B2B57"/>
    <w:rsid w:val="208E288A"/>
    <w:rsid w:val="20973053"/>
    <w:rsid w:val="20983709"/>
    <w:rsid w:val="209F6845"/>
    <w:rsid w:val="20B035B6"/>
    <w:rsid w:val="20C0056A"/>
    <w:rsid w:val="20C17512"/>
    <w:rsid w:val="20C80A8B"/>
    <w:rsid w:val="20D4319F"/>
    <w:rsid w:val="210743EB"/>
    <w:rsid w:val="211508B6"/>
    <w:rsid w:val="212B731E"/>
    <w:rsid w:val="21393DB6"/>
    <w:rsid w:val="21455F84"/>
    <w:rsid w:val="218072DE"/>
    <w:rsid w:val="219A0DBB"/>
    <w:rsid w:val="21B27D5E"/>
    <w:rsid w:val="21BD19B0"/>
    <w:rsid w:val="21C93118"/>
    <w:rsid w:val="21E61DED"/>
    <w:rsid w:val="220B3D78"/>
    <w:rsid w:val="223F5585"/>
    <w:rsid w:val="224176AA"/>
    <w:rsid w:val="224B0307"/>
    <w:rsid w:val="228C1199"/>
    <w:rsid w:val="22995516"/>
    <w:rsid w:val="229E1A3C"/>
    <w:rsid w:val="22A66FA1"/>
    <w:rsid w:val="2309269C"/>
    <w:rsid w:val="230F0EFA"/>
    <w:rsid w:val="232B6B4D"/>
    <w:rsid w:val="23425BAE"/>
    <w:rsid w:val="2354050D"/>
    <w:rsid w:val="23692F4A"/>
    <w:rsid w:val="23897036"/>
    <w:rsid w:val="23980F93"/>
    <w:rsid w:val="23A2211E"/>
    <w:rsid w:val="23A71402"/>
    <w:rsid w:val="23ED6DD7"/>
    <w:rsid w:val="23F0029B"/>
    <w:rsid w:val="23F74674"/>
    <w:rsid w:val="24455956"/>
    <w:rsid w:val="24457269"/>
    <w:rsid w:val="246F7A94"/>
    <w:rsid w:val="24785DA2"/>
    <w:rsid w:val="247945ED"/>
    <w:rsid w:val="24801EBF"/>
    <w:rsid w:val="24861ACA"/>
    <w:rsid w:val="24962842"/>
    <w:rsid w:val="24977600"/>
    <w:rsid w:val="24B71C84"/>
    <w:rsid w:val="250C31C5"/>
    <w:rsid w:val="253A3315"/>
    <w:rsid w:val="25922DF1"/>
    <w:rsid w:val="2598267F"/>
    <w:rsid w:val="25E331BF"/>
    <w:rsid w:val="262463FC"/>
    <w:rsid w:val="263C79FB"/>
    <w:rsid w:val="266438FC"/>
    <w:rsid w:val="26651E3E"/>
    <w:rsid w:val="26900487"/>
    <w:rsid w:val="26AA0F6E"/>
    <w:rsid w:val="26E367FB"/>
    <w:rsid w:val="26F64CE5"/>
    <w:rsid w:val="26FB6FF4"/>
    <w:rsid w:val="272F1A96"/>
    <w:rsid w:val="2743288D"/>
    <w:rsid w:val="27476E57"/>
    <w:rsid w:val="2749750B"/>
    <w:rsid w:val="27545EB0"/>
    <w:rsid w:val="275D1569"/>
    <w:rsid w:val="27614419"/>
    <w:rsid w:val="277512BC"/>
    <w:rsid w:val="277D0F63"/>
    <w:rsid w:val="2788525F"/>
    <w:rsid w:val="278D231A"/>
    <w:rsid w:val="27AA461A"/>
    <w:rsid w:val="27AB1837"/>
    <w:rsid w:val="27AC0841"/>
    <w:rsid w:val="27B826FD"/>
    <w:rsid w:val="27C16B7F"/>
    <w:rsid w:val="280C404B"/>
    <w:rsid w:val="28244352"/>
    <w:rsid w:val="283A5092"/>
    <w:rsid w:val="28773825"/>
    <w:rsid w:val="288173B1"/>
    <w:rsid w:val="28924EE2"/>
    <w:rsid w:val="28B1780C"/>
    <w:rsid w:val="28C537D0"/>
    <w:rsid w:val="28D36950"/>
    <w:rsid w:val="28FE7FB5"/>
    <w:rsid w:val="28FF75B9"/>
    <w:rsid w:val="297B0CF7"/>
    <w:rsid w:val="298C7FD6"/>
    <w:rsid w:val="29931032"/>
    <w:rsid w:val="29A4741D"/>
    <w:rsid w:val="29AF561F"/>
    <w:rsid w:val="29C018C0"/>
    <w:rsid w:val="29D4027A"/>
    <w:rsid w:val="29F07DCB"/>
    <w:rsid w:val="29F67468"/>
    <w:rsid w:val="2A0C2AC8"/>
    <w:rsid w:val="2A0C567B"/>
    <w:rsid w:val="2A227860"/>
    <w:rsid w:val="2A3F018F"/>
    <w:rsid w:val="2A41096D"/>
    <w:rsid w:val="2A51423E"/>
    <w:rsid w:val="2A606633"/>
    <w:rsid w:val="2A7A30FC"/>
    <w:rsid w:val="2A8574E0"/>
    <w:rsid w:val="2A9A007E"/>
    <w:rsid w:val="2AB07E98"/>
    <w:rsid w:val="2ADA3452"/>
    <w:rsid w:val="2AFB4FC0"/>
    <w:rsid w:val="2B1E0D76"/>
    <w:rsid w:val="2B3C3443"/>
    <w:rsid w:val="2B544C91"/>
    <w:rsid w:val="2B9204C0"/>
    <w:rsid w:val="2B9641C9"/>
    <w:rsid w:val="2BA93B4B"/>
    <w:rsid w:val="2BCB7235"/>
    <w:rsid w:val="2BD17ACF"/>
    <w:rsid w:val="2BE12DE4"/>
    <w:rsid w:val="2C126D40"/>
    <w:rsid w:val="2C1C4880"/>
    <w:rsid w:val="2C1E0343"/>
    <w:rsid w:val="2C225AAC"/>
    <w:rsid w:val="2C2E51A9"/>
    <w:rsid w:val="2C385A37"/>
    <w:rsid w:val="2C387FC0"/>
    <w:rsid w:val="2C583D4C"/>
    <w:rsid w:val="2C810CF5"/>
    <w:rsid w:val="2CB5119F"/>
    <w:rsid w:val="2CE00E67"/>
    <w:rsid w:val="2CE03939"/>
    <w:rsid w:val="2D085772"/>
    <w:rsid w:val="2D2D7F49"/>
    <w:rsid w:val="2D4B2012"/>
    <w:rsid w:val="2D4B565F"/>
    <w:rsid w:val="2D5A30BE"/>
    <w:rsid w:val="2D5D78C2"/>
    <w:rsid w:val="2D6E4272"/>
    <w:rsid w:val="2D7E5A35"/>
    <w:rsid w:val="2D89422F"/>
    <w:rsid w:val="2D8A2EE5"/>
    <w:rsid w:val="2D8E211C"/>
    <w:rsid w:val="2DA03343"/>
    <w:rsid w:val="2DA75A10"/>
    <w:rsid w:val="2DB00533"/>
    <w:rsid w:val="2DD37B2E"/>
    <w:rsid w:val="2E026D5C"/>
    <w:rsid w:val="2E475EF7"/>
    <w:rsid w:val="2E652F92"/>
    <w:rsid w:val="2E80360C"/>
    <w:rsid w:val="2E892C89"/>
    <w:rsid w:val="2E9532FC"/>
    <w:rsid w:val="2EC05356"/>
    <w:rsid w:val="2EC4391B"/>
    <w:rsid w:val="2EDD2DD9"/>
    <w:rsid w:val="2EF02962"/>
    <w:rsid w:val="2EFA61AC"/>
    <w:rsid w:val="2EFC1307"/>
    <w:rsid w:val="2F187542"/>
    <w:rsid w:val="2F212B1B"/>
    <w:rsid w:val="2F2342CF"/>
    <w:rsid w:val="2F2C015A"/>
    <w:rsid w:val="2F3B461D"/>
    <w:rsid w:val="2F723467"/>
    <w:rsid w:val="2F7B7412"/>
    <w:rsid w:val="2F7E1B7B"/>
    <w:rsid w:val="2F886A66"/>
    <w:rsid w:val="2F9D6036"/>
    <w:rsid w:val="2FB63264"/>
    <w:rsid w:val="2FD41ABB"/>
    <w:rsid w:val="2FD93FF2"/>
    <w:rsid w:val="2FFB2767"/>
    <w:rsid w:val="2FFE22F3"/>
    <w:rsid w:val="30201025"/>
    <w:rsid w:val="3024697C"/>
    <w:rsid w:val="30333112"/>
    <w:rsid w:val="3040488C"/>
    <w:rsid w:val="304F36B8"/>
    <w:rsid w:val="306E1D90"/>
    <w:rsid w:val="3091782D"/>
    <w:rsid w:val="309D7AA5"/>
    <w:rsid w:val="30A54794"/>
    <w:rsid w:val="30C76E14"/>
    <w:rsid w:val="310F2271"/>
    <w:rsid w:val="31101099"/>
    <w:rsid w:val="311A1BD6"/>
    <w:rsid w:val="31545AEB"/>
    <w:rsid w:val="31555C89"/>
    <w:rsid w:val="318A2BFA"/>
    <w:rsid w:val="31A17F44"/>
    <w:rsid w:val="31C35F4F"/>
    <w:rsid w:val="32231C1D"/>
    <w:rsid w:val="323214A4"/>
    <w:rsid w:val="32584214"/>
    <w:rsid w:val="325A534D"/>
    <w:rsid w:val="32775408"/>
    <w:rsid w:val="3278359D"/>
    <w:rsid w:val="327F2033"/>
    <w:rsid w:val="32907F6C"/>
    <w:rsid w:val="329F30ED"/>
    <w:rsid w:val="32A02B99"/>
    <w:rsid w:val="32B044C2"/>
    <w:rsid w:val="32E672DE"/>
    <w:rsid w:val="3310712F"/>
    <w:rsid w:val="33253D67"/>
    <w:rsid w:val="33397B3D"/>
    <w:rsid w:val="33512ECF"/>
    <w:rsid w:val="33541711"/>
    <w:rsid w:val="33941B0E"/>
    <w:rsid w:val="339715FE"/>
    <w:rsid w:val="33A3594B"/>
    <w:rsid w:val="33A87784"/>
    <w:rsid w:val="33B937C7"/>
    <w:rsid w:val="33D414D0"/>
    <w:rsid w:val="33ED3A4C"/>
    <w:rsid w:val="33FB393B"/>
    <w:rsid w:val="33FD568A"/>
    <w:rsid w:val="3408204A"/>
    <w:rsid w:val="340A098B"/>
    <w:rsid w:val="340F3A38"/>
    <w:rsid w:val="3422536C"/>
    <w:rsid w:val="34261D95"/>
    <w:rsid w:val="34286BD0"/>
    <w:rsid w:val="34565015"/>
    <w:rsid w:val="347B0F20"/>
    <w:rsid w:val="34A01021"/>
    <w:rsid w:val="34A1735C"/>
    <w:rsid w:val="34A55F9D"/>
    <w:rsid w:val="34AA5361"/>
    <w:rsid w:val="34CF6585"/>
    <w:rsid w:val="34F53A28"/>
    <w:rsid w:val="35170C48"/>
    <w:rsid w:val="351E27F7"/>
    <w:rsid w:val="35286559"/>
    <w:rsid w:val="353249AB"/>
    <w:rsid w:val="35434A41"/>
    <w:rsid w:val="359202CF"/>
    <w:rsid w:val="35965A33"/>
    <w:rsid w:val="35C83CF1"/>
    <w:rsid w:val="35C91817"/>
    <w:rsid w:val="35CD358A"/>
    <w:rsid w:val="35F26FC0"/>
    <w:rsid w:val="35FF7CF0"/>
    <w:rsid w:val="361F06B8"/>
    <w:rsid w:val="362A09EF"/>
    <w:rsid w:val="36416DF5"/>
    <w:rsid w:val="36484E32"/>
    <w:rsid w:val="36485B9A"/>
    <w:rsid w:val="366A22B2"/>
    <w:rsid w:val="367774C5"/>
    <w:rsid w:val="36870A2D"/>
    <w:rsid w:val="369C1105"/>
    <w:rsid w:val="36C42CBE"/>
    <w:rsid w:val="36DF5796"/>
    <w:rsid w:val="37096C00"/>
    <w:rsid w:val="37144D14"/>
    <w:rsid w:val="37467D39"/>
    <w:rsid w:val="374B0C8B"/>
    <w:rsid w:val="37534415"/>
    <w:rsid w:val="3766049B"/>
    <w:rsid w:val="37825FD3"/>
    <w:rsid w:val="37851BE0"/>
    <w:rsid w:val="37A06B28"/>
    <w:rsid w:val="37A12A4B"/>
    <w:rsid w:val="37AD3D8A"/>
    <w:rsid w:val="37B22EAA"/>
    <w:rsid w:val="37D41CDC"/>
    <w:rsid w:val="37F54B45"/>
    <w:rsid w:val="381A4BCD"/>
    <w:rsid w:val="382B419E"/>
    <w:rsid w:val="385F359C"/>
    <w:rsid w:val="388D2D3B"/>
    <w:rsid w:val="388F1BC9"/>
    <w:rsid w:val="38943E44"/>
    <w:rsid w:val="38A21095"/>
    <w:rsid w:val="38D756B8"/>
    <w:rsid w:val="39017EA2"/>
    <w:rsid w:val="39033292"/>
    <w:rsid w:val="3910440A"/>
    <w:rsid w:val="39134EB9"/>
    <w:rsid w:val="39151675"/>
    <w:rsid w:val="391B132E"/>
    <w:rsid w:val="39291124"/>
    <w:rsid w:val="392B67F1"/>
    <w:rsid w:val="39382FFD"/>
    <w:rsid w:val="393F7A2A"/>
    <w:rsid w:val="39A63BD5"/>
    <w:rsid w:val="39D329B1"/>
    <w:rsid w:val="39D36B8C"/>
    <w:rsid w:val="3A012035"/>
    <w:rsid w:val="3A073621"/>
    <w:rsid w:val="3A155954"/>
    <w:rsid w:val="3A325BDD"/>
    <w:rsid w:val="3A354028"/>
    <w:rsid w:val="3A48509C"/>
    <w:rsid w:val="3A5C426F"/>
    <w:rsid w:val="3A910809"/>
    <w:rsid w:val="3AA55D35"/>
    <w:rsid w:val="3AAC3BE1"/>
    <w:rsid w:val="3ACE6D47"/>
    <w:rsid w:val="3AE035DB"/>
    <w:rsid w:val="3AE8273F"/>
    <w:rsid w:val="3AEB74D4"/>
    <w:rsid w:val="3B226D04"/>
    <w:rsid w:val="3B2D45F6"/>
    <w:rsid w:val="3B30354B"/>
    <w:rsid w:val="3B332F52"/>
    <w:rsid w:val="3B4F5245"/>
    <w:rsid w:val="3B64595A"/>
    <w:rsid w:val="3B6B5DF3"/>
    <w:rsid w:val="3B8C3A12"/>
    <w:rsid w:val="3B966E3D"/>
    <w:rsid w:val="3B9C3264"/>
    <w:rsid w:val="3BA1126C"/>
    <w:rsid w:val="3BA80B19"/>
    <w:rsid w:val="3BAA366C"/>
    <w:rsid w:val="3BAA61D5"/>
    <w:rsid w:val="3BC17618"/>
    <w:rsid w:val="3C050623"/>
    <w:rsid w:val="3C090BBF"/>
    <w:rsid w:val="3C141945"/>
    <w:rsid w:val="3C241E9D"/>
    <w:rsid w:val="3C3C2D7F"/>
    <w:rsid w:val="3C4147E5"/>
    <w:rsid w:val="3C4240EC"/>
    <w:rsid w:val="3C4E76C4"/>
    <w:rsid w:val="3C604E87"/>
    <w:rsid w:val="3C6D0674"/>
    <w:rsid w:val="3C8F02F1"/>
    <w:rsid w:val="3CA316BA"/>
    <w:rsid w:val="3CA4489F"/>
    <w:rsid w:val="3CB762F7"/>
    <w:rsid w:val="3CCD7E3F"/>
    <w:rsid w:val="3CE127D6"/>
    <w:rsid w:val="3CEA2496"/>
    <w:rsid w:val="3D0728BD"/>
    <w:rsid w:val="3D093DA3"/>
    <w:rsid w:val="3D095AC1"/>
    <w:rsid w:val="3D0F1AD2"/>
    <w:rsid w:val="3D1A0D5D"/>
    <w:rsid w:val="3D414A5D"/>
    <w:rsid w:val="3D4F4B75"/>
    <w:rsid w:val="3D5E4F3B"/>
    <w:rsid w:val="3D7B15D6"/>
    <w:rsid w:val="3D89020A"/>
    <w:rsid w:val="3D9077EA"/>
    <w:rsid w:val="3DCD59B5"/>
    <w:rsid w:val="3DE96EFA"/>
    <w:rsid w:val="3DEF4079"/>
    <w:rsid w:val="3DF10F3D"/>
    <w:rsid w:val="3DF16B01"/>
    <w:rsid w:val="3E014D92"/>
    <w:rsid w:val="3E067AAC"/>
    <w:rsid w:val="3E2148E6"/>
    <w:rsid w:val="3E2512EC"/>
    <w:rsid w:val="3E347134"/>
    <w:rsid w:val="3E377C66"/>
    <w:rsid w:val="3E456F6B"/>
    <w:rsid w:val="3E4E35F7"/>
    <w:rsid w:val="3E5B0A0E"/>
    <w:rsid w:val="3E725142"/>
    <w:rsid w:val="3E857364"/>
    <w:rsid w:val="3E997760"/>
    <w:rsid w:val="3EA465E3"/>
    <w:rsid w:val="3EB73C30"/>
    <w:rsid w:val="3EBC6C14"/>
    <w:rsid w:val="3EF21AB7"/>
    <w:rsid w:val="3F0A1556"/>
    <w:rsid w:val="3F1104B7"/>
    <w:rsid w:val="3F1C50AD"/>
    <w:rsid w:val="3F220916"/>
    <w:rsid w:val="3F267D0C"/>
    <w:rsid w:val="3F3A1FEB"/>
    <w:rsid w:val="3F424B14"/>
    <w:rsid w:val="3F5C1289"/>
    <w:rsid w:val="3F6A2706"/>
    <w:rsid w:val="3F93711E"/>
    <w:rsid w:val="3FA1485F"/>
    <w:rsid w:val="3FA16705"/>
    <w:rsid w:val="3FA304D7"/>
    <w:rsid w:val="3FAC0DCD"/>
    <w:rsid w:val="3FD51394"/>
    <w:rsid w:val="3FDE49C2"/>
    <w:rsid w:val="3FEF0421"/>
    <w:rsid w:val="400555DC"/>
    <w:rsid w:val="40063BE1"/>
    <w:rsid w:val="405223A6"/>
    <w:rsid w:val="405A2D33"/>
    <w:rsid w:val="405B18E2"/>
    <w:rsid w:val="405F6B9A"/>
    <w:rsid w:val="406356BE"/>
    <w:rsid w:val="40761B5C"/>
    <w:rsid w:val="40885740"/>
    <w:rsid w:val="408C5ACA"/>
    <w:rsid w:val="40AA71FA"/>
    <w:rsid w:val="40C21ED1"/>
    <w:rsid w:val="40DE038F"/>
    <w:rsid w:val="411F7702"/>
    <w:rsid w:val="412344D1"/>
    <w:rsid w:val="41405083"/>
    <w:rsid w:val="41406E31"/>
    <w:rsid w:val="415E375B"/>
    <w:rsid w:val="41600008"/>
    <w:rsid w:val="41F60E7C"/>
    <w:rsid w:val="42044512"/>
    <w:rsid w:val="42253D73"/>
    <w:rsid w:val="423A47A0"/>
    <w:rsid w:val="426C1EA8"/>
    <w:rsid w:val="42A661FC"/>
    <w:rsid w:val="42B23573"/>
    <w:rsid w:val="42DC0426"/>
    <w:rsid w:val="43113AA6"/>
    <w:rsid w:val="43662219"/>
    <w:rsid w:val="437909E6"/>
    <w:rsid w:val="438A6A89"/>
    <w:rsid w:val="43B85611"/>
    <w:rsid w:val="43C76649"/>
    <w:rsid w:val="43E92284"/>
    <w:rsid w:val="43EB0BD1"/>
    <w:rsid w:val="43F15C6C"/>
    <w:rsid w:val="43F65ECD"/>
    <w:rsid w:val="441A22E9"/>
    <w:rsid w:val="441F3676"/>
    <w:rsid w:val="442F13DF"/>
    <w:rsid w:val="44321294"/>
    <w:rsid w:val="44380960"/>
    <w:rsid w:val="444924A1"/>
    <w:rsid w:val="4485607C"/>
    <w:rsid w:val="44BF2113"/>
    <w:rsid w:val="44D206E8"/>
    <w:rsid w:val="44E623E5"/>
    <w:rsid w:val="44F20D8A"/>
    <w:rsid w:val="450B5B1D"/>
    <w:rsid w:val="452B69AD"/>
    <w:rsid w:val="452F03D4"/>
    <w:rsid w:val="453B3CC5"/>
    <w:rsid w:val="456D10DC"/>
    <w:rsid w:val="457C4AF8"/>
    <w:rsid w:val="45A2367D"/>
    <w:rsid w:val="45BE2A1A"/>
    <w:rsid w:val="45C344D5"/>
    <w:rsid w:val="45E30A97"/>
    <w:rsid w:val="46032B23"/>
    <w:rsid w:val="46127D2C"/>
    <w:rsid w:val="46250CEB"/>
    <w:rsid w:val="462B0DF0"/>
    <w:rsid w:val="4633029D"/>
    <w:rsid w:val="467C5BF4"/>
    <w:rsid w:val="468907EF"/>
    <w:rsid w:val="46997E1F"/>
    <w:rsid w:val="46AA2F9F"/>
    <w:rsid w:val="46CB2857"/>
    <w:rsid w:val="46FB2B57"/>
    <w:rsid w:val="46FD09E2"/>
    <w:rsid w:val="470540AE"/>
    <w:rsid w:val="471205D4"/>
    <w:rsid w:val="471548BC"/>
    <w:rsid w:val="472D06A3"/>
    <w:rsid w:val="4748099D"/>
    <w:rsid w:val="474F0B6A"/>
    <w:rsid w:val="477F32EB"/>
    <w:rsid w:val="47843179"/>
    <w:rsid w:val="479223B1"/>
    <w:rsid w:val="47AD21A1"/>
    <w:rsid w:val="47B02837"/>
    <w:rsid w:val="47B2405B"/>
    <w:rsid w:val="47BA7175"/>
    <w:rsid w:val="47D2542C"/>
    <w:rsid w:val="47DA1415"/>
    <w:rsid w:val="47E52A2D"/>
    <w:rsid w:val="47F13A7E"/>
    <w:rsid w:val="481B53BF"/>
    <w:rsid w:val="481C4F33"/>
    <w:rsid w:val="489422CC"/>
    <w:rsid w:val="48C12F4D"/>
    <w:rsid w:val="490F05C7"/>
    <w:rsid w:val="492604C6"/>
    <w:rsid w:val="492E1B48"/>
    <w:rsid w:val="49694A64"/>
    <w:rsid w:val="49755AE6"/>
    <w:rsid w:val="498C47EF"/>
    <w:rsid w:val="498D755C"/>
    <w:rsid w:val="49AC08A9"/>
    <w:rsid w:val="49C66980"/>
    <w:rsid w:val="49E8275C"/>
    <w:rsid w:val="4A0F1A96"/>
    <w:rsid w:val="4A2527CF"/>
    <w:rsid w:val="4A3817DC"/>
    <w:rsid w:val="4A5062AF"/>
    <w:rsid w:val="4A652E87"/>
    <w:rsid w:val="4A8C1339"/>
    <w:rsid w:val="4A8C6EE9"/>
    <w:rsid w:val="4A8C758B"/>
    <w:rsid w:val="4A8E1A01"/>
    <w:rsid w:val="4A981E51"/>
    <w:rsid w:val="4AA0768E"/>
    <w:rsid w:val="4AA85A47"/>
    <w:rsid w:val="4AB50890"/>
    <w:rsid w:val="4ABF19FB"/>
    <w:rsid w:val="4AFD2237"/>
    <w:rsid w:val="4AFE7495"/>
    <w:rsid w:val="4B04003D"/>
    <w:rsid w:val="4B0A3CE0"/>
    <w:rsid w:val="4B103D18"/>
    <w:rsid w:val="4B120AB8"/>
    <w:rsid w:val="4B1569E2"/>
    <w:rsid w:val="4B157580"/>
    <w:rsid w:val="4B2A36F5"/>
    <w:rsid w:val="4B330C0F"/>
    <w:rsid w:val="4B38326F"/>
    <w:rsid w:val="4B3A6FE7"/>
    <w:rsid w:val="4B59752A"/>
    <w:rsid w:val="4B675A62"/>
    <w:rsid w:val="4B75001F"/>
    <w:rsid w:val="4BA30851"/>
    <w:rsid w:val="4BAC17E1"/>
    <w:rsid w:val="4BAF4E4F"/>
    <w:rsid w:val="4BB64521"/>
    <w:rsid w:val="4BC340CA"/>
    <w:rsid w:val="4BC7724F"/>
    <w:rsid w:val="4BD35482"/>
    <w:rsid w:val="4BF26268"/>
    <w:rsid w:val="4C0B0799"/>
    <w:rsid w:val="4C100DD5"/>
    <w:rsid w:val="4C503829"/>
    <w:rsid w:val="4C5D5328"/>
    <w:rsid w:val="4C7265DB"/>
    <w:rsid w:val="4C862490"/>
    <w:rsid w:val="4CAB486C"/>
    <w:rsid w:val="4CAC082D"/>
    <w:rsid w:val="4CDB2104"/>
    <w:rsid w:val="4CE053AC"/>
    <w:rsid w:val="4CE0771A"/>
    <w:rsid w:val="4D017FCF"/>
    <w:rsid w:val="4D063625"/>
    <w:rsid w:val="4D4001BD"/>
    <w:rsid w:val="4D4B7A9E"/>
    <w:rsid w:val="4DB07655"/>
    <w:rsid w:val="4DB27309"/>
    <w:rsid w:val="4DC14C4C"/>
    <w:rsid w:val="4E092CA9"/>
    <w:rsid w:val="4E2C7D5A"/>
    <w:rsid w:val="4E6268C7"/>
    <w:rsid w:val="4E6A2552"/>
    <w:rsid w:val="4E9A3B3A"/>
    <w:rsid w:val="4EAC5711"/>
    <w:rsid w:val="4EC862E1"/>
    <w:rsid w:val="4ED908C5"/>
    <w:rsid w:val="4EDA0D8F"/>
    <w:rsid w:val="4EE20E4C"/>
    <w:rsid w:val="4EE438F0"/>
    <w:rsid w:val="4EF223F7"/>
    <w:rsid w:val="4F0E680D"/>
    <w:rsid w:val="4F337FD5"/>
    <w:rsid w:val="4F3B75F4"/>
    <w:rsid w:val="4F473914"/>
    <w:rsid w:val="4F6A3575"/>
    <w:rsid w:val="4F870321"/>
    <w:rsid w:val="501F67AB"/>
    <w:rsid w:val="505C7478"/>
    <w:rsid w:val="505F398A"/>
    <w:rsid w:val="506556F3"/>
    <w:rsid w:val="50724B2D"/>
    <w:rsid w:val="50911CDD"/>
    <w:rsid w:val="50C62F6E"/>
    <w:rsid w:val="50D34884"/>
    <w:rsid w:val="50DA5A83"/>
    <w:rsid w:val="50F814D6"/>
    <w:rsid w:val="510969E0"/>
    <w:rsid w:val="51243F31"/>
    <w:rsid w:val="512550E6"/>
    <w:rsid w:val="51270EBB"/>
    <w:rsid w:val="51317EFD"/>
    <w:rsid w:val="517B7AD6"/>
    <w:rsid w:val="518B4F66"/>
    <w:rsid w:val="518C60C3"/>
    <w:rsid w:val="51AC406F"/>
    <w:rsid w:val="51B2004B"/>
    <w:rsid w:val="51BD6EB5"/>
    <w:rsid w:val="51CC0820"/>
    <w:rsid w:val="523128C1"/>
    <w:rsid w:val="52344790"/>
    <w:rsid w:val="523F31FB"/>
    <w:rsid w:val="52412A09"/>
    <w:rsid w:val="52755993"/>
    <w:rsid w:val="527C2D46"/>
    <w:rsid w:val="52811779"/>
    <w:rsid w:val="52A53F13"/>
    <w:rsid w:val="53067018"/>
    <w:rsid w:val="531B5C83"/>
    <w:rsid w:val="5348709C"/>
    <w:rsid w:val="536B156B"/>
    <w:rsid w:val="53796426"/>
    <w:rsid w:val="537E2166"/>
    <w:rsid w:val="53D31D87"/>
    <w:rsid w:val="53E75AFB"/>
    <w:rsid w:val="53F7181D"/>
    <w:rsid w:val="53F8332B"/>
    <w:rsid w:val="541B10E8"/>
    <w:rsid w:val="54305AB1"/>
    <w:rsid w:val="543631BA"/>
    <w:rsid w:val="54825938"/>
    <w:rsid w:val="54871C5A"/>
    <w:rsid w:val="548946E9"/>
    <w:rsid w:val="54940A92"/>
    <w:rsid w:val="54964F71"/>
    <w:rsid w:val="54AA5E3E"/>
    <w:rsid w:val="54AB3A75"/>
    <w:rsid w:val="54E96234"/>
    <w:rsid w:val="54F91783"/>
    <w:rsid w:val="55125703"/>
    <w:rsid w:val="55344AA7"/>
    <w:rsid w:val="554506E4"/>
    <w:rsid w:val="5554394D"/>
    <w:rsid w:val="55622629"/>
    <w:rsid w:val="557701D2"/>
    <w:rsid w:val="55791DE0"/>
    <w:rsid w:val="55855303"/>
    <w:rsid w:val="55965D46"/>
    <w:rsid w:val="559B2B15"/>
    <w:rsid w:val="559B5DCD"/>
    <w:rsid w:val="55C73B6D"/>
    <w:rsid w:val="55D83684"/>
    <w:rsid w:val="5624774E"/>
    <w:rsid w:val="56350AD7"/>
    <w:rsid w:val="5638435A"/>
    <w:rsid w:val="56556C66"/>
    <w:rsid w:val="56694C24"/>
    <w:rsid w:val="567B7E74"/>
    <w:rsid w:val="56884185"/>
    <w:rsid w:val="56897501"/>
    <w:rsid w:val="568B58A6"/>
    <w:rsid w:val="56903F5F"/>
    <w:rsid w:val="56A11550"/>
    <w:rsid w:val="56CF0F2B"/>
    <w:rsid w:val="571050A0"/>
    <w:rsid w:val="572271AE"/>
    <w:rsid w:val="57234DD3"/>
    <w:rsid w:val="57250844"/>
    <w:rsid w:val="57923D07"/>
    <w:rsid w:val="579F72F0"/>
    <w:rsid w:val="57A31FBD"/>
    <w:rsid w:val="57AA2DFF"/>
    <w:rsid w:val="57BE7EF7"/>
    <w:rsid w:val="580B5F93"/>
    <w:rsid w:val="581E2406"/>
    <w:rsid w:val="581F5A4E"/>
    <w:rsid w:val="58205355"/>
    <w:rsid w:val="582726A1"/>
    <w:rsid w:val="583A3023"/>
    <w:rsid w:val="583D3941"/>
    <w:rsid w:val="58506436"/>
    <w:rsid w:val="58875F50"/>
    <w:rsid w:val="588F3825"/>
    <w:rsid w:val="589A10C5"/>
    <w:rsid w:val="58B06B3A"/>
    <w:rsid w:val="58B202E1"/>
    <w:rsid w:val="58B45526"/>
    <w:rsid w:val="58CE6FC1"/>
    <w:rsid w:val="58D04B04"/>
    <w:rsid w:val="5918196B"/>
    <w:rsid w:val="593F7382"/>
    <w:rsid w:val="59503D81"/>
    <w:rsid w:val="59945B14"/>
    <w:rsid w:val="599B5410"/>
    <w:rsid w:val="599D61E2"/>
    <w:rsid w:val="59A04E97"/>
    <w:rsid w:val="59C56386"/>
    <w:rsid w:val="59EE61F6"/>
    <w:rsid w:val="5A12441A"/>
    <w:rsid w:val="5A2F0830"/>
    <w:rsid w:val="5A386DE8"/>
    <w:rsid w:val="5A3A2DDD"/>
    <w:rsid w:val="5A4511B3"/>
    <w:rsid w:val="5A662450"/>
    <w:rsid w:val="5A894121"/>
    <w:rsid w:val="5AB74777"/>
    <w:rsid w:val="5AC77891"/>
    <w:rsid w:val="5ADB2054"/>
    <w:rsid w:val="5AE32CA8"/>
    <w:rsid w:val="5B084A0C"/>
    <w:rsid w:val="5B092532"/>
    <w:rsid w:val="5B14100C"/>
    <w:rsid w:val="5B225F50"/>
    <w:rsid w:val="5B257D1B"/>
    <w:rsid w:val="5B2C2B53"/>
    <w:rsid w:val="5B2D4B97"/>
    <w:rsid w:val="5B3F7D02"/>
    <w:rsid w:val="5B4932D9"/>
    <w:rsid w:val="5B4B7531"/>
    <w:rsid w:val="5B5C08B4"/>
    <w:rsid w:val="5B863B83"/>
    <w:rsid w:val="5BC621D1"/>
    <w:rsid w:val="5C160EF0"/>
    <w:rsid w:val="5C1B1F92"/>
    <w:rsid w:val="5C2D449B"/>
    <w:rsid w:val="5C3A7353"/>
    <w:rsid w:val="5C4952DC"/>
    <w:rsid w:val="5C62014C"/>
    <w:rsid w:val="5C6519EA"/>
    <w:rsid w:val="5C663845"/>
    <w:rsid w:val="5C732359"/>
    <w:rsid w:val="5C847801"/>
    <w:rsid w:val="5CBA0C04"/>
    <w:rsid w:val="5CC03E18"/>
    <w:rsid w:val="5CD72645"/>
    <w:rsid w:val="5D0A2948"/>
    <w:rsid w:val="5D1221F0"/>
    <w:rsid w:val="5D155A5A"/>
    <w:rsid w:val="5D185F45"/>
    <w:rsid w:val="5D2B4D40"/>
    <w:rsid w:val="5D304944"/>
    <w:rsid w:val="5D43448C"/>
    <w:rsid w:val="5D5D4EBD"/>
    <w:rsid w:val="5D69550A"/>
    <w:rsid w:val="5DA31D4F"/>
    <w:rsid w:val="5DAC2AD1"/>
    <w:rsid w:val="5DB22CB2"/>
    <w:rsid w:val="5DD07C65"/>
    <w:rsid w:val="5DE535F0"/>
    <w:rsid w:val="5DE66B5A"/>
    <w:rsid w:val="5DED1C97"/>
    <w:rsid w:val="5DED613B"/>
    <w:rsid w:val="5DF0442A"/>
    <w:rsid w:val="5DF76D59"/>
    <w:rsid w:val="5E0812A1"/>
    <w:rsid w:val="5E0D2815"/>
    <w:rsid w:val="5E9356C1"/>
    <w:rsid w:val="5E9F12D0"/>
    <w:rsid w:val="5EA36D8A"/>
    <w:rsid w:val="5EA74BD1"/>
    <w:rsid w:val="5EB07018"/>
    <w:rsid w:val="5ECC4FE6"/>
    <w:rsid w:val="5ECD6481"/>
    <w:rsid w:val="5EDC0D43"/>
    <w:rsid w:val="5EE5333C"/>
    <w:rsid w:val="5EF552A7"/>
    <w:rsid w:val="5F0769DF"/>
    <w:rsid w:val="5F260624"/>
    <w:rsid w:val="5F3F24BD"/>
    <w:rsid w:val="5F5B283E"/>
    <w:rsid w:val="5F7B20F8"/>
    <w:rsid w:val="5F8A1E93"/>
    <w:rsid w:val="5FBD2057"/>
    <w:rsid w:val="5FD8720F"/>
    <w:rsid w:val="5FF90EF5"/>
    <w:rsid w:val="60001C90"/>
    <w:rsid w:val="600A6B30"/>
    <w:rsid w:val="600F2399"/>
    <w:rsid w:val="60127FE3"/>
    <w:rsid w:val="601479AF"/>
    <w:rsid w:val="601A7F85"/>
    <w:rsid w:val="601B75F6"/>
    <w:rsid w:val="60447752"/>
    <w:rsid w:val="606B4BE1"/>
    <w:rsid w:val="606F61B2"/>
    <w:rsid w:val="609D1EF0"/>
    <w:rsid w:val="60AB2180"/>
    <w:rsid w:val="60AF0860"/>
    <w:rsid w:val="60C74A21"/>
    <w:rsid w:val="60C8658C"/>
    <w:rsid w:val="6122479C"/>
    <w:rsid w:val="613A6556"/>
    <w:rsid w:val="61501C31"/>
    <w:rsid w:val="616119B1"/>
    <w:rsid w:val="619012B7"/>
    <w:rsid w:val="61AE772D"/>
    <w:rsid w:val="61DB506A"/>
    <w:rsid w:val="61FC4174"/>
    <w:rsid w:val="621B7440"/>
    <w:rsid w:val="624E0D36"/>
    <w:rsid w:val="625D227F"/>
    <w:rsid w:val="62856D2B"/>
    <w:rsid w:val="628D68EA"/>
    <w:rsid w:val="62930AFE"/>
    <w:rsid w:val="629D3C8C"/>
    <w:rsid w:val="62B2418B"/>
    <w:rsid w:val="62DB4CA3"/>
    <w:rsid w:val="62FC6739"/>
    <w:rsid w:val="632D77B2"/>
    <w:rsid w:val="633B1207"/>
    <w:rsid w:val="63491D53"/>
    <w:rsid w:val="635B5B55"/>
    <w:rsid w:val="635B778C"/>
    <w:rsid w:val="63960EB6"/>
    <w:rsid w:val="639E73BB"/>
    <w:rsid w:val="63A14D89"/>
    <w:rsid w:val="63B0159A"/>
    <w:rsid w:val="63BD6722"/>
    <w:rsid w:val="63BF5A9E"/>
    <w:rsid w:val="63CE4319"/>
    <w:rsid w:val="63E10C34"/>
    <w:rsid w:val="63FF00E0"/>
    <w:rsid w:val="641E547F"/>
    <w:rsid w:val="642A0D1C"/>
    <w:rsid w:val="642D103F"/>
    <w:rsid w:val="642E11C6"/>
    <w:rsid w:val="644134F7"/>
    <w:rsid w:val="64441196"/>
    <w:rsid w:val="644873DB"/>
    <w:rsid w:val="64656F60"/>
    <w:rsid w:val="646978EA"/>
    <w:rsid w:val="649134CE"/>
    <w:rsid w:val="64941459"/>
    <w:rsid w:val="64B939C5"/>
    <w:rsid w:val="64BC27BC"/>
    <w:rsid w:val="64FD2785"/>
    <w:rsid w:val="65036DD2"/>
    <w:rsid w:val="65077AE2"/>
    <w:rsid w:val="651346D9"/>
    <w:rsid w:val="652B090F"/>
    <w:rsid w:val="6576463D"/>
    <w:rsid w:val="65B12E61"/>
    <w:rsid w:val="65C96250"/>
    <w:rsid w:val="65D023BB"/>
    <w:rsid w:val="65EE2A50"/>
    <w:rsid w:val="65EF49C0"/>
    <w:rsid w:val="66044022"/>
    <w:rsid w:val="6613090B"/>
    <w:rsid w:val="66142CCC"/>
    <w:rsid w:val="66501BD5"/>
    <w:rsid w:val="66544FA9"/>
    <w:rsid w:val="66606478"/>
    <w:rsid w:val="66807B4C"/>
    <w:rsid w:val="66A02266"/>
    <w:rsid w:val="66A50E9B"/>
    <w:rsid w:val="66D9280F"/>
    <w:rsid w:val="66E0683D"/>
    <w:rsid w:val="6703252B"/>
    <w:rsid w:val="67113251"/>
    <w:rsid w:val="672619A2"/>
    <w:rsid w:val="67624EDE"/>
    <w:rsid w:val="67671D00"/>
    <w:rsid w:val="67696347"/>
    <w:rsid w:val="676B7B4C"/>
    <w:rsid w:val="676E586B"/>
    <w:rsid w:val="67846B52"/>
    <w:rsid w:val="67880C4C"/>
    <w:rsid w:val="678A0557"/>
    <w:rsid w:val="67A313FD"/>
    <w:rsid w:val="67B822E6"/>
    <w:rsid w:val="67D13D07"/>
    <w:rsid w:val="67E35D80"/>
    <w:rsid w:val="67F72090"/>
    <w:rsid w:val="681E4DB6"/>
    <w:rsid w:val="68315086"/>
    <w:rsid w:val="68464DC5"/>
    <w:rsid w:val="686B7EED"/>
    <w:rsid w:val="686D1BF4"/>
    <w:rsid w:val="686E10BD"/>
    <w:rsid w:val="68731899"/>
    <w:rsid w:val="68A1024E"/>
    <w:rsid w:val="68B00491"/>
    <w:rsid w:val="68B77E18"/>
    <w:rsid w:val="68C20B45"/>
    <w:rsid w:val="68C370BA"/>
    <w:rsid w:val="68C70FC8"/>
    <w:rsid w:val="68E54088"/>
    <w:rsid w:val="68E67209"/>
    <w:rsid w:val="68EE770D"/>
    <w:rsid w:val="690B55BB"/>
    <w:rsid w:val="69670ECB"/>
    <w:rsid w:val="69847953"/>
    <w:rsid w:val="69A30114"/>
    <w:rsid w:val="69AC2A06"/>
    <w:rsid w:val="69BD674C"/>
    <w:rsid w:val="69C81F6F"/>
    <w:rsid w:val="69CE792E"/>
    <w:rsid w:val="69D5737D"/>
    <w:rsid w:val="6A0C16F7"/>
    <w:rsid w:val="6A1D3904"/>
    <w:rsid w:val="6A2154CC"/>
    <w:rsid w:val="6A4B512C"/>
    <w:rsid w:val="6A615EE7"/>
    <w:rsid w:val="6A6E1CC0"/>
    <w:rsid w:val="6AAA3C2B"/>
    <w:rsid w:val="6ACD2659"/>
    <w:rsid w:val="6AD6457D"/>
    <w:rsid w:val="6AF92806"/>
    <w:rsid w:val="6B19231D"/>
    <w:rsid w:val="6B241A17"/>
    <w:rsid w:val="6B28556D"/>
    <w:rsid w:val="6B3453A9"/>
    <w:rsid w:val="6B4D58B1"/>
    <w:rsid w:val="6B506BD5"/>
    <w:rsid w:val="6B6E5A34"/>
    <w:rsid w:val="6B850DD2"/>
    <w:rsid w:val="6B8C6F93"/>
    <w:rsid w:val="6BA86689"/>
    <w:rsid w:val="6BB9765C"/>
    <w:rsid w:val="6BC907E6"/>
    <w:rsid w:val="6BCF7A37"/>
    <w:rsid w:val="6BE12DF7"/>
    <w:rsid w:val="6C354F35"/>
    <w:rsid w:val="6C4F090C"/>
    <w:rsid w:val="6C55686E"/>
    <w:rsid w:val="6C5A4931"/>
    <w:rsid w:val="6C64581A"/>
    <w:rsid w:val="6C6770B8"/>
    <w:rsid w:val="6C732514"/>
    <w:rsid w:val="6C972826"/>
    <w:rsid w:val="6CA26FC4"/>
    <w:rsid w:val="6CC647D8"/>
    <w:rsid w:val="6CD07FAB"/>
    <w:rsid w:val="6CD70800"/>
    <w:rsid w:val="6CF941B4"/>
    <w:rsid w:val="6CFD0930"/>
    <w:rsid w:val="6D3E606B"/>
    <w:rsid w:val="6D4E5BAD"/>
    <w:rsid w:val="6D5818F7"/>
    <w:rsid w:val="6D6E22B4"/>
    <w:rsid w:val="6D9C5AA7"/>
    <w:rsid w:val="6DA24534"/>
    <w:rsid w:val="6DAC437A"/>
    <w:rsid w:val="6DAE1443"/>
    <w:rsid w:val="6DD0245B"/>
    <w:rsid w:val="6DD95D94"/>
    <w:rsid w:val="6DE44551"/>
    <w:rsid w:val="6DE75615"/>
    <w:rsid w:val="6DF02C01"/>
    <w:rsid w:val="6DFA11AA"/>
    <w:rsid w:val="6E0C6CA0"/>
    <w:rsid w:val="6E133475"/>
    <w:rsid w:val="6E1A71F5"/>
    <w:rsid w:val="6E24378D"/>
    <w:rsid w:val="6E2E33A0"/>
    <w:rsid w:val="6E376781"/>
    <w:rsid w:val="6E3F02C7"/>
    <w:rsid w:val="6E4234FE"/>
    <w:rsid w:val="6E512F8A"/>
    <w:rsid w:val="6E58691C"/>
    <w:rsid w:val="6E614455"/>
    <w:rsid w:val="6E82642B"/>
    <w:rsid w:val="6E8422D3"/>
    <w:rsid w:val="6E896B71"/>
    <w:rsid w:val="6E9C0F6F"/>
    <w:rsid w:val="6E9F1E04"/>
    <w:rsid w:val="6EAD16FA"/>
    <w:rsid w:val="6EB337BF"/>
    <w:rsid w:val="6EBD1C49"/>
    <w:rsid w:val="6EC45F3C"/>
    <w:rsid w:val="6EDA6400"/>
    <w:rsid w:val="6F0423FC"/>
    <w:rsid w:val="6F07680C"/>
    <w:rsid w:val="6F3066E0"/>
    <w:rsid w:val="6F5873C9"/>
    <w:rsid w:val="6F5E68CB"/>
    <w:rsid w:val="6F8A5911"/>
    <w:rsid w:val="6F983C7A"/>
    <w:rsid w:val="6F9D7A41"/>
    <w:rsid w:val="6FB213CE"/>
    <w:rsid w:val="6FBD2762"/>
    <w:rsid w:val="6FC13B19"/>
    <w:rsid w:val="6FF55387"/>
    <w:rsid w:val="70124A4F"/>
    <w:rsid w:val="70257196"/>
    <w:rsid w:val="703674CE"/>
    <w:rsid w:val="7048735F"/>
    <w:rsid w:val="704E4F02"/>
    <w:rsid w:val="705A4ECE"/>
    <w:rsid w:val="70916EB5"/>
    <w:rsid w:val="70BD7BEF"/>
    <w:rsid w:val="70D56CCD"/>
    <w:rsid w:val="70DA3CA9"/>
    <w:rsid w:val="7103031A"/>
    <w:rsid w:val="71121F70"/>
    <w:rsid w:val="713A2FED"/>
    <w:rsid w:val="715017B4"/>
    <w:rsid w:val="71664461"/>
    <w:rsid w:val="7178743C"/>
    <w:rsid w:val="717C50F5"/>
    <w:rsid w:val="71936CB3"/>
    <w:rsid w:val="71A26A7D"/>
    <w:rsid w:val="71AD7318"/>
    <w:rsid w:val="71C64881"/>
    <w:rsid w:val="71D308D7"/>
    <w:rsid w:val="71EE349C"/>
    <w:rsid w:val="71F11D7C"/>
    <w:rsid w:val="71F14666"/>
    <w:rsid w:val="7214383E"/>
    <w:rsid w:val="724018CF"/>
    <w:rsid w:val="724F69E5"/>
    <w:rsid w:val="726D70E7"/>
    <w:rsid w:val="7275067C"/>
    <w:rsid w:val="728145BB"/>
    <w:rsid w:val="72895FDA"/>
    <w:rsid w:val="72930C07"/>
    <w:rsid w:val="731B4DA3"/>
    <w:rsid w:val="732544C4"/>
    <w:rsid w:val="733F02E2"/>
    <w:rsid w:val="73504393"/>
    <w:rsid w:val="73831310"/>
    <w:rsid w:val="73A933BF"/>
    <w:rsid w:val="73CE194F"/>
    <w:rsid w:val="73E84F83"/>
    <w:rsid w:val="74235FBB"/>
    <w:rsid w:val="74275D52"/>
    <w:rsid w:val="743F10E7"/>
    <w:rsid w:val="7443040B"/>
    <w:rsid w:val="744D5EC9"/>
    <w:rsid w:val="7452064E"/>
    <w:rsid w:val="74694A06"/>
    <w:rsid w:val="74897079"/>
    <w:rsid w:val="748F3650"/>
    <w:rsid w:val="749D2F02"/>
    <w:rsid w:val="749E3893"/>
    <w:rsid w:val="74A67264"/>
    <w:rsid w:val="74A96B41"/>
    <w:rsid w:val="74AB7F2C"/>
    <w:rsid w:val="74E25FF6"/>
    <w:rsid w:val="751002ED"/>
    <w:rsid w:val="75232716"/>
    <w:rsid w:val="753340A9"/>
    <w:rsid w:val="753823BE"/>
    <w:rsid w:val="754E1FD1"/>
    <w:rsid w:val="755F5E2F"/>
    <w:rsid w:val="75970A0E"/>
    <w:rsid w:val="75B710B1"/>
    <w:rsid w:val="7601232C"/>
    <w:rsid w:val="76013675"/>
    <w:rsid w:val="76241701"/>
    <w:rsid w:val="76275962"/>
    <w:rsid w:val="7630676D"/>
    <w:rsid w:val="765D3A06"/>
    <w:rsid w:val="765E6ED2"/>
    <w:rsid w:val="766E79D6"/>
    <w:rsid w:val="76733229"/>
    <w:rsid w:val="76790114"/>
    <w:rsid w:val="768411B9"/>
    <w:rsid w:val="76B07B98"/>
    <w:rsid w:val="76C61480"/>
    <w:rsid w:val="76CF41D8"/>
    <w:rsid w:val="76F227C5"/>
    <w:rsid w:val="770B6F48"/>
    <w:rsid w:val="770C287A"/>
    <w:rsid w:val="772A099C"/>
    <w:rsid w:val="779603EE"/>
    <w:rsid w:val="779A4923"/>
    <w:rsid w:val="77A6318B"/>
    <w:rsid w:val="77B75398"/>
    <w:rsid w:val="77BE2CA4"/>
    <w:rsid w:val="77CC74DE"/>
    <w:rsid w:val="78003F5E"/>
    <w:rsid w:val="78187F13"/>
    <w:rsid w:val="782F42DD"/>
    <w:rsid w:val="787F7203"/>
    <w:rsid w:val="78921420"/>
    <w:rsid w:val="7899123C"/>
    <w:rsid w:val="78A10D2B"/>
    <w:rsid w:val="78AA0A59"/>
    <w:rsid w:val="78BA527C"/>
    <w:rsid w:val="78BC77BF"/>
    <w:rsid w:val="78CC36B5"/>
    <w:rsid w:val="78E026CC"/>
    <w:rsid w:val="790A14F7"/>
    <w:rsid w:val="790A6AD5"/>
    <w:rsid w:val="791505C8"/>
    <w:rsid w:val="791F78A0"/>
    <w:rsid w:val="79327A19"/>
    <w:rsid w:val="7950341E"/>
    <w:rsid w:val="797076D1"/>
    <w:rsid w:val="797D7F1B"/>
    <w:rsid w:val="798B2CB7"/>
    <w:rsid w:val="79907521"/>
    <w:rsid w:val="79B05740"/>
    <w:rsid w:val="79CE0777"/>
    <w:rsid w:val="79CE7FBA"/>
    <w:rsid w:val="79E034BA"/>
    <w:rsid w:val="79E0453C"/>
    <w:rsid w:val="79E65A52"/>
    <w:rsid w:val="79E93DE0"/>
    <w:rsid w:val="7A0A05B5"/>
    <w:rsid w:val="7A29752D"/>
    <w:rsid w:val="7A3538A9"/>
    <w:rsid w:val="7A4F299C"/>
    <w:rsid w:val="7A5275FA"/>
    <w:rsid w:val="7A5B64AE"/>
    <w:rsid w:val="7A6D3CD7"/>
    <w:rsid w:val="7A790697"/>
    <w:rsid w:val="7A796935"/>
    <w:rsid w:val="7A79751E"/>
    <w:rsid w:val="7A7E219D"/>
    <w:rsid w:val="7A812503"/>
    <w:rsid w:val="7A864248"/>
    <w:rsid w:val="7A9D44A5"/>
    <w:rsid w:val="7AAD53F6"/>
    <w:rsid w:val="7AAE574B"/>
    <w:rsid w:val="7ACC4B42"/>
    <w:rsid w:val="7AE35743"/>
    <w:rsid w:val="7AE55D78"/>
    <w:rsid w:val="7AE84CD1"/>
    <w:rsid w:val="7B0A7A8F"/>
    <w:rsid w:val="7B0E1773"/>
    <w:rsid w:val="7B1403CC"/>
    <w:rsid w:val="7B1C1051"/>
    <w:rsid w:val="7B332C36"/>
    <w:rsid w:val="7B4C4049"/>
    <w:rsid w:val="7B535299"/>
    <w:rsid w:val="7B6A6E11"/>
    <w:rsid w:val="7B6E3FBF"/>
    <w:rsid w:val="7B747075"/>
    <w:rsid w:val="7B931C78"/>
    <w:rsid w:val="7BBA7519"/>
    <w:rsid w:val="7BDF064F"/>
    <w:rsid w:val="7BE44282"/>
    <w:rsid w:val="7BF71E74"/>
    <w:rsid w:val="7BF9121A"/>
    <w:rsid w:val="7BFC781D"/>
    <w:rsid w:val="7C1E59E5"/>
    <w:rsid w:val="7C267840"/>
    <w:rsid w:val="7C335EEF"/>
    <w:rsid w:val="7C5B09E8"/>
    <w:rsid w:val="7C744EE5"/>
    <w:rsid w:val="7C9C4E59"/>
    <w:rsid w:val="7C9F478E"/>
    <w:rsid w:val="7CA26617"/>
    <w:rsid w:val="7CA37A91"/>
    <w:rsid w:val="7CAD38B0"/>
    <w:rsid w:val="7CFB7AD5"/>
    <w:rsid w:val="7D1E690F"/>
    <w:rsid w:val="7D2D1C58"/>
    <w:rsid w:val="7D412588"/>
    <w:rsid w:val="7D57496D"/>
    <w:rsid w:val="7D5E3698"/>
    <w:rsid w:val="7D6136A8"/>
    <w:rsid w:val="7D697A60"/>
    <w:rsid w:val="7D916961"/>
    <w:rsid w:val="7D9A5540"/>
    <w:rsid w:val="7DBB4D5A"/>
    <w:rsid w:val="7DD94170"/>
    <w:rsid w:val="7E0E55E6"/>
    <w:rsid w:val="7E2365BC"/>
    <w:rsid w:val="7E24136F"/>
    <w:rsid w:val="7E477448"/>
    <w:rsid w:val="7E4B05E8"/>
    <w:rsid w:val="7E536FD4"/>
    <w:rsid w:val="7E910172"/>
    <w:rsid w:val="7EAB4EC5"/>
    <w:rsid w:val="7EB22415"/>
    <w:rsid w:val="7EB77A2B"/>
    <w:rsid w:val="7ED2669B"/>
    <w:rsid w:val="7EEE1A49"/>
    <w:rsid w:val="7F062761"/>
    <w:rsid w:val="7F0A5345"/>
    <w:rsid w:val="7F157D16"/>
    <w:rsid w:val="7F1B26B0"/>
    <w:rsid w:val="7F2C0419"/>
    <w:rsid w:val="7F3465F9"/>
    <w:rsid w:val="7F3F137A"/>
    <w:rsid w:val="7F4D562B"/>
    <w:rsid w:val="7F572FBC"/>
    <w:rsid w:val="7F5F201B"/>
    <w:rsid w:val="7F766176"/>
    <w:rsid w:val="7F7F2C3F"/>
    <w:rsid w:val="7F8F17B3"/>
    <w:rsid w:val="7FA11853"/>
    <w:rsid w:val="7FB54D02"/>
    <w:rsid w:val="7FB94071"/>
    <w:rsid w:val="7FBD70AE"/>
    <w:rsid w:val="7FD95F19"/>
    <w:rsid w:val="7FDF64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67"/>
    <w:qFormat/>
    <w:uiPriority w:val="0"/>
    <w:pPr>
      <w:keepNext/>
      <w:keepLines/>
      <w:spacing w:before="260" w:after="260" w:line="416" w:lineRule="auto"/>
      <w:outlineLvl w:val="2"/>
    </w:pPr>
    <w:rPr>
      <w:b/>
      <w:bCs/>
      <w:kern w:val="0"/>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link w:val="68"/>
    <w:qFormat/>
    <w:uiPriority w:val="0"/>
    <w:pPr>
      <w:keepNext/>
      <w:keepLines/>
      <w:numPr>
        <w:ilvl w:val="4"/>
        <w:numId w:val="1"/>
      </w:numPr>
      <w:spacing w:before="280" w:after="290" w:line="376" w:lineRule="auto"/>
      <w:outlineLvl w:val="4"/>
    </w:pPr>
    <w:rPr>
      <w:b/>
      <w:sz w:val="28"/>
    </w:rPr>
  </w:style>
  <w:style w:type="paragraph" w:styleId="9">
    <w:name w:val="heading 6"/>
    <w:basedOn w:val="1"/>
    <w:next w:val="10"/>
    <w:link w:val="69"/>
    <w:qFormat/>
    <w:uiPriority w:val="0"/>
    <w:pPr>
      <w:keepNext/>
      <w:keepLines/>
      <w:numPr>
        <w:ilvl w:val="5"/>
        <w:numId w:val="1"/>
      </w:numPr>
      <w:spacing w:before="240" w:after="64" w:line="320" w:lineRule="auto"/>
      <w:outlineLvl w:val="5"/>
    </w:pPr>
    <w:rPr>
      <w:rFonts w:ascii="Arial" w:hAnsi="Arial" w:eastAsia="黑体"/>
      <w:b/>
      <w:sz w:val="24"/>
    </w:rPr>
  </w:style>
  <w:style w:type="paragraph" w:styleId="11">
    <w:name w:val="heading 7"/>
    <w:basedOn w:val="1"/>
    <w:next w:val="10"/>
    <w:link w:val="70"/>
    <w:qFormat/>
    <w:uiPriority w:val="0"/>
    <w:pPr>
      <w:keepNext/>
      <w:keepLines/>
      <w:numPr>
        <w:ilvl w:val="6"/>
        <w:numId w:val="1"/>
      </w:numPr>
      <w:spacing w:before="240" w:after="64" w:line="320" w:lineRule="auto"/>
      <w:outlineLvl w:val="6"/>
    </w:pPr>
    <w:rPr>
      <w:b/>
      <w:sz w:val="24"/>
    </w:rPr>
  </w:style>
  <w:style w:type="paragraph" w:styleId="12">
    <w:name w:val="heading 8"/>
    <w:basedOn w:val="1"/>
    <w:next w:val="10"/>
    <w:link w:val="71"/>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10"/>
    <w:link w:val="72"/>
    <w:qFormat/>
    <w:uiPriority w:val="0"/>
    <w:pPr>
      <w:keepNext/>
      <w:keepLines/>
      <w:numPr>
        <w:ilvl w:val="8"/>
        <w:numId w:val="1"/>
      </w:numPr>
      <w:spacing w:before="240" w:after="64" w:line="320" w:lineRule="auto"/>
      <w:outlineLvl w:val="8"/>
    </w:pPr>
    <w:rPr>
      <w:rFonts w:ascii="Arial" w:hAnsi="Arial" w:eastAsia="黑体"/>
    </w:rPr>
  </w:style>
  <w:style w:type="character" w:default="1" w:styleId="47">
    <w:name w:val="Default Paragraph Font"/>
    <w:unhideWhenUsed/>
    <w:qFormat/>
    <w:uiPriority w:val="1"/>
  </w:style>
  <w:style w:type="table" w:default="1" w:styleId="45">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63"/>
    <w:qFormat/>
    <w:uiPriority w:val="99"/>
    <w:pPr>
      <w:spacing w:line="380" w:lineRule="exact"/>
    </w:pPr>
    <w:rPr>
      <w:kern w:val="0"/>
      <w:sz w:val="24"/>
    </w:rPr>
  </w:style>
  <w:style w:type="paragraph" w:styleId="3">
    <w:name w:val="Plain Text"/>
    <w:basedOn w:val="1"/>
    <w:next w:val="1"/>
    <w:link w:val="64"/>
    <w:qFormat/>
    <w:uiPriority w:val="0"/>
    <w:rPr>
      <w:rFonts w:ascii="宋体" w:hAnsi="Courier New"/>
      <w:kern w:val="0"/>
      <w:sz w:val="20"/>
      <w:szCs w:val="21"/>
    </w:rPr>
  </w:style>
  <w:style w:type="paragraph" w:styleId="10">
    <w:name w:val="Normal Indent"/>
    <w:basedOn w:val="1"/>
    <w:qFormat/>
    <w:uiPriority w:val="0"/>
    <w:pPr>
      <w:ind w:firstLine="420"/>
    </w:pPr>
    <w:rPr>
      <w:szCs w:val="20"/>
    </w:rPr>
  </w:style>
  <w:style w:type="paragraph" w:styleId="14">
    <w:name w:val="toc 7"/>
    <w:basedOn w:val="1"/>
    <w:next w:val="1"/>
    <w:unhideWhenUsed/>
    <w:qFormat/>
    <w:uiPriority w:val="39"/>
    <w:pPr>
      <w:ind w:left="2520" w:leftChars="1200"/>
    </w:pPr>
    <w:rPr>
      <w:rFonts w:ascii="Calibri" w:hAnsi="Calibri" w:eastAsia="宋体" w:cs="Times New Roman"/>
      <w:szCs w:val="22"/>
    </w:rPr>
  </w:style>
  <w:style w:type="paragraph" w:styleId="15">
    <w:name w:val="List Number"/>
    <w:basedOn w:val="1"/>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annotation text"/>
    <w:basedOn w:val="1"/>
    <w:link w:val="73"/>
    <w:unhideWhenUsed/>
    <w:qFormat/>
    <w:uiPriority w:val="0"/>
    <w:pPr>
      <w:jc w:val="left"/>
    </w:pPr>
  </w:style>
  <w:style w:type="paragraph" w:styleId="18">
    <w:name w:val="Body Text 3"/>
    <w:basedOn w:val="1"/>
    <w:link w:val="74"/>
    <w:qFormat/>
    <w:uiPriority w:val="0"/>
    <w:pPr>
      <w:spacing w:line="500" w:lineRule="exact"/>
    </w:pPr>
    <w:rPr>
      <w:b/>
      <w:bCs/>
      <w:kern w:val="0"/>
      <w:sz w:val="24"/>
    </w:rPr>
  </w:style>
  <w:style w:type="paragraph" w:styleId="19">
    <w:name w:val="Body Text Indent"/>
    <w:basedOn w:val="1"/>
    <w:link w:val="75"/>
    <w:qFormat/>
    <w:uiPriority w:val="0"/>
    <w:pPr>
      <w:ind w:firstLine="830" w:firstLineChars="352"/>
    </w:pPr>
    <w:rPr>
      <w:rFonts w:ascii="仿宋_GB2312" w:eastAsia="仿宋_GB2312"/>
      <w:kern w:val="0"/>
      <w:sz w:val="32"/>
      <w:szCs w:val="20"/>
    </w:rPr>
  </w:style>
  <w:style w:type="paragraph" w:styleId="20">
    <w:name w:val="List Number 3"/>
    <w:basedOn w:val="1"/>
    <w:qFormat/>
    <w:uiPriority w:val="0"/>
    <w:pPr>
      <w:numPr>
        <w:ilvl w:val="0"/>
        <w:numId w:val="2"/>
      </w:numPr>
    </w:pPr>
  </w:style>
  <w:style w:type="paragraph" w:styleId="21">
    <w:name w:val="List 2"/>
    <w:basedOn w:val="1"/>
    <w:qFormat/>
    <w:uiPriority w:val="0"/>
    <w:pPr>
      <w:ind w:left="100" w:leftChars="200" w:hanging="200" w:hangingChars="200"/>
    </w:pPr>
    <w:rPr>
      <w:sz w:val="28"/>
    </w:rPr>
  </w:style>
  <w:style w:type="paragraph" w:styleId="22">
    <w:name w:val="toc 5"/>
    <w:basedOn w:val="1"/>
    <w:next w:val="1"/>
    <w:unhideWhenUsed/>
    <w:qFormat/>
    <w:uiPriority w:val="39"/>
    <w:pPr>
      <w:ind w:left="1680" w:leftChars="800"/>
    </w:pPr>
    <w:rPr>
      <w:rFonts w:ascii="Calibri" w:hAnsi="Calibri" w:eastAsia="宋体" w:cs="Times New Roman"/>
      <w:szCs w:val="22"/>
    </w:rPr>
  </w:style>
  <w:style w:type="paragraph" w:styleId="23">
    <w:name w:val="toc 3"/>
    <w:basedOn w:val="1"/>
    <w:next w:val="1"/>
    <w:unhideWhenUsed/>
    <w:qFormat/>
    <w:uiPriority w:val="39"/>
    <w:pPr>
      <w:ind w:left="840" w:leftChars="400"/>
    </w:pPr>
    <w:rPr>
      <w:rFonts w:ascii="Calibri" w:hAnsi="Calibri" w:eastAsia="宋体" w:cs="Times New Roman"/>
      <w:szCs w:val="22"/>
    </w:rPr>
  </w:style>
  <w:style w:type="paragraph" w:styleId="24">
    <w:name w:val="toc 8"/>
    <w:basedOn w:val="1"/>
    <w:next w:val="1"/>
    <w:unhideWhenUsed/>
    <w:qFormat/>
    <w:uiPriority w:val="39"/>
    <w:pPr>
      <w:ind w:left="2940" w:leftChars="1400"/>
    </w:pPr>
    <w:rPr>
      <w:rFonts w:ascii="Calibri" w:hAnsi="Calibri" w:eastAsia="宋体" w:cs="Times New Roman"/>
      <w:szCs w:val="22"/>
    </w:rPr>
  </w:style>
  <w:style w:type="paragraph" w:styleId="25">
    <w:name w:val="Date"/>
    <w:basedOn w:val="1"/>
    <w:next w:val="1"/>
    <w:link w:val="76"/>
    <w:qFormat/>
    <w:uiPriority w:val="0"/>
    <w:pPr>
      <w:ind w:left="100" w:leftChars="2500"/>
    </w:pPr>
    <w:rPr>
      <w:rFonts w:ascii="宋体" w:hAnsi="Courier New"/>
      <w:kern w:val="0"/>
      <w:sz w:val="20"/>
      <w:szCs w:val="21"/>
    </w:rPr>
  </w:style>
  <w:style w:type="paragraph" w:styleId="26">
    <w:name w:val="Body Text Indent 2"/>
    <w:basedOn w:val="1"/>
    <w:link w:val="77"/>
    <w:qFormat/>
    <w:uiPriority w:val="0"/>
    <w:pPr>
      <w:ind w:firstLine="630"/>
    </w:pPr>
    <w:rPr>
      <w:kern w:val="0"/>
      <w:sz w:val="32"/>
      <w:szCs w:val="20"/>
    </w:rPr>
  </w:style>
  <w:style w:type="paragraph" w:styleId="27">
    <w:name w:val="endnote text"/>
    <w:basedOn w:val="1"/>
    <w:link w:val="78"/>
    <w:unhideWhenUsed/>
    <w:qFormat/>
    <w:uiPriority w:val="99"/>
    <w:pPr>
      <w:snapToGrid w:val="0"/>
      <w:jc w:val="left"/>
    </w:pPr>
  </w:style>
  <w:style w:type="paragraph" w:styleId="28">
    <w:name w:val="Balloon Text"/>
    <w:basedOn w:val="1"/>
    <w:link w:val="79"/>
    <w:semiHidden/>
    <w:qFormat/>
    <w:uiPriority w:val="0"/>
    <w:rPr>
      <w:kern w:val="0"/>
      <w:sz w:val="18"/>
      <w:szCs w:val="18"/>
    </w:rPr>
  </w:style>
  <w:style w:type="paragraph" w:styleId="29">
    <w:name w:val="footer"/>
    <w:basedOn w:val="1"/>
    <w:link w:val="80"/>
    <w:unhideWhenUsed/>
    <w:qFormat/>
    <w:uiPriority w:val="99"/>
    <w:pPr>
      <w:tabs>
        <w:tab w:val="center" w:pos="4153"/>
        <w:tab w:val="right" w:pos="8306"/>
      </w:tabs>
      <w:snapToGrid w:val="0"/>
      <w:jc w:val="left"/>
    </w:pPr>
    <w:rPr>
      <w:kern w:val="0"/>
      <w:sz w:val="18"/>
      <w:szCs w:val="18"/>
    </w:rPr>
  </w:style>
  <w:style w:type="paragraph" w:styleId="30">
    <w:name w:val="header"/>
    <w:basedOn w:val="1"/>
    <w:link w:val="81"/>
    <w:unhideWhenUsed/>
    <w:qFormat/>
    <w:uiPriority w:val="99"/>
    <w:pPr>
      <w:pBdr>
        <w:bottom w:val="single" w:color="auto" w:sz="6" w:space="1"/>
      </w:pBdr>
      <w:tabs>
        <w:tab w:val="center" w:pos="0"/>
        <w:tab w:val="left" w:pos="8306"/>
      </w:tabs>
      <w:snapToGrid w:val="0"/>
      <w:jc w:val="center"/>
    </w:pPr>
    <w:rPr>
      <w:sz w:val="18"/>
      <w:szCs w:val="18"/>
    </w:rPr>
  </w:style>
  <w:style w:type="paragraph" w:styleId="31">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2">
    <w:name w:val="toc 4"/>
    <w:basedOn w:val="1"/>
    <w:next w:val="1"/>
    <w:unhideWhenUsed/>
    <w:qFormat/>
    <w:uiPriority w:val="39"/>
    <w:pPr>
      <w:ind w:left="1260" w:leftChars="600"/>
    </w:pPr>
    <w:rPr>
      <w:rFonts w:ascii="Calibri" w:hAnsi="Calibri" w:eastAsia="宋体" w:cs="Times New Roman"/>
      <w:szCs w:val="22"/>
    </w:rPr>
  </w:style>
  <w:style w:type="paragraph" w:styleId="33">
    <w:name w:val="List"/>
    <w:basedOn w:val="1"/>
    <w:qFormat/>
    <w:uiPriority w:val="0"/>
    <w:pPr>
      <w:ind w:left="200" w:hanging="200" w:hangingChars="200"/>
    </w:pPr>
    <w:rPr>
      <w:sz w:val="28"/>
    </w:rPr>
  </w:style>
  <w:style w:type="paragraph" w:styleId="34">
    <w:name w:val="footnote text"/>
    <w:basedOn w:val="1"/>
    <w:link w:val="82"/>
    <w:unhideWhenUsed/>
    <w:qFormat/>
    <w:uiPriority w:val="99"/>
    <w:pPr>
      <w:snapToGrid w:val="0"/>
      <w:jc w:val="left"/>
    </w:pPr>
    <w:rPr>
      <w:sz w:val="18"/>
      <w:szCs w:val="18"/>
    </w:rPr>
  </w:style>
  <w:style w:type="paragraph" w:styleId="35">
    <w:name w:val="toc 6"/>
    <w:basedOn w:val="1"/>
    <w:next w:val="1"/>
    <w:unhideWhenUsed/>
    <w:qFormat/>
    <w:uiPriority w:val="39"/>
    <w:pPr>
      <w:ind w:left="2100" w:leftChars="1000"/>
    </w:pPr>
    <w:rPr>
      <w:rFonts w:ascii="Calibri" w:hAnsi="Calibri" w:eastAsia="宋体" w:cs="Times New Roman"/>
      <w:szCs w:val="22"/>
    </w:rPr>
  </w:style>
  <w:style w:type="paragraph" w:styleId="36">
    <w:name w:val="Body Text Indent 3"/>
    <w:basedOn w:val="1"/>
    <w:link w:val="83"/>
    <w:qFormat/>
    <w:uiPriority w:val="0"/>
    <w:pPr>
      <w:spacing w:after="120"/>
      <w:ind w:left="420" w:leftChars="200"/>
    </w:pPr>
    <w:rPr>
      <w:kern w:val="0"/>
      <w:sz w:val="16"/>
      <w:szCs w:val="16"/>
    </w:rPr>
  </w:style>
  <w:style w:type="paragraph" w:styleId="37">
    <w:name w:val="toc 2"/>
    <w:basedOn w:val="1"/>
    <w:next w:val="1"/>
    <w:unhideWhenUsed/>
    <w:qFormat/>
    <w:uiPriority w:val="39"/>
    <w:pPr>
      <w:ind w:left="420" w:leftChars="200"/>
    </w:pPr>
  </w:style>
  <w:style w:type="paragraph" w:styleId="38">
    <w:name w:val="toc 9"/>
    <w:basedOn w:val="1"/>
    <w:next w:val="1"/>
    <w:unhideWhenUsed/>
    <w:qFormat/>
    <w:uiPriority w:val="39"/>
    <w:pPr>
      <w:ind w:left="3360" w:leftChars="1600"/>
    </w:pPr>
    <w:rPr>
      <w:rFonts w:ascii="Calibri" w:hAnsi="Calibri" w:eastAsia="宋体" w:cs="Times New Roman"/>
      <w:szCs w:val="22"/>
    </w:rPr>
  </w:style>
  <w:style w:type="paragraph" w:styleId="39">
    <w:name w:val="Body Text 2"/>
    <w:basedOn w:val="1"/>
    <w:link w:val="84"/>
    <w:qFormat/>
    <w:uiPriority w:val="0"/>
    <w:pPr>
      <w:spacing w:after="120" w:line="480" w:lineRule="auto"/>
    </w:pPr>
    <w:rPr>
      <w:kern w:val="0"/>
      <w:sz w:val="20"/>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spacing w:line="400" w:lineRule="exact"/>
      <w:ind w:firstLine="420" w:firstLineChars="200"/>
    </w:pPr>
    <w:rPr>
      <w:rFonts w:ascii="宋体" w:hAnsi="Courier New"/>
      <w:b/>
      <w:szCs w:val="20"/>
    </w:rPr>
  </w:style>
  <w:style w:type="paragraph" w:styleId="42">
    <w:name w:val="Title"/>
    <w:basedOn w:val="1"/>
    <w:next w:val="1"/>
    <w:link w:val="85"/>
    <w:qFormat/>
    <w:uiPriority w:val="10"/>
    <w:pPr>
      <w:spacing w:before="240" w:after="60"/>
      <w:jc w:val="center"/>
      <w:outlineLvl w:val="0"/>
    </w:pPr>
    <w:rPr>
      <w:rFonts w:ascii="Cambria" w:hAnsi="Cambria"/>
      <w:b/>
      <w:bCs/>
      <w:sz w:val="32"/>
      <w:szCs w:val="32"/>
    </w:rPr>
  </w:style>
  <w:style w:type="paragraph" w:styleId="43">
    <w:name w:val="annotation subject"/>
    <w:basedOn w:val="17"/>
    <w:next w:val="17"/>
    <w:link w:val="86"/>
    <w:unhideWhenUsed/>
    <w:qFormat/>
    <w:uiPriority w:val="99"/>
    <w:rPr>
      <w:b/>
      <w:bCs/>
    </w:rPr>
  </w:style>
  <w:style w:type="paragraph" w:styleId="44">
    <w:name w:val="Body Text First Indent 2"/>
    <w:basedOn w:val="19"/>
    <w:unhideWhenUsed/>
    <w:qFormat/>
    <w:uiPriority w:val="0"/>
    <w:pPr>
      <w:ind w:firstLine="420" w:firstLineChars="200"/>
    </w:pPr>
  </w:style>
  <w:style w:type="table" w:styleId="46">
    <w:name w:val="Table Grid"/>
    <w:basedOn w:val="4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endnote reference"/>
    <w:unhideWhenUsed/>
    <w:qFormat/>
    <w:uiPriority w:val="99"/>
    <w:rPr>
      <w:vertAlign w:val="superscript"/>
    </w:rPr>
  </w:style>
  <w:style w:type="character" w:styleId="49">
    <w:name w:val="page number"/>
    <w:qFormat/>
    <w:uiPriority w:val="0"/>
  </w:style>
  <w:style w:type="character" w:styleId="50">
    <w:name w:val="FollowedHyperlink"/>
    <w:qFormat/>
    <w:uiPriority w:val="0"/>
    <w:rPr>
      <w:color w:val="800080"/>
      <w:u w:val="none"/>
    </w:rPr>
  </w:style>
  <w:style w:type="character" w:styleId="51">
    <w:name w:val="Emphasis"/>
    <w:qFormat/>
    <w:uiPriority w:val="20"/>
  </w:style>
  <w:style w:type="character" w:styleId="52">
    <w:name w:val="HTML Definition"/>
    <w:unhideWhenUsed/>
    <w:qFormat/>
    <w:uiPriority w:val="99"/>
  </w:style>
  <w:style w:type="character" w:styleId="53">
    <w:name w:val="HTML Typewriter"/>
    <w:unhideWhenUsed/>
    <w:qFormat/>
    <w:uiPriority w:val="99"/>
    <w:rPr>
      <w:rFonts w:hint="default" w:ascii="monospace" w:hAnsi="monospace" w:eastAsia="monospace" w:cs="monospace"/>
      <w:sz w:val="20"/>
    </w:rPr>
  </w:style>
  <w:style w:type="character" w:styleId="54">
    <w:name w:val="HTML Acronym"/>
    <w:basedOn w:val="47"/>
    <w:unhideWhenUsed/>
    <w:qFormat/>
    <w:uiPriority w:val="99"/>
  </w:style>
  <w:style w:type="character" w:styleId="55">
    <w:name w:val="HTML Variable"/>
    <w:unhideWhenUsed/>
    <w:qFormat/>
    <w:uiPriority w:val="99"/>
  </w:style>
  <w:style w:type="character" w:styleId="56">
    <w:name w:val="Hyperlink"/>
    <w:qFormat/>
    <w:uiPriority w:val="99"/>
    <w:rPr>
      <w:color w:val="0000FF"/>
      <w:u w:val="none"/>
    </w:rPr>
  </w:style>
  <w:style w:type="character" w:styleId="57">
    <w:name w:val="HTML Code"/>
    <w:unhideWhenUsed/>
    <w:qFormat/>
    <w:uiPriority w:val="99"/>
    <w:rPr>
      <w:rFonts w:hint="default" w:ascii="monospace" w:hAnsi="monospace" w:eastAsia="monospace" w:cs="monospace"/>
      <w:sz w:val="20"/>
    </w:rPr>
  </w:style>
  <w:style w:type="character" w:styleId="58">
    <w:name w:val="annotation reference"/>
    <w:unhideWhenUsed/>
    <w:qFormat/>
    <w:uiPriority w:val="0"/>
    <w:rPr>
      <w:sz w:val="21"/>
      <w:szCs w:val="21"/>
    </w:rPr>
  </w:style>
  <w:style w:type="character" w:styleId="59">
    <w:name w:val="HTML Cite"/>
    <w:unhideWhenUsed/>
    <w:qFormat/>
    <w:uiPriority w:val="99"/>
  </w:style>
  <w:style w:type="character" w:styleId="60">
    <w:name w:val="footnote reference"/>
    <w:unhideWhenUsed/>
    <w:qFormat/>
    <w:uiPriority w:val="99"/>
    <w:rPr>
      <w:vertAlign w:val="superscript"/>
    </w:rPr>
  </w:style>
  <w:style w:type="character" w:styleId="61">
    <w:name w:val="HTML Keyboard"/>
    <w:unhideWhenUsed/>
    <w:qFormat/>
    <w:uiPriority w:val="99"/>
    <w:rPr>
      <w:rFonts w:ascii="monospace" w:hAnsi="monospace" w:eastAsia="monospace" w:cs="monospace"/>
      <w:sz w:val="20"/>
    </w:rPr>
  </w:style>
  <w:style w:type="character" w:styleId="62">
    <w:name w:val="HTML Sample"/>
    <w:unhideWhenUsed/>
    <w:qFormat/>
    <w:uiPriority w:val="99"/>
    <w:rPr>
      <w:rFonts w:hint="default" w:ascii="monospace" w:hAnsi="monospace" w:eastAsia="monospace" w:cs="monospace"/>
    </w:rPr>
  </w:style>
  <w:style w:type="character" w:customStyle="1" w:styleId="63">
    <w:name w:val="正文文本 字符"/>
    <w:link w:val="2"/>
    <w:qFormat/>
    <w:uiPriority w:val="99"/>
    <w:rPr>
      <w:rFonts w:ascii="Times New Roman" w:hAnsi="Times New Roman" w:eastAsia="宋体" w:cs="Times New Roman"/>
      <w:sz w:val="24"/>
      <w:szCs w:val="24"/>
    </w:rPr>
  </w:style>
  <w:style w:type="character" w:customStyle="1" w:styleId="64">
    <w:name w:val="纯文本 字符2"/>
    <w:link w:val="3"/>
    <w:qFormat/>
    <w:uiPriority w:val="0"/>
    <w:rPr>
      <w:rFonts w:ascii="宋体" w:hAnsi="Courier New" w:eastAsia="宋体" w:cs="Courier New"/>
      <w:szCs w:val="21"/>
    </w:rPr>
  </w:style>
  <w:style w:type="character" w:customStyle="1" w:styleId="65">
    <w:name w:val="标题 1 字符1"/>
    <w:link w:val="4"/>
    <w:qFormat/>
    <w:uiPriority w:val="0"/>
    <w:rPr>
      <w:rFonts w:ascii="Times New Roman" w:hAnsi="Times New Roman" w:eastAsia="宋体" w:cs="Times New Roman"/>
      <w:b/>
      <w:bCs/>
      <w:kern w:val="44"/>
      <w:sz w:val="44"/>
      <w:szCs w:val="44"/>
    </w:rPr>
  </w:style>
  <w:style w:type="character" w:customStyle="1" w:styleId="66">
    <w:name w:val="标题 2 字符"/>
    <w:link w:val="5"/>
    <w:qFormat/>
    <w:uiPriority w:val="0"/>
    <w:rPr>
      <w:rFonts w:ascii="Arial" w:hAnsi="Arial" w:eastAsia="黑体" w:cs="Times New Roman"/>
      <w:b/>
      <w:bCs/>
      <w:sz w:val="32"/>
      <w:szCs w:val="32"/>
    </w:rPr>
  </w:style>
  <w:style w:type="character" w:customStyle="1" w:styleId="67">
    <w:name w:val="标题 3 字符"/>
    <w:link w:val="6"/>
    <w:qFormat/>
    <w:uiPriority w:val="0"/>
    <w:rPr>
      <w:rFonts w:ascii="Times New Roman" w:hAnsi="Times New Roman" w:eastAsia="宋体" w:cs="Times New Roman"/>
      <w:b/>
      <w:bCs/>
      <w:sz w:val="32"/>
      <w:szCs w:val="32"/>
    </w:rPr>
  </w:style>
  <w:style w:type="character" w:customStyle="1" w:styleId="68">
    <w:name w:val="标题 5 字符"/>
    <w:link w:val="8"/>
    <w:qFormat/>
    <w:uiPriority w:val="0"/>
    <w:rPr>
      <w:b/>
      <w:kern w:val="2"/>
      <w:sz w:val="28"/>
      <w:szCs w:val="24"/>
    </w:rPr>
  </w:style>
  <w:style w:type="character" w:customStyle="1" w:styleId="69">
    <w:name w:val="标题 6 字符"/>
    <w:link w:val="9"/>
    <w:qFormat/>
    <w:uiPriority w:val="0"/>
    <w:rPr>
      <w:rFonts w:ascii="Arial" w:hAnsi="Arial" w:eastAsia="黑体"/>
      <w:b/>
      <w:kern w:val="2"/>
      <w:sz w:val="24"/>
      <w:szCs w:val="24"/>
    </w:rPr>
  </w:style>
  <w:style w:type="character" w:customStyle="1" w:styleId="70">
    <w:name w:val="标题 7 字符"/>
    <w:link w:val="11"/>
    <w:qFormat/>
    <w:uiPriority w:val="0"/>
    <w:rPr>
      <w:rFonts w:ascii="Times New Roman" w:hAnsi="Times New Roman"/>
      <w:b/>
      <w:kern w:val="2"/>
      <w:sz w:val="24"/>
      <w:szCs w:val="24"/>
    </w:rPr>
  </w:style>
  <w:style w:type="character" w:customStyle="1" w:styleId="71">
    <w:name w:val="标题 8 字符"/>
    <w:link w:val="12"/>
    <w:qFormat/>
    <w:uiPriority w:val="0"/>
    <w:rPr>
      <w:rFonts w:ascii="Arial" w:hAnsi="Arial" w:eastAsia="黑体"/>
      <w:kern w:val="2"/>
      <w:sz w:val="24"/>
      <w:szCs w:val="24"/>
    </w:rPr>
  </w:style>
  <w:style w:type="character" w:customStyle="1" w:styleId="72">
    <w:name w:val="标题 9 字符"/>
    <w:link w:val="13"/>
    <w:qFormat/>
    <w:uiPriority w:val="0"/>
    <w:rPr>
      <w:rFonts w:ascii="Arial" w:hAnsi="Arial" w:eastAsia="黑体"/>
      <w:kern w:val="2"/>
      <w:sz w:val="21"/>
      <w:szCs w:val="24"/>
    </w:rPr>
  </w:style>
  <w:style w:type="character" w:customStyle="1" w:styleId="73">
    <w:name w:val="批注文字 字符1"/>
    <w:link w:val="17"/>
    <w:qFormat/>
    <w:uiPriority w:val="0"/>
    <w:rPr>
      <w:rFonts w:ascii="Times New Roman" w:hAnsi="Times New Roman"/>
      <w:kern w:val="2"/>
      <w:sz w:val="21"/>
      <w:szCs w:val="24"/>
    </w:rPr>
  </w:style>
  <w:style w:type="character" w:customStyle="1" w:styleId="74">
    <w:name w:val="正文文本 3 字符"/>
    <w:link w:val="18"/>
    <w:qFormat/>
    <w:uiPriority w:val="0"/>
    <w:rPr>
      <w:rFonts w:ascii="Times New Roman" w:hAnsi="Times New Roman" w:eastAsia="宋体" w:cs="Times New Roman"/>
      <w:b/>
      <w:bCs/>
      <w:sz w:val="24"/>
      <w:szCs w:val="24"/>
    </w:rPr>
  </w:style>
  <w:style w:type="character" w:customStyle="1" w:styleId="75">
    <w:name w:val="正文文本缩进 字符1"/>
    <w:link w:val="19"/>
    <w:qFormat/>
    <w:uiPriority w:val="0"/>
    <w:rPr>
      <w:rFonts w:ascii="仿宋_GB2312" w:hAnsi="Times New Roman" w:eastAsia="仿宋_GB2312" w:cs="Times New Roman"/>
      <w:sz w:val="32"/>
      <w:szCs w:val="20"/>
    </w:rPr>
  </w:style>
  <w:style w:type="character" w:customStyle="1" w:styleId="76">
    <w:name w:val="日期 字符"/>
    <w:link w:val="25"/>
    <w:qFormat/>
    <w:uiPriority w:val="0"/>
    <w:rPr>
      <w:rFonts w:ascii="宋体" w:hAnsi="Courier New" w:eastAsia="宋体" w:cs="Courier New"/>
      <w:szCs w:val="21"/>
    </w:rPr>
  </w:style>
  <w:style w:type="character" w:customStyle="1" w:styleId="77">
    <w:name w:val="正文文本缩进 2 字符"/>
    <w:link w:val="26"/>
    <w:qFormat/>
    <w:uiPriority w:val="0"/>
    <w:rPr>
      <w:rFonts w:ascii="Times New Roman" w:hAnsi="Times New Roman" w:eastAsia="宋体" w:cs="Times New Roman"/>
      <w:sz w:val="32"/>
      <w:szCs w:val="20"/>
    </w:rPr>
  </w:style>
  <w:style w:type="character" w:customStyle="1" w:styleId="78">
    <w:name w:val="尾注文本 字符"/>
    <w:link w:val="27"/>
    <w:semiHidden/>
    <w:qFormat/>
    <w:uiPriority w:val="99"/>
    <w:rPr>
      <w:rFonts w:ascii="Times New Roman" w:hAnsi="Times New Roman"/>
      <w:kern w:val="2"/>
      <w:sz w:val="21"/>
      <w:szCs w:val="24"/>
    </w:rPr>
  </w:style>
  <w:style w:type="character" w:customStyle="1" w:styleId="79">
    <w:name w:val="批注框文本 字符"/>
    <w:link w:val="28"/>
    <w:semiHidden/>
    <w:qFormat/>
    <w:uiPriority w:val="0"/>
    <w:rPr>
      <w:rFonts w:ascii="Times New Roman" w:hAnsi="Times New Roman" w:eastAsia="宋体" w:cs="Times New Roman"/>
      <w:sz w:val="18"/>
      <w:szCs w:val="18"/>
    </w:rPr>
  </w:style>
  <w:style w:type="character" w:customStyle="1" w:styleId="80">
    <w:name w:val="页脚 字符"/>
    <w:link w:val="29"/>
    <w:qFormat/>
    <w:uiPriority w:val="99"/>
    <w:rPr>
      <w:sz w:val="18"/>
      <w:szCs w:val="18"/>
    </w:rPr>
  </w:style>
  <w:style w:type="character" w:customStyle="1" w:styleId="81">
    <w:name w:val="页眉 字符"/>
    <w:link w:val="30"/>
    <w:qFormat/>
    <w:uiPriority w:val="99"/>
    <w:rPr>
      <w:rFonts w:ascii="Times New Roman" w:hAnsi="Times New Roman"/>
      <w:kern w:val="2"/>
      <w:sz w:val="18"/>
      <w:szCs w:val="18"/>
    </w:rPr>
  </w:style>
  <w:style w:type="character" w:customStyle="1" w:styleId="82">
    <w:name w:val="脚注文本 字符"/>
    <w:link w:val="34"/>
    <w:semiHidden/>
    <w:qFormat/>
    <w:uiPriority w:val="99"/>
    <w:rPr>
      <w:rFonts w:ascii="Times New Roman" w:hAnsi="Times New Roman"/>
      <w:kern w:val="2"/>
      <w:sz w:val="18"/>
      <w:szCs w:val="18"/>
    </w:rPr>
  </w:style>
  <w:style w:type="character" w:customStyle="1" w:styleId="83">
    <w:name w:val="正文文本缩进 3 字符"/>
    <w:link w:val="36"/>
    <w:qFormat/>
    <w:uiPriority w:val="0"/>
    <w:rPr>
      <w:rFonts w:ascii="Times New Roman" w:hAnsi="Times New Roman" w:eastAsia="宋体" w:cs="Times New Roman"/>
      <w:sz w:val="16"/>
      <w:szCs w:val="16"/>
    </w:rPr>
  </w:style>
  <w:style w:type="character" w:customStyle="1" w:styleId="84">
    <w:name w:val="正文文本 2 字符"/>
    <w:link w:val="39"/>
    <w:qFormat/>
    <w:uiPriority w:val="0"/>
    <w:rPr>
      <w:rFonts w:ascii="Times New Roman" w:hAnsi="Times New Roman" w:eastAsia="宋体" w:cs="Times New Roman"/>
      <w:szCs w:val="24"/>
    </w:rPr>
  </w:style>
  <w:style w:type="character" w:customStyle="1" w:styleId="85">
    <w:name w:val="标题 字符"/>
    <w:link w:val="42"/>
    <w:qFormat/>
    <w:uiPriority w:val="10"/>
    <w:rPr>
      <w:rFonts w:ascii="Cambria" w:hAnsi="Cambria" w:cs="Times New Roman"/>
      <w:b/>
      <w:bCs/>
      <w:kern w:val="2"/>
      <w:sz w:val="32"/>
      <w:szCs w:val="32"/>
    </w:rPr>
  </w:style>
  <w:style w:type="character" w:customStyle="1" w:styleId="86">
    <w:name w:val="批注主题 字符"/>
    <w:link w:val="43"/>
    <w:semiHidden/>
    <w:qFormat/>
    <w:uiPriority w:val="99"/>
    <w:rPr>
      <w:rFonts w:ascii="Times New Roman" w:hAnsi="Times New Roman"/>
      <w:b/>
      <w:bCs/>
      <w:kern w:val="2"/>
      <w:sz w:val="21"/>
      <w:szCs w:val="24"/>
    </w:rPr>
  </w:style>
  <w:style w:type="character" w:customStyle="1" w:styleId="87">
    <w:name w:val="纯文本 字符1"/>
    <w:qFormat/>
    <w:uiPriority w:val="0"/>
    <w:rPr>
      <w:rFonts w:ascii="宋体" w:hAnsi="Courier New"/>
    </w:rPr>
  </w:style>
  <w:style w:type="character" w:customStyle="1" w:styleId="88">
    <w:name w:val="批注文字 Char1"/>
    <w:semiHidden/>
    <w:qFormat/>
    <w:locked/>
    <w:uiPriority w:val="0"/>
    <w:rPr>
      <w:rFonts w:ascii="Times New Roman" w:hAnsi="Times New Roman"/>
      <w:kern w:val="2"/>
      <w:sz w:val="21"/>
      <w:szCs w:val="24"/>
    </w:rPr>
  </w:style>
  <w:style w:type="character" w:customStyle="1" w:styleId="89">
    <w:name w:val="headline-content4"/>
    <w:qFormat/>
    <w:uiPriority w:val="0"/>
  </w:style>
  <w:style w:type="character" w:customStyle="1" w:styleId="90">
    <w:name w:val="批注文字 字符"/>
    <w:qFormat/>
    <w:uiPriority w:val="0"/>
    <w:rPr>
      <w:rFonts w:ascii="Times New Roman" w:hAnsi="Times New Roman"/>
      <w:kern w:val="2"/>
      <w:sz w:val="21"/>
      <w:szCs w:val="24"/>
    </w:rPr>
  </w:style>
  <w:style w:type="character" w:customStyle="1" w:styleId="91">
    <w:name w:val="标题 5 Char"/>
    <w:qFormat/>
    <w:uiPriority w:val="0"/>
    <w:rPr>
      <w:b/>
      <w:kern w:val="2"/>
      <w:sz w:val="28"/>
      <w:szCs w:val="24"/>
    </w:rPr>
  </w:style>
  <w:style w:type="character" w:customStyle="1" w:styleId="92">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93">
    <w:name w:val="批注文字 Char"/>
    <w:qFormat/>
    <w:uiPriority w:val="0"/>
    <w:rPr>
      <w:rFonts w:ascii="Times New Roman" w:hAnsi="Times New Roman"/>
      <w:kern w:val="2"/>
      <w:sz w:val="21"/>
      <w:szCs w:val="24"/>
    </w:rPr>
  </w:style>
  <w:style w:type="character" w:customStyle="1" w:styleId="94">
    <w:name w:val="标题 1 字符"/>
    <w:qFormat/>
    <w:uiPriority w:val="9"/>
    <w:rPr>
      <w:rFonts w:ascii="Times New Roman" w:hAnsi="Times New Roman" w:eastAsia="宋体" w:cs="Times New Roman"/>
      <w:b/>
      <w:bCs/>
      <w:kern w:val="44"/>
      <w:sz w:val="44"/>
      <w:szCs w:val="44"/>
    </w:rPr>
  </w:style>
  <w:style w:type="character" w:customStyle="1" w:styleId="95">
    <w:name w:val="apple-style-span"/>
    <w:qFormat/>
    <w:uiPriority w:val="0"/>
  </w:style>
  <w:style w:type="character" w:customStyle="1" w:styleId="96">
    <w:name w:val="正文文本缩进 字符"/>
    <w:qFormat/>
    <w:uiPriority w:val="0"/>
    <w:rPr>
      <w:rFonts w:ascii="仿宋_GB2312" w:hAnsi="Times New Roman" w:eastAsia="仿宋_GB2312" w:cs="Times New Roman"/>
      <w:sz w:val="32"/>
      <w:szCs w:val="20"/>
    </w:rPr>
  </w:style>
  <w:style w:type="character" w:customStyle="1" w:styleId="97">
    <w:name w:val="case31"/>
    <w:qFormat/>
    <w:uiPriority w:val="0"/>
    <w:rPr>
      <w:rFonts w:hint="default" w:ascii="_x000B__x000C_" w:hAnsi="_x000B__x000C_"/>
      <w:sz w:val="21"/>
      <w:szCs w:val="21"/>
    </w:rPr>
  </w:style>
  <w:style w:type="character" w:customStyle="1" w:styleId="98">
    <w:name w:val="纯文本 字符"/>
    <w:qFormat/>
    <w:uiPriority w:val="0"/>
    <w:rPr>
      <w:rFonts w:ascii="宋体" w:hAnsi="Courier New" w:eastAsia="宋体" w:cs="Courier New"/>
      <w:szCs w:val="21"/>
    </w:rPr>
  </w:style>
  <w:style w:type="character" w:customStyle="1" w:styleId="99">
    <w:name w:val="textcontents"/>
    <w:qFormat/>
    <w:uiPriority w:val="0"/>
  </w:style>
  <w:style w:type="character" w:customStyle="1" w:styleId="100">
    <w:name w:val="普通文字 Char Char2"/>
    <w:qFormat/>
    <w:uiPriority w:val="0"/>
    <w:rPr>
      <w:rFonts w:ascii="宋体" w:hAnsi="Courier New" w:eastAsia="宋体"/>
      <w:kern w:val="2"/>
      <w:sz w:val="21"/>
      <w:lang w:val="en-US" w:eastAsia="zh-CN" w:bidi="ar-SA"/>
    </w:rPr>
  </w:style>
  <w:style w:type="paragraph" w:customStyle="1" w:styleId="101">
    <w:name w:val="正文段"/>
    <w:basedOn w:val="1"/>
    <w:qFormat/>
    <w:uiPriority w:val="0"/>
    <w:pPr>
      <w:widowControl/>
      <w:snapToGrid w:val="0"/>
      <w:spacing w:after="50" w:afterLines="50"/>
      <w:ind w:firstLine="200" w:firstLineChars="200"/>
    </w:pPr>
    <w:rPr>
      <w:kern w:val="0"/>
      <w:sz w:val="24"/>
      <w:szCs w:val="20"/>
    </w:rPr>
  </w:style>
  <w:style w:type="paragraph" w:customStyle="1" w:styleId="102">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03">
    <w:name w:val="默认段落字体 Para Char Char Char Char Char Char Char Char Char1 Char Char Char Char"/>
    <w:basedOn w:val="1"/>
    <w:qFormat/>
    <w:uiPriority w:val="0"/>
    <w:rPr>
      <w:rFonts w:ascii="Tahoma" w:hAnsi="Tahoma"/>
      <w:sz w:val="24"/>
      <w:szCs w:val="20"/>
    </w:rPr>
  </w:style>
  <w:style w:type="paragraph" w:customStyle="1" w:styleId="104">
    <w:name w:val="xl22"/>
    <w:basedOn w:val="1"/>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05">
    <w:name w:val="样式"/>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10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07">
    <w:name w:val="Table Paragraph"/>
    <w:basedOn w:val="1"/>
    <w:qFormat/>
    <w:uiPriority w:val="1"/>
    <w:pPr>
      <w:jc w:val="left"/>
    </w:pPr>
    <w:rPr>
      <w:rFonts w:ascii="Calibri" w:hAnsi="Calibri" w:eastAsia="宋体" w:cs="Times New Roman"/>
      <w:kern w:val="0"/>
      <w:sz w:val="22"/>
      <w:szCs w:val="22"/>
      <w:lang w:eastAsia="en-US"/>
    </w:rPr>
  </w:style>
  <w:style w:type="paragraph" w:customStyle="1" w:styleId="108">
    <w:name w:val="Char1"/>
    <w:basedOn w:val="1"/>
    <w:qFormat/>
    <w:uiPriority w:val="0"/>
    <w:rPr>
      <w:szCs w:val="21"/>
    </w:rPr>
  </w:style>
  <w:style w:type="paragraph" w:customStyle="1" w:styleId="109">
    <w:name w:val="正文首行缩进两字符"/>
    <w:basedOn w:val="1"/>
    <w:qFormat/>
    <w:uiPriority w:val="0"/>
    <w:pPr>
      <w:spacing w:line="360" w:lineRule="auto"/>
      <w:ind w:firstLine="200" w:firstLineChars="200"/>
    </w:pPr>
  </w:style>
  <w:style w:type="paragraph" w:customStyle="1" w:styleId="110">
    <w:name w:val="表格"/>
    <w:basedOn w:val="1"/>
    <w:qFormat/>
    <w:uiPriority w:val="0"/>
    <w:pPr>
      <w:spacing w:line="400" w:lineRule="exact"/>
    </w:pPr>
    <w:rPr>
      <w:sz w:val="24"/>
    </w:rPr>
  </w:style>
  <w:style w:type="paragraph" w:customStyle="1" w:styleId="111">
    <w:name w:val="样式 首行缩进:  2 字符"/>
    <w:basedOn w:val="1"/>
    <w:qFormat/>
    <w:uiPriority w:val="0"/>
    <w:pPr>
      <w:spacing w:line="400" w:lineRule="exact"/>
      <w:ind w:firstLine="200" w:firstLineChars="200"/>
    </w:pPr>
    <w:rPr>
      <w:rFonts w:cs="宋体"/>
      <w:sz w:val="24"/>
    </w:rPr>
  </w:style>
  <w:style w:type="paragraph" w:customStyle="1" w:styleId="112">
    <w:name w:val="Plain Text"/>
    <w:basedOn w:val="1"/>
    <w:qFormat/>
    <w:uiPriority w:val="0"/>
    <w:rPr>
      <w:rFonts w:ascii="宋体" w:hAnsi="Courier New" w:cs="Century"/>
      <w:szCs w:val="21"/>
    </w:rPr>
  </w:style>
  <w:style w:type="paragraph" w:customStyle="1" w:styleId="113">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styleId="114">
    <w:name w:val="List Paragraph"/>
    <w:basedOn w:val="1"/>
    <w:qFormat/>
    <w:uiPriority w:val="34"/>
    <w:pPr>
      <w:ind w:firstLine="420" w:firstLineChars="200"/>
    </w:pPr>
  </w:style>
  <w:style w:type="table" w:customStyle="1" w:styleId="115">
    <w:name w:val="Table Normal"/>
    <w:semiHidden/>
    <w:qFormat/>
    <w:uiPriority w:val="2"/>
    <w:pPr>
      <w:widowControl w:val="0"/>
    </w:pPr>
    <w:rPr>
      <w:rFonts w:ascii="Calibri" w:hAnsi="Calibri" w:eastAsia="Times New Roman"/>
      <w:sz w:val="22"/>
      <w:szCs w:val="22"/>
      <w:lang w:val="en-US" w:eastAsia="en-US" w:bidi="ar-SA"/>
    </w:rPr>
    <w:tblPr>
      <w:tblCellMar>
        <w:top w:w="0" w:type="dxa"/>
        <w:left w:w="0" w:type="dxa"/>
        <w:bottom w:w="0" w:type="dxa"/>
        <w:right w:w="0" w:type="dxa"/>
      </w:tblCellMar>
    </w:tblPr>
  </w:style>
  <w:style w:type="character" w:customStyle="1" w:styleId="116">
    <w:name w:val="纯文本 Char1"/>
    <w:qFormat/>
    <w:uiPriority w:val="0"/>
    <w:rPr>
      <w:rFonts w:ascii="宋体" w:hAnsi="Courier New" w:eastAsia="宋体" w:cs="Courier New"/>
      <w:szCs w:val="21"/>
    </w:rPr>
  </w:style>
  <w:style w:type="character" w:customStyle="1" w:styleId="117">
    <w:name w:val="标题 5 Char1"/>
    <w:qFormat/>
    <w:uiPriority w:val="0"/>
    <w:rPr>
      <w:b/>
      <w:kern w:val="2"/>
      <w:sz w:val="28"/>
      <w:szCs w:val="24"/>
    </w:rPr>
  </w:style>
  <w:style w:type="character" w:customStyle="1" w:styleId="118">
    <w:name w:val="批注文字 字符2"/>
    <w:qFormat/>
    <w:uiPriority w:val="0"/>
    <w:rPr>
      <w:rFonts w:ascii="Times New Roman" w:hAnsi="Times New Roman"/>
      <w:kern w:val="2"/>
      <w:sz w:val="21"/>
      <w:szCs w:val="24"/>
    </w:rPr>
  </w:style>
  <w:style w:type="character" w:customStyle="1" w:styleId="119">
    <w:name w:val="纯文本 Char"/>
    <w:qFormat/>
    <w:uiPriority w:val="0"/>
    <w:rPr>
      <w:rFonts w:ascii="宋体" w:hAnsi="Courier New" w:eastAsia="宋体" w:cs="Courier New"/>
      <w:szCs w:val="21"/>
    </w:rPr>
  </w:style>
  <w:style w:type="paragraph" w:customStyle="1" w:styleId="12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21">
    <w:name w:val="first-child"/>
    <w:qFormat/>
    <w:uiPriority w:val="0"/>
  </w:style>
  <w:style w:type="character" w:customStyle="1" w:styleId="122">
    <w:name w:val="layui-layer-tabnow"/>
    <w:qFormat/>
    <w:uiPriority w:val="0"/>
    <w:rPr>
      <w:bdr w:val="single" w:color="CCCCCC" w:sz="6" w:space="0"/>
      <w:shd w:val="clear" w:color="auto" w:fill="FFFFFF"/>
    </w:rPr>
  </w:style>
  <w:style w:type="character" w:customStyle="1" w:styleId="123">
    <w:name w:val="first-child1"/>
    <w:qFormat/>
    <w:uiPriority w:val="0"/>
  </w:style>
  <w:style w:type="paragraph" w:customStyle="1" w:styleId="124">
    <w:name w:val="表格文字"/>
    <w:basedOn w:val="1"/>
    <w:qFormat/>
    <w:uiPriority w:val="0"/>
    <w:pPr>
      <w:adjustRightInd w:val="0"/>
      <w:spacing w:line="420" w:lineRule="atLeast"/>
      <w:jc w:val="left"/>
      <w:textAlignment w:val="baseline"/>
    </w:pPr>
    <w:rPr>
      <w:kern w:val="0"/>
    </w:rPr>
  </w:style>
  <w:style w:type="paragraph" w:customStyle="1" w:styleId="125">
    <w:name w:val="List Paragraph1"/>
    <w:basedOn w:val="1"/>
    <w:qFormat/>
    <w:uiPriority w:val="99"/>
    <w:pPr>
      <w:ind w:left="292" w:firstLine="480"/>
    </w:pPr>
  </w:style>
  <w:style w:type="paragraph" w:customStyle="1" w:styleId="126">
    <w:name w:val="正文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
    <w:name w:val="NormalIndent"/>
    <w:basedOn w:val="1"/>
    <w:qFormat/>
    <w:uiPriority w:val="0"/>
    <w:pPr>
      <w:ind w:firstLine="420"/>
      <w:textAlignment w:val="baseline"/>
    </w:pPr>
    <w:rPr>
      <w:rFonts w:ascii="Calibri" w:hAnsi="Calibri"/>
      <w:szCs w:val="22"/>
    </w:rPr>
  </w:style>
  <w:style w:type="paragraph" w:customStyle="1" w:styleId="12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文本缩进 3_0"/>
    <w:basedOn w:val="128"/>
    <w:qFormat/>
    <w:uiPriority w:val="0"/>
    <w:pPr>
      <w:ind w:left="1120" w:hanging="1120" w:hangingChars="400"/>
      <w:jc w:val="center"/>
    </w:pPr>
    <w:rPr>
      <w:rFonts w:ascii="Calibri" w:hAnsi="Calibri" w:eastAsia="楷体_GB2312"/>
      <w:kern w:val="0"/>
      <w:sz w:val="28"/>
      <w:szCs w:val="20"/>
    </w:rPr>
  </w:style>
  <w:style w:type="paragraph" w:customStyle="1" w:styleId="130">
    <w:name w:val="正文_1"/>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33013</Words>
  <Characters>34819</Characters>
  <Lines>271</Lines>
  <Paragraphs>76</Paragraphs>
  <TotalTime>25</TotalTime>
  <ScaleCrop>false</ScaleCrop>
  <LinksUpToDate>false</LinksUpToDate>
  <CharactersWithSpaces>40549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2020-10-14T10:17:00Z</dcterms:created>
  <dc:creator>Administrator</dc:creator>
  <cp:lastModifiedBy>LMC</cp:lastModifiedBy>
  <cp:lastPrinted>2019-09-27T01:36:00Z</cp:lastPrinted>
  <dcterms:modified xsi:type="dcterms:W3CDTF">2022-05-24T10:03:19Z</dcterms:modified>
  <dc:title>公开招标采购文件范本</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4990DACD0CD343899248CECC4D1703E8</vt:lpwstr>
  </property>
</Properties>
</file>