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OLE_LINK8"/>
      <w:bookmarkStart w:id="1" w:name="OLE_LINK4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广西中竟达建设工程咨询有限公司智能执行查控软件采购项目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HCZC2020-J1-000432-GXZJ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）成交结果公告</w:t>
      </w:r>
      <w:bookmarkEnd w:id="0"/>
      <w:bookmarkEnd w:id="1"/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HCZC2020-J1-000432-GXZJ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智能执行查控软件采购项目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三、成交信息</w:t>
      </w:r>
    </w:p>
    <w:p>
      <w:pPr>
        <w:widowControl/>
        <w:spacing w:line="276" w:lineRule="auto"/>
        <w:ind w:firstLine="1010" w:firstLineChars="421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供应商名称：北京瀚清一同科技有限公司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</w:p>
    <w:p>
      <w:pPr>
        <w:widowControl/>
        <w:spacing w:line="276" w:lineRule="auto"/>
        <w:ind w:firstLine="1010" w:firstLineChars="421"/>
        <w:jc w:val="left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供应商地址：北京市海淀区西三环北路87号14层1-1402-301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</w:p>
    <w:p>
      <w:pPr>
        <w:widowControl/>
        <w:spacing w:line="276" w:lineRule="auto"/>
        <w:ind w:firstLine="1010" w:firstLineChars="421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成交金额：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捌拾叁万伍仟壹佰元整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（小写￥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835100.00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四、主要标的信息</w:t>
      </w:r>
    </w:p>
    <w:tbl>
      <w:tblPr>
        <w:tblStyle w:val="8"/>
        <w:tblpPr w:leftFromText="180" w:rightFromText="180" w:vertAnchor="text" w:horzAnchor="page" w:tblpX="1095" w:tblpY="12"/>
        <w:tblOverlap w:val="never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500"/>
        <w:gridCol w:w="2595"/>
        <w:gridCol w:w="1035"/>
        <w:gridCol w:w="213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7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2595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13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单价(元)</w:t>
            </w:r>
          </w:p>
        </w:tc>
        <w:tc>
          <w:tcPr>
            <w:tcW w:w="2055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单项合计（元）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智能分析</w:t>
            </w:r>
          </w:p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数字书记员</w:t>
            </w:r>
          </w:p>
        </w:tc>
        <w:tc>
          <w:tcPr>
            <w:tcW w:w="2595" w:type="dxa"/>
            <w:vAlign w:val="center"/>
          </w:tcPr>
          <w:p>
            <w:pPr>
              <w:spacing w:line="30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UAide/瀚清一同/中国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3套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36800.00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110400.00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执行智能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查控平台</w:t>
            </w:r>
          </w:p>
        </w:tc>
        <w:tc>
          <w:tcPr>
            <w:tcW w:w="2595" w:type="dxa"/>
            <w:vAlign w:val="center"/>
          </w:tcPr>
          <w:p>
            <w:pPr>
              <w:spacing w:line="30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UAide/瀚清一同/中国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3套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229800.00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689400.00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执行查控监管平台终端</w:t>
            </w:r>
          </w:p>
        </w:tc>
        <w:tc>
          <w:tcPr>
            <w:tcW w:w="2595" w:type="dxa"/>
            <w:vAlign w:val="center"/>
          </w:tcPr>
          <w:p>
            <w:pPr>
              <w:spacing w:line="30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KEDACOM/苏州科达科技股份有限公司/中国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35300.00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35300.00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</w:rPr>
      </w:pP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五、评审专家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lang w:val="zh-CN" w:eastAsia="zh-CN"/>
        </w:rPr>
        <w:t>名单：</w:t>
      </w:r>
      <w:r>
        <w:rPr>
          <w:rFonts w:hint="eastAsia" w:ascii="宋体" w:hAnsi="宋体" w:cs="宋体" w:eastAsiaTheme="minorEastAsia"/>
          <w:sz w:val="22"/>
          <w:szCs w:val="22"/>
        </w:rPr>
        <w:t>周军</w:t>
      </w:r>
      <w:r>
        <w:rPr>
          <w:rFonts w:hint="eastAsia" w:ascii="宋体" w:hAnsi="宋体" w:cs="宋体" w:eastAsiaTheme="minorEastAsia"/>
          <w:sz w:val="22"/>
          <w:szCs w:val="22"/>
          <w:lang w:eastAsia="zh-CN"/>
        </w:rPr>
        <w:t>、</w:t>
      </w:r>
      <w:r>
        <w:rPr>
          <w:rFonts w:hint="eastAsia" w:ascii="宋体" w:hAnsi="宋体" w:cs="宋体" w:eastAsiaTheme="minorEastAsia"/>
          <w:sz w:val="22"/>
          <w:szCs w:val="22"/>
        </w:rPr>
        <w:t>韦倩</w:t>
      </w:r>
      <w:r>
        <w:rPr>
          <w:rFonts w:hint="eastAsia" w:ascii="宋体" w:hAnsi="宋体" w:cs="宋体" w:eastAsiaTheme="minorEastAsia"/>
          <w:sz w:val="22"/>
          <w:szCs w:val="22"/>
          <w:lang w:eastAsia="zh-CN"/>
        </w:rPr>
        <w:t>、</w:t>
      </w:r>
      <w:r>
        <w:rPr>
          <w:rFonts w:hint="eastAsia" w:ascii="宋体" w:hAnsi="宋体" w:cs="Arial" w:eastAsiaTheme="minorEastAsia"/>
          <w:color w:val="000000"/>
        </w:rPr>
        <w:t>蒙震</w:t>
      </w:r>
      <w:r>
        <w:rPr>
          <w:rFonts w:hint="eastAsia" w:ascii="宋体" w:hAnsi="宋体" w:cs="Arial" w:eastAsiaTheme="minorEastAsia"/>
          <w:color w:val="000000"/>
          <w:lang w:eastAsia="zh-CN"/>
        </w:rPr>
        <w:t>（业主评委）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zh-CN" w:eastAsia="zh-CN"/>
        </w:rPr>
        <w:t>。</w:t>
      </w:r>
    </w:p>
    <w:p>
      <w:pPr>
        <w:widowControl/>
        <w:spacing w:line="276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六、代理服务收费标准及金额：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1．参照国家发展改革委调整招标代理服务收费标准(发改价格[2011]534号)，并以项目成交额为基数计取，由成交供应商在领取成交通知书时，一次性向采购代理机构支付。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2. 代理服务费金额：人民币壹万贰仟伍佰元整（￥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12500.00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元）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七、公告期限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eastAsia="zh-CN"/>
        </w:rPr>
        <w:t>自本公告发布之日起1个工作日。</w:t>
      </w:r>
      <w:bookmarkStart w:id="14" w:name="_GoBack"/>
      <w:bookmarkEnd w:id="14"/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其他补充事宜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供应商认为成交结果使自己的权益受到损害的，可以在成交结果公告期限届满之日起七个工作日内以书面形式向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广西壮族自治区河池市中级人民法院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或广西中竟达建设工程咨询有限公司提出质疑，逾期将不再受理。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凡对本次公告内容提出询问，请按以下方式联系。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 xml:space="preserve">　　　　　　 </w:t>
      </w:r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bookmarkStart w:id="2" w:name="_Toc35393806"/>
      <w:bookmarkStart w:id="3" w:name="_Toc35393637"/>
      <w:bookmarkStart w:id="4" w:name="_Toc28359019"/>
      <w:bookmarkStart w:id="5" w:name="_Toc28359096"/>
      <w:r>
        <w:rPr>
          <w:rFonts w:hint="eastAsia" w:ascii="宋体" w:hAnsi="宋体" w:cs="宋体"/>
          <w:bCs/>
          <w:szCs w:val="21"/>
        </w:rPr>
        <w:t>1.采购人信息</w:t>
      </w:r>
      <w:bookmarkEnd w:id="2"/>
      <w:bookmarkEnd w:id="3"/>
      <w:bookmarkEnd w:id="4"/>
      <w:bookmarkEnd w:id="5"/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采购人名称：</w:t>
      </w:r>
      <w:r>
        <w:rPr>
          <w:rFonts w:hint="eastAsia" w:ascii="宋体" w:hAnsi="宋体" w:cs="Arial"/>
        </w:rPr>
        <w:t>广西壮族自治区河池市中级人民法院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Cs w:val="21"/>
        </w:rPr>
        <w:t xml:space="preserve">    地 址：</w:t>
      </w:r>
      <w:r>
        <w:rPr>
          <w:rFonts w:hint="eastAsia" w:ascii="宋体" w:hAnsi="宋体" w:cs="Arial"/>
        </w:rPr>
        <w:t>河池市金城江区</w:t>
      </w:r>
      <w:r>
        <w:rPr>
          <w:rFonts w:hint="eastAsia" w:ascii="宋体" w:hAnsi="宋体"/>
          <w:szCs w:val="21"/>
        </w:rPr>
        <w:t>江北东路405号</w:t>
      </w:r>
      <w:r>
        <w:rPr>
          <w:rFonts w:hint="eastAsia" w:ascii="宋体" w:hAnsi="宋体" w:cs="宋体"/>
          <w:kern w:val="0"/>
          <w:sz w:val="24"/>
        </w:rPr>
        <w:t> </w:t>
      </w:r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/>
          <w:szCs w:val="21"/>
        </w:rPr>
        <w:t>联系人及</w:t>
      </w:r>
      <w:r>
        <w:rPr>
          <w:rFonts w:hint="eastAsia" w:ascii="宋体" w:hAnsi="宋体"/>
          <w:kern w:val="0"/>
          <w:szCs w:val="21"/>
        </w:rPr>
        <w:t xml:space="preserve">电话: </w:t>
      </w:r>
      <w:r>
        <w:rPr>
          <w:rFonts w:hint="eastAsia" w:ascii="宋体" w:hAnsi="宋体"/>
          <w:szCs w:val="21"/>
        </w:rPr>
        <w:t>蒙震（0778-2252669）</w:t>
      </w:r>
      <w:r>
        <w:rPr>
          <w:rFonts w:hint="eastAsia" w:ascii="宋体" w:hAnsi="宋体"/>
          <w:kern w:val="0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bookmarkStart w:id="6" w:name="_Toc35393638"/>
      <w:bookmarkStart w:id="7" w:name="_Toc35393807"/>
      <w:bookmarkStart w:id="8" w:name="_Toc28359020"/>
      <w:bookmarkStart w:id="9" w:name="_Toc28359097"/>
      <w:r>
        <w:rPr>
          <w:rFonts w:hint="eastAsia" w:ascii="宋体" w:hAnsi="宋体" w:cs="宋体"/>
          <w:bCs/>
          <w:szCs w:val="21"/>
        </w:rPr>
        <w:t>2.采购代理机构信息</w:t>
      </w:r>
      <w:bookmarkEnd w:id="6"/>
      <w:bookmarkEnd w:id="7"/>
      <w:bookmarkEnd w:id="8"/>
      <w:bookmarkEnd w:id="9"/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名    称：广西中竟达建设工程咨询有限公司</w:t>
      </w:r>
    </w:p>
    <w:p>
      <w:pPr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地　　址：</w:t>
      </w:r>
      <w:r>
        <w:rPr>
          <w:rFonts w:hint="eastAsia" w:ascii="宋体" w:hAnsi="宋体" w:cs="宋体"/>
          <w:bCs/>
          <w:szCs w:val="21"/>
          <w:lang w:eastAsia="zh-CN"/>
        </w:rPr>
        <w:t>河池市金城江区江北东路239号龙江帝景*创业大厦C栋31楼</w:t>
      </w:r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联系方式：玉雅莲（0778-2775768）</w:t>
      </w:r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bookmarkStart w:id="10" w:name="_Toc35393808"/>
      <w:bookmarkStart w:id="11" w:name="_Toc28359021"/>
      <w:bookmarkStart w:id="12" w:name="_Toc35393639"/>
      <w:bookmarkStart w:id="13" w:name="_Toc28359098"/>
      <w:r>
        <w:rPr>
          <w:rFonts w:hint="eastAsia" w:ascii="宋体" w:hAnsi="宋体" w:cs="宋体"/>
          <w:bCs/>
          <w:szCs w:val="21"/>
        </w:rPr>
        <w:t>3.项目联系方式</w:t>
      </w:r>
      <w:bookmarkEnd w:id="10"/>
      <w:bookmarkEnd w:id="11"/>
      <w:bookmarkEnd w:id="12"/>
      <w:bookmarkEnd w:id="13"/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项目联系人：玉雅莲（0778-2775768）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电　 话：0778-27</w:t>
      </w:r>
      <w:r>
        <w:rPr>
          <w:rFonts w:hint="eastAsia" w:ascii="宋体" w:hAnsi="宋体" w:cs="宋体"/>
          <w:szCs w:val="21"/>
        </w:rPr>
        <w:t>75768</w:t>
      </w:r>
    </w:p>
    <w:p>
      <w:pPr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</w:t>
      </w:r>
      <w:r>
        <w:rPr>
          <w:rFonts w:ascii="宋体" w:hAnsi="宋体" w:cs="宋体"/>
          <w:bCs/>
          <w:szCs w:val="21"/>
        </w:rPr>
        <w:t>监督部门信息</w:t>
      </w:r>
    </w:p>
    <w:p>
      <w:pPr>
        <w:ind w:firstLine="420" w:firstLineChars="20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名称：河池市财政局政府采购监督管理科</w:t>
      </w:r>
    </w:p>
    <w:p>
      <w:pPr>
        <w:ind w:firstLine="420" w:firstLineChars="20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地址：河池市金城江区金城西路25号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ascii="宋体" w:hAnsi="宋体" w:cs="宋体"/>
          <w:bCs/>
          <w:szCs w:val="21"/>
        </w:rPr>
        <w:t>联系方式：0778-2270025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val="en-US" w:eastAsia="zh-CN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　　　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十、附件</w:t>
      </w:r>
    </w:p>
    <w:p>
      <w:pPr>
        <w:pStyle w:val="2"/>
        <w:jc w:val="both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成交结果公告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                              广西中竟达建设工程咨询有限公司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                               2020年12月25日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6638"/>
    <w:rsid w:val="03F01ACE"/>
    <w:rsid w:val="12812B68"/>
    <w:rsid w:val="1A990277"/>
    <w:rsid w:val="1EFF4CFC"/>
    <w:rsid w:val="208F591A"/>
    <w:rsid w:val="21C25E6C"/>
    <w:rsid w:val="22752FF4"/>
    <w:rsid w:val="246F7C5E"/>
    <w:rsid w:val="24EC558F"/>
    <w:rsid w:val="25261DA1"/>
    <w:rsid w:val="257C68D7"/>
    <w:rsid w:val="25BF425E"/>
    <w:rsid w:val="2BF15C87"/>
    <w:rsid w:val="2EC02DE4"/>
    <w:rsid w:val="2FE46B36"/>
    <w:rsid w:val="31760287"/>
    <w:rsid w:val="323F4624"/>
    <w:rsid w:val="329647B1"/>
    <w:rsid w:val="42EA688B"/>
    <w:rsid w:val="47ED13B3"/>
    <w:rsid w:val="4AEE6AAB"/>
    <w:rsid w:val="5BA24783"/>
    <w:rsid w:val="63FB5BB3"/>
    <w:rsid w:val="676C275D"/>
    <w:rsid w:val="6E2C3CCB"/>
    <w:rsid w:val="714C5A0B"/>
    <w:rsid w:val="71A4504D"/>
    <w:rsid w:val="766F2C1E"/>
    <w:rsid w:val="7B9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</w:style>
  <w:style w:type="paragraph" w:styleId="3">
    <w:name w:val="toc 2"/>
    <w:basedOn w:val="1"/>
    <w:next w:val="1"/>
    <w:uiPriority w:val="0"/>
    <w:pPr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2020-12-24T03:46:00Z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