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440" w:lineRule="exact"/>
        <w:jc w:val="center"/>
        <w:textAlignment w:val="auto"/>
        <w:rPr>
          <w:rFonts w:hint="eastAsia" w:ascii="黑体" w:hAnsi="黑体" w:eastAsia="黑体" w:cs="黑体"/>
          <w:b/>
          <w:color w:val="auto"/>
          <w:sz w:val="32"/>
          <w:szCs w:val="32"/>
          <w:highlight w:val="none"/>
          <w:u w:val="single"/>
        </w:rPr>
      </w:pPr>
      <w:r>
        <w:rPr>
          <w:rFonts w:hint="eastAsia" w:ascii="黑体" w:hAnsi="黑体" w:eastAsia="黑体" w:cs="黑体"/>
          <w:b/>
          <w:color w:val="auto"/>
          <w:sz w:val="32"/>
          <w:szCs w:val="32"/>
          <w:highlight w:val="none"/>
        </w:rPr>
        <w:t>广西众联工程项目管理有限公司关于</w:t>
      </w:r>
      <w:r>
        <w:rPr>
          <w:rFonts w:hint="eastAsia" w:ascii="黑体" w:hAnsi="黑体" w:eastAsia="黑体" w:cs="黑体"/>
          <w:b/>
          <w:color w:val="auto"/>
          <w:sz w:val="32"/>
          <w:szCs w:val="32"/>
          <w:highlight w:val="none"/>
          <w:u w:val="single"/>
          <w:lang w:eastAsia="zh-CN"/>
        </w:rPr>
        <w:t>医疗设备采购</w:t>
      </w:r>
      <w:r>
        <w:rPr>
          <w:rFonts w:hint="eastAsia" w:ascii="黑体" w:hAnsi="黑体" w:eastAsia="黑体" w:cs="黑体"/>
          <w:b/>
          <w:color w:val="auto"/>
          <w:sz w:val="32"/>
          <w:szCs w:val="32"/>
          <w:highlight w:val="none"/>
          <w:u w:val="single"/>
        </w:rPr>
        <w:t>（</w:t>
      </w:r>
      <w:r>
        <w:rPr>
          <w:rFonts w:hint="eastAsia" w:ascii="黑体" w:hAnsi="黑体" w:eastAsia="黑体" w:cs="黑体"/>
          <w:b/>
          <w:color w:val="auto"/>
          <w:sz w:val="32"/>
          <w:szCs w:val="32"/>
          <w:highlight w:val="none"/>
          <w:u w:val="single"/>
          <w:lang w:eastAsia="zh-CN"/>
        </w:rPr>
        <w:t>HZZC2020-G1-210168-GXZL</w:t>
      </w:r>
      <w:r>
        <w:rPr>
          <w:rFonts w:hint="eastAsia" w:ascii="黑体" w:hAnsi="黑体" w:eastAsia="黑体" w:cs="黑体"/>
          <w:b/>
          <w:color w:val="auto"/>
          <w:sz w:val="32"/>
          <w:szCs w:val="32"/>
          <w:highlight w:val="none"/>
          <w:u w:val="single"/>
        </w:rPr>
        <w:t>）</w:t>
      </w:r>
      <w:r>
        <w:rPr>
          <w:rFonts w:hint="eastAsia" w:ascii="黑体" w:hAnsi="黑体" w:eastAsia="黑体" w:cs="黑体"/>
          <w:b/>
          <w:color w:val="auto"/>
          <w:sz w:val="32"/>
          <w:szCs w:val="32"/>
          <w:highlight w:val="none"/>
        </w:rPr>
        <w:t>招标公告</w:t>
      </w:r>
    </w:p>
    <w:p>
      <w:pPr>
        <w:keepNext w:val="0"/>
        <w:keepLines w:val="0"/>
        <w:pageBreakBefore w:val="0"/>
        <w:kinsoku/>
        <w:overflowPunct/>
        <w:topLinePunct w:val="0"/>
        <w:autoSpaceDE/>
        <w:autoSpaceDN/>
        <w:bidi w:val="0"/>
        <w:adjustRightInd/>
        <w:spacing w:line="440" w:lineRule="exact"/>
        <w:textAlignment w:val="auto"/>
        <w:rPr>
          <w:rFonts w:hint="eastAsia" w:ascii="黑体" w:hAnsi="黑体" w:eastAsia="黑体" w:cs="黑体"/>
          <w:color w:val="auto"/>
          <w:szCs w:val="21"/>
          <w:highlight w:val="none"/>
        </w:rPr>
      </w:pPr>
    </w:p>
    <w:p>
      <w:pPr>
        <w:wordWrap w:val="0"/>
        <w:spacing w:line="400" w:lineRule="exact"/>
        <w:ind w:firstLine="420" w:firstLineChars="200"/>
        <w:jc w:val="left"/>
        <w:rPr>
          <w:rFonts w:hint="eastAsia" w:ascii="黑体" w:hAnsi="黑体" w:eastAsia="黑体" w:cs="黑体"/>
          <w:bCs/>
          <w:color w:val="auto"/>
          <w:sz w:val="32"/>
          <w:szCs w:val="32"/>
          <w:highlight w:val="none"/>
        </w:rPr>
      </w:pPr>
      <w:r>
        <w:rPr>
          <w:rFonts w:hint="eastAsia" w:ascii="黑体" w:hAnsi="黑体" w:eastAsia="黑体" w:cs="黑体"/>
          <w:color w:val="auto"/>
          <w:szCs w:val="21"/>
          <w:highlight w:val="none"/>
          <w:lang w:eastAsia="zh-CN"/>
        </w:rPr>
        <w:t>医疗设备采购</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eastAsia="zh-CN"/>
        </w:rPr>
        <w:t>HZZC2020-G1-210168-GXZL</w:t>
      </w:r>
      <w:r>
        <w:rPr>
          <w:rFonts w:hint="eastAsia" w:ascii="黑体" w:hAnsi="黑体" w:eastAsia="黑体" w:cs="黑体"/>
          <w:color w:val="auto"/>
          <w:szCs w:val="21"/>
          <w:highlight w:val="none"/>
        </w:rPr>
        <w:t>)招标项目的潜在投标人应在贺州市公共资源交易中心服务窗口（广西贺州市鞍山西路83-1号4楼）获取《招标文件》，并于</w:t>
      </w:r>
      <w:r>
        <w:rPr>
          <w:rFonts w:hint="eastAsia" w:ascii="黑体" w:hAnsi="黑体" w:eastAsia="黑体" w:cs="黑体"/>
          <w:color w:val="auto"/>
          <w:highlight w:val="none"/>
        </w:rPr>
        <w:t>202</w:t>
      </w:r>
      <w:r>
        <w:rPr>
          <w:rFonts w:hint="eastAsia" w:ascii="黑体" w:hAnsi="黑体" w:eastAsia="黑体" w:cs="黑体"/>
          <w:color w:val="auto"/>
          <w:highlight w:val="none"/>
          <w:lang w:val="en-US" w:eastAsia="zh-CN"/>
        </w:rPr>
        <w:t>1</w:t>
      </w:r>
      <w:r>
        <w:rPr>
          <w:rFonts w:hint="eastAsia" w:ascii="黑体" w:hAnsi="黑体" w:eastAsia="黑体" w:cs="黑体"/>
          <w:color w:val="auto"/>
          <w:highlight w:val="none"/>
        </w:rPr>
        <w:t>年</w:t>
      </w:r>
      <w:r>
        <w:rPr>
          <w:rFonts w:hint="eastAsia" w:ascii="黑体" w:hAnsi="黑体" w:eastAsia="黑体" w:cs="黑体"/>
          <w:color w:val="auto"/>
          <w:highlight w:val="none"/>
          <w:lang w:val="en-US" w:eastAsia="zh-CN"/>
        </w:rPr>
        <w:t>01</w:t>
      </w:r>
      <w:r>
        <w:rPr>
          <w:rFonts w:hint="eastAsia" w:ascii="黑体" w:hAnsi="黑体" w:eastAsia="黑体" w:cs="黑体"/>
          <w:color w:val="auto"/>
          <w:highlight w:val="none"/>
        </w:rPr>
        <w:t>月</w:t>
      </w:r>
      <w:r>
        <w:rPr>
          <w:rFonts w:hint="eastAsia" w:ascii="黑体" w:hAnsi="黑体" w:eastAsia="黑体" w:cs="黑体"/>
          <w:color w:val="auto"/>
          <w:highlight w:val="none"/>
          <w:lang w:val="en-US" w:eastAsia="zh-CN"/>
        </w:rPr>
        <w:t>08</w:t>
      </w:r>
      <w:r>
        <w:rPr>
          <w:rFonts w:hint="eastAsia" w:ascii="黑体" w:hAnsi="黑体" w:eastAsia="黑体" w:cs="黑体"/>
          <w:color w:val="auto"/>
          <w:highlight w:val="none"/>
        </w:rPr>
        <w:t>日</w:t>
      </w:r>
      <w:r>
        <w:rPr>
          <w:rFonts w:hint="eastAsia" w:ascii="黑体" w:hAnsi="黑体" w:eastAsia="黑体" w:cs="黑体"/>
          <w:color w:val="auto"/>
          <w:highlight w:val="none"/>
          <w:lang w:val="en-US" w:eastAsia="zh-CN"/>
        </w:rPr>
        <w:t>09</w:t>
      </w:r>
      <w:r>
        <w:rPr>
          <w:rFonts w:hint="eastAsia" w:ascii="黑体" w:hAnsi="黑体" w:eastAsia="黑体" w:cs="黑体"/>
          <w:color w:val="auto"/>
          <w:highlight w:val="none"/>
        </w:rPr>
        <w:t>时</w:t>
      </w:r>
      <w:r>
        <w:rPr>
          <w:rFonts w:hint="eastAsia" w:ascii="黑体" w:hAnsi="黑体" w:eastAsia="黑体" w:cs="黑体"/>
          <w:color w:val="auto"/>
          <w:highlight w:val="none"/>
          <w:lang w:val="en-US" w:eastAsia="zh-CN"/>
        </w:rPr>
        <w:t>00</w:t>
      </w:r>
      <w:r>
        <w:rPr>
          <w:rFonts w:hint="eastAsia" w:ascii="黑体" w:hAnsi="黑体" w:eastAsia="黑体" w:cs="黑体"/>
          <w:color w:val="auto"/>
          <w:highlight w:val="none"/>
        </w:rPr>
        <w:t>分（北京时间）前递交《投标文件》。</w:t>
      </w:r>
    </w:p>
    <w:p>
      <w:pPr>
        <w:spacing w:line="400" w:lineRule="exact"/>
        <w:rPr>
          <w:rFonts w:hint="eastAsia" w:ascii="黑体" w:hAnsi="黑体" w:eastAsia="黑体" w:cs="黑体"/>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一．项目基本情况</w:t>
      </w:r>
    </w:p>
    <w:p>
      <w:pPr>
        <w:spacing w:line="400" w:lineRule="exact"/>
        <w:ind w:firstLine="413" w:firstLineChars="196"/>
        <w:rPr>
          <w:rFonts w:hint="eastAsia" w:ascii="黑体" w:hAnsi="黑体" w:eastAsia="黑体" w:cs="黑体"/>
          <w:b/>
          <w:color w:val="auto"/>
          <w:szCs w:val="21"/>
          <w:highlight w:val="none"/>
          <w:lang w:eastAsia="zh-CN"/>
        </w:rPr>
      </w:pPr>
      <w:r>
        <w:rPr>
          <w:rFonts w:hint="eastAsia" w:ascii="黑体" w:hAnsi="黑体" w:eastAsia="黑体" w:cs="黑体"/>
          <w:b/>
          <w:color w:val="auto"/>
          <w:szCs w:val="21"/>
          <w:highlight w:val="none"/>
        </w:rPr>
        <w:t>1.采购项目名称：</w:t>
      </w:r>
      <w:r>
        <w:rPr>
          <w:rFonts w:hint="eastAsia" w:ascii="黑体" w:hAnsi="黑体" w:eastAsia="黑体" w:cs="黑体"/>
          <w:color w:val="auto"/>
          <w:szCs w:val="21"/>
          <w:highlight w:val="none"/>
          <w:lang w:eastAsia="zh-CN"/>
        </w:rPr>
        <w:t>医疗设备采购</w:t>
      </w:r>
    </w:p>
    <w:p>
      <w:pPr>
        <w:spacing w:line="400" w:lineRule="exact"/>
        <w:ind w:firstLine="413" w:firstLineChars="196"/>
        <w:rPr>
          <w:rFonts w:hint="eastAsia" w:ascii="黑体" w:hAnsi="黑体" w:eastAsia="黑体" w:cs="黑体"/>
          <w:b/>
          <w:color w:val="auto"/>
          <w:szCs w:val="21"/>
          <w:highlight w:val="none"/>
          <w:lang w:eastAsia="zh-CN"/>
        </w:rPr>
      </w:pPr>
      <w:r>
        <w:rPr>
          <w:rFonts w:hint="eastAsia" w:ascii="黑体" w:hAnsi="黑体" w:eastAsia="黑体" w:cs="黑体"/>
          <w:b/>
          <w:color w:val="auto"/>
          <w:szCs w:val="21"/>
          <w:highlight w:val="none"/>
        </w:rPr>
        <w:t>2.项目采购编号：</w:t>
      </w:r>
      <w:r>
        <w:rPr>
          <w:rFonts w:hint="eastAsia" w:ascii="黑体" w:hAnsi="黑体" w:eastAsia="黑体" w:cs="黑体"/>
          <w:bCs/>
          <w:color w:val="auto"/>
          <w:szCs w:val="21"/>
          <w:highlight w:val="none"/>
          <w:lang w:eastAsia="zh-CN"/>
        </w:rPr>
        <w:t>HZZC2020-G1-210168-GXZL</w:t>
      </w:r>
    </w:p>
    <w:p>
      <w:pPr>
        <w:spacing w:line="400" w:lineRule="exact"/>
        <w:ind w:firstLine="413" w:firstLineChars="196"/>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3.采购方式：</w:t>
      </w:r>
      <w:r>
        <w:rPr>
          <w:rFonts w:hint="eastAsia" w:ascii="黑体" w:hAnsi="黑体" w:eastAsia="黑体" w:cs="黑体"/>
          <w:color w:val="auto"/>
          <w:szCs w:val="21"/>
          <w:highlight w:val="none"/>
        </w:rPr>
        <w:t>公开招标</w:t>
      </w:r>
    </w:p>
    <w:p>
      <w:pPr>
        <w:spacing w:line="400" w:lineRule="exact"/>
        <w:ind w:firstLine="413" w:firstLineChars="196"/>
        <w:rPr>
          <w:rFonts w:hint="eastAsia" w:ascii="黑体" w:hAnsi="黑体" w:eastAsia="黑体" w:cs="黑体"/>
          <w:b/>
          <w:color w:val="auto"/>
          <w:szCs w:val="21"/>
          <w:highlight w:val="none"/>
        </w:rPr>
      </w:pPr>
      <w:r>
        <w:rPr>
          <w:rFonts w:hint="eastAsia" w:ascii="黑体" w:hAnsi="黑体" w:eastAsia="黑体" w:cs="黑体"/>
          <w:b/>
          <w:color w:val="auto"/>
          <w:highlight w:val="none"/>
        </w:rPr>
        <w:t>4.最高投标限价（采购预算价）：</w:t>
      </w:r>
      <w:r>
        <w:rPr>
          <w:rFonts w:hint="eastAsia" w:ascii="黑体" w:hAnsi="黑体" w:eastAsia="黑体" w:cs="黑体"/>
          <w:color w:val="auto"/>
          <w:szCs w:val="21"/>
          <w:highlight w:val="none"/>
          <w:lang w:bidi="ar"/>
        </w:rPr>
        <w:t>人民币</w:t>
      </w:r>
      <w:r>
        <w:rPr>
          <w:rFonts w:hint="eastAsia" w:ascii="黑体" w:hAnsi="黑体" w:eastAsia="黑体" w:cs="黑体"/>
          <w:color w:val="auto"/>
          <w:szCs w:val="21"/>
          <w:highlight w:val="none"/>
          <w:lang w:eastAsia="zh-CN" w:bidi="ar"/>
        </w:rPr>
        <w:t>贰佰贰拾万零捌仟柒佰元整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22087</w:t>
      </w:r>
      <w:r>
        <w:rPr>
          <w:rFonts w:hint="eastAsia" w:ascii="黑体" w:hAnsi="黑体" w:eastAsia="黑体" w:cs="黑体"/>
          <w:color w:val="auto"/>
          <w:szCs w:val="21"/>
          <w:highlight w:val="none"/>
          <w:lang w:bidi="ar"/>
        </w:rPr>
        <w:t>00.00），该款项资金来自</w:t>
      </w:r>
      <w:r>
        <w:rPr>
          <w:rFonts w:hint="eastAsia" w:ascii="黑体" w:hAnsi="黑体" w:eastAsia="黑体" w:cs="黑体"/>
          <w:color w:val="auto"/>
          <w:szCs w:val="21"/>
          <w:highlight w:val="none"/>
          <w:lang w:eastAsia="zh-CN" w:bidi="ar"/>
        </w:rPr>
        <w:t>自筹资金</w:t>
      </w:r>
      <w:r>
        <w:rPr>
          <w:rFonts w:hint="eastAsia" w:ascii="黑体" w:hAnsi="黑体" w:eastAsia="黑体" w:cs="黑体"/>
          <w:color w:val="auto"/>
          <w:szCs w:val="21"/>
          <w:highlight w:val="none"/>
          <w:lang w:bidi="ar"/>
        </w:rPr>
        <w:t>，出资比例为100%。其中A标段：人民币</w:t>
      </w:r>
      <w:r>
        <w:rPr>
          <w:rFonts w:hint="eastAsia" w:ascii="黑体" w:hAnsi="黑体" w:eastAsia="黑体" w:cs="黑体"/>
          <w:color w:val="auto"/>
          <w:szCs w:val="21"/>
          <w:highlight w:val="none"/>
          <w:lang w:eastAsia="zh-CN" w:bidi="ar"/>
        </w:rPr>
        <w:t>壹拾叁万元整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130</w:t>
      </w:r>
      <w:r>
        <w:rPr>
          <w:rFonts w:hint="eastAsia" w:ascii="黑体" w:hAnsi="黑体" w:eastAsia="黑体" w:cs="黑体"/>
          <w:color w:val="auto"/>
          <w:szCs w:val="21"/>
          <w:highlight w:val="none"/>
          <w:lang w:bidi="ar"/>
        </w:rPr>
        <w:t>000.00）；B标段：人民币</w:t>
      </w:r>
      <w:r>
        <w:rPr>
          <w:rFonts w:hint="eastAsia" w:ascii="黑体" w:hAnsi="黑体" w:eastAsia="黑体" w:cs="黑体"/>
          <w:color w:val="auto"/>
          <w:szCs w:val="21"/>
          <w:highlight w:val="none"/>
          <w:lang w:eastAsia="zh-CN" w:bidi="ar"/>
        </w:rPr>
        <w:t>壹拾伍万元整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150</w:t>
      </w:r>
      <w:r>
        <w:rPr>
          <w:rFonts w:hint="eastAsia" w:ascii="黑体" w:hAnsi="黑体" w:eastAsia="黑体" w:cs="黑体"/>
          <w:color w:val="auto"/>
          <w:szCs w:val="21"/>
          <w:highlight w:val="none"/>
          <w:lang w:bidi="ar"/>
        </w:rPr>
        <w:t>000.00）；</w:t>
      </w:r>
      <w:r>
        <w:rPr>
          <w:rFonts w:hint="eastAsia" w:ascii="黑体" w:hAnsi="黑体" w:eastAsia="黑体" w:cs="黑体"/>
          <w:color w:val="auto"/>
          <w:szCs w:val="21"/>
          <w:highlight w:val="none"/>
          <w:lang w:val="en-US" w:eastAsia="zh-CN" w:bidi="ar"/>
        </w:rPr>
        <w:t>C</w:t>
      </w:r>
      <w:r>
        <w:rPr>
          <w:rFonts w:hint="eastAsia" w:ascii="黑体" w:hAnsi="黑体" w:eastAsia="黑体" w:cs="黑体"/>
          <w:color w:val="auto"/>
          <w:szCs w:val="21"/>
          <w:highlight w:val="none"/>
          <w:lang w:bidi="ar"/>
        </w:rPr>
        <w:t>标段：人民币</w:t>
      </w:r>
      <w:r>
        <w:rPr>
          <w:rFonts w:hint="eastAsia" w:ascii="黑体" w:hAnsi="黑体" w:eastAsia="黑体" w:cs="黑体"/>
          <w:color w:val="auto"/>
          <w:szCs w:val="21"/>
          <w:highlight w:val="none"/>
          <w:lang w:eastAsia="zh-CN" w:bidi="ar"/>
        </w:rPr>
        <w:t>壹佰肆拾万零肆仟柒佰元整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14047</w:t>
      </w:r>
      <w:r>
        <w:rPr>
          <w:rFonts w:hint="eastAsia" w:ascii="黑体" w:hAnsi="黑体" w:eastAsia="黑体" w:cs="黑体"/>
          <w:color w:val="auto"/>
          <w:szCs w:val="21"/>
          <w:highlight w:val="none"/>
          <w:lang w:bidi="ar"/>
        </w:rPr>
        <w:t>00.00）；</w:t>
      </w:r>
      <w:r>
        <w:rPr>
          <w:rFonts w:hint="eastAsia" w:ascii="黑体" w:hAnsi="黑体" w:eastAsia="黑体" w:cs="黑体"/>
          <w:color w:val="auto"/>
          <w:szCs w:val="21"/>
          <w:highlight w:val="none"/>
          <w:lang w:val="en-US" w:eastAsia="zh-CN" w:bidi="ar"/>
        </w:rPr>
        <w:t>D</w:t>
      </w:r>
      <w:r>
        <w:rPr>
          <w:rFonts w:hint="eastAsia" w:ascii="黑体" w:hAnsi="黑体" w:eastAsia="黑体" w:cs="黑体"/>
          <w:color w:val="auto"/>
          <w:szCs w:val="21"/>
          <w:highlight w:val="none"/>
          <w:lang w:bidi="ar"/>
        </w:rPr>
        <w:t>标段：人民币</w:t>
      </w:r>
      <w:r>
        <w:rPr>
          <w:rFonts w:hint="eastAsia" w:ascii="黑体" w:hAnsi="黑体" w:eastAsia="黑体" w:cs="黑体"/>
          <w:color w:val="auto"/>
          <w:szCs w:val="21"/>
          <w:highlight w:val="none"/>
          <w:lang w:val="en-US" w:eastAsia="zh-CN" w:bidi="ar"/>
        </w:rPr>
        <w:t>伍拾贰万肆仟元整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524</w:t>
      </w:r>
      <w:r>
        <w:rPr>
          <w:rFonts w:hint="eastAsia" w:ascii="黑体" w:hAnsi="黑体" w:eastAsia="黑体" w:cs="黑体"/>
          <w:color w:val="auto"/>
          <w:szCs w:val="21"/>
          <w:highlight w:val="none"/>
          <w:lang w:bidi="ar"/>
        </w:rPr>
        <w:t>000.00）。</w:t>
      </w:r>
    </w:p>
    <w:p>
      <w:pPr>
        <w:spacing w:line="400" w:lineRule="exact"/>
        <w:ind w:firstLine="413" w:firstLineChars="196"/>
        <w:rPr>
          <w:rFonts w:hint="eastAsia" w:ascii="黑体" w:hAnsi="黑体" w:eastAsia="黑体" w:cs="黑体"/>
          <w:color w:val="auto"/>
          <w:szCs w:val="21"/>
          <w:highlight w:val="none"/>
          <w:lang w:bidi="ar"/>
        </w:rPr>
      </w:pPr>
      <w:r>
        <w:rPr>
          <w:rFonts w:hint="eastAsia" w:ascii="黑体" w:hAnsi="黑体" w:eastAsia="黑体" w:cs="黑体"/>
          <w:b/>
          <w:color w:val="auto"/>
          <w:szCs w:val="21"/>
          <w:highlight w:val="none"/>
        </w:rPr>
        <w:t>5.采购需求：</w:t>
      </w:r>
      <w:r>
        <w:rPr>
          <w:rFonts w:hint="eastAsia" w:ascii="黑体" w:hAnsi="黑体" w:eastAsia="黑体" w:cs="黑体"/>
          <w:bCs/>
          <w:color w:val="auto"/>
          <w:szCs w:val="21"/>
          <w:highlight w:val="none"/>
          <w:lang w:bidi="ar"/>
        </w:rPr>
        <w:t>采购</w:t>
      </w:r>
      <w:r>
        <w:rPr>
          <w:rFonts w:hint="eastAsia" w:ascii="黑体" w:hAnsi="黑体" w:eastAsia="黑体" w:cs="黑体"/>
          <w:bCs/>
          <w:color w:val="auto"/>
          <w:szCs w:val="21"/>
          <w:highlight w:val="none"/>
          <w:lang w:eastAsia="zh-CN" w:bidi="ar"/>
        </w:rPr>
        <w:t>医疗设备</w:t>
      </w:r>
      <w:r>
        <w:rPr>
          <w:rFonts w:hint="eastAsia" w:ascii="黑体" w:hAnsi="黑体" w:eastAsia="黑体" w:cs="黑体"/>
          <w:bCs/>
          <w:color w:val="auto"/>
          <w:szCs w:val="21"/>
          <w:highlight w:val="none"/>
          <w:lang w:bidi="ar"/>
        </w:rPr>
        <w:t>一批，本项</w:t>
      </w:r>
      <w:r>
        <w:rPr>
          <w:rFonts w:hint="eastAsia" w:ascii="黑体" w:hAnsi="黑体" w:eastAsia="黑体" w:cs="黑体"/>
          <w:bCs/>
          <w:color w:val="auto"/>
          <w:szCs w:val="21"/>
          <w:highlight w:val="none"/>
          <w:lang w:eastAsia="zh-CN" w:bidi="ar"/>
        </w:rPr>
        <w:t>目</w:t>
      </w:r>
      <w:r>
        <w:rPr>
          <w:rFonts w:hint="eastAsia" w:ascii="黑体" w:hAnsi="黑体" w:eastAsia="黑体" w:cs="黑体"/>
          <w:bCs/>
          <w:color w:val="auto"/>
          <w:szCs w:val="21"/>
          <w:highlight w:val="none"/>
          <w:lang w:bidi="ar"/>
        </w:rPr>
        <w:t>分为</w:t>
      </w:r>
      <w:r>
        <w:rPr>
          <w:rFonts w:hint="eastAsia" w:ascii="黑体" w:hAnsi="黑体" w:eastAsia="黑体" w:cs="黑体"/>
          <w:bCs/>
          <w:color w:val="auto"/>
          <w:szCs w:val="21"/>
          <w:highlight w:val="none"/>
          <w:lang w:val="en-US" w:eastAsia="zh-CN" w:bidi="ar"/>
        </w:rPr>
        <w:t>4</w:t>
      </w:r>
      <w:r>
        <w:rPr>
          <w:rFonts w:hint="eastAsia" w:ascii="黑体" w:hAnsi="黑体" w:eastAsia="黑体" w:cs="黑体"/>
          <w:bCs/>
          <w:color w:val="auto"/>
          <w:szCs w:val="21"/>
          <w:highlight w:val="none"/>
          <w:lang w:bidi="ar"/>
        </w:rPr>
        <w:t>个标段，</w:t>
      </w:r>
      <w:r>
        <w:rPr>
          <w:rFonts w:hint="eastAsia" w:ascii="黑体" w:hAnsi="黑体" w:eastAsia="黑体" w:cs="黑体"/>
          <w:color w:val="auto"/>
          <w:szCs w:val="21"/>
          <w:highlight w:val="none"/>
          <w:lang w:bidi="ar"/>
        </w:rPr>
        <w:t>详见《招标文件》第三章“</w:t>
      </w:r>
      <w:r>
        <w:rPr>
          <w:rFonts w:hint="eastAsia" w:ascii="黑体" w:hAnsi="黑体" w:eastAsia="黑体" w:cs="黑体"/>
          <w:color w:val="auto"/>
          <w:kern w:val="0"/>
          <w:highlight w:val="none"/>
          <w:lang w:bidi="ar"/>
        </w:rPr>
        <w:t>货物需求和说明</w:t>
      </w:r>
      <w:r>
        <w:rPr>
          <w:rFonts w:hint="eastAsia" w:ascii="黑体" w:hAnsi="黑体" w:eastAsia="黑体" w:cs="黑体"/>
          <w:color w:val="auto"/>
          <w:szCs w:val="21"/>
          <w:highlight w:val="none"/>
          <w:lang w:bidi="ar"/>
        </w:rPr>
        <w:t>”。</w:t>
      </w:r>
    </w:p>
    <w:tbl>
      <w:tblPr>
        <w:tblStyle w:val="5"/>
        <w:tblW w:w="10308" w:type="dxa"/>
        <w:tblInd w:w="93" w:type="dxa"/>
        <w:tblLayout w:type="fixed"/>
        <w:tblCellMar>
          <w:top w:w="0" w:type="dxa"/>
          <w:left w:w="108" w:type="dxa"/>
          <w:bottom w:w="0" w:type="dxa"/>
          <w:right w:w="108" w:type="dxa"/>
        </w:tblCellMar>
      </w:tblPr>
      <w:tblGrid>
        <w:gridCol w:w="1142"/>
        <w:gridCol w:w="5666"/>
        <w:gridCol w:w="1650"/>
        <w:gridCol w:w="1850"/>
      </w:tblGrid>
      <w:tr>
        <w:tblPrEx>
          <w:tblCellMar>
            <w:top w:w="0" w:type="dxa"/>
            <w:left w:w="108" w:type="dxa"/>
            <w:bottom w:w="0" w:type="dxa"/>
            <w:right w:w="108" w:type="dxa"/>
          </w:tblCellMar>
        </w:tblPrEx>
        <w:trPr>
          <w:trHeight w:val="535" w:hRule="atLeast"/>
        </w:trPr>
        <w:tc>
          <w:tcPr>
            <w:tcW w:w="11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b/>
                <w:bCs/>
                <w:color w:val="auto"/>
                <w:kern w:val="0"/>
                <w:sz w:val="24"/>
                <w:highlight w:val="none"/>
                <w:lang w:eastAsia="zh-CN"/>
              </w:rPr>
            </w:pPr>
            <w:r>
              <w:rPr>
                <w:rFonts w:hint="eastAsia" w:ascii="黑体" w:hAnsi="黑体" w:eastAsia="黑体" w:cs="黑体"/>
                <w:b/>
                <w:bCs/>
                <w:color w:val="auto"/>
                <w:kern w:val="0"/>
                <w:sz w:val="24"/>
                <w:highlight w:val="none"/>
                <w:lang w:eastAsia="zh-CN"/>
              </w:rPr>
              <w:t>标段号</w:t>
            </w:r>
          </w:p>
        </w:tc>
        <w:tc>
          <w:tcPr>
            <w:tcW w:w="5666" w:type="dxa"/>
            <w:tcBorders>
              <w:top w:val="single" w:color="auto" w:sz="4" w:space="0"/>
              <w:left w:val="nil"/>
              <w:bottom w:val="single" w:color="auto" w:sz="4" w:space="0"/>
              <w:right w:val="single" w:color="auto" w:sz="4" w:space="0"/>
            </w:tcBorders>
            <w:noWrap w:val="0"/>
            <w:vAlign w:val="center"/>
          </w:tcPr>
          <w:p>
            <w:pPr>
              <w:widowControl/>
              <w:ind w:firstLine="2034" w:firstLineChars="844"/>
              <w:jc w:val="both"/>
              <w:rPr>
                <w:rFonts w:hint="eastAsia"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设备名称</w:t>
            </w:r>
          </w:p>
        </w:tc>
        <w:tc>
          <w:tcPr>
            <w:tcW w:w="1650" w:type="dxa"/>
            <w:tcBorders>
              <w:top w:val="single" w:color="auto" w:sz="4" w:space="0"/>
              <w:left w:val="nil"/>
              <w:bottom w:val="single" w:color="auto" w:sz="4" w:space="0"/>
              <w:right w:val="single" w:color="auto" w:sz="4" w:space="0"/>
            </w:tcBorders>
            <w:noWrap/>
            <w:vAlign w:val="center"/>
          </w:tcPr>
          <w:p>
            <w:pPr>
              <w:widowControl/>
              <w:jc w:val="center"/>
              <w:rPr>
                <w:rFonts w:hint="eastAsia"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数量</w:t>
            </w:r>
          </w:p>
        </w:tc>
        <w:tc>
          <w:tcPr>
            <w:tcW w:w="1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b/>
                <w:bCs/>
                <w:color w:val="auto"/>
                <w:kern w:val="0"/>
                <w:sz w:val="24"/>
                <w:highlight w:val="none"/>
              </w:rPr>
            </w:pPr>
            <w:r>
              <w:rPr>
                <w:rFonts w:hint="eastAsia" w:ascii="黑体" w:hAnsi="黑体" w:eastAsia="黑体" w:cs="黑体"/>
                <w:b/>
                <w:bCs/>
                <w:color w:val="auto"/>
                <w:kern w:val="0"/>
                <w:sz w:val="24"/>
                <w:highlight w:val="none"/>
              </w:rPr>
              <w:t>单位</w:t>
            </w:r>
          </w:p>
        </w:tc>
      </w:tr>
      <w:tr>
        <w:tblPrEx>
          <w:tblCellMar>
            <w:top w:w="0" w:type="dxa"/>
            <w:left w:w="108" w:type="dxa"/>
            <w:bottom w:w="0" w:type="dxa"/>
            <w:right w:w="108" w:type="dxa"/>
          </w:tblCellMar>
        </w:tblPrEx>
        <w:trPr>
          <w:trHeight w:val="456" w:hRule="atLeast"/>
        </w:trPr>
        <w:tc>
          <w:tcPr>
            <w:tcW w:w="1142" w:type="dxa"/>
            <w:vMerge w:val="restart"/>
            <w:tcBorders>
              <w:top w:val="nil"/>
              <w:left w:val="single" w:color="auto" w:sz="4" w:space="0"/>
              <w:right w:val="single" w:color="auto" w:sz="4" w:space="0"/>
            </w:tcBorders>
            <w:noWrap/>
            <w:vAlign w:val="center"/>
          </w:tcPr>
          <w:p>
            <w:pPr>
              <w:widowControl/>
              <w:jc w:val="center"/>
              <w:rPr>
                <w:rFonts w:hint="eastAsia"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A</w:t>
            </w:r>
          </w:p>
        </w:tc>
        <w:tc>
          <w:tcPr>
            <w:tcW w:w="5666" w:type="dxa"/>
            <w:tcBorders>
              <w:top w:val="nil"/>
              <w:left w:val="nil"/>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组织包埋机</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bottom w:val="single" w:color="auto" w:sz="4" w:space="0"/>
              <w:right w:val="single" w:color="auto" w:sz="4" w:space="0"/>
            </w:tcBorders>
            <w:noWrap/>
            <w:vAlign w:val="center"/>
          </w:tcPr>
          <w:p>
            <w:pPr>
              <w:widowControl/>
              <w:jc w:val="center"/>
              <w:rPr>
                <w:rFonts w:hint="default" w:ascii="黑体" w:hAnsi="黑体" w:eastAsia="黑体" w:cs="黑体"/>
                <w:color w:val="auto"/>
                <w:kern w:val="0"/>
                <w:sz w:val="21"/>
                <w:szCs w:val="21"/>
                <w:highlight w:val="none"/>
                <w:lang w:val="en-US" w:eastAsia="zh-CN"/>
              </w:rPr>
            </w:pPr>
          </w:p>
        </w:tc>
        <w:tc>
          <w:tcPr>
            <w:tcW w:w="5666" w:type="dxa"/>
            <w:tcBorders>
              <w:top w:val="nil"/>
              <w:left w:val="nil"/>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X光软件</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套</w:t>
            </w:r>
          </w:p>
        </w:tc>
      </w:tr>
      <w:tr>
        <w:tblPrEx>
          <w:tblCellMar>
            <w:top w:w="0" w:type="dxa"/>
            <w:left w:w="108" w:type="dxa"/>
            <w:bottom w:w="0" w:type="dxa"/>
            <w:right w:w="108" w:type="dxa"/>
          </w:tblCellMar>
        </w:tblPrEx>
        <w:trPr>
          <w:trHeight w:val="464" w:hRule="atLeast"/>
        </w:trPr>
        <w:tc>
          <w:tcPr>
            <w:tcW w:w="11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B</w:t>
            </w: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胰岛素泵</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5</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kern w:val="0"/>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restart"/>
            <w:tcBorders>
              <w:top w:val="single" w:color="auto" w:sz="4" w:space="0"/>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r>
              <w:rPr>
                <w:rFonts w:hint="eastAsia" w:ascii="黑体" w:hAnsi="黑体" w:eastAsia="黑体" w:cs="黑体"/>
                <w:bCs/>
                <w:color w:val="auto"/>
                <w:kern w:val="0"/>
                <w:sz w:val="21"/>
                <w:szCs w:val="21"/>
                <w:highlight w:val="none"/>
                <w:lang w:val="en-US" w:eastAsia="zh-CN"/>
              </w:rPr>
              <w:t>C</w:t>
            </w: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亚低温治疗仪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ICU专用电动功能床</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张</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转运暖箱</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空气混合仪（含加压泵）</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全胸腔高频脉冲排痰机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便携式彩超</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三摇动升降医疗床</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27</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张</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2-8度医用冷藏箱</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bottom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医用创口冲洗机（床式）</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restart"/>
            <w:tcBorders>
              <w:top w:val="single" w:color="auto" w:sz="4" w:space="0"/>
              <w:left w:val="single" w:color="auto" w:sz="4" w:space="0"/>
              <w:right w:val="single" w:color="auto" w:sz="4" w:space="0"/>
            </w:tcBorders>
            <w:noWrap/>
            <w:vAlign w:val="center"/>
          </w:tcPr>
          <w:p>
            <w:pPr>
              <w:jc w:val="center"/>
              <w:rPr>
                <w:rFonts w:hint="default" w:ascii="黑体" w:hAnsi="黑体" w:eastAsia="黑体" w:cs="黑体"/>
                <w:color w:val="auto"/>
                <w:kern w:val="0"/>
                <w:sz w:val="21"/>
                <w:szCs w:val="21"/>
                <w:highlight w:val="none"/>
                <w:lang w:val="en-US" w:eastAsia="zh-CN"/>
              </w:rPr>
            </w:pPr>
            <w:r>
              <w:rPr>
                <w:rFonts w:hint="eastAsia" w:ascii="黑体" w:hAnsi="黑体" w:eastAsia="黑体" w:cs="黑体"/>
                <w:bCs/>
                <w:color w:val="auto"/>
                <w:kern w:val="0"/>
                <w:sz w:val="21"/>
                <w:szCs w:val="21"/>
                <w:highlight w:val="none"/>
                <w:lang w:val="en-US" w:eastAsia="zh-CN"/>
              </w:rPr>
              <w:t>D</w:t>
            </w: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电针治疗仪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10</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颈腰椎二合一电动牵引仪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中药熏蒸仪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高压注射器</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电脑骨伤治疗仪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普通光纤喉镜</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5</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套</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困难光纤喉镜</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5</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套</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新生儿光纤喉镜</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套</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骨科治疗仪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套</w:t>
            </w:r>
          </w:p>
        </w:tc>
      </w:tr>
      <w:tr>
        <w:tblPrEx>
          <w:tblCellMar>
            <w:top w:w="0" w:type="dxa"/>
            <w:left w:w="108" w:type="dxa"/>
            <w:bottom w:w="0" w:type="dxa"/>
            <w:right w:w="108" w:type="dxa"/>
          </w:tblCellMar>
        </w:tblPrEx>
        <w:trPr>
          <w:trHeight w:val="464" w:hRule="atLeast"/>
        </w:trPr>
        <w:tc>
          <w:tcPr>
            <w:tcW w:w="1142" w:type="dxa"/>
            <w:vMerge w:val="continue"/>
            <w:tcBorders>
              <w:left w:val="single" w:color="auto" w:sz="4" w:space="0"/>
              <w:bottom w:val="single" w:color="auto" w:sz="4" w:space="0"/>
              <w:right w:val="single" w:color="auto" w:sz="4" w:space="0"/>
            </w:tcBorders>
            <w:noWrap/>
            <w:vAlign w:val="center"/>
          </w:tcPr>
          <w:p>
            <w:pPr>
              <w:jc w:val="center"/>
              <w:rPr>
                <w:rFonts w:hint="eastAsia" w:ascii="黑体" w:hAnsi="黑体" w:eastAsia="黑体" w:cs="黑体"/>
                <w:color w:val="auto"/>
                <w:kern w:val="0"/>
                <w:sz w:val="21"/>
                <w:szCs w:val="21"/>
                <w:highlight w:val="none"/>
                <w:lang w:val="en-US" w:eastAsia="zh-CN"/>
              </w:rPr>
            </w:pPr>
          </w:p>
        </w:tc>
        <w:tc>
          <w:tcPr>
            <w:tcW w:w="5666"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便携式生物反馈治疗仪</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2</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1"/>
                <w:szCs w:val="21"/>
                <w:highlight w:val="none"/>
              </w:rPr>
            </w:pPr>
            <w:r>
              <w:rPr>
                <w:rFonts w:hint="eastAsia" w:ascii="黑体" w:hAnsi="黑体" w:eastAsia="黑体" w:cs="黑体"/>
                <w:color w:val="auto"/>
                <w:sz w:val="21"/>
                <w:szCs w:val="21"/>
                <w:highlight w:val="none"/>
              </w:rPr>
              <w:t>台</w:t>
            </w:r>
          </w:p>
        </w:tc>
      </w:tr>
    </w:tbl>
    <w:p>
      <w:pPr>
        <w:pStyle w:val="2"/>
        <w:rPr>
          <w:rFonts w:hint="eastAsia"/>
          <w:color w:val="auto"/>
          <w:highlight w:val="none"/>
        </w:rPr>
      </w:pPr>
    </w:p>
    <w:p>
      <w:pPr>
        <w:spacing w:line="400" w:lineRule="exact"/>
        <w:ind w:firstLine="413" w:firstLineChars="196"/>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6.《项目合同》履行期限：</w:t>
      </w:r>
    </w:p>
    <w:p>
      <w:pPr>
        <w:spacing w:line="38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◆供货期：自《项目合同》生效后，发包人发出《发货通知书》之日起15个工作日内供货至指定地点安装调试完毕并经验收小组验收合格。</w:t>
      </w:r>
    </w:p>
    <w:p>
      <w:pPr>
        <w:spacing w:line="38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◆质保期：免费保修期不得少于1年（自货物验收合格之日起计，含1年），按国家有关产品规定执行“三包”。</w:t>
      </w:r>
    </w:p>
    <w:p>
      <w:pPr>
        <w:spacing w:line="400" w:lineRule="exact"/>
        <w:ind w:firstLine="413" w:firstLineChars="196"/>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7.本项目是否接受联合体投标：</w:t>
      </w:r>
      <w:r>
        <w:rPr>
          <w:rFonts w:hint="eastAsia" w:ascii="黑体" w:hAnsi="黑体" w:eastAsia="黑体" w:cs="黑体"/>
          <w:color w:val="auto"/>
          <w:szCs w:val="21"/>
          <w:highlight w:val="none"/>
        </w:rPr>
        <w:t>否。</w:t>
      </w:r>
    </w:p>
    <w:p>
      <w:pPr>
        <w:spacing w:line="400" w:lineRule="exact"/>
        <w:rPr>
          <w:rFonts w:hint="eastAsia" w:ascii="黑体" w:hAnsi="黑体" w:eastAsia="黑体" w:cs="黑体"/>
          <w:b/>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二．投标人资格要求</w:t>
      </w:r>
    </w:p>
    <w:p>
      <w:pPr>
        <w:spacing w:line="400" w:lineRule="exact"/>
        <w:ind w:firstLine="422" w:firstLineChars="200"/>
        <w:rPr>
          <w:rFonts w:hint="eastAsia" w:ascii="黑体" w:hAnsi="黑体" w:eastAsia="黑体" w:cs="黑体"/>
          <w:color w:val="auto"/>
          <w:highlight w:val="none"/>
        </w:rPr>
      </w:pPr>
      <w:r>
        <w:rPr>
          <w:rFonts w:hint="eastAsia" w:ascii="黑体" w:hAnsi="黑体" w:eastAsia="黑体" w:cs="黑体"/>
          <w:b/>
          <w:color w:val="auto"/>
          <w:szCs w:val="21"/>
          <w:highlight w:val="none"/>
        </w:rPr>
        <w:t>1.商务资格条件：</w:t>
      </w:r>
      <w:r>
        <w:rPr>
          <w:rFonts w:hint="eastAsia" w:ascii="黑体" w:hAnsi="黑体" w:eastAsia="黑体" w:cs="黑体"/>
          <w:color w:val="auto"/>
          <w:highlight w:val="none"/>
        </w:rPr>
        <w:t>须为国内注册（</w:t>
      </w:r>
      <w:r>
        <w:rPr>
          <w:rFonts w:hint="eastAsia" w:ascii="黑体" w:hAnsi="黑体" w:eastAsia="黑体" w:cs="黑体"/>
          <w:color w:val="auto"/>
          <w:szCs w:val="21"/>
          <w:highlight w:val="none"/>
        </w:rPr>
        <w:t>《营业执照（或事业单位法人证书）》载明“住所”为中华人民共和国境内</w:t>
      </w:r>
      <w:r>
        <w:rPr>
          <w:rFonts w:hint="eastAsia" w:ascii="黑体" w:hAnsi="黑体" w:eastAsia="黑体" w:cs="黑体"/>
          <w:color w:val="auto"/>
          <w:highlight w:val="none"/>
        </w:rPr>
        <w:t>）满足以下各项标准的法人、其他组织或者自然人。</w:t>
      </w:r>
    </w:p>
    <w:p>
      <w:pPr>
        <w:spacing w:line="400" w:lineRule="exact"/>
        <w:ind w:firstLine="840" w:firstLineChars="4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1.1满足《中华人民共和国政府采购法（2002年6月29日第九届全国人民代表大会常务委员会第二十八次会议通过根据2014年8月31日第十二届全国人民代表大会常务委员会第十次会议《关于修改〈中华人民共和国保险法〉等五部法律的决定》修正）》第二十二条规定；</w:t>
      </w:r>
    </w:p>
    <w:p>
      <w:pPr>
        <w:spacing w:line="400" w:lineRule="exact"/>
        <w:ind w:firstLine="840" w:firstLineChars="400"/>
        <w:rPr>
          <w:rFonts w:hint="eastAsia" w:ascii="黑体" w:hAnsi="黑体" w:eastAsia="黑体" w:cs="黑体"/>
          <w:color w:val="auto"/>
          <w:szCs w:val="21"/>
          <w:highlight w:val="none"/>
          <w:lang w:eastAsia="zh-CN" w:bidi="ar"/>
        </w:rPr>
      </w:pPr>
      <w:r>
        <w:rPr>
          <w:rFonts w:hint="eastAsia" w:ascii="黑体" w:hAnsi="黑体" w:eastAsia="黑体" w:cs="黑体"/>
          <w:color w:val="auto"/>
          <w:szCs w:val="21"/>
          <w:highlight w:val="none"/>
        </w:rPr>
        <w:t>1.2</w:t>
      </w:r>
      <w:r>
        <w:rPr>
          <w:rFonts w:hint="eastAsia" w:ascii="黑体" w:hAnsi="黑体" w:eastAsia="黑体" w:cs="黑体"/>
          <w:color w:val="auto"/>
          <w:szCs w:val="21"/>
          <w:highlight w:val="none"/>
          <w:lang w:bidi="ar"/>
        </w:rPr>
        <w:t>具备提供本次采购货物和服务能力的供应商</w:t>
      </w:r>
      <w:r>
        <w:rPr>
          <w:rFonts w:hint="eastAsia" w:ascii="黑体" w:hAnsi="黑体" w:eastAsia="黑体" w:cs="黑体"/>
          <w:color w:val="auto"/>
          <w:szCs w:val="21"/>
          <w:highlight w:val="none"/>
          <w:lang w:eastAsia="zh-CN" w:bidi="ar"/>
        </w:rPr>
        <w:t>；</w:t>
      </w:r>
    </w:p>
    <w:p>
      <w:pPr>
        <w:pStyle w:val="2"/>
        <w:ind w:firstLine="840" w:firstLineChars="400"/>
        <w:rPr>
          <w:rFonts w:hint="eastAsia"/>
          <w:color w:val="auto"/>
          <w:highlight w:val="none"/>
          <w:lang w:eastAsia="zh-CN"/>
        </w:rPr>
      </w:pPr>
      <w:r>
        <w:rPr>
          <w:rFonts w:hint="eastAsia" w:ascii="黑体" w:hAnsi="黑体" w:eastAsia="黑体" w:cs="黑体"/>
          <w:color w:val="auto"/>
          <w:szCs w:val="21"/>
          <w:highlight w:val="none"/>
          <w:lang w:val="en-US" w:eastAsia="zh-CN" w:bidi="ar"/>
        </w:rPr>
        <w:t>1.3 B标段投标人须具备有效的《医疗器械生产许可证》或《医疗器械经营许可证》；C标段投标人须具备有效的《医疗器械生产许可证》或《医疗器械经营许可证》及《第二类医疗器械经营备案凭证》；D标段投标人须具备有效的《第二类医疗器械经营备案凭证》。</w:t>
      </w:r>
    </w:p>
    <w:p>
      <w:pPr>
        <w:spacing w:line="400" w:lineRule="exact"/>
        <w:ind w:firstLine="422" w:firstLineChars="200"/>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2.业绩要求：</w:t>
      </w:r>
      <w:r>
        <w:rPr>
          <w:rFonts w:hint="eastAsia" w:ascii="黑体" w:hAnsi="黑体" w:eastAsia="黑体" w:cs="黑体"/>
          <w:color w:val="auto"/>
          <w:szCs w:val="21"/>
          <w:highlight w:val="none"/>
        </w:rPr>
        <w:t>无要求。</w:t>
      </w:r>
    </w:p>
    <w:p>
      <w:pPr>
        <w:spacing w:line="400" w:lineRule="exact"/>
        <w:ind w:firstLine="422" w:firstLineChars="200"/>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3.诚信要求：</w:t>
      </w:r>
    </w:p>
    <w:p>
      <w:pPr>
        <w:spacing w:line="400" w:lineRule="exact"/>
        <w:ind w:firstLine="831" w:firstLineChars="396"/>
        <w:rPr>
          <w:rFonts w:hint="eastAsia" w:ascii="黑体" w:hAnsi="黑体" w:eastAsia="黑体" w:cs="黑体"/>
          <w:color w:val="auto"/>
          <w:szCs w:val="21"/>
          <w:highlight w:val="none"/>
        </w:rPr>
      </w:pPr>
      <w:r>
        <w:rPr>
          <w:rFonts w:hint="eastAsia" w:ascii="黑体" w:hAnsi="黑体" w:eastAsia="黑体" w:cs="黑体"/>
          <w:color w:val="auto"/>
          <w:szCs w:val="21"/>
          <w:highlight w:val="none"/>
        </w:rPr>
        <w:t>3.1投标人不得为失信（黑名单）被执行人（以①信用中国（网址www.creditchina.gov.cn），或②中国执行信息公开网（网址http://zxgk.court.gov.cn/）的查询结果为准（①、②两样视其投标人性质不同分别核验，投标人为“独立法人”时以“①项途经”核验，其余情况以“②项途经”核验）；</w:t>
      </w:r>
    </w:p>
    <w:p>
      <w:pPr>
        <w:spacing w:line="400" w:lineRule="exact"/>
        <w:ind w:firstLine="831" w:firstLineChars="396"/>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3.2投标人不得为政府采购严重违法失信行为记录名单（以中国政府采购网（www.ccgp.gov.cn）的查询结果为准）。</w:t>
      </w:r>
    </w:p>
    <w:p>
      <w:pPr>
        <w:spacing w:line="380" w:lineRule="exact"/>
        <w:rPr>
          <w:rFonts w:hint="eastAsia" w:ascii="黑体" w:hAnsi="黑体" w:eastAsia="黑体" w:cs="黑体"/>
          <w:b/>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三．获取《招标文件》</w:t>
      </w:r>
    </w:p>
    <w:p>
      <w:pPr>
        <w:spacing w:line="400" w:lineRule="exact"/>
        <w:ind w:firstLine="411" w:firstLineChars="196"/>
        <w:rPr>
          <w:rFonts w:hint="eastAsia" w:ascii="黑体" w:hAnsi="黑体" w:eastAsia="黑体" w:cs="黑体"/>
          <w:color w:val="auto"/>
          <w:szCs w:val="21"/>
          <w:highlight w:val="none"/>
        </w:rPr>
      </w:pPr>
      <w:bookmarkStart w:id="0" w:name="_Toc419363482"/>
      <w:bookmarkStart w:id="1" w:name="_Toc389065127"/>
      <w:bookmarkStart w:id="2" w:name="_Toc419364206"/>
      <w:bookmarkStart w:id="3" w:name="_Toc419320079"/>
      <w:bookmarkStart w:id="4" w:name="_Toc419321115"/>
      <w:bookmarkStart w:id="5" w:name="_Toc395382358"/>
      <w:r>
        <w:rPr>
          <w:rFonts w:hint="eastAsia" w:ascii="黑体" w:hAnsi="黑体" w:eastAsia="黑体" w:cs="黑体"/>
          <w:color w:val="auto"/>
          <w:szCs w:val="21"/>
          <w:highlight w:val="none"/>
        </w:rPr>
        <w:t>实地报名。报名同时发售《招标文件》，不报名或报名不通过的单位无投标资格。凡有意参加投标者，请于2020年</w:t>
      </w:r>
      <w:r>
        <w:rPr>
          <w:rFonts w:hint="eastAsia" w:ascii="黑体" w:hAnsi="黑体" w:eastAsia="黑体" w:cs="黑体"/>
          <w:color w:val="auto"/>
          <w:szCs w:val="21"/>
          <w:highlight w:val="none"/>
          <w:lang w:val="en-US" w:eastAsia="zh-CN"/>
        </w:rPr>
        <w:t>12</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lang w:val="en-US" w:eastAsia="zh-CN"/>
        </w:rPr>
        <w:t>18</w:t>
      </w:r>
      <w:r>
        <w:rPr>
          <w:rFonts w:hint="eastAsia" w:ascii="黑体" w:hAnsi="黑体" w:eastAsia="黑体" w:cs="黑体"/>
          <w:color w:val="auto"/>
          <w:szCs w:val="21"/>
          <w:highlight w:val="none"/>
        </w:rPr>
        <w:t>日本《招标公告》发布之时起至2020年</w:t>
      </w:r>
      <w:r>
        <w:rPr>
          <w:rFonts w:hint="eastAsia" w:ascii="黑体" w:hAnsi="黑体" w:eastAsia="黑体" w:cs="黑体"/>
          <w:color w:val="auto"/>
          <w:szCs w:val="21"/>
          <w:highlight w:val="none"/>
          <w:lang w:val="en-US" w:eastAsia="zh-CN"/>
        </w:rPr>
        <w:t>12</w:t>
      </w:r>
      <w:r>
        <w:rPr>
          <w:rFonts w:hint="eastAsia" w:ascii="黑体" w:hAnsi="黑体" w:eastAsia="黑体" w:cs="黑体"/>
          <w:color w:val="auto"/>
          <w:szCs w:val="21"/>
          <w:highlight w:val="none"/>
        </w:rPr>
        <w:t>月</w:t>
      </w:r>
      <w:r>
        <w:rPr>
          <w:rFonts w:hint="eastAsia" w:ascii="黑体" w:hAnsi="黑体" w:eastAsia="黑体" w:cs="黑体"/>
          <w:color w:val="auto"/>
          <w:szCs w:val="21"/>
          <w:highlight w:val="none"/>
          <w:lang w:val="en-US" w:eastAsia="zh-CN"/>
        </w:rPr>
        <w:t>25</w:t>
      </w:r>
      <w:r>
        <w:rPr>
          <w:rFonts w:hint="eastAsia" w:ascii="黑体" w:hAnsi="黑体" w:eastAsia="黑体" w:cs="黑体"/>
          <w:color w:val="auto"/>
          <w:szCs w:val="21"/>
          <w:highlight w:val="none"/>
        </w:rPr>
        <w:t>日（法定公休日、法定节假日除外），每日上午8时00分至11时30分，下午3时00分至5时30分（北京时间，下同），由潜在投标人的法定代表人（持有效《法定代表人身份证明》、本人“二代居民身份证”）或其授权委托代理人（持有效《授权委托书》、本人“二代居民身份证”）在贺州市公共资源交易中心服务窗口</w:t>
      </w:r>
      <w:r>
        <w:rPr>
          <w:rFonts w:hint="eastAsia" w:ascii="黑体" w:hAnsi="黑体" w:eastAsia="黑体" w:cs="黑体"/>
          <w:color w:val="auto"/>
          <w:szCs w:val="21"/>
          <w:highlight w:val="none"/>
          <w:lang w:bidi="ar"/>
        </w:rPr>
        <w:t>（地址：广西贺州市鞍山西路83-1号4楼）</w:t>
      </w:r>
      <w:r>
        <w:rPr>
          <w:rFonts w:hint="eastAsia" w:ascii="黑体" w:hAnsi="黑体" w:eastAsia="黑体" w:cs="黑体"/>
          <w:color w:val="auto"/>
          <w:szCs w:val="21"/>
          <w:highlight w:val="none"/>
        </w:rPr>
        <w:t>实地现场报名并购买《招标文件》，售价为人民币300.00元/套，售后不退。</w:t>
      </w:r>
    </w:p>
    <w:p>
      <w:pPr>
        <w:spacing w:line="400" w:lineRule="exact"/>
        <w:ind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rPr>
        <w:t>说明：本项</w:t>
      </w:r>
      <w:r>
        <w:rPr>
          <w:rFonts w:hint="eastAsia" w:ascii="黑体" w:hAnsi="黑体" w:eastAsia="黑体" w:cs="黑体"/>
          <w:color w:val="auto"/>
          <w:szCs w:val="21"/>
          <w:highlight w:val="none"/>
          <w:lang w:eastAsia="zh-CN"/>
        </w:rPr>
        <w:t>目</w:t>
      </w:r>
      <w:r>
        <w:rPr>
          <w:rFonts w:hint="eastAsia" w:ascii="黑体" w:hAnsi="黑体" w:eastAsia="黑体" w:cs="黑体"/>
          <w:color w:val="auto"/>
          <w:szCs w:val="21"/>
          <w:highlight w:val="none"/>
        </w:rPr>
        <w:t>潜在投标人的法定代表人或其授权委托代理人携带证件材料均可为加盖投标人单位公章的原件、复印件（或扫描件）。本项涉及“法定代表人”处：其他组织参与项目投标的，均系指该投标人《营业执照（或事业单位法人证书）》上载明的“经营者（主要负责人）”；自然人参与项目投标的，均系指该投标人本人。本项加盖投标人单位公章处：自然人参与项目投标的，均系指该自然人右手食指手印。</w:t>
      </w:r>
    </w:p>
    <w:bookmarkEnd w:id="0"/>
    <w:bookmarkEnd w:id="1"/>
    <w:bookmarkEnd w:id="2"/>
    <w:bookmarkEnd w:id="3"/>
    <w:bookmarkEnd w:id="4"/>
    <w:bookmarkEnd w:id="5"/>
    <w:p>
      <w:pPr>
        <w:spacing w:line="400" w:lineRule="exact"/>
        <w:rPr>
          <w:rFonts w:hint="eastAsia" w:ascii="黑体" w:hAnsi="黑体" w:eastAsia="黑体" w:cs="黑体"/>
          <w:b/>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四．《投标文件》递交的截止（投标截止、开标）时间和地点</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1.《投标文件》递交的截止（投标截止、开标）北京时间为</w:t>
      </w:r>
      <w:r>
        <w:rPr>
          <w:rFonts w:hint="eastAsia" w:ascii="黑体" w:hAnsi="黑体" w:eastAsia="黑体" w:cs="黑体"/>
          <w:color w:val="auto"/>
          <w:highlight w:val="none"/>
        </w:rPr>
        <w:t>202</w:t>
      </w:r>
      <w:r>
        <w:rPr>
          <w:rFonts w:hint="eastAsia" w:ascii="黑体" w:hAnsi="黑体" w:eastAsia="黑体" w:cs="黑体"/>
          <w:color w:val="auto"/>
          <w:highlight w:val="none"/>
          <w:lang w:val="en-US" w:eastAsia="zh-CN"/>
        </w:rPr>
        <w:t>1</w:t>
      </w:r>
      <w:r>
        <w:rPr>
          <w:rFonts w:hint="eastAsia" w:ascii="黑体" w:hAnsi="黑体" w:eastAsia="黑体" w:cs="黑体"/>
          <w:color w:val="auto"/>
          <w:highlight w:val="none"/>
        </w:rPr>
        <w:t>年</w:t>
      </w:r>
      <w:r>
        <w:rPr>
          <w:rFonts w:hint="eastAsia" w:ascii="黑体" w:hAnsi="黑体" w:eastAsia="黑体" w:cs="黑体"/>
          <w:color w:val="auto"/>
          <w:highlight w:val="none"/>
          <w:lang w:val="en-US" w:eastAsia="zh-CN"/>
        </w:rPr>
        <w:t>01</w:t>
      </w:r>
      <w:r>
        <w:rPr>
          <w:rFonts w:hint="eastAsia" w:ascii="黑体" w:hAnsi="黑体" w:eastAsia="黑体" w:cs="黑体"/>
          <w:color w:val="auto"/>
          <w:highlight w:val="none"/>
        </w:rPr>
        <w:t>月</w:t>
      </w:r>
      <w:r>
        <w:rPr>
          <w:rFonts w:hint="eastAsia" w:ascii="黑体" w:hAnsi="黑体" w:eastAsia="黑体" w:cs="黑体"/>
          <w:color w:val="auto"/>
          <w:highlight w:val="none"/>
          <w:lang w:val="en-US" w:eastAsia="zh-CN"/>
        </w:rPr>
        <w:t>08</w:t>
      </w:r>
      <w:r>
        <w:rPr>
          <w:rFonts w:hint="eastAsia" w:ascii="黑体" w:hAnsi="黑体" w:eastAsia="黑体" w:cs="黑体"/>
          <w:color w:val="auto"/>
          <w:highlight w:val="none"/>
        </w:rPr>
        <w:t>日</w:t>
      </w:r>
      <w:r>
        <w:rPr>
          <w:rFonts w:hint="eastAsia" w:ascii="黑体" w:hAnsi="黑体" w:eastAsia="黑体" w:cs="黑体"/>
          <w:color w:val="auto"/>
          <w:highlight w:val="none"/>
          <w:lang w:val="en-US" w:eastAsia="zh-CN"/>
        </w:rPr>
        <w:t>09</w:t>
      </w:r>
      <w:r>
        <w:rPr>
          <w:rFonts w:hint="eastAsia" w:ascii="黑体" w:hAnsi="黑体" w:eastAsia="黑体" w:cs="黑体"/>
          <w:color w:val="auto"/>
          <w:highlight w:val="none"/>
        </w:rPr>
        <w:t>时</w:t>
      </w:r>
      <w:r>
        <w:rPr>
          <w:rFonts w:hint="eastAsia" w:ascii="黑体" w:hAnsi="黑体" w:eastAsia="黑体" w:cs="黑体"/>
          <w:color w:val="auto"/>
          <w:highlight w:val="none"/>
          <w:lang w:val="en-US" w:eastAsia="zh-CN"/>
        </w:rPr>
        <w:t>00</w:t>
      </w:r>
      <w:r>
        <w:rPr>
          <w:rFonts w:hint="eastAsia" w:ascii="黑体" w:hAnsi="黑体" w:eastAsia="黑体" w:cs="黑体"/>
          <w:color w:val="auto"/>
          <w:highlight w:val="none"/>
        </w:rPr>
        <w:t>分</w:t>
      </w:r>
      <w:r>
        <w:rPr>
          <w:rFonts w:hint="eastAsia" w:ascii="黑体" w:hAnsi="黑体" w:eastAsia="黑体" w:cs="黑体"/>
          <w:color w:val="auto"/>
          <w:szCs w:val="21"/>
          <w:highlight w:val="none"/>
        </w:rPr>
        <w:t>，地点为贺州市公共资源交易中心交易大厅</w:t>
      </w:r>
      <w:r>
        <w:rPr>
          <w:rFonts w:hint="eastAsia" w:ascii="黑体" w:hAnsi="黑体" w:eastAsia="黑体" w:cs="黑体"/>
          <w:color w:val="auto"/>
          <w:szCs w:val="21"/>
          <w:highlight w:val="none"/>
          <w:lang w:bidi="ar"/>
        </w:rPr>
        <w:t>（地址：广西贺州市鞍山西路83-1号4楼）</w:t>
      </w:r>
      <w:r>
        <w:rPr>
          <w:rFonts w:hint="eastAsia" w:ascii="黑体" w:hAnsi="黑体" w:eastAsia="黑体" w:cs="黑体"/>
          <w:color w:val="auto"/>
          <w:szCs w:val="21"/>
          <w:highlight w:val="none"/>
        </w:rPr>
        <w:t>，具体号数以开标日当天贺州市公共资源交易中心电子显示屏公布大厅号数为准。</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2.逾期送达的或者未送达指定地点的《投标文件》，采购人不予受理，采购代理机构将拒收。</w:t>
      </w:r>
    </w:p>
    <w:p>
      <w:pPr>
        <w:spacing w:line="400" w:lineRule="exact"/>
        <w:rPr>
          <w:rFonts w:hint="eastAsia" w:ascii="黑体" w:hAnsi="黑体" w:eastAsia="黑体" w:cs="黑体"/>
          <w:b/>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五．开启</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1.《证照》材料核验</w:t>
      </w:r>
    </w:p>
    <w:p>
      <w:pPr>
        <w:widowControl/>
        <w:spacing w:line="400" w:lineRule="exact"/>
        <w:ind w:firstLine="413" w:firstLineChars="196"/>
        <w:jc w:val="lef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《投标文件》递交截止后，采购代理机构立即组织参会人员核验以下证件材料，提供不齐全或所提供材料存在“失效（过期）”情形的，其《投标文件》（投标）作否决（废标）处理：</w:t>
      </w:r>
    </w:p>
    <w:p>
      <w:pPr>
        <w:widowControl/>
        <w:spacing w:line="400" w:lineRule="exact"/>
        <w:ind w:firstLine="420" w:firstLineChars="200"/>
        <w:jc w:val="left"/>
        <w:rPr>
          <w:rFonts w:hint="eastAsia" w:ascii="黑体" w:hAnsi="黑体" w:eastAsia="黑体" w:cs="黑体"/>
          <w:color w:val="auto"/>
          <w:szCs w:val="21"/>
          <w:highlight w:val="none"/>
        </w:rPr>
      </w:pPr>
      <w:r>
        <w:rPr>
          <w:rFonts w:hint="eastAsia" w:ascii="黑体" w:hAnsi="黑体" w:eastAsia="黑体" w:cs="黑体"/>
          <w:color w:val="auto"/>
          <w:szCs w:val="21"/>
          <w:highlight w:val="none"/>
        </w:rPr>
        <w:t>1.1到会人员身份信息证明材料：附加盖投标人单位公章的以下证明材料（①、②两样视到会人员身份不同分别提供，法定代表人到会提供①项证明材料，授权委托代理人到会提供②项证明材料）：</w:t>
      </w:r>
    </w:p>
    <w:p>
      <w:pPr>
        <w:pStyle w:val="3"/>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①《组织机构代码证》复印件（或扫描件）或“三（或五）证合一”后新版的《营业执照（或事业单位法人证书）》复印件（或扫描件）、有效的《法定代表人身份证明》原件、法定代表人“二代居民身份证”原件；</w:t>
      </w:r>
    </w:p>
    <w:p>
      <w:pPr>
        <w:pStyle w:val="3"/>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②有效的《授权委托书》原件、委托代理人“二代居民身份证”原件。</w:t>
      </w:r>
    </w:p>
    <w:p>
      <w:pPr>
        <w:widowControl/>
        <w:spacing w:line="400" w:lineRule="exact"/>
        <w:ind w:firstLine="420" w:firstLineChars="200"/>
        <w:jc w:val="left"/>
        <w:rPr>
          <w:rFonts w:hint="eastAsia" w:ascii="黑体" w:hAnsi="黑体" w:eastAsia="黑体" w:cs="黑体"/>
          <w:color w:val="auto"/>
          <w:szCs w:val="21"/>
          <w:highlight w:val="none"/>
        </w:rPr>
      </w:pPr>
      <w:r>
        <w:rPr>
          <w:rFonts w:hint="eastAsia" w:ascii="黑体" w:hAnsi="黑体" w:eastAsia="黑体" w:cs="黑体"/>
          <w:color w:val="auto"/>
          <w:szCs w:val="21"/>
          <w:highlight w:val="none"/>
        </w:rPr>
        <w:t>说明：</w:t>
      </w:r>
    </w:p>
    <w:p>
      <w:pPr>
        <w:widowControl/>
        <w:spacing w:line="400" w:lineRule="exact"/>
        <w:ind w:firstLine="420" w:firstLineChars="200"/>
        <w:jc w:val="left"/>
        <w:rPr>
          <w:rFonts w:hint="eastAsia" w:ascii="黑体" w:hAnsi="黑体" w:eastAsia="黑体" w:cs="黑体"/>
          <w:color w:val="auto"/>
          <w:highlight w:val="none"/>
        </w:rPr>
      </w:pPr>
      <w:r>
        <w:rPr>
          <w:rFonts w:hint="eastAsia" w:ascii="黑体" w:hAnsi="黑体" w:eastAsia="黑体" w:cs="黑体"/>
          <w:color w:val="auto"/>
          <w:szCs w:val="21"/>
          <w:highlight w:val="none"/>
        </w:rPr>
        <w:t>◆-1：</w:t>
      </w:r>
      <w:r>
        <w:rPr>
          <w:rFonts w:hint="eastAsia" w:ascii="黑体" w:hAnsi="黑体" w:eastAsia="黑体" w:cs="黑体"/>
          <w:color w:val="auto"/>
          <w:highlight w:val="none"/>
        </w:rPr>
        <w:t>自然人投标的，《招标文件》涉及的《营业执照（或事业单位法人证书）》处，均系指该自然人的“二代居民身份证”；</w:t>
      </w:r>
    </w:p>
    <w:p>
      <w:pPr>
        <w:pStyle w:val="3"/>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-2：有效的《法定代表人身份证明》和《授权委托书》系指满足本项目《招标文件》第五章“《投标文件》（格式）--《法定代表人身份证明》或《授权委托书》格式”中载列所有实质性内容的合法有效声明材料。</w:t>
      </w:r>
    </w:p>
    <w:p>
      <w:pPr>
        <w:pStyle w:val="3"/>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1.2投标保证金银行递交证明材料：附加盖投标人单位公章的以下证明材料（①、②两样视投标人投标保证金递交方式确定，基本账户转账或电汇方式的提供①项证明材料，其余情况提供②项证明材料）：</w:t>
      </w:r>
    </w:p>
    <w:p>
      <w:pPr>
        <w:pStyle w:val="3"/>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①转账单位的银行转账（电汇）底单复印件（或扫描件）及其《基本账户开户许可证（或基本账户开户信息凭条）》复印件（或扫描件）；</w:t>
      </w:r>
    </w:p>
    <w:p>
      <w:pPr>
        <w:pStyle w:val="3"/>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②无条件银行保函或担保或保证保险或支票或汇票或本票原件。</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2.开启</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2.1地点：贺州市公共资源交易中心交易大厅，具体号数以开启日当天贺州市公共资源交易中心电子显示屏公布大厅号数为准；</w:t>
      </w:r>
    </w:p>
    <w:p>
      <w:pPr>
        <w:spacing w:line="400" w:lineRule="exact"/>
        <w:ind w:firstLine="420" w:firstLineChars="200"/>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2.2开启时间：对上述证照材料核验通过的投标人的《投标文件》全部予以立即开启。</w:t>
      </w:r>
    </w:p>
    <w:p>
      <w:pPr>
        <w:spacing w:line="400" w:lineRule="exact"/>
        <w:rPr>
          <w:rFonts w:hint="eastAsia" w:ascii="黑体" w:hAnsi="黑体" w:eastAsia="黑体" w:cs="黑体"/>
          <w:b/>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六．发布公告的媒介和期限</w:t>
      </w:r>
    </w:p>
    <w:p>
      <w:pPr>
        <w:wordWrap w:val="0"/>
        <w:spacing w:line="400" w:lineRule="exact"/>
        <w:ind w:firstLine="422" w:firstLineChars="200"/>
        <w:rPr>
          <w:rFonts w:hint="eastAsia" w:ascii="黑体" w:hAnsi="黑体" w:eastAsia="黑体" w:cs="黑体"/>
          <w:color w:val="auto"/>
          <w:kern w:val="0"/>
          <w:szCs w:val="21"/>
          <w:highlight w:val="none"/>
        </w:rPr>
      </w:pPr>
      <w:r>
        <w:rPr>
          <w:rFonts w:hint="eastAsia" w:ascii="黑体" w:hAnsi="黑体" w:eastAsia="黑体" w:cs="黑体"/>
          <w:b/>
          <w:color w:val="auto"/>
          <w:szCs w:val="21"/>
          <w:highlight w:val="none"/>
        </w:rPr>
        <w:t>1.《招标文件》预公示媒介：</w:t>
      </w:r>
      <w:r>
        <w:rPr>
          <w:rFonts w:hint="eastAsia" w:ascii="黑体" w:hAnsi="黑体" w:eastAsia="黑体" w:cs="黑体"/>
          <w:color w:val="auto"/>
          <w:szCs w:val="21"/>
          <w:highlight w:val="none"/>
        </w:rPr>
        <w:t>本项目《招标文件》预公示信息同时在中国政府采购网（http://pub.ccgp.gov.cn/）、广西壮族自治区政府采购网（http://zfcg.gxzf.gov.cn/）</w:t>
      </w:r>
      <w:r>
        <w:rPr>
          <w:rFonts w:hint="eastAsia" w:ascii="黑体" w:hAnsi="黑体" w:eastAsia="黑体" w:cs="黑体"/>
          <w:color w:val="auto"/>
          <w:szCs w:val="21"/>
          <w:highlight w:val="none"/>
          <w:lang w:eastAsia="zh-CN"/>
        </w:rPr>
        <w:t>及</w:t>
      </w:r>
      <w:r>
        <w:rPr>
          <w:rFonts w:hint="eastAsia" w:ascii="黑体" w:hAnsi="黑体" w:eastAsia="黑体" w:cs="黑体"/>
          <w:color w:val="auto"/>
          <w:szCs w:val="21"/>
          <w:highlight w:val="none"/>
        </w:rPr>
        <w:t>广西贺州市公共资源交易中心网站（http://ggzyjy.gxhz.gov.cn/）</w:t>
      </w:r>
      <w:r>
        <w:rPr>
          <w:rFonts w:hint="eastAsia" w:ascii="黑体" w:hAnsi="黑体" w:eastAsia="黑体" w:cs="黑体"/>
          <w:color w:val="auto"/>
          <w:kern w:val="0"/>
          <w:szCs w:val="21"/>
          <w:highlight w:val="none"/>
        </w:rPr>
        <w:t>发布，公告期限为发布之日起</w:t>
      </w:r>
      <w:r>
        <w:rPr>
          <w:rFonts w:hint="eastAsia" w:ascii="黑体" w:hAnsi="黑体" w:eastAsia="黑体" w:cs="黑体"/>
          <w:color w:val="auto"/>
          <w:kern w:val="0"/>
          <w:szCs w:val="21"/>
          <w:highlight w:val="none"/>
          <w:lang w:val="en-US" w:eastAsia="zh-CN"/>
        </w:rPr>
        <w:t>3</w:t>
      </w:r>
      <w:r>
        <w:rPr>
          <w:rFonts w:hint="eastAsia" w:ascii="黑体" w:hAnsi="黑体" w:eastAsia="黑体" w:cs="黑体"/>
          <w:color w:val="auto"/>
          <w:kern w:val="0"/>
          <w:szCs w:val="21"/>
          <w:highlight w:val="none"/>
        </w:rPr>
        <w:t>个工作日。</w:t>
      </w:r>
    </w:p>
    <w:p>
      <w:pPr>
        <w:spacing w:line="400" w:lineRule="exact"/>
        <w:ind w:firstLine="422" w:firstLineChars="200"/>
        <w:rPr>
          <w:rFonts w:hint="eastAsia" w:ascii="黑体" w:hAnsi="黑体" w:eastAsia="黑体" w:cs="黑体"/>
          <w:color w:val="auto"/>
          <w:kern w:val="0"/>
          <w:szCs w:val="21"/>
          <w:highlight w:val="none"/>
        </w:rPr>
      </w:pPr>
      <w:r>
        <w:rPr>
          <w:rFonts w:hint="eastAsia" w:ascii="黑体" w:hAnsi="黑体" w:eastAsia="黑体" w:cs="黑体"/>
          <w:b/>
          <w:color w:val="auto"/>
          <w:szCs w:val="21"/>
          <w:highlight w:val="none"/>
        </w:rPr>
        <w:t>2.招标公告媒介：</w:t>
      </w:r>
      <w:r>
        <w:rPr>
          <w:rFonts w:hint="eastAsia" w:ascii="黑体" w:hAnsi="黑体" w:eastAsia="黑体" w:cs="黑体"/>
          <w:color w:val="auto"/>
          <w:szCs w:val="21"/>
          <w:highlight w:val="none"/>
        </w:rPr>
        <w:t>本项目《招标公告》发布媒介与《招标文件》预公示媒介</w:t>
      </w:r>
      <w:bookmarkStart w:id="6" w:name="_GoBack"/>
      <w:bookmarkEnd w:id="6"/>
      <w:r>
        <w:rPr>
          <w:rFonts w:hint="eastAsia" w:ascii="黑体" w:hAnsi="黑体" w:eastAsia="黑体" w:cs="黑体"/>
          <w:color w:val="auto"/>
          <w:szCs w:val="21"/>
          <w:highlight w:val="none"/>
        </w:rPr>
        <w:t>相同，</w:t>
      </w:r>
      <w:r>
        <w:rPr>
          <w:rFonts w:hint="eastAsia" w:ascii="黑体" w:hAnsi="黑体" w:eastAsia="黑体" w:cs="黑体"/>
          <w:color w:val="auto"/>
          <w:kern w:val="0"/>
          <w:szCs w:val="21"/>
          <w:highlight w:val="none"/>
        </w:rPr>
        <w:t>公告期限为发布之日起5个工作日。</w:t>
      </w:r>
    </w:p>
    <w:p>
      <w:pPr>
        <w:widowControl/>
        <w:spacing w:line="400" w:lineRule="exact"/>
        <w:ind w:firstLine="422" w:firstLineChars="200"/>
        <w:jc w:val="left"/>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3.相关说明：</w:t>
      </w:r>
      <w:r>
        <w:rPr>
          <w:rFonts w:hint="eastAsia" w:ascii="黑体" w:hAnsi="黑体" w:eastAsia="黑体" w:cs="黑体"/>
          <w:color w:val="auto"/>
          <w:szCs w:val="21"/>
          <w:highlight w:val="none"/>
        </w:rPr>
        <w:t>本项目实行《招标文件》预公示制度（《招标文件》预公示媒介与《招标公告》媒介一致），且《招标文件》预公示期满，采购代理机构未收到《意见函》或已对《意见函》作出答复意见的，视为本项目《招标文件》已接受社会公众监督。自本项目《招标公告》发布之日起，本项目仅接受</w:t>
      </w:r>
      <w:r>
        <w:rPr>
          <w:rFonts w:hint="eastAsia" w:ascii="黑体" w:hAnsi="黑体" w:eastAsia="黑体" w:cs="黑体"/>
          <w:color w:val="auto"/>
          <w:highlight w:val="none"/>
        </w:rPr>
        <w:t>“存在中华人民共和国政府采购法实施条例（国务院令第658号）第二十条载列的任一情况”的异议。</w:t>
      </w:r>
    </w:p>
    <w:p>
      <w:pPr>
        <w:spacing w:line="400" w:lineRule="exact"/>
        <w:rPr>
          <w:rFonts w:hint="eastAsia" w:ascii="黑体" w:hAnsi="黑体" w:eastAsia="黑体" w:cs="黑体"/>
          <w:b/>
          <w:color w:val="auto"/>
          <w:szCs w:val="21"/>
          <w:highlight w:val="none"/>
        </w:rPr>
      </w:pPr>
    </w:p>
    <w:p>
      <w:pPr>
        <w:spacing w:line="400" w:lineRule="exact"/>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七．其他补充事宜</w:t>
      </w:r>
    </w:p>
    <w:p>
      <w:pPr>
        <w:spacing w:line="400" w:lineRule="exact"/>
        <w:ind w:right="199" w:rightChars="95" w:firstLine="413" w:firstLineChars="196"/>
        <w:jc w:val="left"/>
        <w:rPr>
          <w:rFonts w:hint="eastAsia" w:ascii="黑体" w:hAnsi="黑体" w:eastAsia="黑体" w:cs="黑体"/>
          <w:color w:val="auto"/>
          <w:highlight w:val="none"/>
        </w:rPr>
      </w:pPr>
      <w:r>
        <w:rPr>
          <w:rFonts w:hint="eastAsia" w:ascii="黑体" w:hAnsi="黑体" w:eastAsia="黑体" w:cs="黑体"/>
          <w:b/>
          <w:color w:val="auto"/>
          <w:szCs w:val="21"/>
          <w:highlight w:val="none"/>
        </w:rPr>
        <w:t>1.执行的采购政策：</w:t>
      </w:r>
      <w:r>
        <w:rPr>
          <w:rFonts w:hint="eastAsia" w:ascii="黑体" w:hAnsi="黑体" w:eastAsia="黑体" w:cs="黑体"/>
          <w:bCs/>
          <w:color w:val="auto"/>
          <w:kern w:val="1"/>
          <w:szCs w:val="21"/>
          <w:highlight w:val="none"/>
        </w:rPr>
        <w:t>《政府采购促进中小企业发展暂行办法（财库[2011]181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投标价格给予10%的扣除，用扣除后的价格参与评审。</w:t>
      </w:r>
    </w:p>
    <w:p>
      <w:pPr>
        <w:spacing w:line="400" w:lineRule="exact"/>
        <w:ind w:firstLine="413" w:firstLineChars="196"/>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2.投标保证金</w:t>
      </w:r>
    </w:p>
    <w:p>
      <w:pPr>
        <w:spacing w:line="400" w:lineRule="exact"/>
        <w:ind w:firstLine="420" w:firstLineChars="200"/>
        <w:rPr>
          <w:rFonts w:hint="eastAsia" w:ascii="黑体" w:hAnsi="黑体" w:eastAsia="黑体" w:cs="黑体"/>
          <w:color w:val="auto"/>
          <w:szCs w:val="21"/>
          <w:highlight w:val="none"/>
          <w:lang w:eastAsia="zh-CN" w:bidi="ar"/>
        </w:rPr>
      </w:pPr>
      <w:r>
        <w:rPr>
          <w:rFonts w:hint="eastAsia" w:ascii="黑体" w:hAnsi="黑体" w:eastAsia="黑体" w:cs="黑体"/>
          <w:color w:val="auto"/>
          <w:szCs w:val="21"/>
          <w:highlight w:val="none"/>
          <w:lang w:bidi="ar"/>
        </w:rPr>
        <w:t>金额：A标段：人民币</w:t>
      </w:r>
      <w:r>
        <w:rPr>
          <w:rFonts w:hint="eastAsia" w:ascii="黑体" w:hAnsi="黑体" w:eastAsia="黑体" w:cs="黑体"/>
          <w:color w:val="auto"/>
          <w:szCs w:val="21"/>
          <w:highlight w:val="none"/>
          <w:lang w:eastAsia="zh-CN" w:bidi="ar"/>
        </w:rPr>
        <w:t>壹仟叁佰元整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13</w:t>
      </w:r>
      <w:r>
        <w:rPr>
          <w:rFonts w:hint="eastAsia" w:ascii="黑体" w:hAnsi="黑体" w:eastAsia="黑体" w:cs="黑体"/>
          <w:color w:val="auto"/>
          <w:szCs w:val="21"/>
          <w:highlight w:val="none"/>
          <w:lang w:bidi="ar"/>
        </w:rPr>
        <w:t>00.00）；B标段：人民币</w:t>
      </w:r>
      <w:r>
        <w:rPr>
          <w:rFonts w:hint="eastAsia" w:ascii="黑体" w:hAnsi="黑体" w:eastAsia="黑体" w:cs="黑体"/>
          <w:color w:val="auto"/>
          <w:szCs w:val="21"/>
          <w:highlight w:val="none"/>
          <w:lang w:eastAsia="zh-CN" w:bidi="ar"/>
        </w:rPr>
        <w:t>壹仟伍佰元整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15</w:t>
      </w:r>
      <w:r>
        <w:rPr>
          <w:rFonts w:hint="eastAsia" w:ascii="黑体" w:hAnsi="黑体" w:eastAsia="黑体" w:cs="黑体"/>
          <w:color w:val="auto"/>
          <w:szCs w:val="21"/>
          <w:highlight w:val="none"/>
          <w:lang w:bidi="ar"/>
        </w:rPr>
        <w:t>00.00）；</w:t>
      </w:r>
      <w:r>
        <w:rPr>
          <w:rFonts w:hint="eastAsia" w:ascii="黑体" w:hAnsi="黑体" w:eastAsia="黑体" w:cs="黑体"/>
          <w:color w:val="auto"/>
          <w:szCs w:val="21"/>
          <w:highlight w:val="none"/>
          <w:lang w:val="en-US" w:eastAsia="zh-CN" w:bidi="ar"/>
        </w:rPr>
        <w:t>C</w:t>
      </w:r>
      <w:r>
        <w:rPr>
          <w:rFonts w:hint="eastAsia" w:ascii="黑体" w:hAnsi="黑体" w:eastAsia="黑体" w:cs="黑体"/>
          <w:color w:val="auto"/>
          <w:szCs w:val="21"/>
          <w:highlight w:val="none"/>
          <w:lang w:bidi="ar"/>
        </w:rPr>
        <w:t>标段：人民币</w:t>
      </w:r>
      <w:r>
        <w:rPr>
          <w:rFonts w:hint="eastAsia" w:ascii="黑体" w:hAnsi="黑体" w:eastAsia="黑体" w:cs="黑体"/>
          <w:color w:val="auto"/>
          <w:szCs w:val="21"/>
          <w:highlight w:val="none"/>
          <w:lang w:eastAsia="zh-CN" w:bidi="ar"/>
        </w:rPr>
        <w:t>壹万肆仟元整</w:t>
      </w:r>
      <w:r>
        <w:rPr>
          <w:rFonts w:hint="eastAsia" w:ascii="黑体" w:hAnsi="黑体" w:eastAsia="黑体" w:cs="黑体"/>
          <w:color w:val="auto"/>
          <w:szCs w:val="21"/>
          <w:highlight w:val="none"/>
          <w:lang w:bidi="ar"/>
        </w:rPr>
        <w:t>（¥</w:t>
      </w:r>
      <w:r>
        <w:rPr>
          <w:rFonts w:hint="eastAsia" w:ascii="黑体" w:hAnsi="黑体" w:eastAsia="黑体" w:cs="黑体"/>
          <w:color w:val="auto"/>
          <w:szCs w:val="21"/>
          <w:highlight w:val="none"/>
          <w:lang w:val="en-US" w:eastAsia="zh-CN" w:bidi="ar"/>
        </w:rPr>
        <w:t>14</w:t>
      </w:r>
      <w:r>
        <w:rPr>
          <w:rFonts w:hint="eastAsia" w:ascii="黑体" w:hAnsi="黑体" w:eastAsia="黑体" w:cs="黑体"/>
          <w:color w:val="auto"/>
          <w:szCs w:val="21"/>
          <w:highlight w:val="none"/>
          <w:lang w:bidi="ar"/>
        </w:rPr>
        <w:t>000.00）；</w:t>
      </w:r>
      <w:r>
        <w:rPr>
          <w:rFonts w:hint="eastAsia" w:ascii="黑体" w:hAnsi="黑体" w:eastAsia="黑体" w:cs="黑体"/>
          <w:color w:val="auto"/>
          <w:szCs w:val="21"/>
          <w:highlight w:val="none"/>
          <w:lang w:val="en-US" w:eastAsia="zh-CN" w:bidi="ar"/>
        </w:rPr>
        <w:t>D</w:t>
      </w:r>
      <w:r>
        <w:rPr>
          <w:rFonts w:hint="eastAsia" w:ascii="黑体" w:hAnsi="黑体" w:eastAsia="黑体" w:cs="黑体"/>
          <w:color w:val="auto"/>
          <w:szCs w:val="21"/>
          <w:highlight w:val="none"/>
          <w:lang w:bidi="ar"/>
        </w:rPr>
        <w:t>标段：人民币伍</w:t>
      </w:r>
      <w:r>
        <w:rPr>
          <w:rFonts w:hint="eastAsia" w:ascii="黑体" w:hAnsi="黑体" w:eastAsia="黑体" w:cs="黑体"/>
          <w:color w:val="auto"/>
          <w:szCs w:val="21"/>
          <w:highlight w:val="none"/>
          <w:lang w:eastAsia="zh-CN" w:bidi="ar"/>
        </w:rPr>
        <w:t>仟</w:t>
      </w:r>
      <w:r>
        <w:rPr>
          <w:rFonts w:hint="eastAsia" w:ascii="黑体" w:hAnsi="黑体" w:eastAsia="黑体" w:cs="黑体"/>
          <w:color w:val="auto"/>
          <w:szCs w:val="21"/>
          <w:highlight w:val="none"/>
          <w:lang w:bidi="ar"/>
        </w:rPr>
        <w:t>元整（¥5000.00）</w:t>
      </w:r>
      <w:r>
        <w:rPr>
          <w:rFonts w:hint="eastAsia" w:ascii="黑体" w:hAnsi="黑体" w:eastAsia="黑体" w:cs="黑体"/>
          <w:color w:val="auto"/>
          <w:szCs w:val="21"/>
          <w:highlight w:val="none"/>
          <w:lang w:eastAsia="zh-CN" w:bidi="ar"/>
        </w:rPr>
        <w:t>。</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递交方式：投标人于投标截止时间前采用无条件银行保函、担保</w:t>
      </w:r>
      <w:r>
        <w:rPr>
          <w:rFonts w:hint="eastAsia" w:ascii="黑体" w:hAnsi="黑体" w:eastAsia="黑体" w:cs="黑体"/>
          <w:color w:val="auto"/>
          <w:szCs w:val="21"/>
          <w:highlight w:val="none"/>
          <w:lang w:eastAsia="zh-CN"/>
        </w:rPr>
        <w:t>、</w:t>
      </w:r>
      <w:r>
        <w:rPr>
          <w:rFonts w:hint="eastAsia" w:ascii="黑体" w:hAnsi="黑体" w:eastAsia="黑体" w:cs="黑体"/>
          <w:color w:val="auto"/>
          <w:szCs w:val="21"/>
          <w:highlight w:val="none"/>
        </w:rPr>
        <w:t>保证保险</w:t>
      </w:r>
      <w:r>
        <w:rPr>
          <w:rFonts w:hint="eastAsia" w:ascii="黑体" w:hAnsi="黑体" w:eastAsia="黑体" w:cs="黑体"/>
          <w:color w:val="auto"/>
          <w:szCs w:val="21"/>
          <w:highlight w:val="none"/>
          <w:lang w:eastAsia="zh-CN"/>
        </w:rPr>
        <w:t>或支票、汇票、本票（注:若以支票、汇票、本票方式提交的，交款人必须为投标人）</w:t>
      </w:r>
      <w:r>
        <w:rPr>
          <w:rFonts w:hint="eastAsia" w:ascii="黑体" w:hAnsi="黑体" w:eastAsia="黑体" w:cs="黑体"/>
          <w:color w:val="auto"/>
          <w:szCs w:val="21"/>
          <w:highlight w:val="none"/>
        </w:rPr>
        <w:t>或基本账户转账（电汇）方式递交</w:t>
      </w:r>
      <w:r>
        <w:rPr>
          <w:rFonts w:hint="eastAsia" w:ascii="黑体" w:hAnsi="黑体" w:eastAsia="黑体" w:cs="黑体"/>
          <w:b w:val="0"/>
          <w:bCs/>
          <w:color w:val="auto"/>
          <w:szCs w:val="21"/>
          <w:highlight w:val="none"/>
        </w:rPr>
        <w:t>，中小微企业（在提供真实可信证明材料（中小企业声明函原件）的前提下）可不提交投标保证金。</w:t>
      </w:r>
      <w:r>
        <w:rPr>
          <w:rFonts w:hint="eastAsia" w:ascii="黑体" w:hAnsi="黑体" w:eastAsia="黑体" w:cs="黑体"/>
          <w:color w:val="auto"/>
          <w:szCs w:val="21"/>
          <w:highlight w:val="none"/>
        </w:rPr>
        <w:t>采用基本账户转账（电汇）方式的，须</w:t>
      </w:r>
      <w:r>
        <w:rPr>
          <w:rFonts w:hint="eastAsia" w:ascii="黑体" w:hAnsi="黑体" w:eastAsia="黑体" w:cs="黑体"/>
          <w:color w:val="auto"/>
          <w:szCs w:val="21"/>
          <w:highlight w:val="none"/>
          <w:lang w:eastAsia="zh-CN"/>
        </w:rPr>
        <w:t>递交</w:t>
      </w:r>
      <w:r>
        <w:rPr>
          <w:rFonts w:hint="eastAsia" w:ascii="黑体" w:hAnsi="黑体" w:eastAsia="黑体" w:cs="黑体"/>
          <w:color w:val="auto"/>
          <w:szCs w:val="21"/>
          <w:highlight w:val="none"/>
        </w:rPr>
        <w:t>至以下账户：</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账户名称：贺州市公共资源交易中心</w:t>
      </w:r>
    </w:p>
    <w:p>
      <w:pPr>
        <w:spacing w:line="400" w:lineRule="exact"/>
        <w:ind w:firstLine="420" w:firstLineChars="200"/>
        <w:rPr>
          <w:rFonts w:hint="eastAsia" w:ascii="黑体" w:hAnsi="黑体" w:eastAsia="黑体" w:cs="黑体"/>
          <w:color w:val="auto"/>
          <w:szCs w:val="21"/>
          <w:highlight w:val="none"/>
        </w:rPr>
      </w:pPr>
      <w:r>
        <w:rPr>
          <w:rFonts w:hint="eastAsia" w:ascii="黑体" w:hAnsi="黑体" w:eastAsia="黑体" w:cs="黑体"/>
          <w:color w:val="auto"/>
          <w:szCs w:val="21"/>
          <w:highlight w:val="none"/>
        </w:rPr>
        <w:t>开户银行：邮政储蓄银行贺州市分行营业部</w:t>
      </w:r>
    </w:p>
    <w:p>
      <w:pPr>
        <w:spacing w:line="400" w:lineRule="exact"/>
        <w:ind w:firstLine="411" w:firstLineChars="196"/>
        <w:rPr>
          <w:rFonts w:hint="eastAsia" w:ascii="黑体" w:hAnsi="黑体" w:eastAsia="黑体" w:cs="黑体"/>
          <w:b/>
          <w:color w:val="auto"/>
          <w:szCs w:val="21"/>
          <w:highlight w:val="none"/>
        </w:rPr>
      </w:pPr>
      <w:r>
        <w:rPr>
          <w:rFonts w:hint="eastAsia" w:ascii="黑体" w:hAnsi="黑体" w:eastAsia="黑体" w:cs="黑体"/>
          <w:color w:val="auto"/>
          <w:szCs w:val="21"/>
          <w:highlight w:val="none"/>
        </w:rPr>
        <w:t>银行帐号：945009010008838888</w:t>
      </w:r>
    </w:p>
    <w:p>
      <w:pPr>
        <w:spacing w:line="400" w:lineRule="exact"/>
        <w:ind w:firstLine="413" w:firstLineChars="196"/>
        <w:rPr>
          <w:rFonts w:hint="eastAsia" w:ascii="黑体" w:hAnsi="黑体" w:eastAsia="黑体" w:cs="黑体"/>
          <w:b/>
          <w:color w:val="auto"/>
          <w:szCs w:val="21"/>
          <w:highlight w:val="none"/>
        </w:rPr>
      </w:pPr>
      <w:r>
        <w:rPr>
          <w:rFonts w:hint="eastAsia" w:ascii="黑体" w:hAnsi="黑体" w:eastAsia="黑体" w:cs="黑体"/>
          <w:b/>
          <w:color w:val="auto"/>
          <w:szCs w:val="21"/>
          <w:highlight w:val="none"/>
        </w:rPr>
        <w:t>3.评标办法和评标标准：</w:t>
      </w:r>
      <w:r>
        <w:rPr>
          <w:rFonts w:hint="eastAsia" w:ascii="黑体" w:hAnsi="黑体" w:eastAsia="黑体" w:cs="黑体"/>
          <w:color w:val="auto"/>
          <w:szCs w:val="21"/>
          <w:highlight w:val="none"/>
        </w:rPr>
        <w:t>综合评分法。</w:t>
      </w:r>
    </w:p>
    <w:p>
      <w:pPr>
        <w:spacing w:line="380" w:lineRule="exact"/>
        <w:ind w:firstLine="413" w:firstLineChars="196"/>
        <w:rPr>
          <w:rFonts w:hint="eastAsia" w:ascii="黑体" w:hAnsi="黑体" w:eastAsia="黑体" w:cs="黑体"/>
          <w:color w:val="auto"/>
          <w:szCs w:val="21"/>
          <w:highlight w:val="none"/>
          <w:lang w:bidi="ar"/>
        </w:rPr>
      </w:pPr>
      <w:r>
        <w:rPr>
          <w:rFonts w:hint="eastAsia" w:ascii="黑体" w:hAnsi="黑体" w:eastAsia="黑体" w:cs="黑体"/>
          <w:b/>
          <w:bCs/>
          <w:color w:val="auto"/>
          <w:szCs w:val="21"/>
          <w:highlight w:val="none"/>
        </w:rPr>
        <w:t>4.本项目</w:t>
      </w:r>
      <w:r>
        <w:rPr>
          <w:rFonts w:hint="eastAsia" w:ascii="黑体" w:hAnsi="黑体" w:eastAsia="黑体" w:cs="黑体"/>
          <w:b/>
          <w:bCs/>
          <w:color w:val="auto"/>
          <w:szCs w:val="21"/>
          <w:highlight w:val="none"/>
          <w:lang w:bidi="ar"/>
        </w:rPr>
        <w:t>评标顺序：A标段→B标段→</w:t>
      </w:r>
      <w:r>
        <w:rPr>
          <w:rFonts w:hint="eastAsia" w:ascii="黑体" w:hAnsi="黑体" w:eastAsia="黑体" w:cs="黑体"/>
          <w:b/>
          <w:bCs/>
          <w:color w:val="auto"/>
          <w:szCs w:val="21"/>
          <w:highlight w:val="none"/>
          <w:lang w:val="en-US" w:eastAsia="zh-CN" w:bidi="ar"/>
        </w:rPr>
        <w:t>C</w:t>
      </w:r>
      <w:r>
        <w:rPr>
          <w:rFonts w:hint="eastAsia" w:ascii="黑体" w:hAnsi="黑体" w:eastAsia="黑体" w:cs="黑体"/>
          <w:b/>
          <w:bCs/>
          <w:color w:val="auto"/>
          <w:szCs w:val="21"/>
          <w:highlight w:val="none"/>
          <w:lang w:bidi="ar"/>
        </w:rPr>
        <w:t>标段→</w:t>
      </w:r>
      <w:r>
        <w:rPr>
          <w:rFonts w:hint="eastAsia" w:ascii="黑体" w:hAnsi="黑体" w:eastAsia="黑体" w:cs="黑体"/>
          <w:b/>
          <w:bCs/>
          <w:color w:val="auto"/>
          <w:szCs w:val="21"/>
          <w:highlight w:val="none"/>
          <w:lang w:val="en-US" w:eastAsia="zh-CN" w:bidi="ar"/>
        </w:rPr>
        <w:t>D</w:t>
      </w:r>
      <w:r>
        <w:rPr>
          <w:rFonts w:hint="eastAsia" w:ascii="黑体" w:hAnsi="黑体" w:eastAsia="黑体" w:cs="黑体"/>
          <w:b/>
          <w:bCs/>
          <w:color w:val="auto"/>
          <w:szCs w:val="21"/>
          <w:highlight w:val="none"/>
          <w:lang w:bidi="ar"/>
        </w:rPr>
        <w:t>标段。</w:t>
      </w:r>
    </w:p>
    <w:p>
      <w:pPr>
        <w:spacing w:line="380" w:lineRule="exact"/>
        <w:ind w:firstLine="411" w:firstLineChars="196"/>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bidi="ar"/>
        </w:rPr>
        <w:t>各潜在投标人可</w:t>
      </w:r>
      <w:r>
        <w:rPr>
          <w:rFonts w:hint="eastAsia" w:ascii="黑体" w:hAnsi="黑体" w:eastAsia="黑体" w:cs="黑体"/>
          <w:color w:val="auto"/>
          <w:szCs w:val="21"/>
          <w:highlight w:val="none"/>
          <w:lang w:eastAsia="zh-CN" w:bidi="ar"/>
        </w:rPr>
        <w:t>同时</w:t>
      </w:r>
      <w:r>
        <w:rPr>
          <w:rFonts w:hint="eastAsia" w:ascii="黑体" w:hAnsi="黑体" w:eastAsia="黑体" w:cs="黑体"/>
          <w:color w:val="auto"/>
          <w:szCs w:val="21"/>
          <w:highlight w:val="none"/>
          <w:lang w:bidi="ar"/>
        </w:rPr>
        <w:t>对上述任意标段进行投标（1</w:t>
      </w:r>
      <w:r>
        <w:rPr>
          <w:rFonts w:hint="eastAsia" w:ascii="黑体" w:hAnsi="黑体" w:eastAsia="黑体" w:cs="黑体"/>
          <w:color w:val="auto"/>
          <w:szCs w:val="21"/>
          <w:highlight w:val="none"/>
          <w:lang w:val="en-US" w:eastAsia="zh-CN" w:bidi="ar"/>
        </w:rPr>
        <w:t>-4</w:t>
      </w:r>
      <w:r>
        <w:rPr>
          <w:rFonts w:hint="eastAsia" w:ascii="黑体" w:hAnsi="黑体" w:eastAsia="黑体" w:cs="黑体"/>
          <w:color w:val="auto"/>
          <w:szCs w:val="21"/>
          <w:highlight w:val="none"/>
          <w:lang w:bidi="ar"/>
        </w:rPr>
        <w:t>个标段）。若投标人同时对2个</w:t>
      </w:r>
      <w:r>
        <w:rPr>
          <w:rFonts w:hint="eastAsia" w:ascii="黑体" w:hAnsi="黑体" w:eastAsia="黑体" w:cs="黑体"/>
          <w:color w:val="auto"/>
          <w:szCs w:val="21"/>
          <w:highlight w:val="none"/>
          <w:lang w:eastAsia="zh-CN" w:bidi="ar"/>
        </w:rPr>
        <w:t>或</w:t>
      </w:r>
      <w:r>
        <w:rPr>
          <w:rFonts w:hint="eastAsia" w:ascii="黑体" w:hAnsi="黑体" w:eastAsia="黑体" w:cs="黑体"/>
          <w:color w:val="auto"/>
          <w:szCs w:val="21"/>
          <w:highlight w:val="none"/>
          <w:lang w:val="en-US" w:eastAsia="zh-CN" w:bidi="ar"/>
        </w:rPr>
        <w:t>2个</w:t>
      </w:r>
      <w:r>
        <w:rPr>
          <w:rFonts w:hint="eastAsia" w:ascii="黑体" w:hAnsi="黑体" w:eastAsia="黑体" w:cs="黑体"/>
          <w:color w:val="auto"/>
          <w:szCs w:val="21"/>
          <w:highlight w:val="none"/>
          <w:lang w:eastAsia="zh-CN" w:bidi="ar"/>
        </w:rPr>
        <w:t>以上</w:t>
      </w:r>
      <w:r>
        <w:rPr>
          <w:rFonts w:hint="eastAsia" w:ascii="黑体" w:hAnsi="黑体" w:eastAsia="黑体" w:cs="黑体"/>
          <w:color w:val="auto"/>
          <w:szCs w:val="21"/>
          <w:highlight w:val="none"/>
          <w:lang w:bidi="ar"/>
        </w:rPr>
        <w:t>标段进行投标，只能在其中1个标段中中标；</w:t>
      </w:r>
      <w:r>
        <w:rPr>
          <w:rFonts w:hint="eastAsia" w:ascii="黑体" w:hAnsi="黑体" w:eastAsia="黑体" w:cs="黑体"/>
          <w:color w:val="auto"/>
          <w:szCs w:val="21"/>
          <w:highlight w:val="none"/>
          <w:lang w:eastAsia="zh-CN" w:bidi="ar"/>
        </w:rPr>
        <w:t>例</w:t>
      </w:r>
      <w:r>
        <w:rPr>
          <w:rFonts w:hint="eastAsia" w:ascii="黑体" w:hAnsi="黑体" w:eastAsia="黑体" w:cs="黑体"/>
          <w:color w:val="auto"/>
          <w:szCs w:val="21"/>
          <w:highlight w:val="none"/>
          <w:lang w:bidi="ar"/>
        </w:rPr>
        <w:t>如在A标段被选定为第一中标候选人，则不再作为B标段的中标候选人</w:t>
      </w:r>
      <w:r>
        <w:rPr>
          <w:rFonts w:hint="eastAsia" w:ascii="黑体" w:hAnsi="黑体" w:eastAsia="黑体" w:cs="黑体"/>
          <w:color w:val="auto"/>
          <w:szCs w:val="21"/>
          <w:highlight w:val="none"/>
          <w:lang w:eastAsia="zh-CN" w:bidi="ar"/>
        </w:rPr>
        <w:t>，以此类推</w:t>
      </w:r>
      <w:r>
        <w:rPr>
          <w:rFonts w:hint="eastAsia" w:ascii="黑体" w:hAnsi="黑体" w:eastAsia="黑体" w:cs="黑体"/>
          <w:color w:val="auto"/>
          <w:szCs w:val="21"/>
          <w:highlight w:val="none"/>
          <w:lang w:bidi="ar"/>
        </w:rPr>
        <w:t>。</w:t>
      </w:r>
    </w:p>
    <w:p>
      <w:pPr>
        <w:spacing w:line="400" w:lineRule="exact"/>
        <w:rPr>
          <w:rFonts w:hint="eastAsia" w:ascii="黑体" w:hAnsi="黑体" w:eastAsia="黑体" w:cs="黑体"/>
          <w:b/>
          <w:color w:val="auto"/>
          <w:szCs w:val="21"/>
          <w:highlight w:val="none"/>
        </w:rPr>
      </w:pPr>
    </w:p>
    <w:p>
      <w:pPr>
        <w:spacing w:line="380" w:lineRule="exact"/>
        <w:rPr>
          <w:rFonts w:hint="eastAsia" w:ascii="黑体" w:hAnsi="黑体" w:eastAsia="黑体" w:cs="黑体"/>
          <w:color w:val="auto"/>
          <w:szCs w:val="21"/>
          <w:highlight w:val="none"/>
        </w:rPr>
      </w:pPr>
      <w:r>
        <w:rPr>
          <w:rFonts w:hint="eastAsia" w:ascii="黑体" w:hAnsi="黑体" w:eastAsia="黑体" w:cs="黑体"/>
          <w:b/>
          <w:color w:val="auto"/>
          <w:szCs w:val="21"/>
          <w:highlight w:val="none"/>
        </w:rPr>
        <w:t>八．</w:t>
      </w:r>
      <w:r>
        <w:rPr>
          <w:rFonts w:hint="eastAsia" w:ascii="黑体" w:hAnsi="黑体" w:eastAsia="黑体" w:cs="黑体"/>
          <w:b/>
          <w:color w:val="auto"/>
          <w:szCs w:val="21"/>
          <w:highlight w:val="none"/>
          <w:lang w:bidi="ar"/>
        </w:rPr>
        <w:t>采购活动当事人信息（对本次招标提出询问，请按以下方式联系）</w:t>
      </w:r>
    </w:p>
    <w:p>
      <w:pPr>
        <w:spacing w:line="380" w:lineRule="exact"/>
        <w:ind w:right="-25" w:rightChars="-12" w:firstLine="413" w:firstLineChars="196"/>
        <w:rPr>
          <w:rFonts w:hint="eastAsia" w:ascii="黑体" w:hAnsi="黑体" w:eastAsia="黑体" w:cs="黑体"/>
          <w:b/>
          <w:color w:val="auto"/>
          <w:szCs w:val="21"/>
          <w:highlight w:val="none"/>
        </w:rPr>
      </w:pPr>
      <w:r>
        <w:rPr>
          <w:rFonts w:hint="eastAsia" w:ascii="黑体" w:hAnsi="黑体" w:eastAsia="黑体" w:cs="黑体"/>
          <w:b/>
          <w:color w:val="auto"/>
          <w:szCs w:val="21"/>
          <w:highlight w:val="none"/>
          <w:lang w:bidi="ar"/>
        </w:rPr>
        <w:t>1.采购人</w:t>
      </w:r>
    </w:p>
    <w:p>
      <w:pPr>
        <w:spacing w:line="380" w:lineRule="exact"/>
        <w:ind w:right="-25" w:rightChars="-12" w:firstLine="411" w:firstLineChars="196"/>
        <w:rPr>
          <w:rFonts w:hint="eastAsia" w:ascii="黑体" w:hAnsi="黑体" w:eastAsia="黑体" w:cs="黑体"/>
          <w:color w:val="auto"/>
          <w:szCs w:val="21"/>
          <w:highlight w:val="none"/>
          <w:lang w:eastAsia="zh-CN" w:bidi="ar"/>
        </w:rPr>
      </w:pPr>
      <w:r>
        <w:rPr>
          <w:rFonts w:hint="eastAsia" w:ascii="黑体" w:hAnsi="黑体" w:eastAsia="黑体" w:cs="黑体"/>
          <w:color w:val="auto"/>
          <w:szCs w:val="21"/>
          <w:highlight w:val="none"/>
          <w:lang w:bidi="ar"/>
        </w:rPr>
        <w:t>名称：</w:t>
      </w:r>
      <w:r>
        <w:rPr>
          <w:rFonts w:hint="eastAsia" w:ascii="黑体" w:hAnsi="黑体" w:eastAsia="黑体" w:cs="黑体"/>
          <w:color w:val="auto"/>
          <w:szCs w:val="21"/>
          <w:highlight w:val="none"/>
          <w:lang w:eastAsia="zh-CN" w:bidi="ar"/>
        </w:rPr>
        <w:t>昭平县人民医院</w:t>
      </w:r>
    </w:p>
    <w:p>
      <w:pPr>
        <w:spacing w:line="380" w:lineRule="exact"/>
        <w:ind w:right="-25" w:rightChars="-12" w:firstLine="411" w:firstLineChars="196"/>
        <w:rPr>
          <w:rFonts w:hint="eastAsia" w:ascii="黑体" w:hAnsi="黑体" w:eastAsia="黑体" w:cs="黑体"/>
          <w:color w:val="auto"/>
          <w:szCs w:val="21"/>
          <w:highlight w:val="none"/>
          <w:lang w:eastAsia="zh-CN" w:bidi="ar"/>
        </w:rPr>
      </w:pPr>
      <w:r>
        <w:rPr>
          <w:rFonts w:hint="eastAsia" w:ascii="黑体" w:hAnsi="黑体" w:eastAsia="黑体" w:cs="黑体"/>
          <w:color w:val="auto"/>
          <w:szCs w:val="21"/>
          <w:highlight w:val="none"/>
          <w:lang w:bidi="ar"/>
        </w:rPr>
        <w:t>地址：</w:t>
      </w:r>
      <w:r>
        <w:rPr>
          <w:rFonts w:hint="eastAsia" w:ascii="黑体" w:hAnsi="黑体" w:eastAsia="黑体" w:cs="黑体"/>
          <w:color w:val="auto"/>
          <w:szCs w:val="21"/>
          <w:highlight w:val="none"/>
          <w:lang w:eastAsia="zh-CN" w:bidi="ar"/>
        </w:rPr>
        <w:t>昭平县昭平镇永安街13号</w:t>
      </w:r>
    </w:p>
    <w:p>
      <w:pPr>
        <w:spacing w:line="380" w:lineRule="exact"/>
        <w:ind w:right="-25" w:rightChars="-12" w:firstLine="411" w:firstLineChars="196"/>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bidi="ar"/>
        </w:rPr>
        <w:t xml:space="preserve">联系人：刘先生     </w:t>
      </w:r>
    </w:p>
    <w:p>
      <w:pPr>
        <w:spacing w:line="380" w:lineRule="exact"/>
        <w:ind w:right="-25" w:rightChars="-12" w:firstLine="411" w:firstLineChars="196"/>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bidi="ar"/>
        </w:rPr>
        <w:t xml:space="preserve">联系电话：0774-6682836 </w:t>
      </w:r>
    </w:p>
    <w:p>
      <w:pPr>
        <w:spacing w:line="380" w:lineRule="exact"/>
        <w:ind w:right="-25" w:rightChars="-12" w:firstLine="413" w:firstLineChars="196"/>
        <w:rPr>
          <w:rFonts w:hint="eastAsia" w:ascii="黑体" w:hAnsi="黑体" w:eastAsia="黑体" w:cs="黑体"/>
          <w:b/>
          <w:color w:val="auto"/>
          <w:szCs w:val="21"/>
          <w:highlight w:val="none"/>
        </w:rPr>
      </w:pPr>
      <w:r>
        <w:rPr>
          <w:rFonts w:hint="eastAsia" w:ascii="黑体" w:hAnsi="黑体" w:eastAsia="黑体" w:cs="黑体"/>
          <w:b/>
          <w:color w:val="auto"/>
          <w:szCs w:val="21"/>
          <w:highlight w:val="none"/>
          <w:lang w:bidi="ar"/>
        </w:rPr>
        <w:t>2.采购代理机构</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名称：广西众联工程项目管理有限公司</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地址：贺州市八步区城东新区桃园北路F地块172号</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邮编：542800</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联系人：冼健</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电话/传真：07745038266</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电子邮箱：</w:t>
      </w:r>
      <w:r>
        <w:rPr>
          <w:rFonts w:hint="eastAsia" w:ascii="黑体" w:hAnsi="黑体" w:eastAsia="黑体" w:cs="黑体"/>
          <w:color w:val="auto"/>
          <w:szCs w:val="21"/>
          <w:highlight w:val="none"/>
          <w:lang w:bidi="ar"/>
        </w:rPr>
        <w:fldChar w:fldCharType="begin"/>
      </w:r>
      <w:r>
        <w:rPr>
          <w:rFonts w:hint="eastAsia" w:ascii="黑体" w:hAnsi="黑体" w:eastAsia="黑体" w:cs="黑体"/>
          <w:color w:val="auto"/>
          <w:szCs w:val="21"/>
          <w:highlight w:val="none"/>
          <w:lang w:bidi="ar"/>
        </w:rPr>
        <w:instrText xml:space="preserve"> HYPERLINK "mailto:gxhzzl001@163.com" </w:instrText>
      </w:r>
      <w:r>
        <w:rPr>
          <w:rFonts w:hint="eastAsia" w:ascii="黑体" w:hAnsi="黑体" w:eastAsia="黑体" w:cs="黑体"/>
          <w:color w:val="auto"/>
          <w:szCs w:val="21"/>
          <w:highlight w:val="none"/>
          <w:lang w:bidi="ar"/>
        </w:rPr>
        <w:fldChar w:fldCharType="separate"/>
      </w:r>
      <w:r>
        <w:rPr>
          <w:rStyle w:val="7"/>
          <w:rFonts w:hint="eastAsia" w:ascii="黑体" w:hAnsi="黑体" w:eastAsia="黑体" w:cs="黑体"/>
          <w:color w:val="auto"/>
          <w:szCs w:val="21"/>
          <w:highlight w:val="none"/>
          <w:u w:val="none"/>
        </w:rPr>
        <w:t>gxhzzl001@163.com</w:t>
      </w:r>
      <w:r>
        <w:rPr>
          <w:rFonts w:hint="eastAsia" w:ascii="黑体" w:hAnsi="黑体" w:eastAsia="黑体" w:cs="黑体"/>
          <w:color w:val="auto"/>
          <w:szCs w:val="21"/>
          <w:highlight w:val="none"/>
          <w:lang w:bidi="ar"/>
        </w:rPr>
        <w:fldChar w:fldCharType="end"/>
      </w:r>
    </w:p>
    <w:p>
      <w:pPr>
        <w:pStyle w:val="4"/>
        <w:widowControl w:val="0"/>
        <w:tabs>
          <w:tab w:val="center" w:pos="4153"/>
          <w:tab w:val="right" w:pos="8306"/>
        </w:tabs>
        <w:snapToGrid w:val="0"/>
        <w:spacing w:before="0" w:beforeAutospacing="0" w:after="0" w:afterAutospacing="0" w:line="380" w:lineRule="exact"/>
        <w:rPr>
          <w:rFonts w:hint="eastAsia" w:ascii="黑体" w:hAnsi="黑体" w:eastAsia="黑体" w:cs="黑体"/>
          <w:b/>
          <w:color w:val="auto"/>
          <w:sz w:val="21"/>
          <w:szCs w:val="21"/>
          <w:highlight w:val="none"/>
        </w:rPr>
      </w:pPr>
      <w:r>
        <w:rPr>
          <w:rFonts w:hint="eastAsia" w:ascii="黑体" w:hAnsi="黑体" w:eastAsia="黑体" w:cs="黑体"/>
          <w:b/>
          <w:color w:val="auto"/>
          <w:kern w:val="2"/>
          <w:sz w:val="21"/>
          <w:szCs w:val="21"/>
          <w:highlight w:val="none"/>
          <w:lang w:bidi="ar"/>
        </w:rPr>
        <w:t xml:space="preserve">    3.项目联系方式（投标人如对项目有疑议的，应先向下述组织本项目采购活动的具体工作人员联系）</w:t>
      </w:r>
    </w:p>
    <w:p>
      <w:pPr>
        <w:spacing w:line="380" w:lineRule="exact"/>
        <w:ind w:right="-25" w:rightChars="-12" w:firstLine="411" w:firstLineChars="196"/>
        <w:rPr>
          <w:rFonts w:hint="eastAsia" w:ascii="黑体" w:hAnsi="黑体" w:eastAsia="黑体" w:cs="黑体"/>
          <w:color w:val="auto"/>
          <w:szCs w:val="21"/>
          <w:highlight w:val="none"/>
        </w:rPr>
      </w:pPr>
      <w:r>
        <w:rPr>
          <w:rFonts w:hint="eastAsia" w:ascii="黑体" w:hAnsi="黑体" w:eastAsia="黑体" w:cs="黑体"/>
          <w:color w:val="auto"/>
          <w:szCs w:val="21"/>
          <w:highlight w:val="none"/>
          <w:lang w:bidi="ar"/>
        </w:rPr>
        <w:t>项目联系人：冼健</w:t>
      </w:r>
    </w:p>
    <w:p>
      <w:pPr>
        <w:pStyle w:val="4"/>
        <w:widowControl w:val="0"/>
        <w:tabs>
          <w:tab w:val="center" w:pos="4153"/>
          <w:tab w:val="right" w:pos="8306"/>
        </w:tabs>
        <w:snapToGrid w:val="0"/>
        <w:spacing w:before="0" w:beforeAutospacing="0" w:after="0" w:afterAutospacing="0" w:line="380" w:lineRule="exact"/>
        <w:rPr>
          <w:rFonts w:hint="eastAsia" w:ascii="黑体" w:hAnsi="黑体" w:eastAsia="黑体" w:cs="黑体"/>
          <w:color w:val="auto"/>
          <w:sz w:val="21"/>
          <w:szCs w:val="21"/>
          <w:highlight w:val="none"/>
        </w:rPr>
      </w:pPr>
      <w:r>
        <w:rPr>
          <w:rFonts w:hint="eastAsia" w:ascii="黑体" w:hAnsi="黑体" w:eastAsia="黑体" w:cs="黑体"/>
          <w:color w:val="auto"/>
          <w:kern w:val="2"/>
          <w:sz w:val="21"/>
          <w:szCs w:val="21"/>
          <w:highlight w:val="none"/>
          <w:lang w:bidi="ar"/>
        </w:rPr>
        <w:t xml:space="preserve">    电话/传真：07745038266</w:t>
      </w:r>
    </w:p>
    <w:p>
      <w:pPr>
        <w:widowControl/>
        <w:jc w:val="left"/>
        <w:rPr>
          <w:rFonts w:hint="eastAsia" w:ascii="黑体" w:hAnsi="黑体" w:eastAsia="黑体" w:cs="黑体"/>
          <w:color w:val="auto"/>
          <w:szCs w:val="21"/>
          <w:highlight w:val="none"/>
          <w:lang w:bidi="ar"/>
        </w:rPr>
      </w:pPr>
      <w:r>
        <w:rPr>
          <w:rFonts w:hint="eastAsia" w:ascii="黑体" w:hAnsi="黑体" w:eastAsia="黑体" w:cs="黑体"/>
          <w:color w:val="auto"/>
          <w:szCs w:val="21"/>
          <w:highlight w:val="none"/>
          <w:lang w:bidi="ar"/>
        </w:rPr>
        <w:t xml:space="preserve">    </w:t>
      </w:r>
    </w:p>
    <w:p>
      <w:pPr>
        <w:keepNext w:val="0"/>
        <w:keepLines w:val="0"/>
        <w:pageBreakBefore w:val="0"/>
        <w:kinsoku/>
        <w:overflowPunct/>
        <w:topLinePunct w:val="0"/>
        <w:autoSpaceDE/>
        <w:autoSpaceDN/>
        <w:bidi w:val="0"/>
        <w:adjustRightInd/>
        <w:spacing w:line="440" w:lineRule="exact"/>
        <w:ind w:firstLine="420" w:firstLineChars="200"/>
        <w:textAlignment w:val="auto"/>
      </w:pPr>
      <w:r>
        <w:rPr>
          <w:rFonts w:hint="eastAsia" w:ascii="黑体" w:hAnsi="黑体" w:eastAsia="黑体" w:cs="黑体"/>
          <w:color w:val="auto"/>
          <w:szCs w:val="21"/>
          <w:highlight w:val="none"/>
          <w:lang w:bidi="ar"/>
        </w:rPr>
        <w:t>2020年</w:t>
      </w:r>
      <w:r>
        <w:rPr>
          <w:rFonts w:hint="eastAsia" w:ascii="黑体" w:hAnsi="黑体" w:eastAsia="黑体" w:cs="黑体"/>
          <w:color w:val="auto"/>
          <w:szCs w:val="21"/>
          <w:highlight w:val="none"/>
          <w:lang w:val="en-US" w:eastAsia="zh-CN" w:bidi="ar"/>
        </w:rPr>
        <w:t>12</w:t>
      </w:r>
      <w:r>
        <w:rPr>
          <w:rFonts w:hint="eastAsia" w:ascii="黑体" w:hAnsi="黑体" w:eastAsia="黑体" w:cs="黑体"/>
          <w:color w:val="auto"/>
          <w:szCs w:val="21"/>
          <w:highlight w:val="none"/>
          <w:lang w:bidi="ar"/>
        </w:rPr>
        <w:t>月</w:t>
      </w:r>
      <w:r>
        <w:rPr>
          <w:rFonts w:hint="eastAsia" w:ascii="黑体" w:hAnsi="黑体" w:eastAsia="黑体" w:cs="黑体"/>
          <w:color w:val="auto"/>
          <w:szCs w:val="21"/>
          <w:highlight w:val="none"/>
          <w:lang w:val="en-US" w:eastAsia="zh-CN" w:bidi="ar"/>
        </w:rPr>
        <w:t>18</w:t>
      </w:r>
      <w:r>
        <w:rPr>
          <w:rFonts w:hint="eastAsia" w:ascii="黑体" w:hAnsi="黑体" w:eastAsia="黑体" w:cs="黑体"/>
          <w:color w:val="auto"/>
          <w:szCs w:val="21"/>
          <w:highlight w:val="none"/>
          <w:lang w:bidi="ar"/>
        </w:rPr>
        <w:t>日</w:t>
      </w:r>
    </w:p>
    <w:sectPr>
      <w:pgSz w:w="11906" w:h="16838"/>
      <w:pgMar w:top="1134" w:right="850" w:bottom="1134" w:left="85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862E5"/>
    <w:rsid w:val="097C1EA5"/>
    <w:rsid w:val="114521B2"/>
    <w:rsid w:val="277862E5"/>
    <w:rsid w:val="3A8C248A"/>
    <w:rsid w:val="6CB677F4"/>
    <w:rsid w:val="73FA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spacing w:line="240" w:lineRule="auto"/>
      <w:jc w:val="both"/>
    </w:pPr>
    <w:rPr>
      <w:rFonts w:ascii="宋体" w:hAnsi="Courier New" w:eastAsia="宋体"/>
      <w:kern w:val="2"/>
      <w:sz w:val="21"/>
      <w:szCs w:val="21"/>
      <w:lang w:val="en-US" w:eastAsia="zh-CN" w:bidi="ar-SA"/>
    </w:rPr>
  </w:style>
  <w:style w:type="paragraph" w:styleId="3">
    <w:name w:val="Plain Text"/>
    <w:basedOn w:val="1"/>
    <w:qFormat/>
    <w:uiPriority w:val="0"/>
    <w:rPr>
      <w:rFonts w:ascii="宋体" w:hAnsi="Courier New"/>
    </w:rPr>
  </w:style>
  <w:style w:type="paragraph" w:styleId="4">
    <w:name w:val="Normal (Web)"/>
    <w:basedOn w:val="1"/>
    <w:qFormat/>
    <w:uiPriority w:val="99"/>
    <w:pPr>
      <w:widowControl/>
      <w:spacing w:before="100" w:beforeAutospacing="1" w:after="100" w:afterAutospacing="1"/>
      <w:jc w:val="left"/>
    </w:pPr>
    <w:rPr>
      <w:rFonts w:ascii="Arial Unicode MS" w:hAnsi="Arial Unicode MS" w:eastAsia="Arial Unicode MS"/>
      <w:color w:val="000000"/>
      <w:kern w:val="0"/>
      <w:sz w:val="24"/>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2020-12-14T03:18:00Z</dcterms:created>
  <dc:creator>鱼</dc:creator>
  <cp:lastModifiedBy>刘了了</cp:lastModifiedBy>
  <dcterms:modified xsi:type="dcterms:W3CDTF">2020-12-18T02:15:30Z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