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广西海恒项目管理有限公司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南宁市邕宁区政府投资工程项目前期工程勘察、施工图审查、设计、测绘等服务单项合同价50万元（含50万元）—100万元（不含100万元）框架协议采购【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YNZC2022-G3-090066-GXHH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 w:cs="Times New Roman"/>
          <w:b/>
          <w:bCs w:val="0"/>
          <w:sz w:val="28"/>
          <w:szCs w:val="28"/>
        </w:rPr>
      </w:pPr>
      <w:bookmarkStart w:id="5" w:name="_GoBack"/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入围结果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公告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bookmarkStart w:id="0" w:name="OLE_LINK1"/>
      <w:r>
        <w:rPr>
          <w:rFonts w:hint="eastAsia" w:cs="Times New Roman" w:asciiTheme="minorEastAsia" w:hAnsiTheme="minorEastAsia"/>
          <w:b/>
          <w:sz w:val="24"/>
          <w:szCs w:val="24"/>
        </w:rPr>
        <w:t>一</w:t>
      </w:r>
      <w:r>
        <w:rPr>
          <w:rFonts w:cs="Times New Roman" w:asciiTheme="minorEastAsia" w:hAnsiTheme="minorEastAsia"/>
          <w:b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sz w:val="24"/>
          <w:szCs w:val="24"/>
        </w:rPr>
        <w:t>项目编号：</w:t>
      </w:r>
      <w:r>
        <w:rPr>
          <w:rFonts w:hint="eastAsia" w:cs="Times New Roman" w:asciiTheme="minorEastAsia" w:hAnsiTheme="minorEastAsia"/>
          <w:b/>
          <w:bCs/>
          <w:sz w:val="24"/>
          <w:szCs w:val="24"/>
          <w:lang w:eastAsia="zh-CN"/>
        </w:rPr>
        <w:t>YNZC2022-G3-090066-GXHH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cs="Times New Roman" w:asciiTheme="minorEastAsia" w:hAnsiTheme="minorEastAsia"/>
          <w:b/>
          <w:color w:val="auto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采购计划文号：</w:t>
      </w:r>
      <w:r>
        <w:rPr>
          <w:rFonts w:hint="eastAsia" w:cs="Times New Roman" w:asciiTheme="minorEastAsia" w:hAnsiTheme="minorEastAsia"/>
          <w:b/>
          <w:color w:val="auto"/>
          <w:sz w:val="24"/>
          <w:szCs w:val="24"/>
        </w:rPr>
        <w:t>YNZC2022-G3-00762；YNZC2022-G3-00759；YNZC2022-G3-00760、YNZC2022-G3-00603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Times New Roman" w:asciiTheme="minorEastAsia" w:hAnsiTheme="minorEastAsia" w:eastAsiaTheme="minorEastAsia"/>
          <w:sz w:val="24"/>
          <w:szCs w:val="24"/>
          <w:u w:val="single"/>
          <w:lang w:eastAsia="zh-CN"/>
        </w:rPr>
      </w:pP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二、</w:t>
      </w:r>
      <w:r>
        <w:rPr>
          <w:rFonts w:hint="eastAsia" w:cs="Times New Roman" w:asciiTheme="minorEastAsia" w:hAnsiTheme="minorEastAsia"/>
          <w:b/>
          <w:sz w:val="24"/>
          <w:szCs w:val="24"/>
        </w:rPr>
        <w:t>项目名称：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南宁市邕宁区政府投资工程项目前期工程勘察、施工图审查、设计、测绘等服务单项合同价50万元（含50万元）—100万元（不含100万元）框架协议采购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三、中标（成交）信息</w:t>
      </w:r>
    </w:p>
    <w:tbl>
      <w:tblPr>
        <w:tblStyle w:val="4"/>
        <w:tblpPr w:leftFromText="180" w:rightFromText="180" w:vertAnchor="text" w:horzAnchor="page" w:tblpX="1117" w:tblpY="525"/>
        <w:tblOverlap w:val="never"/>
        <w:tblW w:w="992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0"/>
        <w:gridCol w:w="3565"/>
        <w:gridCol w:w="57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</w:trPr>
        <w:tc>
          <w:tcPr>
            <w:tcW w:w="9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北京城建勘测设计研究院有限责任公司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北京市朝阳区安慧里五区六号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广西华蓝岩土工程有限公司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南宁市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望州路北二里38号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广西地龙岩土工程有限公司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南宁市壮锦大道39号北部湾科技园总部基地B-2办公楼六层605号房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广西金斧勘察检测有限公司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广西北海市合浦县廉州镇廉东D-I-5号地县司法局小区32号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5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广西华南岩土工程集团有限公司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南宁市西乡塘区北湖北路18号昌泰尊府10号楼8层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6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广西壮族自治区建筑科学研究设计院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南宁市北大南路17号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7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广西有色勘察设计研究院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广西南宁市江南区槎路262号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8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广西基础勘察工程有限责任公司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桂林市新建路3号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9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广西大汉岩土工程有限责任公司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桂林市秀峰区甲山街道办事处官桥村126号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5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10</w:t>
            </w:r>
          </w:p>
        </w:tc>
        <w:tc>
          <w:tcPr>
            <w:tcW w:w="3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桂林理工大学勘察设计研究院</w:t>
            </w:r>
          </w:p>
        </w:tc>
        <w:tc>
          <w:tcPr>
            <w:tcW w:w="5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桂林七星区屏风山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9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</w:tbl>
    <w:tbl>
      <w:tblPr>
        <w:tblStyle w:val="4"/>
        <w:tblpPr w:leftFromText="180" w:rightFromText="180" w:vertAnchor="text" w:horzAnchor="page" w:tblpX="1109" w:tblpY="371"/>
        <w:tblOverlap w:val="never"/>
        <w:tblW w:w="993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3"/>
        <w:gridCol w:w="3547"/>
        <w:gridCol w:w="579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</w:trPr>
        <w:tc>
          <w:tcPr>
            <w:tcW w:w="9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2分标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广西万华建设工程咨询有限公司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南宁市青秀区竹溪大道11号新兴综合楼第四层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南宁葛东规划建筑设计咨询有限公司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南宁市东葛路30号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广西图海建筑工程咨询有限公司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南宁市高新区高新南二路5号华成大厦A座17楼A1705-A1718号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3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广西金图工程咨询有限公司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南宁市兴宁区兴东路6号南宁市建筑设计院科研设计中心1号楼四楼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9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</w:tbl>
    <w:p>
      <w:pPr>
        <w:spacing w:line="3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102" w:tblpY="525"/>
        <w:tblOverlap w:val="never"/>
        <w:tblW w:w="994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0"/>
        <w:gridCol w:w="3525"/>
        <w:gridCol w:w="579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9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3分标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广西华信工程设计股份有限公司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南宁市民族大道143号德瑞大厦10楼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中创科卓工程设计有限公司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中国（广西）自由贸易试验区（南宁片区）五象大道401号南宁航洋信和广场1号楼十四层1401号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广西云森工程设计有限公司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南宁市江南区五一路19号全盛商业广场江南水街4栋4楼整层商铺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广西规亿工程技术集团有限公司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南宁市发展大道189号安吉华尔街工谷1号楼A座3层304号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广西建通工程设计咨询有限公司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广西百色市右江区迎龙竹洲大桥旁建通时代广场2号楼A座21层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广西拓航建筑设计有限公司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中国（广西）自由贸易试验区南宁片区五象大道401号南宁航洋信和广场1号楼二十四层2416号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华蓝设计（集团）有限公司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南宁市兴宁区华东路39号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广西华壹建筑设计有限公司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南宁市青秀区金浦路16号汇东国际A座A1505号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广西方泽建筑设计有限责任公司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广西南宁市青秀区民族大道159号凤岭新新家园A区2栋24层2406号-2412号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广西城市设计有限公司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南宁高新区高科路8号高科路电子产业园1号楼601号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未通过资格审查的单位及原因：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1.“南之都建筑集团有限公司”未按征集文件要求提供“财务报表中的附注”；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2.“广西银星建设工程管理有限公司”未按征集文件要求提供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投标截止之日前半年内连续三个月或近一个季度（按季度缴纳的）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的依法缴纳税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证明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（仅提供7月和8月纳税报表）；未按征集文件要求提供财务报表中的现金流量表。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未通过符合性审查的单位及原因：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240" w:firstLineChars="100"/>
              <w:textAlignment w:val="auto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“百源建设集团有限公司”未按征集文件要求提供最低人员配备（无暖通专业技术人员），不满足实质性要求。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 w:val="24"/>
        </w:rPr>
      </w:pPr>
    </w:p>
    <w:tbl>
      <w:tblPr>
        <w:tblStyle w:val="4"/>
        <w:tblpPr w:leftFromText="180" w:rightFromText="180" w:vertAnchor="text" w:horzAnchor="page" w:tblpX="1102" w:tblpY="525"/>
        <w:tblOverlap w:val="never"/>
        <w:tblW w:w="994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5"/>
        <w:gridCol w:w="3510"/>
        <w:gridCol w:w="58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9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4分标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中品工程设计有限公司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南宁市亭江路28号新10+1广场六层A-616、A617商铺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广西富盟工程设计有限公司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南宁市兴宁区松柏路31号2栋5楼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华黔设计有限公司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贵州省贵安新区大学城贵安数字经济产业园E栋1单元5层1房7号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中土大地国际建筑设计有限公司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石家庄市裕华区青园街255号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 w:val="24"/>
          <w:lang w:val="en-US" w:eastAsia="zh-CN"/>
        </w:rPr>
      </w:pPr>
    </w:p>
    <w:p>
      <w:pPr>
        <w:spacing w:line="320" w:lineRule="exact"/>
        <w:rPr>
          <w:rFonts w:hint="eastAsia"/>
          <w:b/>
          <w:bCs/>
          <w:color w:val="auto"/>
          <w:sz w:val="24"/>
        </w:rPr>
      </w:pPr>
    </w:p>
    <w:tbl>
      <w:tblPr>
        <w:tblStyle w:val="4"/>
        <w:tblpPr w:leftFromText="180" w:rightFromText="180" w:vertAnchor="text" w:horzAnchor="page" w:tblpX="1102" w:tblpY="525"/>
        <w:tblOverlap w:val="never"/>
        <w:tblW w:w="994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0"/>
        <w:gridCol w:w="3525"/>
        <w:gridCol w:w="58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9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5分标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广西恩品工程设计咨询有限公司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南宁市青秀区东葛路165号绿地中央广场C1号楼二十四层2429号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中经建研设计有限公司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海南省海口市龙华区滨海大道123-8号信恒大厦办公楼8层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广西金盛交通勘察设计有限公司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玉林市大北路317号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广西桂通工程管理集团有限公司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广西壮族自治区南宁市青秀区云景路39号第十一、十二层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087" w:tblpY="525"/>
        <w:tblOverlap w:val="never"/>
        <w:tblW w:w="99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5"/>
        <w:gridCol w:w="3480"/>
        <w:gridCol w:w="583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9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6分标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广西桂河水利水电有限公司</w:t>
            </w:r>
          </w:p>
        </w:tc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钦州市钦北区皇马工业园一区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广西珠委南宁勘测设计院有限公司</w:t>
            </w:r>
          </w:p>
        </w:tc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广西南宁市西乡塘区相思湖东路8号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广西茗湖水利工程设计有限责任公司</w:t>
            </w:r>
          </w:p>
        </w:tc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中国（广西）自由贸易试验区（南宁片区）五象大道401号南宁航洋信和广场1号楼十四层1402号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南宁汇禹水利投资咨询有限责任公司</w:t>
            </w:r>
          </w:p>
        </w:tc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广西壮族自治区南宁市西乡塘区友爱北路17号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广西尚泽水利工程设计有限公司</w:t>
            </w:r>
          </w:p>
        </w:tc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南宁市兴宁区玉蟾路3号金源城金源悦府35号楼十二层1205号房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未通过资格审查的单位及原因：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1.“广西鸿涛工程设计有限公司”未按征集文件要求提供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投标截止之日前半年内连续三个月或近一个季度（按季度缴纳的）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的依法缴纳税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证明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（只提供1—3月纳税报表）。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2.“广西银星建设工程管理有限公司：未按征集文件要求提供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投标截止之日前半年内连续三个月或近一个季度（按季度缴纳的）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的依法缴纳税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证明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（仅提供7月和8月纳税报表）；未按征集文件要求提供财务报表中的现金流量表。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 w:val="24"/>
          <w:lang w:val="en-US" w:eastAsia="zh-CN"/>
        </w:rPr>
      </w:pPr>
    </w:p>
    <w:p>
      <w:pPr>
        <w:spacing w:line="320" w:lineRule="exact"/>
        <w:rPr>
          <w:rFonts w:hint="eastAsia"/>
          <w:b/>
          <w:bCs/>
          <w:color w:val="auto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087" w:tblpY="525"/>
        <w:tblOverlap w:val="never"/>
        <w:tblW w:w="99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9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7分标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按时递交文件的供应商不足三家，该分标招标失败。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 w:val="24"/>
        </w:rPr>
      </w:pPr>
    </w:p>
    <w:p>
      <w:pPr>
        <w:spacing w:line="320" w:lineRule="exact"/>
        <w:rPr>
          <w:rFonts w:hint="eastAsia"/>
          <w:b/>
          <w:bCs/>
          <w:color w:val="auto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102" w:tblpY="525"/>
        <w:tblOverlap w:val="never"/>
        <w:tblW w:w="997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0"/>
        <w:gridCol w:w="3525"/>
        <w:gridCol w:w="58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8分标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南宁市建筑规划设计集团有限公司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南宁市兴宁区兴东路6号南宁市建筑设计院科研设计中心1号楼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广东国地规划科技股份有限公司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与广西自然资源职业技术学院联合体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广东省广州市天河区长福路219号H1房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华诚博远工程技术集团有限公司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北京市石景山区八大处路49号院4号楼5层5088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锐铭工程设计集团有限公司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桂林市临桂区金贸大厦3-3栋604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广西方略土地规划设计有限公司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与南京城理人城市规划设计有限公司（联合体）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南宁市青秀区竹塘路18号米兰大厦综合楼六层601号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 w:val="24"/>
        </w:rPr>
      </w:pPr>
    </w:p>
    <w:tbl>
      <w:tblPr>
        <w:tblStyle w:val="4"/>
        <w:tblpPr w:leftFromText="180" w:rightFromText="180" w:vertAnchor="text" w:horzAnchor="page" w:tblpX="1102" w:tblpY="525"/>
        <w:tblOverlap w:val="never"/>
        <w:tblW w:w="997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5"/>
        <w:gridCol w:w="3555"/>
        <w:gridCol w:w="58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5" w:hRule="atLeast"/>
        </w:trPr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9分标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广西聚源供电设计有限责任公司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南宁市兴宁区三塘镇松柏路31号兴工标准厂房工业研发3号楼2层202号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广西金宇电力开发有限公司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南宁市青秀区古城路26号5栋1单元2号房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广西弘燊电力设计有限公司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南宁市那洪大道12号创意标准厂房5层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百源建设集团有限公司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南宁市兴宁区三塘镇松柏路31号兴工标准厂房研发2号楼1层102号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 w:val="24"/>
          <w:lang w:val="en-US" w:eastAsia="zh-CN"/>
        </w:rPr>
      </w:pPr>
    </w:p>
    <w:p>
      <w:pPr>
        <w:spacing w:line="320" w:lineRule="exact"/>
        <w:rPr>
          <w:rFonts w:hint="eastAsia"/>
          <w:b/>
          <w:bCs/>
          <w:color w:val="auto"/>
          <w:sz w:val="24"/>
        </w:rPr>
      </w:pPr>
    </w:p>
    <w:tbl>
      <w:tblPr>
        <w:tblStyle w:val="4"/>
        <w:tblpPr w:leftFromText="180" w:rightFromText="180" w:vertAnchor="text" w:horzAnchor="page" w:tblpX="1117" w:tblpY="525"/>
        <w:tblOverlap w:val="never"/>
        <w:tblW w:w="99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5"/>
        <w:gridCol w:w="3525"/>
        <w:gridCol w:w="58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9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10分标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名次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南宁市环球经纬地理信息有限公司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南宁市良庆区五象大道399号龙光国际2号楼1028号、1029号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广西分秒测绘科技有限责任公司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南宁市青秀区金洲路11号金旺角商住楼B栋B0503号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广西新航土地规划设计咨询有限公司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南宁市青秀区中缅路8号海华东盟公馆3号楼2单元1101室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服务期限：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注：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本项目根据征集文件规定标段内提交的响应文件和符合资格条件、实质性要求的供应商淘汰比例</w:t>
      </w:r>
      <w:r>
        <w:rPr>
          <w:rFonts w:hint="eastAsia" w:ascii="宋体" w:hAnsi="宋体" w:cs="宋体"/>
          <w:b/>
          <w:bCs/>
          <w:kern w:val="0"/>
          <w:sz w:val="24"/>
        </w:rPr>
        <w:t>＞20%，且至少淘汰一家供应商。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Times New Roman"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四、主要标的信息</w:t>
      </w:r>
    </w:p>
    <w:tbl>
      <w:tblPr>
        <w:tblStyle w:val="5"/>
        <w:tblW w:w="1002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名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称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u w:val="none"/>
              </w:rPr>
              <w:t>：南宁市邕宁区政府投资工程项目前期工程勘察、施工图审查、设计、测绘等服务单项合同价50万元（含50万元）—100万元（不含100万元）框架协议采购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服务范围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u w:val="none"/>
              </w:rPr>
              <w:t>详见招标文件第二章</w:t>
            </w:r>
            <w:r>
              <w:rPr>
                <w:rFonts w:hint="eastAsia" w:cs="Times New Roman" w:asciiTheme="minorEastAsia" w:hAnsiTheme="minorEastAsia"/>
                <w:bCs/>
                <w:color w:val="auto"/>
                <w:kern w:val="0"/>
                <w:sz w:val="24"/>
                <w:szCs w:val="24"/>
                <w:u w:val="none"/>
              </w:rPr>
              <w:t>招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u w:val="none"/>
              </w:rPr>
              <w:t>标项目采购需求；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cs="Times New Roman" w:asciiTheme="minorEastAsia" w:hAnsiTheme="minorEastAsia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u w:val="none"/>
              </w:rPr>
              <w:t>详见招标文件第二章</w:t>
            </w:r>
            <w:r>
              <w:rPr>
                <w:rFonts w:hint="eastAsia" w:cs="Times New Roman" w:asciiTheme="minorEastAsia" w:hAnsiTheme="minorEastAsia"/>
                <w:bCs/>
                <w:color w:val="auto"/>
                <w:kern w:val="0"/>
                <w:sz w:val="24"/>
                <w:szCs w:val="24"/>
                <w:u w:val="none"/>
              </w:rPr>
              <w:t>招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u w:val="none"/>
              </w:rPr>
              <w:t>标项目采购需求；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服务期限</w:t>
            </w:r>
            <w:r>
              <w:rPr>
                <w:rFonts w:hint="eastAsia" w:ascii="宋体" w:hAnsi="宋体" w:cs="宋体"/>
                <w:color w:val="auto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两年（自合同签订之日起两年）</w:t>
            </w:r>
            <w:r>
              <w:rPr>
                <w:rFonts w:hint="eastAsia" w:ascii="宋体" w:hAnsi="宋体" w:cs="宋体"/>
                <w:color w:val="auto"/>
                <w:sz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u w:val="none"/>
              </w:rPr>
              <w:t>详见招标文件第二章</w:t>
            </w:r>
            <w:r>
              <w:rPr>
                <w:rFonts w:hint="eastAsia" w:cs="Times New Roman" w:asciiTheme="minorEastAsia" w:hAnsiTheme="minorEastAsia"/>
                <w:bCs/>
                <w:color w:val="auto"/>
                <w:kern w:val="0"/>
                <w:sz w:val="24"/>
                <w:szCs w:val="24"/>
                <w:u w:val="none"/>
              </w:rPr>
              <w:t>招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u w:val="none"/>
              </w:rPr>
              <w:t>标项目采购需求</w:t>
            </w:r>
            <w:r>
              <w:rPr>
                <w:rFonts w:hint="eastAsia" w:cs="Times New Roman" w:asciiTheme="minorEastAsia" w:hAnsi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五、评审专家名单：</w:t>
      </w:r>
      <w:r>
        <w:rPr>
          <w:rFonts w:hint="eastAsia" w:ascii="宋体" w:hAnsi="宋体"/>
          <w:b/>
          <w:sz w:val="24"/>
          <w:szCs w:val="20"/>
          <w:u w:val="single"/>
          <w:lang w:val="en-US" w:eastAsia="zh-CN"/>
        </w:rPr>
        <w:t>胡宝春(组长)、黄贵仁、张艺、莫文冰、陈青（采购人评委）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六、代理服务收费标准及金额：</w:t>
      </w:r>
      <w:r>
        <w:rPr>
          <w:rFonts w:hint="eastAsia" w:cs="Times New Roman" w:asciiTheme="minorEastAsia" w:hAnsiTheme="minorEastAsia"/>
          <w:b/>
          <w:bCs/>
          <w:sz w:val="24"/>
          <w:szCs w:val="24"/>
          <w:u w:val="single"/>
        </w:rPr>
        <w:t>固定收费</w:t>
      </w:r>
      <w:r>
        <w:rPr>
          <w:rFonts w:hint="eastAsia" w:cs="Times New Roman" w:asciiTheme="minorEastAsia" w:hAnsiTheme="minorEastAsia"/>
          <w:b/>
          <w:bCs/>
          <w:sz w:val="24"/>
          <w:szCs w:val="24"/>
          <w:u w:val="single"/>
          <w:lang w:val="en-US" w:eastAsia="zh-CN"/>
        </w:rPr>
        <w:t>8000元/分标/家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1" w:firstLineChars="150"/>
        <w:textAlignment w:val="auto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成交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公告媒体及日期：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http://www.ccgp.gov.cn (中国政府采购网)，http://zfcg.gxzf.gov.cn(广西政府采购网)，https://www.nnggzy.org.cn/gxnnzbw/(南宁市公共资源交易中心)2022年11月24</w:t>
      </w:r>
      <w:r>
        <w:rPr>
          <w:rFonts w:hint="eastAsia" w:cs="宋体" w:asciiTheme="minorEastAsia" w:hAnsiTheme="minorEastAsia"/>
          <w:kern w:val="0"/>
          <w:sz w:val="24"/>
          <w:szCs w:val="24"/>
          <w:u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九、凡对本次公告内容提出询问，请按以下方式联系。</w:t>
      </w:r>
      <w:bookmarkStart w:id="1" w:name="_Toc28359023"/>
      <w:bookmarkStart w:id="2" w:name="_Toc35393810"/>
      <w:bookmarkStart w:id="3" w:name="_Toc35393641"/>
      <w:bookmarkStart w:id="4" w:name="_Toc28359100"/>
    </w:p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名称：南宁市邕宁区政府集中采购中心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地址：南宁市邕宁区红星路7号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联系方式：0771-4712966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名 称：广西海恒项目管理有限公司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地　址：南宁市青秀区竹溪大道2号荣恒国际A座5层08号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联系电话：0771-2213708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项目联系人：周鑫怡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textAlignment w:val="auto"/>
        <w:rPr>
          <w:rFonts w:hint="eastAsia"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电话：18378062480、0771-2213708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                                 广西海恒项目管理有限公司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</w:pP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 xml:space="preserve">                                       2022年11月24日</w:t>
      </w:r>
      <w:bookmarkEnd w:id="0"/>
    </w:p>
    <w:sectPr>
      <w:pgSz w:w="11906" w:h="16838"/>
      <w:pgMar w:top="1440" w:right="1066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TFlMDA0YzFmZjNhMWQ5NzBlMTFhN2M5MzZlZmMifQ=="/>
  </w:docVars>
  <w:rsids>
    <w:rsidRoot w:val="00220128"/>
    <w:rsid w:val="00040263"/>
    <w:rsid w:val="00121181"/>
    <w:rsid w:val="00215F16"/>
    <w:rsid w:val="00220128"/>
    <w:rsid w:val="002B3B41"/>
    <w:rsid w:val="002F3DAB"/>
    <w:rsid w:val="00352DC0"/>
    <w:rsid w:val="003978D8"/>
    <w:rsid w:val="003B4A8D"/>
    <w:rsid w:val="003E1577"/>
    <w:rsid w:val="003F4AB5"/>
    <w:rsid w:val="00444C00"/>
    <w:rsid w:val="00476F64"/>
    <w:rsid w:val="0048636B"/>
    <w:rsid w:val="004E01CA"/>
    <w:rsid w:val="00523B97"/>
    <w:rsid w:val="005513E6"/>
    <w:rsid w:val="00570369"/>
    <w:rsid w:val="005A325A"/>
    <w:rsid w:val="0060027E"/>
    <w:rsid w:val="006E444D"/>
    <w:rsid w:val="007501BD"/>
    <w:rsid w:val="007508D8"/>
    <w:rsid w:val="0075435C"/>
    <w:rsid w:val="007C4AF2"/>
    <w:rsid w:val="007C7022"/>
    <w:rsid w:val="008A65F5"/>
    <w:rsid w:val="008C7421"/>
    <w:rsid w:val="008D0486"/>
    <w:rsid w:val="008F5152"/>
    <w:rsid w:val="008F614A"/>
    <w:rsid w:val="00922671"/>
    <w:rsid w:val="00954ADF"/>
    <w:rsid w:val="00957806"/>
    <w:rsid w:val="009B77D4"/>
    <w:rsid w:val="00A64A10"/>
    <w:rsid w:val="00A746CB"/>
    <w:rsid w:val="00A85651"/>
    <w:rsid w:val="00B01D4F"/>
    <w:rsid w:val="00B7497B"/>
    <w:rsid w:val="00C15140"/>
    <w:rsid w:val="00C861F4"/>
    <w:rsid w:val="00CD21BE"/>
    <w:rsid w:val="00D0570C"/>
    <w:rsid w:val="00D376C1"/>
    <w:rsid w:val="00D37C0D"/>
    <w:rsid w:val="00E16CB4"/>
    <w:rsid w:val="00EB7CD7"/>
    <w:rsid w:val="00EF493F"/>
    <w:rsid w:val="00F0580B"/>
    <w:rsid w:val="00F8145B"/>
    <w:rsid w:val="00FC3595"/>
    <w:rsid w:val="00FD3EDA"/>
    <w:rsid w:val="00FE2F96"/>
    <w:rsid w:val="01B93CFD"/>
    <w:rsid w:val="024F0ABB"/>
    <w:rsid w:val="028E269F"/>
    <w:rsid w:val="04820FCD"/>
    <w:rsid w:val="09AE486D"/>
    <w:rsid w:val="0A486291"/>
    <w:rsid w:val="0D31416E"/>
    <w:rsid w:val="0D941E08"/>
    <w:rsid w:val="0E767B4D"/>
    <w:rsid w:val="13DA27B4"/>
    <w:rsid w:val="179503CB"/>
    <w:rsid w:val="1A625EEE"/>
    <w:rsid w:val="20131055"/>
    <w:rsid w:val="24005857"/>
    <w:rsid w:val="2BC36E4E"/>
    <w:rsid w:val="2CB536EE"/>
    <w:rsid w:val="2EA45CFB"/>
    <w:rsid w:val="32807B59"/>
    <w:rsid w:val="34716A1E"/>
    <w:rsid w:val="366963C1"/>
    <w:rsid w:val="379C1C2D"/>
    <w:rsid w:val="388E785B"/>
    <w:rsid w:val="39856832"/>
    <w:rsid w:val="40A32DCA"/>
    <w:rsid w:val="41691F8F"/>
    <w:rsid w:val="42046F8C"/>
    <w:rsid w:val="42D00689"/>
    <w:rsid w:val="430A0C62"/>
    <w:rsid w:val="456F4930"/>
    <w:rsid w:val="4A0E52D9"/>
    <w:rsid w:val="4C453DC8"/>
    <w:rsid w:val="4C7979DA"/>
    <w:rsid w:val="4DED1D75"/>
    <w:rsid w:val="4E186C11"/>
    <w:rsid w:val="50940C69"/>
    <w:rsid w:val="5B990AB3"/>
    <w:rsid w:val="64EF4089"/>
    <w:rsid w:val="65DF5874"/>
    <w:rsid w:val="69B1626F"/>
    <w:rsid w:val="73B76B77"/>
    <w:rsid w:val="76135696"/>
    <w:rsid w:val="7ECF7202"/>
    <w:rsid w:val="7F9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a应急方案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Arial" w:hAnsi="Arial" w:eastAsia="仿宋_GB2312" w:cs="Times New Roman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3216</Words>
  <Characters>3633</Characters>
  <Lines>7</Lines>
  <Paragraphs>2</Paragraphs>
  <TotalTime>113</TotalTime>
  <ScaleCrop>false</ScaleCrop>
  <LinksUpToDate>false</LinksUpToDate>
  <CharactersWithSpaces>3714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2020-07-14T09:18:00Z</dcterms:created>
  <dc:creator>NTKO</dc:creator>
  <cp:lastModifiedBy>WPS_1586311527</cp:lastModifiedBy>
  <cp:lastPrinted>2022-09-21T07:17:00Z</cp:lastPrinted>
  <dcterms:modified xsi:type="dcterms:W3CDTF">2022-11-24T07:14:54Z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846629B938F848719D731DF288C365AF</vt:lpwstr>
  </property>
</Properties>
</file>