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Arial" w:hAnsi="Arial" w:cs="Arial"/>
          <w:b/>
          <w:bCs w:val="0"/>
          <w:sz w:val="28"/>
          <w:szCs w:val="28"/>
          <w:lang w:val="en-US"/>
        </w:rPr>
      </w:pPr>
      <w:r>
        <w:rPr>
          <w:rFonts w:hint="eastAsia" w:ascii="Arial" w:hAnsi="Arial" w:eastAsia="黑体" w:cs="Arial"/>
          <w:kern w:val="0"/>
          <w:sz w:val="40"/>
          <w:szCs w:val="40"/>
          <w:lang w:val="en-US" w:eastAsia="zh-CN" w:bidi="ar"/>
        </w:rPr>
        <w:t>中标公告</w:t>
      </w:r>
    </w:p>
    <w:tbl>
      <w:tblPr>
        <w:tblStyle w:val="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737"/>
        <w:gridCol w:w="2008"/>
        <w:gridCol w:w="526"/>
        <w:gridCol w:w="477"/>
        <w:gridCol w:w="746"/>
        <w:gridCol w:w="25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项目名称</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广西壮族自治区南溪山医院门急诊综合大楼项目全过程工程咨询服务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项目招标编号</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2021-QGC-004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建设单位</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广西壮族自治区南溪山医院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招标代理机构</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广西机电设备招标有限公司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中 标 单 位</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广西中信恒泰工程顾问有限公司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招标类别</w:t>
            </w:r>
          </w:p>
        </w:tc>
        <w:tc>
          <w:tcPr>
            <w:tcW w:w="2534" w:type="dxa"/>
            <w:gridSpan w:val="2"/>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委托招标    □自行招标</w:t>
            </w:r>
          </w:p>
        </w:tc>
        <w:tc>
          <w:tcPr>
            <w:tcW w:w="122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招标方式</w:t>
            </w:r>
          </w:p>
        </w:tc>
        <w:tc>
          <w:tcPr>
            <w:tcW w:w="373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104"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中标范围</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firstLine="420" w:firstLineChars="200"/>
              <w:jc w:val="both"/>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全过程工程项目管理（以下简称“项目管理”）：</w:t>
            </w:r>
            <w:r>
              <w:rPr>
                <w:rFonts w:hint="default" w:ascii="Arial" w:hAnsi="Arial" w:eastAsia="Times New Roman" w:cs="Arial"/>
                <w:kern w:val="0"/>
                <w:sz w:val="21"/>
                <w:szCs w:val="21"/>
                <w:u w:val="single"/>
                <w:bdr w:val="none" w:color="auto" w:sz="0" w:space="0"/>
                <w:lang w:val="en-US" w:eastAsia="zh-CN" w:bidi="ar"/>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p>
          <w:p>
            <w:pPr>
              <w:keepNext w:val="0"/>
              <w:keepLines w:val="0"/>
              <w:widowControl w:val="0"/>
              <w:suppressLineNumbers w:val="0"/>
              <w:snapToGrid w:val="0"/>
              <w:spacing w:before="0" w:beforeAutospacing="0" w:after="0" w:afterAutospacing="0"/>
              <w:ind w:left="0" w:right="0" w:firstLine="420" w:firstLineChars="200"/>
              <w:jc w:val="both"/>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工程监理：</w:t>
            </w:r>
            <w:r>
              <w:rPr>
                <w:rFonts w:hint="default" w:ascii="Arial" w:hAnsi="Arial" w:eastAsia="Times New Roman" w:cs="Arial"/>
                <w:kern w:val="0"/>
                <w:sz w:val="21"/>
                <w:szCs w:val="21"/>
                <w:u w:val="single"/>
                <w:bdr w:val="none" w:color="auto" w:sz="0" w:space="0"/>
                <w:lang w:val="en-US" w:eastAsia="zh-CN" w:bidi="ar"/>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keepNext w:val="0"/>
              <w:keepLines w:val="0"/>
              <w:widowControl w:val="0"/>
              <w:suppressLineNumbers w:val="0"/>
              <w:snapToGrid w:val="0"/>
              <w:spacing w:before="0" w:beforeAutospacing="0" w:after="0" w:afterAutospacing="0"/>
              <w:ind w:left="0" w:right="0" w:firstLine="420" w:firstLineChars="200"/>
              <w:jc w:val="both"/>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造价咨询：</w:t>
            </w:r>
            <w:r>
              <w:rPr>
                <w:rFonts w:hint="default" w:ascii="Arial" w:hAnsi="Arial" w:eastAsia="Times New Roman" w:cs="Arial"/>
                <w:kern w:val="0"/>
                <w:sz w:val="21"/>
                <w:szCs w:val="21"/>
                <w:u w:val="single"/>
                <w:bdr w:val="none" w:color="auto" w:sz="0" w:space="0"/>
                <w:lang w:val="en-US" w:eastAsia="zh-CN" w:bidi="ar"/>
              </w:rPr>
              <w:t xml:space="preserve"> 提供全过程造价咨询服务，包括项目投资估算及概算的审核、编制工程量清单及招标控制价、工程施工阶段造价跟踪审核、工程竣工结算阶段项目结算审核等与工程造价咨询相关的服务。 </w:t>
            </w:r>
          </w:p>
          <w:p>
            <w:pPr>
              <w:keepNext w:val="0"/>
              <w:keepLines w:val="0"/>
              <w:widowControl/>
              <w:suppressLineNumbers w:val="0"/>
              <w:snapToGrid w:val="0"/>
              <w:spacing w:before="0" w:beforeAutospacing="0" w:after="0" w:afterAutospacing="0"/>
              <w:ind w:left="0" w:right="185" w:rightChars="88" w:firstLine="420" w:firstLineChars="200"/>
              <w:jc w:val="left"/>
              <w:rPr>
                <w:rFonts w:hint="default" w:ascii="Arial" w:hAnsi="Arial" w:cs="Arial"/>
                <w:sz w:val="21"/>
                <w:szCs w:val="21"/>
                <w:bdr w:val="none" w:color="auto" w:sz="0" w:space="0"/>
                <w:lang w:val="en-US"/>
              </w:rPr>
            </w:pPr>
            <w:r>
              <w:rPr>
                <w:rFonts w:hint="default" w:ascii="Arial" w:hAnsi="Arial" w:eastAsia="MS Mincho" w:cs="Arial"/>
                <w:kern w:val="0"/>
                <w:sz w:val="21"/>
                <w:szCs w:val="21"/>
                <w:bdr w:val="none" w:color="auto" w:sz="0" w:space="0"/>
                <w:lang w:val="en-US" w:eastAsia="zh-CN" w:bidi="ar"/>
              </w:rPr>
              <w:t>☑</w:t>
            </w:r>
            <w:r>
              <w:rPr>
                <w:rFonts w:hint="default" w:ascii="Arial" w:hAnsi="Arial" w:eastAsia="Times New Roman" w:cs="Arial"/>
                <w:kern w:val="0"/>
                <w:sz w:val="21"/>
                <w:szCs w:val="21"/>
                <w:bdr w:val="none" w:color="auto" w:sz="0" w:space="0"/>
                <w:lang w:val="en-US" w:eastAsia="zh-CN" w:bidi="ar"/>
              </w:rPr>
              <w:t>其他：</w:t>
            </w:r>
            <w:r>
              <w:rPr>
                <w:rFonts w:hint="default" w:ascii="Arial" w:hAnsi="Arial" w:eastAsia="Times New Roman" w:cs="Arial"/>
                <w:kern w:val="0"/>
                <w:sz w:val="21"/>
                <w:szCs w:val="21"/>
                <w:u w:val="single"/>
                <w:bdr w:val="none" w:color="auto" w:sz="0" w:space="0"/>
                <w:lang w:val="en-US" w:eastAsia="zh-CN" w:bidi="ar"/>
              </w:rPr>
              <w:t xml:space="preserve"> 除招标代理服务以外的采购管理服务，包括但不限于协助建设单位编制采购方案、协助完成各项采购流程、协助建设单位进行合同谈判。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94"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开标时间</w:t>
            </w:r>
          </w:p>
        </w:tc>
        <w:tc>
          <w:tcPr>
            <w:tcW w:w="2008" w:type="dxa"/>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2021年7月19日</w:t>
            </w:r>
          </w:p>
        </w:tc>
        <w:tc>
          <w:tcPr>
            <w:tcW w:w="2006" w:type="dxa"/>
            <w:gridSpan w:val="4"/>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开标地点</w:t>
            </w:r>
          </w:p>
        </w:tc>
        <w:tc>
          <w:tcPr>
            <w:tcW w:w="3481" w:type="dxa"/>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桂林市公共资源交易中心开标厅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中标价</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185" w:rightChars="88"/>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6948400元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服务期限</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185" w:rightChars="88"/>
              <w:jc w:val="left"/>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自合同签订生效之日起，各阶段服务结束以合同约定的咨询服务完成为止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eastAsia" w:ascii="Arial" w:hAnsi="Arial" w:eastAsia="宋体" w:cs="Arial"/>
                <w:kern w:val="0"/>
                <w:sz w:val="21"/>
                <w:szCs w:val="21"/>
                <w:bdr w:val="none" w:color="auto" w:sz="0" w:space="0"/>
                <w:lang w:val="en-US" w:eastAsia="zh-CN" w:bidi="ar"/>
              </w:rPr>
              <w:t>质量</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185" w:rightChars="88"/>
              <w:jc w:val="left"/>
              <w:rPr>
                <w:rFonts w:hint="default" w:ascii="Arial" w:hAnsi="Arial" w:cs="Arial"/>
                <w:sz w:val="21"/>
                <w:szCs w:val="21"/>
                <w:bdr w:val="none" w:color="auto" w:sz="0" w:space="0"/>
                <w:lang w:val="en-US"/>
              </w:rPr>
            </w:pPr>
            <w:r>
              <w:rPr>
                <w:rFonts w:hint="eastAsia" w:ascii="Arial" w:hAnsi="Arial" w:eastAsia="宋体" w:cs="Arial"/>
                <w:kern w:val="0"/>
                <w:sz w:val="21"/>
                <w:szCs w:val="21"/>
                <w:bdr w:val="none" w:color="auto" w:sz="0" w:space="0"/>
                <w:lang w:val="en-US" w:eastAsia="zh-CN" w:bidi="ar"/>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61"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宋体" w:cs="Arial"/>
                <w:sz w:val="21"/>
                <w:szCs w:val="21"/>
                <w:bdr w:val="none" w:color="auto" w:sz="0" w:space="0"/>
                <w:lang w:val="en-US"/>
              </w:rPr>
            </w:pPr>
            <w:r>
              <w:rPr>
                <w:rFonts w:hint="eastAsia" w:ascii="宋体" w:hAnsi="宋体" w:eastAsia="宋体" w:cs="宋体"/>
                <w:b/>
                <w:bCs w:val="0"/>
                <w:color w:val="333333"/>
                <w:kern w:val="0"/>
                <w:sz w:val="21"/>
                <w:szCs w:val="21"/>
                <w:bdr w:val="none" w:color="auto" w:sz="0" w:space="0"/>
                <w:lang w:val="en-US" w:eastAsia="zh-CN" w:bidi="ar"/>
              </w:rPr>
              <w:t>主要人员</w:t>
            </w:r>
          </w:p>
        </w:tc>
        <w:tc>
          <w:tcPr>
            <w:tcW w:w="3011"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Arial" w:hAnsi="Arial" w:eastAsia="宋体" w:cs="Arial"/>
                <w:sz w:val="21"/>
                <w:szCs w:val="21"/>
                <w:bdr w:val="none" w:color="auto" w:sz="0" w:space="0"/>
                <w:lang w:val="en-US"/>
              </w:rPr>
            </w:pPr>
            <w:r>
              <w:rPr>
                <w:rFonts w:hint="eastAsia" w:ascii="宋体" w:hAnsi="宋体" w:eastAsia="宋体" w:cs="宋体"/>
                <w:b/>
                <w:bCs w:val="0"/>
                <w:color w:val="333333"/>
                <w:kern w:val="0"/>
                <w:sz w:val="21"/>
                <w:szCs w:val="21"/>
                <w:bdr w:val="none" w:color="auto" w:sz="0" w:space="0"/>
                <w:lang w:val="en-US" w:eastAsia="zh-CN" w:bidi="ar"/>
              </w:rPr>
              <w:t>姓名</w:t>
            </w:r>
          </w:p>
        </w:tc>
        <w:tc>
          <w:tcPr>
            <w:tcW w:w="4484"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pacing w:before="0" w:beforeAutospacing="0" w:after="0" w:afterAutospacing="0" w:line="420" w:lineRule="atLeast"/>
              <w:ind w:left="0" w:right="0"/>
              <w:jc w:val="center"/>
              <w:rPr>
                <w:rFonts w:hint="default" w:ascii="Arial" w:hAnsi="Arial" w:eastAsia="宋体" w:cs="Arial"/>
                <w:sz w:val="21"/>
                <w:szCs w:val="21"/>
                <w:bdr w:val="none" w:color="auto" w:sz="0" w:space="0"/>
                <w:lang w:val="en-US"/>
              </w:rPr>
            </w:pPr>
            <w:r>
              <w:rPr>
                <w:rFonts w:hint="eastAsia" w:ascii="宋体" w:hAnsi="宋体" w:eastAsia="宋体" w:cs="宋体"/>
                <w:b/>
                <w:bCs w:val="0"/>
                <w:color w:val="333333"/>
                <w:kern w:val="0"/>
                <w:sz w:val="21"/>
                <w:szCs w:val="21"/>
                <w:bdr w:val="none" w:color="auto" w:sz="0" w:space="0"/>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项目负责人</w:t>
            </w:r>
          </w:p>
        </w:tc>
        <w:tc>
          <w:tcPr>
            <w:tcW w:w="3011"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谢春鹏</w:t>
            </w:r>
          </w:p>
        </w:tc>
        <w:tc>
          <w:tcPr>
            <w:tcW w:w="4484"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桂145061404870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工程监理负责人</w:t>
            </w:r>
          </w:p>
        </w:tc>
        <w:tc>
          <w:tcPr>
            <w:tcW w:w="3011"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栗林</w:t>
            </w:r>
          </w:p>
        </w:tc>
        <w:tc>
          <w:tcPr>
            <w:tcW w:w="4484"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00360618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02"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造价咨询负责人</w:t>
            </w:r>
          </w:p>
        </w:tc>
        <w:tc>
          <w:tcPr>
            <w:tcW w:w="3011"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卢明光</w:t>
            </w:r>
          </w:p>
        </w:tc>
        <w:tc>
          <w:tcPr>
            <w:tcW w:w="4484" w:type="dxa"/>
            <w:gridSpan w:val="3"/>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建【造】0545000086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94"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eastAsia" w:ascii="宋体" w:hAnsi="宋体" w:eastAsia="宋体" w:cs="宋体"/>
                <w:b/>
                <w:bCs w:val="0"/>
                <w:color w:val="333333"/>
                <w:kern w:val="0"/>
                <w:sz w:val="21"/>
                <w:szCs w:val="21"/>
                <w:bdr w:val="none" w:color="auto" w:sz="0" w:space="0"/>
                <w:shd w:val="clear" w:fill="FFFFFF"/>
                <w:lang w:val="en-US" w:eastAsia="zh-CN" w:bidi="ar"/>
              </w:rPr>
              <w:t>公告媒介</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val="0"/>
              <w:suppressLineNumbers w:val="0"/>
              <w:snapToGrid w:val="0"/>
              <w:spacing w:before="0" w:beforeAutospacing="0" w:after="0" w:afterAutospacing="0"/>
              <w:ind w:left="0" w:right="0"/>
              <w:jc w:val="both"/>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广西壮族自治区招标投标公共服务平台、桂林市公共资源交易中心、中国政府采购网、广西壮族自治区政府采购网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05" w:hRule="atLeast"/>
          <w:jc w:val="center"/>
        </w:trPr>
        <w:tc>
          <w:tcPr>
            <w:tcW w:w="1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spacing w:before="0" w:beforeAutospacing="0" w:after="0" w:afterAutospacing="0"/>
              <w:ind w:left="0" w:right="0"/>
              <w:jc w:val="center"/>
              <w:rPr>
                <w:rFonts w:hint="default" w:ascii="Arial" w:hAnsi="Arial" w:cs="Arial"/>
                <w:sz w:val="21"/>
                <w:szCs w:val="21"/>
                <w:bdr w:val="none" w:color="auto" w:sz="0" w:space="0"/>
                <w:lang w:val="en-US"/>
              </w:rPr>
            </w:pPr>
            <w:r>
              <w:rPr>
                <w:rFonts w:hint="default" w:ascii="Arial" w:hAnsi="Arial" w:eastAsia="Times New Roman" w:cs="Arial"/>
                <w:kern w:val="0"/>
                <w:sz w:val="21"/>
                <w:szCs w:val="21"/>
                <w:bdr w:val="none" w:color="auto" w:sz="0" w:space="0"/>
                <w:lang w:val="en-US" w:eastAsia="zh-CN" w:bidi="ar"/>
              </w:rPr>
              <w:t>公告日期（即中标通知书签发日期）</w:t>
            </w:r>
          </w:p>
        </w:tc>
        <w:tc>
          <w:tcPr>
            <w:tcW w:w="7495" w:type="dxa"/>
            <w:gridSpan w:val="6"/>
            <w:tcBorders>
              <w:top w:val="single" w:color="auto" w:sz="4" w:space="0"/>
              <w:left w:val="single" w:color="auto" w:sz="4" w:space="0"/>
              <w:bottom w:val="single" w:color="auto" w:sz="4" w:space="0"/>
              <w:right w:val="single" w:color="auto" w:sz="4" w:space="0"/>
            </w:tcBorders>
            <w:shd w:val="clear"/>
            <w:tcMar>
              <w:left w:w="75" w:type="dxa"/>
            </w:tcMar>
            <w:vAlign w:val="center"/>
          </w:tcPr>
          <w:p>
            <w:pPr>
              <w:keepNext w:val="0"/>
              <w:keepLines w:val="0"/>
              <w:widowControl/>
              <w:suppressLineNumbers w:val="0"/>
              <w:snapToGrid w:val="0"/>
              <w:spacing w:before="0" w:beforeAutospacing="0" w:after="0" w:afterAutospacing="0"/>
              <w:ind w:left="0" w:right="178" w:rightChars="85"/>
              <w:jc w:val="both"/>
              <w:rPr>
                <w:rFonts w:hint="default" w:ascii="Arial" w:hAnsi="Arial" w:eastAsia="宋体" w:cs="Arial"/>
                <w:sz w:val="21"/>
                <w:szCs w:val="21"/>
                <w:bdr w:val="none" w:color="auto" w:sz="0" w:space="0"/>
                <w:lang w:val="en-US"/>
              </w:rPr>
            </w:pPr>
            <w:r>
              <w:rPr>
                <w:rFonts w:hint="default" w:ascii="Arial" w:hAnsi="Arial" w:eastAsia="宋体" w:cs="Arial"/>
                <w:kern w:val="0"/>
                <w:sz w:val="21"/>
                <w:szCs w:val="21"/>
                <w:bdr w:val="none" w:color="auto" w:sz="0" w:space="0"/>
                <w:lang w:val="en-US" w:eastAsia="zh-CN" w:bidi="ar"/>
              </w:rPr>
              <w:t>2021</w:t>
            </w:r>
            <w:r>
              <w:rPr>
                <w:rFonts w:hint="eastAsia" w:ascii="Arial" w:hAnsi="Arial" w:eastAsia="宋体" w:cs="Arial"/>
                <w:kern w:val="0"/>
                <w:sz w:val="21"/>
                <w:szCs w:val="21"/>
                <w:bdr w:val="none" w:color="auto" w:sz="0" w:space="0"/>
                <w:lang w:val="en-US" w:eastAsia="zh-CN" w:bidi="ar"/>
              </w:rPr>
              <w:t>年</w:t>
            </w:r>
            <w:r>
              <w:rPr>
                <w:rFonts w:hint="default" w:ascii="Arial" w:hAnsi="Arial" w:eastAsia="宋体" w:cs="Arial"/>
                <w:kern w:val="0"/>
                <w:sz w:val="21"/>
                <w:szCs w:val="21"/>
                <w:bdr w:val="none" w:color="auto" w:sz="0" w:space="0"/>
                <w:lang w:val="en-US" w:eastAsia="zh-CN" w:bidi="ar"/>
              </w:rPr>
              <w:t>7</w:t>
            </w:r>
            <w:r>
              <w:rPr>
                <w:rFonts w:hint="eastAsia" w:ascii="Arial" w:hAnsi="Arial" w:eastAsia="宋体" w:cs="Arial"/>
                <w:kern w:val="0"/>
                <w:sz w:val="21"/>
                <w:szCs w:val="21"/>
                <w:bdr w:val="none" w:color="auto" w:sz="0" w:space="0"/>
                <w:lang w:val="en-US" w:eastAsia="zh-CN" w:bidi="ar"/>
              </w:rPr>
              <w:t>月</w:t>
            </w:r>
            <w:r>
              <w:rPr>
                <w:rFonts w:hint="default" w:ascii="Arial" w:hAnsi="Arial" w:eastAsia="宋体" w:cs="Arial"/>
                <w:kern w:val="0"/>
                <w:sz w:val="21"/>
                <w:szCs w:val="21"/>
                <w:bdr w:val="none" w:color="auto" w:sz="0" w:space="0"/>
                <w:lang w:val="en-US" w:eastAsia="zh-CN" w:bidi="ar"/>
              </w:rPr>
              <w:t>28</w:t>
            </w:r>
            <w:r>
              <w:rPr>
                <w:rFonts w:hint="eastAsia" w:ascii="Arial" w:hAnsi="Arial" w:eastAsia="宋体" w:cs="Arial"/>
                <w:kern w:val="0"/>
                <w:sz w:val="21"/>
                <w:szCs w:val="21"/>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jc w:val="both"/>
        <w:rPr>
          <w:rFonts w:hint="default" w:ascii="Arial" w:hAnsi="Arial" w:cs="Arial"/>
          <w:b/>
          <w:bCs w:val="0"/>
          <w:szCs w:val="21"/>
          <w:lang w:val="en-US"/>
        </w:rPr>
      </w:pP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w:panose1 w:val="02020609040205080304"/>
    <w:charset w:val="80"/>
    <w:family w:val="auto"/>
    <w:pitch w:val="default"/>
    <w:sig w:usb0="00000000" w:usb1="00000000" w:usb2="08000012" w:usb3="00000000" w:csb0="4002009F" w:csb1="DFD70000"/>
  </w:font>
  <w:font w:name="@MS Mincho">
    <w:altName w:val="MS UI Gothic"/>
    <w:panose1 w:val="02020609040205080304"/>
    <w:charset w:val="80"/>
    <w:family w:val="auto"/>
    <w:pitch w:val="default"/>
    <w:sig w:usb0="00000000" w:usb1="00000000" w:usb2="08000012" w:usb3="00000000" w:csb0="4002009F" w:csb1="DFD7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6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
    <w:uiPriority w:val="0"/>
    <w:pPr>
      <w:spacing w:after="120" w:afterLines="0" w:afterAutospacing="0"/>
    </w:pPr>
  </w:style>
  <w:style w:type="character" w:customStyle="1" w:styleId="5">
    <w:name w:val="正文文本 字符"/>
    <w:basedOn w:val="4"/>
    <w:link w:val="2"/>
    <w:uiPriority w:val="0"/>
    <w:rPr>
      <w:rFonts w:hint="default"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2021-07-28T00:45:56Z</dcterms:created>
  <dc:creator>Administrator</dc:creator>
  <cp:lastModifiedBy>NTKO</cp:lastModifiedBy>
  <dcterms:modified xsi:type="dcterms:W3CDTF">2021-07-28T00:48:00Z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C4919B7DCD394D9D868E314453AF82FA</vt:lpwstr>
  </property>
</Properties>
</file>