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  <w:lang w:val="zh-CN"/>
        </w:rPr>
        <w:t>广西新侨工程造价咨询有限公司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桂林市灌阳县新圩镇小龙村等2个村全域土地综合整治项目土地综合整治子项目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（项目编号：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GLZC2020-G2-270030-GXXQ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一、项目编号：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lang w:val="en-US" w:eastAsia="zh-CN" w:bidi="ar-SA"/>
        </w:rPr>
        <w:t>GLZC2020-G2-270030-GXXQ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 xml:space="preserve"> </w:t>
      </w:r>
      <w:bookmarkStart w:id="8" w:name="_GoBack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2159" w:leftChars="228" w:hanging="1680" w:hangingChars="7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二、项目名称：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桂林市灌阳县新圩镇小龙村等2个村全域土地综合整治项目土地综合整治子项目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三、中标信息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供应商名称：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广西建衡建设有限公司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479" w:leftChars="228" w:firstLine="0" w:firstLineChars="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供应商地址：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临桂区临桂镇人民路356号汇金时代广场1-2701至1-2711、1-2732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中标金额：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陆佰肆拾柒万捌仟捌佰贰拾壹元柒角整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（¥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6478821.70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主要标的信息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建设地点：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桂林市灌阳县新圩镇小龙村等2个村。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建设内容：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土地平整、灌溉与排水工程、田间道路等工程。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质量标准：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建设工期为：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330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日历天；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合同履行期限：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自合同签订之日起至项目竣工验收后承诺免费保修期满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评审专家名单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汤万攀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lang w:val="en-US" w:eastAsia="zh-CN" w:bidi="ar-SA"/>
        </w:rPr>
        <w:t>谭海吉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lang w:val="en-US" w:eastAsia="zh-CN" w:bidi="ar-SA"/>
        </w:rPr>
        <w:t>邓淑珍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lang w:val="en-US" w:eastAsia="zh-CN" w:bidi="ar-SA"/>
        </w:rPr>
        <w:t>黎英萍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、沈和新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right="0" w:rightChars="0"/>
        <w:textAlignment w:val="auto"/>
        <w:outlineLvl w:val="9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六、</w:t>
      </w:r>
      <w:r>
        <w:rPr>
          <w:rFonts w:hint="eastAsia" w:ascii="宋体" w:hAnsi="宋体"/>
          <w:b/>
          <w:color w:val="auto"/>
          <w:sz w:val="24"/>
          <w:lang w:eastAsia="zh-CN"/>
        </w:rPr>
        <w:t>本项目具体的收费标准及收费金额：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right="0" w:rightChars="0"/>
        <w:jc w:val="both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收费金额为：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肆万陆仟壹佰叁拾叁元伍角整（￥46133.50）</w:t>
      </w:r>
      <w:r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/>
          <w:color w:val="auto"/>
          <w:sz w:val="24"/>
          <w:szCs w:val="24"/>
          <w:lang w:val="en-US" w:eastAsia="zh-CN"/>
        </w:rPr>
        <w:t>2.收费标准为：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中标单位领取中标通知书前，中标人向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广西新侨工程造价咨询有限公司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桂林分公司一次付清招标代理服务费，具体收费标准按计价格[2002]1980号《招标代理服务收费管理暂行办法》“工程类”收费标准执行，以差额定率累进法计算。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1、未中标情况：</w:t>
      </w:r>
    </w:p>
    <w:tbl>
      <w:tblPr>
        <w:tblStyle w:val="8"/>
        <w:tblW w:w="88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209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未中标人名称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评标得分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广西恒晟水环境治理有限公司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86.51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桂林基础设施建设有限公司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82.19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广西金业建设工程有限公司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77.07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广西圣泰建设工程有限公司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76.73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广西盛坤建设工程有限公司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75.34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2、未通过资格、形式、响应审查的投标人情况：无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3.发布媒体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桂林市公共资源交易中心网（http://glggzy.org.cn/gxglzbw/）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桂林市政府采购网（http://zfcg.czj.guilin.gov.cn/）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广西壮族自治区政府采购网（http://zfcg.gxzf.gov.cn/）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中国政府采购网（http://www.ccgp.gov.cn/）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九、凡对本次公告内容提出询问，请按以下方式联系。</w:t>
      </w:r>
      <w:bookmarkStart w:id="0" w:name="_Toc35393810"/>
      <w:bookmarkStart w:id="1" w:name="_Toc35393641"/>
      <w:bookmarkStart w:id="2" w:name="_Toc28359023"/>
      <w:bookmarkStart w:id="3" w:name="_Toc28359100"/>
    </w:p>
    <w:bookmarkEnd w:id="0"/>
    <w:bookmarkEnd w:id="1"/>
    <w:bookmarkEnd w:id="2"/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名 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灌阳县自然资源局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地 址：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桂林市灌阳县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联系方式：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王亚萍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 </w:t>
      </w:r>
      <w:bookmarkStart w:id="4" w:name="_Toc28359009"/>
      <w:bookmarkStart w:id="5" w:name="_Toc28359086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18078371691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2.采购代理机构信息</w:t>
      </w:r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名 称：广西新侨工程造价咨询有限公司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地 址：桂林市秀峰区西凤路 30 号小区 3 栋二单元 1-1 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联系方式：</w:t>
      </w:r>
      <w:bookmarkStart w:id="6" w:name="_Toc28359010"/>
      <w:bookmarkStart w:id="7" w:name="_Toc28359087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0773－3562558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3.项目联系方式</w:t>
      </w:r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项目联系人：卿工      电　话：　0773－3562558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政府采购监督管理机构：灌阳县财政局政府采购监督管理办公室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联系电话：0773-4250206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560" w:firstLineChars="19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4560" w:firstLineChars="19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广西新侨工程造价咨询有限公司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                                         2020年12月28日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中隶简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8DD4"/>
    <w:multiLevelType w:val="singleLevel"/>
    <w:tmpl w:val="0B4D8DD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2B03C8"/>
    <w:multiLevelType w:val="singleLevel"/>
    <w:tmpl w:val="4B2B03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3D5589"/>
    <w:multiLevelType w:val="singleLevel"/>
    <w:tmpl w:val="643D55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6479"/>
    <w:rsid w:val="00F12A7A"/>
    <w:rsid w:val="02070816"/>
    <w:rsid w:val="029806C9"/>
    <w:rsid w:val="0304067E"/>
    <w:rsid w:val="0314694C"/>
    <w:rsid w:val="035F11FD"/>
    <w:rsid w:val="04344AC2"/>
    <w:rsid w:val="054807C0"/>
    <w:rsid w:val="05DC692A"/>
    <w:rsid w:val="060155F0"/>
    <w:rsid w:val="063C3349"/>
    <w:rsid w:val="06940C31"/>
    <w:rsid w:val="0A067C1C"/>
    <w:rsid w:val="0A2E0844"/>
    <w:rsid w:val="0E782F1D"/>
    <w:rsid w:val="0EAF23DC"/>
    <w:rsid w:val="0F67054E"/>
    <w:rsid w:val="12D2468C"/>
    <w:rsid w:val="134679AB"/>
    <w:rsid w:val="136D05CA"/>
    <w:rsid w:val="1374792A"/>
    <w:rsid w:val="154E504B"/>
    <w:rsid w:val="15B555DA"/>
    <w:rsid w:val="172A1121"/>
    <w:rsid w:val="179654C6"/>
    <w:rsid w:val="17A5405C"/>
    <w:rsid w:val="1B6428D4"/>
    <w:rsid w:val="1DE067B9"/>
    <w:rsid w:val="1EB52C00"/>
    <w:rsid w:val="1F2F7BC5"/>
    <w:rsid w:val="20591EB3"/>
    <w:rsid w:val="20C26837"/>
    <w:rsid w:val="219E126A"/>
    <w:rsid w:val="21A23E39"/>
    <w:rsid w:val="221C55A2"/>
    <w:rsid w:val="24510189"/>
    <w:rsid w:val="2628176A"/>
    <w:rsid w:val="29082043"/>
    <w:rsid w:val="29BD31A0"/>
    <w:rsid w:val="2A014106"/>
    <w:rsid w:val="2A886C95"/>
    <w:rsid w:val="2AF70CCB"/>
    <w:rsid w:val="2B123EBE"/>
    <w:rsid w:val="2CA55A36"/>
    <w:rsid w:val="2CB03C44"/>
    <w:rsid w:val="2E180322"/>
    <w:rsid w:val="301E5BFF"/>
    <w:rsid w:val="311B13E1"/>
    <w:rsid w:val="329A3BBB"/>
    <w:rsid w:val="32BE6D53"/>
    <w:rsid w:val="32E05DC7"/>
    <w:rsid w:val="34A050D5"/>
    <w:rsid w:val="376F7123"/>
    <w:rsid w:val="38EC44D2"/>
    <w:rsid w:val="39423BD8"/>
    <w:rsid w:val="39AE6532"/>
    <w:rsid w:val="3B38067C"/>
    <w:rsid w:val="3BFD7FF5"/>
    <w:rsid w:val="3C164950"/>
    <w:rsid w:val="3C1C66A4"/>
    <w:rsid w:val="3D5A5D09"/>
    <w:rsid w:val="3ED317B1"/>
    <w:rsid w:val="40964209"/>
    <w:rsid w:val="414D2888"/>
    <w:rsid w:val="41F361E4"/>
    <w:rsid w:val="425C091B"/>
    <w:rsid w:val="43B71B8C"/>
    <w:rsid w:val="43BE577C"/>
    <w:rsid w:val="44454769"/>
    <w:rsid w:val="44455150"/>
    <w:rsid w:val="44E23941"/>
    <w:rsid w:val="450607F9"/>
    <w:rsid w:val="459F7C24"/>
    <w:rsid w:val="45D52A85"/>
    <w:rsid w:val="46524AC2"/>
    <w:rsid w:val="474710E3"/>
    <w:rsid w:val="47A40B3A"/>
    <w:rsid w:val="480B178D"/>
    <w:rsid w:val="488A7677"/>
    <w:rsid w:val="48AB3C11"/>
    <w:rsid w:val="49625B51"/>
    <w:rsid w:val="4A313626"/>
    <w:rsid w:val="4A4C3285"/>
    <w:rsid w:val="4B2B5D9D"/>
    <w:rsid w:val="4E8E274D"/>
    <w:rsid w:val="4E9050F7"/>
    <w:rsid w:val="51191014"/>
    <w:rsid w:val="5154196A"/>
    <w:rsid w:val="519355A6"/>
    <w:rsid w:val="51B65BB6"/>
    <w:rsid w:val="51DB2329"/>
    <w:rsid w:val="52AD533B"/>
    <w:rsid w:val="52D5189D"/>
    <w:rsid w:val="54A81A58"/>
    <w:rsid w:val="54F9171F"/>
    <w:rsid w:val="56556DF8"/>
    <w:rsid w:val="57062FF9"/>
    <w:rsid w:val="581451A6"/>
    <w:rsid w:val="59E3554F"/>
    <w:rsid w:val="5D1A7016"/>
    <w:rsid w:val="5D602EC7"/>
    <w:rsid w:val="5DD53F30"/>
    <w:rsid w:val="5DED3A76"/>
    <w:rsid w:val="5F8F12BE"/>
    <w:rsid w:val="618169B9"/>
    <w:rsid w:val="61910853"/>
    <w:rsid w:val="620D7E02"/>
    <w:rsid w:val="642D0E36"/>
    <w:rsid w:val="66E11A66"/>
    <w:rsid w:val="67562BBC"/>
    <w:rsid w:val="677D0893"/>
    <w:rsid w:val="68A06EA5"/>
    <w:rsid w:val="6AEF1CC0"/>
    <w:rsid w:val="6B451183"/>
    <w:rsid w:val="6BDC5163"/>
    <w:rsid w:val="6BFA15D8"/>
    <w:rsid w:val="6CFA3CAE"/>
    <w:rsid w:val="6D7B1257"/>
    <w:rsid w:val="6D7B1B07"/>
    <w:rsid w:val="6F52635F"/>
    <w:rsid w:val="70395277"/>
    <w:rsid w:val="707D3DEE"/>
    <w:rsid w:val="70C21BB7"/>
    <w:rsid w:val="70FD0415"/>
    <w:rsid w:val="719D186F"/>
    <w:rsid w:val="71A87408"/>
    <w:rsid w:val="721B240F"/>
    <w:rsid w:val="728A66F4"/>
    <w:rsid w:val="737678F1"/>
    <w:rsid w:val="73996C75"/>
    <w:rsid w:val="75B643BF"/>
    <w:rsid w:val="76AD4D5D"/>
    <w:rsid w:val="77D35A7E"/>
    <w:rsid w:val="780D69B2"/>
    <w:rsid w:val="79770B98"/>
    <w:rsid w:val="79BA6E1A"/>
    <w:rsid w:val="7C947A4D"/>
    <w:rsid w:val="7EA04131"/>
    <w:rsid w:val="7FD81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文鼎中隶简" w:cs="Times New Roman"/>
    </w:rPr>
  </w:style>
  <w:style w:type="paragraph" w:styleId="5">
    <w:name w:val="Normal Indent"/>
    <w:basedOn w:val="1"/>
    <w:qFormat/>
    <w:uiPriority w:val="0"/>
    <w:pPr>
      <w:ind w:firstLine="420"/>
    </w:pPr>
    <w:rPr>
      <w:kern w:val="1"/>
      <w:szCs w:val="20"/>
    </w:r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eastAsia="文鼎中隶简" w:cs="Times New Roman"/>
    </w:rPr>
  </w:style>
  <w:style w:type="paragraph" w:styleId="7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next w:val="6"/>
    <w:qFormat/>
    <w:uiPriority w:val="0"/>
    <w:rPr>
      <w:spacing w:val="1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147" w:firstLineChars="147"/>
      <w:jc w:val="both"/>
    </w:pPr>
    <w:rPr>
      <w:rFonts w:ascii="宋体" w:hAnsi="Arial" w:eastAsia="宋体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13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4527</Words>
  <Characters>5203</Characters>
  <Lines>0</Lines>
  <Paragraphs>0</Paragraphs>
  <TotalTime>28</TotalTime>
  <ScaleCrop>false</ScaleCrop>
  <LinksUpToDate>false</LinksUpToDate>
  <CharactersWithSpaces>5300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慈悲渡魂落</cp:lastModifiedBy>
  <dcterms:modified xsi:type="dcterms:W3CDTF">2020-12-28T01:12:47Z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