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1EFA" w:rsidRPr="005C78E3" w:rsidRDefault="000D07B0" w:rsidP="00FE2DB6">
      <w:pPr>
        <w:widowControl/>
        <w:spacing w:line="400" w:lineRule="exact"/>
        <w:jc w:val="center"/>
        <w:rPr>
          <w:rFonts w:eastAsia="仿宋_GB2312"/>
          <w:b/>
          <w:bCs/>
          <w:kern w:val="0"/>
          <w:sz w:val="36"/>
          <w:szCs w:val="33"/>
        </w:rPr>
      </w:pPr>
      <w:r>
        <w:rPr>
          <w:rFonts w:eastAsia="仿宋_GB2312" w:hint="eastAsia"/>
          <w:b/>
          <w:bCs/>
          <w:kern w:val="0"/>
          <w:sz w:val="36"/>
          <w:szCs w:val="33"/>
        </w:rPr>
        <w:t>广西</w:t>
      </w:r>
      <w:proofErr w:type="gramStart"/>
      <w:r>
        <w:rPr>
          <w:rFonts w:eastAsia="仿宋_GB2312" w:hint="eastAsia"/>
          <w:b/>
          <w:bCs/>
          <w:kern w:val="0"/>
          <w:sz w:val="36"/>
          <w:szCs w:val="33"/>
        </w:rPr>
        <w:t>华诚达建设项目</w:t>
      </w:r>
      <w:proofErr w:type="gramEnd"/>
      <w:r>
        <w:rPr>
          <w:rFonts w:eastAsia="仿宋_GB2312" w:hint="eastAsia"/>
          <w:b/>
          <w:bCs/>
          <w:kern w:val="0"/>
          <w:sz w:val="36"/>
          <w:szCs w:val="33"/>
        </w:rPr>
        <w:t>管理有限公司</w:t>
      </w:r>
      <w:r w:rsidR="00506FD5">
        <w:rPr>
          <w:rFonts w:eastAsia="仿宋_GB2312" w:hint="eastAsia"/>
          <w:b/>
          <w:bCs/>
          <w:kern w:val="0"/>
          <w:sz w:val="36"/>
          <w:szCs w:val="33"/>
        </w:rPr>
        <w:t>教学配套设施采购及安装</w:t>
      </w:r>
      <w:r w:rsidR="00FE2DB6" w:rsidRPr="00FE2DB6">
        <w:rPr>
          <w:rFonts w:eastAsia="仿宋_GB2312" w:hint="eastAsia"/>
          <w:b/>
          <w:bCs/>
          <w:kern w:val="0"/>
          <w:sz w:val="36"/>
          <w:szCs w:val="33"/>
        </w:rPr>
        <w:t>（</w:t>
      </w:r>
      <w:r w:rsidR="00506FD5">
        <w:rPr>
          <w:rFonts w:eastAsia="仿宋_GB2312" w:hint="eastAsia"/>
          <w:b/>
          <w:bCs/>
          <w:kern w:val="0"/>
          <w:sz w:val="36"/>
          <w:szCs w:val="33"/>
        </w:rPr>
        <w:t>LZZC2020-G1-240084-GXHC</w:t>
      </w:r>
      <w:r w:rsidR="00FE2DB6" w:rsidRPr="00FE2DB6">
        <w:rPr>
          <w:rFonts w:eastAsia="仿宋_GB2312" w:hint="eastAsia"/>
          <w:b/>
          <w:bCs/>
          <w:kern w:val="0"/>
          <w:sz w:val="36"/>
          <w:szCs w:val="33"/>
        </w:rPr>
        <w:t>）</w:t>
      </w:r>
      <w:r>
        <w:rPr>
          <w:rFonts w:eastAsia="仿宋_GB2312" w:hint="eastAsia"/>
          <w:b/>
          <w:bCs/>
          <w:kern w:val="0"/>
          <w:sz w:val="36"/>
          <w:szCs w:val="33"/>
        </w:rPr>
        <w:t>中标</w:t>
      </w:r>
      <w:r>
        <w:rPr>
          <w:rFonts w:eastAsia="仿宋_GB2312"/>
          <w:b/>
          <w:bCs/>
          <w:kern w:val="0"/>
          <w:sz w:val="36"/>
          <w:szCs w:val="33"/>
        </w:rPr>
        <w:t>公告</w:t>
      </w:r>
      <w:bookmarkStart w:id="0" w:name="OLE_LINK2"/>
      <w:bookmarkStart w:id="1" w:name="OLE_LINK1"/>
    </w:p>
    <w:p w:rsidR="00D31EFA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2" w:name="OLE_LINK4"/>
      <w:bookmarkStart w:id="3" w:name="OLE_LINK3"/>
      <w:bookmarkStart w:id="4" w:name="OLE_LINK5"/>
      <w:r>
        <w:rPr>
          <w:rFonts w:asciiTheme="majorEastAsia" w:eastAsiaTheme="majorEastAsia" w:hAnsiTheme="majorEastAsia"/>
          <w:sz w:val="28"/>
          <w:szCs w:val="28"/>
        </w:rPr>
        <w:t>广西</w:t>
      </w:r>
      <w:proofErr w:type="gramStart"/>
      <w:r>
        <w:rPr>
          <w:rFonts w:asciiTheme="majorEastAsia" w:eastAsiaTheme="majorEastAsia" w:hAnsiTheme="majorEastAsia"/>
          <w:sz w:val="28"/>
          <w:szCs w:val="28"/>
        </w:rPr>
        <w:t>华诚达建设项目</w:t>
      </w:r>
      <w:proofErr w:type="gramEnd"/>
      <w:r>
        <w:rPr>
          <w:rFonts w:asciiTheme="majorEastAsia" w:eastAsiaTheme="majorEastAsia" w:hAnsiTheme="majorEastAsia"/>
          <w:sz w:val="28"/>
          <w:szCs w:val="28"/>
        </w:rPr>
        <w:t>管理有限公司受采购单位</w:t>
      </w:r>
      <w:r w:rsidR="00506FD5">
        <w:rPr>
          <w:rFonts w:ascii="宋体" w:hAnsi="宋体" w:cs="Arial" w:hint="eastAsia"/>
          <w:sz w:val="28"/>
          <w:szCs w:val="28"/>
        </w:rPr>
        <w:t>融安县教育局</w:t>
      </w:r>
      <w:r>
        <w:rPr>
          <w:rFonts w:asciiTheme="majorEastAsia" w:eastAsiaTheme="majorEastAsia" w:hAnsiTheme="majorEastAsia"/>
          <w:sz w:val="28"/>
          <w:szCs w:val="28"/>
        </w:rPr>
        <w:t>委托，于20</w:t>
      </w:r>
      <w:r w:rsidR="00506FD5">
        <w:rPr>
          <w:rFonts w:asciiTheme="majorEastAsia" w:eastAsiaTheme="majorEastAsia" w:hAnsiTheme="majorEastAsia" w:hint="eastAsia"/>
          <w:sz w:val="28"/>
          <w:szCs w:val="28"/>
        </w:rPr>
        <w:t>21</w:t>
      </w:r>
      <w:r>
        <w:rPr>
          <w:rFonts w:asciiTheme="majorEastAsia" w:eastAsiaTheme="majorEastAsia" w:hAnsiTheme="majorEastAsia"/>
          <w:sz w:val="28"/>
          <w:szCs w:val="28"/>
        </w:rPr>
        <w:t>年</w:t>
      </w:r>
      <w:r w:rsidR="00506FD5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>月</w:t>
      </w:r>
      <w:r w:rsidR="00506FD5"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/>
          <w:sz w:val="28"/>
          <w:szCs w:val="28"/>
        </w:rPr>
        <w:t>日就</w:t>
      </w:r>
      <w:r w:rsidR="00506FD5" w:rsidRPr="00506FD5">
        <w:rPr>
          <w:rFonts w:asciiTheme="majorEastAsia" w:eastAsiaTheme="majorEastAsia" w:hAnsiTheme="majorEastAsia" w:hint="eastAsia"/>
          <w:sz w:val="28"/>
          <w:szCs w:val="28"/>
        </w:rPr>
        <w:t>教学配套设施采购及安装</w:t>
      </w:r>
      <w:r>
        <w:rPr>
          <w:rFonts w:asciiTheme="majorEastAsia" w:eastAsiaTheme="majorEastAsia" w:hAnsiTheme="majorEastAsia"/>
          <w:sz w:val="28"/>
          <w:szCs w:val="28"/>
        </w:rPr>
        <w:t>采用</w:t>
      </w:r>
      <w:r>
        <w:rPr>
          <w:rFonts w:asciiTheme="majorEastAsia" w:eastAsiaTheme="majorEastAsia" w:hAnsiTheme="majorEastAsia" w:hint="eastAsia"/>
          <w:sz w:val="28"/>
          <w:szCs w:val="28"/>
        </w:rPr>
        <w:t>公开招标方式</w:t>
      </w:r>
      <w:r>
        <w:rPr>
          <w:rFonts w:asciiTheme="majorEastAsia" w:eastAsiaTheme="majorEastAsia" w:hAnsiTheme="majorEastAsia"/>
          <w:sz w:val="28"/>
          <w:szCs w:val="28"/>
        </w:rPr>
        <w:t>采购。现将</w:t>
      </w:r>
      <w:r>
        <w:rPr>
          <w:rFonts w:asciiTheme="majorEastAsia" w:eastAsiaTheme="majorEastAsia" w:hAnsiTheme="majorEastAsia" w:hint="eastAsia"/>
          <w:sz w:val="28"/>
          <w:szCs w:val="28"/>
        </w:rPr>
        <w:t>中标</w:t>
      </w:r>
      <w:r>
        <w:rPr>
          <w:rFonts w:asciiTheme="majorEastAsia" w:eastAsiaTheme="majorEastAsia" w:hAnsiTheme="majorEastAsia"/>
          <w:sz w:val="28"/>
          <w:szCs w:val="28"/>
        </w:rPr>
        <w:t>结果公告如下：</w:t>
      </w:r>
    </w:p>
    <w:p w:rsidR="00FE2DB6" w:rsidRPr="00FE2DB6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一、项目名称：</w:t>
      </w:r>
      <w:r w:rsidR="00506FD5">
        <w:rPr>
          <w:rFonts w:asciiTheme="majorEastAsia" w:eastAsiaTheme="majorEastAsia" w:hAnsiTheme="majorEastAsia" w:hint="eastAsia"/>
          <w:sz w:val="28"/>
          <w:szCs w:val="28"/>
        </w:rPr>
        <w:t>教学配套设施采购及安装</w:t>
      </w:r>
    </w:p>
    <w:p w:rsidR="00D31EFA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二、采购编号：</w:t>
      </w:r>
      <w:r w:rsidR="00506FD5">
        <w:rPr>
          <w:rFonts w:ascii="宋体" w:hAnsi="宋体" w:hint="eastAsia"/>
          <w:color w:val="000000"/>
          <w:sz w:val="28"/>
          <w:szCs w:val="28"/>
        </w:rPr>
        <w:t>LZZC2020-G1-240084-GXHC</w:t>
      </w:r>
    </w:p>
    <w:p w:rsidR="00D31EFA" w:rsidRPr="005C78E3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三、采购内容及数量：</w:t>
      </w:r>
      <w:r w:rsidR="00506FD5">
        <w:rPr>
          <w:rFonts w:asciiTheme="majorEastAsia" w:eastAsiaTheme="majorEastAsia" w:hAnsiTheme="majorEastAsia" w:hint="eastAsia"/>
          <w:sz w:val="28"/>
          <w:szCs w:val="28"/>
        </w:rPr>
        <w:t>教学配套设施采购及安装</w:t>
      </w:r>
      <w:r w:rsidR="0066197B" w:rsidRPr="0066197B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506FD5">
        <w:rPr>
          <w:rFonts w:asciiTheme="majorEastAsia" w:eastAsiaTheme="majorEastAsia" w:hAnsiTheme="majorEastAsia" w:hint="eastAsia"/>
          <w:sz w:val="28"/>
          <w:szCs w:val="28"/>
        </w:rPr>
        <w:t>项</w:t>
      </w:r>
      <w:r w:rsidR="0066197B" w:rsidRPr="0066197B">
        <w:rPr>
          <w:rFonts w:asciiTheme="majorEastAsia" w:eastAsiaTheme="majorEastAsia" w:hAnsiTheme="majorEastAsia" w:hint="eastAsia"/>
          <w:sz w:val="28"/>
          <w:szCs w:val="28"/>
        </w:rPr>
        <w:t>。如需进一步了解详细内容，详见招标文件</w:t>
      </w:r>
      <w:r w:rsidR="00FE2DB6" w:rsidRPr="00FE2DB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31EFA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四、公告媒体及日期：</w:t>
      </w:r>
    </w:p>
    <w:p w:rsidR="00D31EFA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20</w:t>
      </w:r>
      <w:r w:rsidR="00506FD5">
        <w:rPr>
          <w:rFonts w:asciiTheme="majorEastAsia" w:eastAsiaTheme="majorEastAsia" w:hAnsiTheme="majorEastAsia" w:hint="eastAsia"/>
          <w:sz w:val="28"/>
          <w:szCs w:val="28"/>
        </w:rPr>
        <w:t>20</w:t>
      </w:r>
      <w:r>
        <w:rPr>
          <w:rFonts w:asciiTheme="majorEastAsia" w:eastAsiaTheme="majorEastAsia" w:hAnsiTheme="majorEastAsia"/>
          <w:sz w:val="28"/>
          <w:szCs w:val="28"/>
        </w:rPr>
        <w:t>年</w:t>
      </w:r>
      <w:r w:rsidR="00506FD5">
        <w:rPr>
          <w:rFonts w:asciiTheme="majorEastAsia" w:eastAsiaTheme="majorEastAsia" w:hAnsiTheme="majorEastAsia" w:hint="eastAsia"/>
          <w:sz w:val="28"/>
          <w:szCs w:val="28"/>
        </w:rPr>
        <w:t>12</w:t>
      </w:r>
      <w:r>
        <w:rPr>
          <w:rFonts w:asciiTheme="majorEastAsia" w:eastAsiaTheme="majorEastAsia" w:hAnsiTheme="majorEastAsia"/>
          <w:sz w:val="28"/>
          <w:szCs w:val="28"/>
        </w:rPr>
        <w:t>月</w:t>
      </w:r>
      <w:r w:rsidR="00506FD5">
        <w:rPr>
          <w:rFonts w:asciiTheme="majorEastAsia" w:eastAsiaTheme="majorEastAsia" w:hAnsiTheme="majorEastAsia" w:hint="eastAsia"/>
          <w:sz w:val="28"/>
          <w:szCs w:val="28"/>
        </w:rPr>
        <w:t>11</w:t>
      </w:r>
      <w:r>
        <w:rPr>
          <w:rFonts w:asciiTheme="majorEastAsia" w:eastAsiaTheme="majorEastAsia" w:hAnsiTheme="majorEastAsia"/>
          <w:sz w:val="28"/>
          <w:szCs w:val="28"/>
        </w:rPr>
        <w:t>日发布于中国政府采购网、广西壮族自治区政府采购网、柳州市政府采购网。</w:t>
      </w:r>
    </w:p>
    <w:p w:rsidR="00D31EFA" w:rsidRDefault="000D07B0" w:rsidP="005E53A8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五、评标信息：</w:t>
      </w:r>
    </w:p>
    <w:p w:rsidR="00D31EFA" w:rsidRPr="002319E0" w:rsidRDefault="000D07B0" w:rsidP="005E53A8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1、评标日期：</w:t>
      </w:r>
      <w:r w:rsidR="00506FD5">
        <w:rPr>
          <w:rFonts w:asciiTheme="majorEastAsia" w:eastAsiaTheme="majorEastAsia" w:hAnsiTheme="majorEastAsia" w:hint="eastAsia"/>
          <w:sz w:val="28"/>
          <w:szCs w:val="28"/>
        </w:rPr>
        <w:t>2021年1月5日</w:t>
      </w:r>
    </w:p>
    <w:p w:rsidR="00180975" w:rsidRDefault="000D07B0" w:rsidP="005E53A8">
      <w:pPr>
        <w:spacing w:line="400" w:lineRule="exact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319E0">
        <w:rPr>
          <w:rFonts w:asciiTheme="majorEastAsia" w:eastAsiaTheme="majorEastAsia" w:hAnsiTheme="majorEastAsia"/>
          <w:sz w:val="28"/>
          <w:szCs w:val="28"/>
        </w:rPr>
        <w:t>2、评标地点：</w:t>
      </w:r>
      <w:r w:rsidR="00180975" w:rsidRPr="00180975">
        <w:rPr>
          <w:rFonts w:asciiTheme="majorEastAsia" w:eastAsiaTheme="majorEastAsia" w:hAnsiTheme="majorEastAsia" w:hint="eastAsia"/>
          <w:sz w:val="28"/>
          <w:szCs w:val="28"/>
        </w:rPr>
        <w:t>广西柳州市三中路140号柳州市恒达巴士股份有限公司808室（广西</w:t>
      </w:r>
      <w:proofErr w:type="gramStart"/>
      <w:r w:rsidR="00180975" w:rsidRPr="00180975">
        <w:rPr>
          <w:rFonts w:asciiTheme="majorEastAsia" w:eastAsiaTheme="majorEastAsia" w:hAnsiTheme="majorEastAsia" w:hint="eastAsia"/>
          <w:sz w:val="28"/>
          <w:szCs w:val="28"/>
        </w:rPr>
        <w:t>华诚达建设项目</w:t>
      </w:r>
      <w:proofErr w:type="gramEnd"/>
      <w:r w:rsidR="00180975" w:rsidRPr="00180975">
        <w:rPr>
          <w:rFonts w:asciiTheme="majorEastAsia" w:eastAsiaTheme="majorEastAsia" w:hAnsiTheme="majorEastAsia" w:hint="eastAsia"/>
          <w:sz w:val="28"/>
          <w:szCs w:val="28"/>
        </w:rPr>
        <w:t>管理有限公司）</w:t>
      </w:r>
    </w:p>
    <w:p w:rsidR="00D31EFA" w:rsidRPr="002319E0" w:rsidRDefault="000D07B0" w:rsidP="005E53A8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bookmarkStart w:id="5" w:name="_GoBack"/>
      <w:bookmarkEnd w:id="5"/>
      <w:r w:rsidRPr="002319E0">
        <w:rPr>
          <w:rFonts w:asciiTheme="majorEastAsia" w:eastAsiaTheme="majorEastAsia" w:hAnsiTheme="majorEastAsia"/>
          <w:sz w:val="28"/>
          <w:szCs w:val="28"/>
        </w:rPr>
        <w:t>3、评委小组名单：</w:t>
      </w:r>
      <w:proofErr w:type="gramStart"/>
      <w:r w:rsidR="002319E0" w:rsidRPr="002319E0">
        <w:rPr>
          <w:rFonts w:asciiTheme="majorEastAsia" w:eastAsiaTheme="majorEastAsia" w:hAnsiTheme="majorEastAsia" w:hint="eastAsia"/>
          <w:sz w:val="28"/>
          <w:szCs w:val="28"/>
        </w:rPr>
        <w:t>邓</w:t>
      </w:r>
      <w:proofErr w:type="gramEnd"/>
      <w:r w:rsidR="002319E0" w:rsidRPr="002319E0">
        <w:rPr>
          <w:rFonts w:asciiTheme="majorEastAsia" w:eastAsiaTheme="majorEastAsia" w:hAnsiTheme="majorEastAsia" w:hint="eastAsia"/>
          <w:sz w:val="28"/>
          <w:szCs w:val="28"/>
        </w:rPr>
        <w:t xml:space="preserve"> 宁</w:t>
      </w:r>
      <w:r w:rsidRPr="002319E0">
        <w:rPr>
          <w:rFonts w:asciiTheme="majorEastAsia" w:eastAsiaTheme="majorEastAsia" w:hAnsiTheme="majorEastAsia" w:hint="eastAsia"/>
          <w:sz w:val="28"/>
          <w:szCs w:val="28"/>
        </w:rPr>
        <w:t>（组长）、</w:t>
      </w:r>
      <w:r w:rsidR="002319E0" w:rsidRPr="002319E0">
        <w:rPr>
          <w:rFonts w:asciiTheme="majorEastAsia" w:eastAsiaTheme="majorEastAsia" w:hAnsiTheme="majorEastAsia" w:hint="eastAsia"/>
          <w:sz w:val="28"/>
          <w:szCs w:val="28"/>
        </w:rPr>
        <w:t>粟 晖</w:t>
      </w:r>
      <w:r w:rsidRPr="002319E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319E0" w:rsidRPr="002319E0">
        <w:rPr>
          <w:rFonts w:asciiTheme="majorEastAsia" w:eastAsiaTheme="majorEastAsia" w:hAnsiTheme="majorEastAsia" w:hint="eastAsia"/>
          <w:sz w:val="28"/>
          <w:szCs w:val="28"/>
        </w:rPr>
        <w:t>冯昌信</w:t>
      </w:r>
      <w:r w:rsidRPr="002319E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319E0" w:rsidRPr="002319E0">
        <w:rPr>
          <w:rFonts w:asciiTheme="majorEastAsia" w:eastAsiaTheme="majorEastAsia" w:hAnsiTheme="majorEastAsia" w:hint="eastAsia"/>
          <w:sz w:val="28"/>
          <w:szCs w:val="28"/>
        </w:rPr>
        <w:t>李桂泉</w:t>
      </w:r>
      <w:r w:rsidRPr="002319E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319E0" w:rsidRPr="002319E0">
        <w:rPr>
          <w:rFonts w:asciiTheme="majorEastAsia" w:eastAsiaTheme="majorEastAsia" w:hAnsiTheme="majorEastAsia" w:hint="eastAsia"/>
          <w:bCs/>
          <w:sz w:val="28"/>
          <w:szCs w:val="28"/>
        </w:rPr>
        <w:t>贺庆文</w:t>
      </w:r>
      <w:r w:rsidRPr="002319E0">
        <w:rPr>
          <w:rFonts w:asciiTheme="majorEastAsia" w:eastAsiaTheme="majorEastAsia" w:hAnsiTheme="majorEastAsia"/>
          <w:sz w:val="28"/>
          <w:szCs w:val="28"/>
        </w:rPr>
        <w:t>（业主评委）</w:t>
      </w:r>
    </w:p>
    <w:p w:rsidR="00D31EFA" w:rsidRPr="002319E0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2319E0">
        <w:rPr>
          <w:rFonts w:asciiTheme="majorEastAsia" w:eastAsiaTheme="majorEastAsia" w:hAnsiTheme="majorEastAsia"/>
          <w:kern w:val="0"/>
          <w:sz w:val="28"/>
          <w:szCs w:val="28"/>
        </w:rPr>
        <w:t>六、</w:t>
      </w:r>
      <w:r w:rsidRPr="002319E0">
        <w:rPr>
          <w:rFonts w:asciiTheme="majorEastAsia" w:eastAsiaTheme="majorEastAsia" w:hAnsiTheme="majorEastAsia" w:hint="eastAsia"/>
          <w:sz w:val="28"/>
          <w:szCs w:val="28"/>
        </w:rPr>
        <w:t>中标</w:t>
      </w:r>
      <w:r w:rsidRPr="002319E0">
        <w:rPr>
          <w:rFonts w:asciiTheme="majorEastAsia" w:eastAsiaTheme="majorEastAsia" w:hAnsiTheme="majorEastAsia"/>
          <w:sz w:val="28"/>
          <w:szCs w:val="28"/>
        </w:rPr>
        <w:t>结果</w:t>
      </w:r>
      <w:r w:rsidRPr="002319E0">
        <w:rPr>
          <w:rFonts w:asciiTheme="majorEastAsia" w:eastAsiaTheme="majorEastAsia" w:hAnsiTheme="majorEastAsia"/>
          <w:kern w:val="0"/>
          <w:sz w:val="28"/>
          <w:szCs w:val="28"/>
        </w:rPr>
        <w:t>：</w:t>
      </w:r>
    </w:p>
    <w:p w:rsidR="00D31EFA" w:rsidRPr="002319E0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2319E0">
        <w:rPr>
          <w:rFonts w:asciiTheme="majorEastAsia" w:eastAsiaTheme="majorEastAsia" w:hAnsiTheme="majorEastAsia" w:hint="eastAsia"/>
          <w:kern w:val="0"/>
          <w:sz w:val="28"/>
          <w:szCs w:val="28"/>
        </w:rPr>
        <w:t>中标</w:t>
      </w:r>
      <w:r w:rsidRPr="002319E0">
        <w:rPr>
          <w:rFonts w:asciiTheme="majorEastAsia" w:eastAsiaTheme="majorEastAsia" w:hAnsiTheme="majorEastAsia"/>
          <w:kern w:val="0"/>
          <w:sz w:val="28"/>
          <w:szCs w:val="28"/>
        </w:rPr>
        <w:t>供应商名称：</w:t>
      </w:r>
      <w:r w:rsidR="002319E0" w:rsidRPr="002319E0">
        <w:rPr>
          <w:rFonts w:asciiTheme="majorEastAsia" w:eastAsiaTheme="majorEastAsia" w:hAnsiTheme="majorEastAsia" w:hint="eastAsia"/>
          <w:kern w:val="0"/>
          <w:sz w:val="28"/>
          <w:szCs w:val="28"/>
        </w:rPr>
        <w:t>柳州市融安县华林木业家具有限公司</w:t>
      </w:r>
    </w:p>
    <w:p w:rsidR="00D31EFA" w:rsidRPr="002319E0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2319E0">
        <w:rPr>
          <w:rFonts w:asciiTheme="majorEastAsia" w:eastAsiaTheme="majorEastAsia" w:hAnsiTheme="majorEastAsia" w:hint="eastAsia"/>
          <w:kern w:val="0"/>
          <w:sz w:val="28"/>
          <w:szCs w:val="28"/>
        </w:rPr>
        <w:t>中标</w:t>
      </w:r>
      <w:r w:rsidRPr="002319E0">
        <w:rPr>
          <w:rFonts w:asciiTheme="majorEastAsia" w:eastAsiaTheme="majorEastAsia" w:hAnsiTheme="majorEastAsia"/>
          <w:kern w:val="0"/>
          <w:sz w:val="28"/>
          <w:szCs w:val="28"/>
        </w:rPr>
        <w:t>供应商地址：</w:t>
      </w:r>
      <w:r w:rsidR="002319E0" w:rsidRPr="002319E0">
        <w:rPr>
          <w:rFonts w:asciiTheme="majorEastAsia" w:eastAsiaTheme="majorEastAsia" w:hAnsiTheme="majorEastAsia" w:hint="eastAsia"/>
          <w:kern w:val="0"/>
          <w:sz w:val="28"/>
          <w:szCs w:val="28"/>
        </w:rPr>
        <w:t>融安县浮石镇浮石工业园11号地</w:t>
      </w:r>
    </w:p>
    <w:p w:rsidR="00D31EFA" w:rsidRPr="002319E0" w:rsidRDefault="000D07B0" w:rsidP="005E53A8">
      <w:pPr>
        <w:widowControl/>
        <w:spacing w:line="4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319E0">
        <w:rPr>
          <w:rFonts w:asciiTheme="majorEastAsia" w:eastAsiaTheme="majorEastAsia" w:hAnsiTheme="majorEastAsia" w:hint="eastAsia"/>
          <w:kern w:val="0"/>
          <w:sz w:val="28"/>
          <w:szCs w:val="28"/>
        </w:rPr>
        <w:t>中标</w:t>
      </w:r>
      <w:r w:rsidRPr="002319E0">
        <w:rPr>
          <w:rFonts w:asciiTheme="majorEastAsia" w:eastAsiaTheme="majorEastAsia" w:hAnsiTheme="majorEastAsia"/>
          <w:kern w:val="0"/>
          <w:sz w:val="28"/>
          <w:szCs w:val="28"/>
        </w:rPr>
        <w:t>金额：</w:t>
      </w:r>
      <w:r w:rsidR="002319E0" w:rsidRPr="002319E0">
        <w:rPr>
          <w:rFonts w:ascii="宋体" w:hAnsi="宋体" w:hint="eastAsia"/>
          <w:sz w:val="28"/>
          <w:szCs w:val="28"/>
        </w:rPr>
        <w:t>人民币叁拾贰万玖仟捌佰元整（¥329,800.00）</w:t>
      </w:r>
    </w:p>
    <w:p w:rsidR="0066058B" w:rsidRPr="002319E0" w:rsidRDefault="00D36482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2319E0">
        <w:rPr>
          <w:rFonts w:ascii="宋体" w:hAnsi="宋体" w:hint="eastAsia"/>
          <w:sz w:val="28"/>
          <w:szCs w:val="28"/>
        </w:rPr>
        <w:t>中标标的信息</w:t>
      </w:r>
      <w:r w:rsidRPr="002319E0">
        <w:rPr>
          <w:rFonts w:asciiTheme="majorEastAsia" w:eastAsiaTheme="majorEastAsia" w:hAnsiTheme="majorEastAsia" w:hint="eastAsia"/>
          <w:bCs/>
          <w:sz w:val="28"/>
          <w:szCs w:val="28"/>
        </w:rPr>
        <w:t>：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96"/>
        <w:gridCol w:w="828"/>
        <w:gridCol w:w="1596"/>
        <w:gridCol w:w="2753"/>
        <w:gridCol w:w="1066"/>
        <w:gridCol w:w="1065"/>
      </w:tblGrid>
      <w:tr w:rsidR="002319E0" w:rsidRPr="002319E0" w:rsidTr="002319E0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r w:rsidRPr="002319E0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r w:rsidRPr="002319E0">
              <w:rPr>
                <w:rFonts w:ascii="宋体" w:hAnsi="宋体" w:hint="eastAsia"/>
                <w:sz w:val="28"/>
                <w:szCs w:val="28"/>
              </w:rPr>
              <w:t>货物名称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pStyle w:val="aa"/>
              <w:rPr>
                <w:rFonts w:ascii="宋体" w:eastAsia="宋体"/>
                <w:b w:val="0"/>
                <w:color w:val="auto"/>
                <w:sz w:val="28"/>
                <w:szCs w:val="28"/>
              </w:rPr>
            </w:pPr>
            <w:r w:rsidRPr="002319E0">
              <w:rPr>
                <w:rFonts w:ascii="宋体" w:eastAsia="宋体" w:hint="eastAsia"/>
                <w:b w:val="0"/>
                <w:color w:val="auto"/>
                <w:sz w:val="28"/>
                <w:szCs w:val="28"/>
              </w:rPr>
              <w:t>品牌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pStyle w:val="aa"/>
              <w:rPr>
                <w:rFonts w:ascii="宋体" w:eastAsia="宋体"/>
                <w:b w:val="0"/>
                <w:color w:val="auto"/>
                <w:sz w:val="28"/>
                <w:szCs w:val="28"/>
              </w:rPr>
            </w:pPr>
            <w:r w:rsidRPr="002319E0">
              <w:rPr>
                <w:rFonts w:ascii="宋体" w:eastAsia="宋体" w:hint="eastAsia"/>
                <w:b w:val="0"/>
                <w:color w:val="auto"/>
                <w:sz w:val="28"/>
                <w:szCs w:val="28"/>
              </w:rPr>
              <w:t>生产厂家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r w:rsidRPr="002319E0">
              <w:rPr>
                <w:rFonts w:ascii="宋体" w:hAnsi="宋体" w:hint="eastAsia"/>
                <w:sz w:val="28"/>
                <w:szCs w:val="28"/>
              </w:rPr>
              <w:t>规格型号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r w:rsidRPr="002319E0">
              <w:rPr>
                <w:rFonts w:ascii="宋体" w:hAnsi="宋体" w:hint="eastAsia"/>
                <w:sz w:val="28"/>
                <w:szCs w:val="28"/>
              </w:rPr>
              <w:t>单位及数量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r w:rsidRPr="002319E0">
              <w:rPr>
                <w:rFonts w:ascii="宋体" w:hAnsi="宋体" w:hint="eastAsia"/>
                <w:sz w:val="28"/>
                <w:szCs w:val="28"/>
              </w:rPr>
              <w:t>单价</w:t>
            </w:r>
          </w:p>
        </w:tc>
      </w:tr>
      <w:tr w:rsidR="002319E0" w:rsidRPr="002319E0" w:rsidTr="002319E0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r w:rsidRPr="002319E0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319E0">
              <w:rPr>
                <w:rFonts w:ascii="宋体" w:hAnsi="宋体" w:hint="eastAsia"/>
                <w:bCs/>
                <w:sz w:val="28"/>
                <w:szCs w:val="28"/>
              </w:rPr>
              <w:t>学生课桌椅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319E0">
              <w:rPr>
                <w:rFonts w:ascii="宋体" w:hAnsi="宋体" w:hint="eastAsia"/>
                <w:sz w:val="28"/>
                <w:szCs w:val="28"/>
              </w:rPr>
              <w:t>融光牌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319E0">
              <w:rPr>
                <w:rFonts w:ascii="宋体" w:hAnsi="宋体" w:cs="宋体" w:hint="eastAsia"/>
                <w:sz w:val="28"/>
                <w:szCs w:val="28"/>
              </w:rPr>
              <w:t>柳州市融安县华林木业家具有限公司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adjustRightInd w:val="0"/>
              <w:snapToGrid w:val="0"/>
              <w:spacing w:line="400" w:lineRule="exact"/>
              <w:ind w:leftChars="50" w:left="105" w:rightChars="50" w:right="105"/>
              <w:jc w:val="left"/>
              <w:rPr>
                <w:rStyle w:val="NormalCharacter"/>
                <w:rFonts w:ascii="宋体" w:hAnsi="宋体" w:cs="宋体"/>
                <w:sz w:val="28"/>
                <w:szCs w:val="28"/>
              </w:rPr>
            </w:pPr>
            <w:r w:rsidRPr="002319E0">
              <w:rPr>
                <w:rStyle w:val="NormalCharacter"/>
                <w:rFonts w:ascii="宋体" w:hAnsi="宋体" w:cs="宋体" w:hint="eastAsia"/>
                <w:sz w:val="28"/>
                <w:szCs w:val="28"/>
              </w:rPr>
              <w:t>课桌规格：L650mm×W450 mm×H760 mm;课椅规格：</w:t>
            </w:r>
            <w:proofErr w:type="gramStart"/>
            <w:r w:rsidRPr="002319E0">
              <w:rPr>
                <w:rStyle w:val="NormalCharacter"/>
                <w:rFonts w:ascii="宋体" w:hAnsi="宋体" w:cs="宋体" w:hint="eastAsia"/>
                <w:sz w:val="28"/>
                <w:szCs w:val="28"/>
              </w:rPr>
              <w:t>座宽</w:t>
            </w:r>
            <w:proofErr w:type="gramEnd"/>
            <w:r w:rsidRPr="002319E0">
              <w:rPr>
                <w:rStyle w:val="NormalCharacter"/>
                <w:rFonts w:ascii="宋体" w:hAnsi="宋体" w:cs="宋体" w:hint="eastAsia"/>
                <w:sz w:val="28"/>
                <w:szCs w:val="28"/>
              </w:rPr>
              <w:t>400mm×</w:t>
            </w:r>
            <w:proofErr w:type="gramStart"/>
            <w:r w:rsidRPr="002319E0">
              <w:rPr>
                <w:rStyle w:val="NormalCharacter"/>
                <w:rFonts w:ascii="宋体" w:hAnsi="宋体" w:cs="宋体" w:hint="eastAsia"/>
                <w:sz w:val="28"/>
                <w:szCs w:val="28"/>
              </w:rPr>
              <w:t>座深</w:t>
            </w:r>
            <w:proofErr w:type="gramEnd"/>
            <w:r w:rsidRPr="002319E0">
              <w:rPr>
                <w:rStyle w:val="NormalCharacter"/>
                <w:rFonts w:ascii="宋体" w:hAnsi="宋体" w:cs="宋体" w:hint="eastAsia"/>
                <w:sz w:val="28"/>
                <w:szCs w:val="28"/>
              </w:rPr>
              <w:t>380 mm×座高760mm</w:t>
            </w:r>
          </w:p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left"/>
              <w:rPr>
                <w:sz w:val="28"/>
                <w:szCs w:val="28"/>
              </w:rPr>
            </w:pPr>
            <w:r w:rsidRPr="002319E0">
              <w:rPr>
                <w:rStyle w:val="NormalCharacter"/>
                <w:rFonts w:ascii="宋体" w:hAnsi="宋体" w:cs="宋体" w:hint="eastAsia"/>
                <w:sz w:val="28"/>
                <w:szCs w:val="28"/>
              </w:rPr>
              <w:t>、RG-K003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r w:rsidRPr="002319E0">
              <w:rPr>
                <w:rFonts w:ascii="宋体" w:hAnsi="宋体" w:hint="eastAsia"/>
                <w:sz w:val="28"/>
                <w:szCs w:val="28"/>
              </w:rPr>
              <w:t>600套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r w:rsidRPr="002319E0">
              <w:rPr>
                <w:rFonts w:ascii="宋体" w:hAnsi="宋体" w:hint="eastAsia"/>
                <w:sz w:val="28"/>
                <w:szCs w:val="28"/>
              </w:rPr>
              <w:t>300</w:t>
            </w:r>
          </w:p>
        </w:tc>
      </w:tr>
      <w:tr w:rsidR="002319E0" w:rsidRPr="002319E0" w:rsidTr="002319E0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r w:rsidRPr="002319E0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319E0">
              <w:rPr>
                <w:rFonts w:ascii="宋体" w:hAnsi="宋体" w:hint="eastAsia"/>
                <w:bCs/>
                <w:sz w:val="28"/>
                <w:szCs w:val="28"/>
              </w:rPr>
              <w:t>双层铁架床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319E0">
              <w:rPr>
                <w:rFonts w:ascii="宋体" w:hAnsi="宋体" w:hint="eastAsia"/>
                <w:sz w:val="28"/>
                <w:szCs w:val="28"/>
              </w:rPr>
              <w:t>融光牌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319E0">
              <w:rPr>
                <w:rFonts w:ascii="宋体" w:hAnsi="宋体" w:cs="宋体" w:hint="eastAsia"/>
                <w:sz w:val="28"/>
                <w:szCs w:val="28"/>
              </w:rPr>
              <w:t>柳州市融安县华林木业家具有限公司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r w:rsidRPr="002319E0">
              <w:rPr>
                <w:rFonts w:ascii="宋体" w:hAnsi="宋体" w:cs="宋体" w:hint="eastAsia"/>
                <w:sz w:val="28"/>
                <w:szCs w:val="28"/>
              </w:rPr>
              <w:t>2000 mm×900 mm×1980mm（长×宽×高），上下床铺面间的层间净高为1000mm、RG-T009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r w:rsidRPr="002319E0">
              <w:rPr>
                <w:rFonts w:ascii="宋体" w:hAnsi="宋体" w:hint="eastAsia"/>
                <w:sz w:val="28"/>
                <w:szCs w:val="28"/>
              </w:rPr>
              <w:t>200套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E0" w:rsidRPr="002319E0" w:rsidRDefault="002319E0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/>
                <w:sz w:val="28"/>
                <w:szCs w:val="28"/>
              </w:rPr>
            </w:pPr>
            <w:r w:rsidRPr="002319E0">
              <w:rPr>
                <w:rFonts w:ascii="宋体" w:hAnsi="宋体" w:hint="eastAsia"/>
                <w:sz w:val="28"/>
                <w:szCs w:val="28"/>
              </w:rPr>
              <w:t>749</w:t>
            </w:r>
          </w:p>
        </w:tc>
      </w:tr>
    </w:tbl>
    <w:p w:rsidR="00D31EFA" w:rsidRPr="002319E0" w:rsidRDefault="000D07B0" w:rsidP="005E53A8">
      <w:pPr>
        <w:snapToGrid w:val="0"/>
        <w:spacing w:line="400" w:lineRule="exact"/>
        <w:ind w:firstLineChars="200" w:firstLine="560"/>
        <w:rPr>
          <w:rFonts w:asciiTheme="majorEastAsia" w:eastAsiaTheme="majorEastAsia" w:hAnsiTheme="majorEastAsia"/>
          <w:bCs/>
          <w:sz w:val="28"/>
          <w:szCs w:val="28"/>
        </w:rPr>
      </w:pPr>
      <w:r w:rsidRPr="002319E0">
        <w:rPr>
          <w:rFonts w:asciiTheme="majorEastAsia" w:eastAsiaTheme="majorEastAsia" w:hAnsiTheme="majorEastAsia"/>
          <w:bCs/>
          <w:sz w:val="28"/>
          <w:szCs w:val="28"/>
        </w:rPr>
        <w:lastRenderedPageBreak/>
        <w:t>七、政府采购代理本项目收费信息：</w:t>
      </w:r>
    </w:p>
    <w:p w:rsidR="00D31EFA" w:rsidRPr="002319E0" w:rsidRDefault="000D07B0" w:rsidP="005E53A8">
      <w:pPr>
        <w:snapToGrid w:val="0"/>
        <w:spacing w:line="400" w:lineRule="exact"/>
        <w:ind w:firstLineChars="200" w:firstLine="560"/>
        <w:rPr>
          <w:rFonts w:asciiTheme="majorEastAsia" w:eastAsiaTheme="majorEastAsia" w:hAnsiTheme="majorEastAsia"/>
          <w:bCs/>
          <w:sz w:val="28"/>
          <w:szCs w:val="28"/>
        </w:rPr>
      </w:pPr>
      <w:r w:rsidRPr="002319E0">
        <w:rPr>
          <w:rFonts w:asciiTheme="majorEastAsia" w:eastAsiaTheme="majorEastAsia" w:hAnsiTheme="majorEastAsia"/>
          <w:bCs/>
          <w:sz w:val="28"/>
          <w:szCs w:val="28"/>
        </w:rPr>
        <w:t>收费标准：</w:t>
      </w:r>
      <w:r w:rsidRPr="002319E0">
        <w:rPr>
          <w:rFonts w:asciiTheme="majorEastAsia" w:eastAsiaTheme="majorEastAsia" w:hAnsiTheme="majorEastAsia" w:hint="eastAsia"/>
          <w:bCs/>
          <w:sz w:val="28"/>
          <w:szCs w:val="28"/>
        </w:rPr>
        <w:t>代理服务费参照</w:t>
      </w:r>
      <w:proofErr w:type="gramStart"/>
      <w:r w:rsidR="005E53A8" w:rsidRPr="002319E0">
        <w:rPr>
          <w:rFonts w:asciiTheme="majorEastAsia" w:eastAsiaTheme="majorEastAsia" w:hAnsiTheme="majorEastAsia" w:hint="eastAsia"/>
          <w:bCs/>
          <w:sz w:val="28"/>
          <w:szCs w:val="28"/>
        </w:rPr>
        <w:t>发改价格</w:t>
      </w:r>
      <w:proofErr w:type="gramEnd"/>
      <w:r w:rsidR="005E53A8" w:rsidRPr="002319E0">
        <w:rPr>
          <w:rFonts w:asciiTheme="majorEastAsia" w:eastAsiaTheme="majorEastAsia" w:hAnsiTheme="majorEastAsia" w:hint="eastAsia"/>
          <w:bCs/>
          <w:sz w:val="28"/>
          <w:szCs w:val="28"/>
        </w:rPr>
        <w:t>[2011]534号（服务招标类）标准和财库[2018]2号文规定</w:t>
      </w:r>
      <w:r w:rsidRPr="002319E0">
        <w:rPr>
          <w:rFonts w:asciiTheme="majorEastAsia" w:eastAsiaTheme="majorEastAsia" w:hAnsiTheme="majorEastAsia" w:hint="eastAsia"/>
          <w:bCs/>
          <w:sz w:val="28"/>
          <w:szCs w:val="28"/>
        </w:rPr>
        <w:t>向中标人收取</w:t>
      </w:r>
      <w:r w:rsidRPr="002319E0">
        <w:rPr>
          <w:rFonts w:asciiTheme="majorEastAsia" w:eastAsiaTheme="majorEastAsia" w:hAnsiTheme="majorEastAsia"/>
          <w:bCs/>
          <w:sz w:val="28"/>
          <w:szCs w:val="28"/>
        </w:rPr>
        <w:t>。</w:t>
      </w:r>
    </w:p>
    <w:p w:rsidR="00D31EFA" w:rsidRPr="002319E0" w:rsidRDefault="000D07B0" w:rsidP="005E53A8">
      <w:pPr>
        <w:snapToGrid w:val="0"/>
        <w:spacing w:line="400" w:lineRule="exact"/>
        <w:ind w:firstLineChars="200" w:firstLine="560"/>
        <w:rPr>
          <w:rFonts w:asciiTheme="majorEastAsia" w:eastAsiaTheme="majorEastAsia" w:hAnsiTheme="majorEastAsia"/>
          <w:bCs/>
          <w:sz w:val="28"/>
          <w:szCs w:val="28"/>
        </w:rPr>
      </w:pPr>
      <w:r w:rsidRPr="002319E0">
        <w:rPr>
          <w:rFonts w:asciiTheme="majorEastAsia" w:eastAsiaTheme="majorEastAsia" w:hAnsiTheme="majorEastAsia"/>
          <w:bCs/>
          <w:sz w:val="28"/>
          <w:szCs w:val="28"/>
        </w:rPr>
        <w:t>收费金额：</w:t>
      </w:r>
      <w:r w:rsidR="005E53A8" w:rsidRPr="002319E0">
        <w:rPr>
          <w:rFonts w:asciiTheme="majorEastAsia" w:eastAsiaTheme="majorEastAsia" w:hAnsiTheme="majorEastAsia"/>
          <w:bCs/>
          <w:sz w:val="28"/>
          <w:szCs w:val="28"/>
        </w:rPr>
        <w:t>人民币</w:t>
      </w:r>
      <w:proofErr w:type="gramStart"/>
      <w:r w:rsidR="002319E0" w:rsidRPr="002319E0">
        <w:rPr>
          <w:rFonts w:asciiTheme="majorEastAsia" w:eastAsiaTheme="majorEastAsia" w:hAnsiTheme="majorEastAsia" w:hint="eastAsia"/>
          <w:bCs/>
          <w:sz w:val="28"/>
          <w:szCs w:val="28"/>
        </w:rPr>
        <w:t>肆仟玖佰肆拾柒</w:t>
      </w:r>
      <w:proofErr w:type="gramEnd"/>
      <w:r w:rsidR="005E53A8" w:rsidRPr="002319E0">
        <w:rPr>
          <w:rFonts w:asciiTheme="majorEastAsia" w:eastAsiaTheme="majorEastAsia" w:hAnsiTheme="majorEastAsia" w:hint="eastAsia"/>
          <w:bCs/>
          <w:sz w:val="28"/>
          <w:szCs w:val="28"/>
        </w:rPr>
        <w:t>元整</w:t>
      </w:r>
      <w:r w:rsidR="005E53A8" w:rsidRPr="002319E0">
        <w:rPr>
          <w:rFonts w:asciiTheme="majorEastAsia" w:eastAsiaTheme="majorEastAsia" w:hAnsiTheme="majorEastAsia"/>
          <w:bCs/>
          <w:sz w:val="28"/>
          <w:szCs w:val="28"/>
        </w:rPr>
        <w:t>（￥</w:t>
      </w:r>
      <w:r w:rsidR="002319E0" w:rsidRPr="002319E0">
        <w:rPr>
          <w:rFonts w:asciiTheme="majorEastAsia" w:eastAsiaTheme="majorEastAsia" w:hAnsiTheme="majorEastAsia"/>
          <w:bCs/>
          <w:sz w:val="28"/>
          <w:szCs w:val="28"/>
        </w:rPr>
        <w:t>4</w:t>
      </w:r>
      <w:r w:rsidR="002319E0" w:rsidRPr="002319E0">
        <w:rPr>
          <w:rFonts w:asciiTheme="majorEastAsia" w:eastAsiaTheme="majorEastAsia" w:hAnsiTheme="majorEastAsia" w:hint="eastAsia"/>
          <w:bCs/>
          <w:sz w:val="28"/>
          <w:szCs w:val="28"/>
        </w:rPr>
        <w:t>,</w:t>
      </w:r>
      <w:r w:rsidR="002319E0" w:rsidRPr="002319E0">
        <w:rPr>
          <w:rFonts w:asciiTheme="majorEastAsia" w:eastAsiaTheme="majorEastAsia" w:hAnsiTheme="majorEastAsia"/>
          <w:bCs/>
          <w:sz w:val="28"/>
          <w:szCs w:val="28"/>
        </w:rPr>
        <w:t>947.00</w:t>
      </w:r>
      <w:r w:rsidR="005E53A8" w:rsidRPr="002319E0">
        <w:rPr>
          <w:rFonts w:asciiTheme="majorEastAsia" w:eastAsiaTheme="majorEastAsia" w:hAnsiTheme="majorEastAsia"/>
          <w:bCs/>
          <w:sz w:val="28"/>
          <w:szCs w:val="28"/>
        </w:rPr>
        <w:t>）</w:t>
      </w:r>
    </w:p>
    <w:p w:rsidR="00D31EFA" w:rsidRDefault="000D07B0" w:rsidP="005E53A8">
      <w:pPr>
        <w:snapToGrid w:val="0"/>
        <w:spacing w:line="400" w:lineRule="exact"/>
        <w:ind w:firstLineChars="200" w:firstLine="56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kern w:val="0"/>
          <w:sz w:val="28"/>
          <w:szCs w:val="28"/>
        </w:rPr>
        <w:t>八、</w:t>
      </w:r>
      <w:r>
        <w:rPr>
          <w:rFonts w:asciiTheme="majorEastAsia" w:eastAsiaTheme="majorEastAsia" w:hAnsiTheme="majorEastAsia"/>
          <w:bCs/>
          <w:sz w:val="28"/>
          <w:szCs w:val="28"/>
        </w:rPr>
        <w:t>联系事项：</w:t>
      </w:r>
    </w:p>
    <w:p w:rsidR="00506FD5" w:rsidRPr="00506FD5" w:rsidRDefault="00506FD5" w:rsidP="00506FD5">
      <w:pPr>
        <w:snapToGrid w:val="0"/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06FD5">
        <w:rPr>
          <w:rFonts w:asciiTheme="majorEastAsia" w:eastAsiaTheme="majorEastAsia" w:hAnsiTheme="majorEastAsia" w:hint="eastAsia"/>
          <w:sz w:val="28"/>
          <w:szCs w:val="28"/>
        </w:rPr>
        <w:t xml:space="preserve">采购人：融安县教育局             </w:t>
      </w:r>
    </w:p>
    <w:p w:rsidR="00506FD5" w:rsidRPr="00506FD5" w:rsidRDefault="00506FD5" w:rsidP="00506FD5">
      <w:pPr>
        <w:snapToGrid w:val="0"/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06FD5">
        <w:rPr>
          <w:rFonts w:asciiTheme="majorEastAsia" w:eastAsiaTheme="majorEastAsia" w:hAnsiTheme="majorEastAsia" w:hint="eastAsia"/>
          <w:sz w:val="28"/>
          <w:szCs w:val="28"/>
        </w:rPr>
        <w:t>地址：融安县长安镇立新街221号</w:t>
      </w:r>
    </w:p>
    <w:p w:rsidR="0066197B" w:rsidRPr="0066197B" w:rsidRDefault="00506FD5" w:rsidP="00506FD5">
      <w:pPr>
        <w:snapToGrid w:val="0"/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06FD5">
        <w:rPr>
          <w:rFonts w:asciiTheme="majorEastAsia" w:eastAsiaTheme="majorEastAsia" w:hAnsiTheme="majorEastAsia" w:hint="eastAsia"/>
          <w:sz w:val="28"/>
          <w:szCs w:val="28"/>
        </w:rPr>
        <w:t>联系人：贺庆文              联系电话：0772-8134341</w:t>
      </w:r>
    </w:p>
    <w:p w:rsidR="00D31EFA" w:rsidRDefault="000D07B0" w:rsidP="005E53A8">
      <w:pPr>
        <w:snapToGrid w:val="0"/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采购代理机构：广西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华诚达建设项目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管理有限公司</w:t>
      </w:r>
    </w:p>
    <w:p w:rsidR="00D31EFA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地址：广西柳州市三中路140号柳州市恒达巴士股份有限公司1001室</w:t>
      </w:r>
    </w:p>
    <w:p w:rsidR="00D31EFA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联系人：</w:t>
      </w:r>
      <w:r w:rsidR="007514B9" w:rsidRPr="007514B9">
        <w:rPr>
          <w:rFonts w:asciiTheme="majorEastAsia" w:eastAsiaTheme="majorEastAsia" w:hAnsiTheme="majorEastAsia" w:hint="eastAsia"/>
          <w:sz w:val="28"/>
          <w:szCs w:val="28"/>
        </w:rPr>
        <w:t>李秉山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电话/传真：0772-2127188/0772-2127288</w:t>
      </w:r>
    </w:p>
    <w:p w:rsidR="00506FD5" w:rsidRDefault="00506FD5" w:rsidP="00506FD5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政府采购监督管理部门信息</w:t>
      </w:r>
    </w:p>
    <w:p w:rsidR="00506FD5" w:rsidRDefault="00506FD5" w:rsidP="00506FD5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名称：</w:t>
      </w:r>
      <w:r>
        <w:rPr>
          <w:rFonts w:ascii="宋体" w:hAnsi="宋体" w:cs="Arial" w:hint="eastAsia"/>
          <w:sz w:val="28"/>
          <w:szCs w:val="28"/>
        </w:rPr>
        <w:t>融安县政府采购管理办公室</w:t>
      </w:r>
    </w:p>
    <w:p w:rsidR="007514B9" w:rsidRPr="007514B9" w:rsidRDefault="00506FD5" w:rsidP="00506FD5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/>
          <w:sz w:val="28"/>
          <w:szCs w:val="28"/>
        </w:rPr>
        <w:t>0772-8130499</w:t>
      </w:r>
    </w:p>
    <w:p w:rsidR="00D31EFA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/>
          <w:kern w:val="0"/>
          <w:sz w:val="28"/>
          <w:szCs w:val="28"/>
        </w:rPr>
        <w:t>九、公告说明：</w:t>
      </w:r>
    </w:p>
    <w:p w:rsidR="00D31EFA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中标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公告期限：自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中标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公告发布之日起一个工作日。</w:t>
      </w:r>
    </w:p>
    <w:p w:rsidR="00D31EFA" w:rsidRDefault="000D07B0" w:rsidP="005E53A8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/>
          <w:kern w:val="0"/>
          <w:sz w:val="28"/>
          <w:szCs w:val="28"/>
        </w:rPr>
        <w:t>各有关当事人对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中标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结果有异议的，可以在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中标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公告期限届满之日起七个工作日内以书面形式向广西</w:t>
      </w:r>
      <w:proofErr w:type="gramStart"/>
      <w:r>
        <w:rPr>
          <w:rFonts w:asciiTheme="majorEastAsia" w:eastAsiaTheme="majorEastAsia" w:hAnsiTheme="majorEastAsia"/>
          <w:kern w:val="0"/>
          <w:sz w:val="28"/>
          <w:szCs w:val="28"/>
        </w:rPr>
        <w:t>华诚达建设项目</w:t>
      </w:r>
      <w:proofErr w:type="gramEnd"/>
      <w:r>
        <w:rPr>
          <w:rFonts w:asciiTheme="majorEastAsia" w:eastAsiaTheme="majorEastAsia" w:hAnsiTheme="majorEastAsia"/>
          <w:kern w:val="0"/>
          <w:sz w:val="28"/>
          <w:szCs w:val="28"/>
        </w:rPr>
        <w:t>管理有限公司提出质疑，逾期将不再受理。</w:t>
      </w:r>
    </w:p>
    <w:bookmarkEnd w:id="2"/>
    <w:p w:rsidR="00D31EFA" w:rsidRDefault="00D31EFA" w:rsidP="005E53A8">
      <w:pPr>
        <w:widowControl/>
        <w:spacing w:line="400" w:lineRule="exact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D31EFA" w:rsidRDefault="00D31EFA" w:rsidP="005E53A8">
      <w:pPr>
        <w:widowControl/>
        <w:spacing w:line="400" w:lineRule="exact"/>
        <w:ind w:right="105"/>
        <w:jc w:val="right"/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D31EFA" w:rsidRDefault="000D07B0" w:rsidP="005E53A8">
      <w:pPr>
        <w:widowControl/>
        <w:spacing w:line="4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 广西</w:t>
      </w:r>
      <w:proofErr w:type="gramStart"/>
      <w:r>
        <w:rPr>
          <w:rFonts w:asciiTheme="majorEastAsia" w:eastAsiaTheme="majorEastAsia" w:hAnsiTheme="majorEastAsia"/>
          <w:sz w:val="28"/>
          <w:szCs w:val="28"/>
        </w:rPr>
        <w:t>华诚达建设项目</w:t>
      </w:r>
      <w:proofErr w:type="gramEnd"/>
      <w:r>
        <w:rPr>
          <w:rFonts w:asciiTheme="majorEastAsia" w:eastAsiaTheme="majorEastAsia" w:hAnsiTheme="majorEastAsia"/>
          <w:sz w:val="28"/>
          <w:szCs w:val="28"/>
        </w:rPr>
        <w:t>管理有限公司</w:t>
      </w:r>
    </w:p>
    <w:bookmarkEnd w:id="0"/>
    <w:bookmarkEnd w:id="1"/>
    <w:p w:rsidR="00D31EFA" w:rsidRPr="00D533DB" w:rsidRDefault="000D07B0" w:rsidP="005E53A8">
      <w:pPr>
        <w:widowControl/>
        <w:spacing w:line="400" w:lineRule="exact"/>
        <w:jc w:val="right"/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</w:pPr>
      <w:r w:rsidRPr="00D533DB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20</w:t>
      </w:r>
      <w:r w:rsidR="00506FD5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21</w:t>
      </w:r>
      <w:r w:rsidRPr="00D533DB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年</w:t>
      </w:r>
      <w:r w:rsidR="0066197B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1</w:t>
      </w:r>
      <w:r w:rsidRPr="004A2C88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月</w:t>
      </w:r>
      <w:r w:rsidR="00506FD5" w:rsidRPr="00506FD5">
        <w:rPr>
          <w:rFonts w:asciiTheme="majorEastAsia" w:eastAsiaTheme="majorEastAsia" w:hAnsiTheme="majorEastAsia" w:hint="eastAsia"/>
          <w:color w:val="FF0000"/>
          <w:kern w:val="0"/>
          <w:sz w:val="28"/>
          <w:szCs w:val="28"/>
        </w:rPr>
        <w:t>5</w:t>
      </w:r>
      <w:r w:rsidRPr="00506FD5">
        <w:rPr>
          <w:rFonts w:asciiTheme="majorEastAsia" w:eastAsiaTheme="majorEastAsia" w:hAnsiTheme="majorEastAsia" w:hint="eastAsia"/>
          <w:color w:val="FF0000"/>
          <w:kern w:val="0"/>
          <w:sz w:val="28"/>
          <w:szCs w:val="28"/>
        </w:rPr>
        <w:t>日</w:t>
      </w:r>
      <w:bookmarkEnd w:id="3"/>
      <w:bookmarkEnd w:id="4"/>
    </w:p>
    <w:sectPr w:rsidR="00D31EFA" w:rsidRPr="00D533DB" w:rsidSect="00D31EFA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E4" w:rsidRDefault="00506EE4" w:rsidP="00D31EFA">
      <w:r>
        <w:separator/>
      </w:r>
    </w:p>
  </w:endnote>
  <w:endnote w:type="continuationSeparator" w:id="0">
    <w:p w:rsidR="00506EE4" w:rsidRDefault="00506EE4" w:rsidP="00D3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E4" w:rsidRDefault="00506EE4" w:rsidP="00D31EFA">
      <w:r>
        <w:separator/>
      </w:r>
    </w:p>
  </w:footnote>
  <w:footnote w:type="continuationSeparator" w:id="0">
    <w:p w:rsidR="00506EE4" w:rsidRDefault="00506EE4" w:rsidP="00D31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FA" w:rsidRDefault="00D31EF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D31"/>
    <w:rsid w:val="00020E63"/>
    <w:rsid w:val="000264B2"/>
    <w:rsid w:val="00030FE7"/>
    <w:rsid w:val="000323F9"/>
    <w:rsid w:val="00035AD8"/>
    <w:rsid w:val="00046C20"/>
    <w:rsid w:val="00050511"/>
    <w:rsid w:val="00054ACA"/>
    <w:rsid w:val="0007489A"/>
    <w:rsid w:val="00086E84"/>
    <w:rsid w:val="00091DC2"/>
    <w:rsid w:val="00095F50"/>
    <w:rsid w:val="000A08EE"/>
    <w:rsid w:val="000A2F71"/>
    <w:rsid w:val="000B2A67"/>
    <w:rsid w:val="000B5BA8"/>
    <w:rsid w:val="000D07B0"/>
    <w:rsid w:val="000D0980"/>
    <w:rsid w:val="000D1048"/>
    <w:rsid w:val="000D3289"/>
    <w:rsid w:val="000D5416"/>
    <w:rsid w:val="000D5928"/>
    <w:rsid w:val="000D5BF0"/>
    <w:rsid w:val="000D7377"/>
    <w:rsid w:val="000E1159"/>
    <w:rsid w:val="000E5CEB"/>
    <w:rsid w:val="000E76FA"/>
    <w:rsid w:val="000F464A"/>
    <w:rsid w:val="001141F2"/>
    <w:rsid w:val="001171F6"/>
    <w:rsid w:val="00127EB2"/>
    <w:rsid w:val="00154A1E"/>
    <w:rsid w:val="00155C2F"/>
    <w:rsid w:val="00161DC1"/>
    <w:rsid w:val="00163C68"/>
    <w:rsid w:val="00165402"/>
    <w:rsid w:val="00172A27"/>
    <w:rsid w:val="00180975"/>
    <w:rsid w:val="001820FB"/>
    <w:rsid w:val="001845B1"/>
    <w:rsid w:val="00185FEA"/>
    <w:rsid w:val="00190292"/>
    <w:rsid w:val="001A4EB5"/>
    <w:rsid w:val="001B29C2"/>
    <w:rsid w:val="001C5F3E"/>
    <w:rsid w:val="001C6857"/>
    <w:rsid w:val="001D0D91"/>
    <w:rsid w:val="001E1F32"/>
    <w:rsid w:val="001E61FC"/>
    <w:rsid w:val="001F16B5"/>
    <w:rsid w:val="001F32C7"/>
    <w:rsid w:val="001F412B"/>
    <w:rsid w:val="001F6449"/>
    <w:rsid w:val="002020C3"/>
    <w:rsid w:val="00204FE4"/>
    <w:rsid w:val="00205068"/>
    <w:rsid w:val="00205953"/>
    <w:rsid w:val="0022665B"/>
    <w:rsid w:val="002319E0"/>
    <w:rsid w:val="00231CD4"/>
    <w:rsid w:val="00265751"/>
    <w:rsid w:val="00275D4E"/>
    <w:rsid w:val="00286605"/>
    <w:rsid w:val="00295439"/>
    <w:rsid w:val="00297511"/>
    <w:rsid w:val="002A4FC1"/>
    <w:rsid w:val="002A5CD9"/>
    <w:rsid w:val="002B36E7"/>
    <w:rsid w:val="002C1AC0"/>
    <w:rsid w:val="002D70EC"/>
    <w:rsid w:val="00306CFE"/>
    <w:rsid w:val="00311F7D"/>
    <w:rsid w:val="0031262C"/>
    <w:rsid w:val="00315892"/>
    <w:rsid w:val="00317BB8"/>
    <w:rsid w:val="0032645A"/>
    <w:rsid w:val="00332172"/>
    <w:rsid w:val="00345CB8"/>
    <w:rsid w:val="0035011B"/>
    <w:rsid w:val="003565E1"/>
    <w:rsid w:val="00360C87"/>
    <w:rsid w:val="003671FF"/>
    <w:rsid w:val="00371824"/>
    <w:rsid w:val="0037530E"/>
    <w:rsid w:val="003766BF"/>
    <w:rsid w:val="00381F95"/>
    <w:rsid w:val="003857AB"/>
    <w:rsid w:val="003902DC"/>
    <w:rsid w:val="003A02FE"/>
    <w:rsid w:val="003A22D8"/>
    <w:rsid w:val="003B03BA"/>
    <w:rsid w:val="003B1BE0"/>
    <w:rsid w:val="003B22B8"/>
    <w:rsid w:val="003C3AC9"/>
    <w:rsid w:val="003D4AB6"/>
    <w:rsid w:val="003E521A"/>
    <w:rsid w:val="003F3BA3"/>
    <w:rsid w:val="00405220"/>
    <w:rsid w:val="00406094"/>
    <w:rsid w:val="0040718F"/>
    <w:rsid w:val="00410E79"/>
    <w:rsid w:val="00421E74"/>
    <w:rsid w:val="00422710"/>
    <w:rsid w:val="00425AA2"/>
    <w:rsid w:val="00431931"/>
    <w:rsid w:val="00441E11"/>
    <w:rsid w:val="00454970"/>
    <w:rsid w:val="00464340"/>
    <w:rsid w:val="00470F9F"/>
    <w:rsid w:val="00471F15"/>
    <w:rsid w:val="00473ADA"/>
    <w:rsid w:val="004840D5"/>
    <w:rsid w:val="00491A04"/>
    <w:rsid w:val="0049264C"/>
    <w:rsid w:val="0049509E"/>
    <w:rsid w:val="004A14AD"/>
    <w:rsid w:val="004A2C88"/>
    <w:rsid w:val="004B2283"/>
    <w:rsid w:val="004C4231"/>
    <w:rsid w:val="004E2440"/>
    <w:rsid w:val="00500EBA"/>
    <w:rsid w:val="00506EE4"/>
    <w:rsid w:val="00506FD5"/>
    <w:rsid w:val="005072BF"/>
    <w:rsid w:val="0050761E"/>
    <w:rsid w:val="00512D6D"/>
    <w:rsid w:val="00513D4C"/>
    <w:rsid w:val="00527544"/>
    <w:rsid w:val="0053194B"/>
    <w:rsid w:val="00537749"/>
    <w:rsid w:val="00543140"/>
    <w:rsid w:val="00551644"/>
    <w:rsid w:val="0055366A"/>
    <w:rsid w:val="0055467E"/>
    <w:rsid w:val="0056306A"/>
    <w:rsid w:val="00565283"/>
    <w:rsid w:val="00574AC4"/>
    <w:rsid w:val="00575AAC"/>
    <w:rsid w:val="005826C6"/>
    <w:rsid w:val="00594DBC"/>
    <w:rsid w:val="005A51BB"/>
    <w:rsid w:val="005B4143"/>
    <w:rsid w:val="005B4F2D"/>
    <w:rsid w:val="005B73DE"/>
    <w:rsid w:val="005C6F3F"/>
    <w:rsid w:val="005C78E3"/>
    <w:rsid w:val="005C793D"/>
    <w:rsid w:val="005D25FF"/>
    <w:rsid w:val="005E53A8"/>
    <w:rsid w:val="005E55E8"/>
    <w:rsid w:val="005E73DD"/>
    <w:rsid w:val="005E7CAA"/>
    <w:rsid w:val="005F4646"/>
    <w:rsid w:val="005F7CD7"/>
    <w:rsid w:val="00601294"/>
    <w:rsid w:val="00602EF0"/>
    <w:rsid w:val="0060310A"/>
    <w:rsid w:val="00627DCD"/>
    <w:rsid w:val="006367B2"/>
    <w:rsid w:val="00641481"/>
    <w:rsid w:val="0066058B"/>
    <w:rsid w:val="0066197B"/>
    <w:rsid w:val="006724B0"/>
    <w:rsid w:val="00673299"/>
    <w:rsid w:val="006762F1"/>
    <w:rsid w:val="006833A6"/>
    <w:rsid w:val="00683612"/>
    <w:rsid w:val="006901AE"/>
    <w:rsid w:val="00695C30"/>
    <w:rsid w:val="0069603E"/>
    <w:rsid w:val="006A0A72"/>
    <w:rsid w:val="006A67C6"/>
    <w:rsid w:val="006A70C3"/>
    <w:rsid w:val="006A7978"/>
    <w:rsid w:val="006B69AA"/>
    <w:rsid w:val="006C114C"/>
    <w:rsid w:val="006D2C31"/>
    <w:rsid w:val="006D65E4"/>
    <w:rsid w:val="006E5B58"/>
    <w:rsid w:val="006E5E50"/>
    <w:rsid w:val="006F0007"/>
    <w:rsid w:val="006F5834"/>
    <w:rsid w:val="006F5C01"/>
    <w:rsid w:val="007156B0"/>
    <w:rsid w:val="00720071"/>
    <w:rsid w:val="00722520"/>
    <w:rsid w:val="0073274D"/>
    <w:rsid w:val="00734B32"/>
    <w:rsid w:val="00735DE5"/>
    <w:rsid w:val="007514B9"/>
    <w:rsid w:val="00761405"/>
    <w:rsid w:val="00774378"/>
    <w:rsid w:val="00775577"/>
    <w:rsid w:val="00783E28"/>
    <w:rsid w:val="00786C0B"/>
    <w:rsid w:val="007976AC"/>
    <w:rsid w:val="007A44F3"/>
    <w:rsid w:val="007B0F67"/>
    <w:rsid w:val="007B42C5"/>
    <w:rsid w:val="007D1204"/>
    <w:rsid w:val="007D158D"/>
    <w:rsid w:val="007D6B95"/>
    <w:rsid w:val="007E0F13"/>
    <w:rsid w:val="007E48A8"/>
    <w:rsid w:val="007E6F45"/>
    <w:rsid w:val="007F2EEF"/>
    <w:rsid w:val="007F454A"/>
    <w:rsid w:val="007F563F"/>
    <w:rsid w:val="00802EF2"/>
    <w:rsid w:val="0080600E"/>
    <w:rsid w:val="00811659"/>
    <w:rsid w:val="00816ACF"/>
    <w:rsid w:val="00822B91"/>
    <w:rsid w:val="0083554F"/>
    <w:rsid w:val="00836BCF"/>
    <w:rsid w:val="008467B5"/>
    <w:rsid w:val="00850E1F"/>
    <w:rsid w:val="00852DA0"/>
    <w:rsid w:val="0085444A"/>
    <w:rsid w:val="008609B8"/>
    <w:rsid w:val="00867562"/>
    <w:rsid w:val="008707AF"/>
    <w:rsid w:val="008C2F32"/>
    <w:rsid w:val="008E520A"/>
    <w:rsid w:val="008F280F"/>
    <w:rsid w:val="00915F8A"/>
    <w:rsid w:val="00917908"/>
    <w:rsid w:val="00920E68"/>
    <w:rsid w:val="0092495B"/>
    <w:rsid w:val="00924D97"/>
    <w:rsid w:val="0093480E"/>
    <w:rsid w:val="00936911"/>
    <w:rsid w:val="00962E90"/>
    <w:rsid w:val="00983B7F"/>
    <w:rsid w:val="0098529F"/>
    <w:rsid w:val="00991079"/>
    <w:rsid w:val="009A2A4A"/>
    <w:rsid w:val="009B2916"/>
    <w:rsid w:val="009B5006"/>
    <w:rsid w:val="009C4495"/>
    <w:rsid w:val="009D01BF"/>
    <w:rsid w:val="009D6D91"/>
    <w:rsid w:val="009E7892"/>
    <w:rsid w:val="009F172C"/>
    <w:rsid w:val="009F1B6C"/>
    <w:rsid w:val="00A00CDA"/>
    <w:rsid w:val="00A12846"/>
    <w:rsid w:val="00A131AA"/>
    <w:rsid w:val="00A13B5B"/>
    <w:rsid w:val="00A33CC7"/>
    <w:rsid w:val="00A3551E"/>
    <w:rsid w:val="00A4013A"/>
    <w:rsid w:val="00A463C4"/>
    <w:rsid w:val="00A53ECE"/>
    <w:rsid w:val="00A612FF"/>
    <w:rsid w:val="00A66823"/>
    <w:rsid w:val="00A77D8A"/>
    <w:rsid w:val="00A80A86"/>
    <w:rsid w:val="00A84085"/>
    <w:rsid w:val="00A8664C"/>
    <w:rsid w:val="00A96A03"/>
    <w:rsid w:val="00AA02D4"/>
    <w:rsid w:val="00AA40A7"/>
    <w:rsid w:val="00AA697D"/>
    <w:rsid w:val="00AB249B"/>
    <w:rsid w:val="00AB4BC8"/>
    <w:rsid w:val="00AB5738"/>
    <w:rsid w:val="00AB71BD"/>
    <w:rsid w:val="00AC3A1D"/>
    <w:rsid w:val="00AC51A8"/>
    <w:rsid w:val="00AE3A92"/>
    <w:rsid w:val="00AE4040"/>
    <w:rsid w:val="00AE4DAA"/>
    <w:rsid w:val="00AF1F20"/>
    <w:rsid w:val="00AF7996"/>
    <w:rsid w:val="00B0003F"/>
    <w:rsid w:val="00B154BB"/>
    <w:rsid w:val="00B22B6F"/>
    <w:rsid w:val="00B27F6A"/>
    <w:rsid w:val="00B35556"/>
    <w:rsid w:val="00B46345"/>
    <w:rsid w:val="00B5205D"/>
    <w:rsid w:val="00B63ABE"/>
    <w:rsid w:val="00B642C4"/>
    <w:rsid w:val="00B7082D"/>
    <w:rsid w:val="00B81AFB"/>
    <w:rsid w:val="00BA0A38"/>
    <w:rsid w:val="00BA4F84"/>
    <w:rsid w:val="00BA6C3A"/>
    <w:rsid w:val="00BA7731"/>
    <w:rsid w:val="00BB33F8"/>
    <w:rsid w:val="00BB5942"/>
    <w:rsid w:val="00BB595F"/>
    <w:rsid w:val="00BE3E13"/>
    <w:rsid w:val="00BF6476"/>
    <w:rsid w:val="00C01339"/>
    <w:rsid w:val="00C05D69"/>
    <w:rsid w:val="00C0674B"/>
    <w:rsid w:val="00C077A6"/>
    <w:rsid w:val="00C1138F"/>
    <w:rsid w:val="00C21750"/>
    <w:rsid w:val="00C25E4D"/>
    <w:rsid w:val="00C274B4"/>
    <w:rsid w:val="00C44CD5"/>
    <w:rsid w:val="00C44F75"/>
    <w:rsid w:val="00C5166D"/>
    <w:rsid w:val="00C546B2"/>
    <w:rsid w:val="00C561E7"/>
    <w:rsid w:val="00C60CD6"/>
    <w:rsid w:val="00C61834"/>
    <w:rsid w:val="00CA01A7"/>
    <w:rsid w:val="00CA03CA"/>
    <w:rsid w:val="00CA2E90"/>
    <w:rsid w:val="00CA3BA5"/>
    <w:rsid w:val="00CA6346"/>
    <w:rsid w:val="00CA7879"/>
    <w:rsid w:val="00CC20F9"/>
    <w:rsid w:val="00CD441B"/>
    <w:rsid w:val="00CE18D5"/>
    <w:rsid w:val="00CE4FAB"/>
    <w:rsid w:val="00CE545D"/>
    <w:rsid w:val="00CE6D36"/>
    <w:rsid w:val="00CF0304"/>
    <w:rsid w:val="00D2396B"/>
    <w:rsid w:val="00D31EFA"/>
    <w:rsid w:val="00D35AB1"/>
    <w:rsid w:val="00D36482"/>
    <w:rsid w:val="00D40006"/>
    <w:rsid w:val="00D406A1"/>
    <w:rsid w:val="00D453E1"/>
    <w:rsid w:val="00D516F3"/>
    <w:rsid w:val="00D533DB"/>
    <w:rsid w:val="00D6048D"/>
    <w:rsid w:val="00D661B7"/>
    <w:rsid w:val="00D73223"/>
    <w:rsid w:val="00D80905"/>
    <w:rsid w:val="00DA245C"/>
    <w:rsid w:val="00DC648D"/>
    <w:rsid w:val="00DD1BAA"/>
    <w:rsid w:val="00DE00B3"/>
    <w:rsid w:val="00DE65B7"/>
    <w:rsid w:val="00DF29BD"/>
    <w:rsid w:val="00DF55B1"/>
    <w:rsid w:val="00E1239A"/>
    <w:rsid w:val="00E12E84"/>
    <w:rsid w:val="00E14EB2"/>
    <w:rsid w:val="00E16E94"/>
    <w:rsid w:val="00E2341F"/>
    <w:rsid w:val="00E30E0B"/>
    <w:rsid w:val="00E419DC"/>
    <w:rsid w:val="00E41A17"/>
    <w:rsid w:val="00E45D88"/>
    <w:rsid w:val="00E5064E"/>
    <w:rsid w:val="00E57CD7"/>
    <w:rsid w:val="00E63DC9"/>
    <w:rsid w:val="00E63E99"/>
    <w:rsid w:val="00E646B5"/>
    <w:rsid w:val="00E716BC"/>
    <w:rsid w:val="00E75A2E"/>
    <w:rsid w:val="00E82072"/>
    <w:rsid w:val="00EB4CA3"/>
    <w:rsid w:val="00EC160D"/>
    <w:rsid w:val="00EC2E0B"/>
    <w:rsid w:val="00ED6B5A"/>
    <w:rsid w:val="00EE3830"/>
    <w:rsid w:val="00F061BE"/>
    <w:rsid w:val="00F0770A"/>
    <w:rsid w:val="00F135F1"/>
    <w:rsid w:val="00F160E8"/>
    <w:rsid w:val="00F20197"/>
    <w:rsid w:val="00F249A3"/>
    <w:rsid w:val="00F25980"/>
    <w:rsid w:val="00F32CEA"/>
    <w:rsid w:val="00F3595A"/>
    <w:rsid w:val="00F4685F"/>
    <w:rsid w:val="00F509BA"/>
    <w:rsid w:val="00F54B0C"/>
    <w:rsid w:val="00F715C7"/>
    <w:rsid w:val="00F83070"/>
    <w:rsid w:val="00F8338A"/>
    <w:rsid w:val="00F85B7B"/>
    <w:rsid w:val="00F869E8"/>
    <w:rsid w:val="00F878A7"/>
    <w:rsid w:val="00F936CA"/>
    <w:rsid w:val="00F9403A"/>
    <w:rsid w:val="00F95F15"/>
    <w:rsid w:val="00FA06D7"/>
    <w:rsid w:val="00FC3622"/>
    <w:rsid w:val="00FC60AD"/>
    <w:rsid w:val="00FC7665"/>
    <w:rsid w:val="00FD4B7D"/>
    <w:rsid w:val="00FE2DB6"/>
    <w:rsid w:val="00FF4239"/>
    <w:rsid w:val="7E57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EF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D31EFA"/>
    <w:pPr>
      <w:shd w:val="clear" w:color="auto" w:fill="000080"/>
    </w:pPr>
  </w:style>
  <w:style w:type="paragraph" w:styleId="a4">
    <w:name w:val="Plain Text"/>
    <w:basedOn w:val="a"/>
    <w:rsid w:val="00D31EFA"/>
    <w:rPr>
      <w:rFonts w:ascii="宋体" w:hAnsi="Courier New"/>
    </w:rPr>
  </w:style>
  <w:style w:type="paragraph" w:styleId="a5">
    <w:name w:val="footer"/>
    <w:basedOn w:val="a"/>
    <w:rsid w:val="00D31E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rsid w:val="00D31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31EF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8">
    <w:name w:val="page number"/>
    <w:basedOn w:val="a0"/>
    <w:rsid w:val="00D31EFA"/>
  </w:style>
  <w:style w:type="paragraph" w:customStyle="1" w:styleId="Char0">
    <w:name w:val="Char"/>
    <w:basedOn w:val="a3"/>
    <w:rsid w:val="00D31EFA"/>
    <w:pPr>
      <w:widowControl/>
      <w:ind w:firstLine="454"/>
      <w:jc w:val="left"/>
    </w:pPr>
  </w:style>
  <w:style w:type="paragraph" w:customStyle="1" w:styleId="Char1">
    <w:name w:val="Char1"/>
    <w:basedOn w:val="a3"/>
    <w:rsid w:val="00D31EFA"/>
    <w:pPr>
      <w:widowControl/>
      <w:ind w:firstLine="454"/>
      <w:jc w:val="left"/>
    </w:pPr>
    <w:rPr>
      <w:rFonts w:ascii="Tahoma" w:hAnsi="Tahoma" w:cs="宋体"/>
      <w:kern w:val="0"/>
      <w:sz w:val="24"/>
    </w:rPr>
  </w:style>
  <w:style w:type="character" w:customStyle="1" w:styleId="Char">
    <w:name w:val="页眉 Char"/>
    <w:basedOn w:val="a0"/>
    <w:link w:val="a6"/>
    <w:rsid w:val="00D31EFA"/>
    <w:rPr>
      <w:kern w:val="2"/>
      <w:sz w:val="18"/>
      <w:szCs w:val="18"/>
    </w:rPr>
  </w:style>
  <w:style w:type="paragraph" w:customStyle="1" w:styleId="a9">
    <w:name w:val="正文段"/>
    <w:basedOn w:val="a"/>
    <w:rsid w:val="00D31EFA"/>
    <w:pPr>
      <w:widowControl/>
      <w:snapToGrid w:val="0"/>
      <w:spacing w:afterLines="50"/>
      <w:ind w:firstLineChars="200" w:firstLine="200"/>
    </w:pPr>
    <w:rPr>
      <w:kern w:val="0"/>
      <w:sz w:val="24"/>
    </w:rPr>
  </w:style>
  <w:style w:type="paragraph" w:customStyle="1" w:styleId="aa">
    <w:name w:val="表内文字"/>
    <w:basedOn w:val="a"/>
    <w:autoRedefine/>
    <w:rsid w:val="002319E0"/>
    <w:pPr>
      <w:snapToGrid w:val="0"/>
      <w:spacing w:before="50" w:after="50"/>
      <w:jc w:val="center"/>
    </w:pPr>
    <w:rPr>
      <w:rFonts w:ascii="仿宋_GB2312" w:eastAsia="仿宋_GB2312" w:hAnsi="宋体"/>
      <w:b/>
      <w:color w:val="000000"/>
      <w:sz w:val="32"/>
      <w:szCs w:val="32"/>
    </w:rPr>
  </w:style>
  <w:style w:type="character" w:customStyle="1" w:styleId="NormalCharacter">
    <w:name w:val="NormalCharacter"/>
    <w:rsid w:val="00231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888</Words>
  <Characters>312</Characters>
  <Application>Microsoft Office Word</Application>
  <DocSecurity>0</DocSecurity>
  <Lines>2</Lines>
  <Paragraphs>2</Paragraphs>
  <ScaleCrop>false</ScaleCrop>
  <Company>微软中国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广西科文招标有限公司</dc:title>
  <dc:creator>微软用户</dc:creator>
  <cp:lastModifiedBy>wimxt.com</cp:lastModifiedBy>
  <cp:revision>43</cp:revision>
  <cp:lastPrinted>2019-04-10T09:03:00Z</cp:lastPrinted>
  <dcterms:created xsi:type="dcterms:W3CDTF">2019-04-10T09:10:00Z</dcterms:created>
  <dcterms:modified xsi:type="dcterms:W3CDTF">2021-01-05T07:36:00Z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