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50"/>
        <w:rPr>
          <w:rFonts w:ascii="宋体" w:hAnsi="宋体" w:cs="宋体"/>
          <w:b/>
          <w:bCs/>
          <w:color w:val="auto"/>
          <w:sz w:val="22"/>
          <w:szCs w:val="11"/>
          <w:highlight w:val="none"/>
        </w:rPr>
      </w:pPr>
      <w:bookmarkStart w:id="167" w:name="_GoBack"/>
      <w:bookmarkEnd w:id="167"/>
    </w:p>
    <w:p>
      <w:pPr>
        <w:wordWrap w:val="0"/>
        <w:spacing w:beforeLines="50"/>
        <w:jc w:val="center"/>
        <w:rPr>
          <w:rFonts w:ascii="宋体" w:hAnsi="宋体" w:cs="宋体"/>
          <w:b/>
          <w:bCs/>
          <w:color w:val="auto"/>
          <w:sz w:val="52"/>
          <w:szCs w:val="52"/>
          <w:highlight w:val="none"/>
        </w:rPr>
      </w:pPr>
      <w:r>
        <w:rPr>
          <w:rFonts w:hint="eastAsia" w:ascii="宋体" w:hAnsi="宋体" w:cs="宋体"/>
          <w:b/>
          <w:bCs/>
          <w:color w:val="auto"/>
          <w:sz w:val="52"/>
          <w:highlight w:val="none"/>
        </w:rPr>
        <w:t>广西同泽工程项目管理股份有限公司</w:t>
      </w:r>
    </w:p>
    <w:p>
      <w:pPr>
        <w:wordWrap w:val="0"/>
        <w:spacing w:beforeLines="50"/>
        <w:rPr>
          <w:rFonts w:ascii="宋体" w:hAnsi="宋体" w:cs="宋体"/>
          <w:b/>
          <w:bCs/>
          <w:color w:val="auto"/>
          <w:sz w:val="70"/>
          <w:szCs w:val="48"/>
          <w:highlight w:val="none"/>
        </w:rPr>
      </w:pPr>
    </w:p>
    <w:p>
      <w:pPr>
        <w:wordWrap w:val="0"/>
        <w:spacing w:beforeLines="50"/>
        <w:jc w:val="center"/>
        <w:rPr>
          <w:rFonts w:ascii="宋体" w:hAnsi="宋体" w:cs="宋体"/>
          <w:b/>
          <w:bCs/>
          <w:color w:val="auto"/>
          <w:sz w:val="48"/>
          <w:szCs w:val="48"/>
          <w:highlight w:val="none"/>
        </w:rPr>
      </w:pPr>
      <w:r>
        <w:rPr>
          <w:rFonts w:hint="eastAsia" w:ascii="宋体" w:hAnsi="宋体" w:cs="宋体"/>
          <w:b/>
          <w:bCs/>
          <w:color w:val="auto"/>
          <w:spacing w:val="100"/>
          <w:sz w:val="84"/>
          <w:szCs w:val="84"/>
          <w:highlight w:val="none"/>
        </w:rPr>
        <w:t>竞争性谈判文</w:t>
      </w:r>
      <w:r>
        <w:rPr>
          <w:rFonts w:hint="eastAsia" w:ascii="宋体" w:hAnsi="宋体" w:cs="宋体"/>
          <w:b/>
          <w:bCs/>
          <w:color w:val="auto"/>
          <w:sz w:val="84"/>
          <w:szCs w:val="84"/>
          <w:highlight w:val="none"/>
        </w:rPr>
        <w:t>件</w:t>
      </w:r>
    </w:p>
    <w:p>
      <w:pPr>
        <w:wordWrap w:val="0"/>
        <w:spacing w:beforeLines="50"/>
        <w:jc w:val="center"/>
        <w:rPr>
          <w:rFonts w:ascii="宋体" w:hAnsi="宋体" w:cs="宋体"/>
          <w:b/>
          <w:bCs/>
          <w:color w:val="auto"/>
          <w:sz w:val="48"/>
          <w:szCs w:val="48"/>
          <w:highlight w:val="none"/>
        </w:rPr>
      </w:pPr>
    </w:p>
    <w:p>
      <w:pPr>
        <w:wordWrap w:val="0"/>
        <w:spacing w:beforeLines="50"/>
        <w:jc w:val="center"/>
        <w:rPr>
          <w:rFonts w:ascii="宋体" w:hAnsi="宋体" w:cs="宋体"/>
          <w:b/>
          <w:bCs/>
          <w:color w:val="auto"/>
          <w:sz w:val="48"/>
          <w:szCs w:val="48"/>
          <w:highlight w:val="none"/>
        </w:rPr>
      </w:pPr>
      <w:r>
        <w:rPr>
          <w:rFonts w:hint="eastAsia" w:ascii="宋体" w:hAnsi="宋体" w:cs="宋体"/>
          <w:color w:val="auto"/>
          <w:highlight w:val="none"/>
        </w:rPr>
        <w:drawing>
          <wp:anchor distT="0" distB="0" distL="114300" distR="114300" simplePos="0" relativeHeight="251657216" behindDoc="0" locked="0" layoutInCell="1" allowOverlap="1">
            <wp:simplePos x="0" y="0"/>
            <wp:positionH relativeFrom="column">
              <wp:posOffset>1948815</wp:posOffset>
            </wp:positionH>
            <wp:positionV relativeFrom="paragraph">
              <wp:posOffset>213995</wp:posOffset>
            </wp:positionV>
            <wp:extent cx="2089150" cy="1561465"/>
            <wp:effectExtent l="0" t="0" r="0" b="0"/>
            <wp:wrapSquare wrapText="right"/>
            <wp:docPr id="2" name="Picture 21" descr="同泽标志"/>
            <wp:cNvGraphicFramePr/>
            <a:graphic xmlns:a="http://schemas.openxmlformats.org/drawingml/2006/main">
              <a:graphicData uri="http://schemas.openxmlformats.org/drawingml/2006/picture">
                <pic:pic xmlns:pic="http://schemas.openxmlformats.org/drawingml/2006/picture">
                  <pic:nvPicPr>
                    <pic:cNvPr id="2" name="Picture 21" descr="同泽标志"/>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89150" cy="1561465"/>
                    </a:xfrm>
                    <a:prstGeom prst="rect">
                      <a:avLst/>
                    </a:prstGeom>
                    <a:noFill/>
                    <a:ln>
                      <a:noFill/>
                    </a:ln>
                  </pic:spPr>
                </pic:pic>
              </a:graphicData>
            </a:graphic>
          </wp:anchor>
        </w:drawing>
      </w:r>
    </w:p>
    <w:p>
      <w:pPr>
        <w:wordWrap w:val="0"/>
        <w:spacing w:beforeLines="50"/>
        <w:jc w:val="center"/>
        <w:rPr>
          <w:rFonts w:ascii="宋体" w:hAnsi="宋体" w:cs="宋体"/>
          <w:b/>
          <w:bCs/>
          <w:color w:val="auto"/>
          <w:sz w:val="72"/>
          <w:szCs w:val="72"/>
          <w:highlight w:val="none"/>
        </w:rPr>
      </w:pPr>
    </w:p>
    <w:p>
      <w:pPr>
        <w:wordWrap w:val="0"/>
        <w:snapToGrid w:val="0"/>
        <w:spacing w:beforeLines="50" w:line="360" w:lineRule="auto"/>
        <w:rPr>
          <w:rFonts w:ascii="宋体" w:hAnsi="宋体" w:cs="宋体"/>
          <w:color w:val="auto"/>
          <w:sz w:val="30"/>
          <w:szCs w:val="72"/>
          <w:highlight w:val="none"/>
        </w:rPr>
      </w:pPr>
    </w:p>
    <w:p>
      <w:pPr>
        <w:wordWrap w:val="0"/>
        <w:snapToGrid w:val="0"/>
        <w:spacing w:beforeLines="50" w:line="360" w:lineRule="auto"/>
        <w:rPr>
          <w:rFonts w:ascii="宋体" w:hAnsi="宋体" w:cs="宋体"/>
          <w:b/>
          <w:color w:val="auto"/>
          <w:sz w:val="30"/>
          <w:szCs w:val="72"/>
          <w:highlight w:val="none"/>
        </w:rPr>
      </w:pPr>
    </w:p>
    <w:p>
      <w:pPr>
        <w:wordWrap w:val="0"/>
        <w:snapToGrid w:val="0"/>
        <w:spacing w:beforeLines="50" w:line="360" w:lineRule="auto"/>
        <w:rPr>
          <w:rFonts w:ascii="宋体" w:hAnsi="宋体" w:cs="宋体"/>
          <w:b/>
          <w:color w:val="auto"/>
          <w:sz w:val="30"/>
          <w:szCs w:val="72"/>
          <w:highlight w:val="none"/>
        </w:rPr>
      </w:pPr>
    </w:p>
    <w:p>
      <w:pPr>
        <w:wordWrap w:val="0"/>
        <w:snapToGrid w:val="0"/>
        <w:spacing w:line="800" w:lineRule="exact"/>
        <w:jc w:val="left"/>
        <w:rPr>
          <w:rFonts w:hint="eastAsia" w:ascii="宋体" w:hAnsi="宋体" w:eastAsia="宋体" w:cs="宋体"/>
          <w:b/>
          <w:color w:val="auto"/>
          <w:sz w:val="32"/>
          <w:szCs w:val="32"/>
          <w:highlight w:val="none"/>
          <w:lang w:eastAsia="zh-CN"/>
        </w:rPr>
      </w:pPr>
      <w:r>
        <w:rPr>
          <w:rFonts w:hint="eastAsia" w:ascii="宋体" w:hAnsi="宋体" w:cs="宋体"/>
          <w:b/>
          <w:color w:val="auto"/>
          <w:sz w:val="32"/>
          <w:szCs w:val="72"/>
          <w:highlight w:val="none"/>
        </w:rPr>
        <w:t>项目名称：</w:t>
      </w:r>
      <w:r>
        <w:rPr>
          <w:rFonts w:hint="eastAsia" w:ascii="宋体" w:hAnsi="宋体" w:cs="宋体"/>
          <w:b/>
          <w:color w:val="auto"/>
          <w:sz w:val="32"/>
          <w:szCs w:val="72"/>
          <w:highlight w:val="none"/>
          <w:lang w:eastAsia="zh-CN"/>
        </w:rPr>
        <w:t>城中区基层医疗卫生机构医疗设备采购</w:t>
      </w:r>
    </w:p>
    <w:p>
      <w:pPr>
        <w:pStyle w:val="14"/>
        <w:wordWrap w:val="0"/>
        <w:snapToGrid w:val="0"/>
        <w:spacing w:line="800" w:lineRule="exact"/>
        <w:rPr>
          <w:rFonts w:hint="eastAsia" w:hAnsi="宋体" w:eastAsia="宋体" w:cs="宋体"/>
          <w:b/>
          <w:color w:val="auto"/>
          <w:sz w:val="32"/>
          <w:szCs w:val="32"/>
          <w:highlight w:val="none"/>
          <w:lang w:eastAsia="zh-CN"/>
        </w:rPr>
      </w:pPr>
      <w:r>
        <w:rPr>
          <w:rFonts w:hint="eastAsia" w:hAnsi="宋体" w:cs="宋体"/>
          <w:b/>
          <w:color w:val="auto"/>
          <w:sz w:val="32"/>
          <w:szCs w:val="72"/>
          <w:highlight w:val="none"/>
        </w:rPr>
        <w:t>采购编号</w:t>
      </w:r>
      <w:r>
        <w:rPr>
          <w:rFonts w:hint="eastAsia" w:hAnsi="宋体" w:cs="宋体"/>
          <w:b/>
          <w:color w:val="auto"/>
          <w:sz w:val="32"/>
          <w:szCs w:val="30"/>
          <w:highlight w:val="none"/>
        </w:rPr>
        <w:t>：</w:t>
      </w:r>
      <w:r>
        <w:rPr>
          <w:rFonts w:hint="eastAsia" w:hAnsi="宋体" w:cs="宋体"/>
          <w:b/>
          <w:color w:val="auto"/>
          <w:sz w:val="32"/>
          <w:szCs w:val="72"/>
          <w:highlight w:val="none"/>
          <w:lang w:eastAsia="zh-CN"/>
        </w:rPr>
        <w:t>LZZC2020-J1-020061-GXTZ</w:t>
      </w:r>
    </w:p>
    <w:p>
      <w:pPr>
        <w:widowControl/>
        <w:wordWrap w:val="0"/>
        <w:spacing w:line="800" w:lineRule="exact"/>
        <w:jc w:val="left"/>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采购单位：</w:t>
      </w:r>
      <w:r>
        <w:rPr>
          <w:rFonts w:hint="eastAsia" w:ascii="宋体" w:hAnsi="宋体" w:cs="宋体"/>
          <w:b/>
          <w:color w:val="auto"/>
          <w:sz w:val="32"/>
          <w:szCs w:val="32"/>
          <w:highlight w:val="none"/>
          <w:lang w:eastAsia="zh-CN"/>
        </w:rPr>
        <w:t>柳州市城中区卫生健康局</w:t>
      </w:r>
    </w:p>
    <w:p>
      <w:pPr>
        <w:wordWrap w:val="0"/>
        <w:snapToGrid w:val="0"/>
        <w:spacing w:line="800" w:lineRule="exact"/>
        <w:jc w:val="left"/>
        <w:rPr>
          <w:rFonts w:ascii="宋体" w:hAnsi="宋体" w:cs="宋体"/>
          <w:b/>
          <w:bCs/>
          <w:color w:val="auto"/>
          <w:w w:val="95"/>
          <w:sz w:val="30"/>
          <w:szCs w:val="30"/>
          <w:highlight w:val="none"/>
        </w:rPr>
      </w:pPr>
      <w:r>
        <w:rPr>
          <w:rFonts w:hint="eastAsia" w:ascii="宋体" w:hAnsi="宋体" w:cs="宋体"/>
          <w:b/>
          <w:color w:val="auto"/>
          <w:sz w:val="32"/>
          <w:szCs w:val="72"/>
          <w:highlight w:val="none"/>
        </w:rPr>
        <w:t>招标代理机构：广西同泽工程项目管理股份有限公司</w:t>
      </w:r>
    </w:p>
    <w:p>
      <w:pPr>
        <w:pStyle w:val="16"/>
        <w:wordWrap w:val="0"/>
        <w:spacing w:line="680" w:lineRule="exact"/>
        <w:ind w:firstLine="563"/>
        <w:jc w:val="center"/>
        <w:rPr>
          <w:rFonts w:ascii="宋体" w:hAnsi="宋体" w:cs="宋体"/>
          <w:b/>
          <w:bCs/>
          <w:color w:val="auto"/>
          <w:w w:val="95"/>
          <w:sz w:val="30"/>
          <w:szCs w:val="30"/>
          <w:highlight w:val="none"/>
        </w:rPr>
      </w:pPr>
    </w:p>
    <w:p>
      <w:pPr>
        <w:pStyle w:val="16"/>
        <w:wordWrap w:val="0"/>
        <w:spacing w:line="680" w:lineRule="exact"/>
        <w:ind w:firstLine="563"/>
        <w:jc w:val="center"/>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二〇二〇年</w:t>
      </w:r>
      <w:r>
        <w:rPr>
          <w:rFonts w:hint="eastAsia" w:ascii="宋体" w:hAnsi="宋体" w:cs="宋体"/>
          <w:b/>
          <w:bCs/>
          <w:color w:val="auto"/>
          <w:w w:val="95"/>
          <w:sz w:val="30"/>
          <w:szCs w:val="30"/>
          <w:highlight w:val="none"/>
          <w:lang w:eastAsia="zh-CN"/>
        </w:rPr>
        <w:t>十一</w:t>
      </w:r>
      <w:r>
        <w:rPr>
          <w:rFonts w:hint="eastAsia" w:ascii="宋体" w:hAnsi="宋体" w:cs="宋体"/>
          <w:b/>
          <w:bCs/>
          <w:color w:val="auto"/>
          <w:w w:val="95"/>
          <w:sz w:val="30"/>
          <w:szCs w:val="30"/>
          <w:highlight w:val="none"/>
        </w:rPr>
        <w:t>月</w:t>
      </w:r>
    </w:p>
    <w:p>
      <w:pPr>
        <w:pStyle w:val="16"/>
        <w:wordWrap w:val="0"/>
        <w:spacing w:line="680" w:lineRule="exact"/>
        <w:ind w:firstLine="0" w:firstLineChars="0"/>
        <w:rPr>
          <w:rFonts w:ascii="宋体" w:hAnsi="宋体" w:cs="宋体"/>
          <w:b/>
          <w:bCs/>
          <w:color w:val="auto"/>
          <w:w w:val="95"/>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61" w:right="1304" w:bottom="1304" w:left="1417" w:header="680" w:footer="680" w:gutter="0"/>
          <w:cols w:space="720" w:num="1"/>
          <w:titlePg/>
          <w:docGrid w:type="lines" w:linePitch="331" w:charSpace="0"/>
        </w:sectPr>
      </w:pPr>
    </w:p>
    <w:p>
      <w:pPr>
        <w:pStyle w:val="16"/>
        <w:wordWrap w:val="0"/>
        <w:ind w:firstLine="708"/>
        <w:jc w:val="center"/>
        <w:rPr>
          <w:rFonts w:ascii="宋体" w:hAnsi="宋体" w:cs="宋体"/>
          <w:color w:val="auto"/>
          <w:sz w:val="18"/>
          <w:szCs w:val="18"/>
          <w:highlight w:val="none"/>
        </w:rPr>
      </w:pPr>
      <w:r>
        <w:rPr>
          <w:rFonts w:hint="eastAsia" w:ascii="宋体" w:hAnsi="宋体" w:cs="宋体"/>
          <w:b/>
          <w:bCs/>
          <w:color w:val="auto"/>
          <w:sz w:val="36"/>
          <w:szCs w:val="21"/>
          <w:highlight w:val="none"/>
        </w:rPr>
        <w:t>目</w:t>
      </w:r>
      <w:r>
        <w:rPr>
          <w:rFonts w:hint="eastAsia" w:ascii="宋体" w:hAnsi="宋体" w:cs="宋体"/>
          <w:b/>
          <w:bCs/>
          <w:color w:val="auto"/>
          <w:sz w:val="36"/>
          <w:szCs w:val="21"/>
          <w:highlight w:val="none"/>
          <w:lang w:val="en-US" w:eastAsia="zh-CN"/>
        </w:rPr>
        <w:t xml:space="preserve">  </w:t>
      </w:r>
      <w:r>
        <w:rPr>
          <w:rFonts w:hint="eastAsia" w:ascii="宋体" w:hAnsi="宋体" w:cs="宋体"/>
          <w:b/>
          <w:bCs/>
          <w:color w:val="auto"/>
          <w:sz w:val="36"/>
          <w:szCs w:val="21"/>
          <w:highlight w:val="none"/>
        </w:rPr>
        <w:t>录</w:t>
      </w:r>
      <w:r>
        <w:rPr>
          <w:rFonts w:hint="eastAsia" w:ascii="宋体" w:hAnsi="宋体" w:cs="宋体"/>
          <w:color w:val="auto"/>
          <w:sz w:val="44"/>
          <w:highlight w:val="none"/>
        </w:rPr>
        <w:cr/>
      </w:r>
    </w:p>
    <w:p>
      <w:pPr>
        <w:pStyle w:val="20"/>
        <w:keepNext w:val="0"/>
        <w:keepLines w:val="0"/>
        <w:pageBreakBefore w:val="0"/>
        <w:widowControl w:val="0"/>
        <w:tabs>
          <w:tab w:val="right" w:leader="dot" w:pos="9185"/>
          <w:tab w:val="clear" w:pos="946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eastAsia="宋体" w:cs="宋体"/>
          <w:color w:val="auto"/>
          <w:sz w:val="22"/>
          <w:szCs w:val="22"/>
          <w:highlight w:val="none"/>
        </w:rPr>
        <w:fldChar w:fldCharType="begin"/>
      </w:r>
      <w:r>
        <w:rPr>
          <w:rFonts w:hint="eastAsia" w:ascii="宋体" w:eastAsia="宋体" w:cs="宋体"/>
          <w:color w:val="auto"/>
          <w:sz w:val="22"/>
          <w:szCs w:val="22"/>
          <w:highlight w:val="none"/>
        </w:rPr>
        <w:instrText xml:space="preserve"> TOC \o "1-2" \h \z \u </w:instrText>
      </w:r>
      <w:r>
        <w:rPr>
          <w:rFonts w:hint="eastAsia" w:ascii="宋体" w:eastAsia="宋体" w:cs="宋体"/>
          <w:color w:val="auto"/>
          <w:sz w:val="22"/>
          <w:szCs w:val="22"/>
          <w:highlight w:val="none"/>
        </w:rPr>
        <w:fldChar w:fldCharType="separate"/>
      </w: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_Toc16508 </w:instrText>
      </w:r>
      <w:r>
        <w:rPr>
          <w:rFonts w:hint="eastAsia" w:ascii="宋体" w:hAnsi="宋体" w:eastAsia="宋体" w:cs="宋体"/>
          <w:color w:val="auto"/>
          <w:szCs w:val="22"/>
          <w:highlight w:val="none"/>
        </w:rPr>
        <w:fldChar w:fldCharType="separate"/>
      </w:r>
      <w:r>
        <w:rPr>
          <w:rFonts w:hint="eastAsia" w:ascii="宋体" w:hAnsi="宋体" w:eastAsia="宋体" w:cs="宋体"/>
          <w:color w:val="auto"/>
          <w:highlight w:val="none"/>
        </w:rPr>
        <w:t>第一章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竞标公告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_Toc16508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22"/>
          <w:highlight w:val="none"/>
        </w:rPr>
        <w:fldChar w:fldCharType="end"/>
      </w:r>
    </w:p>
    <w:p>
      <w:pPr>
        <w:pStyle w:val="20"/>
        <w:keepNext w:val="0"/>
        <w:keepLines w:val="0"/>
        <w:pageBreakBefore w:val="0"/>
        <w:widowControl w:val="0"/>
        <w:tabs>
          <w:tab w:val="right" w:leader="dot" w:pos="9185"/>
          <w:tab w:val="clear" w:pos="946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_Toc15619 </w:instrText>
      </w:r>
      <w:r>
        <w:rPr>
          <w:rFonts w:hint="eastAsia" w:ascii="宋体" w:hAnsi="宋体" w:eastAsia="宋体" w:cs="宋体"/>
          <w:color w:val="auto"/>
          <w:szCs w:val="22"/>
          <w:highlight w:val="none"/>
        </w:rPr>
        <w:fldChar w:fldCharType="separate"/>
      </w:r>
      <w:r>
        <w:rPr>
          <w:rFonts w:hint="eastAsia" w:ascii="宋体" w:hAnsi="宋体" w:eastAsia="宋体" w:cs="宋体"/>
          <w:color w:val="auto"/>
          <w:highlight w:val="none"/>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竞标人须知及前附表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_Toc15619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2"/>
          <w:highlight w:val="none"/>
        </w:rPr>
        <w:fldChar w:fldCharType="end"/>
      </w:r>
    </w:p>
    <w:p>
      <w:pPr>
        <w:pStyle w:val="20"/>
        <w:keepNext w:val="0"/>
        <w:keepLines w:val="0"/>
        <w:pageBreakBefore w:val="0"/>
        <w:widowControl w:val="0"/>
        <w:tabs>
          <w:tab w:val="right" w:leader="dot" w:pos="9185"/>
          <w:tab w:val="clear" w:pos="946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_Toc17594 </w:instrText>
      </w:r>
      <w:r>
        <w:rPr>
          <w:rFonts w:hint="eastAsia" w:ascii="宋体" w:hAnsi="宋体" w:eastAsia="宋体" w:cs="宋体"/>
          <w:color w:val="auto"/>
          <w:szCs w:val="22"/>
          <w:highlight w:val="none"/>
        </w:rPr>
        <w:fldChar w:fldCharType="separate"/>
      </w:r>
      <w:r>
        <w:rPr>
          <w:rFonts w:hint="eastAsia" w:ascii="宋体" w:hAnsi="宋体" w:eastAsia="宋体" w:cs="宋体"/>
          <w:color w:val="auto"/>
          <w:highlight w:val="none"/>
        </w:rPr>
        <w:t>第三章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货物需求一览表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22"/>
          <w:highlight w:val="none"/>
        </w:rPr>
        <w:fldChar w:fldCharType="end"/>
      </w:r>
    </w:p>
    <w:p>
      <w:pPr>
        <w:pStyle w:val="20"/>
        <w:keepNext w:val="0"/>
        <w:keepLines w:val="0"/>
        <w:pageBreakBefore w:val="0"/>
        <w:widowControl w:val="0"/>
        <w:tabs>
          <w:tab w:val="right" w:leader="dot" w:pos="9185"/>
          <w:tab w:val="clear" w:pos="946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_Toc18361 </w:instrText>
      </w:r>
      <w:r>
        <w:rPr>
          <w:rFonts w:hint="eastAsia" w:ascii="宋体" w:hAnsi="宋体" w:eastAsia="宋体" w:cs="宋体"/>
          <w:color w:val="auto"/>
          <w:szCs w:val="22"/>
          <w:highlight w:val="none"/>
        </w:rPr>
        <w:fldChar w:fldCharType="separate"/>
      </w:r>
      <w:r>
        <w:rPr>
          <w:rFonts w:hint="eastAsia" w:ascii="宋体" w:hAnsi="宋体" w:eastAsia="宋体" w:cs="宋体"/>
          <w:color w:val="auto"/>
          <w:highlight w:val="none"/>
        </w:rPr>
        <w:t>第四章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合同主要条款格式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szCs w:val="22"/>
          <w:highlight w:val="none"/>
        </w:rPr>
        <w:fldChar w:fldCharType="end"/>
      </w:r>
    </w:p>
    <w:p>
      <w:pPr>
        <w:pStyle w:val="20"/>
        <w:keepNext w:val="0"/>
        <w:keepLines w:val="0"/>
        <w:pageBreakBefore w:val="0"/>
        <w:widowControl w:val="0"/>
        <w:tabs>
          <w:tab w:val="right" w:leader="dot" w:pos="9185"/>
          <w:tab w:val="clear" w:pos="946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_Toc9010 </w:instrText>
      </w:r>
      <w:r>
        <w:rPr>
          <w:rFonts w:hint="eastAsia" w:ascii="宋体" w:hAnsi="宋体" w:eastAsia="宋体" w:cs="宋体"/>
          <w:color w:val="auto"/>
          <w:szCs w:val="22"/>
          <w:highlight w:val="none"/>
        </w:rPr>
        <w:fldChar w:fldCharType="separate"/>
      </w:r>
      <w:r>
        <w:rPr>
          <w:rFonts w:hint="eastAsia" w:ascii="宋体" w:hAnsi="宋体" w:eastAsia="宋体" w:cs="宋体"/>
          <w:color w:val="auto"/>
          <w:highlight w:val="none"/>
        </w:rPr>
        <w:t>第五章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评定成交的标准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_Toc9010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szCs w:val="22"/>
          <w:highlight w:val="none"/>
        </w:rPr>
        <w:fldChar w:fldCharType="end"/>
      </w:r>
    </w:p>
    <w:p>
      <w:pPr>
        <w:pStyle w:val="20"/>
        <w:keepNext w:val="0"/>
        <w:keepLines w:val="0"/>
        <w:pageBreakBefore w:val="0"/>
        <w:widowControl w:val="0"/>
        <w:tabs>
          <w:tab w:val="right" w:leader="dot" w:pos="9185"/>
          <w:tab w:val="clear" w:pos="946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_Toc6490 </w:instrText>
      </w:r>
      <w:r>
        <w:rPr>
          <w:rFonts w:hint="eastAsia" w:ascii="宋体" w:hAnsi="宋体" w:eastAsia="宋体" w:cs="宋体"/>
          <w:color w:val="auto"/>
          <w:szCs w:val="22"/>
          <w:highlight w:val="none"/>
        </w:rPr>
        <w:fldChar w:fldCharType="separate"/>
      </w:r>
      <w:r>
        <w:rPr>
          <w:rFonts w:hint="eastAsia" w:ascii="宋体" w:hAnsi="宋体" w:eastAsia="宋体" w:cs="宋体"/>
          <w:color w:val="auto"/>
          <w:highlight w:val="none"/>
        </w:rPr>
        <w:t>第六章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_Toc6490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22"/>
          <w:highlight w:val="none"/>
        </w:rPr>
        <w:fldChar w:fldCharType="end"/>
      </w:r>
    </w:p>
    <w:p>
      <w:pPr>
        <w:pStyle w:val="20"/>
        <w:tabs>
          <w:tab w:val="right" w:leader="dot" w:pos="9185"/>
          <w:tab w:val="clear" w:pos="9466"/>
        </w:tabs>
        <w:rPr>
          <w:color w:val="auto"/>
          <w:highlight w:val="none"/>
        </w:rPr>
      </w:pPr>
    </w:p>
    <w:p>
      <w:pPr>
        <w:pStyle w:val="3"/>
        <w:spacing w:line="480" w:lineRule="auto"/>
        <w:jc w:val="both"/>
        <w:rPr>
          <w:rFonts w:ascii="宋体" w:hAnsi="宋体" w:cs="宋体"/>
          <w:color w:val="auto"/>
          <w:sz w:val="22"/>
          <w:szCs w:val="22"/>
          <w:highlight w:val="none"/>
        </w:rPr>
      </w:pPr>
      <w:r>
        <w:rPr>
          <w:rFonts w:hint="eastAsia" w:ascii="宋体" w:hAnsi="宋体" w:cs="宋体"/>
          <w:color w:val="auto"/>
          <w:szCs w:val="22"/>
          <w:highlight w:val="none"/>
        </w:rPr>
        <w:fldChar w:fldCharType="end"/>
      </w:r>
    </w:p>
    <w:p>
      <w:pPr>
        <w:pStyle w:val="3"/>
        <w:rPr>
          <w:rFonts w:ascii="宋体" w:hAnsi="宋体" w:cs="宋体"/>
          <w:color w:val="auto"/>
          <w:highlight w:val="none"/>
        </w:rPr>
        <w:sectPr>
          <w:footerReference r:id="rId10" w:type="first"/>
          <w:footerReference r:id="rId9" w:type="default"/>
          <w:pgSz w:w="11906" w:h="16838"/>
          <w:pgMar w:top="1304" w:right="1304" w:bottom="1304" w:left="1417" w:header="680" w:footer="680" w:gutter="0"/>
          <w:pgNumType w:start="1"/>
          <w:cols w:space="720" w:num="1"/>
          <w:docGrid w:type="lines" w:linePitch="331" w:charSpace="0"/>
        </w:sectPr>
      </w:pPr>
    </w:p>
    <w:p>
      <w:pPr>
        <w:pStyle w:val="3"/>
        <w:rPr>
          <w:rFonts w:ascii="宋体" w:hAnsi="宋体" w:cs="宋体"/>
          <w:color w:val="auto"/>
          <w:sz w:val="22"/>
          <w:szCs w:val="22"/>
          <w:highlight w:val="none"/>
        </w:rPr>
      </w:pPr>
      <w:bookmarkStart w:id="0" w:name="_Toc16508"/>
      <w:r>
        <w:rPr>
          <w:rFonts w:hint="eastAsia" w:ascii="宋体" w:hAnsi="宋体" w:cs="宋体"/>
          <w:color w:val="auto"/>
          <w:highlight w:val="none"/>
        </w:rPr>
        <w:t>第一章</w:t>
      </w:r>
      <w:r>
        <w:rPr>
          <w:rFonts w:hint="eastAsia" w:ascii="宋体" w:hAnsi="宋体" w:cs="宋体"/>
          <w:color w:val="auto"/>
          <w:highlight w:val="none"/>
          <w:lang w:val="en-US" w:eastAsia="zh-CN"/>
        </w:rPr>
        <w:t xml:space="preserve">  </w:t>
      </w:r>
      <w:r>
        <w:rPr>
          <w:rFonts w:hint="eastAsia" w:ascii="宋体" w:hAnsi="宋体" w:cs="宋体"/>
          <w:color w:val="auto"/>
          <w:highlight w:val="none"/>
        </w:rPr>
        <w:t>竞标公告</w:t>
      </w:r>
      <w:bookmarkEnd w:id="0"/>
    </w:p>
    <w:p>
      <w:pPr>
        <w:spacing w:line="460" w:lineRule="exact"/>
        <w:jc w:val="center"/>
        <w:rPr>
          <w:rFonts w:ascii="宋体" w:hAnsi="宋体" w:cs="宋体"/>
          <w:color w:val="auto"/>
          <w:szCs w:val="21"/>
          <w:highlight w:val="none"/>
        </w:rPr>
      </w:pPr>
      <w:r>
        <w:rPr>
          <w:rFonts w:hint="eastAsia" w:ascii="宋体" w:hAnsi="宋体" w:cs="宋体"/>
          <w:b/>
          <w:bCs/>
          <w:color w:val="auto"/>
          <w:sz w:val="28"/>
          <w:szCs w:val="28"/>
          <w:highlight w:val="none"/>
        </w:rPr>
        <w:t>广西同泽工程项目管理股份有限公司</w:t>
      </w:r>
      <w:r>
        <w:rPr>
          <w:rFonts w:hint="eastAsia" w:ascii="宋体" w:hAnsi="宋体" w:cs="宋体"/>
          <w:b/>
          <w:bCs/>
          <w:color w:val="auto"/>
          <w:sz w:val="28"/>
          <w:szCs w:val="28"/>
          <w:highlight w:val="none"/>
          <w:lang w:eastAsia="zh-CN"/>
        </w:rPr>
        <w:t>城中区基层医疗卫生机构医疗设备采购</w:t>
      </w:r>
      <w:r>
        <w:rPr>
          <w:rFonts w:hint="eastAsia" w:ascii="宋体" w:hAnsi="宋体" w:cs="宋体"/>
          <w:b/>
          <w:bCs/>
          <w:color w:val="auto"/>
          <w:sz w:val="28"/>
          <w:szCs w:val="28"/>
          <w:highlight w:val="none"/>
        </w:rPr>
        <w:t>（</w:t>
      </w:r>
      <w:r>
        <w:rPr>
          <w:rFonts w:hint="eastAsia" w:ascii="宋体" w:hAnsi="宋体" w:cs="宋体"/>
          <w:b/>
          <w:color w:val="auto"/>
          <w:sz w:val="28"/>
          <w:szCs w:val="28"/>
          <w:highlight w:val="none"/>
          <w:lang w:eastAsia="zh-CN"/>
        </w:rPr>
        <w:t>LZZC2020-J1-020061-GXTZ</w:t>
      </w:r>
      <w:r>
        <w:rPr>
          <w:rFonts w:hint="eastAsia" w:ascii="宋体" w:hAnsi="宋体" w:cs="宋体"/>
          <w:b/>
          <w:bCs/>
          <w:color w:val="auto"/>
          <w:sz w:val="28"/>
          <w:szCs w:val="28"/>
          <w:highlight w:val="none"/>
        </w:rPr>
        <w:t>）竞争性谈判公告</w:t>
      </w:r>
    </w:p>
    <w:p>
      <w:pPr>
        <w:spacing w:line="360" w:lineRule="exact"/>
        <w:jc w:val="left"/>
        <w:rPr>
          <w:rFonts w:ascii="宋体" w:hAnsi="宋体" w:cs="宋体"/>
          <w:color w:val="auto"/>
          <w:szCs w:val="21"/>
          <w:highlight w:val="none"/>
        </w:rPr>
      </w:pPr>
    </w:p>
    <w:p>
      <w:pPr>
        <w:pBdr>
          <w:top w:val="single" w:color="auto" w:sz="4" w:space="1"/>
          <w:left w:val="single" w:color="auto" w:sz="4" w:space="4"/>
          <w:bottom w:val="single" w:color="auto" w:sz="4" w:space="1"/>
          <w:right w:val="single" w:color="auto" w:sz="4" w:space="4"/>
        </w:pBd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城中区基层医疗卫生机构医疗设备采购</w:t>
      </w:r>
      <w:r>
        <w:rPr>
          <w:rFonts w:hint="eastAsia" w:ascii="宋体" w:hAnsi="宋体" w:cs="宋体"/>
          <w:color w:val="auto"/>
          <w:szCs w:val="21"/>
          <w:highlight w:val="none"/>
        </w:rPr>
        <w:t>采购项目的潜在供应商应在广西同泽工程项目管理股份有限公司柳州分公司（柳州市桂中大道南端6号九洲国际25楼）获取采购文件，并于</w:t>
      </w:r>
      <w:r>
        <w:rPr>
          <w:rFonts w:hint="eastAsia" w:ascii="宋体" w:hAnsi="宋体" w:cs="宋体"/>
          <w:color w:val="auto"/>
          <w:szCs w:val="21"/>
          <w:highlight w:val="none"/>
          <w:lang w:eastAsia="zh-CN"/>
        </w:rPr>
        <w:t>2020年11月27日</w:t>
      </w:r>
      <w:r>
        <w:rPr>
          <w:rFonts w:hint="eastAsia" w:ascii="宋体" w:hAnsi="宋体" w:cs="宋体"/>
          <w:bCs/>
          <w:color w:val="auto"/>
          <w:szCs w:val="21"/>
          <w:highlight w:val="none"/>
        </w:rPr>
        <w:t>09点30分（北京时间）前提交响应文件</w:t>
      </w:r>
      <w:r>
        <w:rPr>
          <w:rFonts w:hint="eastAsia" w:ascii="宋体" w:hAnsi="宋体" w:cs="宋体"/>
          <w:color w:val="auto"/>
          <w:szCs w:val="21"/>
          <w:highlight w:val="none"/>
        </w:rPr>
        <w:t>。</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highlight w:val="none"/>
        </w:rPr>
      </w:pPr>
      <w:bookmarkStart w:id="1" w:name="_Toc28359012"/>
      <w:bookmarkStart w:id="2" w:name="_Toc35393798"/>
      <w:bookmarkStart w:id="3" w:name="_Toc12106"/>
      <w:bookmarkStart w:id="4" w:name="_Toc35393629"/>
      <w:bookmarkStart w:id="5" w:name="_Toc28359089"/>
      <w:r>
        <w:rPr>
          <w:rFonts w:hint="eastAsia" w:ascii="宋体" w:hAnsi="宋体" w:eastAsia="宋体" w:cs="宋体"/>
          <w:color w:val="auto"/>
          <w:sz w:val="21"/>
          <w:szCs w:val="21"/>
          <w:highlight w:val="none"/>
        </w:rPr>
        <w:t>一、项目基本情况</w:t>
      </w:r>
      <w:bookmarkEnd w:id="1"/>
      <w:bookmarkEnd w:id="2"/>
      <w:bookmarkEnd w:id="3"/>
      <w:bookmarkEnd w:id="4"/>
      <w:bookmarkEnd w:id="5"/>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bCs/>
          <w:color w:val="auto"/>
          <w:szCs w:val="21"/>
          <w:highlight w:val="none"/>
          <w:lang w:eastAsia="zh-CN"/>
        </w:rPr>
        <w:t>LZZC2020-J1-020061-GXTZ</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采购计划文号：CZZC2020-J1-00651-001</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城中区基层医疗卫生机构医疗设备采购</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采购方式：☑竞争性谈判</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□竞争性磋商</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□询价</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人民币壹佰贰拾伍万伍仟肆佰玖拾伍元整（￥1255495.00）</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最高限价：</w:t>
      </w:r>
      <w:r>
        <w:rPr>
          <w:rFonts w:hint="eastAsia" w:ascii="宋体" w:hAnsi="宋体" w:cs="宋体"/>
          <w:bCs/>
          <w:color w:val="auto"/>
          <w:szCs w:val="21"/>
          <w:highlight w:val="none"/>
          <w:lang w:eastAsia="zh-CN"/>
        </w:rPr>
        <w:t>人民币壹佰贰拾伍万伍仟肆佰玖拾伍元整（￥1255495.00）</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采购需求：</w:t>
      </w:r>
      <w:r>
        <w:rPr>
          <w:rFonts w:hint="eastAsia" w:ascii="宋体" w:hAnsi="宋体" w:cs="宋体"/>
          <w:color w:val="auto"/>
          <w:szCs w:val="21"/>
          <w:highlight w:val="none"/>
          <w:lang w:eastAsia="zh-CN"/>
        </w:rPr>
        <w:t>城中区基层医疗卫生机构医疗设备采购</w:t>
      </w:r>
      <w:r>
        <w:rPr>
          <w:rFonts w:hint="eastAsia" w:ascii="宋体" w:hAnsi="宋体" w:cs="宋体"/>
          <w:color w:val="auto"/>
          <w:szCs w:val="21"/>
          <w:highlight w:val="none"/>
        </w:rPr>
        <w:t>一</w:t>
      </w:r>
      <w:r>
        <w:rPr>
          <w:rFonts w:hint="eastAsia" w:ascii="宋体" w:hAnsi="宋体" w:cs="宋体"/>
          <w:color w:val="auto"/>
          <w:szCs w:val="21"/>
          <w:highlight w:val="none"/>
          <w:lang w:eastAsia="zh-CN"/>
        </w:rPr>
        <w:t>批</w:t>
      </w:r>
      <w:r>
        <w:rPr>
          <w:rFonts w:hint="eastAsia" w:ascii="宋体" w:hAnsi="宋体" w:cs="宋体"/>
          <w:color w:val="auto"/>
          <w:szCs w:val="21"/>
          <w:highlight w:val="none"/>
        </w:rPr>
        <w:t>，如需进一步了解详细内容，详见竞争性谈判文件。</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合同履行期限：签订合同之日起</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日内安装调试完毕验收合格交并付使用。</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本项目不接受联合体。</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highlight w:val="none"/>
        </w:rPr>
      </w:pPr>
      <w:bookmarkStart w:id="6" w:name="_Toc28359013"/>
      <w:bookmarkStart w:id="7" w:name="_Toc28359090"/>
      <w:bookmarkStart w:id="8" w:name="_Toc35393799"/>
      <w:bookmarkStart w:id="9" w:name="_Toc35393630"/>
      <w:bookmarkStart w:id="10" w:name="_Toc7936"/>
      <w:r>
        <w:rPr>
          <w:rFonts w:hint="eastAsia" w:ascii="宋体" w:hAnsi="宋体" w:eastAsia="宋体" w:cs="宋体"/>
          <w:color w:val="auto"/>
          <w:sz w:val="21"/>
          <w:szCs w:val="21"/>
          <w:highlight w:val="none"/>
        </w:rPr>
        <w:t>二、申请人的资格要求</w:t>
      </w:r>
      <w:bookmarkEnd w:id="6"/>
      <w:bookmarkEnd w:id="7"/>
      <w:bookmarkEnd w:id="8"/>
      <w:bookmarkEnd w:id="9"/>
      <w:bookmarkEnd w:id="10"/>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highlight w:val="none"/>
          <w:lang w:eastAsia="zh-CN"/>
        </w:rPr>
      </w:pPr>
      <w:bookmarkStart w:id="11" w:name="_Toc28359091"/>
      <w:bookmarkStart w:id="12" w:name="_Toc28359014"/>
      <w:r>
        <w:rPr>
          <w:rFonts w:hint="eastAsia" w:ascii="宋体" w:hAnsi="宋体" w:cs="宋体"/>
          <w:color w:val="auto"/>
          <w:szCs w:val="21"/>
          <w:highlight w:val="none"/>
        </w:rPr>
        <w:t>2.落实政府采购政策需满足的资格要求：</w:t>
      </w:r>
      <w:r>
        <w:rPr>
          <w:rFonts w:hint="eastAsia" w:ascii="宋体" w:hAnsi="宋体" w:cs="宋体"/>
          <w:color w:val="auto"/>
          <w:highlight w:val="none"/>
        </w:rPr>
        <w:t>《中华人民共和国政府采购法》、《中华人民共和国政府采购法实施条例》、《政府采购非招标采购方式管理办法》政府采购支持中小企业发展；强制采购、优先采购环境标志产品、节能产品；支持残疾人福利性单位发展政策等相关法律法规</w:t>
      </w:r>
      <w:r>
        <w:rPr>
          <w:rFonts w:hint="eastAsia" w:ascii="宋体" w:hAnsi="宋体" w:cs="宋体"/>
          <w:color w:val="auto"/>
          <w:highlight w:val="none"/>
          <w:lang w:eastAsia="zh-CN"/>
        </w:rPr>
        <w:t>；</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i/>
          <w:iCs/>
          <w:color w:val="auto"/>
          <w:szCs w:val="21"/>
          <w:highlight w:val="none"/>
          <w:u w:val="single"/>
        </w:rPr>
      </w:pPr>
      <w:r>
        <w:rPr>
          <w:rFonts w:hint="eastAsia" w:ascii="宋体" w:hAnsi="宋体" w:cs="宋体"/>
          <w:color w:val="auto"/>
          <w:szCs w:val="21"/>
          <w:highlight w:val="none"/>
        </w:rPr>
        <w:t>3.本项目的特定资格要求：无。</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highlight w:val="none"/>
        </w:rPr>
      </w:pPr>
      <w:bookmarkStart w:id="13" w:name="_Toc35393800"/>
      <w:bookmarkStart w:id="14" w:name="_Toc35393631"/>
      <w:bookmarkStart w:id="15" w:name="_Toc17770"/>
      <w:r>
        <w:rPr>
          <w:rFonts w:hint="eastAsia" w:ascii="宋体" w:hAnsi="宋体" w:eastAsia="宋体" w:cs="宋体"/>
          <w:color w:val="auto"/>
          <w:sz w:val="21"/>
          <w:szCs w:val="21"/>
          <w:highlight w:val="none"/>
        </w:rPr>
        <w:t>三、获取采购文件</w:t>
      </w:r>
      <w:bookmarkEnd w:id="11"/>
      <w:bookmarkEnd w:id="12"/>
      <w:bookmarkEnd w:id="13"/>
      <w:bookmarkEnd w:id="14"/>
      <w:bookmarkEnd w:id="15"/>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2020年11月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日</w:t>
      </w:r>
      <w:r>
        <w:rPr>
          <w:rFonts w:hint="eastAsia" w:ascii="宋体" w:hAnsi="宋体" w:cs="宋体"/>
          <w:color w:val="auto"/>
          <w:szCs w:val="21"/>
          <w:highlight w:val="none"/>
        </w:rPr>
        <w:t>至</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日</w:t>
      </w:r>
      <w:r>
        <w:rPr>
          <w:rFonts w:hint="eastAsia" w:ascii="宋体" w:hAnsi="宋体" w:cs="宋体"/>
          <w:color w:val="auto"/>
          <w:szCs w:val="21"/>
          <w:highlight w:val="none"/>
        </w:rPr>
        <w:t>，每天上午08:30至12:00，下午13:30至16:00（北京时间，法定节假日除外）</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地点：广西同泽工程项目管理股份有限公司柳州分公司（柳州市桂中大道南端6号九洲国际25楼）。</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highlight w:val="none"/>
        </w:rPr>
        <w:t>获取竞争性谈判文件的方式：法定代表人或委托代理人携身份证原件前来报名，报名时须提交如下资料：</w:t>
      </w:r>
      <w:r>
        <w:rPr>
          <w:rFonts w:hint="eastAsia" w:ascii="宋体" w:hAnsi="宋体" w:cs="宋体"/>
          <w:color w:val="auto"/>
          <w:szCs w:val="21"/>
          <w:highlight w:val="none"/>
        </w:rPr>
        <w:t>①法人企业报名时有效的企业法人授权委托书及被授权人身份证；非法人企业报名时须负责人授权委托书及被授权人身份证；自然人报名时须有效的自然人身份证明；②营业执照复印件、</w:t>
      </w:r>
      <w:r>
        <w:rPr>
          <w:rFonts w:hint="eastAsia" w:ascii="宋体" w:hAnsi="宋体" w:cs="宋体"/>
          <w:bCs/>
          <w:color w:val="auto"/>
          <w:szCs w:val="21"/>
          <w:highlight w:val="none"/>
        </w:rPr>
        <w:t>组织机构代码证及</w:t>
      </w:r>
      <w:r>
        <w:rPr>
          <w:rFonts w:hint="eastAsia" w:ascii="宋体" w:hAnsi="宋体" w:cs="宋体"/>
          <w:color w:val="auto"/>
          <w:szCs w:val="21"/>
          <w:highlight w:val="none"/>
        </w:rPr>
        <w:t>税务登记证复印件（已办理三证合一的则不需提供）</w:t>
      </w:r>
      <w:r>
        <w:rPr>
          <w:rFonts w:hint="eastAsia" w:ascii="宋体" w:hAnsi="宋体" w:cs="宋体"/>
          <w:color w:val="auto"/>
          <w:szCs w:val="20"/>
          <w:highlight w:val="none"/>
        </w:rPr>
        <w:t>；</w:t>
      </w:r>
      <w:r>
        <w:rPr>
          <w:rFonts w:hint="eastAsia" w:ascii="宋体" w:hAnsi="宋体" w:cs="宋体"/>
          <w:color w:val="auto"/>
          <w:highlight w:val="none"/>
        </w:rPr>
        <w:t>以上资料复印件均须加盖单位公章并注明“此复印件与原件相符”。已购买竞争性谈判文件的潜在竞标人不等于符合本项目的合格供应商资格。</w:t>
      </w:r>
      <w:r>
        <w:rPr>
          <w:rFonts w:hint="eastAsia" w:ascii="宋体" w:hAnsi="宋体" w:cs="宋体"/>
          <w:color w:val="auto"/>
          <w:szCs w:val="21"/>
          <w:highlight w:val="none"/>
        </w:rPr>
        <w:t>以上所有材料均须提供复印件且加盖单位公章，并注明“此复印件与原件相符”，否则不予受理。已购买采购文件的竞标人不等于符合本项目的竞标资格。</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highlight w:val="none"/>
        </w:rPr>
        <w:t>竞争性谈判文件工本费每本250元，不代办邮购，售后不退</w:t>
      </w:r>
      <w:r>
        <w:rPr>
          <w:rFonts w:hint="eastAsia" w:ascii="宋体" w:hAnsi="宋体" w:cs="宋体"/>
          <w:bCs/>
          <w:color w:val="auto"/>
          <w:highlight w:val="none"/>
        </w:rPr>
        <w:t>。</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highlight w:val="none"/>
        </w:rPr>
      </w:pPr>
      <w:bookmarkStart w:id="16" w:name="_Toc28359092"/>
      <w:bookmarkStart w:id="17" w:name="_Toc35393632"/>
      <w:bookmarkStart w:id="18" w:name="_Toc35393801"/>
      <w:bookmarkStart w:id="19" w:name="_Toc28359015"/>
      <w:bookmarkStart w:id="20" w:name="_Toc13242"/>
      <w:r>
        <w:rPr>
          <w:rFonts w:hint="eastAsia" w:ascii="宋体" w:hAnsi="宋体" w:eastAsia="宋体" w:cs="宋体"/>
          <w:color w:val="auto"/>
          <w:sz w:val="21"/>
          <w:szCs w:val="21"/>
          <w:highlight w:val="none"/>
        </w:rPr>
        <w:t>四、响应文件提交</w:t>
      </w:r>
      <w:bookmarkEnd w:id="16"/>
      <w:bookmarkEnd w:id="17"/>
      <w:bookmarkEnd w:id="18"/>
      <w:bookmarkEnd w:id="19"/>
      <w:bookmarkEnd w:id="20"/>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lang w:eastAsia="zh-CN"/>
        </w:rPr>
        <w:t>2020年11月27日</w:t>
      </w:r>
      <w:r>
        <w:rPr>
          <w:rFonts w:hint="eastAsia" w:ascii="宋体" w:hAnsi="宋体" w:cs="宋体"/>
          <w:bCs/>
          <w:color w:val="auto"/>
          <w:szCs w:val="21"/>
          <w:highlight w:val="none"/>
        </w:rPr>
        <w:t>09点30分（北京时间）</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地点：广西同泽工程项目管理股份有限公司柳州分公司（柳州市桂中大道南端6号九洲国际25楼）</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highlight w:val="none"/>
        </w:rPr>
      </w:pPr>
      <w:bookmarkStart w:id="21" w:name="_Toc28359016"/>
      <w:bookmarkStart w:id="22" w:name="_Toc35393802"/>
      <w:bookmarkStart w:id="23" w:name="_Toc28359093"/>
      <w:bookmarkStart w:id="24" w:name="_Toc35393633"/>
      <w:bookmarkStart w:id="25" w:name="_Toc15755"/>
      <w:r>
        <w:rPr>
          <w:rFonts w:hint="eastAsia" w:ascii="宋体" w:hAnsi="宋体" w:eastAsia="宋体" w:cs="宋体"/>
          <w:color w:val="auto"/>
          <w:sz w:val="21"/>
          <w:szCs w:val="21"/>
          <w:highlight w:val="none"/>
        </w:rPr>
        <w:t>五、开启</w:t>
      </w:r>
      <w:bookmarkEnd w:id="21"/>
      <w:bookmarkEnd w:id="22"/>
      <w:bookmarkEnd w:id="23"/>
      <w:bookmarkEnd w:id="24"/>
      <w:bookmarkEnd w:id="25"/>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2020年11月27日</w:t>
      </w:r>
      <w:r>
        <w:rPr>
          <w:rFonts w:hint="eastAsia" w:ascii="宋体" w:hAnsi="宋体" w:cs="宋体"/>
          <w:bCs/>
          <w:color w:val="auto"/>
          <w:szCs w:val="21"/>
          <w:highlight w:val="none"/>
        </w:rPr>
        <w:t>09点30分（北京时间）</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地点：广西同泽工程项目管理股份有限公司柳州分公司（柳州市桂中大道南端6号九洲国际25楼）</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highlight w:val="none"/>
        </w:rPr>
      </w:pPr>
      <w:bookmarkStart w:id="26" w:name="_Toc35393803"/>
      <w:bookmarkStart w:id="27" w:name="_Toc35393634"/>
      <w:bookmarkStart w:id="28" w:name="_Toc28359017"/>
      <w:bookmarkStart w:id="29" w:name="_Toc28359094"/>
      <w:bookmarkStart w:id="30" w:name="_Toc30085"/>
      <w:r>
        <w:rPr>
          <w:rFonts w:hint="eastAsia" w:ascii="宋体" w:hAnsi="宋体" w:eastAsia="宋体" w:cs="宋体"/>
          <w:color w:val="auto"/>
          <w:sz w:val="21"/>
          <w:szCs w:val="21"/>
          <w:highlight w:val="none"/>
        </w:rPr>
        <w:t>六、公告期限</w:t>
      </w:r>
      <w:bookmarkEnd w:id="26"/>
      <w:bookmarkEnd w:id="27"/>
      <w:bookmarkEnd w:id="28"/>
      <w:bookmarkEnd w:id="29"/>
      <w:bookmarkEnd w:id="30"/>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highlight w:val="none"/>
        </w:rPr>
      </w:pPr>
      <w:bookmarkStart w:id="31" w:name="_Toc35393635"/>
      <w:bookmarkStart w:id="32" w:name="_Toc35393804"/>
      <w:bookmarkStart w:id="33" w:name="_Toc4676"/>
      <w:r>
        <w:rPr>
          <w:rFonts w:hint="eastAsia" w:ascii="宋体" w:hAnsi="宋体" w:eastAsia="宋体" w:cs="宋体"/>
          <w:color w:val="auto"/>
          <w:sz w:val="21"/>
          <w:szCs w:val="21"/>
          <w:highlight w:val="none"/>
        </w:rPr>
        <w:t>七、其他补充事宜</w:t>
      </w:r>
      <w:bookmarkEnd w:id="31"/>
      <w:bookmarkEnd w:id="32"/>
      <w:bookmarkEnd w:id="33"/>
    </w:p>
    <w:p>
      <w:pPr>
        <w:pageBreakBefore w:val="0"/>
        <w:widowControl w:val="0"/>
        <w:kinsoku/>
        <w:wordWrap w:val="0"/>
        <w:overflowPunct/>
        <w:topLinePunct w:val="0"/>
        <w:autoSpaceDE/>
        <w:autoSpaceDN/>
        <w:bidi w:val="0"/>
        <w:adjustRightInd/>
        <w:spacing w:line="38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1.谈判保证金：</w:t>
      </w:r>
      <w:r>
        <w:rPr>
          <w:rFonts w:hint="eastAsia" w:ascii="宋体" w:hAnsi="宋体" w:cs="宋体"/>
          <w:bCs/>
          <w:color w:val="auto"/>
          <w:highlight w:val="none"/>
          <w:lang w:eastAsia="zh-CN"/>
        </w:rPr>
        <w:t>人民币壹万元整（￥10000.00）</w:t>
      </w:r>
    </w:p>
    <w:p>
      <w:pPr>
        <w:pageBreakBefore w:val="0"/>
        <w:widowControl w:val="0"/>
        <w:kinsoku/>
        <w:wordWrap w:val="0"/>
        <w:overflowPunct/>
        <w:topLinePunct w:val="0"/>
        <w:autoSpaceDE/>
        <w:autoSpaceDN/>
        <w:bidi w:val="0"/>
        <w:adjustRightInd/>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竞标人应</w:t>
      </w:r>
      <w:r>
        <w:rPr>
          <w:rFonts w:hint="eastAsia" w:ascii="宋体" w:hAnsi="宋体" w:cs="宋体"/>
          <w:color w:val="auto"/>
          <w:szCs w:val="21"/>
          <w:highlight w:val="none"/>
          <w:lang w:eastAsia="zh-CN"/>
        </w:rPr>
        <w:t>竞标截止时间</w:t>
      </w:r>
      <w:r>
        <w:rPr>
          <w:rFonts w:hint="eastAsia" w:ascii="宋体" w:hAnsi="宋体" w:cs="宋体"/>
          <w:color w:val="auto"/>
          <w:szCs w:val="21"/>
          <w:highlight w:val="none"/>
        </w:rPr>
        <w:t>前将谈判保证金</w:t>
      </w:r>
      <w:bookmarkStart w:id="34" w:name="OLE_LINK8"/>
      <w:r>
        <w:rPr>
          <w:rFonts w:hint="eastAsia" w:ascii="宋体" w:hAnsi="宋体" w:cs="宋体"/>
          <w:color w:val="auto"/>
          <w:szCs w:val="21"/>
          <w:highlight w:val="none"/>
        </w:rPr>
        <w:t>以电汇、转帐、等非现金形式</w:t>
      </w:r>
      <w:bookmarkEnd w:id="34"/>
      <w:r>
        <w:rPr>
          <w:rFonts w:hint="eastAsia" w:ascii="宋体" w:hAnsi="宋体" w:cs="宋体"/>
          <w:color w:val="auto"/>
          <w:szCs w:val="21"/>
          <w:highlight w:val="none"/>
        </w:rPr>
        <w:t>达到以下账户。</w:t>
      </w:r>
    </w:p>
    <w:p>
      <w:pPr>
        <w:pageBreakBefore w:val="0"/>
        <w:widowControl w:val="0"/>
        <w:kinsoku/>
        <w:wordWrap w:val="0"/>
        <w:overflowPunct/>
        <w:topLinePunct w:val="0"/>
        <w:autoSpaceDE/>
        <w:autoSpaceDN/>
        <w:bidi w:val="0"/>
        <w:adjustRightInd/>
        <w:snapToGrid w:val="0"/>
        <w:spacing w:line="38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开户名称：广西同泽工程项目管理股份有限公司柳州分公司</w:t>
      </w:r>
    </w:p>
    <w:p>
      <w:pPr>
        <w:pageBreakBefore w:val="0"/>
        <w:widowControl w:val="0"/>
        <w:kinsoku/>
        <w:wordWrap w:val="0"/>
        <w:overflowPunct/>
        <w:topLinePunct w:val="0"/>
        <w:autoSpaceDE/>
        <w:autoSpaceDN/>
        <w:bidi w:val="0"/>
        <w:adjustRightInd/>
        <w:snapToGrid w:val="0"/>
        <w:spacing w:line="38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开户银行：柳州市区农村信用合作联社窑埠分社</w:t>
      </w:r>
    </w:p>
    <w:p>
      <w:pPr>
        <w:pageBreakBefore w:val="0"/>
        <w:widowControl w:val="0"/>
        <w:kinsoku/>
        <w:wordWrap w:val="0"/>
        <w:overflowPunct/>
        <w:topLinePunct w:val="0"/>
        <w:autoSpaceDE/>
        <w:autoSpaceDN/>
        <w:bidi w:val="0"/>
        <w:adjustRightInd/>
        <w:snapToGrid w:val="0"/>
        <w:spacing w:line="38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银行账号：2682 1201 0108 4782 11</w:t>
      </w:r>
    </w:p>
    <w:p>
      <w:pPr>
        <w:pageBreakBefore w:val="0"/>
        <w:widowControl w:val="0"/>
        <w:kinsoku/>
        <w:overflowPunct/>
        <w:topLinePunct w:val="0"/>
        <w:autoSpaceDE/>
        <w:autoSpaceDN/>
        <w:bidi w:val="0"/>
        <w:adjustRightInd/>
        <w:spacing w:line="380" w:lineRule="exact"/>
        <w:ind w:firstLine="420"/>
        <w:rPr>
          <w:rFonts w:ascii="宋体" w:hAnsi="宋体" w:cs="宋体"/>
          <w:color w:val="auto"/>
          <w:szCs w:val="21"/>
          <w:highlight w:val="none"/>
        </w:rPr>
      </w:pPr>
      <w:r>
        <w:rPr>
          <w:rFonts w:hint="eastAsia" w:ascii="宋体" w:hAnsi="宋体" w:cs="宋体"/>
          <w:color w:val="auto"/>
          <w:szCs w:val="21"/>
          <w:highlight w:val="none"/>
        </w:rPr>
        <w:t>2.参加谈判的法定代表人（负责人或自然人）或委托代理人必须持有效证件[</w:t>
      </w:r>
      <w:r>
        <w:rPr>
          <w:rFonts w:hint="eastAsia" w:ascii="宋体" w:hAnsi="宋体" w:cs="宋体"/>
          <w:bCs/>
          <w:color w:val="auto"/>
          <w:szCs w:val="21"/>
          <w:highlight w:val="none"/>
        </w:rPr>
        <w:t>有效的法定代表人身份证明原件及身份证原件</w:t>
      </w:r>
      <w:r>
        <w:rPr>
          <w:rFonts w:hint="eastAsia" w:ascii="宋体" w:hAnsi="宋体" w:cs="宋体"/>
          <w:color w:val="auto"/>
          <w:szCs w:val="21"/>
          <w:highlight w:val="none"/>
        </w:rPr>
        <w:t>或</w:t>
      </w:r>
      <w:r>
        <w:rPr>
          <w:rFonts w:hint="eastAsia" w:ascii="宋体" w:hAnsi="宋体" w:cs="宋体"/>
          <w:bCs/>
          <w:color w:val="auto"/>
          <w:szCs w:val="21"/>
          <w:highlight w:val="none"/>
        </w:rPr>
        <w:t>委托代理人身份证原件及法定代表人授权委托书原件</w:t>
      </w:r>
      <w:r>
        <w:rPr>
          <w:rFonts w:hint="eastAsia" w:ascii="宋体" w:hAnsi="宋体" w:cs="宋体"/>
          <w:color w:val="auto"/>
          <w:szCs w:val="21"/>
          <w:highlight w:val="none"/>
        </w:rPr>
        <w:t>]依时到达指定地点等候当面谈判。</w:t>
      </w:r>
    </w:p>
    <w:p>
      <w:pPr>
        <w:pageBreakBefore w:val="0"/>
        <w:widowControl w:val="0"/>
        <w:kinsoku/>
        <w:wordWrap w:val="0"/>
        <w:overflowPunct/>
        <w:topLinePunct w:val="0"/>
        <w:autoSpaceDE/>
        <w:autoSpaceDN/>
        <w:bidi w:val="0"/>
        <w:adjustRightInd/>
        <w:spacing w:line="380" w:lineRule="exact"/>
        <w:ind w:firstLine="420" w:firstLineChars="200"/>
        <w:rPr>
          <w:rFonts w:hint="eastAsia" w:ascii="宋体" w:hAnsi="宋体" w:eastAsia="宋体" w:cs="宋体"/>
          <w:color w:val="auto"/>
          <w:sz w:val="21"/>
          <w:szCs w:val="21"/>
          <w:highlight w:val="none"/>
        </w:rPr>
      </w:pPr>
      <w:bookmarkStart w:id="35" w:name="_Toc35393636"/>
      <w:bookmarkStart w:id="36" w:name="_Toc35393805"/>
      <w:bookmarkStart w:id="37" w:name="_Toc28359095"/>
      <w:bookmarkStart w:id="38" w:name="_Toc28359018"/>
      <w:r>
        <w:rPr>
          <w:rFonts w:hint="eastAsia" w:ascii="宋体" w:hAnsi="宋体" w:cs="宋体"/>
          <w:color w:val="auto"/>
          <w:highlight w:val="none"/>
          <w:lang w:val="en-US" w:eastAsia="zh-CN"/>
        </w:rPr>
        <w:t>3.</w:t>
      </w:r>
      <w:r>
        <w:rPr>
          <w:rFonts w:hint="eastAsia" w:ascii="宋体" w:hAnsi="宋体" w:cs="宋体"/>
          <w:color w:val="auto"/>
          <w:highlight w:val="none"/>
        </w:rPr>
        <w:t>监督部门：</w:t>
      </w:r>
      <w:r>
        <w:rPr>
          <w:rFonts w:hint="eastAsia" w:ascii="宋体" w:hAnsi="宋体" w:cs="宋体"/>
          <w:color w:val="auto"/>
          <w:highlight w:val="none"/>
          <w:lang w:eastAsia="zh-CN"/>
        </w:rPr>
        <w:t>柳州市城中区财政局</w:t>
      </w:r>
      <w:r>
        <w:rPr>
          <w:rFonts w:hint="eastAsia" w:ascii="宋体" w:hAnsi="宋体" w:cs="宋体"/>
          <w:color w:val="auto"/>
          <w:highlight w:val="none"/>
          <w:lang w:val="en-US" w:eastAsia="zh-CN"/>
        </w:rPr>
        <w:t xml:space="preserve">   </w:t>
      </w:r>
      <w:r>
        <w:rPr>
          <w:rFonts w:hint="eastAsia" w:ascii="宋体" w:hAnsi="宋体" w:cs="宋体"/>
          <w:color w:val="auto"/>
          <w:highlight w:val="none"/>
        </w:rPr>
        <w:t>电话：</w:t>
      </w:r>
      <w:r>
        <w:rPr>
          <w:rFonts w:hint="eastAsia" w:ascii="宋体" w:hAnsi="宋体" w:cs="宋体"/>
          <w:color w:val="auto"/>
          <w:highlight w:val="none"/>
          <w:lang w:eastAsia="zh-CN"/>
        </w:rPr>
        <w:t>0772-2094753</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highlight w:val="none"/>
        </w:rPr>
      </w:pPr>
      <w:bookmarkStart w:id="39" w:name="_Toc24375"/>
      <w:r>
        <w:rPr>
          <w:rFonts w:hint="eastAsia" w:ascii="宋体" w:hAnsi="宋体" w:eastAsia="宋体" w:cs="宋体"/>
          <w:color w:val="auto"/>
          <w:sz w:val="21"/>
          <w:szCs w:val="21"/>
          <w:highlight w:val="none"/>
        </w:rPr>
        <w:t>八、凡对本次采购提出询问，请按以下方式联系。</w:t>
      </w:r>
      <w:bookmarkEnd w:id="35"/>
      <w:bookmarkEnd w:id="36"/>
      <w:bookmarkEnd w:id="37"/>
      <w:bookmarkEnd w:id="38"/>
      <w:bookmarkEnd w:id="39"/>
    </w:p>
    <w:p>
      <w:pPr>
        <w:pStyle w:val="4"/>
        <w:pageBreakBefore w:val="0"/>
        <w:widowControl w:val="0"/>
        <w:kinsoku/>
        <w:overflowPunct/>
        <w:topLinePunct w:val="0"/>
        <w:autoSpaceDE/>
        <w:autoSpaceDN/>
        <w:bidi w:val="0"/>
        <w:adjustRightInd/>
        <w:spacing w:before="0" w:after="0" w:line="380" w:lineRule="exact"/>
        <w:ind w:firstLine="420" w:firstLineChars="200"/>
        <w:jc w:val="left"/>
        <w:rPr>
          <w:rFonts w:ascii="宋体" w:hAnsi="宋体" w:eastAsia="宋体" w:cs="宋体"/>
          <w:b w:val="0"/>
          <w:color w:val="auto"/>
          <w:sz w:val="21"/>
          <w:szCs w:val="21"/>
          <w:highlight w:val="none"/>
        </w:rPr>
      </w:pPr>
      <w:bookmarkStart w:id="40" w:name="_Toc28359019"/>
      <w:bookmarkStart w:id="41" w:name="_Toc35393637"/>
      <w:bookmarkStart w:id="42" w:name="_Toc28359096"/>
      <w:bookmarkStart w:id="43" w:name="_Toc35393806"/>
      <w:bookmarkStart w:id="44" w:name="_Toc31548"/>
      <w:r>
        <w:rPr>
          <w:rFonts w:hint="eastAsia" w:ascii="宋体" w:hAnsi="宋体" w:eastAsia="宋体" w:cs="宋体"/>
          <w:b w:val="0"/>
          <w:color w:val="auto"/>
          <w:sz w:val="21"/>
          <w:szCs w:val="21"/>
          <w:highlight w:val="none"/>
        </w:rPr>
        <w:t>1.采购人信息</w:t>
      </w:r>
      <w:bookmarkEnd w:id="40"/>
      <w:bookmarkEnd w:id="41"/>
      <w:bookmarkEnd w:id="42"/>
      <w:bookmarkEnd w:id="43"/>
      <w:bookmarkEnd w:id="44"/>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柳州市城中区卫生健康局</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柳州市城中区河东管理大厦</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kern w:val="0"/>
          <w:szCs w:val="21"/>
          <w:highlight w:val="none"/>
          <w:lang w:eastAsia="zh-CN"/>
        </w:rPr>
        <w:t>0772-2623162</w:t>
      </w:r>
    </w:p>
    <w:p>
      <w:pPr>
        <w:pStyle w:val="4"/>
        <w:pageBreakBefore w:val="0"/>
        <w:widowControl w:val="0"/>
        <w:kinsoku/>
        <w:overflowPunct/>
        <w:topLinePunct w:val="0"/>
        <w:autoSpaceDE/>
        <w:autoSpaceDN/>
        <w:bidi w:val="0"/>
        <w:adjustRightInd/>
        <w:spacing w:before="0" w:after="0" w:line="380" w:lineRule="exact"/>
        <w:ind w:firstLine="420" w:firstLineChars="200"/>
        <w:jc w:val="left"/>
        <w:rPr>
          <w:rFonts w:ascii="宋体" w:hAnsi="宋体" w:eastAsia="宋体" w:cs="宋体"/>
          <w:b w:val="0"/>
          <w:bCs w:val="0"/>
          <w:color w:val="auto"/>
          <w:sz w:val="21"/>
          <w:szCs w:val="21"/>
          <w:highlight w:val="none"/>
        </w:rPr>
      </w:pPr>
      <w:bookmarkStart w:id="45" w:name="_Toc28359020"/>
      <w:bookmarkStart w:id="46" w:name="_Toc35393638"/>
      <w:bookmarkStart w:id="47" w:name="_Toc6465"/>
      <w:bookmarkStart w:id="48" w:name="_Toc28359097"/>
      <w:bookmarkStart w:id="49" w:name="_Toc35393807"/>
      <w:r>
        <w:rPr>
          <w:rFonts w:hint="eastAsia" w:ascii="宋体" w:hAnsi="宋体" w:eastAsia="宋体" w:cs="宋体"/>
          <w:b w:val="0"/>
          <w:bCs w:val="0"/>
          <w:color w:val="auto"/>
          <w:sz w:val="21"/>
          <w:szCs w:val="21"/>
          <w:highlight w:val="none"/>
        </w:rPr>
        <w:t>2.采购代理机构信息</w:t>
      </w:r>
      <w:bookmarkEnd w:id="45"/>
      <w:bookmarkEnd w:id="46"/>
      <w:bookmarkEnd w:id="47"/>
      <w:bookmarkEnd w:id="48"/>
      <w:bookmarkEnd w:id="49"/>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名称：广西同泽工程项目管理股份有限公司</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址：柳州市桂中大道南端6号九洲国际25楼</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联系方式：0772-3808868</w:t>
      </w:r>
    </w:p>
    <w:p>
      <w:pPr>
        <w:pStyle w:val="4"/>
        <w:pageBreakBefore w:val="0"/>
        <w:widowControl w:val="0"/>
        <w:kinsoku/>
        <w:overflowPunct/>
        <w:topLinePunct w:val="0"/>
        <w:autoSpaceDE/>
        <w:autoSpaceDN/>
        <w:bidi w:val="0"/>
        <w:adjustRightInd/>
        <w:spacing w:before="0" w:after="0" w:line="380" w:lineRule="exact"/>
        <w:ind w:firstLine="420" w:firstLineChars="200"/>
        <w:jc w:val="left"/>
        <w:rPr>
          <w:rFonts w:ascii="宋体" w:hAnsi="宋体" w:eastAsia="宋体" w:cs="宋体"/>
          <w:b w:val="0"/>
          <w:bCs w:val="0"/>
          <w:color w:val="auto"/>
          <w:sz w:val="21"/>
          <w:szCs w:val="21"/>
          <w:highlight w:val="none"/>
        </w:rPr>
      </w:pPr>
      <w:bookmarkStart w:id="50" w:name="_Toc28359098"/>
      <w:bookmarkStart w:id="51" w:name="_Toc28359021"/>
      <w:bookmarkStart w:id="52" w:name="_Toc35393639"/>
      <w:bookmarkStart w:id="53" w:name="_Toc35393808"/>
      <w:bookmarkStart w:id="54" w:name="_Toc14567"/>
      <w:r>
        <w:rPr>
          <w:rFonts w:hint="eastAsia" w:ascii="宋体" w:hAnsi="宋体" w:eastAsia="宋体" w:cs="宋体"/>
          <w:b w:val="0"/>
          <w:bCs w:val="0"/>
          <w:color w:val="auto"/>
          <w:sz w:val="21"/>
          <w:szCs w:val="21"/>
          <w:highlight w:val="none"/>
        </w:rPr>
        <w:t>3.项目联系方式</w:t>
      </w:r>
      <w:bookmarkEnd w:id="50"/>
      <w:bookmarkEnd w:id="51"/>
      <w:bookmarkEnd w:id="52"/>
      <w:bookmarkEnd w:id="53"/>
      <w:bookmarkEnd w:id="54"/>
    </w:p>
    <w:p>
      <w:pPr>
        <w:pStyle w:val="14"/>
        <w:pageBreakBefore w:val="0"/>
        <w:widowControl w:val="0"/>
        <w:kinsoku/>
        <w:overflowPunct/>
        <w:topLinePunct w:val="0"/>
        <w:autoSpaceDE/>
        <w:autoSpaceDN/>
        <w:bidi w:val="0"/>
        <w:adjustRightInd/>
        <w:spacing w:line="380" w:lineRule="exact"/>
        <w:ind w:firstLine="420" w:firstLineChars="200"/>
        <w:jc w:val="left"/>
        <w:rPr>
          <w:rFonts w:hAnsi="宋体" w:cs="宋体"/>
          <w:color w:val="auto"/>
          <w:szCs w:val="21"/>
          <w:highlight w:val="none"/>
        </w:rPr>
      </w:pPr>
      <w:r>
        <w:rPr>
          <w:rFonts w:hint="eastAsia" w:hAnsi="宋体" w:cs="宋体"/>
          <w:color w:val="auto"/>
          <w:szCs w:val="21"/>
          <w:highlight w:val="none"/>
        </w:rPr>
        <w:t>项目联系人：廖露思</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电　　话：0772-3808868</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cs="宋体"/>
          <w:color w:val="auto"/>
          <w:szCs w:val="21"/>
          <w:highlight w:val="none"/>
        </w:rPr>
      </w:pPr>
    </w:p>
    <w:p>
      <w:pPr>
        <w:pageBreakBefore w:val="0"/>
        <w:widowControl w:val="0"/>
        <w:kinsoku/>
        <w:overflowPunct/>
        <w:topLinePunct w:val="0"/>
        <w:autoSpaceDE/>
        <w:autoSpaceDN/>
        <w:bidi w:val="0"/>
        <w:adjustRightInd/>
        <w:spacing w:line="380" w:lineRule="exact"/>
        <w:rPr>
          <w:color w:val="auto"/>
          <w:highlight w:val="none"/>
        </w:rPr>
      </w:pPr>
    </w:p>
    <w:p>
      <w:pPr>
        <w:pageBreakBefore w:val="0"/>
        <w:widowControl w:val="0"/>
        <w:kinsoku/>
        <w:overflowPunct/>
        <w:topLinePunct w:val="0"/>
        <w:autoSpaceDE/>
        <w:autoSpaceDN/>
        <w:bidi w:val="0"/>
        <w:adjustRightInd/>
        <w:spacing w:line="380" w:lineRule="exact"/>
        <w:jc w:val="right"/>
        <w:rPr>
          <w:rFonts w:ascii="宋体" w:hAnsi="宋体" w:cs="宋体"/>
          <w:color w:val="auto"/>
          <w:szCs w:val="21"/>
          <w:highlight w:val="none"/>
        </w:rPr>
      </w:pPr>
      <w:r>
        <w:rPr>
          <w:rFonts w:hint="eastAsia" w:ascii="宋体" w:hAnsi="宋体" w:cs="宋体"/>
          <w:color w:val="auto"/>
          <w:szCs w:val="21"/>
          <w:highlight w:val="none"/>
        </w:rPr>
        <w:t>广西同泽工程项目管理股份有限公司</w:t>
      </w:r>
    </w:p>
    <w:p>
      <w:pPr>
        <w:pageBreakBefore w:val="0"/>
        <w:widowControl w:val="0"/>
        <w:kinsoku/>
        <w:wordWrap w:val="0"/>
        <w:overflowPunct/>
        <w:topLinePunct w:val="0"/>
        <w:autoSpaceDE/>
        <w:autoSpaceDN/>
        <w:bidi w:val="0"/>
        <w:adjustRightInd/>
        <w:spacing w:line="380" w:lineRule="exact"/>
        <w:ind w:firstLine="6930" w:firstLineChars="3300"/>
        <w:rPr>
          <w:rFonts w:hint="eastAsia" w:hAnsi="宋体" w:eastAsia="宋体" w:cs="宋体"/>
          <w:color w:val="auto"/>
          <w:highlight w:val="none"/>
          <w:lang w:eastAsia="zh-CN"/>
        </w:rPr>
      </w:pPr>
      <w:r>
        <w:rPr>
          <w:rFonts w:hint="eastAsia" w:ascii="宋体" w:hAnsi="宋体" w:cs="宋体"/>
          <w:color w:val="auto"/>
          <w:szCs w:val="21"/>
          <w:highlight w:val="none"/>
          <w:lang w:eastAsia="zh-CN"/>
        </w:rPr>
        <w:t>2020年11月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日</w:t>
      </w:r>
    </w:p>
    <w:p>
      <w:pPr>
        <w:pStyle w:val="3"/>
        <w:rPr>
          <w:rFonts w:ascii="宋体" w:hAnsi="宋体" w:cs="宋体"/>
          <w:color w:val="auto"/>
          <w:highlight w:val="none"/>
        </w:rPr>
      </w:pPr>
      <w:bookmarkStart w:id="55" w:name="_Toc15619"/>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color w:val="auto"/>
          <w:highlight w:val="none"/>
        </w:rPr>
        <w:t>竞标人须知及前附表</w:t>
      </w:r>
      <w:bookmarkEnd w:id="55"/>
      <w:bookmarkStart w:id="56" w:name="_Toc309120987"/>
      <w:bookmarkStart w:id="57" w:name="_Toc393117383"/>
      <w:bookmarkStart w:id="58" w:name="_Toc309205452"/>
      <w:bookmarkStart w:id="59" w:name="_Toc306374459"/>
      <w:bookmarkStart w:id="60" w:name="_Toc312246005"/>
      <w:bookmarkStart w:id="61" w:name="_Toc249249594"/>
      <w:bookmarkStart w:id="62" w:name="_Toc306609871"/>
      <w:bookmarkStart w:id="63" w:name="_Toc393117382"/>
      <w:bookmarkStart w:id="64" w:name="_Toc309204316"/>
      <w:bookmarkStart w:id="65" w:name="_Toc306374498"/>
      <w:bookmarkStart w:id="66" w:name="_Toc229879816"/>
      <w:bookmarkStart w:id="67" w:name="_Toc265056128"/>
    </w:p>
    <w:bookmarkEnd w:id="56"/>
    <w:bookmarkEnd w:id="57"/>
    <w:bookmarkEnd w:id="58"/>
    <w:bookmarkEnd w:id="59"/>
    <w:bookmarkEnd w:id="60"/>
    <w:bookmarkEnd w:id="61"/>
    <w:bookmarkEnd w:id="62"/>
    <w:bookmarkEnd w:id="63"/>
    <w:bookmarkEnd w:id="64"/>
    <w:bookmarkEnd w:id="65"/>
    <w:bookmarkEnd w:id="66"/>
    <w:bookmarkEnd w:id="67"/>
    <w:tbl>
      <w:tblPr>
        <w:tblStyle w:val="29"/>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058"/>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pStyle w:val="84"/>
              <w:wordWrap w:val="0"/>
              <w:spacing w:line="400" w:lineRule="exact"/>
              <w:jc w:val="center"/>
              <w:rPr>
                <w:rFonts w:hAnsi="宋体" w:cs="宋体"/>
                <w:color w:val="auto"/>
                <w:highlight w:val="none"/>
              </w:rPr>
            </w:pPr>
            <w:r>
              <w:rPr>
                <w:rFonts w:hint="eastAsia" w:hAnsi="宋体" w:cs="宋体"/>
                <w:color w:val="auto"/>
                <w:highlight w:val="none"/>
              </w:rPr>
              <w:t>项号</w:t>
            </w:r>
          </w:p>
        </w:tc>
        <w:tc>
          <w:tcPr>
            <w:tcW w:w="1058" w:type="dxa"/>
            <w:vAlign w:val="center"/>
          </w:tcPr>
          <w:p>
            <w:pPr>
              <w:pStyle w:val="84"/>
              <w:wordWrap w:val="0"/>
              <w:spacing w:line="400" w:lineRule="exact"/>
              <w:jc w:val="center"/>
              <w:rPr>
                <w:rFonts w:hAnsi="宋体" w:cs="宋体"/>
                <w:color w:val="auto"/>
                <w:highlight w:val="none"/>
              </w:rPr>
            </w:pPr>
            <w:r>
              <w:rPr>
                <w:rFonts w:hint="eastAsia" w:hAnsi="宋体" w:cs="宋体"/>
                <w:color w:val="auto"/>
                <w:highlight w:val="none"/>
              </w:rPr>
              <w:t>条款号</w:t>
            </w:r>
          </w:p>
        </w:tc>
        <w:tc>
          <w:tcPr>
            <w:tcW w:w="8025" w:type="dxa"/>
            <w:vAlign w:val="center"/>
          </w:tcPr>
          <w:p>
            <w:pPr>
              <w:pStyle w:val="84"/>
              <w:wordWrap w:val="0"/>
              <w:spacing w:line="400" w:lineRule="exact"/>
              <w:jc w:val="center"/>
              <w:rPr>
                <w:rFonts w:hAnsi="宋体" w:cs="宋体"/>
                <w:color w:val="auto"/>
                <w:highlight w:val="none"/>
              </w:rPr>
            </w:pPr>
            <w:r>
              <w:rPr>
                <w:rFonts w:hint="eastAsia" w:hAnsi="宋体" w:cs="宋体"/>
                <w:color w:val="auto"/>
                <w:highlight w:val="none"/>
              </w:rPr>
              <w:t>内</w:t>
            </w:r>
            <w:r>
              <w:rPr>
                <w:rFonts w:hint="eastAsia" w:hAnsi="宋体" w:cs="宋体"/>
                <w:color w:val="auto"/>
                <w:highlight w:val="none"/>
                <w:lang w:val="en-US" w:eastAsia="zh-CN"/>
              </w:rPr>
              <w:t xml:space="preserve">  </w:t>
            </w:r>
            <w:r>
              <w:rPr>
                <w:rFonts w:hint="eastAsia" w:hAnsi="宋体" w:cs="宋体"/>
                <w:color w:val="auto"/>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058" w:type="dxa"/>
            <w:vAlign w:val="center"/>
          </w:tcPr>
          <w:p>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025" w:type="dxa"/>
            <w:vAlign w:val="center"/>
          </w:tcPr>
          <w:p>
            <w:pPr>
              <w:pStyle w:val="12"/>
              <w:wordWrap w:val="0"/>
              <w:spacing w:line="400" w:lineRule="exact"/>
              <w:ind w:firstLine="0"/>
              <w:rPr>
                <w:rFonts w:hint="eastAsia" w:hAnsi="宋体" w:eastAsia="宋体" w:cs="宋体"/>
                <w:color w:val="auto"/>
                <w:spacing w:val="0"/>
                <w:sz w:val="21"/>
                <w:szCs w:val="21"/>
                <w:highlight w:val="none"/>
                <w:lang w:eastAsia="zh-CN"/>
              </w:rPr>
            </w:pPr>
            <w:r>
              <w:rPr>
                <w:rFonts w:hint="eastAsia" w:hAnsi="宋体" w:cs="宋体"/>
                <w:color w:val="auto"/>
                <w:spacing w:val="0"/>
                <w:sz w:val="21"/>
                <w:szCs w:val="21"/>
                <w:highlight w:val="none"/>
              </w:rPr>
              <w:t>项目名称：</w:t>
            </w:r>
            <w:r>
              <w:rPr>
                <w:rFonts w:hint="eastAsia" w:hAnsi="宋体" w:cs="宋体"/>
                <w:color w:val="auto"/>
                <w:spacing w:val="0"/>
                <w:sz w:val="21"/>
                <w:szCs w:val="21"/>
                <w:highlight w:val="none"/>
                <w:lang w:eastAsia="zh-CN"/>
              </w:rPr>
              <w:t>城中区基层医疗卫生机构医疗设备采购</w:t>
            </w:r>
          </w:p>
          <w:p>
            <w:pPr>
              <w:pStyle w:val="12"/>
              <w:wordWrap w:val="0"/>
              <w:spacing w:line="400" w:lineRule="exact"/>
              <w:ind w:firstLine="0"/>
              <w:rPr>
                <w:rFonts w:hint="eastAsia" w:hAnsi="宋体" w:eastAsia="宋体" w:cs="宋体"/>
                <w:color w:val="auto"/>
                <w:spacing w:val="0"/>
                <w:sz w:val="21"/>
                <w:szCs w:val="21"/>
                <w:highlight w:val="none"/>
                <w:lang w:eastAsia="zh-CN"/>
              </w:rPr>
            </w:pPr>
            <w:r>
              <w:rPr>
                <w:rFonts w:hint="eastAsia" w:hAnsi="宋体" w:cs="宋体"/>
                <w:color w:val="auto"/>
                <w:spacing w:val="0"/>
                <w:sz w:val="21"/>
                <w:szCs w:val="21"/>
                <w:highlight w:val="none"/>
              </w:rPr>
              <w:t>采购编号：</w:t>
            </w:r>
            <w:r>
              <w:rPr>
                <w:rFonts w:hint="eastAsia" w:hAnsi="宋体" w:cs="宋体"/>
                <w:color w:val="auto"/>
                <w:spacing w:val="0"/>
                <w:sz w:val="21"/>
                <w:szCs w:val="21"/>
                <w:highlight w:val="none"/>
                <w:lang w:eastAsia="zh-CN"/>
              </w:rPr>
              <w:t>LZZC2020-J1-020061-GXTZ</w:t>
            </w:r>
          </w:p>
          <w:p>
            <w:pPr>
              <w:pStyle w:val="12"/>
              <w:wordWrap w:val="0"/>
              <w:spacing w:line="400" w:lineRule="exact"/>
              <w:ind w:firstLine="0"/>
              <w:rPr>
                <w:rFonts w:hint="eastAsia" w:hAnsi="宋体" w:eastAsia="宋体" w:cs="宋体"/>
                <w:color w:val="auto"/>
                <w:spacing w:val="0"/>
                <w:sz w:val="21"/>
                <w:szCs w:val="21"/>
                <w:highlight w:val="none"/>
                <w:lang w:eastAsia="zh-CN"/>
              </w:rPr>
            </w:pPr>
            <w:r>
              <w:rPr>
                <w:rFonts w:hint="eastAsia" w:hAnsi="宋体" w:cs="宋体"/>
                <w:color w:val="auto"/>
                <w:spacing w:val="0"/>
                <w:sz w:val="21"/>
                <w:szCs w:val="21"/>
                <w:highlight w:val="none"/>
                <w:lang w:eastAsia="zh-CN"/>
              </w:rPr>
              <w:t>采购计划文号：CZZC2020-J1-00651-001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26" w:type="dxa"/>
            <w:vAlign w:val="center"/>
          </w:tcPr>
          <w:p>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058" w:type="dxa"/>
            <w:vAlign w:val="center"/>
          </w:tcPr>
          <w:p>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025" w:type="dxa"/>
            <w:vAlign w:val="center"/>
          </w:tcPr>
          <w:p>
            <w:pPr>
              <w:pStyle w:val="12"/>
              <w:wordWrap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竞标人资格：</w:t>
            </w:r>
          </w:p>
          <w:p>
            <w:pPr>
              <w:wordWrap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1、符合《中华人民共和国政府采购法》第二十二条的规定。</w:t>
            </w:r>
          </w:p>
          <w:p>
            <w:pPr>
              <w:wordWrap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2、国内注册（指按国家有关规定要求注册的）生产或经营达到本次竞标采购货物的要求，具备法人资格的供应商。</w:t>
            </w:r>
          </w:p>
          <w:p>
            <w:pPr>
              <w:wordWrap w:val="0"/>
              <w:spacing w:line="400" w:lineRule="exact"/>
              <w:ind w:firstLine="371" w:firstLineChars="177"/>
              <w:rPr>
                <w:rFonts w:ascii="宋体" w:hAnsi="宋体" w:cs="宋体"/>
                <w:bCs/>
                <w:color w:val="auto"/>
                <w:highlight w:val="none"/>
              </w:rPr>
            </w:pPr>
            <w:r>
              <w:rPr>
                <w:rFonts w:hint="eastAsia" w:ascii="宋体" w:hAnsi="宋体" w:cs="宋体"/>
                <w:color w:val="auto"/>
                <w:szCs w:val="21"/>
                <w:highlight w:val="none"/>
              </w:rPr>
              <w:t>3、对在“信用中国”网站(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5"/>
                <w:rFonts w:hint="eastAsia" w:ascii="宋体" w:hAnsi="宋体" w:cs="宋体"/>
                <w:color w:val="auto"/>
                <w:szCs w:val="21"/>
                <w:highlight w:val="none"/>
              </w:rPr>
              <w:t>www .creditchina.gov.cn</w:t>
            </w:r>
            <w:r>
              <w:rPr>
                <w:rStyle w:val="35"/>
                <w:rFonts w:hint="eastAsia" w:ascii="宋体" w:hAnsi="宋体" w:cs="宋体"/>
                <w:color w:val="auto"/>
                <w:szCs w:val="21"/>
                <w:highlight w:val="none"/>
              </w:rPr>
              <w:fldChar w:fldCharType="end"/>
            </w:r>
            <w:r>
              <w:rPr>
                <w:rFonts w:hint="eastAsia" w:ascii="宋体" w:hAnsi="宋体" w:cs="宋体"/>
                <w:color w:val="auto"/>
                <w:szCs w:val="21"/>
                <w:highlight w:val="none"/>
              </w:rPr>
              <w:t>)、中国政府采购网(www .ccgp.gov.cn)渠道列入失信被执行人、重大税收违法案件当事人名单、政府采购严重违法失信行为记录名单及其他不符合《中华人民共和国政府采购法》第二十二条规定条件的供应商，不得参与政府采购活动。</w:t>
            </w:r>
          </w:p>
          <w:p>
            <w:pPr>
              <w:wordWrap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4、本项目不接受联合体参与竞标。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6" w:type="dxa"/>
            <w:vAlign w:val="center"/>
          </w:tcPr>
          <w:p>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058" w:type="dxa"/>
            <w:vAlign w:val="center"/>
          </w:tcPr>
          <w:p>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3.2</w:t>
            </w:r>
          </w:p>
        </w:tc>
        <w:tc>
          <w:tcPr>
            <w:tcW w:w="8025" w:type="dxa"/>
            <w:vAlign w:val="center"/>
          </w:tcPr>
          <w:p>
            <w:pPr>
              <w:pStyle w:val="14"/>
              <w:wordWrap w:val="0"/>
              <w:spacing w:line="400" w:lineRule="exact"/>
              <w:rPr>
                <w:color w:val="auto"/>
                <w:highlight w:val="none"/>
              </w:rPr>
            </w:pPr>
            <w:r>
              <w:rPr>
                <w:rFonts w:hint="eastAsia"/>
                <w:color w:val="auto"/>
                <w:highlight w:val="none"/>
              </w:rPr>
              <w:t>政府采购预算金额为:</w:t>
            </w:r>
            <w:r>
              <w:rPr>
                <w:rFonts w:hint="eastAsia"/>
                <w:color w:val="auto"/>
                <w:highlight w:val="none"/>
                <w:lang w:eastAsia="zh-CN"/>
              </w:rPr>
              <w:t>人民币壹佰贰拾伍万伍仟肆佰玖拾伍元整（￥1255495.00）</w:t>
            </w:r>
            <w:r>
              <w:rPr>
                <w:rFonts w:hint="eastAsia" w:hAnsi="宋体" w:cs="宋体"/>
                <w:bCs/>
                <w:color w:val="auto"/>
                <w:highlight w:val="none"/>
              </w:rPr>
              <w:t>，</w:t>
            </w:r>
            <w:r>
              <w:rPr>
                <w:rFonts w:hint="eastAsia"/>
                <w:color w:val="auto"/>
                <w:highlight w:val="none"/>
              </w:rPr>
              <w:t>凡超过本次政府采购预算控制价的竞标报价均为无效竞标。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26"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4</w:t>
            </w:r>
          </w:p>
        </w:tc>
        <w:tc>
          <w:tcPr>
            <w:tcW w:w="1058"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10.1</w:t>
            </w:r>
          </w:p>
        </w:tc>
        <w:tc>
          <w:tcPr>
            <w:tcW w:w="8025" w:type="dxa"/>
            <w:vAlign w:val="center"/>
          </w:tcPr>
          <w:p>
            <w:pPr>
              <w:pStyle w:val="14"/>
              <w:wordWrap w:val="0"/>
              <w:spacing w:line="400" w:lineRule="exact"/>
              <w:rPr>
                <w:rFonts w:hAnsi="宋体" w:cs="宋体"/>
                <w:color w:val="auto"/>
                <w:szCs w:val="21"/>
                <w:highlight w:val="none"/>
              </w:rPr>
            </w:pPr>
            <w:r>
              <w:rPr>
                <w:rFonts w:hint="eastAsia" w:hAnsi="宋体" w:cs="宋体"/>
                <w:color w:val="auto"/>
                <w:szCs w:val="21"/>
                <w:highlight w:val="none"/>
              </w:rPr>
              <w:t>竞标报价：竞标人必须就《货物需求一览表》及谈判记录中的货物、服务内容作完整唯一报价，否则其竞标将被拒绝。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6"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5</w:t>
            </w:r>
          </w:p>
        </w:tc>
        <w:tc>
          <w:tcPr>
            <w:tcW w:w="1058"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13.1</w:t>
            </w:r>
          </w:p>
        </w:tc>
        <w:tc>
          <w:tcPr>
            <w:tcW w:w="8025" w:type="dxa"/>
            <w:vAlign w:val="center"/>
          </w:tcPr>
          <w:p>
            <w:pPr>
              <w:pStyle w:val="84"/>
              <w:wordWrap w:val="0"/>
              <w:spacing w:line="400" w:lineRule="exact"/>
              <w:rPr>
                <w:rFonts w:hAnsi="宋体" w:cs="宋体"/>
                <w:color w:val="auto"/>
                <w:szCs w:val="21"/>
                <w:highlight w:val="none"/>
              </w:rPr>
            </w:pPr>
            <w:r>
              <w:rPr>
                <w:rFonts w:hint="eastAsia" w:hAnsi="宋体" w:cs="宋体"/>
                <w:color w:val="auto"/>
                <w:szCs w:val="21"/>
                <w:highlight w:val="none"/>
              </w:rPr>
              <w:t>竞标有效期：竞标截止日期后60天。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6</w:t>
            </w:r>
          </w:p>
        </w:tc>
        <w:tc>
          <w:tcPr>
            <w:tcW w:w="1058"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14.4</w:t>
            </w:r>
          </w:p>
        </w:tc>
        <w:tc>
          <w:tcPr>
            <w:tcW w:w="8025" w:type="dxa"/>
            <w:vAlign w:val="center"/>
          </w:tcPr>
          <w:p>
            <w:pPr>
              <w:pStyle w:val="12"/>
              <w:wordWrap w:val="0"/>
              <w:spacing w:line="400" w:lineRule="exact"/>
              <w:ind w:left="1260" w:hanging="1260" w:hangingChars="600"/>
              <w:rPr>
                <w:rFonts w:hAnsi="宋体" w:cs="宋体"/>
                <w:color w:val="auto"/>
                <w:sz w:val="21"/>
                <w:szCs w:val="21"/>
                <w:highlight w:val="none"/>
              </w:rPr>
            </w:pPr>
            <w:r>
              <w:rPr>
                <w:rFonts w:hint="eastAsia" w:hAnsi="宋体" w:cs="宋体"/>
                <w:color w:val="auto"/>
                <w:spacing w:val="0"/>
                <w:sz w:val="21"/>
                <w:szCs w:val="21"/>
                <w:highlight w:val="none"/>
              </w:rPr>
              <w:t>响应文件：正本一本、副本四本，共五本。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7</w:t>
            </w:r>
          </w:p>
        </w:tc>
        <w:tc>
          <w:tcPr>
            <w:tcW w:w="1058"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15</w:t>
            </w:r>
          </w:p>
        </w:tc>
        <w:tc>
          <w:tcPr>
            <w:tcW w:w="8025" w:type="dxa"/>
            <w:vAlign w:val="center"/>
          </w:tcPr>
          <w:p>
            <w:pPr>
              <w:wordWrap w:val="0"/>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谈判保证金：</w:t>
            </w:r>
            <w:r>
              <w:rPr>
                <w:rFonts w:hint="eastAsia" w:ascii="宋体" w:hAnsi="宋体" w:cs="宋体"/>
                <w:bCs/>
                <w:color w:val="auto"/>
                <w:highlight w:val="none"/>
                <w:lang w:eastAsia="zh-CN"/>
              </w:rPr>
              <w:t>人民币壹万元整（￥10000.00）</w:t>
            </w:r>
            <w:r>
              <w:rPr>
                <w:rFonts w:hint="eastAsia" w:ascii="宋体" w:hAnsi="宋体" w:cs="宋体"/>
                <w:bCs/>
                <w:color w:val="auto"/>
                <w:highlight w:val="none"/>
              </w:rPr>
              <w:t>，</w:t>
            </w:r>
            <w:r>
              <w:rPr>
                <w:rFonts w:hint="eastAsia" w:ascii="宋体" w:hAnsi="宋体" w:cs="宋体"/>
                <w:color w:val="auto"/>
                <w:szCs w:val="21"/>
                <w:highlight w:val="none"/>
              </w:rPr>
              <w:t>以电汇、转帐、等非现金形式</w:t>
            </w:r>
            <w:r>
              <w:rPr>
                <w:rFonts w:hint="eastAsia" w:ascii="宋体" w:hAnsi="宋体" w:cs="宋体"/>
                <w:bCs/>
                <w:color w:val="auto"/>
                <w:highlight w:val="none"/>
              </w:rPr>
              <w:t>，必须在</w:t>
            </w:r>
            <w:r>
              <w:rPr>
                <w:rFonts w:hint="eastAsia" w:ascii="宋体" w:hAnsi="宋体" w:cs="宋体"/>
                <w:color w:val="auto"/>
                <w:szCs w:val="21"/>
                <w:highlight w:val="none"/>
                <w:lang w:eastAsia="zh-CN"/>
              </w:rPr>
              <w:t>竞标截止时间</w:t>
            </w:r>
            <w:r>
              <w:rPr>
                <w:rFonts w:hint="eastAsia" w:ascii="宋体" w:hAnsi="宋体" w:cs="宋体"/>
                <w:bCs/>
                <w:color w:val="auto"/>
                <w:highlight w:val="none"/>
              </w:rPr>
              <w:t>前到达以下代理机构帐户。以转入到广西同泽工程项目管理股份有限公司帐户柳州分公司为准。凡未在规定时间内到达或以其它形式递交的谈判保证金均视为无效，其响应文件一律作废标处理。</w:t>
            </w:r>
          </w:p>
          <w:p>
            <w:pPr>
              <w:wordWrap w:val="0"/>
              <w:snapToGri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开户名称：广西同泽工程项目管理股份有限公司柳州分公司</w:t>
            </w:r>
          </w:p>
          <w:p>
            <w:pPr>
              <w:wordWrap w:val="0"/>
              <w:snapToGri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开户银行：柳州市区农村信用合作联社窑埠分社</w:t>
            </w:r>
          </w:p>
          <w:p>
            <w:pPr>
              <w:wordWrap w:val="0"/>
              <w:snapToGrid w:val="0"/>
              <w:spacing w:line="400" w:lineRule="exact"/>
              <w:textAlignment w:val="baseline"/>
              <w:rPr>
                <w:rFonts w:ascii="宋体" w:hAnsi="宋体" w:cs="宋体"/>
                <w:bCs/>
                <w:color w:val="auto"/>
                <w:highlight w:val="none"/>
              </w:rPr>
            </w:pPr>
            <w:r>
              <w:rPr>
                <w:rFonts w:hint="eastAsia" w:ascii="宋体" w:hAnsi="宋体" w:cs="宋体"/>
                <w:color w:val="auto"/>
                <w:szCs w:val="21"/>
                <w:highlight w:val="none"/>
              </w:rPr>
              <w:t>银行账号：2682 1201 0108 4782 11</w:t>
            </w:r>
          </w:p>
          <w:p>
            <w:pPr>
              <w:pStyle w:val="84"/>
              <w:wordWrap w:val="0"/>
              <w:spacing w:line="400" w:lineRule="exact"/>
              <w:rPr>
                <w:rFonts w:hAnsi="宋体" w:cs="宋体"/>
                <w:color w:val="auto"/>
                <w:szCs w:val="21"/>
                <w:highlight w:val="none"/>
              </w:rPr>
            </w:pPr>
            <w:r>
              <w:rPr>
                <w:rFonts w:hint="eastAsia" w:hAnsi="宋体" w:cs="宋体"/>
                <w:b/>
                <w:bCs/>
                <w:color w:val="auto"/>
                <w:highlight w:val="none"/>
              </w:rPr>
              <w:t>办理谈判保证金手续时，请务必在银行转账单的用途或空白栏上注明采购编号，否则由此造成的一切后果由竞标人自行承担。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8</w:t>
            </w:r>
          </w:p>
        </w:tc>
        <w:tc>
          <w:tcPr>
            <w:tcW w:w="1058"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17</w:t>
            </w:r>
          </w:p>
          <w:p>
            <w:pPr>
              <w:pStyle w:val="14"/>
              <w:wordWrap w:val="0"/>
              <w:spacing w:line="400" w:lineRule="exact"/>
              <w:jc w:val="center"/>
              <w:rPr>
                <w:rFonts w:hAnsi="宋体" w:cs="宋体"/>
                <w:color w:val="auto"/>
                <w:szCs w:val="21"/>
                <w:highlight w:val="none"/>
              </w:rPr>
            </w:pPr>
          </w:p>
        </w:tc>
        <w:tc>
          <w:tcPr>
            <w:tcW w:w="8025" w:type="dxa"/>
            <w:vAlign w:val="center"/>
          </w:tcPr>
          <w:p>
            <w:pPr>
              <w:pStyle w:val="12"/>
              <w:wordWrap w:val="0"/>
              <w:spacing w:line="400" w:lineRule="exact"/>
              <w:ind w:left="46" w:hanging="46" w:hangingChars="23"/>
              <w:jc w:val="left"/>
              <w:rPr>
                <w:rFonts w:hAnsi="宋体" w:cs="宋体"/>
                <w:color w:val="auto"/>
                <w:sz w:val="21"/>
                <w:szCs w:val="21"/>
                <w:highlight w:val="none"/>
              </w:rPr>
            </w:pPr>
            <w:r>
              <w:rPr>
                <w:rFonts w:hint="eastAsia" w:hAnsi="宋体" w:cs="宋体"/>
                <w:color w:val="auto"/>
                <w:sz w:val="21"/>
                <w:szCs w:val="21"/>
                <w:highlight w:val="none"/>
              </w:rPr>
              <w:t>响应文件以密封形式递交至：广西同泽工程项目管理股份有限公司开标室</w:t>
            </w:r>
          </w:p>
          <w:p>
            <w:pPr>
              <w:pStyle w:val="12"/>
              <w:wordWrap w:val="0"/>
              <w:spacing w:line="400" w:lineRule="exact"/>
              <w:ind w:left="46" w:hanging="46" w:hangingChars="23"/>
              <w:jc w:val="left"/>
              <w:rPr>
                <w:rFonts w:hAnsi="宋体" w:cs="宋体"/>
                <w:color w:val="auto"/>
                <w:sz w:val="21"/>
                <w:szCs w:val="21"/>
                <w:highlight w:val="none"/>
              </w:rPr>
            </w:pPr>
            <w:r>
              <w:rPr>
                <w:rFonts w:hint="eastAsia" w:hAnsi="宋体" w:cs="宋体"/>
                <w:color w:val="auto"/>
                <w:sz w:val="21"/>
                <w:szCs w:val="21"/>
                <w:highlight w:val="none"/>
              </w:rPr>
              <w:t>地址：柳州市桂中大道南端6号九洲国际25楼</w:t>
            </w:r>
          </w:p>
          <w:p>
            <w:pPr>
              <w:pStyle w:val="12"/>
              <w:wordWrap w:val="0"/>
              <w:spacing w:line="400" w:lineRule="exact"/>
              <w:ind w:left="46" w:hanging="46" w:hangingChars="23"/>
              <w:jc w:val="left"/>
              <w:rPr>
                <w:rFonts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pacing w:val="0"/>
                <w:sz w:val="21"/>
                <w:szCs w:val="21"/>
                <w:highlight w:val="none"/>
              </w:rPr>
              <w:t>0772-3808868</w:t>
            </w:r>
          </w:p>
          <w:p>
            <w:pPr>
              <w:pStyle w:val="12"/>
              <w:wordWrap w:val="0"/>
              <w:spacing w:line="400" w:lineRule="exact"/>
              <w:ind w:left="1260" w:hanging="1260" w:hangingChars="600"/>
              <w:rPr>
                <w:rFonts w:hAnsi="宋体" w:cs="宋体"/>
                <w:color w:val="auto"/>
                <w:spacing w:val="0"/>
                <w:sz w:val="21"/>
                <w:szCs w:val="21"/>
                <w:highlight w:val="none"/>
              </w:rPr>
            </w:pPr>
            <w:r>
              <w:rPr>
                <w:rFonts w:hint="eastAsia" w:hAnsi="宋体" w:cs="宋体"/>
                <w:color w:val="auto"/>
                <w:spacing w:val="0"/>
                <w:sz w:val="21"/>
                <w:szCs w:val="21"/>
                <w:highlight w:val="none"/>
              </w:rPr>
              <w:t>响应文件递交截止时间：</w:t>
            </w:r>
            <w:r>
              <w:rPr>
                <w:rFonts w:hint="eastAsia" w:hAnsi="宋体" w:cs="宋体"/>
                <w:color w:val="auto"/>
                <w:spacing w:val="0"/>
                <w:sz w:val="21"/>
                <w:szCs w:val="21"/>
                <w:highlight w:val="none"/>
                <w:lang w:eastAsia="zh-CN"/>
              </w:rPr>
              <w:t>2020年11月27日</w:t>
            </w:r>
            <w:r>
              <w:rPr>
                <w:rFonts w:hint="eastAsia" w:hAnsi="宋体" w:cs="宋体"/>
                <w:color w:val="auto"/>
                <w:spacing w:val="0"/>
                <w:sz w:val="21"/>
                <w:szCs w:val="21"/>
                <w:highlight w:val="none"/>
              </w:rPr>
              <w:t>北京时间09时30分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6"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9</w:t>
            </w:r>
          </w:p>
        </w:tc>
        <w:tc>
          <w:tcPr>
            <w:tcW w:w="1058"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19.1</w:t>
            </w:r>
          </w:p>
        </w:tc>
        <w:tc>
          <w:tcPr>
            <w:tcW w:w="8025" w:type="dxa"/>
            <w:vAlign w:val="center"/>
          </w:tcPr>
          <w:p>
            <w:pPr>
              <w:wordWrap w:val="0"/>
              <w:spacing w:line="400" w:lineRule="exact"/>
              <w:ind w:left="1498" w:hanging="1498" w:hangingChars="700"/>
              <w:rPr>
                <w:rFonts w:ascii="宋体" w:hAnsi="宋体" w:cs="宋体"/>
                <w:b/>
                <w:bCs/>
                <w:color w:val="auto"/>
                <w:spacing w:val="2"/>
                <w:highlight w:val="none"/>
              </w:rPr>
            </w:pPr>
            <w:r>
              <w:rPr>
                <w:rFonts w:hint="eastAsia" w:ascii="宋体" w:hAnsi="宋体" w:cs="宋体"/>
                <w:color w:val="auto"/>
                <w:spacing w:val="2"/>
                <w:highlight w:val="none"/>
              </w:rPr>
              <w:t>开标时间：</w:t>
            </w:r>
            <w:r>
              <w:rPr>
                <w:rFonts w:hint="eastAsia" w:ascii="宋体" w:hAnsi="宋体" w:cs="宋体"/>
                <w:color w:val="auto"/>
                <w:spacing w:val="2"/>
                <w:highlight w:val="none"/>
                <w:lang w:eastAsia="zh-CN"/>
              </w:rPr>
              <w:t>2020年11月27日</w:t>
            </w:r>
            <w:r>
              <w:rPr>
                <w:rFonts w:hint="eastAsia" w:ascii="宋体" w:hAnsi="宋体" w:cs="宋体"/>
                <w:color w:val="auto"/>
                <w:highlight w:val="none"/>
              </w:rPr>
              <w:t>北京时间09时30分</w:t>
            </w:r>
          </w:p>
          <w:p>
            <w:pPr>
              <w:wordWrap w:val="0"/>
              <w:spacing w:line="400" w:lineRule="exact"/>
              <w:rPr>
                <w:rFonts w:ascii="宋体" w:hAnsi="宋体" w:cs="宋体"/>
                <w:b/>
                <w:color w:val="auto"/>
                <w:spacing w:val="2"/>
                <w:highlight w:val="none"/>
              </w:rPr>
            </w:pPr>
            <w:r>
              <w:rPr>
                <w:rFonts w:hint="eastAsia" w:ascii="宋体" w:hAnsi="宋体" w:cs="宋体"/>
                <w:color w:val="auto"/>
                <w:spacing w:val="2"/>
                <w:highlight w:val="none"/>
              </w:rPr>
              <w:t>地点：</w:t>
            </w:r>
            <w:r>
              <w:rPr>
                <w:rFonts w:hint="eastAsia" w:ascii="宋体" w:hAnsi="宋体" w:cs="宋体"/>
                <w:color w:val="auto"/>
                <w:szCs w:val="21"/>
                <w:highlight w:val="none"/>
              </w:rPr>
              <w:t>广西同泽工程项目管理股份有限公司开标室</w:t>
            </w:r>
            <w:r>
              <w:rPr>
                <w:rFonts w:hint="eastAsia" w:ascii="宋体" w:hAnsi="宋体" w:cs="宋体"/>
                <w:bCs/>
                <w:color w:val="auto"/>
                <w:spacing w:val="2"/>
                <w:highlight w:val="none"/>
              </w:rPr>
              <w:t>（柳州市桂中大道南端6号九洲国际25楼）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26"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10</w:t>
            </w:r>
          </w:p>
        </w:tc>
        <w:tc>
          <w:tcPr>
            <w:tcW w:w="1058" w:type="dxa"/>
            <w:vAlign w:val="center"/>
          </w:tcPr>
          <w:p>
            <w:pPr>
              <w:pStyle w:val="84"/>
              <w:wordWrap w:val="0"/>
              <w:spacing w:line="400" w:lineRule="exact"/>
              <w:jc w:val="center"/>
              <w:rPr>
                <w:rFonts w:hAnsi="宋体" w:cs="宋体"/>
                <w:color w:val="auto"/>
                <w:szCs w:val="21"/>
                <w:highlight w:val="none"/>
              </w:rPr>
            </w:pPr>
            <w:r>
              <w:rPr>
                <w:rFonts w:hint="eastAsia" w:hAnsi="宋体" w:cs="宋体"/>
                <w:color w:val="auto"/>
                <w:szCs w:val="21"/>
                <w:highlight w:val="none"/>
              </w:rPr>
              <w:t>23.3</w:t>
            </w:r>
          </w:p>
        </w:tc>
        <w:tc>
          <w:tcPr>
            <w:tcW w:w="8025" w:type="dxa"/>
            <w:vAlign w:val="center"/>
          </w:tcPr>
          <w:p>
            <w:pPr>
              <w:pStyle w:val="84"/>
              <w:wordWrap w:val="0"/>
              <w:spacing w:line="400" w:lineRule="exact"/>
              <w:rPr>
                <w:rFonts w:hAnsi="宋体" w:cs="宋体"/>
                <w:color w:val="auto"/>
                <w:szCs w:val="21"/>
                <w:highlight w:val="none"/>
              </w:rPr>
            </w:pPr>
            <w:r>
              <w:rPr>
                <w:rFonts w:hint="eastAsia" w:hAnsi="宋体" w:cs="宋体"/>
                <w:color w:val="auto"/>
                <w:szCs w:val="21"/>
                <w:highlight w:val="none"/>
              </w:rPr>
              <w:t>评标方法：最低评标价法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6" w:type="dxa"/>
            <w:vAlign w:val="center"/>
          </w:tcPr>
          <w:p>
            <w:pPr>
              <w:pStyle w:val="14"/>
              <w:wordWrap w:val="0"/>
              <w:spacing w:line="400" w:lineRule="exact"/>
              <w:jc w:val="center"/>
              <w:rPr>
                <w:rFonts w:hAnsi="宋体" w:cs="宋体"/>
                <w:color w:val="auto"/>
                <w:szCs w:val="21"/>
                <w:highlight w:val="none"/>
              </w:rPr>
            </w:pPr>
            <w:r>
              <w:rPr>
                <w:rFonts w:hint="eastAsia" w:hAnsi="宋体" w:cs="宋体"/>
                <w:color w:val="auto"/>
                <w:szCs w:val="21"/>
                <w:highlight w:val="none"/>
              </w:rPr>
              <w:t>11</w:t>
            </w:r>
          </w:p>
        </w:tc>
        <w:tc>
          <w:tcPr>
            <w:tcW w:w="1058" w:type="dxa"/>
            <w:vAlign w:val="center"/>
          </w:tcPr>
          <w:p>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28.1</w:t>
            </w:r>
          </w:p>
        </w:tc>
        <w:tc>
          <w:tcPr>
            <w:tcW w:w="8025" w:type="dxa"/>
            <w:vAlign w:val="center"/>
          </w:tcPr>
          <w:p>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采购代理服务费：参照原国家发展计划委员会计价格[2002]1980号《招标代理服务费管理暂行办法》收费标准、发改办价格[2003]857号、发改价格{2011}534号文按</w:t>
            </w:r>
            <w:r>
              <w:rPr>
                <w:rFonts w:hint="eastAsia" w:ascii="宋体" w:hAnsi="宋体" w:cs="宋体"/>
                <w:b/>
                <w:color w:val="auto"/>
                <w:szCs w:val="21"/>
                <w:highlight w:val="none"/>
                <w:u w:val="single"/>
              </w:rPr>
              <w:t>货物类</w:t>
            </w:r>
            <w:r>
              <w:rPr>
                <w:rFonts w:hint="eastAsia" w:ascii="宋体" w:hAnsi="宋体" w:cs="宋体"/>
                <w:color w:val="auto"/>
                <w:szCs w:val="21"/>
                <w:highlight w:val="none"/>
              </w:rPr>
              <w:t>收费标准向成交人收取（不含评委费）。领取成交通知书前，成交人应向采购代理机构一次付清代理服务费。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26" w:type="dxa"/>
            <w:vAlign w:val="center"/>
          </w:tcPr>
          <w:p>
            <w:pPr>
              <w:pStyle w:val="14"/>
              <w:wordWrap w:val="0"/>
              <w:spacing w:line="400" w:lineRule="exact"/>
              <w:jc w:val="center"/>
              <w:rPr>
                <w:rFonts w:hAnsi="宋体" w:cs="宋体"/>
                <w:color w:val="auto"/>
                <w:szCs w:val="21"/>
                <w:highlight w:val="none"/>
              </w:rPr>
            </w:pPr>
            <w:r>
              <w:rPr>
                <w:rFonts w:hint="eastAsia" w:hAnsi="宋体" w:cs="宋体"/>
                <w:color w:val="auto"/>
                <w:szCs w:val="21"/>
                <w:highlight w:val="none"/>
              </w:rPr>
              <w:t>12</w:t>
            </w:r>
          </w:p>
        </w:tc>
        <w:tc>
          <w:tcPr>
            <w:tcW w:w="1058" w:type="dxa"/>
            <w:vAlign w:val="center"/>
          </w:tcPr>
          <w:p>
            <w:pPr>
              <w:jc w:val="center"/>
              <w:rPr>
                <w:rFonts w:ascii="宋体" w:hAnsi="宋体" w:cs="宋体"/>
                <w:color w:val="auto"/>
                <w:szCs w:val="21"/>
                <w:highlight w:val="none"/>
              </w:rPr>
            </w:pPr>
            <w:r>
              <w:rPr>
                <w:rFonts w:hint="eastAsia" w:ascii="宋体" w:hAnsi="宋体"/>
                <w:color w:val="auto"/>
                <w:szCs w:val="21"/>
                <w:highlight w:val="none"/>
              </w:rPr>
              <w:t>履约保证金</w:t>
            </w:r>
          </w:p>
        </w:tc>
        <w:tc>
          <w:tcPr>
            <w:tcW w:w="8025" w:type="dxa"/>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6" w:type="dxa"/>
            <w:vAlign w:val="center"/>
          </w:tcPr>
          <w:p>
            <w:pPr>
              <w:pStyle w:val="73"/>
              <w:wordWrap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058" w:type="dxa"/>
            <w:vAlign w:val="center"/>
          </w:tcPr>
          <w:p>
            <w:pPr>
              <w:wordWrap w:val="0"/>
              <w:spacing w:line="400" w:lineRule="exact"/>
              <w:jc w:val="center"/>
              <w:rPr>
                <w:rFonts w:ascii="宋体" w:hAnsi="宋体" w:cs="宋体"/>
                <w:color w:val="auto"/>
                <w:szCs w:val="21"/>
                <w:highlight w:val="none"/>
              </w:rPr>
            </w:pPr>
          </w:p>
        </w:tc>
        <w:tc>
          <w:tcPr>
            <w:tcW w:w="8025" w:type="dxa"/>
            <w:vAlign w:val="center"/>
          </w:tcPr>
          <w:p>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6" w:type="dxa"/>
            <w:vAlign w:val="center"/>
          </w:tcPr>
          <w:p>
            <w:pPr>
              <w:pStyle w:val="73"/>
              <w:wordWrap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058" w:type="dxa"/>
            <w:vAlign w:val="center"/>
          </w:tcPr>
          <w:p>
            <w:pPr>
              <w:wordWrap w:val="0"/>
              <w:spacing w:line="400" w:lineRule="exact"/>
              <w:jc w:val="center"/>
              <w:rPr>
                <w:rFonts w:ascii="宋体" w:hAnsi="宋体" w:cs="宋体"/>
                <w:color w:val="auto"/>
                <w:szCs w:val="21"/>
                <w:highlight w:val="none"/>
              </w:rPr>
            </w:pPr>
          </w:p>
        </w:tc>
        <w:tc>
          <w:tcPr>
            <w:tcW w:w="8025" w:type="dxa"/>
            <w:vAlign w:val="center"/>
          </w:tcPr>
          <w:p>
            <w:pPr>
              <w:wordWrap w:val="0"/>
              <w:spacing w:line="400" w:lineRule="exact"/>
              <w:rPr>
                <w:rFonts w:ascii="宋体" w:hAnsi="宋体" w:cs="宋体"/>
                <w:color w:val="auto"/>
                <w:highlight w:val="none"/>
              </w:rPr>
            </w:pPr>
            <w:r>
              <w:rPr>
                <w:rFonts w:hint="eastAsia" w:ascii="宋体" w:hAnsi="宋体" w:cs="宋体"/>
                <w:color w:val="auto"/>
                <w:highlight w:val="none"/>
              </w:rPr>
              <w:t>1、本文件中描述供应商的“公章”是指根据我国对公章的管理规定，用供应商法定主体行为名称制作的印章，除本文件有特殊规定外，供应商的财务章、部门章、分公司章、工会章、合同章、竞标专用章、业务专用章及银行的转帐章、现金收讫章等其它形式印章均不能代替公章。</w:t>
            </w:r>
          </w:p>
          <w:p>
            <w:pPr>
              <w:wordWrap w:val="0"/>
              <w:spacing w:line="400" w:lineRule="exact"/>
              <w:rPr>
                <w:rFonts w:ascii="宋体" w:hAnsi="宋体" w:cs="宋体"/>
                <w:color w:val="auto"/>
                <w:szCs w:val="21"/>
                <w:highlight w:val="none"/>
              </w:rPr>
            </w:pPr>
            <w:r>
              <w:rPr>
                <w:rFonts w:hint="eastAsia" w:ascii="宋体" w:hAnsi="宋体" w:cs="宋体"/>
                <w:color w:val="auto"/>
                <w:highlight w:val="none"/>
              </w:rPr>
              <w:t>2、本文件中描述供应商的“签字”是指供应商的法定代表人（负责人或自然人）或授权人亲自在文件规定的签署处亲笔写上个人的名字的行为，私章、签字章、印鉴、影印等其它形式均不能代替亲笔签字。</w:t>
            </w:r>
          </w:p>
        </w:tc>
      </w:tr>
    </w:tbl>
    <w:p>
      <w:pPr>
        <w:wordWrap w:val="0"/>
        <w:rPr>
          <w:rFonts w:ascii="宋体" w:hAnsi="宋体" w:cs="宋体"/>
          <w:color w:val="auto"/>
          <w:highlight w:val="none"/>
        </w:rPr>
      </w:pPr>
    </w:p>
    <w:p>
      <w:pPr>
        <w:wordWrap w:val="0"/>
        <w:rPr>
          <w:rFonts w:ascii="宋体" w:hAnsi="宋体" w:cs="宋体"/>
          <w:color w:val="auto"/>
          <w:highlight w:val="none"/>
        </w:rPr>
      </w:pPr>
    </w:p>
    <w:p>
      <w:pPr>
        <w:wordWrap w:val="0"/>
        <w:rPr>
          <w:rFonts w:ascii="宋体" w:hAnsi="宋体" w:cs="宋体"/>
          <w:color w:val="auto"/>
          <w:highlight w:val="none"/>
        </w:rPr>
      </w:pPr>
    </w:p>
    <w:p>
      <w:pPr>
        <w:wordWrap w:val="0"/>
        <w:rPr>
          <w:rFonts w:ascii="宋体" w:hAnsi="宋体" w:cs="宋体"/>
          <w:color w:val="auto"/>
          <w:highlight w:val="none"/>
        </w:rPr>
      </w:pPr>
    </w:p>
    <w:p>
      <w:pPr>
        <w:wordWrap w:val="0"/>
        <w:rPr>
          <w:rFonts w:ascii="宋体" w:hAnsi="宋体" w:cs="宋体"/>
          <w:color w:val="auto"/>
          <w:highlight w:val="none"/>
        </w:rPr>
      </w:pPr>
    </w:p>
    <w:p>
      <w:pPr>
        <w:wordWrap w:val="0"/>
        <w:rPr>
          <w:rFonts w:ascii="宋体" w:hAnsi="宋体" w:cs="宋体"/>
          <w:color w:val="auto"/>
          <w:highlight w:val="none"/>
        </w:rPr>
      </w:pPr>
    </w:p>
    <w:p>
      <w:pPr>
        <w:wordWrap w:val="0"/>
        <w:rPr>
          <w:rFonts w:ascii="宋体" w:hAnsi="宋体" w:cs="宋体"/>
          <w:color w:val="auto"/>
          <w:highlight w:val="none"/>
        </w:rPr>
      </w:pPr>
    </w:p>
    <w:p>
      <w:pPr>
        <w:wordWrap w:val="0"/>
        <w:rPr>
          <w:rFonts w:ascii="宋体" w:hAnsi="宋体" w:cs="宋体"/>
          <w:color w:val="auto"/>
          <w:highlight w:val="none"/>
        </w:rPr>
      </w:pPr>
    </w:p>
    <w:p>
      <w:pPr>
        <w:wordWrap w:val="0"/>
        <w:rPr>
          <w:rFonts w:ascii="宋体" w:hAnsi="宋体" w:cs="宋体"/>
          <w:color w:val="auto"/>
          <w:highlight w:val="none"/>
        </w:rPr>
      </w:pPr>
    </w:p>
    <w:p>
      <w:pPr>
        <w:wordWrap w:val="0"/>
        <w:rPr>
          <w:rFonts w:ascii="宋体" w:hAnsi="宋体" w:cs="宋体"/>
          <w:color w:val="auto"/>
          <w:highlight w:val="none"/>
        </w:rPr>
      </w:pPr>
    </w:p>
    <w:p>
      <w:pPr>
        <w:wordWrap w:val="0"/>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wordWrap w:val="0"/>
        <w:rPr>
          <w:rFonts w:ascii="宋体" w:hAnsi="宋体" w:cs="宋体"/>
          <w:color w:val="auto"/>
          <w:highlight w:val="none"/>
        </w:rPr>
      </w:pPr>
    </w:p>
    <w:p>
      <w:pPr>
        <w:pStyle w:val="3"/>
        <w:keepLines/>
        <w:wordWrap w:val="0"/>
        <w:spacing w:line="400" w:lineRule="exact"/>
        <w:rPr>
          <w:rFonts w:ascii="宋体" w:hAnsi="宋体" w:cs="宋体"/>
          <w:color w:val="auto"/>
          <w:highlight w:val="none"/>
        </w:rPr>
      </w:pPr>
      <w:bookmarkStart w:id="68" w:name="_Toc22264"/>
      <w:bookmarkStart w:id="69" w:name="_Toc20291"/>
      <w:bookmarkStart w:id="70" w:name="_Toc393117384"/>
      <w:bookmarkStart w:id="71" w:name="_Toc5841"/>
      <w:r>
        <w:rPr>
          <w:rFonts w:hint="eastAsia" w:ascii="宋体" w:hAnsi="宋体" w:cs="宋体"/>
          <w:color w:val="auto"/>
          <w:kern w:val="44"/>
          <w:szCs w:val="44"/>
          <w:highlight w:val="none"/>
        </w:rPr>
        <w:t>竞标人须知</w:t>
      </w:r>
      <w:bookmarkEnd w:id="68"/>
      <w:bookmarkEnd w:id="69"/>
      <w:bookmarkEnd w:id="70"/>
      <w:bookmarkEnd w:id="71"/>
    </w:p>
    <w:p>
      <w:pPr>
        <w:pStyle w:val="5"/>
        <w:wordWrap w:val="0"/>
        <w:spacing w:before="0" w:after="0" w:line="400" w:lineRule="exact"/>
        <w:jc w:val="center"/>
        <w:rPr>
          <w:rFonts w:ascii="宋体" w:hAnsi="宋体" w:cs="宋体"/>
          <w:bCs w:val="0"/>
          <w:color w:val="auto"/>
          <w:highlight w:val="none"/>
        </w:rPr>
      </w:pPr>
      <w:r>
        <w:rPr>
          <w:rFonts w:hint="eastAsia" w:ascii="宋体" w:hAnsi="宋体" w:cs="宋体"/>
          <w:bCs w:val="0"/>
          <w:color w:val="auto"/>
          <w:sz w:val="21"/>
          <w:highlight w:val="none"/>
        </w:rPr>
        <w:t>一、总则</w:t>
      </w:r>
    </w:p>
    <w:p>
      <w:pPr>
        <w:pStyle w:val="14"/>
        <w:wordWrap w:val="0"/>
        <w:spacing w:line="400" w:lineRule="exact"/>
        <w:rPr>
          <w:rFonts w:hAnsi="宋体" w:cs="宋体"/>
          <w:color w:val="auto"/>
          <w:highlight w:val="none"/>
        </w:rPr>
      </w:pPr>
      <w:r>
        <w:rPr>
          <w:rFonts w:hint="eastAsia" w:hAnsi="宋体" w:cs="宋体"/>
          <w:color w:val="auto"/>
          <w:highlight w:val="none"/>
        </w:rPr>
        <w:t>1.项目名称及采购编号</w:t>
      </w:r>
    </w:p>
    <w:p>
      <w:pPr>
        <w:pStyle w:val="14"/>
        <w:wordWrap w:val="0"/>
        <w:spacing w:line="400" w:lineRule="exact"/>
        <w:ind w:firstLine="420" w:firstLineChars="200"/>
        <w:rPr>
          <w:rFonts w:hAnsi="宋体" w:cs="宋体"/>
          <w:color w:val="auto"/>
          <w:highlight w:val="none"/>
        </w:rPr>
      </w:pPr>
      <w:r>
        <w:rPr>
          <w:rFonts w:hint="eastAsia" w:hAnsi="宋体" w:cs="宋体"/>
          <w:color w:val="auto"/>
          <w:highlight w:val="none"/>
        </w:rPr>
        <w:t>1.1项目名称及采购编号详见本须知前附表</w:t>
      </w:r>
      <w:r>
        <w:rPr>
          <w:rFonts w:hint="eastAsia" w:hAnsi="宋体" w:cs="宋体"/>
          <w:bCs/>
          <w:color w:val="auto"/>
          <w:highlight w:val="none"/>
        </w:rPr>
        <w:t>第1项。</w:t>
      </w:r>
    </w:p>
    <w:p>
      <w:pPr>
        <w:pStyle w:val="14"/>
        <w:wordWrap w:val="0"/>
        <w:spacing w:line="400" w:lineRule="exact"/>
        <w:rPr>
          <w:rFonts w:hAnsi="宋体" w:cs="宋体"/>
          <w:color w:val="auto"/>
          <w:highlight w:val="none"/>
        </w:rPr>
      </w:pPr>
      <w:r>
        <w:rPr>
          <w:rFonts w:hint="eastAsia" w:hAnsi="宋体" w:cs="宋体"/>
          <w:color w:val="auto"/>
          <w:highlight w:val="none"/>
        </w:rPr>
        <w:t>2.竞标人资格</w:t>
      </w:r>
    </w:p>
    <w:p>
      <w:pPr>
        <w:pStyle w:val="14"/>
        <w:wordWrap w:val="0"/>
        <w:spacing w:line="400" w:lineRule="exact"/>
        <w:ind w:firstLine="420"/>
        <w:rPr>
          <w:rFonts w:hAnsi="宋体" w:cs="宋体"/>
          <w:color w:val="auto"/>
          <w:highlight w:val="none"/>
        </w:rPr>
      </w:pPr>
      <w:r>
        <w:rPr>
          <w:rFonts w:hint="eastAsia" w:hAnsi="宋体" w:cs="宋体"/>
          <w:color w:val="auto"/>
          <w:highlight w:val="none"/>
        </w:rPr>
        <w:t>2.1参加本项目的竞标人必须满足本须知前附表第2项要求的资格；</w:t>
      </w:r>
    </w:p>
    <w:p>
      <w:pPr>
        <w:pStyle w:val="14"/>
        <w:wordWrap w:val="0"/>
        <w:spacing w:line="400" w:lineRule="exact"/>
        <w:ind w:firstLine="420"/>
        <w:rPr>
          <w:rFonts w:hAnsi="宋体" w:cs="宋体"/>
          <w:color w:val="auto"/>
          <w:highlight w:val="none"/>
        </w:rPr>
      </w:pPr>
      <w:r>
        <w:rPr>
          <w:rFonts w:hint="eastAsia" w:hAnsi="宋体" w:cs="宋体"/>
          <w:color w:val="auto"/>
          <w:highlight w:val="none"/>
        </w:rPr>
        <w:t>2.2符合竞标人资格的竞标人应承担竞标及履约中应承担的全部责任与义务。</w:t>
      </w:r>
    </w:p>
    <w:p>
      <w:pPr>
        <w:pStyle w:val="14"/>
        <w:wordWrap w:val="0"/>
        <w:spacing w:line="400" w:lineRule="exact"/>
        <w:rPr>
          <w:rFonts w:hAnsi="宋体" w:cs="宋体"/>
          <w:color w:val="auto"/>
          <w:highlight w:val="none"/>
        </w:rPr>
      </w:pPr>
      <w:r>
        <w:rPr>
          <w:rFonts w:hint="eastAsia" w:hAnsi="宋体" w:cs="宋体"/>
          <w:color w:val="auto"/>
          <w:highlight w:val="none"/>
        </w:rPr>
        <w:t>3.竞标费用和政府采购预算控制价</w:t>
      </w:r>
    </w:p>
    <w:p>
      <w:pPr>
        <w:pStyle w:val="14"/>
        <w:wordWrap w:val="0"/>
        <w:spacing w:line="400" w:lineRule="exact"/>
        <w:ind w:firstLine="420"/>
        <w:rPr>
          <w:rFonts w:hAnsi="宋体" w:cs="宋体"/>
          <w:color w:val="auto"/>
          <w:highlight w:val="none"/>
        </w:rPr>
      </w:pPr>
      <w:r>
        <w:rPr>
          <w:rFonts w:hint="eastAsia" w:hAnsi="宋体" w:cs="宋体"/>
          <w:color w:val="auto"/>
          <w:highlight w:val="none"/>
        </w:rPr>
        <w:t>3.1竞标人应向采购代理机构购买本项目竞争性谈判文件并自行承担所有与本次竞标有关的全部费用。</w:t>
      </w:r>
    </w:p>
    <w:p>
      <w:pPr>
        <w:pStyle w:val="11"/>
        <w:spacing w:line="400" w:lineRule="exact"/>
        <w:ind w:firstLine="420" w:firstLineChars="200"/>
        <w:jc w:val="both"/>
        <w:rPr>
          <w:rFonts w:ascii="宋体" w:hAnsi="宋体" w:cs="宋体"/>
          <w:color w:val="auto"/>
          <w:szCs w:val="21"/>
          <w:highlight w:val="none"/>
        </w:rPr>
      </w:pPr>
      <w:r>
        <w:rPr>
          <w:rFonts w:hint="eastAsia" w:ascii="宋体" w:hAnsi="宋体" w:cs="宋体"/>
          <w:color w:val="auto"/>
          <w:highlight w:val="none"/>
        </w:rPr>
        <w:t>3.2本次审批的</w:t>
      </w:r>
      <w:r>
        <w:rPr>
          <w:rFonts w:hint="eastAsia" w:ascii="宋体" w:hAnsi="宋体" w:cs="宋体"/>
          <w:color w:val="auto"/>
          <w:szCs w:val="21"/>
          <w:highlight w:val="none"/>
        </w:rPr>
        <w:t>政府采购预算总价为:</w:t>
      </w:r>
      <w:r>
        <w:rPr>
          <w:rFonts w:hint="eastAsia" w:ascii="宋体" w:hAnsi="宋体" w:cs="宋体"/>
          <w:b/>
          <w:color w:val="auto"/>
          <w:highlight w:val="none"/>
          <w:lang w:eastAsia="zh-CN"/>
        </w:rPr>
        <w:t>人民币壹佰贰拾伍万伍仟肆佰玖拾伍元整（￥1255495.00）</w:t>
      </w:r>
      <w:r>
        <w:rPr>
          <w:rFonts w:hint="eastAsia" w:ascii="宋体" w:hAnsi="宋体" w:cs="宋体"/>
          <w:color w:val="auto"/>
          <w:szCs w:val="21"/>
          <w:highlight w:val="none"/>
        </w:rPr>
        <w:t>，凡超过本次政府采购预算控制价的竞标报价均为无效竞标。</w:t>
      </w:r>
    </w:p>
    <w:p>
      <w:pPr>
        <w:pStyle w:val="5"/>
        <w:wordWrap w:val="0"/>
        <w:spacing w:before="0" w:after="0" w:line="400" w:lineRule="exact"/>
        <w:jc w:val="center"/>
        <w:rPr>
          <w:rFonts w:ascii="宋体" w:hAnsi="宋体" w:cs="宋体"/>
          <w:bCs w:val="0"/>
          <w:color w:val="auto"/>
          <w:sz w:val="21"/>
          <w:szCs w:val="21"/>
          <w:highlight w:val="none"/>
        </w:rPr>
      </w:pPr>
      <w:r>
        <w:rPr>
          <w:rFonts w:hint="eastAsia" w:ascii="宋体" w:hAnsi="宋体" w:cs="宋体"/>
          <w:bCs w:val="0"/>
          <w:color w:val="auto"/>
          <w:sz w:val="21"/>
          <w:szCs w:val="21"/>
          <w:highlight w:val="none"/>
        </w:rPr>
        <w:t>二、竞争性谈判文件（以下简称谈判文件）</w:t>
      </w:r>
    </w:p>
    <w:p>
      <w:pPr>
        <w:pStyle w:val="14"/>
        <w:wordWrap w:val="0"/>
        <w:spacing w:line="400" w:lineRule="exact"/>
        <w:rPr>
          <w:rFonts w:hAnsi="宋体" w:cs="宋体"/>
          <w:color w:val="auto"/>
          <w:szCs w:val="21"/>
          <w:highlight w:val="none"/>
        </w:rPr>
      </w:pPr>
      <w:r>
        <w:rPr>
          <w:rFonts w:hint="eastAsia" w:hAnsi="宋体" w:cs="宋体"/>
          <w:color w:val="auto"/>
          <w:szCs w:val="21"/>
          <w:highlight w:val="none"/>
        </w:rPr>
        <w:t>4.谈判文件的构成</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4.1谈判文件包括：</w:t>
      </w:r>
    </w:p>
    <w:p>
      <w:pPr>
        <w:pStyle w:val="14"/>
        <w:wordWrap w:val="0"/>
        <w:spacing w:line="400" w:lineRule="exact"/>
        <w:ind w:firstLine="426"/>
        <w:rPr>
          <w:rFonts w:hAnsi="宋体" w:cs="宋体"/>
          <w:color w:val="auto"/>
          <w:szCs w:val="21"/>
          <w:highlight w:val="none"/>
        </w:rPr>
      </w:pPr>
      <w:r>
        <w:rPr>
          <w:rFonts w:hint="eastAsia" w:hAnsi="宋体" w:cs="宋体"/>
          <w:color w:val="auto"/>
          <w:szCs w:val="21"/>
          <w:highlight w:val="none"/>
        </w:rPr>
        <w:t>⑴竞标公告；</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⑵竞标人须知及前附表；</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⑶货物需求一览表；</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⑷合同基本条款及合同（格式）；</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⑸评定成交的标准；</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⑹响应文件（格式）。</w:t>
      </w:r>
    </w:p>
    <w:p>
      <w:pPr>
        <w:pStyle w:val="14"/>
        <w:wordWrap w:val="0"/>
        <w:spacing w:line="400" w:lineRule="exact"/>
        <w:ind w:firstLine="411" w:firstLineChars="196"/>
        <w:rPr>
          <w:rFonts w:hAnsi="宋体" w:cs="宋体"/>
          <w:color w:val="auto"/>
          <w:szCs w:val="21"/>
          <w:highlight w:val="none"/>
        </w:rPr>
      </w:pPr>
      <w:r>
        <w:rPr>
          <w:rFonts w:hint="eastAsia" w:hAnsi="宋体" w:cs="宋体"/>
          <w:color w:val="auto"/>
          <w:szCs w:val="21"/>
          <w:highlight w:val="none"/>
        </w:rPr>
        <w:t>5.谈判文件的澄清和修改</w:t>
      </w:r>
    </w:p>
    <w:p>
      <w:pPr>
        <w:pStyle w:val="14"/>
        <w:wordWrap w:val="0"/>
        <w:spacing w:line="400" w:lineRule="exact"/>
        <w:ind w:firstLine="420"/>
        <w:rPr>
          <w:rFonts w:hAnsi="宋体" w:cs="宋体"/>
          <w:bCs/>
          <w:color w:val="auto"/>
          <w:szCs w:val="21"/>
          <w:highlight w:val="none"/>
        </w:rPr>
      </w:pPr>
      <w:r>
        <w:rPr>
          <w:rFonts w:hint="eastAsia" w:hAnsi="宋体" w:cs="宋体"/>
          <w:bCs/>
          <w:color w:val="auto"/>
          <w:szCs w:val="21"/>
          <w:highlight w:val="none"/>
        </w:rPr>
        <w:t>5.1竞标人要认真审核《货物需求一览表》中的技术参数、配置及要求，如发现其中技术参数、配置有误或要求不合理的，竞标人必须在规定的时间前要求澄清，否则，由此产生的后果由竞标人负责。</w:t>
      </w:r>
    </w:p>
    <w:p>
      <w:pPr>
        <w:pStyle w:val="14"/>
        <w:wordWrap w:val="0"/>
        <w:spacing w:line="400" w:lineRule="exact"/>
        <w:ind w:firstLine="420"/>
        <w:rPr>
          <w:rFonts w:hAnsi="宋体" w:cs="宋体"/>
          <w:bCs/>
          <w:color w:val="auto"/>
          <w:szCs w:val="21"/>
          <w:highlight w:val="none"/>
        </w:rPr>
      </w:pPr>
      <w:r>
        <w:rPr>
          <w:rFonts w:hint="eastAsia" w:hAnsi="宋体" w:cs="宋体"/>
          <w:bCs/>
          <w:color w:val="auto"/>
          <w:szCs w:val="21"/>
          <w:highlight w:val="none"/>
        </w:rPr>
        <w:t>5.2如果竞标人认为本谈判文件中存在有倾向性、排他性的内容或条款的，可以在竞标截止日期3天前，以书面形式并附上相关证明材料向本采购项目联系人反映。</w:t>
      </w:r>
    </w:p>
    <w:p>
      <w:pPr>
        <w:pStyle w:val="14"/>
        <w:wordWrap w:val="0"/>
        <w:spacing w:line="400" w:lineRule="exact"/>
        <w:ind w:firstLine="422"/>
        <w:rPr>
          <w:rFonts w:hAnsi="宋体" w:cs="宋体"/>
          <w:color w:val="auto"/>
          <w:szCs w:val="21"/>
          <w:highlight w:val="none"/>
        </w:rPr>
      </w:pPr>
      <w:r>
        <w:rPr>
          <w:rFonts w:hint="eastAsia" w:hAnsi="宋体" w:cs="宋体"/>
          <w:bCs/>
          <w:color w:val="auto"/>
          <w:szCs w:val="21"/>
          <w:highlight w:val="none"/>
        </w:rPr>
        <w:t>5.3任何竞标人对谈判文件的澄清要求，均应在竞标截止时间3天前的正常工作时间以书面形式通知采购代理机构，同时认定其他形式为无效。采购代理机构将以书面形式予以答复，该答复不指明答复问题的来源，并以书面形式通知所有购买了谈判文件的竞标人，答复将同时在政府财政部门指定的政府采购信息发布媒体</w:t>
      </w:r>
      <w:r>
        <w:rPr>
          <w:rFonts w:hint="eastAsia" w:hAnsi="宋体" w:cs="宋体"/>
          <w:color w:val="auto"/>
          <w:szCs w:val="21"/>
          <w:highlight w:val="none"/>
        </w:rPr>
        <w:t>中国政府采购网、广西政府采购网、柳州市政府采购网</w:t>
      </w:r>
      <w:r>
        <w:rPr>
          <w:rFonts w:hint="eastAsia" w:hAnsi="宋体" w:cs="宋体"/>
          <w:bCs/>
          <w:color w:val="auto"/>
          <w:szCs w:val="21"/>
          <w:highlight w:val="none"/>
        </w:rPr>
        <w:t>上公布。为确保项目的如期完成，采购代理机构将可能对竞标人在规定时间之后提出的澄清问题不予答复。</w:t>
      </w:r>
    </w:p>
    <w:p>
      <w:pPr>
        <w:pStyle w:val="14"/>
        <w:wordWrap w:val="0"/>
        <w:spacing w:line="400" w:lineRule="exact"/>
        <w:ind w:firstLine="420"/>
        <w:rPr>
          <w:rFonts w:hAnsi="宋体" w:cs="宋体"/>
          <w:color w:val="auto"/>
          <w:szCs w:val="21"/>
          <w:highlight w:val="none"/>
        </w:rPr>
      </w:pPr>
      <w:r>
        <w:rPr>
          <w:rFonts w:hint="eastAsia" w:hAnsi="宋体" w:cs="宋体"/>
          <w:bCs/>
          <w:color w:val="auto"/>
          <w:szCs w:val="21"/>
          <w:highlight w:val="none"/>
        </w:rPr>
        <w:t>5.4采购代理机构对已发出的谈判文件进行必要修改的，在谈判文件要求提交响应文件截止时间2天前，在政府财政部门指定的政府采购信息发布媒体</w:t>
      </w:r>
      <w:r>
        <w:rPr>
          <w:rFonts w:hint="eastAsia" w:hAnsi="宋体" w:cs="宋体"/>
          <w:color w:val="auto"/>
          <w:szCs w:val="21"/>
          <w:highlight w:val="none"/>
        </w:rPr>
        <w:t>中国政府采购网、广西政府采购网、柳州市政府采购网</w:t>
      </w:r>
      <w:r>
        <w:rPr>
          <w:rFonts w:hint="eastAsia" w:hAnsi="宋体" w:cs="宋体"/>
          <w:bCs/>
          <w:color w:val="auto"/>
          <w:szCs w:val="21"/>
          <w:highlight w:val="none"/>
        </w:rPr>
        <w:t>上公布更正公告，并以书面形式通知所有购买谈判文件的竞标人。</w:t>
      </w:r>
    </w:p>
    <w:p>
      <w:pPr>
        <w:pStyle w:val="14"/>
        <w:wordWrap w:val="0"/>
        <w:spacing w:line="400" w:lineRule="exact"/>
        <w:ind w:firstLine="420"/>
        <w:rPr>
          <w:rFonts w:hAnsi="宋体" w:cs="宋体"/>
          <w:bCs/>
          <w:color w:val="auto"/>
          <w:szCs w:val="21"/>
          <w:highlight w:val="none"/>
        </w:rPr>
      </w:pPr>
      <w:r>
        <w:rPr>
          <w:rFonts w:hint="eastAsia" w:hAnsi="宋体" w:cs="宋体"/>
          <w:bCs/>
          <w:color w:val="auto"/>
          <w:szCs w:val="21"/>
          <w:highlight w:val="none"/>
        </w:rPr>
        <w:t>5.5请竞标人接电话通知后到采购代理机构处领取以上澄清答复（或补充通知），或在网上查询，不用传真方式发出，如在电话通知后24小时内不上门领取的，则视为已在网上查询收到。该澄清或修改的内容为谈判文件的组成部分。竞标人在每一次收到澄清答复或补充通知后应立即以书面形式通知采购代理机构，确认已收到该澄清答复或补充通知。否则，由此造成的一切后果由竞标人承担。</w:t>
      </w:r>
    </w:p>
    <w:p>
      <w:pPr>
        <w:pStyle w:val="14"/>
        <w:wordWrap w:val="0"/>
        <w:spacing w:line="400" w:lineRule="exact"/>
        <w:ind w:firstLine="422"/>
        <w:rPr>
          <w:rFonts w:hAnsi="宋体" w:cs="宋体"/>
          <w:color w:val="auto"/>
          <w:szCs w:val="21"/>
          <w:highlight w:val="none"/>
        </w:rPr>
      </w:pPr>
      <w:r>
        <w:rPr>
          <w:rFonts w:hint="eastAsia" w:hAnsi="宋体" w:cs="宋体"/>
          <w:bCs/>
          <w:color w:val="auto"/>
          <w:szCs w:val="21"/>
          <w:highlight w:val="none"/>
        </w:rPr>
        <w:t>5.6采购代理机构可视具体情况，延长竞标截止日期和开标时间，至少于竞标截止时间2天前以书面形式通知所有购买谈判文件的竞标人并在财政部门指定的政府采购信息发布媒体</w:t>
      </w:r>
      <w:r>
        <w:rPr>
          <w:rFonts w:hint="eastAsia" w:hAnsi="宋体" w:cs="宋体"/>
          <w:color w:val="auto"/>
          <w:szCs w:val="21"/>
          <w:highlight w:val="none"/>
        </w:rPr>
        <w:t>中国政府采购网、广西政府采购网、柳州市政府采购网</w:t>
      </w:r>
      <w:r>
        <w:rPr>
          <w:rFonts w:hint="eastAsia" w:hAnsi="宋体" w:cs="宋体"/>
          <w:bCs/>
          <w:color w:val="auto"/>
          <w:szCs w:val="21"/>
          <w:highlight w:val="none"/>
        </w:rPr>
        <w:t>上发布公告。</w:t>
      </w:r>
    </w:p>
    <w:p>
      <w:pPr>
        <w:pStyle w:val="5"/>
        <w:wordWrap w:val="0"/>
        <w:spacing w:before="0" w:after="0" w:line="400" w:lineRule="exact"/>
        <w:jc w:val="center"/>
        <w:rPr>
          <w:rFonts w:ascii="宋体" w:hAnsi="宋体" w:cs="宋体"/>
          <w:bCs w:val="0"/>
          <w:color w:val="auto"/>
          <w:highlight w:val="none"/>
        </w:rPr>
      </w:pPr>
      <w:r>
        <w:rPr>
          <w:rFonts w:hint="eastAsia" w:ascii="宋体" w:hAnsi="宋体" w:cs="宋体"/>
          <w:bCs w:val="0"/>
          <w:color w:val="auto"/>
          <w:sz w:val="21"/>
          <w:highlight w:val="none"/>
        </w:rPr>
        <w:t>三、响应文件的编制格式</w:t>
      </w:r>
    </w:p>
    <w:p>
      <w:pPr>
        <w:pStyle w:val="14"/>
        <w:wordWrap w:val="0"/>
        <w:spacing w:line="400" w:lineRule="exact"/>
        <w:rPr>
          <w:rFonts w:hAnsi="宋体" w:cs="宋体"/>
          <w:color w:val="auto"/>
          <w:highlight w:val="none"/>
        </w:rPr>
      </w:pPr>
      <w:r>
        <w:rPr>
          <w:rFonts w:hint="eastAsia" w:hAnsi="宋体" w:cs="宋体"/>
          <w:color w:val="auto"/>
          <w:highlight w:val="none"/>
        </w:rPr>
        <w:t>6.响应文件编写的注意事项</w:t>
      </w:r>
    </w:p>
    <w:p>
      <w:pPr>
        <w:pStyle w:val="14"/>
        <w:wordWrap w:val="0"/>
        <w:spacing w:line="400" w:lineRule="exact"/>
        <w:ind w:firstLine="420"/>
        <w:rPr>
          <w:rFonts w:hAnsi="宋体" w:cs="宋体"/>
          <w:bCs/>
          <w:color w:val="auto"/>
          <w:szCs w:val="21"/>
          <w:highlight w:val="none"/>
        </w:rPr>
      </w:pPr>
      <w:r>
        <w:rPr>
          <w:rFonts w:hint="eastAsia" w:hAnsi="宋体" w:cs="宋体"/>
          <w:bCs/>
          <w:color w:val="auto"/>
          <w:szCs w:val="21"/>
          <w:highlight w:val="none"/>
        </w:rPr>
        <w:t>6.1竞标人应认真阅读谈判文件，按照谈判文件的要求编制响应文件。如果没有按照谈判文件要求提交响应文件，没有对谈判文件提出的实质性要求和条件作出响应，该竞标将被拒绝。</w:t>
      </w:r>
    </w:p>
    <w:p>
      <w:pPr>
        <w:pStyle w:val="14"/>
        <w:wordWrap w:val="0"/>
        <w:spacing w:line="400" w:lineRule="exact"/>
        <w:ind w:firstLine="420"/>
        <w:rPr>
          <w:rFonts w:hAnsi="宋体" w:cs="宋体"/>
          <w:color w:val="auto"/>
          <w:szCs w:val="21"/>
          <w:highlight w:val="none"/>
        </w:rPr>
      </w:pPr>
      <w:r>
        <w:rPr>
          <w:rFonts w:hint="eastAsia" w:hAnsi="宋体" w:cs="宋体"/>
          <w:bCs/>
          <w:color w:val="auto"/>
          <w:szCs w:val="21"/>
          <w:highlight w:val="none"/>
        </w:rPr>
        <w:t>6.2谈判文件提出的实质性要求和条件是指本竞标项目所涉及的价格、技术参数及性能配置、数量、售后服务及其它要求、合同条款等内容。</w:t>
      </w:r>
    </w:p>
    <w:p>
      <w:pPr>
        <w:pStyle w:val="14"/>
        <w:wordWrap w:val="0"/>
        <w:spacing w:line="400" w:lineRule="exact"/>
        <w:rPr>
          <w:rFonts w:hAnsi="宋体" w:cs="宋体"/>
          <w:color w:val="auto"/>
          <w:highlight w:val="none"/>
        </w:rPr>
      </w:pPr>
      <w:r>
        <w:rPr>
          <w:rFonts w:hint="eastAsia" w:hAnsi="宋体" w:cs="宋体"/>
          <w:color w:val="auto"/>
          <w:highlight w:val="none"/>
        </w:rPr>
        <w:t>7. 响应文件袋包含内容</w:t>
      </w:r>
    </w:p>
    <w:p>
      <w:pPr>
        <w:pStyle w:val="14"/>
        <w:wordWrap w:val="0"/>
        <w:spacing w:line="400" w:lineRule="exact"/>
        <w:ind w:firstLine="420"/>
        <w:rPr>
          <w:rFonts w:hAnsi="宋体" w:cs="宋体"/>
          <w:color w:val="auto"/>
          <w:highlight w:val="none"/>
        </w:rPr>
      </w:pPr>
      <w:r>
        <w:rPr>
          <w:rFonts w:hint="eastAsia" w:hAnsi="宋体" w:cs="宋体"/>
          <w:color w:val="auto"/>
          <w:highlight w:val="none"/>
        </w:rPr>
        <w:t>7.1响应文件（按谈判文件要求的格式及顺序自行填写并装订）：</w:t>
      </w:r>
    </w:p>
    <w:p>
      <w:pPr>
        <w:pStyle w:val="14"/>
        <w:wordWrap w:val="0"/>
        <w:spacing w:line="400" w:lineRule="exact"/>
        <w:rPr>
          <w:rFonts w:hAnsi="宋体" w:cs="宋体"/>
          <w:color w:val="auto"/>
          <w:highlight w:val="none"/>
        </w:rPr>
      </w:pPr>
      <w:r>
        <w:rPr>
          <w:rFonts w:hint="eastAsia" w:hAnsi="宋体" w:cs="宋体"/>
          <w:color w:val="auto"/>
          <w:highlight w:val="none"/>
        </w:rPr>
        <w:t xml:space="preserve">    (1)竞标函；</w:t>
      </w:r>
    </w:p>
    <w:p>
      <w:pPr>
        <w:pStyle w:val="14"/>
        <w:wordWrap w:val="0"/>
        <w:spacing w:line="400" w:lineRule="exact"/>
        <w:ind w:firstLine="420"/>
        <w:rPr>
          <w:rFonts w:hAnsi="宋体" w:cs="宋体"/>
          <w:color w:val="auto"/>
          <w:highlight w:val="none"/>
        </w:rPr>
      </w:pPr>
      <w:r>
        <w:rPr>
          <w:rFonts w:hint="eastAsia" w:hAnsi="宋体" w:cs="宋体"/>
          <w:color w:val="auto"/>
          <w:highlight w:val="none"/>
        </w:rPr>
        <w:t>(2)竞标报价表；</w:t>
      </w:r>
    </w:p>
    <w:p>
      <w:pPr>
        <w:pStyle w:val="14"/>
        <w:wordWrap w:val="0"/>
        <w:spacing w:line="400" w:lineRule="exact"/>
        <w:ind w:firstLine="420" w:firstLineChars="200"/>
        <w:rPr>
          <w:rFonts w:hAnsi="宋体" w:cs="宋体"/>
          <w:color w:val="auto"/>
          <w:highlight w:val="none"/>
        </w:rPr>
      </w:pPr>
      <w:r>
        <w:rPr>
          <w:rFonts w:hint="eastAsia" w:hAnsi="宋体" w:cs="宋体"/>
          <w:color w:val="auto"/>
          <w:highlight w:val="none"/>
        </w:rPr>
        <w:t>(3)技术规格、商务响应偏离表；</w:t>
      </w:r>
    </w:p>
    <w:p>
      <w:pPr>
        <w:pStyle w:val="14"/>
        <w:wordWrap w:val="0"/>
        <w:spacing w:line="400" w:lineRule="exact"/>
        <w:ind w:firstLine="412"/>
        <w:rPr>
          <w:rFonts w:hAnsi="宋体" w:cs="宋体"/>
          <w:color w:val="auto"/>
          <w:highlight w:val="none"/>
        </w:rPr>
      </w:pPr>
      <w:r>
        <w:rPr>
          <w:rFonts w:hint="eastAsia" w:hAnsi="宋体" w:cs="宋体"/>
          <w:color w:val="auto"/>
          <w:highlight w:val="none"/>
        </w:rPr>
        <w:t>(4)售后服务承诺书；</w:t>
      </w:r>
    </w:p>
    <w:p>
      <w:pPr>
        <w:wordWrap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szCs w:val="21"/>
          <w:highlight w:val="none"/>
        </w:rPr>
        <w:t>中小企业声明函；</w:t>
      </w:r>
    </w:p>
    <w:p>
      <w:pPr>
        <w:pStyle w:val="14"/>
        <w:wordWrap w:val="0"/>
        <w:spacing w:line="400" w:lineRule="exact"/>
        <w:ind w:firstLine="412"/>
        <w:rPr>
          <w:rFonts w:hAnsi="宋体" w:cs="宋体"/>
          <w:color w:val="auto"/>
          <w:highlight w:val="none"/>
        </w:rPr>
      </w:pPr>
      <w:r>
        <w:rPr>
          <w:rFonts w:hint="eastAsia" w:hAnsi="宋体" w:cs="宋体"/>
          <w:color w:val="auto"/>
          <w:highlight w:val="none"/>
        </w:rPr>
        <w:t>(6)竞标人资格证明文件；</w:t>
      </w:r>
    </w:p>
    <w:p>
      <w:pPr>
        <w:pStyle w:val="14"/>
        <w:wordWrap w:val="0"/>
        <w:spacing w:line="400" w:lineRule="exact"/>
        <w:ind w:firstLine="420"/>
        <w:rPr>
          <w:rFonts w:hAnsi="宋体" w:cs="宋体"/>
          <w:color w:val="auto"/>
          <w:highlight w:val="none"/>
        </w:rPr>
      </w:pPr>
      <w:r>
        <w:rPr>
          <w:rFonts w:hint="eastAsia" w:hAnsi="宋体" w:cs="宋体"/>
          <w:color w:val="auto"/>
          <w:highlight w:val="none"/>
        </w:rPr>
        <w:t>(7)竞标人认为有必要提供的其他有关材料。</w:t>
      </w:r>
    </w:p>
    <w:p>
      <w:pPr>
        <w:pStyle w:val="14"/>
        <w:wordWrap w:val="0"/>
        <w:spacing w:line="400" w:lineRule="exact"/>
        <w:rPr>
          <w:rFonts w:hAnsi="宋体" w:cs="宋体"/>
          <w:color w:val="auto"/>
          <w:highlight w:val="none"/>
        </w:rPr>
      </w:pPr>
      <w:r>
        <w:rPr>
          <w:rFonts w:hint="eastAsia" w:hAnsi="宋体" w:cs="宋体"/>
          <w:color w:val="auto"/>
          <w:highlight w:val="none"/>
        </w:rPr>
        <w:t>8.响应文件的文字及计量单位</w:t>
      </w:r>
    </w:p>
    <w:p>
      <w:pPr>
        <w:pStyle w:val="14"/>
        <w:wordWrap w:val="0"/>
        <w:spacing w:line="400" w:lineRule="exact"/>
        <w:ind w:firstLine="420"/>
        <w:rPr>
          <w:rFonts w:hAnsi="宋体" w:cs="宋体"/>
          <w:color w:val="auto"/>
          <w:highlight w:val="none"/>
        </w:rPr>
      </w:pPr>
      <w:r>
        <w:rPr>
          <w:rFonts w:hint="eastAsia" w:hAnsi="宋体" w:cs="宋体"/>
          <w:color w:val="auto"/>
          <w:highlight w:val="none"/>
        </w:rPr>
        <w:t>8.1竞标人的响应文件以及竞标人与采购代理机构的所有来往的函电统一使用中文（另有规定的除外）。</w:t>
      </w:r>
    </w:p>
    <w:p>
      <w:pPr>
        <w:pStyle w:val="14"/>
        <w:wordWrap w:val="0"/>
        <w:spacing w:line="400" w:lineRule="exact"/>
        <w:ind w:firstLine="420"/>
        <w:rPr>
          <w:rFonts w:hAnsi="宋体" w:cs="宋体"/>
          <w:color w:val="auto"/>
          <w:highlight w:val="none"/>
        </w:rPr>
      </w:pPr>
      <w:r>
        <w:rPr>
          <w:rFonts w:hint="eastAsia" w:hAnsi="宋体" w:cs="宋体"/>
          <w:color w:val="auto"/>
          <w:highlight w:val="none"/>
        </w:rPr>
        <w:t>8.2响应文件中使用的计量单位除谈判文件中有特殊规定外，一律使用法定计量单位。</w:t>
      </w:r>
    </w:p>
    <w:p>
      <w:pPr>
        <w:pStyle w:val="14"/>
        <w:wordWrap w:val="0"/>
        <w:spacing w:line="400" w:lineRule="exact"/>
        <w:rPr>
          <w:rFonts w:hAnsi="宋体" w:cs="宋体"/>
          <w:color w:val="auto"/>
          <w:highlight w:val="none"/>
        </w:rPr>
      </w:pPr>
      <w:r>
        <w:rPr>
          <w:rFonts w:hint="eastAsia" w:hAnsi="宋体" w:cs="宋体"/>
          <w:color w:val="auto"/>
          <w:highlight w:val="none"/>
        </w:rPr>
        <w:t>9.响应文件格式</w:t>
      </w:r>
    </w:p>
    <w:p>
      <w:pPr>
        <w:pStyle w:val="14"/>
        <w:wordWrap w:val="0"/>
        <w:spacing w:line="400" w:lineRule="exact"/>
        <w:ind w:firstLine="420"/>
        <w:rPr>
          <w:rFonts w:hAnsi="宋体" w:cs="宋体"/>
          <w:bCs/>
          <w:color w:val="auto"/>
          <w:highlight w:val="none"/>
        </w:rPr>
      </w:pPr>
      <w:r>
        <w:rPr>
          <w:rFonts w:hint="eastAsia" w:hAnsi="宋体" w:cs="宋体"/>
          <w:bCs/>
          <w:color w:val="auto"/>
          <w:highlight w:val="none"/>
        </w:rPr>
        <w:t>9.1竞标人应按谈判文件</w:t>
      </w:r>
      <w:r>
        <w:rPr>
          <w:rFonts w:hint="eastAsia" w:hAnsi="宋体" w:cs="宋体"/>
          <w:color w:val="auto"/>
          <w:highlight w:val="none"/>
        </w:rPr>
        <w:t>第五章中“响应文件(格式)”</w:t>
      </w:r>
      <w:r>
        <w:rPr>
          <w:rFonts w:hint="eastAsia" w:hAnsi="宋体" w:cs="宋体"/>
          <w:bCs/>
          <w:color w:val="auto"/>
          <w:highlight w:val="none"/>
        </w:rPr>
        <w:t>详细完整地填写各项内容。</w:t>
      </w:r>
    </w:p>
    <w:p>
      <w:pPr>
        <w:pStyle w:val="14"/>
        <w:wordWrap w:val="0"/>
        <w:spacing w:line="400" w:lineRule="exact"/>
        <w:ind w:firstLine="420"/>
        <w:rPr>
          <w:rFonts w:hAnsi="宋体" w:cs="宋体"/>
          <w:color w:val="auto"/>
          <w:highlight w:val="none"/>
        </w:rPr>
      </w:pPr>
      <w:r>
        <w:rPr>
          <w:rFonts w:hint="eastAsia" w:hAnsi="宋体" w:cs="宋体"/>
          <w:color w:val="auto"/>
          <w:highlight w:val="none"/>
        </w:rPr>
        <w:t>9.2在竞标报价表中，竞标人应详细标明所提供的货物及部件名称、品牌型号、生产厂家、数量及产品所执行的标准及标准号等。</w:t>
      </w:r>
    </w:p>
    <w:p>
      <w:pPr>
        <w:pStyle w:val="14"/>
        <w:wordWrap w:val="0"/>
        <w:spacing w:line="390" w:lineRule="exact"/>
        <w:ind w:firstLine="420"/>
        <w:rPr>
          <w:rFonts w:hAnsi="宋体" w:cs="宋体"/>
          <w:color w:val="auto"/>
          <w:szCs w:val="21"/>
          <w:highlight w:val="none"/>
        </w:rPr>
      </w:pPr>
      <w:r>
        <w:rPr>
          <w:rFonts w:hint="eastAsia" w:hAnsi="宋体" w:cs="宋体"/>
          <w:color w:val="auto"/>
          <w:szCs w:val="21"/>
          <w:highlight w:val="none"/>
        </w:rPr>
        <w:t>9.3响应文件必须编制目录及页码，目录与页码必须保持一致，否则因此造成的一切后果由竞标人自行承担。</w:t>
      </w:r>
    </w:p>
    <w:p>
      <w:pPr>
        <w:pStyle w:val="14"/>
        <w:wordWrap w:val="0"/>
        <w:spacing w:line="390" w:lineRule="exact"/>
        <w:rPr>
          <w:rFonts w:hAnsi="宋体" w:cs="宋体"/>
          <w:color w:val="auto"/>
          <w:highlight w:val="none"/>
        </w:rPr>
      </w:pPr>
      <w:r>
        <w:rPr>
          <w:rFonts w:hint="eastAsia" w:hAnsi="宋体" w:cs="宋体"/>
          <w:color w:val="auto"/>
          <w:highlight w:val="none"/>
        </w:rPr>
        <w:t>10.竞标报价</w:t>
      </w:r>
    </w:p>
    <w:p>
      <w:pPr>
        <w:pStyle w:val="14"/>
        <w:wordWrap w:val="0"/>
        <w:spacing w:line="390" w:lineRule="exact"/>
        <w:ind w:firstLine="420"/>
        <w:rPr>
          <w:rFonts w:hAnsi="宋体" w:cs="宋体"/>
          <w:bCs/>
          <w:color w:val="auto"/>
          <w:szCs w:val="21"/>
          <w:highlight w:val="none"/>
        </w:rPr>
      </w:pPr>
      <w:r>
        <w:rPr>
          <w:rFonts w:hint="eastAsia" w:hAnsi="宋体" w:cs="宋体"/>
          <w:bCs/>
          <w:color w:val="auto"/>
          <w:szCs w:val="21"/>
          <w:highlight w:val="none"/>
        </w:rPr>
        <w:t>10.1竞标人必须就《货物需求一览表》及谈判记录中的货物、服务内容作完整唯一报价，否则其竞标将被拒绝</w:t>
      </w:r>
      <w:r>
        <w:rPr>
          <w:rFonts w:hint="eastAsia" w:hAnsi="宋体" w:cs="宋体"/>
          <w:color w:val="auto"/>
          <w:szCs w:val="21"/>
          <w:highlight w:val="none"/>
        </w:rPr>
        <w:t>。</w:t>
      </w:r>
      <w:r>
        <w:rPr>
          <w:rFonts w:hint="eastAsia" w:hAnsi="宋体" w:cs="宋体"/>
          <w:bCs/>
          <w:color w:val="auto"/>
          <w:szCs w:val="21"/>
          <w:highlight w:val="none"/>
        </w:rPr>
        <w:t>如果竞标人所填报的货物内容与谈判文件及谈判记录相比较有存在漏项的状况且在评标时被接受，则将被认为该遗漏项目已包含在谈判后的最终竞标价中，成交人在供货时应严格按谈判文件及谈判要求的货物内容完整提供，不得要求采购人对其漏报的货物追加支付货款。</w:t>
      </w:r>
    </w:p>
    <w:p>
      <w:pPr>
        <w:pStyle w:val="14"/>
        <w:wordWrap w:val="0"/>
        <w:spacing w:line="390" w:lineRule="exact"/>
        <w:ind w:firstLine="420"/>
        <w:rPr>
          <w:rFonts w:hAnsi="宋体" w:cs="宋体"/>
          <w:color w:val="auto"/>
          <w:szCs w:val="21"/>
          <w:highlight w:val="none"/>
        </w:rPr>
      </w:pPr>
      <w:r>
        <w:rPr>
          <w:rFonts w:hint="eastAsia" w:hAnsi="宋体" w:cs="宋体"/>
          <w:bCs/>
          <w:color w:val="auto"/>
          <w:szCs w:val="21"/>
          <w:highlight w:val="none"/>
        </w:rPr>
        <w:t>10.2竞标人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竞标人原因引起的报价失误，并在谈判时被接受，其后果由竞标人自负。</w:t>
      </w:r>
    </w:p>
    <w:p>
      <w:pPr>
        <w:pStyle w:val="14"/>
        <w:wordWrap w:val="0"/>
        <w:spacing w:line="390" w:lineRule="exact"/>
        <w:ind w:firstLine="420"/>
        <w:rPr>
          <w:rFonts w:hAnsi="宋体" w:cs="宋体"/>
          <w:color w:val="auto"/>
          <w:szCs w:val="21"/>
          <w:highlight w:val="none"/>
        </w:rPr>
      </w:pPr>
      <w:r>
        <w:rPr>
          <w:rFonts w:hint="eastAsia" w:hAnsi="宋体" w:cs="宋体"/>
          <w:color w:val="auto"/>
          <w:szCs w:val="21"/>
          <w:highlight w:val="none"/>
        </w:rPr>
        <w:t>10.3竞标报价指设计、货物、施工、随配附件、备品备件、工具、货物运抵指定交货地点的各种费用和售后服务、税金及其它所有成本费用的总和。</w:t>
      </w:r>
    </w:p>
    <w:p>
      <w:pPr>
        <w:pStyle w:val="14"/>
        <w:wordWrap w:val="0"/>
        <w:spacing w:line="390" w:lineRule="exact"/>
        <w:rPr>
          <w:rFonts w:hAnsi="宋体" w:cs="宋体"/>
          <w:color w:val="auto"/>
          <w:szCs w:val="21"/>
          <w:highlight w:val="none"/>
        </w:rPr>
      </w:pPr>
      <w:r>
        <w:rPr>
          <w:rFonts w:hint="eastAsia" w:hAnsi="宋体" w:cs="宋体"/>
          <w:color w:val="auto"/>
          <w:szCs w:val="21"/>
          <w:highlight w:val="none"/>
        </w:rPr>
        <w:t>11.竞标货币</w:t>
      </w:r>
    </w:p>
    <w:p>
      <w:pPr>
        <w:pStyle w:val="14"/>
        <w:wordWrap w:val="0"/>
        <w:spacing w:line="390" w:lineRule="exact"/>
        <w:ind w:firstLine="420"/>
        <w:rPr>
          <w:rFonts w:hAnsi="宋体" w:cs="宋体"/>
          <w:color w:val="auto"/>
          <w:szCs w:val="21"/>
          <w:highlight w:val="none"/>
        </w:rPr>
      </w:pPr>
      <w:r>
        <w:rPr>
          <w:rFonts w:hint="eastAsia" w:hAnsi="宋体" w:cs="宋体"/>
          <w:color w:val="auto"/>
          <w:szCs w:val="21"/>
          <w:highlight w:val="none"/>
        </w:rPr>
        <w:t>11.1竞标应以人民币报价。</w:t>
      </w:r>
    </w:p>
    <w:p>
      <w:pPr>
        <w:pStyle w:val="14"/>
        <w:wordWrap w:val="0"/>
        <w:spacing w:line="390" w:lineRule="exact"/>
        <w:rPr>
          <w:rFonts w:hAnsi="宋体" w:cs="宋体"/>
          <w:color w:val="auto"/>
          <w:szCs w:val="21"/>
          <w:highlight w:val="none"/>
        </w:rPr>
      </w:pPr>
      <w:r>
        <w:rPr>
          <w:rFonts w:hint="eastAsia" w:hAnsi="宋体" w:cs="宋体"/>
          <w:color w:val="auto"/>
          <w:szCs w:val="21"/>
          <w:highlight w:val="none"/>
        </w:rPr>
        <w:t>12.竞标人资格证明文件</w:t>
      </w:r>
    </w:p>
    <w:p>
      <w:pPr>
        <w:pStyle w:val="14"/>
        <w:wordWrap w:val="0"/>
        <w:spacing w:line="390" w:lineRule="exact"/>
        <w:ind w:firstLine="420" w:firstLineChars="200"/>
        <w:rPr>
          <w:rFonts w:hAnsi="宋体" w:cs="宋体"/>
          <w:color w:val="auto"/>
          <w:szCs w:val="21"/>
          <w:highlight w:val="none"/>
        </w:rPr>
      </w:pPr>
      <w:r>
        <w:rPr>
          <w:rFonts w:hint="eastAsia" w:hAnsi="宋体" w:cs="宋体"/>
          <w:color w:val="auto"/>
          <w:szCs w:val="21"/>
          <w:highlight w:val="none"/>
        </w:rPr>
        <w:t>下述资格证明文件中注明“必须提供”的文件均必须提交完备，如提供的材料不完备或未按规定签字及加盖单位公章的，将被当作资格审查不合格,不能进入详评：</w:t>
      </w:r>
    </w:p>
    <w:p>
      <w:pPr>
        <w:pStyle w:val="14"/>
        <w:wordWrap w:val="0"/>
        <w:spacing w:line="390" w:lineRule="exact"/>
        <w:ind w:firstLine="420" w:firstLineChars="200"/>
        <w:rPr>
          <w:rFonts w:hAnsi="宋体" w:cs="宋体"/>
          <w:color w:val="auto"/>
          <w:szCs w:val="21"/>
          <w:highlight w:val="none"/>
        </w:rPr>
      </w:pPr>
      <w:r>
        <w:rPr>
          <w:rFonts w:hint="eastAsia" w:hAnsi="宋体" w:cs="宋体"/>
          <w:color w:val="auto"/>
          <w:szCs w:val="21"/>
          <w:highlight w:val="none"/>
          <w:lang w:eastAsia="zh-CN"/>
        </w:rPr>
        <w:t>（</w:t>
      </w:r>
      <w:r>
        <w:rPr>
          <w:rFonts w:hint="eastAsia" w:hAnsi="宋体" w:cs="宋体"/>
          <w:color w:val="auto"/>
          <w:szCs w:val="21"/>
          <w:highlight w:val="none"/>
        </w:rPr>
        <w:t>1）竞标人有效的“营业执照”副本复印件</w:t>
      </w:r>
      <w:r>
        <w:rPr>
          <w:rFonts w:hint="eastAsia" w:hAnsi="宋体" w:cs="宋体"/>
          <w:bCs/>
          <w:color w:val="auto"/>
          <w:szCs w:val="21"/>
          <w:highlight w:val="none"/>
        </w:rPr>
        <w:t>加盖公章</w:t>
      </w:r>
      <w:r>
        <w:rPr>
          <w:rFonts w:hint="eastAsia" w:hAnsi="宋体" w:cs="宋体"/>
          <w:color w:val="auto"/>
          <w:szCs w:val="21"/>
          <w:highlight w:val="none"/>
        </w:rPr>
        <w:t>；</w:t>
      </w:r>
      <w:r>
        <w:rPr>
          <w:rFonts w:hint="eastAsia" w:hAnsi="宋体" w:cs="宋体"/>
          <w:bCs/>
          <w:color w:val="auto"/>
          <w:szCs w:val="21"/>
          <w:highlight w:val="none"/>
        </w:rPr>
        <w:t xml:space="preserve"> (必须提供)</w:t>
      </w:r>
    </w:p>
    <w:p>
      <w:pPr>
        <w:pStyle w:val="14"/>
        <w:wordWrap w:val="0"/>
        <w:spacing w:line="390" w:lineRule="exact"/>
        <w:rPr>
          <w:rFonts w:hAnsi="宋体" w:cs="宋体"/>
          <w:color w:val="auto"/>
          <w:szCs w:val="21"/>
          <w:highlight w:val="none"/>
        </w:rPr>
      </w:pPr>
      <w:r>
        <w:rPr>
          <w:rFonts w:hint="eastAsia" w:hAnsi="宋体" w:cs="宋体"/>
          <w:color w:val="auto"/>
          <w:szCs w:val="21"/>
          <w:highlight w:val="none"/>
        </w:rPr>
        <w:t xml:space="preserve">    </w:t>
      </w:r>
      <w:r>
        <w:rPr>
          <w:rFonts w:hint="eastAsia" w:hAnsi="宋体" w:cs="宋体"/>
          <w:color w:val="auto"/>
          <w:szCs w:val="21"/>
          <w:highlight w:val="none"/>
          <w:lang w:eastAsia="zh-CN"/>
        </w:rPr>
        <w:t>（</w:t>
      </w:r>
      <w:r>
        <w:rPr>
          <w:rFonts w:hint="eastAsia" w:hAnsi="宋体" w:cs="宋体"/>
          <w:color w:val="auto"/>
          <w:szCs w:val="21"/>
          <w:highlight w:val="none"/>
        </w:rPr>
        <w:t>2）有效的中华人民共和国组织机构代码证复印件加盖公章；（必须提供，已办理三证合一不需要提供）</w:t>
      </w:r>
    </w:p>
    <w:p>
      <w:pPr>
        <w:pStyle w:val="14"/>
        <w:wordWrap w:val="0"/>
        <w:spacing w:line="390" w:lineRule="exact"/>
        <w:rPr>
          <w:rFonts w:hAnsi="宋体" w:cs="宋体"/>
          <w:color w:val="auto"/>
          <w:szCs w:val="21"/>
          <w:highlight w:val="none"/>
        </w:rPr>
      </w:pPr>
      <w:r>
        <w:rPr>
          <w:rFonts w:hint="eastAsia" w:hAnsi="宋体" w:cs="宋体"/>
          <w:color w:val="auto"/>
          <w:szCs w:val="21"/>
          <w:highlight w:val="none"/>
        </w:rPr>
        <w:t xml:space="preserve">    </w:t>
      </w:r>
      <w:r>
        <w:rPr>
          <w:rFonts w:hint="eastAsia" w:hAnsi="宋体" w:cs="宋体"/>
          <w:color w:val="auto"/>
          <w:szCs w:val="21"/>
          <w:highlight w:val="none"/>
          <w:lang w:eastAsia="zh-CN"/>
        </w:rPr>
        <w:t>（</w:t>
      </w:r>
      <w:r>
        <w:rPr>
          <w:rFonts w:hint="eastAsia" w:hAnsi="宋体" w:cs="宋体"/>
          <w:color w:val="auto"/>
          <w:szCs w:val="21"/>
          <w:highlight w:val="none"/>
        </w:rPr>
        <w:t>3）由税务机关颁发的税务登记证复印件</w:t>
      </w:r>
      <w:r>
        <w:rPr>
          <w:rFonts w:hint="eastAsia" w:hAnsi="宋体" w:cs="宋体"/>
          <w:bCs/>
          <w:color w:val="auto"/>
          <w:szCs w:val="21"/>
          <w:highlight w:val="none"/>
        </w:rPr>
        <w:t>加盖公章</w:t>
      </w:r>
      <w:r>
        <w:rPr>
          <w:rFonts w:hint="eastAsia" w:hAnsi="宋体" w:cs="宋体"/>
          <w:color w:val="auto"/>
          <w:szCs w:val="21"/>
          <w:highlight w:val="none"/>
        </w:rPr>
        <w:t>；</w:t>
      </w:r>
      <w:r>
        <w:rPr>
          <w:rFonts w:hint="eastAsia" w:hAnsi="宋体" w:cs="宋体"/>
          <w:bCs/>
          <w:color w:val="auto"/>
          <w:szCs w:val="21"/>
          <w:highlight w:val="none"/>
        </w:rPr>
        <w:t>(必须提供，</w:t>
      </w:r>
      <w:r>
        <w:rPr>
          <w:rFonts w:hint="eastAsia" w:hAnsi="宋体" w:cs="宋体"/>
          <w:color w:val="auto"/>
          <w:spacing w:val="2"/>
          <w:highlight w:val="none"/>
        </w:rPr>
        <w:t>已办理三证合一不需要提供</w:t>
      </w:r>
      <w:r>
        <w:rPr>
          <w:rFonts w:hint="eastAsia" w:hAnsi="宋体" w:cs="宋体"/>
          <w:bCs/>
          <w:color w:val="auto"/>
          <w:szCs w:val="21"/>
          <w:highlight w:val="none"/>
        </w:rPr>
        <w:t>)</w:t>
      </w:r>
    </w:p>
    <w:p>
      <w:pPr>
        <w:pStyle w:val="14"/>
        <w:wordWrap w:val="0"/>
        <w:spacing w:line="390" w:lineRule="exact"/>
        <w:ind w:firstLine="420" w:firstLineChars="200"/>
        <w:rPr>
          <w:rFonts w:hAnsi="宋体" w:cs="宋体"/>
          <w:color w:val="auto"/>
          <w:szCs w:val="21"/>
          <w:highlight w:val="none"/>
        </w:rPr>
      </w:pPr>
      <w:r>
        <w:rPr>
          <w:rFonts w:hint="eastAsia" w:hAnsi="宋体" w:cs="宋体"/>
          <w:color w:val="auto"/>
          <w:szCs w:val="21"/>
          <w:highlight w:val="none"/>
          <w:lang w:eastAsia="zh-CN"/>
        </w:rPr>
        <w:t>（</w:t>
      </w:r>
      <w:r>
        <w:rPr>
          <w:rFonts w:hint="eastAsia" w:hAnsi="宋体" w:cs="宋体"/>
          <w:color w:val="auto"/>
          <w:szCs w:val="21"/>
          <w:highlight w:val="none"/>
        </w:rPr>
        <w:t>4）法定代表人</w:t>
      </w:r>
      <w:r>
        <w:rPr>
          <w:rFonts w:hint="eastAsia" w:hAnsi="宋体" w:cs="宋体"/>
          <w:color w:val="auto"/>
          <w:highlight w:val="none"/>
        </w:rPr>
        <w:t>（负责人或自然人）</w:t>
      </w:r>
      <w:r>
        <w:rPr>
          <w:rFonts w:hint="eastAsia" w:hAnsi="宋体" w:cs="宋体"/>
          <w:color w:val="auto"/>
          <w:szCs w:val="21"/>
          <w:highlight w:val="none"/>
        </w:rPr>
        <w:t>身份证明书</w:t>
      </w:r>
      <w:r>
        <w:rPr>
          <w:rFonts w:hint="eastAsia" w:hAnsi="宋体" w:cs="宋体"/>
          <w:bCs/>
          <w:color w:val="auto"/>
          <w:szCs w:val="21"/>
          <w:highlight w:val="none"/>
        </w:rPr>
        <w:t>；（必须提供</w:t>
      </w:r>
      <w:r>
        <w:rPr>
          <w:rFonts w:hint="eastAsia" w:hAnsi="宋体" w:cs="宋体"/>
          <w:color w:val="auto"/>
          <w:highlight w:val="none"/>
        </w:rPr>
        <w:t>，否则竞标无效</w:t>
      </w:r>
      <w:r>
        <w:rPr>
          <w:rFonts w:hint="eastAsia" w:hAnsi="宋体" w:cs="宋体"/>
          <w:bCs/>
          <w:color w:val="auto"/>
          <w:szCs w:val="21"/>
          <w:highlight w:val="none"/>
        </w:rPr>
        <w:t>）</w:t>
      </w:r>
    </w:p>
    <w:p>
      <w:pPr>
        <w:pStyle w:val="14"/>
        <w:wordWrap w:val="0"/>
        <w:spacing w:line="390" w:lineRule="exact"/>
        <w:ind w:firstLine="420" w:firstLineChars="200"/>
        <w:rPr>
          <w:rFonts w:hAnsi="宋体" w:cs="宋体"/>
          <w:color w:val="auto"/>
          <w:highlight w:val="none"/>
        </w:rPr>
      </w:pPr>
      <w:r>
        <w:rPr>
          <w:rFonts w:hint="eastAsia" w:hAnsi="宋体" w:cs="宋体"/>
          <w:color w:val="auto"/>
          <w:szCs w:val="21"/>
          <w:highlight w:val="none"/>
          <w:lang w:eastAsia="zh-CN"/>
        </w:rPr>
        <w:t>（</w:t>
      </w:r>
      <w:r>
        <w:rPr>
          <w:rFonts w:hint="eastAsia" w:hAnsi="宋体" w:cs="宋体"/>
          <w:color w:val="auto"/>
          <w:szCs w:val="21"/>
          <w:highlight w:val="none"/>
        </w:rPr>
        <w:t>5）法定代表人（负责人）授权委托书原件和委托代理人身份证复印件</w:t>
      </w:r>
      <w:r>
        <w:rPr>
          <w:rFonts w:hint="eastAsia" w:hAnsi="宋体" w:cs="宋体"/>
          <w:bCs/>
          <w:color w:val="auto"/>
          <w:szCs w:val="21"/>
          <w:highlight w:val="none"/>
        </w:rPr>
        <w:t>加盖公章</w:t>
      </w:r>
      <w:r>
        <w:rPr>
          <w:rFonts w:hint="eastAsia" w:hAnsi="宋体" w:cs="宋体"/>
          <w:color w:val="auto"/>
          <w:highlight w:val="none"/>
        </w:rPr>
        <w:t>；</w:t>
      </w:r>
      <w:r>
        <w:rPr>
          <w:rFonts w:hint="eastAsia" w:hAnsi="宋体" w:cs="宋体"/>
          <w:color w:val="auto"/>
          <w:szCs w:val="21"/>
          <w:highlight w:val="none"/>
        </w:rPr>
        <w:t>（</w:t>
      </w:r>
      <w:r>
        <w:rPr>
          <w:rFonts w:hint="eastAsia" w:hAnsi="宋体" w:cs="宋体"/>
          <w:color w:val="auto"/>
          <w:highlight w:val="none"/>
        </w:rPr>
        <w:t>必须</w:t>
      </w:r>
      <w:r>
        <w:rPr>
          <w:rFonts w:hint="eastAsia" w:hAnsi="宋体" w:cs="宋体"/>
          <w:bCs/>
          <w:color w:val="auto"/>
          <w:szCs w:val="21"/>
          <w:highlight w:val="none"/>
        </w:rPr>
        <w:t>提供</w:t>
      </w:r>
      <w:r>
        <w:rPr>
          <w:rFonts w:hint="eastAsia" w:hAnsi="宋体" w:cs="宋体"/>
          <w:color w:val="auto"/>
          <w:highlight w:val="none"/>
        </w:rPr>
        <w:t>，否则竞标无效）</w:t>
      </w:r>
    </w:p>
    <w:p>
      <w:pPr>
        <w:pStyle w:val="14"/>
        <w:numPr>
          <w:ilvl w:val="0"/>
          <w:numId w:val="0"/>
        </w:numPr>
        <w:wordWrap w:val="0"/>
        <w:spacing w:line="390" w:lineRule="exact"/>
        <w:ind w:firstLine="420" w:firstLineChars="200"/>
        <w:rPr>
          <w:rFonts w:hAnsi="宋体" w:cs="宋体"/>
          <w:color w:val="auto"/>
          <w:highlight w:val="none"/>
        </w:rPr>
      </w:pPr>
      <w:r>
        <w:rPr>
          <w:rFonts w:hint="eastAsia" w:hAnsi="宋体" w:cs="宋体"/>
          <w:color w:val="auto"/>
          <w:szCs w:val="21"/>
          <w:highlight w:val="none"/>
          <w:lang w:eastAsia="zh-CN"/>
        </w:rPr>
        <w:t>（</w:t>
      </w:r>
      <w:r>
        <w:rPr>
          <w:rFonts w:hint="eastAsia" w:hAnsi="宋体" w:cs="宋体"/>
          <w:color w:val="auto"/>
          <w:highlight w:val="none"/>
          <w:lang w:val="en-US" w:eastAsia="zh-CN"/>
        </w:rPr>
        <w:t>6）</w:t>
      </w:r>
      <w:r>
        <w:rPr>
          <w:rFonts w:hint="eastAsia" w:hAnsi="宋体" w:cs="宋体"/>
          <w:color w:val="auto"/>
          <w:highlight w:val="none"/>
        </w:rPr>
        <w:t>竞标保证金缴纳证明复印件；（必须提供，否则竞标无效）</w:t>
      </w:r>
    </w:p>
    <w:p>
      <w:pPr>
        <w:pStyle w:val="14"/>
        <w:numPr>
          <w:ilvl w:val="0"/>
          <w:numId w:val="0"/>
        </w:numPr>
        <w:wordWrap w:val="0"/>
        <w:spacing w:line="390" w:lineRule="exact"/>
        <w:ind w:firstLine="420" w:firstLineChars="200"/>
        <w:rPr>
          <w:rFonts w:hAnsi="宋体" w:cs="宋体"/>
          <w:color w:val="auto"/>
          <w:highlight w:val="none"/>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7）</w:t>
      </w:r>
      <w:r>
        <w:rPr>
          <w:rFonts w:hint="eastAsia" w:hAnsi="宋体" w:cs="宋体"/>
          <w:color w:val="auto"/>
          <w:szCs w:val="21"/>
          <w:highlight w:val="none"/>
        </w:rPr>
        <w:t>竞标人</w:t>
      </w:r>
      <w:r>
        <w:rPr>
          <w:rFonts w:hint="eastAsia" w:hAnsi="宋体" w:cs="宋体"/>
          <w:color w:val="auto"/>
          <w:szCs w:val="21"/>
          <w:highlight w:val="none"/>
          <w:lang w:eastAsia="zh-CN"/>
        </w:rPr>
        <w:t>2020年</w:t>
      </w:r>
      <w:r>
        <w:rPr>
          <w:rFonts w:hint="eastAsia" w:hAnsi="宋体" w:cs="宋体"/>
          <w:color w:val="auto"/>
          <w:szCs w:val="21"/>
          <w:highlight w:val="none"/>
          <w:lang w:val="en-US" w:eastAsia="zh-CN"/>
        </w:rPr>
        <w:t>6</w:t>
      </w:r>
      <w:r>
        <w:rPr>
          <w:rFonts w:hint="eastAsia" w:hAnsi="宋体" w:cs="宋体"/>
          <w:color w:val="auto"/>
          <w:szCs w:val="21"/>
          <w:highlight w:val="none"/>
          <w:lang w:eastAsia="zh-CN"/>
        </w:rPr>
        <w:t>月以来连续三个月</w:t>
      </w:r>
      <w:r>
        <w:rPr>
          <w:rFonts w:hint="eastAsia" w:hAnsi="宋体" w:cs="宋体"/>
          <w:color w:val="auto"/>
          <w:szCs w:val="21"/>
          <w:highlight w:val="none"/>
        </w:rPr>
        <w:t>“中华人民共和国税收专用完税证明”复印件或“电子缴税凭证”复印件或</w:t>
      </w:r>
      <w:r>
        <w:rPr>
          <w:rFonts w:hint="eastAsia" w:hAnsi="宋体" w:cs="宋体"/>
          <w:color w:val="auto"/>
          <w:szCs w:val="21"/>
          <w:highlight w:val="none"/>
          <w:lang w:eastAsia="zh-CN"/>
        </w:rPr>
        <w:t>缴纳凭证复印件或</w:t>
      </w:r>
      <w:r>
        <w:rPr>
          <w:rFonts w:hint="eastAsia" w:hAnsi="宋体" w:cs="宋体"/>
          <w:color w:val="auto"/>
          <w:szCs w:val="21"/>
          <w:highlight w:val="none"/>
        </w:rPr>
        <w:t>由当地税务部门开具的正常缴纳税收（或免税）证明复印件（国税或地税）；</w:t>
      </w:r>
      <w:r>
        <w:rPr>
          <w:rFonts w:hint="eastAsia" w:hAnsi="宋体" w:cs="宋体"/>
          <w:bCs/>
          <w:color w:val="auto"/>
          <w:szCs w:val="21"/>
          <w:highlight w:val="none"/>
        </w:rPr>
        <w:t>（必须提供</w:t>
      </w:r>
      <w:r>
        <w:rPr>
          <w:rFonts w:hint="eastAsia" w:hAnsi="宋体" w:cs="宋体"/>
          <w:color w:val="auto"/>
          <w:highlight w:val="none"/>
        </w:rPr>
        <w:t>，否则竞标无效</w:t>
      </w:r>
      <w:r>
        <w:rPr>
          <w:rFonts w:hint="eastAsia" w:hAnsi="宋体" w:cs="宋体"/>
          <w:bCs/>
          <w:color w:val="auto"/>
          <w:szCs w:val="21"/>
          <w:highlight w:val="none"/>
        </w:rPr>
        <w:t>）</w:t>
      </w:r>
    </w:p>
    <w:p>
      <w:pPr>
        <w:pStyle w:val="14"/>
        <w:numPr>
          <w:ilvl w:val="0"/>
          <w:numId w:val="0"/>
        </w:numPr>
        <w:wordWrap w:val="0"/>
        <w:spacing w:line="390" w:lineRule="exact"/>
        <w:ind w:firstLine="420" w:firstLineChars="200"/>
        <w:rPr>
          <w:rFonts w:hAnsi="宋体" w:cs="宋体"/>
          <w:color w:val="auto"/>
          <w:highlight w:val="none"/>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8</w:t>
      </w:r>
      <w:r>
        <w:rPr>
          <w:rFonts w:hint="eastAsia" w:hAnsi="宋体" w:cs="宋体"/>
          <w:color w:val="auto"/>
          <w:szCs w:val="21"/>
          <w:highlight w:val="none"/>
          <w:lang w:eastAsia="zh-CN"/>
        </w:rPr>
        <w:t>）</w:t>
      </w:r>
      <w:r>
        <w:rPr>
          <w:rFonts w:hint="eastAsia" w:hAnsi="宋体" w:cs="宋体"/>
          <w:color w:val="auto"/>
          <w:szCs w:val="21"/>
          <w:highlight w:val="none"/>
        </w:rPr>
        <w:t>竞标人</w:t>
      </w:r>
      <w:r>
        <w:rPr>
          <w:rFonts w:hint="eastAsia" w:hAnsi="宋体" w:cs="宋体"/>
          <w:color w:val="auto"/>
          <w:szCs w:val="21"/>
          <w:highlight w:val="none"/>
          <w:lang w:eastAsia="zh-CN"/>
        </w:rPr>
        <w:t>2020年</w:t>
      </w:r>
      <w:r>
        <w:rPr>
          <w:rFonts w:hint="eastAsia" w:hAnsi="宋体" w:cs="宋体"/>
          <w:color w:val="auto"/>
          <w:szCs w:val="21"/>
          <w:highlight w:val="none"/>
          <w:lang w:val="en-US" w:eastAsia="zh-CN"/>
        </w:rPr>
        <w:t>6</w:t>
      </w:r>
      <w:r>
        <w:rPr>
          <w:rFonts w:hint="eastAsia" w:hAnsi="宋体" w:cs="宋体"/>
          <w:color w:val="auto"/>
          <w:szCs w:val="21"/>
          <w:highlight w:val="none"/>
          <w:lang w:eastAsia="zh-CN"/>
        </w:rPr>
        <w:t>月以来连续三个月</w:t>
      </w:r>
      <w:r>
        <w:rPr>
          <w:rFonts w:hint="eastAsia" w:hAnsi="宋体" w:cs="宋体"/>
          <w:color w:val="auto"/>
          <w:szCs w:val="21"/>
          <w:highlight w:val="none"/>
        </w:rPr>
        <w:t>“社会保险基金专用收款收据”复印件或“电子缴款凭证”复印件或缴纳</w:t>
      </w:r>
      <w:r>
        <w:rPr>
          <w:rFonts w:hint="eastAsia" w:hAnsi="宋体" w:cs="宋体"/>
          <w:color w:val="auto"/>
          <w:szCs w:val="21"/>
          <w:highlight w:val="none"/>
          <w:lang w:eastAsia="zh-CN"/>
        </w:rPr>
        <w:t>凭证复印件或</w:t>
      </w:r>
      <w:r>
        <w:rPr>
          <w:rFonts w:hint="eastAsia" w:hAnsi="宋体" w:cs="宋体"/>
          <w:color w:val="auto"/>
          <w:szCs w:val="21"/>
          <w:highlight w:val="none"/>
        </w:rPr>
        <w:t>由社保部门开具的正常缴纳社保费用证明复印件；</w:t>
      </w:r>
      <w:r>
        <w:rPr>
          <w:rFonts w:hint="eastAsia" w:hAnsi="宋体" w:cs="宋体"/>
          <w:bCs/>
          <w:color w:val="auto"/>
          <w:szCs w:val="21"/>
          <w:highlight w:val="none"/>
        </w:rPr>
        <w:t>（必须提供</w:t>
      </w:r>
      <w:r>
        <w:rPr>
          <w:rFonts w:hint="eastAsia" w:hAnsi="宋体" w:cs="宋体"/>
          <w:color w:val="auto"/>
          <w:highlight w:val="none"/>
        </w:rPr>
        <w:t>，否则竞标无效</w:t>
      </w:r>
      <w:r>
        <w:rPr>
          <w:rFonts w:hint="eastAsia" w:hAnsi="宋体" w:cs="宋体"/>
          <w:bCs/>
          <w:color w:val="auto"/>
          <w:szCs w:val="21"/>
          <w:highlight w:val="none"/>
        </w:rPr>
        <w:t>）</w:t>
      </w:r>
    </w:p>
    <w:p>
      <w:pPr>
        <w:pStyle w:val="14"/>
        <w:wordWrap w:val="0"/>
        <w:spacing w:line="390" w:lineRule="exact"/>
        <w:ind w:firstLine="420" w:firstLineChars="200"/>
        <w:rPr>
          <w:rFonts w:hAnsi="宋体" w:cs="宋体"/>
          <w:color w:val="auto"/>
          <w:highlight w:val="none"/>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9</w:t>
      </w:r>
      <w:r>
        <w:rPr>
          <w:rFonts w:hint="eastAsia" w:hAnsi="宋体" w:cs="宋体"/>
          <w:color w:val="auto"/>
          <w:szCs w:val="21"/>
          <w:highlight w:val="none"/>
          <w:lang w:eastAsia="zh-CN"/>
        </w:rPr>
        <w:t>）</w:t>
      </w:r>
      <w:r>
        <w:rPr>
          <w:rFonts w:hint="eastAsia" w:hAnsi="宋体"/>
          <w:color w:val="auto"/>
          <w:szCs w:val="22"/>
          <w:highlight w:val="none"/>
        </w:rPr>
        <w:t>竞标人提供2019年度财务报</w:t>
      </w:r>
      <w:r>
        <w:rPr>
          <w:rFonts w:hint="eastAsia" w:hAnsi="宋体"/>
          <w:color w:val="auto"/>
          <w:szCs w:val="22"/>
          <w:highlight w:val="none"/>
          <w:lang w:eastAsia="zh-CN"/>
        </w:rPr>
        <w:t>表（</w:t>
      </w:r>
      <w:r>
        <w:rPr>
          <w:rFonts w:hint="eastAsia" w:hAnsi="宋体"/>
          <w:color w:val="auto"/>
          <w:szCs w:val="22"/>
          <w:highlight w:val="none"/>
        </w:rPr>
        <w:t>告</w:t>
      </w:r>
      <w:r>
        <w:rPr>
          <w:rFonts w:hint="eastAsia" w:hAnsi="宋体"/>
          <w:color w:val="auto"/>
          <w:szCs w:val="22"/>
          <w:highlight w:val="none"/>
          <w:lang w:eastAsia="zh-CN"/>
        </w:rPr>
        <w:t>）</w:t>
      </w:r>
      <w:r>
        <w:rPr>
          <w:rFonts w:hint="eastAsia" w:hAnsi="宋体"/>
          <w:color w:val="auto"/>
          <w:szCs w:val="22"/>
          <w:highlight w:val="none"/>
        </w:rPr>
        <w:t>复印件（</w:t>
      </w:r>
      <w:r>
        <w:rPr>
          <w:rFonts w:hint="eastAsia" w:hAnsi="宋体"/>
          <w:bCs/>
          <w:color w:val="auto"/>
          <w:szCs w:val="21"/>
          <w:highlight w:val="none"/>
        </w:rPr>
        <w:t>新成立单位按实际情况提供财务报表复印件）</w:t>
      </w:r>
      <w:r>
        <w:rPr>
          <w:rFonts w:hint="eastAsia" w:hAnsi="宋体"/>
          <w:color w:val="auto"/>
          <w:highlight w:val="none"/>
        </w:rPr>
        <w:t>（必须提供，否则竞标无效）</w:t>
      </w:r>
    </w:p>
    <w:p>
      <w:pPr>
        <w:pStyle w:val="14"/>
        <w:wordWrap w:val="0"/>
        <w:spacing w:line="390" w:lineRule="exact"/>
        <w:ind w:firstLine="420" w:firstLineChars="200"/>
        <w:rPr>
          <w:rFonts w:hAnsi="宋体" w:cs="宋体"/>
          <w:bCs/>
          <w:color w:val="auto"/>
          <w:szCs w:val="21"/>
          <w:highlight w:val="none"/>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10</w:t>
      </w:r>
      <w:r>
        <w:rPr>
          <w:rFonts w:hint="eastAsia" w:hAnsi="宋体" w:cs="宋体"/>
          <w:color w:val="auto"/>
          <w:szCs w:val="21"/>
          <w:highlight w:val="none"/>
          <w:lang w:eastAsia="zh-CN"/>
        </w:rPr>
        <w:t>）</w:t>
      </w:r>
      <w:r>
        <w:rPr>
          <w:rFonts w:hint="eastAsia" w:hAnsi="宋体" w:cs="宋体"/>
          <w:color w:val="auto"/>
          <w:szCs w:val="21"/>
          <w:highlight w:val="none"/>
        </w:rPr>
        <w:t>竞标人在本项目竞标截止时间前三年内，在经营活动中没有重大违法记录和不良信用记录证明资料；（被列入失信被执行人、重大税收违法案件当事人名单、政府采购严重违法失信行为记录名单及其他不符合《中华人民共和国政府采购法》第二十二条规定条件的供应商，将被拒绝参与本次政府采购活动。供应商可在“信用中国”网站（www.creditchina.gov.cn）、中国政府采购网（www.ccgp.gov.cn）查询相关供应商主体信用记录，同时须将查询结果截图加盖单位公章并放入竞标文件中）。</w:t>
      </w:r>
      <w:r>
        <w:rPr>
          <w:rFonts w:hint="eastAsia" w:hAnsi="宋体" w:cs="宋体"/>
          <w:bCs/>
          <w:color w:val="auto"/>
          <w:szCs w:val="21"/>
          <w:highlight w:val="none"/>
        </w:rPr>
        <w:t>（必须提供</w:t>
      </w:r>
      <w:r>
        <w:rPr>
          <w:rFonts w:hint="eastAsia" w:hAnsi="宋体" w:cs="宋体"/>
          <w:color w:val="auto"/>
          <w:highlight w:val="none"/>
        </w:rPr>
        <w:t>，否则竞标无效</w:t>
      </w:r>
      <w:r>
        <w:rPr>
          <w:rFonts w:hint="eastAsia" w:hAnsi="宋体" w:cs="宋体"/>
          <w:bCs/>
          <w:color w:val="auto"/>
          <w:szCs w:val="21"/>
          <w:highlight w:val="none"/>
        </w:rPr>
        <w:t>）</w:t>
      </w:r>
    </w:p>
    <w:p>
      <w:pPr>
        <w:pStyle w:val="14"/>
        <w:numPr>
          <w:ilvl w:val="0"/>
          <w:numId w:val="0"/>
        </w:numPr>
        <w:spacing w:line="396" w:lineRule="exact"/>
        <w:ind w:left="300" w:leftChars="0"/>
        <w:rPr>
          <w:rFonts w:hint="eastAsia"/>
          <w:color w:val="auto"/>
          <w:highlight w:val="none"/>
        </w:rPr>
      </w:pPr>
      <w:r>
        <w:rPr>
          <w:rFonts w:hint="eastAsia" w:hAnsi="宋体" w:cs="宋体"/>
          <w:color w:val="auto"/>
          <w:highlight w:val="none"/>
          <w:lang w:val="en-US" w:eastAsia="zh-CN"/>
        </w:rPr>
        <w:t>（11）竞标人提供有效的《医疗器械经营许可证》复印件；（必须提供）</w:t>
      </w:r>
    </w:p>
    <w:p>
      <w:pPr>
        <w:pStyle w:val="14"/>
        <w:wordWrap w:val="0"/>
        <w:spacing w:line="390" w:lineRule="exact"/>
        <w:ind w:firstLine="420" w:firstLineChars="200"/>
        <w:rPr>
          <w:rFonts w:hint="eastAsia" w:hAnsi="宋体" w:cs="宋体"/>
          <w:color w:val="auto"/>
          <w:szCs w:val="21"/>
          <w:highlight w:val="none"/>
          <w:lang w:eastAsia="zh-CN"/>
        </w:rPr>
      </w:pPr>
    </w:p>
    <w:p>
      <w:pPr>
        <w:pStyle w:val="14"/>
        <w:wordWrap w:val="0"/>
        <w:spacing w:line="390" w:lineRule="exact"/>
        <w:ind w:firstLine="420" w:firstLineChars="200"/>
        <w:rPr>
          <w:rFonts w:hAnsi="宋体" w:cs="宋体"/>
          <w:color w:val="auto"/>
          <w:szCs w:val="21"/>
          <w:highlight w:val="none"/>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12</w:t>
      </w:r>
      <w:r>
        <w:rPr>
          <w:rFonts w:hint="eastAsia" w:hAnsi="宋体" w:cs="宋体"/>
          <w:color w:val="auto"/>
          <w:szCs w:val="21"/>
          <w:highlight w:val="none"/>
          <w:lang w:eastAsia="zh-CN"/>
        </w:rPr>
        <w:t>）</w:t>
      </w:r>
      <w:r>
        <w:rPr>
          <w:rFonts w:hint="eastAsia" w:hAnsi="宋体" w:cs="宋体"/>
          <w:color w:val="auto"/>
          <w:szCs w:val="21"/>
          <w:highlight w:val="none"/>
        </w:rPr>
        <w:t>本项目《货物需求一览表》中须提供的相关证明材料；</w:t>
      </w:r>
      <w:r>
        <w:rPr>
          <w:rFonts w:hint="eastAsia" w:hAnsi="宋体"/>
          <w:color w:val="auto"/>
          <w:highlight w:val="none"/>
        </w:rPr>
        <w:t>（必须提供，否则竞标无效）</w:t>
      </w:r>
    </w:p>
    <w:p>
      <w:pPr>
        <w:pStyle w:val="14"/>
        <w:numPr>
          <w:ilvl w:val="0"/>
          <w:numId w:val="0"/>
        </w:numPr>
        <w:spacing w:line="396" w:lineRule="exact"/>
        <w:ind w:firstLine="420" w:firstLineChars="200"/>
        <w:rPr>
          <w:rFonts w:hint="eastAsia" w:hAnsi="宋体" w:cs="宋体"/>
          <w:color w:val="auto"/>
          <w:szCs w:val="21"/>
          <w:highlight w:val="none"/>
        </w:rPr>
      </w:pPr>
      <w:r>
        <w:rPr>
          <w:rFonts w:hint="eastAsia" w:hAnsi="宋体" w:cs="宋体"/>
          <w:color w:val="auto"/>
          <w:highlight w:val="none"/>
          <w:lang w:eastAsia="zh-CN"/>
        </w:rPr>
        <w:t>（</w:t>
      </w:r>
      <w:r>
        <w:rPr>
          <w:rFonts w:hint="eastAsia" w:hAnsi="宋体" w:cs="宋体"/>
          <w:color w:val="auto"/>
          <w:highlight w:val="none"/>
          <w:lang w:val="en-US" w:eastAsia="zh-CN"/>
        </w:rPr>
        <w:t>13</w:t>
      </w:r>
      <w:r>
        <w:rPr>
          <w:rFonts w:hint="eastAsia" w:hAnsi="宋体" w:cs="宋体"/>
          <w:color w:val="auto"/>
          <w:highlight w:val="none"/>
          <w:lang w:eastAsia="zh-CN"/>
        </w:rPr>
        <w:t>）</w:t>
      </w:r>
      <w:r>
        <w:rPr>
          <w:rFonts w:hint="eastAsia" w:hAnsi="宋体" w:cs="宋体"/>
          <w:color w:val="auto"/>
          <w:highlight w:val="none"/>
          <w:lang w:val="en-US" w:eastAsia="zh-CN"/>
        </w:rPr>
        <w:t>竞标人提供</w:t>
      </w:r>
      <w:r>
        <w:rPr>
          <w:rFonts w:hint="eastAsia" w:hAnsi="宋体" w:cs="宋体"/>
          <w:color w:val="auto"/>
          <w:highlight w:val="none"/>
        </w:rPr>
        <w:t>第二类医疗器械经营备案凭证复印件；（</w:t>
      </w:r>
      <w:r>
        <w:rPr>
          <w:rFonts w:hint="eastAsia" w:hAnsi="宋体" w:cs="宋体"/>
          <w:color w:val="auto"/>
          <w:highlight w:val="none"/>
          <w:lang w:eastAsia="zh-CN"/>
        </w:rPr>
        <w:t>如有请</w:t>
      </w:r>
      <w:r>
        <w:rPr>
          <w:rFonts w:hint="eastAsia" w:hAnsi="宋体" w:cs="宋体"/>
          <w:color w:val="auto"/>
          <w:highlight w:val="none"/>
        </w:rPr>
        <w:t>提供）</w:t>
      </w:r>
    </w:p>
    <w:p>
      <w:pPr>
        <w:pStyle w:val="14"/>
        <w:wordWrap w:val="0"/>
        <w:spacing w:line="390" w:lineRule="exact"/>
        <w:ind w:firstLine="420" w:firstLineChars="200"/>
        <w:rPr>
          <w:rFonts w:hAnsi="宋体" w:cs="宋体"/>
          <w:color w:val="auto"/>
          <w:szCs w:val="21"/>
          <w:highlight w:val="none"/>
        </w:rPr>
      </w:pPr>
      <w:r>
        <w:rPr>
          <w:rFonts w:hint="eastAsia" w:hAnsi="宋体" w:cs="宋体"/>
          <w:color w:val="auto"/>
          <w:szCs w:val="21"/>
          <w:highlight w:val="none"/>
        </w:rPr>
        <w:t>12.1按照本须知第7条规定，竞标人认为有必要提供的其他有关资料；</w:t>
      </w:r>
    </w:p>
    <w:p>
      <w:pPr>
        <w:pStyle w:val="14"/>
        <w:wordWrap w:val="0"/>
        <w:spacing w:line="382" w:lineRule="exact"/>
        <w:ind w:firstLine="420" w:firstLineChars="200"/>
        <w:rPr>
          <w:rFonts w:hAnsi="宋体" w:cs="宋体"/>
          <w:color w:val="auto"/>
          <w:highlight w:val="none"/>
        </w:rPr>
      </w:pPr>
      <w:r>
        <w:rPr>
          <w:rFonts w:hint="eastAsia" w:hAnsi="宋体" w:cs="宋体"/>
          <w:color w:val="auto"/>
          <w:highlight w:val="none"/>
        </w:rPr>
        <w:t>13.竞标的有效期</w:t>
      </w:r>
    </w:p>
    <w:p>
      <w:pPr>
        <w:pStyle w:val="14"/>
        <w:wordWrap w:val="0"/>
        <w:spacing w:line="382" w:lineRule="exact"/>
        <w:ind w:firstLine="420"/>
        <w:rPr>
          <w:rFonts w:hAnsi="宋体" w:cs="宋体"/>
          <w:color w:val="auto"/>
          <w:highlight w:val="none"/>
        </w:rPr>
      </w:pPr>
      <w:r>
        <w:rPr>
          <w:rFonts w:hint="eastAsia" w:hAnsi="宋体" w:cs="宋体"/>
          <w:color w:val="auto"/>
          <w:highlight w:val="none"/>
        </w:rPr>
        <w:t>13.1响应文件有效期详见本须知前附表第5项规定。</w:t>
      </w:r>
    </w:p>
    <w:p>
      <w:pPr>
        <w:pStyle w:val="14"/>
        <w:wordWrap w:val="0"/>
        <w:spacing w:line="382" w:lineRule="exact"/>
        <w:ind w:firstLine="420"/>
        <w:rPr>
          <w:rFonts w:hAnsi="宋体" w:cs="宋体"/>
          <w:color w:val="auto"/>
          <w:highlight w:val="none"/>
        </w:rPr>
      </w:pPr>
      <w:r>
        <w:rPr>
          <w:rFonts w:hint="eastAsia" w:hAnsi="宋体" w:cs="宋体"/>
          <w:color w:val="auto"/>
          <w:highlight w:val="none"/>
        </w:rPr>
        <w:t>13.2</w:t>
      </w:r>
      <w:r>
        <w:rPr>
          <w:rFonts w:hint="eastAsia" w:hAnsi="宋体" w:cs="宋体"/>
          <w:color w:val="auto"/>
          <w:spacing w:val="2"/>
          <w:highlight w:val="none"/>
        </w:rPr>
        <w:t>在原定竞标有效期满之前，如果出现特殊情况，采购人可以书面形式向竞标人提出延长竞标有效期的要求。竞标人须以书面形式予以答复，竞标人可以拒绝这种要求而不被没收竞标保证金。同意延长竞标有效期的竞标人不允许修改其响应文件及谈判应答文件，但需要相应地延长竞标保证金的有效期，在延长期内本须知第16条的规定仍然适用。</w:t>
      </w:r>
    </w:p>
    <w:p>
      <w:pPr>
        <w:pStyle w:val="14"/>
        <w:wordWrap w:val="0"/>
        <w:spacing w:line="382" w:lineRule="exact"/>
        <w:rPr>
          <w:rFonts w:hAnsi="宋体" w:cs="宋体"/>
          <w:color w:val="auto"/>
          <w:szCs w:val="21"/>
          <w:highlight w:val="none"/>
        </w:rPr>
      </w:pPr>
      <w:r>
        <w:rPr>
          <w:rFonts w:hint="eastAsia" w:hAnsi="宋体" w:cs="宋体"/>
          <w:color w:val="auto"/>
          <w:szCs w:val="21"/>
          <w:highlight w:val="none"/>
        </w:rPr>
        <w:t>14.响应文件书写及签字、盖章要求</w:t>
      </w:r>
    </w:p>
    <w:p>
      <w:pPr>
        <w:pStyle w:val="14"/>
        <w:wordWrap w:val="0"/>
        <w:spacing w:line="382" w:lineRule="exact"/>
        <w:ind w:firstLine="420"/>
        <w:rPr>
          <w:rFonts w:hAnsi="宋体" w:cs="宋体"/>
          <w:bCs/>
          <w:color w:val="auto"/>
          <w:szCs w:val="21"/>
          <w:highlight w:val="none"/>
        </w:rPr>
      </w:pPr>
      <w:r>
        <w:rPr>
          <w:rFonts w:hint="eastAsia" w:hAnsi="宋体" w:cs="宋体"/>
          <w:bCs/>
          <w:color w:val="auto"/>
          <w:szCs w:val="21"/>
          <w:highlight w:val="none"/>
        </w:rPr>
        <w:t>14.1响应文件正、副本必须用不褪色的墨水书写或打印，修改处应由法定代表人</w:t>
      </w:r>
      <w:r>
        <w:rPr>
          <w:rFonts w:hint="eastAsia" w:hAnsi="宋体" w:cs="宋体"/>
          <w:color w:val="auto"/>
          <w:highlight w:val="none"/>
        </w:rPr>
        <w:t>（负责人或自然人）</w:t>
      </w:r>
      <w:r>
        <w:rPr>
          <w:rFonts w:hint="eastAsia" w:hAnsi="宋体" w:cs="宋体"/>
          <w:bCs/>
          <w:color w:val="auto"/>
          <w:szCs w:val="21"/>
          <w:highlight w:val="none"/>
        </w:rPr>
        <w:t>或委托代理人签字和盖公章。</w:t>
      </w:r>
    </w:p>
    <w:p>
      <w:pPr>
        <w:pStyle w:val="14"/>
        <w:wordWrap w:val="0"/>
        <w:spacing w:line="382" w:lineRule="exact"/>
        <w:ind w:firstLine="420"/>
        <w:rPr>
          <w:rFonts w:hAnsi="宋体" w:cs="宋体"/>
          <w:bCs/>
          <w:color w:val="auto"/>
          <w:szCs w:val="21"/>
          <w:highlight w:val="none"/>
        </w:rPr>
      </w:pPr>
      <w:r>
        <w:rPr>
          <w:rFonts w:hint="eastAsia" w:hAnsi="宋体" w:cs="宋体"/>
          <w:bCs/>
          <w:color w:val="auto"/>
          <w:szCs w:val="21"/>
          <w:highlight w:val="none"/>
        </w:rPr>
        <w:t>14.2字迹工整、表达清楚，按要求填写响应文件。</w:t>
      </w:r>
    </w:p>
    <w:p>
      <w:pPr>
        <w:pStyle w:val="14"/>
        <w:wordWrap w:val="0"/>
        <w:spacing w:line="382" w:lineRule="exact"/>
        <w:ind w:firstLine="420"/>
        <w:rPr>
          <w:rFonts w:hAnsi="宋体" w:cs="宋体"/>
          <w:color w:val="auto"/>
          <w:szCs w:val="21"/>
          <w:highlight w:val="none"/>
        </w:rPr>
      </w:pPr>
      <w:r>
        <w:rPr>
          <w:rFonts w:hint="eastAsia" w:hAnsi="宋体" w:cs="宋体"/>
          <w:bCs/>
          <w:color w:val="auto"/>
          <w:szCs w:val="21"/>
          <w:highlight w:val="none"/>
        </w:rPr>
        <w:t>14.3响应文件正本与副本均应使用不能擦去的墨水打印或书写，逐页打印页码，并由竞标人法定代表人</w:t>
      </w:r>
      <w:r>
        <w:rPr>
          <w:rFonts w:hint="eastAsia" w:hAnsi="宋体" w:cs="宋体"/>
          <w:color w:val="auto"/>
          <w:highlight w:val="none"/>
        </w:rPr>
        <w:t>（负责人或自然人）</w:t>
      </w:r>
      <w:r>
        <w:rPr>
          <w:rFonts w:hint="eastAsia" w:hAnsi="宋体" w:cs="宋体"/>
          <w:bCs/>
          <w:color w:val="auto"/>
          <w:szCs w:val="21"/>
          <w:highlight w:val="none"/>
        </w:rPr>
        <w:t>或其授权委托人签字和加盖单位的公章，否则其竞标无效。</w:t>
      </w:r>
    </w:p>
    <w:p>
      <w:pPr>
        <w:pStyle w:val="14"/>
        <w:wordWrap w:val="0"/>
        <w:spacing w:line="382" w:lineRule="exact"/>
        <w:ind w:firstLine="420"/>
        <w:rPr>
          <w:rFonts w:hAnsi="宋体" w:cs="宋体"/>
          <w:bCs/>
          <w:color w:val="auto"/>
          <w:highlight w:val="none"/>
        </w:rPr>
      </w:pPr>
      <w:r>
        <w:rPr>
          <w:rFonts w:hint="eastAsia" w:hAnsi="宋体" w:cs="宋体"/>
          <w:bCs/>
          <w:color w:val="auto"/>
          <w:szCs w:val="21"/>
          <w:highlight w:val="none"/>
        </w:rPr>
        <w:t>14.4响应文件的份数：响应文件的份数详见本须知前附表第6项规定。并在每份文件右上角注明“正本”、“副本”字样，一旦正本和副本不符，以正本为准</w:t>
      </w:r>
      <w:r>
        <w:rPr>
          <w:rFonts w:hint="eastAsia" w:hAnsi="宋体" w:cs="宋体"/>
          <w:bCs/>
          <w:color w:val="auto"/>
          <w:highlight w:val="none"/>
        </w:rPr>
        <w:t>。</w:t>
      </w:r>
    </w:p>
    <w:p>
      <w:pPr>
        <w:pStyle w:val="14"/>
        <w:wordWrap w:val="0"/>
        <w:spacing w:line="382" w:lineRule="exact"/>
        <w:ind w:firstLine="420"/>
        <w:rPr>
          <w:rFonts w:hAnsi="宋体" w:cs="宋体"/>
          <w:bCs/>
          <w:color w:val="auto"/>
          <w:szCs w:val="21"/>
          <w:highlight w:val="none"/>
        </w:rPr>
      </w:pPr>
      <w:r>
        <w:rPr>
          <w:rFonts w:hint="eastAsia" w:hAnsi="宋体" w:cs="宋体"/>
          <w:bCs/>
          <w:color w:val="auto"/>
          <w:szCs w:val="21"/>
          <w:highlight w:val="none"/>
        </w:rPr>
        <w:t>14.5采购文件第六章格式不适合竞标单位实际情况的，竞标人可根据实际情况编制填写。</w:t>
      </w:r>
    </w:p>
    <w:p>
      <w:pPr>
        <w:pStyle w:val="14"/>
        <w:wordWrap w:val="0"/>
        <w:spacing w:line="382" w:lineRule="exact"/>
        <w:rPr>
          <w:rFonts w:hAnsi="宋体" w:cs="宋体"/>
          <w:color w:val="auto"/>
          <w:highlight w:val="none"/>
        </w:rPr>
      </w:pPr>
      <w:r>
        <w:rPr>
          <w:rFonts w:hint="eastAsia" w:hAnsi="宋体" w:cs="宋体"/>
          <w:color w:val="auto"/>
          <w:highlight w:val="none"/>
        </w:rPr>
        <w:t>15.竞标保证金</w:t>
      </w:r>
    </w:p>
    <w:p>
      <w:pPr>
        <w:pStyle w:val="14"/>
        <w:wordWrap w:val="0"/>
        <w:spacing w:line="382" w:lineRule="exact"/>
        <w:ind w:firstLine="420"/>
        <w:rPr>
          <w:rFonts w:hAnsi="宋体" w:cs="宋体"/>
          <w:color w:val="auto"/>
          <w:highlight w:val="none"/>
        </w:rPr>
      </w:pPr>
      <w:r>
        <w:rPr>
          <w:rFonts w:hint="eastAsia" w:hAnsi="宋体" w:cs="宋体"/>
          <w:color w:val="auto"/>
          <w:spacing w:val="-4"/>
          <w:highlight w:val="none"/>
        </w:rPr>
        <w:t>15.1竞标保证金应用人民币。</w:t>
      </w:r>
      <w:r>
        <w:rPr>
          <w:rFonts w:hint="eastAsia" w:hAnsi="宋体" w:cs="宋体"/>
          <w:bCs/>
          <w:color w:val="auto"/>
          <w:highlight w:val="none"/>
        </w:rPr>
        <w:t>金额按竞标人须知前附表第7项规定。</w:t>
      </w:r>
    </w:p>
    <w:p>
      <w:pPr>
        <w:pStyle w:val="14"/>
        <w:wordWrap w:val="0"/>
        <w:spacing w:line="382" w:lineRule="exact"/>
        <w:ind w:firstLine="420"/>
        <w:rPr>
          <w:rFonts w:hAnsi="宋体" w:cs="宋体"/>
          <w:color w:val="auto"/>
          <w:szCs w:val="21"/>
          <w:highlight w:val="none"/>
        </w:rPr>
      </w:pPr>
      <w:r>
        <w:rPr>
          <w:rFonts w:hint="eastAsia" w:hAnsi="宋体" w:cs="宋体"/>
          <w:color w:val="auto"/>
          <w:szCs w:val="21"/>
          <w:highlight w:val="none"/>
        </w:rPr>
        <w:t>15.2交款方式：银行转帐形式，其他形式认定为无效。</w:t>
      </w:r>
    </w:p>
    <w:p>
      <w:pPr>
        <w:pStyle w:val="14"/>
        <w:wordWrap w:val="0"/>
        <w:spacing w:line="382" w:lineRule="exact"/>
        <w:ind w:firstLine="420"/>
        <w:rPr>
          <w:rFonts w:hAnsi="宋体" w:cs="宋体"/>
          <w:bCs/>
          <w:color w:val="auto"/>
          <w:szCs w:val="21"/>
          <w:highlight w:val="none"/>
        </w:rPr>
      </w:pPr>
      <w:r>
        <w:rPr>
          <w:rFonts w:hint="eastAsia" w:hAnsi="宋体" w:cs="宋体"/>
          <w:bCs/>
          <w:color w:val="auto"/>
          <w:szCs w:val="21"/>
          <w:highlight w:val="none"/>
        </w:rPr>
        <w:t>15.3竞标人应按前附表第7项中明确的开户名称、开户银行、账号提交竞标保证金，并确保其于竞标人须知前附表第7项规定时间递交，竞标保证金必须从竞标人银行账户转出到指定银行账户，并持银行转帐底单到广西同泽工程项目管理股份有限公司，原件核查；到规定时间止，若竞标人不按规定办理竞标保证金，则取消其参加本项目竞标资格。</w:t>
      </w:r>
    </w:p>
    <w:p>
      <w:pPr>
        <w:pStyle w:val="14"/>
        <w:wordWrap w:val="0"/>
        <w:spacing w:line="382" w:lineRule="exact"/>
        <w:ind w:firstLine="420" w:firstLineChars="200"/>
        <w:rPr>
          <w:rFonts w:hAnsi="宋体" w:cs="宋体"/>
          <w:color w:val="auto"/>
          <w:szCs w:val="21"/>
          <w:highlight w:val="none"/>
        </w:rPr>
      </w:pPr>
      <w:r>
        <w:rPr>
          <w:rFonts w:hint="eastAsia" w:hAnsi="宋体" w:cs="宋体"/>
          <w:bCs/>
          <w:color w:val="auto"/>
          <w:szCs w:val="21"/>
          <w:highlight w:val="none"/>
        </w:rPr>
        <w:t>15.4</w:t>
      </w:r>
      <w:r>
        <w:rPr>
          <w:rFonts w:hint="eastAsia" w:hAnsi="宋体" w:cs="宋体"/>
          <w:color w:val="auto"/>
          <w:szCs w:val="21"/>
          <w:highlight w:val="none"/>
        </w:rPr>
        <w:t>竞标人的竞标保证金，将在成交通知书发出后5个工作日内予以退还，不计利息。</w:t>
      </w:r>
    </w:p>
    <w:p>
      <w:pPr>
        <w:pStyle w:val="5"/>
        <w:wordWrap w:val="0"/>
        <w:spacing w:before="0" w:after="0" w:line="382" w:lineRule="exact"/>
        <w:jc w:val="center"/>
        <w:rPr>
          <w:rFonts w:ascii="宋体" w:hAnsi="宋体" w:cs="宋体"/>
          <w:bCs w:val="0"/>
          <w:color w:val="auto"/>
          <w:highlight w:val="none"/>
        </w:rPr>
      </w:pPr>
      <w:r>
        <w:rPr>
          <w:rFonts w:hint="eastAsia" w:ascii="宋体" w:hAnsi="宋体" w:cs="宋体"/>
          <w:bCs w:val="0"/>
          <w:color w:val="auto"/>
          <w:sz w:val="21"/>
          <w:highlight w:val="none"/>
        </w:rPr>
        <w:t>四、响应文件的递交</w:t>
      </w:r>
    </w:p>
    <w:p>
      <w:pPr>
        <w:pStyle w:val="14"/>
        <w:wordWrap w:val="0"/>
        <w:spacing w:line="382" w:lineRule="exact"/>
        <w:rPr>
          <w:rFonts w:hAnsi="宋体" w:cs="宋体"/>
          <w:color w:val="auto"/>
          <w:highlight w:val="none"/>
        </w:rPr>
      </w:pPr>
      <w:r>
        <w:rPr>
          <w:rFonts w:hint="eastAsia" w:hAnsi="宋体" w:cs="宋体"/>
          <w:color w:val="auto"/>
          <w:highlight w:val="none"/>
        </w:rPr>
        <w:t>16. 响应文件的密封与标记</w:t>
      </w:r>
    </w:p>
    <w:p>
      <w:pPr>
        <w:pStyle w:val="14"/>
        <w:wordWrap w:val="0"/>
        <w:spacing w:line="382" w:lineRule="exact"/>
        <w:ind w:firstLine="420" w:firstLineChars="200"/>
        <w:rPr>
          <w:rFonts w:hAnsi="宋体" w:cs="宋体"/>
          <w:color w:val="auto"/>
          <w:highlight w:val="none"/>
        </w:rPr>
      </w:pPr>
      <w:r>
        <w:rPr>
          <w:rFonts w:hint="eastAsia" w:hAnsi="宋体" w:cs="宋体"/>
          <w:color w:val="auto"/>
          <w:highlight w:val="none"/>
        </w:rPr>
        <w:t>16.1竞标人应将响应文件（正本一本，副本四本）、</w:t>
      </w:r>
      <w:r>
        <w:rPr>
          <w:rFonts w:hint="eastAsia" w:hAnsi="宋体"/>
          <w:color w:val="auto"/>
          <w:szCs w:val="28"/>
          <w:highlight w:val="none"/>
        </w:rPr>
        <w:t>电子文档一份</w:t>
      </w:r>
      <w:r>
        <w:rPr>
          <w:rFonts w:hint="eastAsia" w:hAnsi="宋体" w:cs="宋体"/>
          <w:color w:val="auto"/>
          <w:highlight w:val="none"/>
        </w:rPr>
        <w:t>一并装入响应文件袋中加以密封；并在封口处密封签章[公章、密封章、法定代表人（负责人或自然人）或其委托代理人签字均可]。</w:t>
      </w:r>
    </w:p>
    <w:p>
      <w:pPr>
        <w:pStyle w:val="14"/>
        <w:wordWrap w:val="0"/>
        <w:spacing w:line="382" w:lineRule="exact"/>
        <w:ind w:firstLine="420"/>
        <w:rPr>
          <w:rFonts w:hAnsi="宋体" w:cs="宋体"/>
          <w:color w:val="auto"/>
          <w:highlight w:val="none"/>
        </w:rPr>
      </w:pPr>
      <w:r>
        <w:rPr>
          <w:rFonts w:hint="eastAsia" w:hAnsi="宋体" w:cs="宋体"/>
          <w:color w:val="auto"/>
          <w:highlight w:val="none"/>
        </w:rPr>
        <w:t>16.2响应文件袋上应写明（空格内要求写明具体内容）：</w:t>
      </w:r>
    </w:p>
    <w:p>
      <w:pPr>
        <w:pStyle w:val="14"/>
        <w:wordWrap w:val="0"/>
        <w:spacing w:line="382" w:lineRule="exact"/>
        <w:ind w:firstLine="420" w:firstLineChars="200"/>
        <w:rPr>
          <w:rFonts w:hAnsi="宋体" w:cs="宋体"/>
          <w:color w:val="auto"/>
          <w:highlight w:val="none"/>
          <w:u w:val="single"/>
        </w:rPr>
      </w:pPr>
      <w:r>
        <w:rPr>
          <w:rFonts w:hint="eastAsia" w:hAnsi="宋体" w:cs="宋体"/>
          <w:color w:val="auto"/>
          <w:highlight w:val="none"/>
        </w:rPr>
        <w:t>(1)项目名称：</w:t>
      </w:r>
      <w:r>
        <w:rPr>
          <w:rFonts w:hint="eastAsia" w:hAnsi="宋体" w:cs="宋体"/>
          <w:color w:val="auto"/>
          <w:highlight w:val="none"/>
          <w:u w:val="single"/>
        </w:rPr>
        <w:t>　　　　　　　　　</w:t>
      </w:r>
    </w:p>
    <w:p>
      <w:pPr>
        <w:pStyle w:val="14"/>
        <w:wordWrap w:val="0"/>
        <w:spacing w:line="382" w:lineRule="exact"/>
        <w:ind w:firstLine="420" w:firstLineChars="200"/>
        <w:rPr>
          <w:rFonts w:hAnsi="宋体" w:cs="宋体"/>
          <w:color w:val="auto"/>
          <w:highlight w:val="none"/>
        </w:rPr>
      </w:pPr>
      <w:r>
        <w:rPr>
          <w:rFonts w:hint="eastAsia" w:hAnsi="宋体" w:cs="宋体"/>
          <w:color w:val="auto"/>
          <w:highlight w:val="none"/>
        </w:rPr>
        <w:t>(2)采购编号：</w:t>
      </w:r>
      <w:r>
        <w:rPr>
          <w:rFonts w:hint="eastAsia" w:hAnsi="宋体" w:cs="宋体"/>
          <w:color w:val="auto"/>
          <w:highlight w:val="none"/>
          <w:u w:val="single"/>
        </w:rPr>
        <w:t>　　　　　　　　　</w:t>
      </w:r>
    </w:p>
    <w:p>
      <w:pPr>
        <w:pStyle w:val="14"/>
        <w:wordWrap w:val="0"/>
        <w:spacing w:line="382" w:lineRule="exact"/>
        <w:ind w:firstLine="420" w:firstLineChars="200"/>
        <w:rPr>
          <w:rFonts w:hAnsi="宋体" w:cs="宋体"/>
          <w:color w:val="auto"/>
          <w:highlight w:val="none"/>
        </w:rPr>
      </w:pPr>
      <w:r>
        <w:rPr>
          <w:rFonts w:hint="eastAsia" w:hAnsi="宋体" w:cs="宋体"/>
          <w:color w:val="auto"/>
          <w:highlight w:val="none"/>
        </w:rPr>
        <w:t>(3)竞标人名称：</w:t>
      </w:r>
      <w:r>
        <w:rPr>
          <w:rFonts w:hint="eastAsia" w:hAnsi="宋体" w:cs="宋体"/>
          <w:color w:val="auto"/>
          <w:highlight w:val="none"/>
          <w:u w:val="single"/>
        </w:rPr>
        <w:t>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w:t>
      </w:r>
    </w:p>
    <w:p>
      <w:pPr>
        <w:pStyle w:val="14"/>
        <w:wordWrap w:val="0"/>
        <w:spacing w:line="372" w:lineRule="exact"/>
        <w:ind w:firstLine="420" w:firstLineChars="200"/>
        <w:rPr>
          <w:rFonts w:hAnsi="宋体" w:cs="宋体"/>
          <w:color w:val="auto"/>
          <w:highlight w:val="none"/>
        </w:rPr>
      </w:pPr>
      <w:r>
        <w:rPr>
          <w:rFonts w:hint="eastAsia" w:hAnsi="宋体" w:cs="宋体"/>
          <w:color w:val="auto"/>
          <w:highlight w:val="none"/>
        </w:rPr>
        <w:t>(4)竞标人地址：</w:t>
      </w:r>
      <w:r>
        <w:rPr>
          <w:rFonts w:hint="eastAsia" w:hAnsi="宋体" w:cs="宋体"/>
          <w:color w:val="auto"/>
          <w:highlight w:val="none"/>
          <w:u w:val="single"/>
        </w:rPr>
        <w:t>　　　　　　　　</w:t>
      </w:r>
    </w:p>
    <w:p>
      <w:pPr>
        <w:pStyle w:val="14"/>
        <w:wordWrap w:val="0"/>
        <w:spacing w:line="372" w:lineRule="exact"/>
        <w:ind w:firstLine="420" w:firstLineChars="200"/>
        <w:rPr>
          <w:rFonts w:hAnsi="宋体" w:cs="宋体"/>
          <w:color w:val="auto"/>
          <w:highlight w:val="none"/>
        </w:rPr>
      </w:pPr>
      <w:r>
        <w:rPr>
          <w:rFonts w:hint="eastAsia" w:hAnsi="宋体" w:cs="宋体"/>
          <w:color w:val="auto"/>
          <w:highlight w:val="none"/>
        </w:rPr>
        <w:t>注明“在年月日时分之前不得启封”</w:t>
      </w:r>
    </w:p>
    <w:p>
      <w:pPr>
        <w:pStyle w:val="14"/>
        <w:wordWrap w:val="0"/>
        <w:spacing w:line="400" w:lineRule="exact"/>
        <w:ind w:firstLine="420"/>
        <w:rPr>
          <w:rFonts w:hAnsi="宋体" w:cs="宋体"/>
          <w:color w:val="auto"/>
          <w:highlight w:val="none"/>
        </w:rPr>
      </w:pPr>
      <w:r>
        <w:rPr>
          <w:rFonts w:hint="eastAsia" w:hAnsi="宋体" w:cs="宋体"/>
          <w:color w:val="auto"/>
          <w:highlight w:val="none"/>
        </w:rPr>
        <w:t>16.3采购代理机构提供的文件袋无法装入文件时，竞标人可按上述要求和文件袋样式另行包装。</w:t>
      </w:r>
    </w:p>
    <w:p>
      <w:pPr>
        <w:pStyle w:val="14"/>
        <w:wordWrap w:val="0"/>
        <w:spacing w:line="400" w:lineRule="exact"/>
        <w:ind w:firstLine="420"/>
        <w:rPr>
          <w:rFonts w:hAnsi="宋体" w:cs="宋体"/>
          <w:color w:val="auto"/>
          <w:highlight w:val="none"/>
        </w:rPr>
      </w:pPr>
      <w:r>
        <w:rPr>
          <w:rFonts w:hint="eastAsia" w:hAnsi="宋体" w:cs="宋体"/>
          <w:color w:val="auto"/>
          <w:highlight w:val="none"/>
        </w:rPr>
        <w:t>16.4</w:t>
      </w:r>
      <w:r>
        <w:rPr>
          <w:rFonts w:hint="eastAsia" w:hAnsi="宋体" w:cs="宋体"/>
          <w:bCs/>
          <w:color w:val="auto"/>
          <w:highlight w:val="none"/>
        </w:rPr>
        <w:t>响应文件的密封以响应文件袋无明显缝隙暴露袋内文件且封口处有密封签章为合格。</w:t>
      </w:r>
    </w:p>
    <w:p>
      <w:pPr>
        <w:pStyle w:val="14"/>
        <w:wordWrap w:val="0"/>
        <w:spacing w:line="400" w:lineRule="exact"/>
        <w:ind w:firstLine="420"/>
        <w:rPr>
          <w:rFonts w:hAnsi="宋体" w:cs="宋体"/>
          <w:color w:val="auto"/>
          <w:szCs w:val="21"/>
          <w:highlight w:val="none"/>
        </w:rPr>
      </w:pPr>
      <w:r>
        <w:rPr>
          <w:rFonts w:hint="eastAsia" w:hAnsi="宋体" w:cs="宋体"/>
          <w:bCs/>
          <w:color w:val="auto"/>
          <w:szCs w:val="21"/>
          <w:highlight w:val="none"/>
        </w:rPr>
        <w:t>16.5竞标人在递交响应文件时外包封袋未按本须知要求密封、标记的，采购代理机构有权拒收，拒收所产生的后果由竞标人自负。</w:t>
      </w:r>
    </w:p>
    <w:p>
      <w:pPr>
        <w:pStyle w:val="14"/>
        <w:wordWrap w:val="0"/>
        <w:spacing w:line="400" w:lineRule="exact"/>
        <w:rPr>
          <w:rFonts w:hAnsi="宋体" w:cs="宋体"/>
          <w:color w:val="auto"/>
          <w:highlight w:val="none"/>
        </w:rPr>
      </w:pPr>
      <w:r>
        <w:rPr>
          <w:rFonts w:hint="eastAsia" w:hAnsi="宋体" w:cs="宋体"/>
          <w:color w:val="auto"/>
          <w:highlight w:val="none"/>
        </w:rPr>
        <w:t>17.竞标截止时间</w:t>
      </w:r>
    </w:p>
    <w:p>
      <w:pPr>
        <w:pStyle w:val="14"/>
        <w:tabs>
          <w:tab w:val="left" w:pos="1957"/>
        </w:tabs>
        <w:wordWrap w:val="0"/>
        <w:spacing w:line="400" w:lineRule="exact"/>
        <w:ind w:firstLine="420"/>
        <w:rPr>
          <w:rFonts w:hAnsi="宋体" w:cs="宋体"/>
          <w:color w:val="auto"/>
          <w:spacing w:val="-4"/>
          <w:highlight w:val="none"/>
        </w:rPr>
      </w:pPr>
      <w:r>
        <w:rPr>
          <w:rFonts w:hint="eastAsia" w:hAnsi="宋体" w:cs="宋体"/>
          <w:color w:val="auto"/>
          <w:highlight w:val="none"/>
        </w:rPr>
        <w:t>17.1</w:t>
      </w:r>
      <w:r>
        <w:rPr>
          <w:rFonts w:hint="eastAsia" w:hAnsi="宋体" w:cs="宋体"/>
          <w:color w:val="auto"/>
          <w:spacing w:val="-4"/>
          <w:highlight w:val="none"/>
        </w:rPr>
        <w:t>响应文件的递交不得迟于本须知前附表第8项规定的截止时间。</w:t>
      </w:r>
    </w:p>
    <w:p>
      <w:pPr>
        <w:pStyle w:val="14"/>
        <w:wordWrap w:val="0"/>
        <w:spacing w:line="400" w:lineRule="exact"/>
        <w:ind w:firstLine="420"/>
        <w:rPr>
          <w:rFonts w:hAnsi="宋体" w:cs="宋体"/>
          <w:color w:val="auto"/>
          <w:highlight w:val="none"/>
        </w:rPr>
      </w:pPr>
      <w:r>
        <w:rPr>
          <w:rFonts w:hint="eastAsia" w:hAnsi="宋体" w:cs="宋体"/>
          <w:color w:val="auto"/>
          <w:highlight w:val="none"/>
        </w:rPr>
        <w:t>17.2竞标人必须在规定时间内将响应文件送到本须知前附表第8项规定地点，超过竞标截止时间送达的响应文件将拒收。</w:t>
      </w:r>
    </w:p>
    <w:p>
      <w:pPr>
        <w:wordWrap w:val="0"/>
        <w:spacing w:line="400" w:lineRule="exact"/>
        <w:rPr>
          <w:rFonts w:ascii="宋体" w:hAnsi="宋体" w:cs="宋体"/>
          <w:color w:val="auto"/>
          <w:szCs w:val="21"/>
          <w:highlight w:val="none"/>
        </w:rPr>
      </w:pPr>
      <w:bookmarkStart w:id="72" w:name="_Toc147250378"/>
      <w:bookmarkStart w:id="73" w:name="_Toc270433081"/>
      <w:bookmarkStart w:id="74" w:name="_Toc311729146"/>
      <w:bookmarkStart w:id="75" w:name="_Toc182358682"/>
      <w:bookmarkStart w:id="76" w:name="_Toc147250332"/>
      <w:bookmarkStart w:id="77" w:name="_Toc147250534"/>
      <w:r>
        <w:rPr>
          <w:rFonts w:hint="eastAsia" w:ascii="宋体" w:hAnsi="宋体" w:cs="宋体"/>
          <w:color w:val="auto"/>
          <w:szCs w:val="21"/>
          <w:highlight w:val="none"/>
        </w:rPr>
        <w:t>18.响应文件的修改及撤回</w:t>
      </w:r>
      <w:bookmarkEnd w:id="72"/>
      <w:bookmarkEnd w:id="73"/>
      <w:bookmarkEnd w:id="74"/>
      <w:bookmarkEnd w:id="75"/>
      <w:bookmarkEnd w:id="76"/>
      <w:bookmarkEnd w:id="77"/>
    </w:p>
    <w:p>
      <w:pPr>
        <w:pStyle w:val="14"/>
        <w:wordWrap w:val="0"/>
        <w:spacing w:line="400" w:lineRule="exact"/>
        <w:ind w:firstLine="443" w:firstLineChars="211"/>
        <w:rPr>
          <w:rFonts w:hAnsi="宋体" w:cs="宋体"/>
          <w:color w:val="auto"/>
          <w:szCs w:val="21"/>
          <w:highlight w:val="none"/>
        </w:rPr>
      </w:pPr>
      <w:r>
        <w:rPr>
          <w:rFonts w:hint="eastAsia" w:hAnsi="宋体" w:cs="宋体"/>
          <w:color w:val="auto"/>
          <w:szCs w:val="21"/>
          <w:highlight w:val="none"/>
        </w:rPr>
        <w:t>18.1竞标人在竞标截止时间前,对所递交的响应文件可以进行补充、修改或撤回，竞标人对所递交的补充、修改或撤回需要向采购代理机构出具书面通知。补充、修改的内容为响应文件的组成部分。</w:t>
      </w:r>
    </w:p>
    <w:p>
      <w:pPr>
        <w:pStyle w:val="14"/>
        <w:wordWrap w:val="0"/>
        <w:spacing w:line="400" w:lineRule="exact"/>
        <w:ind w:firstLine="443" w:firstLineChars="211"/>
        <w:rPr>
          <w:rFonts w:hAnsi="宋体" w:cs="宋体"/>
          <w:color w:val="auto"/>
          <w:szCs w:val="21"/>
          <w:highlight w:val="none"/>
        </w:rPr>
      </w:pPr>
      <w:r>
        <w:rPr>
          <w:rFonts w:hint="eastAsia" w:hAnsi="宋体" w:cs="宋体"/>
          <w:color w:val="auto"/>
          <w:szCs w:val="21"/>
          <w:highlight w:val="none"/>
        </w:rPr>
        <w:t>18.2响应文件的修改和撤回通知应按本须知第17条的规定密封、标记和递交，并在封面上标明“修改”字样。</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18.3在谈判结束后的竞标有效期内，竞标人不得撤回其竞标，否则其全部竞标保证金将不予退还。</w:t>
      </w:r>
    </w:p>
    <w:p>
      <w:pPr>
        <w:pStyle w:val="5"/>
        <w:wordWrap w:val="0"/>
        <w:spacing w:before="0" w:after="0" w:line="400" w:lineRule="exact"/>
        <w:jc w:val="center"/>
        <w:rPr>
          <w:rFonts w:ascii="宋体" w:hAnsi="宋体" w:cs="宋体"/>
          <w:bCs w:val="0"/>
          <w:color w:val="auto"/>
          <w:sz w:val="21"/>
          <w:szCs w:val="21"/>
          <w:highlight w:val="none"/>
        </w:rPr>
      </w:pPr>
      <w:bookmarkStart w:id="78" w:name="_Toc311729698"/>
      <w:bookmarkStart w:id="79" w:name="_Toc182358683"/>
      <w:bookmarkStart w:id="80" w:name="_Toc270433082"/>
      <w:r>
        <w:rPr>
          <w:rFonts w:hint="eastAsia" w:ascii="宋体" w:hAnsi="宋体" w:cs="宋体"/>
          <w:bCs w:val="0"/>
          <w:color w:val="auto"/>
          <w:sz w:val="21"/>
          <w:szCs w:val="21"/>
          <w:highlight w:val="none"/>
        </w:rPr>
        <w:t>五、竞争性谈判（简称谈判）与评标</w:t>
      </w:r>
      <w:bookmarkEnd w:id="78"/>
      <w:bookmarkEnd w:id="79"/>
      <w:bookmarkEnd w:id="80"/>
    </w:p>
    <w:p>
      <w:pPr>
        <w:pStyle w:val="14"/>
        <w:wordWrap w:val="0"/>
        <w:spacing w:line="400" w:lineRule="exact"/>
        <w:outlineLvl w:val="0"/>
        <w:rPr>
          <w:rFonts w:hAnsi="宋体" w:cs="宋体"/>
          <w:color w:val="auto"/>
          <w:highlight w:val="none"/>
        </w:rPr>
      </w:pPr>
      <w:bookmarkStart w:id="81" w:name="_Toc14650"/>
      <w:bookmarkStart w:id="82" w:name="_Toc2182"/>
      <w:bookmarkStart w:id="83" w:name="_Toc393117385"/>
      <w:bookmarkStart w:id="84" w:name="_Toc347328380"/>
      <w:bookmarkStart w:id="85" w:name="_Toc26606"/>
      <w:bookmarkStart w:id="86" w:name="_Toc270433083"/>
      <w:bookmarkStart w:id="87" w:name="_Toc311729148"/>
      <w:bookmarkStart w:id="88" w:name="_Toc182358684"/>
      <w:r>
        <w:rPr>
          <w:rFonts w:hint="eastAsia" w:hAnsi="宋体" w:cs="宋体"/>
          <w:color w:val="auto"/>
          <w:highlight w:val="none"/>
        </w:rPr>
        <w:t xml:space="preserve">19. </w:t>
      </w:r>
      <w:bookmarkStart w:id="89" w:name="_Toc209603873"/>
      <w:bookmarkStart w:id="90" w:name="_Toc340140310"/>
      <w:bookmarkStart w:id="91" w:name="_Toc147250536"/>
      <w:bookmarkStart w:id="92" w:name="_Toc147250334"/>
      <w:r>
        <w:rPr>
          <w:rFonts w:hint="eastAsia" w:hAnsi="宋体" w:cs="宋体"/>
          <w:color w:val="auto"/>
          <w:highlight w:val="none"/>
        </w:rPr>
        <w:t>截标、开标</w:t>
      </w:r>
      <w:bookmarkEnd w:id="81"/>
      <w:bookmarkEnd w:id="82"/>
      <w:bookmarkEnd w:id="83"/>
      <w:bookmarkEnd w:id="84"/>
      <w:bookmarkEnd w:id="85"/>
      <w:bookmarkEnd w:id="89"/>
      <w:bookmarkEnd w:id="90"/>
      <w:bookmarkEnd w:id="91"/>
      <w:bookmarkEnd w:id="92"/>
    </w:p>
    <w:p>
      <w:pPr>
        <w:pStyle w:val="14"/>
        <w:wordWrap w:val="0"/>
        <w:spacing w:line="400" w:lineRule="exact"/>
        <w:ind w:firstLine="420"/>
        <w:rPr>
          <w:rFonts w:hAnsi="宋体" w:cs="宋体"/>
          <w:color w:val="auto"/>
          <w:highlight w:val="none"/>
        </w:rPr>
      </w:pPr>
      <w:r>
        <w:rPr>
          <w:rFonts w:hint="eastAsia" w:hAnsi="宋体" w:cs="宋体"/>
          <w:color w:val="auto"/>
          <w:highlight w:val="none"/>
        </w:rPr>
        <w:t>19.1本采购代理机构将在竞标人须知前附表第8项规定的时间和地点进行截标及开标，</w:t>
      </w:r>
      <w:r>
        <w:rPr>
          <w:rFonts w:hint="eastAsia" w:hAnsi="宋体" w:cs="宋体"/>
          <w:b/>
          <w:color w:val="auto"/>
          <w:highlight w:val="none"/>
        </w:rPr>
        <w:t>竞标人的法定代表人（负责人或自然人）需凭本人身份证原件或其委托代理人凭法人授权委托书原件和本人身份证原件、复印件；竞标保证金复印件；营业执照复印件</w:t>
      </w:r>
      <w:r>
        <w:rPr>
          <w:rFonts w:hint="eastAsia" w:hAnsi="宋体" w:cs="宋体"/>
          <w:color w:val="auto"/>
          <w:highlight w:val="none"/>
        </w:rPr>
        <w:t>签到参加开标会并接受验证。竞标人的法定代表人（负责人或自然人）或其委托代表未按时签到的，视同放弃开标监督权利、认可开标结果。</w:t>
      </w:r>
    </w:p>
    <w:p>
      <w:pPr>
        <w:wordWrap w:val="0"/>
        <w:spacing w:line="40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19.2开标程序</w:t>
      </w:r>
    </w:p>
    <w:p>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开标会由采购代理机构主持，采购代理机构主持人宣布开标会议开始，有关监督部门实施监督；</w:t>
      </w:r>
    </w:p>
    <w:p>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 主持人介绍参加开标会人员名单、宣布会场纪律；</w:t>
      </w:r>
    </w:p>
    <w:p>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w:t>
      </w:r>
      <w:r>
        <w:rPr>
          <w:rFonts w:hint="eastAsia" w:ascii="宋体" w:hAnsi="宋体" w:cs="宋体"/>
          <w:bCs/>
          <w:color w:val="auto"/>
          <w:szCs w:val="21"/>
          <w:highlight w:val="none"/>
        </w:rPr>
        <w:t>由采购人代表检验参加会议的各竞标单位法定代表人</w:t>
      </w:r>
      <w:r>
        <w:rPr>
          <w:rFonts w:hint="eastAsia" w:ascii="宋体" w:hAnsi="宋体" w:cs="宋体"/>
          <w:color w:val="auto"/>
          <w:highlight w:val="none"/>
        </w:rPr>
        <w:t>（负责人或自然人）</w:t>
      </w:r>
      <w:r>
        <w:rPr>
          <w:rFonts w:hint="eastAsia" w:ascii="宋体" w:hAnsi="宋体" w:cs="宋体"/>
          <w:bCs/>
          <w:color w:val="auto"/>
          <w:szCs w:val="21"/>
          <w:highlight w:val="none"/>
        </w:rPr>
        <w:t>或其委托代理人的资格证件（按上述19.1条要求提交），</w:t>
      </w:r>
      <w:r>
        <w:rPr>
          <w:rFonts w:hint="eastAsia" w:ascii="宋体" w:hAnsi="宋体" w:cs="宋体"/>
          <w:color w:val="auto"/>
          <w:spacing w:val="2"/>
          <w:szCs w:val="21"/>
          <w:highlight w:val="none"/>
        </w:rPr>
        <w:t>主持人当众宣布核查结果；</w:t>
      </w:r>
    </w:p>
    <w:p>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(4) 由各竞标人代表共同检查响应文件密封的完整性并签字确认；</w:t>
      </w:r>
    </w:p>
    <w:p>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(5) 宣布谈判与评标期间的有关事项；告知应当回避的情形，提请有关人员回避；</w:t>
      </w:r>
    </w:p>
    <w:p>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(6) 开标会议结束,竞标人代表退场。</w:t>
      </w:r>
    </w:p>
    <w:p>
      <w:pPr>
        <w:pStyle w:val="14"/>
        <w:wordWrap w:val="0"/>
        <w:spacing w:line="400" w:lineRule="exact"/>
        <w:ind w:firstLine="420"/>
        <w:rPr>
          <w:rFonts w:hAnsi="宋体" w:cs="宋体"/>
          <w:color w:val="auto"/>
          <w:szCs w:val="21"/>
          <w:highlight w:val="none"/>
        </w:rPr>
      </w:pPr>
      <w:r>
        <w:rPr>
          <w:rFonts w:hint="eastAsia" w:hAnsi="宋体" w:cs="宋体"/>
          <w:color w:val="auto"/>
          <w:highlight w:val="none"/>
        </w:rPr>
        <w:t>19.3当整个招标项目的竞标人不足3家时，采购代理机构将按政府采购管理的有关规定处理。</w:t>
      </w:r>
    </w:p>
    <w:p>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20.谈判</w:t>
      </w:r>
      <w:bookmarkEnd w:id="86"/>
      <w:bookmarkEnd w:id="87"/>
      <w:bookmarkEnd w:id="88"/>
    </w:p>
    <w:p>
      <w:pPr>
        <w:pStyle w:val="14"/>
        <w:wordWrap w:val="0"/>
        <w:spacing w:line="400" w:lineRule="exact"/>
        <w:ind w:firstLine="420" w:firstLineChars="200"/>
        <w:rPr>
          <w:rFonts w:hAnsi="宋体" w:cs="宋体"/>
          <w:bCs/>
          <w:color w:val="auto"/>
          <w:szCs w:val="21"/>
          <w:highlight w:val="none"/>
        </w:rPr>
      </w:pPr>
      <w:r>
        <w:rPr>
          <w:rFonts w:hint="eastAsia" w:hAnsi="宋体" w:cs="宋体"/>
          <w:color w:val="auto"/>
          <w:szCs w:val="21"/>
          <w:highlight w:val="none"/>
        </w:rPr>
        <w:t>20</w:t>
      </w:r>
      <w:r>
        <w:rPr>
          <w:rFonts w:hint="eastAsia" w:hAnsi="宋体" w:cs="宋体"/>
          <w:bCs/>
          <w:color w:val="auto"/>
          <w:szCs w:val="21"/>
          <w:highlight w:val="none"/>
        </w:rPr>
        <w:t>.1谈判时间及地点:</w:t>
      </w:r>
      <w:r>
        <w:rPr>
          <w:rFonts w:hint="eastAsia" w:hAnsi="宋体" w:cs="宋体"/>
          <w:bCs/>
          <w:color w:val="auto"/>
          <w:szCs w:val="21"/>
          <w:highlight w:val="none"/>
          <w:lang w:eastAsia="zh-CN"/>
        </w:rPr>
        <w:t>2020年11月27日</w:t>
      </w:r>
      <w:r>
        <w:rPr>
          <w:rFonts w:hint="eastAsia" w:hAnsi="宋体" w:cs="宋体"/>
          <w:color w:val="auto"/>
          <w:highlight w:val="none"/>
        </w:rPr>
        <w:t>北京时间09时30分后，地点在</w:t>
      </w:r>
      <w:r>
        <w:rPr>
          <w:rFonts w:hint="eastAsia" w:hAnsi="宋体" w:cs="宋体"/>
          <w:color w:val="auto"/>
          <w:szCs w:val="21"/>
          <w:highlight w:val="none"/>
        </w:rPr>
        <w:t>柳州市桂中大道南端6号九洲国际25楼。</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20.2采购代理机构可根据项目特点组建谈判小组，谈判小组成员将由聘请的专家、采购人代表共三人以上单数组成，其中专家成员不少于成员总数的三分之二。在整个谈判过程中，谈判小组将负责对全部响应文件进行审查、谈判及评标工作。</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20.3谈判开始前，谈判小组定好下列事项：谈判的具体程序，如谈判轮次及每个轮次的谈判重点；拟谈判的内容，包括技术规格、价格、服务等，明确谈判小组应当考虑的具体因素及相关要求等。</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20.4谈判程序：</w:t>
      </w:r>
    </w:p>
    <w:p>
      <w:pPr>
        <w:pStyle w:val="14"/>
        <w:wordWrap w:val="0"/>
        <w:spacing w:line="400" w:lineRule="exact"/>
        <w:ind w:firstLine="420"/>
        <w:rPr>
          <w:rFonts w:hAnsi="宋体" w:cs="宋体"/>
          <w:color w:val="auto"/>
          <w:spacing w:val="-4"/>
          <w:szCs w:val="21"/>
          <w:highlight w:val="none"/>
        </w:rPr>
      </w:pPr>
      <w:r>
        <w:rPr>
          <w:rFonts w:hint="eastAsia" w:hAnsi="宋体" w:cs="宋体"/>
          <w:color w:val="auto"/>
          <w:szCs w:val="21"/>
          <w:highlight w:val="none"/>
        </w:rPr>
        <w:t>(1) 竞标人可由1～3人参加谈判，谈判中竞标人成员之间意见不一致时，以竞标人的法定代表人</w:t>
      </w:r>
      <w:r>
        <w:rPr>
          <w:rFonts w:hint="eastAsia" w:hAnsi="宋体" w:cs="宋体"/>
          <w:color w:val="auto"/>
          <w:highlight w:val="none"/>
        </w:rPr>
        <w:t>（负责人或自然人）</w:t>
      </w:r>
      <w:r>
        <w:rPr>
          <w:rFonts w:hint="eastAsia" w:hAnsi="宋体" w:cs="宋体"/>
          <w:color w:val="auto"/>
          <w:szCs w:val="21"/>
          <w:highlight w:val="none"/>
        </w:rPr>
        <w:t>或其委托代理人的意见为准。竞标人的法定代表人</w:t>
      </w:r>
      <w:r>
        <w:rPr>
          <w:rFonts w:hint="eastAsia" w:hAnsi="宋体" w:cs="宋体"/>
          <w:color w:val="auto"/>
          <w:highlight w:val="none"/>
        </w:rPr>
        <w:t>（负责人或自然人）</w:t>
      </w:r>
      <w:r>
        <w:rPr>
          <w:rFonts w:hint="eastAsia" w:hAnsi="宋体" w:cs="宋体"/>
          <w:color w:val="auto"/>
          <w:szCs w:val="21"/>
          <w:highlight w:val="none"/>
        </w:rPr>
        <w:t>或其授权的受托人必须持证件【</w:t>
      </w:r>
      <w:r>
        <w:rPr>
          <w:rFonts w:hint="eastAsia" w:hAnsi="宋体" w:cs="宋体"/>
          <w:color w:val="auto"/>
          <w:spacing w:val="-4"/>
          <w:szCs w:val="21"/>
          <w:highlight w:val="none"/>
        </w:rPr>
        <w:t>法定代表人</w:t>
      </w:r>
      <w:r>
        <w:rPr>
          <w:rFonts w:hint="eastAsia" w:hAnsi="宋体" w:cs="宋体"/>
          <w:color w:val="auto"/>
          <w:highlight w:val="none"/>
        </w:rPr>
        <w:t>（负责人或自然人）</w:t>
      </w:r>
      <w:r>
        <w:rPr>
          <w:rFonts w:hint="eastAsia" w:hAnsi="宋体" w:cs="宋体"/>
          <w:color w:val="auto"/>
          <w:spacing w:val="-4"/>
          <w:szCs w:val="21"/>
          <w:highlight w:val="none"/>
        </w:rPr>
        <w:t>持本人资格证及身份证或授权委托人持授权委托书及本人身份证】依时到达现场等候参加谈判，并自觉接受核验上述证件。竞标人在规定时间内不参加谈判的，视为竞标人自动放弃竞标。</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谈判小组成员作为一个集体与单个竞标人分别进行谈判，谈判的内容包括技术条件、商务性条件及谈判小组认为需要谈判的内容。当谈判谈判文件有实质性变动的，谈判小组以书面形式通知所有参加谈判的竞标人。其中涉及价格内容不得要求竞标人在谈判时作口头报价，而应以书面密封形式报价。</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(3)谈判内容应作记录，并由竞标人及谈判小组成员签字确认。</w:t>
      </w:r>
    </w:p>
    <w:p>
      <w:pPr>
        <w:pStyle w:val="14"/>
        <w:wordWrap w:val="0"/>
        <w:spacing w:line="400" w:lineRule="exact"/>
        <w:ind w:firstLine="420"/>
        <w:rPr>
          <w:rFonts w:hAnsi="宋体" w:cs="宋体"/>
          <w:color w:val="auto"/>
          <w:spacing w:val="-4"/>
          <w:szCs w:val="21"/>
          <w:highlight w:val="none"/>
        </w:rPr>
      </w:pPr>
      <w:r>
        <w:rPr>
          <w:rFonts w:hint="eastAsia" w:hAnsi="宋体" w:cs="宋体"/>
          <w:color w:val="auto"/>
          <w:szCs w:val="21"/>
          <w:highlight w:val="none"/>
        </w:rPr>
        <w:t>(4)</w:t>
      </w:r>
      <w:r>
        <w:rPr>
          <w:rFonts w:hint="eastAsia" w:hAnsi="宋体" w:cs="宋体"/>
          <w:color w:val="auto"/>
          <w:spacing w:val="-4"/>
          <w:szCs w:val="21"/>
          <w:highlight w:val="none"/>
        </w:rPr>
        <w:t>谈判结束后，谈判小组应要求竞标人在规定的时间、地点以书面密封形式递交谈判时要求其就商务和技术条件作出包含补充、修改、承诺、重新报价等内容的应答文件，应答文件必须由竞标人的法定代表人</w:t>
      </w:r>
      <w:r>
        <w:rPr>
          <w:rFonts w:hint="eastAsia" w:hAnsi="宋体" w:cs="宋体"/>
          <w:color w:val="auto"/>
          <w:highlight w:val="none"/>
        </w:rPr>
        <w:t>（负责人或自然人）</w:t>
      </w:r>
      <w:r>
        <w:rPr>
          <w:rFonts w:hint="eastAsia" w:hAnsi="宋体" w:cs="宋体"/>
          <w:color w:val="auto"/>
          <w:spacing w:val="-4"/>
          <w:szCs w:val="21"/>
          <w:highlight w:val="none"/>
        </w:rPr>
        <w:t>或委托代理人签字或盖单位公章，应答文件构成响应文件的一部分。</w:t>
      </w:r>
    </w:p>
    <w:p>
      <w:pPr>
        <w:pStyle w:val="14"/>
        <w:wordWrap w:val="0"/>
        <w:spacing w:line="400" w:lineRule="exact"/>
        <w:ind w:firstLine="420"/>
        <w:rPr>
          <w:rFonts w:hAnsi="宋体" w:cs="宋体"/>
          <w:color w:val="auto"/>
          <w:szCs w:val="21"/>
          <w:highlight w:val="none"/>
        </w:rPr>
      </w:pPr>
      <w:r>
        <w:rPr>
          <w:rFonts w:hint="eastAsia" w:hAnsi="宋体" w:cs="宋体"/>
          <w:color w:val="auto"/>
          <w:spacing w:val="-4"/>
          <w:szCs w:val="21"/>
          <w:highlight w:val="none"/>
        </w:rPr>
        <w:t xml:space="preserve">(5) </w:t>
      </w:r>
      <w:r>
        <w:rPr>
          <w:rFonts w:hint="eastAsia" w:hAnsi="宋体" w:cs="宋体"/>
          <w:color w:val="auto"/>
          <w:szCs w:val="21"/>
          <w:highlight w:val="none"/>
        </w:rPr>
        <w:t>谈判小组对各竞标人递交的应答文件统一开启，并进行评审后，认为有必要再次进行谈判的，可再次与竞标人进行谈判(最多两轮)，直至谈判小组认为没有必要再进行谈判，谈判方可结束。对最后一轮谈判，谈判小组应明确告知竞标人，并要求所有竞标人在规定的时间、地点以书面密封形式递交最终的应答文件。</w:t>
      </w:r>
    </w:p>
    <w:p>
      <w:pPr>
        <w:pStyle w:val="14"/>
        <w:wordWrap w:val="0"/>
        <w:spacing w:line="400" w:lineRule="exact"/>
        <w:ind w:firstLine="420"/>
        <w:rPr>
          <w:rFonts w:hAnsi="宋体" w:cs="宋体"/>
          <w:color w:val="auto"/>
          <w:szCs w:val="21"/>
          <w:highlight w:val="none"/>
        </w:rPr>
      </w:pPr>
      <w:r>
        <w:rPr>
          <w:rFonts w:hint="eastAsia" w:hAnsi="宋体" w:cs="宋体"/>
          <w:color w:val="auto"/>
          <w:spacing w:val="-4"/>
          <w:szCs w:val="21"/>
          <w:highlight w:val="none"/>
        </w:rPr>
        <w:t>(6)</w:t>
      </w:r>
      <w:r>
        <w:rPr>
          <w:rFonts w:hint="eastAsia" w:hAnsi="宋体" w:cs="宋体"/>
          <w:color w:val="auto"/>
          <w:szCs w:val="21"/>
          <w:highlight w:val="none"/>
        </w:rPr>
        <w:t>竞标人的所有报价以其最终报价为有效报价。</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20.5</w:t>
      </w:r>
      <w:r>
        <w:rPr>
          <w:rFonts w:hint="eastAsia" w:hAnsi="宋体" w:cs="宋体"/>
          <w:color w:val="auto"/>
          <w:spacing w:val="-4"/>
          <w:szCs w:val="21"/>
          <w:highlight w:val="none"/>
        </w:rPr>
        <w:t>最终谈判结束后，</w:t>
      </w:r>
      <w:r>
        <w:rPr>
          <w:rFonts w:hint="eastAsia" w:hAnsi="宋体" w:cs="宋体"/>
          <w:color w:val="auto"/>
          <w:szCs w:val="21"/>
          <w:highlight w:val="none"/>
        </w:rPr>
        <w:t>谈判小组不得再与竞标人进行任何形式的商谈。</w:t>
      </w:r>
    </w:p>
    <w:p>
      <w:pPr>
        <w:pStyle w:val="14"/>
        <w:wordWrap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20.6谈判的任何一方不得透露与谈判有关的其他竞标人的技术资料、价格和其他信息。</w:t>
      </w:r>
    </w:p>
    <w:p>
      <w:pPr>
        <w:wordWrap w:val="0"/>
        <w:spacing w:line="400" w:lineRule="exact"/>
        <w:rPr>
          <w:rFonts w:ascii="宋体" w:hAnsi="宋体" w:cs="宋体"/>
          <w:color w:val="auto"/>
          <w:szCs w:val="21"/>
          <w:highlight w:val="none"/>
        </w:rPr>
      </w:pPr>
      <w:bookmarkStart w:id="93" w:name="_Toc270433084"/>
      <w:bookmarkStart w:id="94" w:name="_Toc311729149"/>
      <w:bookmarkStart w:id="95" w:name="_Toc182358685"/>
      <w:r>
        <w:rPr>
          <w:rFonts w:hint="eastAsia" w:ascii="宋体" w:hAnsi="宋体" w:cs="宋体"/>
          <w:color w:val="auto"/>
          <w:szCs w:val="21"/>
          <w:highlight w:val="none"/>
        </w:rPr>
        <w:t>21.评标</w:t>
      </w:r>
      <w:bookmarkEnd w:id="93"/>
      <w:bookmarkEnd w:id="94"/>
      <w:bookmarkEnd w:id="95"/>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21.1本采购项目的评标依据为谈判谈判文件和响应文件。</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21.2 本项目是以政府采购预算价为最高限价，当竞标人的最终竞标报价超出政府采购预算价时，采购人不能支付的，谈判小组对其响应文件将不予以评审。</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21.3本项目采用的评标方法为最低评标价法。谈判小组成员、有关工作人员及其他知情人不得透露对响应文件评审、比较和成交候选供应商的推荐情况以及与评标有关的其他情况。</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21.4竞标人在评标过程中，所进行的力图影响评标结果公正性的活动，将可能导致其成交资格被取消。</w:t>
      </w:r>
    </w:p>
    <w:p>
      <w:pPr>
        <w:wordWrap w:val="0"/>
        <w:spacing w:line="400" w:lineRule="exact"/>
        <w:rPr>
          <w:rFonts w:ascii="宋体" w:hAnsi="宋体" w:cs="宋体"/>
          <w:color w:val="auto"/>
          <w:szCs w:val="21"/>
          <w:highlight w:val="none"/>
        </w:rPr>
      </w:pPr>
      <w:bookmarkStart w:id="96" w:name="_Toc311729150"/>
      <w:bookmarkStart w:id="97" w:name="_Toc182358686"/>
      <w:bookmarkStart w:id="98" w:name="_Toc270433085"/>
      <w:r>
        <w:rPr>
          <w:rFonts w:hint="eastAsia" w:ascii="宋体" w:hAnsi="宋体" w:cs="宋体"/>
          <w:color w:val="auto"/>
          <w:szCs w:val="21"/>
          <w:highlight w:val="none"/>
        </w:rPr>
        <w:t>22.无效的响应文件</w:t>
      </w:r>
      <w:bookmarkEnd w:id="96"/>
      <w:bookmarkEnd w:id="97"/>
      <w:bookmarkEnd w:id="98"/>
    </w:p>
    <w:p>
      <w:pPr>
        <w:pStyle w:val="14"/>
        <w:wordWrap w:val="0"/>
        <w:spacing w:line="400" w:lineRule="exact"/>
        <w:ind w:firstLine="315" w:firstLineChars="150"/>
        <w:rPr>
          <w:rFonts w:hAnsi="宋体" w:cs="宋体"/>
          <w:color w:val="auto"/>
          <w:szCs w:val="21"/>
          <w:highlight w:val="none"/>
        </w:rPr>
      </w:pPr>
      <w:r>
        <w:rPr>
          <w:rFonts w:hint="eastAsia" w:hAnsi="宋体" w:cs="宋体"/>
          <w:color w:val="auto"/>
          <w:szCs w:val="21"/>
          <w:highlight w:val="none"/>
        </w:rPr>
        <w:t>22.1响应文件如出现下列情况之一，将会在评标中按照无效文件处理。</w:t>
      </w:r>
    </w:p>
    <w:p>
      <w:pPr>
        <w:pStyle w:val="14"/>
        <w:wordWrap w:val="0"/>
        <w:spacing w:line="400" w:lineRule="exact"/>
        <w:ind w:firstLine="210" w:firstLineChars="100"/>
        <w:rPr>
          <w:rFonts w:hAnsi="宋体" w:cs="宋体"/>
          <w:color w:val="auto"/>
          <w:szCs w:val="21"/>
          <w:highlight w:val="none"/>
        </w:rPr>
      </w:pPr>
      <w:bookmarkStart w:id="99" w:name="_Toc270433086"/>
      <w:bookmarkStart w:id="100" w:name="_Toc182358687"/>
      <w:r>
        <w:rPr>
          <w:rFonts w:hint="eastAsia" w:hAnsi="宋体" w:cs="宋体"/>
          <w:color w:val="auto"/>
          <w:szCs w:val="21"/>
          <w:highlight w:val="none"/>
        </w:rPr>
        <w:t>（1）超越了按照法律法规规定必须获得行政许可或者行政审批的经营范围的；</w:t>
      </w:r>
    </w:p>
    <w:p>
      <w:pPr>
        <w:pStyle w:val="14"/>
        <w:wordWrap w:val="0"/>
        <w:spacing w:line="400" w:lineRule="exact"/>
        <w:ind w:firstLine="205" w:firstLineChars="98"/>
        <w:rPr>
          <w:rFonts w:hAnsi="宋体" w:cs="宋体"/>
          <w:color w:val="auto"/>
          <w:szCs w:val="21"/>
          <w:highlight w:val="none"/>
        </w:rPr>
      </w:pPr>
      <w:r>
        <w:rPr>
          <w:rFonts w:hint="eastAsia" w:hAnsi="宋体" w:cs="宋体"/>
          <w:color w:val="auto"/>
          <w:szCs w:val="21"/>
          <w:highlight w:val="none"/>
        </w:rPr>
        <w:t>（2）资格证明文件不全的，或者不符合采购文件标明的资格要求的；</w:t>
      </w:r>
    </w:p>
    <w:p>
      <w:pPr>
        <w:pStyle w:val="14"/>
        <w:wordWrap w:val="0"/>
        <w:spacing w:line="400" w:lineRule="exact"/>
        <w:ind w:firstLine="205" w:firstLineChars="98"/>
        <w:rPr>
          <w:rFonts w:hAnsi="宋体" w:cs="宋体"/>
          <w:color w:val="auto"/>
          <w:szCs w:val="21"/>
          <w:highlight w:val="none"/>
        </w:rPr>
      </w:pPr>
      <w:r>
        <w:rPr>
          <w:rFonts w:hint="eastAsia" w:hAnsi="宋体" w:cs="宋体"/>
          <w:color w:val="auto"/>
          <w:szCs w:val="21"/>
          <w:highlight w:val="none"/>
        </w:rPr>
        <w:t>（3）未按本竞标谈判文件要求交纳竞标保证金的；</w:t>
      </w:r>
    </w:p>
    <w:p>
      <w:pPr>
        <w:pStyle w:val="14"/>
        <w:wordWrap w:val="0"/>
        <w:spacing w:line="400" w:lineRule="exact"/>
        <w:ind w:firstLine="205" w:firstLineChars="98"/>
        <w:rPr>
          <w:rFonts w:hAnsi="宋体" w:cs="宋体"/>
          <w:color w:val="auto"/>
          <w:szCs w:val="21"/>
          <w:highlight w:val="none"/>
        </w:rPr>
      </w:pPr>
      <w:r>
        <w:rPr>
          <w:rFonts w:hint="eastAsia" w:hAnsi="宋体" w:cs="宋体"/>
          <w:color w:val="auto"/>
          <w:szCs w:val="21"/>
          <w:highlight w:val="none"/>
        </w:rPr>
        <w:t>（4）竞标人未就所竞标的所有货物内容作完整唯一报价；</w:t>
      </w:r>
    </w:p>
    <w:p>
      <w:pPr>
        <w:pStyle w:val="14"/>
        <w:wordWrap w:val="0"/>
        <w:spacing w:line="400" w:lineRule="exact"/>
        <w:ind w:firstLine="205" w:firstLineChars="98"/>
        <w:rPr>
          <w:rFonts w:hAnsi="宋体" w:cs="宋体"/>
          <w:color w:val="auto"/>
          <w:szCs w:val="21"/>
          <w:highlight w:val="none"/>
        </w:rPr>
      </w:pPr>
      <w:r>
        <w:rPr>
          <w:rFonts w:hint="eastAsia" w:hAnsi="宋体" w:cs="宋体"/>
          <w:color w:val="auto"/>
          <w:szCs w:val="21"/>
          <w:highlight w:val="none"/>
        </w:rPr>
        <w:t>（5）未按竞标谈判文件的要求密封、签署、盖章的；</w:t>
      </w:r>
    </w:p>
    <w:p>
      <w:pPr>
        <w:pStyle w:val="14"/>
        <w:wordWrap w:val="0"/>
        <w:spacing w:line="400" w:lineRule="exact"/>
        <w:ind w:firstLine="205" w:firstLineChars="98"/>
        <w:rPr>
          <w:rFonts w:hAnsi="宋体" w:cs="宋体"/>
          <w:color w:val="auto"/>
          <w:szCs w:val="21"/>
          <w:highlight w:val="none"/>
        </w:rPr>
      </w:pPr>
      <w:r>
        <w:rPr>
          <w:rFonts w:hint="eastAsia" w:hAnsi="宋体" w:cs="宋体"/>
          <w:color w:val="auto"/>
          <w:szCs w:val="21"/>
          <w:highlight w:val="none"/>
        </w:rPr>
        <w:t>（6）</w:t>
      </w:r>
      <w:r>
        <w:rPr>
          <w:rFonts w:hint="eastAsia" w:hAnsi="宋体" w:cs="宋体"/>
          <w:bCs/>
          <w:color w:val="auto"/>
          <w:szCs w:val="21"/>
          <w:highlight w:val="none"/>
        </w:rPr>
        <w:t>超出政府采购预算价的最终</w:t>
      </w:r>
      <w:r>
        <w:rPr>
          <w:rFonts w:hint="eastAsia" w:hAnsi="宋体" w:cs="宋体"/>
          <w:color w:val="auto"/>
          <w:szCs w:val="21"/>
          <w:highlight w:val="none"/>
        </w:rPr>
        <w:t>竞标报价；</w:t>
      </w:r>
    </w:p>
    <w:p>
      <w:pPr>
        <w:pStyle w:val="14"/>
        <w:wordWrap w:val="0"/>
        <w:spacing w:line="400" w:lineRule="exact"/>
        <w:ind w:firstLine="205" w:firstLineChars="98"/>
        <w:rPr>
          <w:rFonts w:hAnsi="宋体" w:cs="宋体"/>
          <w:color w:val="auto"/>
          <w:szCs w:val="21"/>
          <w:highlight w:val="none"/>
        </w:rPr>
      </w:pPr>
      <w:r>
        <w:rPr>
          <w:rFonts w:hint="eastAsia" w:hAnsi="宋体" w:cs="宋体"/>
          <w:color w:val="auto"/>
          <w:szCs w:val="21"/>
          <w:highlight w:val="none"/>
        </w:rPr>
        <w:t>（7）不符合本须知6.2款中规定的实质性要求并且在谈判规定的时间内无法说明和补充的；</w:t>
      </w:r>
    </w:p>
    <w:p>
      <w:pPr>
        <w:pStyle w:val="14"/>
        <w:wordWrap w:val="0"/>
        <w:spacing w:line="400" w:lineRule="exact"/>
        <w:ind w:firstLine="205" w:firstLineChars="98"/>
        <w:rPr>
          <w:color w:val="auto"/>
          <w:highlight w:val="none"/>
        </w:rPr>
      </w:pPr>
      <w:r>
        <w:rPr>
          <w:rFonts w:hint="eastAsia" w:hAnsi="宋体" w:cs="宋体"/>
          <w:color w:val="auto"/>
          <w:szCs w:val="21"/>
          <w:highlight w:val="none"/>
        </w:rPr>
        <w:t>（8）竞标人无法在规定时间内提供资格证明材料进行核对，或应谈判与评标委员会要求提供的有关材料原件与其在响应文件中所提供的材料复印件不一致的；</w:t>
      </w:r>
    </w:p>
    <w:p>
      <w:pPr>
        <w:pStyle w:val="14"/>
        <w:wordWrap w:val="0"/>
        <w:spacing w:line="400" w:lineRule="exact"/>
        <w:ind w:firstLine="205" w:firstLineChars="98"/>
        <w:rPr>
          <w:rFonts w:hAnsi="宋体" w:cs="宋体"/>
          <w:color w:val="auto"/>
          <w:szCs w:val="21"/>
          <w:highlight w:val="none"/>
        </w:rPr>
      </w:pPr>
      <w:r>
        <w:rPr>
          <w:rFonts w:hint="eastAsia" w:hAnsi="宋体" w:cs="宋体"/>
          <w:color w:val="auto"/>
          <w:szCs w:val="21"/>
          <w:highlight w:val="none"/>
        </w:rPr>
        <w:t>（9）竞标文件未盖骑缝章的；</w:t>
      </w:r>
    </w:p>
    <w:p>
      <w:pPr>
        <w:pStyle w:val="14"/>
        <w:wordWrap w:val="0"/>
        <w:spacing w:line="400" w:lineRule="exact"/>
        <w:ind w:firstLine="205" w:firstLineChars="98"/>
        <w:rPr>
          <w:rFonts w:hAnsi="宋体" w:cs="宋体"/>
          <w:color w:val="auto"/>
          <w:szCs w:val="21"/>
          <w:highlight w:val="none"/>
        </w:rPr>
      </w:pPr>
      <w:r>
        <w:rPr>
          <w:rFonts w:hint="eastAsia" w:hAnsi="宋体" w:cs="宋体"/>
          <w:color w:val="auto"/>
          <w:szCs w:val="21"/>
          <w:highlight w:val="none"/>
        </w:rPr>
        <w:t>（10）竞标人递交两份或多份内容不同的响应文件，或在一份响应文件中对同一采购货物报有两个或多个报价，且未声明哪一个为最终报价的，按竞标谈判文件规定提交备选竞标方案的除外；</w:t>
      </w:r>
    </w:p>
    <w:p>
      <w:pPr>
        <w:widowControl/>
        <w:wordWrap w:val="0"/>
        <w:spacing w:line="400" w:lineRule="exact"/>
        <w:ind w:firstLine="205" w:firstLineChars="98"/>
        <w:jc w:val="left"/>
        <w:rPr>
          <w:rFonts w:ascii="宋体" w:hAnsi="宋体" w:cs="宋体"/>
          <w:color w:val="auto"/>
          <w:szCs w:val="21"/>
          <w:highlight w:val="none"/>
        </w:rPr>
      </w:pPr>
      <w:r>
        <w:rPr>
          <w:rFonts w:hint="eastAsia" w:ascii="宋体" w:hAnsi="宋体" w:cs="宋体"/>
          <w:color w:val="auto"/>
          <w:szCs w:val="21"/>
          <w:highlight w:val="none"/>
        </w:rPr>
        <w:t>（11）不符合法律、法规和竞标谈判文件规定的其他实质性要求和条件的。</w:t>
      </w:r>
    </w:p>
    <w:p>
      <w:pPr>
        <w:pStyle w:val="14"/>
        <w:snapToGrid w:val="0"/>
        <w:spacing w:line="400" w:lineRule="exact"/>
        <w:ind w:firstLine="210" w:firstLineChars="100"/>
        <w:outlineLvl w:val="0"/>
        <w:rPr>
          <w:rFonts w:hAnsi="宋体" w:cs="宋体"/>
          <w:color w:val="auto"/>
          <w:szCs w:val="21"/>
          <w:highlight w:val="none"/>
        </w:rPr>
      </w:pPr>
      <w:bookmarkStart w:id="101" w:name="_Toc29489"/>
      <w:bookmarkStart w:id="102" w:name="_Toc25467"/>
      <w:r>
        <w:rPr>
          <w:rFonts w:hint="eastAsia" w:hAnsi="宋体" w:cs="宋体"/>
          <w:color w:val="auto"/>
          <w:highlight w:val="none"/>
        </w:rPr>
        <w:t>（12）响应文件组成中，12.竞标人资格证明文件第4）及5）项未由法定代表人（负责人或自然人）签名并加盖竞标人公章的。</w:t>
      </w:r>
      <w:bookmarkEnd w:id="101"/>
      <w:bookmarkEnd w:id="102"/>
    </w:p>
    <w:p>
      <w:pPr>
        <w:wordWrap w:val="0"/>
        <w:spacing w:line="400" w:lineRule="exact"/>
        <w:rPr>
          <w:rFonts w:ascii="宋体" w:hAnsi="宋体" w:cs="宋体"/>
          <w:color w:val="auto"/>
          <w:szCs w:val="21"/>
          <w:highlight w:val="none"/>
        </w:rPr>
      </w:pPr>
      <w:bookmarkStart w:id="103" w:name="_Toc311729151"/>
      <w:r>
        <w:rPr>
          <w:rFonts w:hint="eastAsia" w:ascii="宋体" w:hAnsi="宋体" w:cs="宋体"/>
          <w:color w:val="auto"/>
          <w:szCs w:val="21"/>
          <w:highlight w:val="none"/>
        </w:rPr>
        <w:t>23.废标</w:t>
      </w:r>
      <w:bookmarkEnd w:id="99"/>
      <w:bookmarkEnd w:id="100"/>
      <w:bookmarkEnd w:id="103"/>
    </w:p>
    <w:p>
      <w:pPr>
        <w:pStyle w:val="14"/>
        <w:wordWrap w:val="0"/>
        <w:spacing w:line="400" w:lineRule="exact"/>
        <w:ind w:firstLine="435"/>
        <w:rPr>
          <w:rFonts w:hAnsi="宋体" w:cs="宋体"/>
          <w:bCs/>
          <w:color w:val="auto"/>
          <w:szCs w:val="21"/>
          <w:highlight w:val="none"/>
        </w:rPr>
      </w:pPr>
      <w:r>
        <w:rPr>
          <w:rFonts w:hint="eastAsia" w:hAnsi="宋体" w:cs="宋体"/>
          <w:bCs/>
          <w:color w:val="auto"/>
          <w:szCs w:val="21"/>
          <w:highlight w:val="none"/>
        </w:rPr>
        <w:t>23.1谈判采购项目出现下列情形之一的，采购代理机构将予以废标；</w:t>
      </w:r>
    </w:p>
    <w:p>
      <w:pPr>
        <w:pStyle w:val="14"/>
        <w:wordWrap w:val="0"/>
        <w:spacing w:line="400" w:lineRule="exact"/>
        <w:ind w:left="-360" w:firstLine="630" w:firstLineChars="300"/>
        <w:rPr>
          <w:rFonts w:hAnsi="宋体" w:cs="宋体"/>
          <w:bCs/>
          <w:color w:val="auto"/>
          <w:szCs w:val="21"/>
          <w:highlight w:val="none"/>
        </w:rPr>
      </w:pPr>
      <w:r>
        <w:rPr>
          <w:rFonts w:hint="eastAsia" w:hAnsi="宋体" w:cs="宋体"/>
          <w:bCs/>
          <w:color w:val="auto"/>
          <w:szCs w:val="21"/>
          <w:highlight w:val="none"/>
        </w:rPr>
        <w:t>（1）出现影响采购公正的违法、违规行为的；</w:t>
      </w:r>
    </w:p>
    <w:p>
      <w:pPr>
        <w:pStyle w:val="14"/>
        <w:wordWrap w:val="0"/>
        <w:spacing w:line="400" w:lineRule="exact"/>
        <w:ind w:left="-360" w:firstLine="630" w:firstLineChars="300"/>
        <w:rPr>
          <w:rFonts w:hAnsi="宋体" w:cs="宋体"/>
          <w:bCs/>
          <w:color w:val="auto"/>
          <w:szCs w:val="21"/>
          <w:highlight w:val="none"/>
        </w:rPr>
      </w:pPr>
      <w:r>
        <w:rPr>
          <w:rFonts w:hint="eastAsia" w:hAnsi="宋体" w:cs="宋体"/>
          <w:bCs/>
          <w:color w:val="auto"/>
          <w:szCs w:val="21"/>
          <w:highlight w:val="none"/>
        </w:rPr>
        <w:t>（2）竞标人的最终报价均超过了采购预算，采购人不能支付的；</w:t>
      </w:r>
    </w:p>
    <w:p>
      <w:pPr>
        <w:pStyle w:val="14"/>
        <w:wordWrap w:val="0"/>
        <w:spacing w:line="400" w:lineRule="exact"/>
        <w:ind w:left="-360" w:firstLine="630" w:firstLineChars="300"/>
        <w:rPr>
          <w:rFonts w:hAnsi="宋体" w:cs="宋体"/>
          <w:bCs/>
          <w:color w:val="auto"/>
          <w:szCs w:val="21"/>
          <w:highlight w:val="none"/>
        </w:rPr>
      </w:pPr>
      <w:r>
        <w:rPr>
          <w:rFonts w:hint="eastAsia" w:hAnsi="宋体" w:cs="宋体"/>
          <w:bCs/>
          <w:color w:val="auto"/>
          <w:szCs w:val="21"/>
          <w:highlight w:val="none"/>
        </w:rPr>
        <w:t>（3）</w:t>
      </w:r>
      <w:r>
        <w:rPr>
          <w:rFonts w:hint="eastAsia" w:hAnsi="宋体" w:cs="宋体"/>
          <w:color w:val="auto"/>
          <w:szCs w:val="21"/>
          <w:highlight w:val="none"/>
        </w:rPr>
        <w:t>符合相应资格条件的供应商或者对竞争性谈判采购文件作实质响应的不足三家的；</w:t>
      </w:r>
    </w:p>
    <w:p>
      <w:pPr>
        <w:pStyle w:val="14"/>
        <w:wordWrap w:val="0"/>
        <w:spacing w:line="400" w:lineRule="exact"/>
        <w:ind w:left="-360" w:firstLine="630" w:firstLineChars="300"/>
        <w:rPr>
          <w:rFonts w:hAnsi="宋体" w:cs="宋体"/>
          <w:bCs/>
          <w:color w:val="auto"/>
          <w:szCs w:val="21"/>
          <w:highlight w:val="none"/>
        </w:rPr>
      </w:pPr>
      <w:r>
        <w:rPr>
          <w:rFonts w:hint="eastAsia" w:hAnsi="宋体" w:cs="宋体"/>
          <w:bCs/>
          <w:color w:val="auto"/>
          <w:szCs w:val="21"/>
          <w:highlight w:val="none"/>
        </w:rPr>
        <w:t>（4）因重大变故，采购任务取消的；</w:t>
      </w:r>
    </w:p>
    <w:p>
      <w:pPr>
        <w:pStyle w:val="14"/>
        <w:wordWrap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23.2废标后，</w:t>
      </w:r>
      <w:r>
        <w:rPr>
          <w:rFonts w:hint="eastAsia" w:hAnsi="宋体" w:cs="宋体"/>
          <w:color w:val="auto"/>
          <w:szCs w:val="21"/>
          <w:highlight w:val="none"/>
        </w:rPr>
        <w:t>采购代理机构</w:t>
      </w:r>
      <w:r>
        <w:rPr>
          <w:rFonts w:hint="eastAsia" w:hAnsi="宋体" w:cs="宋体"/>
          <w:bCs/>
          <w:color w:val="auto"/>
          <w:szCs w:val="21"/>
          <w:highlight w:val="none"/>
        </w:rPr>
        <w:t>将把废标理由通知所有竞标人。</w:t>
      </w:r>
    </w:p>
    <w:p>
      <w:pPr>
        <w:pStyle w:val="5"/>
        <w:wordWrap w:val="0"/>
        <w:spacing w:before="0" w:after="0" w:line="400" w:lineRule="exact"/>
        <w:jc w:val="center"/>
        <w:rPr>
          <w:rFonts w:ascii="宋体" w:hAnsi="宋体" w:cs="宋体"/>
          <w:bCs w:val="0"/>
          <w:color w:val="auto"/>
          <w:sz w:val="21"/>
          <w:szCs w:val="21"/>
          <w:highlight w:val="none"/>
        </w:rPr>
      </w:pPr>
      <w:bookmarkStart w:id="104" w:name="_Toc270433087"/>
      <w:bookmarkStart w:id="105" w:name="_Toc311729699"/>
      <w:bookmarkStart w:id="106" w:name="_Toc182358688"/>
      <w:r>
        <w:rPr>
          <w:rFonts w:hint="eastAsia" w:ascii="宋体" w:hAnsi="宋体" w:cs="宋体"/>
          <w:bCs w:val="0"/>
          <w:color w:val="auto"/>
          <w:sz w:val="21"/>
          <w:szCs w:val="21"/>
          <w:highlight w:val="none"/>
        </w:rPr>
        <w:t>六、签订合同</w:t>
      </w:r>
      <w:bookmarkEnd w:id="104"/>
      <w:bookmarkEnd w:id="105"/>
      <w:bookmarkEnd w:id="106"/>
    </w:p>
    <w:p>
      <w:pPr>
        <w:wordWrap w:val="0"/>
        <w:spacing w:line="400" w:lineRule="exact"/>
        <w:rPr>
          <w:rFonts w:ascii="宋体" w:hAnsi="宋体" w:cs="宋体"/>
          <w:color w:val="auto"/>
          <w:szCs w:val="21"/>
          <w:highlight w:val="none"/>
        </w:rPr>
      </w:pPr>
      <w:bookmarkStart w:id="107" w:name="_Toc182358689"/>
      <w:bookmarkStart w:id="108" w:name="_Toc270433088"/>
      <w:bookmarkStart w:id="109" w:name="_Toc311729153"/>
      <w:r>
        <w:rPr>
          <w:rFonts w:hint="eastAsia" w:ascii="宋体" w:hAnsi="宋体" w:cs="宋体"/>
          <w:color w:val="auto"/>
          <w:szCs w:val="21"/>
          <w:highlight w:val="none"/>
        </w:rPr>
        <w:t>24.成交公告</w:t>
      </w:r>
      <w:bookmarkEnd w:id="107"/>
      <w:bookmarkEnd w:id="108"/>
      <w:bookmarkEnd w:id="109"/>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24.1本公司在谈判工作完成五个工作日内将谈判报告送采购人，采购人确认后，成交结果将在中国政府采购网、广西政府采购网、柳州市政府采购网上公布，</w:t>
      </w:r>
      <w:r>
        <w:rPr>
          <w:rFonts w:hint="eastAsia" w:hAnsi="宋体" w:cs="宋体"/>
          <w:color w:val="auto"/>
          <w:highlight w:val="none"/>
        </w:rPr>
        <w:t>公示期为1个工作日。</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24.2竞标人如对成交公告有异议，可以在成交公告发布后七个工作日内以书面形式向采购代理机构提出质疑。采购代理机构将在收到竞标人的书面形式质疑后七个工作日内做出答复,但答复的内容不得涉及商业密秘。</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24.3质疑竞标人必须首先经过质疑程序，在对采购代理机构的答复不满意或者采购代理机构未在规定的时间内做出答复的，可以在答复期满后十五个工作日内书面向同级政府采购监督管理部门投诉。</w:t>
      </w:r>
    </w:p>
    <w:p>
      <w:pPr>
        <w:wordWrap w:val="0"/>
        <w:spacing w:line="400" w:lineRule="exact"/>
        <w:ind w:firstLine="420" w:firstLineChars="200"/>
        <w:rPr>
          <w:rFonts w:ascii="宋体" w:hAnsi="宋体" w:cs="宋体"/>
          <w:color w:val="auto"/>
          <w:szCs w:val="21"/>
          <w:highlight w:val="none"/>
        </w:rPr>
      </w:pPr>
      <w:bookmarkStart w:id="110" w:name="_Toc270433089"/>
      <w:bookmarkStart w:id="111" w:name="_Toc182358690"/>
      <w:bookmarkStart w:id="112" w:name="_Toc311729154"/>
      <w:r>
        <w:rPr>
          <w:rFonts w:hint="eastAsia" w:ascii="宋体" w:hAnsi="宋体" w:cs="宋体"/>
          <w:color w:val="auto"/>
          <w:szCs w:val="21"/>
          <w:highlight w:val="none"/>
        </w:rPr>
        <w:t>24.4竞标人在法定质疑期内一次性提出针对同一采购程序环节的质疑。</w:t>
      </w:r>
    </w:p>
    <w:p>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25.成交通知</w:t>
      </w:r>
      <w:bookmarkEnd w:id="110"/>
      <w:bookmarkEnd w:id="111"/>
      <w:bookmarkEnd w:id="112"/>
    </w:p>
    <w:p>
      <w:pPr>
        <w:pStyle w:val="14"/>
        <w:wordWrap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25.1在发布成交公告的同时，本公司将向成交供应商发出成交通知书。</w:t>
      </w:r>
    </w:p>
    <w:p>
      <w:pPr>
        <w:pStyle w:val="14"/>
        <w:wordWrap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25.2本公司无义务向落标的竞标人解释落标原因和退还响应文件。</w:t>
      </w:r>
    </w:p>
    <w:p>
      <w:pPr>
        <w:wordWrap w:val="0"/>
        <w:spacing w:line="400" w:lineRule="exact"/>
        <w:rPr>
          <w:rFonts w:ascii="宋体" w:hAnsi="宋体" w:cs="宋体"/>
          <w:color w:val="auto"/>
          <w:szCs w:val="21"/>
          <w:highlight w:val="none"/>
        </w:rPr>
      </w:pPr>
      <w:bookmarkStart w:id="113" w:name="_Toc270433090"/>
      <w:bookmarkStart w:id="114" w:name="_Toc147250544"/>
      <w:bookmarkStart w:id="115" w:name="_Toc182358691"/>
      <w:bookmarkStart w:id="116" w:name="_Toc147250388"/>
      <w:bookmarkStart w:id="117" w:name="_Toc147250342"/>
      <w:bookmarkStart w:id="118" w:name="_Toc311729155"/>
      <w:r>
        <w:rPr>
          <w:rFonts w:hint="eastAsia" w:ascii="宋体" w:hAnsi="宋体" w:cs="宋体"/>
          <w:color w:val="auto"/>
          <w:szCs w:val="21"/>
          <w:highlight w:val="none"/>
        </w:rPr>
        <w:t>26.合同授予标准</w:t>
      </w:r>
      <w:bookmarkEnd w:id="113"/>
      <w:bookmarkEnd w:id="114"/>
      <w:bookmarkEnd w:id="115"/>
      <w:bookmarkEnd w:id="116"/>
      <w:bookmarkEnd w:id="117"/>
      <w:bookmarkEnd w:id="118"/>
    </w:p>
    <w:p>
      <w:pPr>
        <w:pStyle w:val="14"/>
        <w:wordWrap w:val="0"/>
        <w:spacing w:line="400" w:lineRule="exact"/>
        <w:ind w:firstLine="435"/>
        <w:rPr>
          <w:rFonts w:hAnsi="宋体" w:cs="宋体"/>
          <w:color w:val="auto"/>
          <w:szCs w:val="21"/>
          <w:highlight w:val="none"/>
        </w:rPr>
      </w:pPr>
      <w:r>
        <w:rPr>
          <w:rFonts w:hint="eastAsia" w:hAnsi="宋体" w:cs="宋体"/>
          <w:bCs/>
          <w:color w:val="auto"/>
          <w:szCs w:val="21"/>
          <w:highlight w:val="none"/>
        </w:rPr>
        <w:t>26.1</w:t>
      </w:r>
      <w:r>
        <w:rPr>
          <w:rFonts w:hint="eastAsia" w:hAnsi="宋体" w:cs="宋体"/>
          <w:color w:val="auto"/>
          <w:szCs w:val="21"/>
          <w:highlight w:val="none"/>
        </w:rPr>
        <w:t>合同将授予依据《评定成交的标准》被确定的成交人。</w:t>
      </w:r>
    </w:p>
    <w:p>
      <w:pPr>
        <w:pStyle w:val="14"/>
        <w:wordWrap w:val="0"/>
        <w:spacing w:line="400" w:lineRule="exact"/>
        <w:ind w:firstLine="435"/>
        <w:rPr>
          <w:rFonts w:hAnsi="宋体" w:cs="宋体"/>
          <w:bCs/>
          <w:color w:val="auto"/>
          <w:szCs w:val="21"/>
          <w:highlight w:val="none"/>
        </w:rPr>
      </w:pPr>
      <w:r>
        <w:rPr>
          <w:rFonts w:hint="eastAsia" w:hAnsi="宋体" w:cs="宋体"/>
          <w:bCs/>
          <w:color w:val="auto"/>
          <w:szCs w:val="21"/>
          <w:highlight w:val="none"/>
        </w:rPr>
        <w:t>26.2 采购人应按照评标报告中推荐的成交候选供应商顺序确定成交供应商，也可以事先授权谈判小组直接确定成交供应商。</w:t>
      </w:r>
    </w:p>
    <w:p>
      <w:pPr>
        <w:wordWrap w:val="0"/>
        <w:spacing w:line="400" w:lineRule="exact"/>
        <w:rPr>
          <w:rFonts w:ascii="宋体" w:hAnsi="宋体" w:cs="宋体"/>
          <w:color w:val="auto"/>
          <w:szCs w:val="21"/>
          <w:highlight w:val="none"/>
        </w:rPr>
      </w:pPr>
      <w:bookmarkStart w:id="119" w:name="_Toc182358692"/>
      <w:r>
        <w:rPr>
          <w:rFonts w:hint="eastAsia" w:ascii="宋体" w:hAnsi="宋体" w:cs="宋体"/>
          <w:color w:val="auto"/>
          <w:szCs w:val="21"/>
          <w:highlight w:val="none"/>
        </w:rPr>
        <w:t>27.签订合同</w:t>
      </w:r>
      <w:bookmarkEnd w:id="119"/>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27.1成交供应商在收到成交通知书后，按成交通知书中规定的时间、地点与买方签订合同。</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27.2如成交供应商不按成交通知书的规定签订合同，则按成交供应商违约处理，采购代理机构对成交供应商竞标的全部竞标保证金将不予退还上缴同级国库。</w:t>
      </w:r>
    </w:p>
    <w:p>
      <w:pPr>
        <w:pStyle w:val="5"/>
        <w:wordWrap w:val="0"/>
        <w:spacing w:before="0" w:after="0" w:line="400" w:lineRule="exact"/>
        <w:jc w:val="center"/>
        <w:rPr>
          <w:rFonts w:ascii="宋体" w:hAnsi="宋体" w:cs="宋体"/>
          <w:bCs w:val="0"/>
          <w:color w:val="auto"/>
          <w:sz w:val="21"/>
          <w:szCs w:val="21"/>
          <w:highlight w:val="none"/>
        </w:rPr>
      </w:pPr>
      <w:bookmarkStart w:id="120" w:name="_Toc182358694"/>
      <w:bookmarkStart w:id="121" w:name="_Toc311729700"/>
      <w:bookmarkStart w:id="122" w:name="_Toc270433092"/>
      <w:r>
        <w:rPr>
          <w:rFonts w:hint="eastAsia" w:ascii="宋体" w:hAnsi="宋体" w:cs="宋体"/>
          <w:bCs w:val="0"/>
          <w:color w:val="auto"/>
          <w:sz w:val="21"/>
          <w:szCs w:val="21"/>
          <w:highlight w:val="none"/>
        </w:rPr>
        <w:t>七、其他事项</w:t>
      </w:r>
      <w:bookmarkEnd w:id="120"/>
      <w:bookmarkEnd w:id="121"/>
      <w:bookmarkEnd w:id="122"/>
    </w:p>
    <w:p>
      <w:pPr>
        <w:wordWrap w:val="0"/>
        <w:spacing w:line="400" w:lineRule="exact"/>
        <w:rPr>
          <w:rFonts w:ascii="宋体" w:hAnsi="宋体" w:cs="宋体"/>
          <w:color w:val="auto"/>
          <w:szCs w:val="21"/>
          <w:highlight w:val="none"/>
        </w:rPr>
      </w:pPr>
      <w:bookmarkStart w:id="123" w:name="_Toc311729158"/>
      <w:bookmarkStart w:id="124" w:name="_Toc270433093"/>
      <w:bookmarkStart w:id="125" w:name="_Toc182358695"/>
      <w:r>
        <w:rPr>
          <w:rFonts w:hint="eastAsia" w:ascii="宋体" w:hAnsi="宋体" w:cs="宋体"/>
          <w:color w:val="auto"/>
          <w:szCs w:val="21"/>
          <w:highlight w:val="none"/>
        </w:rPr>
        <w:t>28.成交服务费</w:t>
      </w:r>
      <w:bookmarkEnd w:id="123"/>
      <w:bookmarkEnd w:id="124"/>
      <w:bookmarkEnd w:id="125"/>
    </w:p>
    <w:p>
      <w:pPr>
        <w:pStyle w:val="14"/>
        <w:wordWrap w:val="0"/>
        <w:spacing w:line="400" w:lineRule="exact"/>
        <w:ind w:firstLine="411" w:firstLineChars="196"/>
        <w:rPr>
          <w:rFonts w:hAnsi="宋体" w:cs="宋体"/>
          <w:color w:val="auto"/>
          <w:szCs w:val="21"/>
          <w:highlight w:val="none"/>
        </w:rPr>
      </w:pPr>
      <w:r>
        <w:rPr>
          <w:rFonts w:hint="eastAsia" w:hAnsi="宋体" w:cs="宋体"/>
          <w:bCs/>
          <w:color w:val="auto"/>
          <w:szCs w:val="21"/>
          <w:highlight w:val="none"/>
        </w:rPr>
        <w:t>28.1</w:t>
      </w:r>
      <w:r>
        <w:rPr>
          <w:rFonts w:hint="eastAsia" w:hAnsi="宋体" w:cs="宋体"/>
          <w:color w:val="auto"/>
          <w:szCs w:val="21"/>
          <w:highlight w:val="none"/>
        </w:rPr>
        <w:t>参照原国家发展计划委员会计价格[2002]1980号《招标代理服务费管理暂行办法》收费标准、发改办价格[2003]857号、发改价格{2011}534号文按</w:t>
      </w:r>
      <w:r>
        <w:rPr>
          <w:rFonts w:hint="eastAsia" w:hAnsi="宋体" w:cs="宋体"/>
          <w:b/>
          <w:color w:val="auto"/>
          <w:szCs w:val="21"/>
          <w:highlight w:val="none"/>
          <w:u w:val="single"/>
        </w:rPr>
        <w:t>货物类</w:t>
      </w:r>
      <w:r>
        <w:rPr>
          <w:rFonts w:hint="eastAsia" w:hAnsi="宋体" w:cs="宋体"/>
          <w:color w:val="auto"/>
          <w:szCs w:val="21"/>
          <w:highlight w:val="none"/>
        </w:rPr>
        <w:t>收费标准向成交人收取（不含评委费）。领取成交通知书前，成交人应向采购代理机构一次付清代理服务费。</w:t>
      </w:r>
    </w:p>
    <w:p>
      <w:pPr>
        <w:wordWrap w:val="0"/>
        <w:spacing w:line="400" w:lineRule="exact"/>
        <w:rPr>
          <w:rFonts w:ascii="宋体" w:hAnsi="宋体" w:cs="宋体"/>
          <w:color w:val="auto"/>
          <w:szCs w:val="21"/>
          <w:highlight w:val="none"/>
        </w:rPr>
      </w:pPr>
      <w:bookmarkStart w:id="126" w:name="_Toc182358696"/>
      <w:bookmarkStart w:id="127" w:name="_Toc311729159"/>
      <w:bookmarkStart w:id="128" w:name="_Toc270433094"/>
      <w:r>
        <w:rPr>
          <w:rFonts w:hint="eastAsia" w:ascii="宋体" w:hAnsi="宋体" w:cs="宋体"/>
          <w:color w:val="auto"/>
          <w:szCs w:val="21"/>
          <w:highlight w:val="none"/>
        </w:rPr>
        <w:t>29.解释权</w:t>
      </w:r>
      <w:bookmarkEnd w:id="126"/>
      <w:bookmarkEnd w:id="127"/>
      <w:bookmarkEnd w:id="128"/>
    </w:p>
    <w:p>
      <w:pPr>
        <w:pStyle w:val="14"/>
        <w:wordWrap w:val="0"/>
        <w:spacing w:line="400" w:lineRule="exact"/>
        <w:ind w:firstLine="420"/>
        <w:rPr>
          <w:rFonts w:hAnsi="宋体" w:cs="宋体"/>
          <w:color w:val="auto"/>
          <w:szCs w:val="21"/>
          <w:highlight w:val="none"/>
        </w:rPr>
      </w:pPr>
      <w:bookmarkStart w:id="129" w:name="_Toc311729160"/>
      <w:bookmarkStart w:id="130" w:name="_Toc270433095"/>
      <w:bookmarkStart w:id="131" w:name="_Toc182358697"/>
      <w:r>
        <w:rPr>
          <w:rFonts w:hint="eastAsia" w:hAnsi="宋体" w:cs="宋体"/>
          <w:color w:val="auto"/>
          <w:szCs w:val="21"/>
          <w:highlight w:val="none"/>
        </w:rPr>
        <w:t>29.1本谈判谈判文件是根据国家有关法律、法规以及政府采购管理有关规定和参照国际惯例编制，解释权属本采购代理机构。</w:t>
      </w:r>
    </w:p>
    <w:p>
      <w:pPr>
        <w:pStyle w:val="14"/>
        <w:wordWrap w:val="0"/>
        <w:spacing w:line="400" w:lineRule="exact"/>
        <w:ind w:firstLine="420"/>
        <w:rPr>
          <w:rFonts w:hAnsi="宋体" w:cs="宋体"/>
          <w:color w:val="auto"/>
          <w:szCs w:val="21"/>
          <w:highlight w:val="none"/>
        </w:rPr>
      </w:pPr>
      <w:r>
        <w:rPr>
          <w:rFonts w:hint="eastAsia" w:hAnsi="宋体" w:cs="宋体"/>
          <w:color w:val="auto"/>
          <w:szCs w:val="21"/>
          <w:highlight w:val="none"/>
        </w:rPr>
        <w:t>29.2本次采购活动当事人的一切活动均适用于《中华人民共和国政府采购法》及《政府采购非招标采购方式管理办法》（财政部令第74号）相关规定。</w:t>
      </w:r>
    </w:p>
    <w:p>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30.有关事宜</w:t>
      </w:r>
      <w:bookmarkEnd w:id="129"/>
      <w:bookmarkEnd w:id="130"/>
      <w:bookmarkEnd w:id="131"/>
    </w:p>
    <w:p>
      <w:pPr>
        <w:pStyle w:val="14"/>
        <w:wordWrap w:val="0"/>
        <w:spacing w:line="400" w:lineRule="exact"/>
        <w:ind w:firstLine="420"/>
        <w:rPr>
          <w:rFonts w:hAnsi="宋体" w:cs="宋体"/>
          <w:color w:val="auto"/>
          <w:highlight w:val="none"/>
        </w:rPr>
      </w:pPr>
      <w:r>
        <w:rPr>
          <w:rFonts w:hint="eastAsia" w:hAnsi="宋体" w:cs="宋体"/>
          <w:color w:val="auto"/>
          <w:highlight w:val="none"/>
        </w:rPr>
        <w:t>所有与本谈判文件有关的函电请按下列通讯地址联系：</w:t>
      </w:r>
    </w:p>
    <w:p>
      <w:pPr>
        <w:pStyle w:val="14"/>
        <w:wordWrap w:val="0"/>
        <w:spacing w:line="400" w:lineRule="exact"/>
        <w:ind w:firstLine="420" w:firstLineChars="200"/>
        <w:rPr>
          <w:rFonts w:hAnsi="宋体" w:cs="宋体"/>
          <w:bCs/>
          <w:color w:val="auto"/>
          <w:highlight w:val="none"/>
        </w:rPr>
      </w:pPr>
      <w:r>
        <w:rPr>
          <w:rFonts w:hint="eastAsia" w:hAnsi="宋体" w:cs="宋体"/>
          <w:bCs/>
          <w:color w:val="auto"/>
          <w:highlight w:val="none"/>
        </w:rPr>
        <w:t>采购代理机构：广西同泽工程项目管理股份有限公司</w:t>
      </w:r>
    </w:p>
    <w:p>
      <w:pPr>
        <w:pStyle w:val="14"/>
        <w:wordWrap w:val="0"/>
        <w:spacing w:line="400" w:lineRule="exact"/>
        <w:ind w:firstLine="420" w:firstLineChars="200"/>
        <w:rPr>
          <w:rFonts w:hAnsi="宋体" w:cs="宋体"/>
          <w:color w:val="auto"/>
          <w:highlight w:val="none"/>
        </w:rPr>
      </w:pPr>
      <w:r>
        <w:rPr>
          <w:rFonts w:hint="eastAsia" w:hAnsi="宋体" w:cs="宋体"/>
          <w:color w:val="auto"/>
          <w:highlight w:val="none"/>
        </w:rPr>
        <w:t xml:space="preserve">邮政编码：545000                                  </w:t>
      </w:r>
    </w:p>
    <w:p>
      <w:pPr>
        <w:pStyle w:val="14"/>
        <w:wordWrap w:val="0"/>
        <w:spacing w:line="400" w:lineRule="exact"/>
        <w:ind w:firstLine="412"/>
        <w:rPr>
          <w:rFonts w:hAnsi="宋体" w:cs="宋体"/>
          <w:color w:val="auto"/>
          <w:highlight w:val="none"/>
        </w:rPr>
      </w:pPr>
      <w:r>
        <w:rPr>
          <w:rFonts w:hint="eastAsia" w:hAnsi="宋体" w:cs="宋体"/>
          <w:color w:val="auto"/>
          <w:highlight w:val="none"/>
        </w:rPr>
        <w:t>通讯地址：</w:t>
      </w:r>
      <w:r>
        <w:rPr>
          <w:rFonts w:hint="eastAsia" w:hAnsi="宋体" w:cs="宋体"/>
          <w:color w:val="auto"/>
          <w:szCs w:val="21"/>
          <w:highlight w:val="none"/>
        </w:rPr>
        <w:t>柳州市桂中大道南端6号九洲国际25楼</w:t>
      </w:r>
    </w:p>
    <w:p>
      <w:pPr>
        <w:pStyle w:val="14"/>
        <w:wordWrap w:val="0"/>
        <w:spacing w:line="400" w:lineRule="exact"/>
        <w:ind w:firstLine="412"/>
        <w:rPr>
          <w:rFonts w:hAnsi="宋体" w:cs="宋体"/>
          <w:color w:val="auto"/>
          <w:highlight w:val="none"/>
        </w:rPr>
      </w:pPr>
      <w:r>
        <w:rPr>
          <w:rFonts w:hint="eastAsia" w:hAnsi="宋体" w:cs="宋体"/>
          <w:color w:val="auto"/>
          <w:highlight w:val="none"/>
        </w:rPr>
        <w:t>联系电话及传真：0772-3808868</w:t>
      </w:r>
    </w:p>
    <w:p>
      <w:pPr>
        <w:pStyle w:val="14"/>
        <w:wordWrap w:val="0"/>
        <w:spacing w:line="400" w:lineRule="exact"/>
        <w:ind w:firstLine="412"/>
        <w:rPr>
          <w:rFonts w:hAnsi="宋体" w:cs="宋体"/>
          <w:color w:val="auto"/>
          <w:highlight w:val="none"/>
        </w:rPr>
      </w:pPr>
      <w:r>
        <w:rPr>
          <w:rFonts w:hint="eastAsia" w:hAnsi="宋体" w:cs="宋体"/>
          <w:color w:val="auto"/>
          <w:highlight w:val="none"/>
        </w:rPr>
        <w:t>联系人：廖露思</w:t>
      </w:r>
    </w:p>
    <w:p>
      <w:pPr>
        <w:wordWrap w:val="0"/>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监督部门：</w:t>
      </w:r>
      <w:r>
        <w:rPr>
          <w:rFonts w:hint="eastAsia" w:ascii="宋体" w:hAnsi="宋体" w:cs="宋体"/>
          <w:color w:val="auto"/>
          <w:highlight w:val="none"/>
          <w:lang w:eastAsia="zh-CN"/>
        </w:rPr>
        <w:t>柳州市城中区财政局</w:t>
      </w:r>
      <w:r>
        <w:rPr>
          <w:rFonts w:hint="eastAsia" w:ascii="宋体" w:hAnsi="宋体" w:cs="宋体"/>
          <w:color w:val="auto"/>
          <w:highlight w:val="none"/>
          <w:lang w:val="en-US" w:eastAsia="zh-CN"/>
        </w:rPr>
        <w:t xml:space="preserve">   </w:t>
      </w:r>
      <w:r>
        <w:rPr>
          <w:rFonts w:hint="eastAsia" w:ascii="宋体" w:hAnsi="宋体" w:cs="宋体"/>
          <w:color w:val="auto"/>
          <w:highlight w:val="none"/>
        </w:rPr>
        <w:t>电话：</w:t>
      </w:r>
      <w:r>
        <w:rPr>
          <w:rFonts w:hint="eastAsia" w:ascii="宋体" w:hAnsi="宋体" w:cs="宋体"/>
          <w:color w:val="auto"/>
          <w:highlight w:val="none"/>
          <w:lang w:eastAsia="zh-CN"/>
        </w:rPr>
        <w:t>0772-2094753</w:t>
      </w:r>
    </w:p>
    <w:p>
      <w:pPr>
        <w:spacing w:line="400" w:lineRule="exact"/>
        <w:jc w:val="center"/>
        <w:rPr>
          <w:rFonts w:ascii="宋体" w:hAnsi="宋体" w:cs="宋体"/>
          <w:b/>
          <w:color w:val="auto"/>
          <w:sz w:val="32"/>
          <w:szCs w:val="32"/>
          <w:highlight w:val="none"/>
        </w:rPr>
      </w:pPr>
      <w:bookmarkStart w:id="132" w:name="_Toc393117387"/>
      <w:bookmarkStart w:id="133" w:name="_Toc213556786"/>
      <w:r>
        <w:rPr>
          <w:rFonts w:hint="eastAsia" w:ascii="宋体" w:hAnsi="宋体" w:cs="宋体"/>
          <w:b/>
          <w:color w:val="auto"/>
          <w:sz w:val="32"/>
          <w:szCs w:val="32"/>
          <w:highlight w:val="none"/>
        </w:rPr>
        <w:br w:type="page"/>
      </w:r>
      <w:bookmarkStart w:id="134" w:name="_Toc17594"/>
      <w:r>
        <w:rPr>
          <w:rStyle w:val="37"/>
          <w:rFonts w:hint="eastAsia" w:ascii="宋体" w:hAnsi="宋体" w:cs="宋体"/>
          <w:color w:val="auto"/>
          <w:highlight w:val="none"/>
        </w:rPr>
        <w:t>第三章</w:t>
      </w:r>
      <w:r>
        <w:rPr>
          <w:rStyle w:val="37"/>
          <w:rFonts w:hint="eastAsia" w:ascii="宋体" w:hAnsi="宋体" w:cs="宋体"/>
          <w:color w:val="auto"/>
          <w:highlight w:val="none"/>
          <w:lang w:val="en-US" w:eastAsia="zh-CN"/>
        </w:rPr>
        <w:t xml:space="preserve">  </w:t>
      </w:r>
      <w:r>
        <w:rPr>
          <w:rStyle w:val="37"/>
          <w:rFonts w:hint="eastAsia" w:ascii="宋体" w:hAnsi="宋体" w:cs="宋体"/>
          <w:color w:val="auto"/>
          <w:highlight w:val="none"/>
        </w:rPr>
        <w:t>货物需求一览表</w:t>
      </w:r>
      <w:bookmarkEnd w:id="132"/>
      <w:bookmarkEnd w:id="133"/>
      <w:bookmarkEnd w:id="134"/>
    </w:p>
    <w:p>
      <w:pPr>
        <w:widowControl/>
        <w:spacing w:line="340" w:lineRule="exact"/>
        <w:rPr>
          <w:rFonts w:ascii="宋体" w:hAnsi="宋体" w:cs="宋体"/>
          <w:bCs/>
          <w:color w:val="auto"/>
          <w:kern w:val="0"/>
          <w:sz w:val="24"/>
          <w:highlight w:val="none"/>
        </w:rPr>
      </w:pPr>
    </w:p>
    <w:p>
      <w:pPr>
        <w:widowControl/>
        <w:spacing w:line="340" w:lineRule="exact"/>
        <w:rPr>
          <w:rFonts w:ascii="宋体" w:hAnsi="宋体" w:cs="宋体"/>
          <w:color w:val="auto"/>
          <w:kern w:val="0"/>
          <w:szCs w:val="21"/>
          <w:highlight w:val="none"/>
        </w:rPr>
      </w:pPr>
      <w:r>
        <w:rPr>
          <w:rFonts w:hint="eastAsia" w:ascii="宋体" w:hAnsi="宋体" w:cs="宋体"/>
          <w:bCs/>
          <w:color w:val="auto"/>
          <w:kern w:val="0"/>
          <w:sz w:val="24"/>
          <w:highlight w:val="none"/>
        </w:rPr>
        <w:t>说</w:t>
      </w:r>
      <w:r>
        <w:rPr>
          <w:rFonts w:hint="eastAsia" w:ascii="宋体" w:hAnsi="宋体" w:cs="宋体"/>
          <w:bCs/>
          <w:color w:val="auto"/>
          <w:kern w:val="0"/>
          <w:szCs w:val="21"/>
          <w:highlight w:val="none"/>
        </w:rPr>
        <w:t>明：</w:t>
      </w:r>
    </w:p>
    <w:p>
      <w:pPr>
        <w:widowControl/>
        <w:spacing w:line="340" w:lineRule="exact"/>
        <w:ind w:firstLine="431"/>
        <w:rPr>
          <w:rFonts w:ascii="宋体" w:hAnsi="宋体" w:cs="宋体"/>
          <w:color w:val="auto"/>
          <w:kern w:val="0"/>
          <w:szCs w:val="21"/>
          <w:highlight w:val="none"/>
        </w:rPr>
      </w:pPr>
      <w:r>
        <w:rPr>
          <w:rFonts w:hint="eastAsia" w:ascii="宋体" w:hAnsi="宋体" w:cs="宋体"/>
          <w:bCs/>
          <w:color w:val="auto"/>
          <w:kern w:val="0"/>
          <w:szCs w:val="21"/>
          <w:highlight w:val="none"/>
        </w:rPr>
        <w:t>一、本采购需求中的品牌型号、技术参数及其功能配置仅起参考作用，竞标人可选用其他品牌型号替代，但这些替代的品牌型号要实质上相当于或优于参考品牌型号及其技术参数功能（配置）要求。</w:t>
      </w:r>
    </w:p>
    <w:p>
      <w:pPr>
        <w:widowControl/>
        <w:spacing w:line="340" w:lineRule="exact"/>
        <w:ind w:firstLine="413"/>
        <w:rPr>
          <w:rFonts w:ascii="宋体" w:hAnsi="宋体" w:cs="宋体"/>
          <w:color w:val="auto"/>
          <w:kern w:val="0"/>
          <w:szCs w:val="21"/>
          <w:highlight w:val="none"/>
        </w:rPr>
      </w:pPr>
      <w:r>
        <w:rPr>
          <w:rFonts w:hint="eastAsia" w:ascii="宋体" w:hAnsi="宋体" w:cs="宋体"/>
          <w:bCs/>
          <w:color w:val="auto"/>
          <w:kern w:val="0"/>
          <w:szCs w:val="21"/>
          <w:highlight w:val="none"/>
        </w:rPr>
        <w:t>二、本采购需求中参考品牌型号及技术参数功能（配置）不明确或有误的，或竞标人选用其他品牌型号替代的，请以详细、正确的品牌型号、技术参数功能（配置）同时填写竞标报价和</w:t>
      </w:r>
      <w:r>
        <w:rPr>
          <w:rFonts w:hint="eastAsia" w:hAnsi="宋体" w:cs="宋体"/>
          <w:color w:val="auto"/>
          <w:highlight w:val="none"/>
        </w:rPr>
        <w:t>技术规格、商务响应偏离表</w:t>
      </w:r>
      <w:r>
        <w:rPr>
          <w:rFonts w:hint="eastAsia" w:ascii="宋体" w:hAnsi="宋体" w:cs="宋体"/>
          <w:bCs/>
          <w:color w:val="auto"/>
          <w:kern w:val="0"/>
          <w:szCs w:val="21"/>
          <w:highlight w:val="none"/>
        </w:rPr>
        <w:t>。</w:t>
      </w:r>
    </w:p>
    <w:p>
      <w:pPr>
        <w:widowControl/>
        <w:spacing w:line="340" w:lineRule="exact"/>
        <w:ind w:firstLine="413"/>
        <w:rPr>
          <w:rFonts w:ascii="宋体" w:hAnsi="宋体" w:cs="宋体"/>
          <w:bCs/>
          <w:color w:val="auto"/>
          <w:kern w:val="0"/>
          <w:szCs w:val="21"/>
          <w:highlight w:val="none"/>
        </w:rPr>
      </w:pPr>
      <w:r>
        <w:rPr>
          <w:rFonts w:hint="eastAsia" w:ascii="宋体" w:hAnsi="宋体" w:cs="宋体"/>
          <w:bCs/>
          <w:color w:val="auto"/>
          <w:kern w:val="0"/>
          <w:szCs w:val="21"/>
          <w:highlight w:val="none"/>
        </w:rPr>
        <w:t>三、评标时，如果评标委员会发现本采购需求技术参数及功能（配置）要求中，含有唯一的参考品牌特定的技术参数要求的，有权认定该项技术参数要求不作为竞标文件实质性要求。</w:t>
      </w:r>
    </w:p>
    <w:p>
      <w:pPr>
        <w:widowControl/>
        <w:spacing w:line="340" w:lineRule="exact"/>
        <w:ind w:firstLine="413"/>
        <w:rPr>
          <w:rFonts w:ascii="宋体" w:hAnsi="宋体" w:cs="宋体"/>
          <w:bCs/>
          <w:smallCaps/>
          <w:color w:val="auto"/>
          <w:szCs w:val="21"/>
          <w:highlight w:val="none"/>
        </w:rPr>
      </w:pPr>
      <w:r>
        <w:rPr>
          <w:rFonts w:hint="eastAsia" w:ascii="宋体" w:hAnsi="宋体" w:cs="宋体"/>
          <w:bCs/>
          <w:color w:val="auto"/>
          <w:kern w:val="0"/>
          <w:szCs w:val="21"/>
          <w:highlight w:val="none"/>
        </w:rPr>
        <w:t>四、</w:t>
      </w:r>
      <w:r>
        <w:rPr>
          <w:rFonts w:hint="eastAsia" w:ascii="宋体" w:hAnsi="宋体" w:cs="宋体"/>
          <w:color w:val="auto"/>
          <w:szCs w:val="21"/>
          <w:highlight w:val="none"/>
        </w:rPr>
        <w:t>根据</w:t>
      </w:r>
      <w:r>
        <w:rPr>
          <w:rFonts w:hint="eastAsia" w:ascii="宋体" w:hAnsi="宋体" w:cs="宋体"/>
          <w:bCs/>
          <w:color w:val="auto"/>
          <w:szCs w:val="21"/>
          <w:highlight w:val="none"/>
        </w:rPr>
        <w:t>《政府采购进口产品管理办法》【</w:t>
      </w:r>
      <w:r>
        <w:rPr>
          <w:rFonts w:hint="eastAsia" w:ascii="宋体" w:hAnsi="宋体" w:cs="宋体"/>
          <w:color w:val="auto"/>
          <w:szCs w:val="21"/>
          <w:highlight w:val="none"/>
        </w:rPr>
        <w:t>财库〔2007〕119号</w:t>
      </w:r>
      <w:r>
        <w:rPr>
          <w:rFonts w:hint="eastAsia" w:ascii="宋体" w:hAnsi="宋体" w:cs="宋体"/>
          <w:bCs/>
          <w:color w:val="auto"/>
          <w:szCs w:val="21"/>
          <w:highlight w:val="none"/>
        </w:rPr>
        <w:t>】及《财政部办公厅关于政府采购进口产品管理有关问题的通知》【</w:t>
      </w:r>
      <w:r>
        <w:rPr>
          <w:rFonts w:hint="eastAsia" w:ascii="宋体" w:hAnsi="宋体" w:cs="宋体"/>
          <w:bCs/>
          <w:smallCaps/>
          <w:color w:val="auto"/>
          <w:szCs w:val="21"/>
          <w:highlight w:val="none"/>
        </w:rPr>
        <w:t>财办库﹝2009﹞248号】的规定，本项目不允许进口产品参加竞标。</w:t>
      </w:r>
    </w:p>
    <w:p>
      <w:pPr>
        <w:widowControl/>
        <w:spacing w:line="340" w:lineRule="exact"/>
        <w:ind w:firstLine="413"/>
        <w:rPr>
          <w:rFonts w:ascii="宋体" w:hAnsi="宋体" w:cs="宋体"/>
          <w:bCs/>
          <w:color w:val="auto"/>
          <w:kern w:val="0"/>
          <w:szCs w:val="21"/>
          <w:highlight w:val="none"/>
        </w:rPr>
      </w:pPr>
      <w:r>
        <w:rPr>
          <w:rFonts w:hint="eastAsia" w:ascii="宋体" w:hAnsi="宋体" w:cs="宋体"/>
          <w:bCs/>
          <w:color w:val="auto"/>
          <w:kern w:val="0"/>
          <w:szCs w:val="21"/>
          <w:highlight w:val="none"/>
        </w:rPr>
        <w:t>五、竞标人必须自行为其竞标产品侵犯其他竞标人或专利人的专利成果承担相应法律责任；同时，具有产品专利的竞标人应在其竞标文件中提供与其自有产品专利相关的有效证明材料，否则，不能就其产品的专利在本项目竞标过程中被侵权问题提出异议。</w:t>
      </w:r>
    </w:p>
    <w:p>
      <w:pPr>
        <w:pStyle w:val="11"/>
        <w:spacing w:line="340" w:lineRule="exact"/>
        <w:ind w:firstLine="420"/>
        <w:rPr>
          <w:rFonts w:ascii="宋体" w:hAnsi="宋体" w:cs="宋体"/>
          <w:color w:val="auto"/>
          <w:highlight w:val="none"/>
        </w:rPr>
      </w:pPr>
      <w:r>
        <w:rPr>
          <w:rFonts w:hint="eastAsia" w:ascii="宋体" w:hAnsi="宋体" w:cs="宋体"/>
          <w:color w:val="auto"/>
          <w:highlight w:val="none"/>
        </w:rPr>
        <w:t>六、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器（制冷量≤14000W）]，电热水器，普通照明用双端荧光灯，电视设备（电视机），视频监控设备（视频监控设备、监视器），便器（坐便器、蹲便器、小便器），水嘴均为节能产品政府采购品目清单内标注“★”的品目，属于政府强制采购节能产品。若采购货物属于以上品目清单产品时，竞标人的竞标货物必须使用政府强制采购的</w:t>
      </w:r>
    </w:p>
    <w:p>
      <w:pPr>
        <w:pStyle w:val="11"/>
        <w:spacing w:line="340" w:lineRule="exact"/>
        <w:jc w:val="both"/>
        <w:rPr>
          <w:rFonts w:ascii="宋体" w:hAnsi="宋体" w:cs="宋体"/>
          <w:color w:val="auto"/>
          <w:highlight w:val="none"/>
        </w:rPr>
      </w:pPr>
      <w:r>
        <w:rPr>
          <w:rFonts w:hint="eastAsia" w:ascii="宋体" w:hAnsi="宋体" w:cs="宋体"/>
          <w:color w:val="auto"/>
          <w:highlight w:val="none"/>
        </w:rPr>
        <w:t>节能产品，竞标人必须在竞标文件中提供通过中国政府采购网“节能产品查询”</w:t>
      </w:r>
      <w:r>
        <w:rPr>
          <w:rFonts w:hint="eastAsia" w:ascii="宋体" w:hAnsi="宋体" w:cs="宋体"/>
          <w:color w:val="auto"/>
          <w:highlight w:val="none"/>
          <w:lang w:eastAsia="zh-CN"/>
        </w:rPr>
        <w:t>截图</w:t>
      </w:r>
      <w:r>
        <w:rPr>
          <w:rFonts w:hint="eastAsia" w:ascii="宋体" w:hAnsi="宋体" w:cs="宋体"/>
          <w:color w:val="auto"/>
          <w:highlight w:val="none"/>
        </w:rPr>
        <w:t>（加盖竞标人公章），否则相应竞标无效。</w:t>
      </w:r>
    </w:p>
    <w:p>
      <w:pPr>
        <w:wordWrap w:val="0"/>
        <w:adjustRightInd w:val="0"/>
        <w:spacing w:line="340" w:lineRule="exact"/>
        <w:ind w:firstLine="431"/>
        <w:rPr>
          <w:color w:val="auto"/>
          <w:highlight w:val="none"/>
        </w:rPr>
      </w:pPr>
      <w:r>
        <w:rPr>
          <w:rFonts w:hint="eastAsia" w:ascii="宋体" w:hAnsi="宋体" w:cs="宋体"/>
          <w:color w:val="auto"/>
          <w:highlight w:val="none"/>
        </w:rPr>
        <w:t>七、本项目</w:t>
      </w:r>
      <w:r>
        <w:rPr>
          <w:rFonts w:hint="eastAsia" w:ascii="宋体" w:hAnsi="宋体" w:cs="宋体"/>
          <w:b/>
          <w:bCs/>
          <w:strike w:val="0"/>
          <w:dstrike w:val="0"/>
          <w:color w:val="auto"/>
          <w:highlight w:val="none"/>
          <w:lang w:eastAsia="zh-CN"/>
        </w:rPr>
        <w:t>序号</w:t>
      </w:r>
      <w:r>
        <w:rPr>
          <w:rFonts w:hint="eastAsia" w:ascii="宋体" w:hAnsi="宋体" w:cs="宋体"/>
          <w:b/>
          <w:bCs/>
          <w:strike w:val="0"/>
          <w:dstrike w:val="0"/>
          <w:color w:val="auto"/>
          <w:highlight w:val="none"/>
          <w:lang w:val="en-US" w:eastAsia="zh-CN"/>
        </w:rPr>
        <w:t>25便携式彩色多普勒超声诊断仪</w:t>
      </w:r>
      <w:r>
        <w:rPr>
          <w:rFonts w:hint="eastAsia" w:ascii="宋体" w:hAnsi="宋体" w:cs="宋体"/>
          <w:b w:val="0"/>
          <w:bCs w:val="0"/>
          <w:color w:val="auto"/>
          <w:highlight w:val="none"/>
        </w:rPr>
        <w:t>为</w:t>
      </w:r>
      <w:r>
        <w:rPr>
          <w:rFonts w:hint="eastAsia" w:ascii="宋体" w:hAnsi="宋体" w:cs="宋体"/>
          <w:b w:val="0"/>
          <w:bCs w:val="0"/>
          <w:color w:val="auto"/>
          <w:highlight w:val="none"/>
          <w:lang w:eastAsia="zh-CN"/>
        </w:rPr>
        <w:t>本项目</w:t>
      </w:r>
      <w:r>
        <w:rPr>
          <w:rFonts w:hint="eastAsia" w:ascii="宋体" w:hAnsi="宋体" w:cs="宋体"/>
          <w:color w:val="auto"/>
          <w:highlight w:val="none"/>
        </w:rPr>
        <w:t>核心产品。</w:t>
      </w:r>
    </w:p>
    <w:p>
      <w:pPr>
        <w:widowControl/>
        <w:spacing w:line="340" w:lineRule="exact"/>
        <w:ind w:firstLine="420" w:firstLineChars="200"/>
        <w:rPr>
          <w:rFonts w:ascii="宋体" w:hAnsi="宋体" w:cs="宋体"/>
          <w:color w:val="auto"/>
          <w:highlight w:val="none"/>
        </w:rPr>
      </w:pPr>
      <w:r>
        <w:rPr>
          <w:rFonts w:hint="eastAsia" w:ascii="宋体" w:hAnsi="宋体" w:cs="宋体"/>
          <w:color w:val="auto"/>
          <w:highlight w:val="none"/>
        </w:rPr>
        <w:t>八、货物需求一览表中</w:t>
      </w:r>
      <w:r>
        <w:rPr>
          <w:rFonts w:hint="eastAsia" w:ascii="宋体" w:hAnsi="宋体" w:cs="宋体"/>
          <w:color w:val="auto"/>
          <w:szCs w:val="21"/>
          <w:highlight w:val="none"/>
        </w:rPr>
        <w:t>所有的</w:t>
      </w:r>
      <w:r>
        <w:rPr>
          <w:rFonts w:hint="eastAsia" w:ascii="宋体" w:hAnsi="宋体" w:cs="宋体"/>
          <w:color w:val="auto"/>
          <w:highlight w:val="none"/>
        </w:rPr>
        <w:t>技术参数内容为必须满足或优于，否则竞标无效。</w:t>
      </w:r>
    </w:p>
    <w:tbl>
      <w:tblPr>
        <w:tblStyle w:val="29"/>
        <w:tblW w:w="10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30"/>
        <w:gridCol w:w="6059"/>
        <w:gridCol w:w="665"/>
        <w:gridCol w:w="65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43" w:type="dxa"/>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830" w:type="dxa"/>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货物名称</w:t>
            </w:r>
          </w:p>
        </w:tc>
        <w:tc>
          <w:tcPr>
            <w:tcW w:w="6059" w:type="dxa"/>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技术参数、配置</w:t>
            </w:r>
          </w:p>
        </w:tc>
        <w:tc>
          <w:tcPr>
            <w:tcW w:w="665" w:type="dxa"/>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658" w:type="dxa"/>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58" w:type="dxa"/>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30"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尿液分析仪</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一、参数要求：</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1、项目选择：十四项、十三项、十一项、十项</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2、测定原理：反射光电比色法</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3、测定速度：≥520条/h </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4、光源系统：采用冷光源测定系统</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5、工作方式：可选择单条测试或连续测试</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6、可测项目：白细胞、酮体、亚硝酸盐、尿胆原、胆红素、尿蛋白、葡萄糖、比重、隐血、pH、维生素C、肌酐、尿钙、微白蛋白</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7、显示：5.7英寸触摸液晶显示屏，中英文操作界面，中英文测试结果并用符号单位、SI国际单位、常用单位表示</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8、仪器能准确感应尿试纸条的数量</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9、自动卸条功能：能自动将测试过的试纸条卸到废料盒内</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10、打印：内置热敏打印机打印测试结果</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11、故障识别功能：能自动识别打印机错误、测试项目不正确等故障</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12、仪器能自动感应试纸条，将感应到得试纸条送入仪器内部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13、条形码识别：可选配条形码扫描器识别条形码</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14、存储功能：≥9000个测量结果</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15、校准功能：仪器配有试纸条校准功能</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16、输出接口：仪器有RS-232接口，并口、USB端口，可实现Lis系统连接</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17、电源：可在100V—240V下工作</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18、配置</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18.1主机：1台</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18.2电源线1条，保险管2个，打印纸1卷，校验试纸条2条，废料盒2个</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18.3、使用说明书及相关技术资料一套</w:t>
            </w:r>
            <w:r>
              <w:rPr>
                <w:rFonts w:hint="eastAsia" w:ascii="宋体" w:hAnsi="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30"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生物安全柜</w:t>
            </w:r>
          </w:p>
        </w:tc>
        <w:tc>
          <w:tcPr>
            <w:tcW w:w="6059" w:type="dxa"/>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right="0"/>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1、技术参数</w:t>
            </w:r>
            <w:r>
              <w:rPr>
                <w:rFonts w:hint="eastAsia" w:ascii="宋体" w:hAnsi="宋体" w:eastAsia="宋体" w:cs="宋体"/>
                <w:bCs/>
                <w:color w:val="auto"/>
                <w:kern w:val="0"/>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left="0" w:leftChars="0" w:right="0"/>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安全柜分类：A2型，30%外排</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br w:type="textWrapping"/>
            </w:r>
            <w:r>
              <w:rPr>
                <w:rFonts w:hint="eastAsia" w:ascii="宋体" w:hAnsi="宋体" w:eastAsia="宋体" w:cs="宋体"/>
                <w:color w:val="auto"/>
                <w:kern w:val="0"/>
                <w:sz w:val="21"/>
                <w:szCs w:val="21"/>
                <w:highlight w:val="none"/>
              </w:rPr>
              <w:t>★</w:t>
            </w:r>
            <w:r>
              <w:rPr>
                <w:rFonts w:hint="eastAsia" w:ascii="宋体" w:hAnsi="宋体" w:eastAsia="宋体" w:cs="宋体"/>
                <w:bCs/>
                <w:color w:val="auto"/>
                <w:kern w:val="0"/>
                <w:sz w:val="21"/>
                <w:szCs w:val="21"/>
                <w:highlight w:val="none"/>
              </w:rPr>
              <w:t>1.1工作区尺寸宽度940*600*660（单位mm）</w:t>
            </w:r>
            <w:r>
              <w:rPr>
                <w:rFonts w:hint="eastAsia" w:ascii="宋体" w:hAnsi="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br w:type="textWrapping"/>
            </w:r>
            <w:r>
              <w:rPr>
                <w:rFonts w:hint="eastAsia" w:ascii="宋体" w:hAnsi="宋体" w:eastAsia="宋体" w:cs="宋体"/>
                <w:bCs/>
                <w:color w:val="auto"/>
                <w:kern w:val="0"/>
                <w:sz w:val="21"/>
                <w:szCs w:val="21"/>
                <w:highlight w:val="none"/>
              </w:rPr>
              <w:t>外形尺寸；1100*750*2250（单位mm）</w:t>
            </w:r>
            <w:r>
              <w:rPr>
                <w:rFonts w:hint="eastAsia" w:ascii="宋体" w:hAnsi="宋体" w:cs="宋体"/>
                <w:bCs/>
                <w:color w:val="auto"/>
                <w:kern w:val="0"/>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right="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1.2生物安全性：</w:t>
            </w:r>
          </w:p>
          <w:p>
            <w:pPr>
              <w:keepNext w:val="0"/>
              <w:keepLines w:val="0"/>
              <w:pageBreakBefore w:val="0"/>
              <w:widowControl/>
              <w:kinsoku/>
              <w:wordWrap/>
              <w:overflowPunct/>
              <w:topLinePunct w:val="0"/>
              <w:bidi w:val="0"/>
              <w:adjustRightInd/>
              <w:snapToGrid/>
              <w:spacing w:beforeAutospacing="0" w:afterAutospacing="0" w:line="360" w:lineRule="exact"/>
              <w:ind w:left="0" w:leftChars="0" w:right="0"/>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(1)人员安全性：撞击式采样器的菌落数≤10CFU/次 狭缝式采样器的菌落数≤5CFU/次</w:t>
            </w:r>
            <w:r>
              <w:rPr>
                <w:rFonts w:hint="eastAsia" w:ascii="宋体" w:hAnsi="宋体" w:cs="宋体"/>
                <w:bCs/>
                <w:color w:val="auto"/>
                <w:kern w:val="0"/>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right="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(2)产品安全性：菌落数≤5CFU/次</w:t>
            </w:r>
            <w:r>
              <w:rPr>
                <w:rFonts w:hint="eastAsia" w:ascii="宋体" w:hAnsi="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 xml:space="preserve"> </w:t>
            </w:r>
          </w:p>
          <w:p>
            <w:pPr>
              <w:keepNext w:val="0"/>
              <w:keepLines w:val="0"/>
              <w:pageBreakBefore w:val="0"/>
              <w:widowControl/>
              <w:kinsoku/>
              <w:wordWrap/>
              <w:overflowPunct/>
              <w:topLinePunct w:val="0"/>
              <w:bidi w:val="0"/>
              <w:adjustRightInd/>
              <w:snapToGrid/>
              <w:spacing w:beforeAutospacing="0" w:afterAutospacing="0" w:line="360" w:lineRule="exact"/>
              <w:ind w:left="0" w:leftChars="0" w:right="0"/>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(3)交叉污染安全性：菌落数≤2CFU/次</w:t>
            </w:r>
            <w:r>
              <w:rPr>
                <w:rFonts w:hint="eastAsia" w:ascii="宋体" w:hAnsi="宋体" w:cs="宋体"/>
                <w:bCs/>
                <w:color w:val="auto"/>
                <w:kern w:val="0"/>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left="0" w:leftChars="0" w:right="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1.3洁净等级：100级</w:t>
            </w:r>
            <w:r>
              <w:rPr>
                <w:rFonts w:hint="eastAsia" w:ascii="宋体" w:hAnsi="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 xml:space="preserve"> </w:t>
            </w:r>
          </w:p>
          <w:p>
            <w:pPr>
              <w:keepNext w:val="0"/>
              <w:keepLines w:val="0"/>
              <w:pageBreakBefore w:val="0"/>
              <w:widowControl/>
              <w:kinsoku/>
              <w:wordWrap/>
              <w:overflowPunct/>
              <w:topLinePunct w:val="0"/>
              <w:bidi w:val="0"/>
              <w:adjustRightInd/>
              <w:snapToGrid/>
              <w:spacing w:beforeAutospacing="0" w:afterAutospacing="0" w:line="360" w:lineRule="exact"/>
              <w:ind w:left="0" w:leftChars="0" w:right="0"/>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1.4过滤效率:对0.3μm微粒过滤效率≥99.995%</w:t>
            </w:r>
            <w:r>
              <w:rPr>
                <w:rFonts w:hint="eastAsia" w:ascii="宋体" w:hAnsi="宋体" w:cs="宋体"/>
                <w:bCs/>
                <w:color w:val="auto"/>
                <w:kern w:val="0"/>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left="210" w:leftChars="0" w:right="0" w:hanging="210" w:hangingChars="10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bCs/>
                <w:color w:val="auto"/>
                <w:kern w:val="0"/>
                <w:sz w:val="21"/>
                <w:szCs w:val="21"/>
                <w:highlight w:val="none"/>
              </w:rPr>
              <w:t>1.5</w:t>
            </w:r>
            <w:r>
              <w:rPr>
                <w:rFonts w:hint="eastAsia" w:ascii="宋体" w:hAnsi="宋体" w:eastAsia="宋体" w:cs="宋体"/>
                <w:color w:val="auto"/>
                <w:kern w:val="0"/>
                <w:sz w:val="21"/>
                <w:szCs w:val="21"/>
                <w:highlight w:val="none"/>
              </w:rPr>
              <w:t>底座采用</w:t>
            </w:r>
            <w:r>
              <w:rPr>
                <w:rFonts w:hint="eastAsia" w:ascii="宋体" w:hAnsi="宋体" w:eastAsia="宋体" w:cs="宋体"/>
                <w:color w:val="auto"/>
                <w:sz w:val="21"/>
                <w:szCs w:val="21"/>
                <w:highlight w:val="none"/>
              </w:rPr>
              <w:t>福马脚轮设计，可以实现移动、升降和固定功能</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left="0" w:leftChars="0" w:right="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bCs/>
                <w:color w:val="auto"/>
                <w:kern w:val="0"/>
                <w:sz w:val="21"/>
                <w:szCs w:val="21"/>
                <w:highlight w:val="none"/>
              </w:rPr>
              <w:t>1.6</w:t>
            </w:r>
            <w:r>
              <w:rPr>
                <w:rFonts w:hint="eastAsia" w:ascii="宋体" w:hAnsi="宋体" w:eastAsia="宋体" w:cs="宋体"/>
                <w:color w:val="auto"/>
                <w:sz w:val="21"/>
                <w:szCs w:val="21"/>
                <w:highlight w:val="none"/>
              </w:rPr>
              <w:t>可在安全柜前方更换、维修过滤器及风机</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left="0" w:leftChars="0" w:right="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rPr>
              <w:t>1.7气</w:t>
            </w:r>
            <w:r>
              <w:rPr>
                <w:rFonts w:hint="eastAsia" w:ascii="宋体" w:hAnsi="宋体" w:eastAsia="宋体" w:cs="宋体"/>
                <w:color w:val="auto"/>
                <w:sz w:val="21"/>
                <w:szCs w:val="21"/>
                <w:highlight w:val="none"/>
              </w:rPr>
              <w:t>道密闭性装置的气道在承受500 Pa</w:t>
            </w:r>
            <w:r>
              <w:rPr>
                <w:rFonts w:hint="eastAsia" w:ascii="宋体" w:hAnsi="宋体" w:eastAsia="宋体" w:cs="宋体"/>
                <w:bCs/>
                <w:color w:val="auto"/>
                <w:kern w:val="0"/>
                <w:sz w:val="21"/>
                <w:szCs w:val="21"/>
                <w:highlight w:val="none"/>
              </w:rPr>
              <w:t>±10%</w:t>
            </w:r>
            <w:r>
              <w:rPr>
                <w:rFonts w:hint="eastAsia" w:ascii="宋体" w:hAnsi="宋体" w:eastAsia="宋体" w:cs="宋体"/>
                <w:color w:val="auto"/>
                <w:sz w:val="21"/>
                <w:szCs w:val="21"/>
                <w:highlight w:val="none"/>
              </w:rPr>
              <w:t>的压力下，其贯穿部分在皂泡实验条件下无气泡出现。平均风速：</w:t>
            </w:r>
            <w:r>
              <w:rPr>
                <w:rFonts w:hint="eastAsia" w:ascii="宋体" w:hAnsi="宋体" w:eastAsia="宋体" w:cs="宋体"/>
                <w:bCs/>
                <w:color w:val="auto"/>
                <w:kern w:val="0"/>
                <w:sz w:val="21"/>
                <w:szCs w:val="21"/>
                <w:highlight w:val="none"/>
              </w:rPr>
              <w:t>0.33±0.015m/s,  吸入口风速0.53±0.015m/s</w:t>
            </w:r>
            <w:r>
              <w:rPr>
                <w:rFonts w:hint="eastAsia" w:ascii="宋体" w:hAnsi="宋体" w:cs="宋体"/>
                <w:bCs/>
                <w:color w:val="auto"/>
                <w:kern w:val="0"/>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1.8电机与风机：电机应有热保护装置，并能在1.15倍额定电压值的条件下稳定工作；电机应可以调速，以便在风速下降下保证合格气流</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bCs/>
                <w:color w:val="auto"/>
                <w:kern w:val="0"/>
                <w:sz w:val="21"/>
                <w:szCs w:val="21"/>
                <w:highlight w:val="none"/>
              </w:rPr>
              <w:t>1.9前玻璃窗有10度生理斜度，视角更大，更具人性化，且超出安全高度具有声光报警功</w:t>
            </w:r>
            <w:r>
              <w:rPr>
                <w:rFonts w:hint="eastAsia" w:ascii="宋体" w:hAnsi="宋体" w:eastAsia="宋体" w:cs="宋体"/>
                <w:color w:val="auto"/>
                <w:sz w:val="21"/>
                <w:szCs w:val="21"/>
                <w:highlight w:val="none"/>
              </w:rPr>
              <w:t>能；安全玻璃，防UV，双层夹胶防爆安全玻璃；前玻璃窗采用电动玻璃门设计，需要同时满足脚踏控制、手动开关和遥控控制，提高产品的安全性</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left="558" w:leftChars="0" w:right="0" w:hanging="558" w:hangingChars="266"/>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Cs/>
                <w:color w:val="auto"/>
                <w:kern w:val="0"/>
                <w:sz w:val="21"/>
                <w:szCs w:val="21"/>
                <w:highlight w:val="none"/>
              </w:rPr>
              <w:t>1.10内部工作区域，工作区内墙体及工作台面为优质304#不</w:t>
            </w:r>
          </w:p>
          <w:p>
            <w:pPr>
              <w:keepNext w:val="0"/>
              <w:keepLines w:val="0"/>
              <w:pageBreakBefore w:val="0"/>
              <w:widowControl/>
              <w:kinsoku/>
              <w:wordWrap/>
              <w:overflowPunct/>
              <w:topLinePunct w:val="0"/>
              <w:bidi w:val="0"/>
              <w:adjustRightInd/>
              <w:snapToGrid/>
              <w:spacing w:beforeAutospacing="0" w:afterAutospacing="0" w:line="360" w:lineRule="exact"/>
              <w:ind w:right="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rPr>
              <w:t>锈钢，操作区三面一体成型，</w:t>
            </w:r>
            <w:r>
              <w:rPr>
                <w:rFonts w:hint="eastAsia" w:ascii="宋体" w:hAnsi="宋体" w:eastAsia="宋体" w:cs="宋体"/>
                <w:color w:val="auto"/>
                <w:sz w:val="21"/>
                <w:szCs w:val="21"/>
                <w:highlight w:val="none"/>
              </w:rPr>
              <w:t>三面无接缝圆角结构,不留死角，易于清洁。工作台面采用下凹盆状，具有收集废液功能</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left="420" w:leftChars="0" w:right="0" w:hanging="420" w:hanging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1.11噪音等级：≤65d B（A）</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left="210" w:leftChars="0" w:right="0" w:hanging="210" w:hangingChars="100"/>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color w:val="auto"/>
                <w:sz w:val="21"/>
                <w:szCs w:val="21"/>
                <w:highlight w:val="none"/>
              </w:rPr>
              <w:t>1.12照明：≥1000LUX</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left="558" w:leftChars="0" w:right="0" w:hanging="558" w:hangingChars="266"/>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Cs/>
                <w:color w:val="auto"/>
                <w:kern w:val="0"/>
                <w:sz w:val="21"/>
                <w:szCs w:val="21"/>
                <w:highlight w:val="none"/>
              </w:rPr>
              <w:t>1.13高亮度LCD显示屏,实时动态显示操作区的下降气流流速</w:t>
            </w:r>
          </w:p>
          <w:p>
            <w:pPr>
              <w:keepNext w:val="0"/>
              <w:keepLines w:val="0"/>
              <w:pageBreakBefore w:val="0"/>
              <w:widowControl/>
              <w:kinsoku/>
              <w:wordWrap/>
              <w:overflowPunct/>
              <w:topLinePunct w:val="0"/>
              <w:bidi w:val="0"/>
              <w:adjustRightInd/>
              <w:snapToGrid/>
              <w:spacing w:beforeAutospacing="0" w:afterAutospacing="0" w:line="360" w:lineRule="exact"/>
              <w:ind w:left="558" w:leftChars="0" w:right="0" w:hanging="558" w:hangingChars="266"/>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和流入气流流速 ，实时显示过滤器的寿命、安全柜的整体运行</w:t>
            </w:r>
          </w:p>
          <w:p>
            <w:pPr>
              <w:keepNext w:val="0"/>
              <w:keepLines w:val="0"/>
              <w:pageBreakBefore w:val="0"/>
              <w:widowControl/>
              <w:kinsoku/>
              <w:wordWrap/>
              <w:overflowPunct/>
              <w:topLinePunct w:val="0"/>
              <w:bidi w:val="0"/>
              <w:adjustRightInd/>
              <w:snapToGrid/>
              <w:spacing w:beforeAutospacing="0" w:afterAutospacing="0" w:line="360" w:lineRule="exact"/>
              <w:ind w:left="558" w:leftChars="0" w:right="0" w:hanging="558" w:hangingChars="266"/>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时间、UV灯的运行时间，操作区的温度和湿度、送风和排风过滤</w:t>
            </w:r>
          </w:p>
          <w:p>
            <w:pPr>
              <w:keepNext w:val="0"/>
              <w:keepLines w:val="0"/>
              <w:pageBreakBefore w:val="0"/>
              <w:widowControl/>
              <w:kinsoku/>
              <w:wordWrap/>
              <w:overflowPunct/>
              <w:topLinePunct w:val="0"/>
              <w:bidi w:val="0"/>
              <w:adjustRightInd/>
              <w:snapToGrid/>
              <w:spacing w:beforeAutospacing="0" w:afterAutospacing="0" w:line="360" w:lineRule="exact"/>
              <w:ind w:left="558" w:leftChars="0" w:right="0" w:hanging="558" w:hangingChars="266"/>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器的阻力。当安全柜出现故障时，声光报警提示</w:t>
            </w:r>
            <w:r>
              <w:rPr>
                <w:rFonts w:hint="eastAsia" w:ascii="宋体" w:hAnsi="宋体" w:cs="宋体"/>
                <w:bCs/>
                <w:color w:val="auto"/>
                <w:kern w:val="0"/>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left="525" w:leftChars="0" w:right="0" w:hanging="525" w:hangingChars="25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1.14遥控控制，减少使用者与安全柜的直接接触，更能保护使</w:t>
            </w:r>
          </w:p>
          <w:p>
            <w:pPr>
              <w:keepNext w:val="0"/>
              <w:keepLines w:val="0"/>
              <w:pageBreakBefore w:val="0"/>
              <w:widowControl/>
              <w:kinsoku/>
              <w:wordWrap/>
              <w:overflowPunct/>
              <w:topLinePunct w:val="0"/>
              <w:bidi w:val="0"/>
              <w:adjustRightInd/>
              <w:snapToGrid/>
              <w:spacing w:beforeAutospacing="0" w:afterAutospacing="0" w:line="360" w:lineRule="exact"/>
              <w:ind w:left="525" w:leftChars="0" w:right="0" w:hanging="525" w:hangingChars="25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用者</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left="525" w:leftChars="0" w:right="0" w:hanging="525" w:hangingChars="25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1.15具有预约定时功能，能自动消毒、自动开关机，提高工作</w:t>
            </w:r>
          </w:p>
          <w:p>
            <w:pPr>
              <w:keepNext w:val="0"/>
              <w:keepLines w:val="0"/>
              <w:pageBreakBefore w:val="0"/>
              <w:widowControl/>
              <w:kinsoku/>
              <w:wordWrap/>
              <w:overflowPunct/>
              <w:topLinePunct w:val="0"/>
              <w:bidi w:val="0"/>
              <w:adjustRightInd/>
              <w:snapToGrid/>
              <w:spacing w:beforeAutospacing="0" w:afterAutospacing="0" w:line="360" w:lineRule="exact"/>
              <w:ind w:left="525" w:leftChars="0" w:right="0" w:hanging="525" w:hangingChars="25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效率</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left="525" w:leftChars="0" w:right="0" w:hanging="525" w:hangingChars="25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1.16抗电强度：耐压1390V 、5S不击穿</w:t>
            </w:r>
            <w:r>
              <w:rPr>
                <w:rFonts w:hint="eastAsia" w:ascii="宋体" w:hAnsi="宋体" w:cs="宋体"/>
                <w:color w:val="auto"/>
                <w:sz w:val="21"/>
                <w:szCs w:val="21"/>
                <w:highlight w:val="none"/>
                <w:lang w:eastAsia="zh-CN"/>
              </w:rPr>
              <w:t>。</w:t>
            </w:r>
          </w:p>
        </w:tc>
        <w:tc>
          <w:tcPr>
            <w:tcW w:w="665" w:type="dxa"/>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right="0" w:right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58" w:type="dxa"/>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right="0" w:rightChars="0"/>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30"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手提式压力蒸汽灭菌器</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规格18L(41*41*42cm)</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全不锈钢材料制成，经久耐用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座式结构，放置稳定</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附带电源开关，操作方便</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旋转式90度开盖手柄，操作时特别方便、安全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设有放水龙头，方便排放浓缩水</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水位控制型防干烧功能，防止加热管脱水烧坏</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压力表同时显示器内压力和温度，清晰明了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安全阀自动控制压力和灭菌温度，安全可靠</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放汽阀可以排尽桶内冷空气和冷凝水</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径向自胀覆盖结构，操作简便省力</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自胀式硅橡胶密封圈，密封效果好，使用寿命长。</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30"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洗眼器</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喷淋流量120-180升/分钟</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工作压力0.25-0.45MPA</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材质：加厚不锈钢</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密封：0.4MPA</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30"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听诊器</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锌合金听头</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全长:83cm</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胶管长：63cm</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830"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紫外线消毒车</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灯管2支</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建议使用面积大于30平米</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紫外线主波长253.7nm</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定时装置：0-120分钟</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830"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动态心电图（含工作站）</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规格</w:t>
            </w:r>
            <w:r>
              <w:rPr>
                <w:rFonts w:hint="eastAsia" w:ascii="宋体" w:hAnsi="宋体" w:eastAsia="宋体" w:cs="宋体"/>
                <w:b/>
                <w:bCs/>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规格：86 mm *54 mm*17mm</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重量：46克</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外壳： I.B.S.塑料制成</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导联：动态心电图导联（10芯）</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储存媒介：Flash 芯片</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回放接口：USB2.0驱动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导联线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旋钮固定式导联线</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硬件参数</w:t>
            </w:r>
            <w:r>
              <w:rPr>
                <w:rFonts w:hint="eastAsia" w:ascii="宋体" w:hAnsi="宋体" w:eastAsia="宋体" w:cs="宋体"/>
                <w:b/>
                <w:bCs/>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记录时间：≥24小时</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记录方式：数字式无压缩</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文件存储容量：≥1G</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电源：7号碱性电池1节</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采样频率：4000Hz</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采样精度：16位</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频率响应：0.05Hz~ 150Hz</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输入阻抗：各输入通道的输入阻抗应大于3MΩ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共模抑制比：不小于80 dB</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回放时间：不大于3分钟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b/>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电气安全类型：内部电源BF型</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分析软件</w:t>
            </w:r>
            <w:r>
              <w:rPr>
                <w:rFonts w:hint="eastAsia" w:ascii="宋体" w:hAnsi="宋体" w:eastAsia="宋体" w:cs="宋体"/>
                <w:b/>
                <w:bCs/>
                <w:color w:val="auto"/>
                <w:sz w:val="21"/>
                <w:szCs w:val="21"/>
                <w:highlight w:val="none"/>
                <w:lang w:eastAsia="zh-CN"/>
              </w:rPr>
              <w:t>：</w:t>
            </w:r>
          </w:p>
          <w:p>
            <w:pPr>
              <w:keepNext w:val="0"/>
              <w:keepLines w:val="0"/>
              <w:pageBreakBefore w:val="0"/>
              <w:tabs>
                <w:tab w:val="left" w:pos="0"/>
              </w:tabs>
              <w:kinsoku/>
              <w:wordWrap/>
              <w:overflowPunct/>
              <w:topLinePunct w:val="0"/>
              <w:bidi w:val="0"/>
              <w:adjustRightInd/>
              <w:snapToGrid/>
              <w:spacing w:beforeAutospacing="0" w:afterAutospacing="0" w:line="360" w:lineRule="exact"/>
              <w:ind w:left="420" w:leftChars="0" w:right="0" w:hanging="420" w:hanging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全导联（12导联）同步全息分析，自动分析完成后并以简</w:t>
            </w:r>
          </w:p>
          <w:p>
            <w:pPr>
              <w:keepNext w:val="0"/>
              <w:keepLines w:val="0"/>
              <w:pageBreakBefore w:val="0"/>
              <w:tabs>
                <w:tab w:val="left" w:pos="0"/>
              </w:tabs>
              <w:kinsoku/>
              <w:wordWrap/>
              <w:overflowPunct/>
              <w:topLinePunct w:val="0"/>
              <w:bidi w:val="0"/>
              <w:adjustRightInd/>
              <w:snapToGrid/>
              <w:spacing w:beforeAutospacing="0" w:afterAutospacing="0" w:line="360" w:lineRule="exact"/>
              <w:ind w:right="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单的文字报告结论形式提示当前心电数据分析情况；</w:t>
            </w:r>
          </w:p>
          <w:p>
            <w:pPr>
              <w:keepNext w:val="0"/>
              <w:keepLines w:val="0"/>
              <w:pageBreakBefore w:val="0"/>
              <w:numPr>
                <w:ilvl w:val="0"/>
                <w:numId w:val="1"/>
              </w:numPr>
              <w:kinsoku/>
              <w:wordWrap/>
              <w:overflowPunct/>
              <w:topLinePunct w:val="0"/>
              <w:bidi w:val="0"/>
              <w:adjustRightInd/>
              <w:snapToGrid/>
              <w:spacing w:beforeAutospacing="0" w:afterAutospacing="0" w:line="360" w:lineRule="exact"/>
              <w:ind w:left="420" w:leftChars="0" w:right="0" w:hanging="420" w:hanging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无模板分析、图表分析、诊断图分析等繁琐的工具菜单，分</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leftChars="-200" w:right="0" w:righ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析软件提供多种人性化操作菜单，按照医生浏览、编辑、总结的</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leftChars="-200" w:right="0" w:righ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操作习惯设置工具菜单，更加符合人机对话；</w:t>
            </w:r>
          </w:p>
          <w:p>
            <w:pPr>
              <w:keepNext w:val="0"/>
              <w:keepLines w:val="0"/>
              <w:pageBreakBefore w:val="0"/>
              <w:kinsoku/>
              <w:wordWrap/>
              <w:overflowPunct/>
              <w:topLinePunct w:val="0"/>
              <w:bidi w:val="0"/>
              <w:adjustRightInd/>
              <w:snapToGrid/>
              <w:spacing w:beforeAutospacing="0" w:afterAutospacing="0" w:line="360" w:lineRule="exact"/>
              <w:ind w:left="420" w:leftChars="0" w:right="0" w:hanging="420" w:hanging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分析软件具有</w:t>
            </w:r>
            <w:r>
              <w:rPr>
                <w:rFonts w:hint="eastAsia" w:ascii="宋体" w:hAnsi="宋体" w:eastAsia="宋体" w:cs="宋体"/>
                <w:bCs/>
                <w:color w:val="auto"/>
                <w:sz w:val="21"/>
                <w:szCs w:val="21"/>
                <w:highlight w:val="none"/>
              </w:rPr>
              <w:t>两个导联同时</w:t>
            </w:r>
            <w:r>
              <w:rPr>
                <w:rFonts w:hint="eastAsia" w:ascii="宋体" w:hAnsi="宋体" w:eastAsia="宋体" w:cs="宋体"/>
                <w:color w:val="auto"/>
                <w:sz w:val="21"/>
                <w:szCs w:val="21"/>
                <w:highlight w:val="none"/>
              </w:rPr>
              <w:t>叠加功能；</w:t>
            </w:r>
          </w:p>
          <w:p>
            <w:pPr>
              <w:keepNext w:val="0"/>
              <w:keepLines w:val="0"/>
              <w:pageBreakBefore w:val="0"/>
              <w:kinsoku/>
              <w:wordWrap/>
              <w:overflowPunct/>
              <w:topLinePunct w:val="0"/>
              <w:bidi w:val="0"/>
              <w:adjustRightInd/>
              <w:snapToGrid/>
              <w:spacing w:beforeAutospacing="0" w:afterAutospacing="0" w:line="360" w:lineRule="exact"/>
              <w:ind w:left="420" w:leftChars="0" w:right="0" w:hanging="420" w:hanging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具有P波叠加放大倍数（最大8倍）叠加功能；</w:t>
            </w:r>
          </w:p>
          <w:p>
            <w:pPr>
              <w:keepNext w:val="0"/>
              <w:keepLines w:val="0"/>
              <w:pageBreakBefore w:val="0"/>
              <w:kinsoku/>
              <w:wordWrap/>
              <w:overflowPunct/>
              <w:topLinePunct w:val="0"/>
              <w:bidi w:val="0"/>
              <w:adjustRightInd/>
              <w:snapToGrid/>
              <w:spacing w:beforeAutospacing="0" w:afterAutospacing="0" w:line="360" w:lineRule="exact"/>
              <w:ind w:left="420" w:leftChars="0" w:right="0" w:hanging="420" w:hanging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分析软件具有ST-T段、T波分析及事件统计功能，ST段分</w:t>
            </w:r>
          </w:p>
          <w:p>
            <w:pPr>
              <w:keepNext w:val="0"/>
              <w:keepLines w:val="0"/>
              <w:pageBreakBefore w:val="0"/>
              <w:kinsoku/>
              <w:wordWrap/>
              <w:overflowPunct/>
              <w:topLinePunct w:val="0"/>
              <w:bidi w:val="0"/>
              <w:adjustRightInd/>
              <w:snapToGrid/>
              <w:spacing w:beforeAutospacing="0" w:afterAutospacing="0" w:line="360" w:lineRule="exact"/>
              <w:ind w:left="420" w:leftChars="0" w:right="0" w:hanging="420" w:hanging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析可根据心率自适应分析调整；</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起搏检测：独立通道起搏检测，真实起搏脉冲检测和识别技术；</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具有心率变异性功能，同时包含频域分析、时域分析；</w:t>
            </w:r>
          </w:p>
          <w:p>
            <w:pPr>
              <w:keepNext w:val="0"/>
              <w:keepLines w:val="0"/>
              <w:pageBreakBefore w:val="0"/>
              <w:kinsoku/>
              <w:wordWrap/>
              <w:overflowPunct/>
              <w:topLinePunct w:val="0"/>
              <w:bidi w:val="0"/>
              <w:adjustRightInd/>
              <w:snapToGrid/>
              <w:spacing w:beforeAutospacing="0" w:afterAutospacing="0" w:line="360" w:lineRule="exact"/>
              <w:ind w:left="420" w:leftChars="0" w:right="0" w:hanging="420" w:hanging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同时具有RR间期直方图和NN间期直方图自动生成可直接打</w:t>
            </w:r>
          </w:p>
          <w:p>
            <w:pPr>
              <w:keepNext w:val="0"/>
              <w:keepLines w:val="0"/>
              <w:pageBreakBefore w:val="0"/>
              <w:kinsoku/>
              <w:wordWrap/>
              <w:overflowPunct/>
              <w:topLinePunct w:val="0"/>
              <w:bidi w:val="0"/>
              <w:adjustRightInd/>
              <w:snapToGrid/>
              <w:spacing w:beforeAutospacing="0" w:afterAutospacing="0" w:line="360" w:lineRule="exact"/>
              <w:ind w:left="420" w:leftChars="0" w:right="0" w:hanging="420" w:hanging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印的事件图形功能； </w:t>
            </w:r>
          </w:p>
          <w:p>
            <w:pPr>
              <w:keepNext w:val="0"/>
              <w:keepLines w:val="0"/>
              <w:pageBreakBefore w:val="0"/>
              <w:numPr>
                <w:ilvl w:val="0"/>
                <w:numId w:val="2"/>
              </w:numPr>
              <w:kinsoku/>
              <w:wordWrap/>
              <w:overflowPunct/>
              <w:topLinePunct w:val="0"/>
              <w:bidi w:val="0"/>
              <w:adjustRightInd/>
              <w:snapToGrid/>
              <w:spacing w:beforeAutospacing="0" w:afterAutospacing="0" w:line="360" w:lineRule="exact"/>
              <w:ind w:left="420" w:leftChars="0" w:right="0" w:hanging="420" w:hanging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报告首页内容以分析情况自动调整，部分结论项目为0时（比</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如“J”），报告首页不体现，自定义分析结论模板，自动按照分析情况生成报告结论</w:t>
            </w:r>
            <w:r>
              <w:rPr>
                <w:rFonts w:hint="eastAsia" w:ascii="宋体" w:hAnsi="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830"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动态血压（含工作站）</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性能参数：</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测量方式：自动、手动臂式测量</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tabs>
                <w:tab w:val="left" w:pos="0"/>
              </w:tabs>
              <w:kinsoku/>
              <w:wordWrap/>
              <w:overflowPunct/>
              <w:topLinePunct w:val="0"/>
              <w:bidi w:val="0"/>
              <w:adjustRightInd/>
              <w:snapToGrid/>
              <w:spacing w:beforeAutospacing="0" w:afterAutospacing="0" w:line="360" w:lineRule="exact"/>
              <w:ind w:right="0" w:rightChars="0"/>
              <w:jc w:val="left"/>
              <w:textAlignment w:val="baseline"/>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测量方法：振荡示波测量法</w:t>
            </w:r>
            <w:r>
              <w:rPr>
                <w:rFonts w:hint="eastAsia" w:ascii="宋体" w:hAnsi="宋体" w:eastAsia="宋体" w:cs="宋体"/>
                <w:color w:val="auto"/>
                <w:sz w:val="21"/>
                <w:szCs w:val="21"/>
                <w:highlight w:val="none"/>
                <w:lang w:eastAsia="zh-CN"/>
              </w:rPr>
              <w:t>；</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测量范围：</w:t>
            </w:r>
          </w:p>
          <w:p>
            <w:pPr>
              <w:keepNext w:val="0"/>
              <w:keepLines w:val="0"/>
              <w:pageBreakBefore w:val="0"/>
              <w:numPr>
                <w:ilvl w:val="1"/>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收缩压: 40mmHg～270mmHg</w:t>
            </w:r>
            <w:r>
              <w:rPr>
                <w:rFonts w:hint="eastAsia" w:ascii="宋体" w:hAnsi="宋体" w:eastAsia="宋体" w:cs="宋体"/>
                <w:color w:val="auto"/>
                <w:sz w:val="21"/>
                <w:szCs w:val="21"/>
                <w:highlight w:val="none"/>
                <w:lang w:eastAsia="zh-CN"/>
              </w:rPr>
              <w:t>；</w:t>
            </w:r>
          </w:p>
          <w:p>
            <w:pPr>
              <w:keepNext w:val="0"/>
              <w:keepLines w:val="0"/>
              <w:pageBreakBefore w:val="0"/>
              <w:numPr>
                <w:ilvl w:val="1"/>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rPr>
              <w:t>舒张压：10mmHg～215mmHg</w:t>
            </w:r>
            <w:r>
              <w:rPr>
                <w:rFonts w:hint="eastAsia" w:ascii="宋体" w:hAnsi="宋体" w:eastAsia="宋体" w:cs="宋体"/>
                <w:color w:val="auto"/>
                <w:sz w:val="21"/>
                <w:szCs w:val="21"/>
                <w:highlight w:val="none"/>
                <w:lang w:eastAsia="zh-CN"/>
              </w:rPr>
              <w:t>；</w:t>
            </w:r>
          </w:p>
          <w:p>
            <w:pPr>
              <w:keepNext w:val="0"/>
              <w:keepLines w:val="0"/>
              <w:pageBreakBefore w:val="0"/>
              <w:numPr>
                <w:ilvl w:val="1"/>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3.3</w:t>
            </w:r>
            <w:r>
              <w:rPr>
                <w:rFonts w:hint="eastAsia" w:ascii="宋体" w:hAnsi="宋体" w:eastAsia="宋体" w:cs="宋体"/>
                <w:color w:val="auto"/>
                <w:sz w:val="21"/>
                <w:szCs w:val="21"/>
                <w:highlight w:val="none"/>
              </w:rPr>
              <w:t>平均压：20mmHg～235mmHg</w:t>
            </w:r>
            <w:r>
              <w:rPr>
                <w:rFonts w:hint="eastAsia" w:ascii="宋体" w:hAnsi="宋体" w:eastAsia="宋体" w:cs="宋体"/>
                <w:color w:val="auto"/>
                <w:sz w:val="21"/>
                <w:szCs w:val="21"/>
                <w:highlight w:val="none"/>
                <w:lang w:eastAsia="zh-CN"/>
              </w:rPr>
              <w:t>；</w:t>
            </w:r>
          </w:p>
          <w:p>
            <w:pPr>
              <w:keepNext w:val="0"/>
              <w:keepLines w:val="0"/>
              <w:pageBreakBefore w:val="0"/>
              <w:numPr>
                <w:ilvl w:val="1"/>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脉率：40～240次/分</w:t>
            </w:r>
            <w:r>
              <w:rPr>
                <w:rFonts w:hint="eastAsia" w:ascii="宋体" w:hAnsi="宋体" w:eastAsia="宋体" w:cs="宋体"/>
                <w:color w:val="auto"/>
                <w:sz w:val="21"/>
                <w:szCs w:val="21"/>
                <w:highlight w:val="none"/>
                <w:lang w:eastAsia="zh-CN"/>
              </w:rPr>
              <w:t>；</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记录时间：≥48小时</w:t>
            </w:r>
            <w:r>
              <w:rPr>
                <w:rFonts w:hint="eastAsia" w:ascii="宋体" w:hAnsi="宋体" w:eastAsia="宋体" w:cs="宋体"/>
                <w:color w:val="auto"/>
                <w:sz w:val="21"/>
                <w:szCs w:val="21"/>
                <w:highlight w:val="none"/>
                <w:lang w:eastAsia="zh-CN"/>
              </w:rPr>
              <w:t>；</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存储容量：≥500组数据</w:t>
            </w:r>
            <w:r>
              <w:rPr>
                <w:rFonts w:hint="eastAsia" w:ascii="宋体" w:hAnsi="宋体" w:eastAsia="宋体" w:cs="宋体"/>
                <w:color w:val="auto"/>
                <w:sz w:val="21"/>
                <w:szCs w:val="21"/>
                <w:highlight w:val="none"/>
                <w:lang w:eastAsia="zh-CN"/>
              </w:rPr>
              <w:t>；</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测量协议：支持昼、夜、特殊时段，三段方案不同测量间隔</w:t>
            </w:r>
            <w:r>
              <w:rPr>
                <w:rFonts w:hint="eastAsia" w:ascii="宋体" w:hAnsi="宋体" w:eastAsia="宋体" w:cs="宋体"/>
                <w:color w:val="auto"/>
                <w:sz w:val="21"/>
                <w:szCs w:val="21"/>
                <w:highlight w:val="none"/>
                <w:lang w:eastAsia="zh-CN"/>
              </w:rPr>
              <w:t>；</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测量间隔：5、10、15、20、30、45、60、90、120（分钟）</w:t>
            </w:r>
            <w:r>
              <w:rPr>
                <w:rFonts w:hint="eastAsia" w:ascii="宋体" w:hAnsi="宋体" w:eastAsia="宋体" w:cs="宋体"/>
                <w:color w:val="auto"/>
                <w:sz w:val="21"/>
                <w:szCs w:val="21"/>
                <w:highlight w:val="none"/>
                <w:lang w:eastAsia="zh-CN"/>
              </w:rPr>
              <w:t>；</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测量时间：≤60秒/次</w:t>
            </w:r>
            <w:r>
              <w:rPr>
                <w:rFonts w:hint="eastAsia" w:ascii="宋体" w:hAnsi="宋体" w:eastAsia="宋体" w:cs="宋体"/>
                <w:color w:val="auto"/>
                <w:sz w:val="21"/>
                <w:szCs w:val="21"/>
                <w:highlight w:val="none"/>
                <w:lang w:eastAsia="zh-CN"/>
              </w:rPr>
              <w:t>；</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补测功能：独特的自我识别系统，若系统测量失败可在2分钟内自动补测</w:t>
            </w:r>
            <w:r>
              <w:rPr>
                <w:rFonts w:hint="eastAsia" w:ascii="宋体" w:hAnsi="宋体" w:eastAsia="宋体" w:cs="宋体"/>
                <w:color w:val="auto"/>
                <w:sz w:val="21"/>
                <w:szCs w:val="21"/>
                <w:highlight w:val="none"/>
                <w:lang w:eastAsia="zh-CN"/>
              </w:rPr>
              <w:t>；</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测量精确度：±3mmHg</w:t>
            </w:r>
            <w:r>
              <w:rPr>
                <w:rFonts w:hint="eastAsia" w:ascii="宋体" w:hAnsi="宋体" w:eastAsia="宋体" w:cs="宋体"/>
                <w:color w:val="auto"/>
                <w:sz w:val="21"/>
                <w:szCs w:val="21"/>
                <w:highlight w:val="none"/>
                <w:lang w:eastAsia="zh-CN"/>
              </w:rPr>
              <w:t>；</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安全系统：最高血压测量值310 mmHg，自动安全能量释放装置</w:t>
            </w:r>
            <w:r>
              <w:rPr>
                <w:rFonts w:hint="eastAsia" w:ascii="宋体" w:hAnsi="宋体" w:eastAsia="宋体" w:cs="宋体"/>
                <w:color w:val="auto"/>
                <w:sz w:val="21"/>
                <w:szCs w:val="21"/>
                <w:highlight w:val="none"/>
                <w:lang w:eastAsia="zh-CN"/>
              </w:rPr>
              <w:t>；</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液晶屏显示：每次测量的收缩压（SYS）、舒张压（DIA）、平均动脉压（MAP）、脉率（HR），并具有低电量提示、报警提示、错误代码、时间显示功能</w:t>
            </w:r>
            <w:r>
              <w:rPr>
                <w:rFonts w:hint="eastAsia" w:ascii="宋体" w:hAnsi="宋体" w:eastAsia="宋体" w:cs="宋体"/>
                <w:color w:val="auto"/>
                <w:sz w:val="21"/>
                <w:szCs w:val="21"/>
                <w:highlight w:val="none"/>
                <w:lang w:eastAsia="zh-CN"/>
              </w:rPr>
              <w:t>；</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与电脑传输方式：USB数据线</w:t>
            </w:r>
            <w:r>
              <w:rPr>
                <w:rFonts w:hint="eastAsia" w:ascii="宋体" w:hAnsi="宋体" w:eastAsia="宋体" w:cs="宋体"/>
                <w:color w:val="auto"/>
                <w:sz w:val="21"/>
                <w:szCs w:val="21"/>
                <w:highlight w:val="none"/>
                <w:lang w:eastAsia="zh-CN"/>
              </w:rPr>
              <w:t>；</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电源：两节5号AA碱性电池</w:t>
            </w:r>
            <w:r>
              <w:rPr>
                <w:rFonts w:hint="eastAsia" w:ascii="宋体" w:hAnsi="宋体" w:eastAsia="宋体" w:cs="宋体"/>
                <w:color w:val="auto"/>
                <w:sz w:val="21"/>
                <w:szCs w:val="21"/>
                <w:highlight w:val="none"/>
                <w:lang w:eastAsia="zh-CN"/>
              </w:rPr>
              <w:t>；</w:t>
            </w:r>
          </w:p>
          <w:p>
            <w:pPr>
              <w:keepNext w:val="0"/>
              <w:keepLines w:val="0"/>
              <w:pageBreakBefore w:val="0"/>
              <w:numPr>
                <w:ilvl w:val="0"/>
                <w:numId w:val="3"/>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记录盒重量：≤260g</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软件功能：</w:t>
            </w:r>
          </w:p>
          <w:p>
            <w:pPr>
              <w:keepNext w:val="0"/>
              <w:keepLines w:val="0"/>
              <w:pageBreakBefore w:val="0"/>
              <w:numPr>
                <w:ilvl w:val="0"/>
                <w:numId w:val="4"/>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血压报告编辑工具：数据表，血压勺状趋势图，血压升降彩色填充趋势图，血压柱状图，频率柱状图，PR/MAP/PP柱状图，饼图，离散度拟合线，频率柱状图，血压负荷值，昼夜血压变化节律，血压变异系数，24小时脉率，晨峰血压；</w:t>
            </w:r>
          </w:p>
          <w:p>
            <w:pPr>
              <w:keepNext w:val="0"/>
              <w:keepLines w:val="0"/>
              <w:pageBreakBefore w:val="0"/>
              <w:numPr>
                <w:ilvl w:val="0"/>
                <w:numId w:val="4"/>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对于意外过高或过低的血压，可对数据进行编辑和添加注解，从而得到合理的血压趋势图；</w:t>
            </w:r>
          </w:p>
          <w:p>
            <w:pPr>
              <w:keepNext w:val="0"/>
              <w:keepLines w:val="0"/>
              <w:pageBreakBefore w:val="0"/>
              <w:numPr>
                <w:ilvl w:val="0"/>
                <w:numId w:val="4"/>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采样强大的数据库管理，支持多个账户登录，支持多种报告模板；</w:t>
            </w:r>
          </w:p>
          <w:p>
            <w:pPr>
              <w:keepNext w:val="0"/>
              <w:keepLines w:val="0"/>
              <w:pageBreakBefore w:val="0"/>
              <w:numPr>
                <w:ilvl w:val="0"/>
                <w:numId w:val="4"/>
              </w:numPr>
              <w:tabs>
                <w:tab w:val="left" w:pos="0"/>
              </w:tabs>
              <w:kinsoku/>
              <w:wordWrap/>
              <w:overflowPunct/>
              <w:topLinePunct w:val="0"/>
              <w:bidi w:val="0"/>
              <w:adjustRightInd/>
              <w:snapToGrid/>
              <w:spacing w:beforeAutospacing="0" w:afterAutospacing="0" w:line="360" w:lineRule="exact"/>
              <w:ind w:left="0" w:leftChars="0" w:right="0"/>
              <w:jc w:val="left"/>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提供远程传输服务，通过客户端软件将患者信息、病例上传，通过专家端软件下载病例、出具诊断报告，回传到客户端软件；</w:t>
            </w:r>
          </w:p>
          <w:p>
            <w:pPr>
              <w:keepNext w:val="0"/>
              <w:keepLines w:val="0"/>
              <w:pageBreakBefore w:val="0"/>
              <w:numPr>
                <w:ilvl w:val="0"/>
                <w:numId w:val="4"/>
              </w:numPr>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kern w:val="11"/>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11"/>
                <w:sz w:val="21"/>
                <w:szCs w:val="21"/>
                <w:highlight w:val="none"/>
              </w:rPr>
              <w:t>用智能模糊测量法，有效克服了由于患者预期测量时间而产生的紧张情绪造成的测量数据不客观的现象；</w:t>
            </w:r>
          </w:p>
          <w:p>
            <w:pPr>
              <w:keepNext w:val="0"/>
              <w:keepLines w:val="0"/>
              <w:pageBreakBefore w:val="0"/>
              <w:numPr>
                <w:ilvl w:val="0"/>
                <w:numId w:val="4"/>
              </w:numPr>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电池电量低时会出现警报声(即发出"滴滴滴"三声报警声音)，可以提醒用户更换电池；</w:t>
            </w:r>
          </w:p>
          <w:p>
            <w:pPr>
              <w:keepNext w:val="0"/>
              <w:keepLines w:val="0"/>
              <w:pageBreakBefore w:val="0"/>
              <w:numPr>
                <w:ilvl w:val="0"/>
                <w:numId w:val="4"/>
              </w:numPr>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快速简便的设置，独特的事件按钮，准确记录突发事件。</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830"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留观床</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长宽高：180*60*65cm</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板面软包</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张</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830"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电子血压计（腕式）</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测量范围：0-299mmHg(0-39.9kpa)</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脉搏数：40次/分-180次/分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显示方式：数字式显示</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示波测定法</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830"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红外测温枪</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测量范围32-43摄氏度</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尺寸：149*38*42（mm）</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830"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医疗废弃物桶</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体积100L（轮子＋盖子）</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个</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除颤仪</w:t>
            </w:r>
          </w:p>
        </w:tc>
        <w:tc>
          <w:tcPr>
            <w:tcW w:w="6059" w:type="dxa"/>
            <w:vAlign w:val="center"/>
          </w:tcPr>
          <w:p>
            <w:pPr>
              <w:keepNext w:val="0"/>
              <w:keepLines w:val="0"/>
              <w:pageBreakBefore w:val="0"/>
              <w:tabs>
                <w:tab w:val="left" w:pos="2552"/>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除颤模式： 体外手动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tabs>
                <w:tab w:val="left" w:pos="2860"/>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运行方式：异步，同步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numPr>
                <w:ilvl w:val="0"/>
                <w:numId w:val="0"/>
              </w:numPr>
              <w:tabs>
                <w:tab w:val="left" w:pos="2552"/>
              </w:tabs>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除颤能量：</w:t>
            </w:r>
          </w:p>
          <w:p>
            <w:pPr>
              <w:keepNext w:val="0"/>
              <w:keepLines w:val="0"/>
              <w:pageBreakBefore w:val="0"/>
              <w:numPr>
                <w:ilvl w:val="0"/>
                <w:numId w:val="0"/>
              </w:numPr>
              <w:tabs>
                <w:tab w:val="left" w:pos="2552"/>
              </w:tabs>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2,5,7,10,20,30,50,70,100,150,200,250,300,360焦耳</w:t>
            </w:r>
            <w:r>
              <w:rPr>
                <w:rFonts w:hint="eastAsia" w:ascii="宋体" w:hAnsi="宋体" w:eastAsia="宋体" w:cs="宋体"/>
                <w:color w:val="auto"/>
                <w:sz w:val="21"/>
                <w:szCs w:val="21"/>
                <w:highlight w:val="none"/>
                <w:lang w:eastAsia="zh-CN"/>
              </w:rPr>
              <w:t>；</w:t>
            </w:r>
          </w:p>
          <w:p>
            <w:pPr>
              <w:keepNext w:val="0"/>
              <w:keepLines w:val="0"/>
              <w:pageBreakBefore w:val="0"/>
              <w:tabs>
                <w:tab w:val="left" w:pos="2860"/>
              </w:tabs>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病人阻抗：23—200欧姆</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tabs>
                <w:tab w:val="left" w:pos="2835"/>
                <w:tab w:val="left" w:pos="3119"/>
                <w:tab w:val="left" w:pos="3402"/>
                <w:tab w:val="left" w:pos="3686"/>
                <w:tab w:val="left" w:pos="3969"/>
                <w:tab w:val="left" w:pos="4253"/>
                <w:tab w:val="left" w:pos="5015"/>
                <w:tab w:val="left" w:pos="5103"/>
                <w:tab w:val="left" w:pos="5387"/>
                <w:tab w:val="left" w:pos="5670"/>
              </w:tabs>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sz w:val="21"/>
                <w:szCs w:val="21"/>
                <w:highlight w:val="none"/>
              </w:rPr>
              <w:t>除颤脉冲：双相直线方波，电流控制调节（CCD）</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p>
          <w:p>
            <w:pPr>
              <w:pStyle w:val="88"/>
              <w:keepNext w:val="0"/>
              <w:keepLines w:val="0"/>
              <w:pageBreakBefore w:val="0"/>
              <w:numPr>
                <w:ilvl w:val="0"/>
                <w:numId w:val="0"/>
              </w:numPr>
              <w:tabs>
                <w:tab w:val="left" w:pos="4820"/>
                <w:tab w:val="right" w:pos="5954"/>
                <w:tab w:val="left" w:pos="6663"/>
                <w:tab w:val="right" w:pos="7371"/>
                <w:tab w:val="clear" w:pos="4253"/>
              </w:tabs>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脉冲长度：正相11.25毫秒，负相3.75毫秒</w:t>
            </w:r>
            <w:r>
              <w:rPr>
                <w:rFonts w:hint="eastAsia" w:ascii="宋体" w:hAnsi="宋体" w:eastAsia="宋体" w:cs="宋体"/>
                <w:color w:val="auto"/>
                <w:sz w:val="21"/>
                <w:szCs w:val="21"/>
                <w:highlight w:val="none"/>
                <w:lang w:eastAsia="zh-CN"/>
              </w:rPr>
              <w:t>；</w:t>
            </w:r>
          </w:p>
          <w:p>
            <w:pPr>
              <w:keepNext w:val="0"/>
              <w:keepLines w:val="0"/>
              <w:pageBreakBefore w:val="0"/>
              <w:tabs>
                <w:tab w:val="left" w:pos="2830"/>
                <w:tab w:val="left" w:pos="4820"/>
                <w:tab w:val="left" w:pos="5103"/>
                <w:tab w:val="left" w:pos="5387"/>
                <w:tab w:val="left" w:pos="5670"/>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b w:val="0"/>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充电时间：200J小于6秒</w:t>
            </w:r>
            <w:r>
              <w:rPr>
                <w:rFonts w:hint="eastAsia" w:ascii="宋体" w:hAnsi="宋体" w:eastAsia="宋体" w:cs="宋体"/>
                <w:color w:val="auto"/>
                <w:sz w:val="21"/>
                <w:szCs w:val="21"/>
                <w:highlight w:val="none"/>
                <w:lang w:eastAsia="zh-CN"/>
              </w:rPr>
              <w:t>；</w:t>
            </w:r>
          </w:p>
          <w:p>
            <w:pPr>
              <w:pStyle w:val="89"/>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心电图</w:t>
            </w:r>
            <w:r>
              <w:rPr>
                <w:rFonts w:hint="eastAsia" w:ascii="宋体" w:hAnsi="宋体" w:eastAsia="宋体" w:cs="宋体"/>
                <w:b w:val="0"/>
                <w:bCs/>
                <w:color w:val="auto"/>
                <w:sz w:val="21"/>
                <w:szCs w:val="21"/>
                <w:highlight w:val="none"/>
                <w:lang w:eastAsia="zh-CN"/>
              </w:rPr>
              <w:t>：</w:t>
            </w:r>
          </w:p>
          <w:p>
            <w:pPr>
              <w:keepNext w:val="0"/>
              <w:keepLines w:val="0"/>
              <w:pageBreakBefore w:val="0"/>
              <w:numPr>
                <w:ilvl w:val="0"/>
                <w:numId w:val="0"/>
              </w:numPr>
              <w:tabs>
                <w:tab w:val="left" w:pos="2860"/>
              </w:tabs>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rPr>
              <w:t>导联：4极6导联（I, II, III, aVR, aVF, aVL ）</w:t>
            </w:r>
            <w:r>
              <w:rPr>
                <w:rFonts w:hint="eastAsia" w:ascii="宋体" w:hAnsi="宋体" w:eastAsia="宋体" w:cs="宋体"/>
                <w:color w:val="auto"/>
                <w:sz w:val="21"/>
                <w:szCs w:val="21"/>
                <w:highlight w:val="none"/>
                <w:lang w:eastAsia="zh-CN"/>
              </w:rPr>
              <w:t>；</w:t>
            </w:r>
          </w:p>
          <w:p>
            <w:pPr>
              <w:keepNext w:val="0"/>
              <w:keepLines w:val="0"/>
              <w:pageBreakBefore w:val="0"/>
              <w:tabs>
                <w:tab w:val="left" w:pos="2835"/>
                <w:tab w:val="left" w:pos="3119"/>
                <w:tab w:val="left" w:pos="3402"/>
                <w:tab w:val="left" w:pos="4865"/>
                <w:tab w:val="left" w:pos="4955"/>
                <w:tab w:val="left" w:pos="5015"/>
                <w:tab w:val="left" w:pos="5103"/>
                <w:tab w:val="left" w:pos="5387"/>
                <w:tab w:val="left" w:pos="5670"/>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心率：30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300 次/分钟</w:t>
            </w:r>
            <w:r>
              <w:rPr>
                <w:rFonts w:hint="eastAsia" w:ascii="宋体" w:hAnsi="宋体" w:eastAsia="宋体" w:cs="宋体"/>
                <w:color w:val="auto"/>
                <w:sz w:val="21"/>
                <w:szCs w:val="21"/>
                <w:highlight w:val="none"/>
                <w:lang w:eastAsia="zh-CN"/>
              </w:rPr>
              <w:t>；</w:t>
            </w:r>
          </w:p>
          <w:p>
            <w:pPr>
              <w:keepNext w:val="0"/>
              <w:keepLines w:val="0"/>
              <w:pageBreakBefore w:val="0"/>
              <w:tabs>
                <w:tab w:val="left" w:pos="2835"/>
                <w:tab w:val="left" w:pos="3119"/>
                <w:tab w:val="left" w:pos="3402"/>
                <w:tab w:val="left" w:pos="3686"/>
                <w:tab w:val="left" w:pos="3969"/>
                <w:tab w:val="left" w:pos="4253"/>
                <w:tab w:val="left" w:pos="4820"/>
                <w:tab w:val="left" w:pos="5387"/>
                <w:tab w:val="left" w:pos="5670"/>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8.3</w:t>
            </w:r>
            <w:r>
              <w:rPr>
                <w:rFonts w:hint="eastAsia" w:ascii="宋体" w:hAnsi="宋体" w:eastAsia="宋体" w:cs="宋体"/>
                <w:color w:val="auto"/>
                <w:sz w:val="21"/>
                <w:szCs w:val="21"/>
                <w:highlight w:val="none"/>
              </w:rPr>
              <w:t>报警：30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300 次/分钟</w:t>
            </w:r>
            <w:r>
              <w:rPr>
                <w:rFonts w:hint="eastAsia" w:ascii="宋体" w:hAnsi="宋体" w:eastAsia="宋体" w:cs="宋体"/>
                <w:color w:val="auto"/>
                <w:sz w:val="21"/>
                <w:szCs w:val="21"/>
                <w:highlight w:val="none"/>
                <w:lang w:eastAsia="zh-CN"/>
              </w:rPr>
              <w:t>；</w:t>
            </w:r>
          </w:p>
          <w:p>
            <w:pPr>
              <w:pStyle w:val="89"/>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b w:val="0"/>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监护屏</w:t>
            </w:r>
            <w:r>
              <w:rPr>
                <w:rFonts w:hint="eastAsia" w:ascii="宋体" w:hAnsi="宋体" w:eastAsia="宋体" w:cs="宋体"/>
                <w:b w:val="0"/>
                <w:bCs/>
                <w:color w:val="auto"/>
                <w:sz w:val="21"/>
                <w:szCs w:val="21"/>
                <w:highlight w:val="none"/>
                <w:lang w:eastAsia="zh-CN"/>
              </w:rPr>
              <w:t>：</w:t>
            </w:r>
          </w:p>
          <w:p>
            <w:pPr>
              <w:keepNext w:val="0"/>
              <w:keepLines w:val="0"/>
              <w:pageBreakBefore w:val="0"/>
              <w:tabs>
                <w:tab w:val="left" w:pos="2835"/>
                <w:tab w:val="left" w:pos="2915"/>
                <w:tab w:val="left" w:pos="3969"/>
                <w:tab w:val="left" w:pos="4253"/>
                <w:tab w:val="left" w:pos="4536"/>
                <w:tab w:val="left" w:pos="4820"/>
                <w:tab w:val="left" w:pos="5103"/>
                <w:tab w:val="left" w:pos="5387"/>
                <w:tab w:val="left" w:pos="5670"/>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监护屏类型：</w:t>
            </w:r>
            <w:r>
              <w:rPr>
                <w:rFonts w:hint="eastAsia" w:ascii="宋体" w:hAnsi="宋体" w:eastAsia="宋体" w:cs="宋体"/>
                <w:bCs/>
                <w:color w:val="auto"/>
                <w:sz w:val="21"/>
                <w:szCs w:val="21"/>
                <w:highlight w:val="none"/>
              </w:rPr>
              <w:t>高分辨率的LCD显示屏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p>
          <w:p>
            <w:pPr>
              <w:keepNext w:val="0"/>
              <w:keepLines w:val="0"/>
              <w:pageBreakBefore w:val="0"/>
              <w:tabs>
                <w:tab w:val="left" w:pos="2835"/>
                <w:tab w:val="left" w:pos="2915"/>
                <w:tab w:val="left" w:pos="3969"/>
                <w:tab w:val="left" w:pos="4536"/>
                <w:tab w:val="left" w:pos="4570"/>
                <w:tab w:val="left" w:pos="4820"/>
                <w:tab w:val="left" w:pos="5103"/>
                <w:tab w:val="left" w:pos="5387"/>
                <w:tab w:val="left" w:pos="5670"/>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bCs/>
                <w:color w:val="auto"/>
                <w:sz w:val="21"/>
                <w:szCs w:val="21"/>
                <w:highlight w:val="none"/>
              </w:rPr>
              <w:t>监护屏尺寸：</w:t>
            </w:r>
            <w:r>
              <w:rPr>
                <w:rFonts w:hint="eastAsia" w:ascii="宋体" w:hAnsi="宋体" w:eastAsia="宋体" w:cs="宋体"/>
                <w:color w:val="auto"/>
                <w:sz w:val="21"/>
                <w:szCs w:val="21"/>
                <w:highlight w:val="none"/>
              </w:rPr>
              <w:t xml:space="preserve">115 x 86 mm (对角线 144 mm, 5.7") </w:t>
            </w:r>
            <w:r>
              <w:rPr>
                <w:rFonts w:hint="eastAsia" w:ascii="宋体" w:hAnsi="宋体" w:eastAsia="宋体" w:cs="宋体"/>
                <w:color w:val="auto"/>
                <w:sz w:val="21"/>
                <w:szCs w:val="21"/>
                <w:highlight w:val="none"/>
                <w:lang w:eastAsia="zh-CN"/>
              </w:rPr>
              <w:t>；</w:t>
            </w:r>
          </w:p>
          <w:p>
            <w:pPr>
              <w:keepNext w:val="0"/>
              <w:keepLines w:val="0"/>
              <w:pageBreakBefore w:val="0"/>
              <w:tabs>
                <w:tab w:val="left" w:pos="2835"/>
                <w:tab w:val="left" w:pos="2915"/>
                <w:tab w:val="left" w:pos="4475"/>
                <w:tab w:val="left" w:pos="4600"/>
                <w:tab w:val="left" w:pos="4630"/>
                <w:tab w:val="left" w:pos="4820"/>
                <w:tab w:val="left" w:pos="5103"/>
                <w:tab w:val="left" w:pos="5387"/>
                <w:tab w:val="left" w:pos="5670"/>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bCs/>
                <w:color w:val="auto"/>
                <w:sz w:val="21"/>
                <w:szCs w:val="21"/>
                <w:highlight w:val="none"/>
              </w:rPr>
              <w:t>分辨率：</w:t>
            </w:r>
            <w:r>
              <w:rPr>
                <w:rFonts w:hint="eastAsia" w:ascii="宋体" w:hAnsi="宋体" w:eastAsia="宋体" w:cs="宋体"/>
                <w:color w:val="auto"/>
                <w:sz w:val="21"/>
                <w:szCs w:val="21"/>
                <w:highlight w:val="none"/>
              </w:rPr>
              <w:t>320 x 240</w:t>
            </w:r>
            <w:r>
              <w:rPr>
                <w:rFonts w:hint="eastAsia" w:ascii="宋体" w:hAnsi="宋体" w:eastAsia="宋体" w:cs="宋体"/>
                <w:bCs/>
                <w:color w:val="auto"/>
                <w:sz w:val="21"/>
                <w:szCs w:val="21"/>
                <w:highlight w:val="none"/>
              </w:rPr>
              <w:t xml:space="preserve">点阵 </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点阵大小</w:t>
            </w:r>
            <w:r>
              <w:rPr>
                <w:rFonts w:hint="eastAsia" w:ascii="宋体" w:hAnsi="宋体" w:eastAsia="宋体" w:cs="宋体"/>
                <w:color w:val="auto"/>
                <w:sz w:val="21"/>
                <w:szCs w:val="21"/>
                <w:highlight w:val="none"/>
              </w:rPr>
              <w:t>0.36 x 0.36 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numPr>
                <w:ilvl w:val="0"/>
                <w:numId w:val="0"/>
              </w:numPr>
              <w:tabs>
                <w:tab w:val="left" w:pos="2835"/>
                <w:tab w:val="left" w:pos="3119"/>
                <w:tab w:val="left" w:pos="3402"/>
                <w:tab w:val="left" w:pos="3686"/>
                <w:tab w:val="left" w:pos="3969"/>
                <w:tab w:val="left" w:pos="4253"/>
                <w:tab w:val="left" w:pos="5015"/>
                <w:tab w:val="left" w:pos="5103"/>
                <w:tab w:val="left" w:pos="5387"/>
                <w:tab w:val="left" w:pos="5670"/>
              </w:tabs>
              <w:kinsoku/>
              <w:wordWrap/>
              <w:overflowPunct/>
              <w:topLinePunct w:val="0"/>
              <w:bidi w:val="0"/>
              <w:adjustRightInd/>
              <w:snapToGrid/>
              <w:spacing w:beforeAutospacing="0" w:afterAutospacing="0" w:line="360" w:lineRule="exact"/>
              <w:ind w:left="-420" w:leftChars="0" w:right="0" w:rightChars="0" w:firstLine="420" w:firstLineChars="200"/>
              <w:outlineLvl w:val="9"/>
              <w:rPr>
                <w:rFonts w:hint="eastAsia" w:ascii="宋体" w:hAnsi="宋体" w:eastAsia="宋体" w:cs="宋体"/>
                <w:bCs/>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bCs/>
                <w:color w:val="auto"/>
                <w:sz w:val="21"/>
                <w:szCs w:val="21"/>
                <w:highlight w:val="none"/>
              </w:rPr>
              <w:t>心电图显示：双通道心电图曲线</w:t>
            </w:r>
            <w:r>
              <w:rPr>
                <w:rFonts w:hint="eastAsia" w:ascii="宋体" w:hAnsi="宋体" w:eastAsia="宋体" w:cs="宋体"/>
                <w:bCs/>
                <w:color w:val="auto"/>
                <w:sz w:val="21"/>
                <w:szCs w:val="21"/>
                <w:highlight w:val="none"/>
                <w:lang w:eastAsia="zh-CN"/>
              </w:rPr>
              <w:t>；</w:t>
            </w:r>
          </w:p>
          <w:p>
            <w:pPr>
              <w:keepNext w:val="0"/>
              <w:keepLines w:val="0"/>
              <w:pageBreakBefore w:val="0"/>
              <w:tabs>
                <w:tab w:val="left" w:pos="540"/>
                <w:tab w:val="left" w:pos="2825"/>
                <w:tab w:val="left" w:pos="3969"/>
                <w:tab w:val="left" w:pos="4253"/>
                <w:tab w:val="left" w:pos="4536"/>
                <w:tab w:val="left" w:pos="4820"/>
                <w:tab w:val="left" w:pos="5103"/>
                <w:tab w:val="left" w:pos="5387"/>
                <w:tab w:val="left" w:pos="5670"/>
              </w:tabs>
              <w:kinsoku/>
              <w:wordWrap/>
              <w:overflowPunct/>
              <w:topLinePunct w:val="0"/>
              <w:bidi w:val="0"/>
              <w:adjustRightInd/>
              <w:snapToGrid/>
              <w:spacing w:beforeAutospacing="0" w:afterAutospacing="0" w:line="360" w:lineRule="exact"/>
              <w:ind w:left="945" w:leftChars="0" w:right="0" w:hanging="945" w:hangingChars="450"/>
              <w:outlineLvl w:val="9"/>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bCs/>
                <w:color w:val="auto"/>
                <w:sz w:val="21"/>
                <w:szCs w:val="21"/>
                <w:highlight w:val="none"/>
              </w:rPr>
              <w:t>显示内容：</w:t>
            </w:r>
            <w:r>
              <w:rPr>
                <w:rFonts w:hint="eastAsia" w:ascii="宋体" w:hAnsi="宋体" w:eastAsia="宋体" w:cs="宋体"/>
                <w:color w:val="auto"/>
                <w:sz w:val="21"/>
                <w:szCs w:val="21"/>
                <w:highlight w:val="none"/>
              </w:rPr>
              <w:t>心电图、</w:t>
            </w:r>
            <w:r>
              <w:rPr>
                <w:rFonts w:hint="eastAsia" w:ascii="宋体" w:hAnsi="宋体" w:eastAsia="宋体" w:cs="宋体"/>
                <w:bCs/>
                <w:color w:val="auto"/>
                <w:sz w:val="21"/>
                <w:szCs w:val="21"/>
                <w:highlight w:val="none"/>
              </w:rPr>
              <w:t>心率、心率报警范围、除颤次数、病人</w:t>
            </w:r>
          </w:p>
          <w:p>
            <w:pPr>
              <w:keepNext w:val="0"/>
              <w:keepLines w:val="0"/>
              <w:pageBreakBefore w:val="0"/>
              <w:tabs>
                <w:tab w:val="left" w:pos="540"/>
                <w:tab w:val="left" w:pos="2825"/>
                <w:tab w:val="left" w:pos="3969"/>
                <w:tab w:val="left" w:pos="4253"/>
                <w:tab w:val="left" w:pos="4536"/>
                <w:tab w:val="left" w:pos="4820"/>
                <w:tab w:val="left" w:pos="5103"/>
                <w:tab w:val="left" w:pos="5387"/>
                <w:tab w:val="left" w:pos="5670"/>
              </w:tabs>
              <w:kinsoku/>
              <w:wordWrap/>
              <w:overflowPunct/>
              <w:topLinePunct w:val="0"/>
              <w:bidi w:val="0"/>
              <w:adjustRightInd/>
              <w:snapToGrid/>
              <w:spacing w:beforeAutospacing="0" w:afterAutospacing="0" w:line="360" w:lineRule="exact"/>
              <w:ind w:left="945" w:leftChars="0" w:right="0" w:hanging="945" w:hangingChars="450"/>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阻抗、日期、时间、电池能量等</w:t>
            </w:r>
            <w:r>
              <w:rPr>
                <w:rFonts w:hint="eastAsia" w:ascii="宋体" w:hAnsi="宋体" w:eastAsia="宋体" w:cs="宋体"/>
                <w:bCs/>
                <w:color w:val="auto"/>
                <w:sz w:val="21"/>
                <w:szCs w:val="21"/>
                <w:highlight w:val="none"/>
                <w:lang w:eastAsia="zh-CN"/>
              </w:rPr>
              <w:t>；</w:t>
            </w:r>
          </w:p>
          <w:p>
            <w:pPr>
              <w:pStyle w:val="88"/>
              <w:keepNext w:val="0"/>
              <w:keepLines w:val="0"/>
              <w:pageBreakBefore w:val="0"/>
              <w:numPr>
                <w:ilvl w:val="0"/>
                <w:numId w:val="0"/>
              </w:numPr>
              <w:tabs>
                <w:tab w:val="left" w:pos="4820"/>
                <w:tab w:val="right" w:pos="5954"/>
                <w:tab w:val="left" w:pos="6663"/>
                <w:tab w:val="right" w:pos="7371"/>
                <w:tab w:val="clear" w:pos="4253"/>
              </w:tabs>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9.6</w:t>
            </w:r>
            <w:r>
              <w:rPr>
                <w:rFonts w:hint="eastAsia" w:ascii="宋体" w:hAnsi="宋体" w:eastAsia="宋体" w:cs="宋体"/>
                <w:color w:val="auto"/>
                <w:sz w:val="21"/>
                <w:szCs w:val="21"/>
                <w:highlight w:val="none"/>
              </w:rPr>
              <w:t>中文语音提示和中文菜单显示</w:t>
            </w:r>
            <w:r>
              <w:rPr>
                <w:rFonts w:hint="eastAsia" w:ascii="宋体" w:hAnsi="宋体" w:eastAsia="宋体" w:cs="宋体"/>
                <w:color w:val="auto"/>
                <w:sz w:val="21"/>
                <w:szCs w:val="21"/>
                <w:highlight w:val="none"/>
                <w:lang w:eastAsia="zh-CN"/>
              </w:rPr>
              <w:t>。</w:t>
            </w:r>
          </w:p>
          <w:p>
            <w:pPr>
              <w:pStyle w:val="89"/>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打印机：</w:t>
            </w:r>
          </w:p>
          <w:p>
            <w:pPr>
              <w:keepNext w:val="0"/>
              <w:keepLines w:val="0"/>
              <w:pageBreakBefore w:val="0"/>
              <w:tabs>
                <w:tab w:val="left" w:pos="2835"/>
                <w:tab w:val="left" w:pos="3119"/>
                <w:tab w:val="left" w:pos="3402"/>
                <w:tab w:val="left" w:pos="3686"/>
                <w:tab w:val="left" w:pos="3969"/>
                <w:tab w:val="left" w:pos="4536"/>
                <w:tab w:val="left" w:pos="4820"/>
                <w:tab w:val="left" w:pos="5103"/>
                <w:tab w:val="left" w:pos="5387"/>
                <w:tab w:val="left" w:pos="5670"/>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10.1</w:t>
            </w:r>
            <w:r>
              <w:rPr>
                <w:rFonts w:hint="eastAsia" w:ascii="宋体" w:hAnsi="宋体" w:eastAsia="宋体" w:cs="宋体"/>
                <w:color w:val="auto"/>
                <w:sz w:val="21"/>
                <w:szCs w:val="21"/>
                <w:highlight w:val="none"/>
              </w:rPr>
              <w:t>类型：热敏</w:t>
            </w:r>
            <w:r>
              <w:rPr>
                <w:rFonts w:hint="eastAsia" w:ascii="宋体" w:hAnsi="宋体" w:eastAsia="宋体" w:cs="宋体"/>
                <w:color w:val="auto"/>
                <w:sz w:val="21"/>
                <w:szCs w:val="21"/>
                <w:highlight w:val="none"/>
                <w:lang w:eastAsia="zh-CN"/>
              </w:rPr>
              <w:t>；</w:t>
            </w:r>
          </w:p>
          <w:p>
            <w:pPr>
              <w:keepNext w:val="0"/>
              <w:keepLines w:val="0"/>
              <w:pageBreakBefore w:val="0"/>
              <w:tabs>
                <w:tab w:val="left" w:pos="2835"/>
                <w:tab w:val="left" w:pos="3119"/>
                <w:tab w:val="left" w:pos="3402"/>
                <w:tab w:val="left" w:pos="3686"/>
                <w:tab w:val="left" w:pos="3969"/>
                <w:tab w:val="left" w:pos="4536"/>
                <w:tab w:val="left" w:pos="4820"/>
                <w:tab w:val="left" w:pos="5103"/>
                <w:tab w:val="left" w:pos="5387"/>
                <w:tab w:val="left" w:pos="5670"/>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分辨率：200dbi</w:t>
            </w:r>
            <w:r>
              <w:rPr>
                <w:rFonts w:hint="eastAsia" w:ascii="宋体" w:hAnsi="宋体" w:eastAsia="宋体" w:cs="宋体"/>
                <w:color w:val="auto"/>
                <w:sz w:val="21"/>
                <w:szCs w:val="21"/>
                <w:highlight w:val="none"/>
                <w:lang w:eastAsia="zh-CN"/>
              </w:rPr>
              <w:t>；</w:t>
            </w:r>
          </w:p>
          <w:p>
            <w:pPr>
              <w:keepNext w:val="0"/>
              <w:keepLines w:val="0"/>
              <w:pageBreakBefore w:val="0"/>
              <w:tabs>
                <w:tab w:val="left" w:pos="2835"/>
                <w:tab w:val="left" w:pos="3119"/>
                <w:tab w:val="left" w:pos="3402"/>
                <w:tab w:val="left" w:pos="3686"/>
                <w:tab w:val="left" w:pos="3969"/>
                <w:tab w:val="left" w:pos="4536"/>
                <w:tab w:val="left" w:pos="4820"/>
                <w:tab w:val="left" w:pos="5103"/>
                <w:tab w:val="left" w:pos="5387"/>
                <w:tab w:val="left" w:pos="5670"/>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纸宽：58毫米</w:t>
            </w:r>
            <w:r>
              <w:rPr>
                <w:rFonts w:hint="eastAsia" w:ascii="宋体" w:hAnsi="宋体" w:eastAsia="宋体" w:cs="宋体"/>
                <w:color w:val="auto"/>
                <w:sz w:val="21"/>
                <w:szCs w:val="21"/>
                <w:highlight w:val="none"/>
                <w:lang w:eastAsia="zh-CN"/>
              </w:rPr>
              <w:t>；</w:t>
            </w:r>
          </w:p>
          <w:p>
            <w:pPr>
              <w:pStyle w:val="88"/>
              <w:keepNext w:val="0"/>
              <w:keepLines w:val="0"/>
              <w:pageBreakBefore w:val="0"/>
              <w:numPr>
                <w:ilvl w:val="0"/>
                <w:numId w:val="0"/>
              </w:numPr>
              <w:tabs>
                <w:tab w:val="left" w:pos="4820"/>
                <w:tab w:val="right" w:pos="5954"/>
                <w:tab w:val="left" w:pos="6663"/>
                <w:tab w:val="right" w:pos="7371"/>
                <w:tab w:val="clear" w:pos="4253"/>
              </w:tabs>
              <w:kinsoku/>
              <w:wordWrap/>
              <w:overflowPunct/>
              <w:topLinePunct w:val="0"/>
              <w:bidi w:val="0"/>
              <w:adjustRightInd/>
              <w:snapToGrid/>
              <w:spacing w:beforeAutospacing="0" w:afterAutospacing="0" w:line="360" w:lineRule="exact"/>
              <w:ind w:left="-420" w:leftChars="0" w:right="0" w:rightChars="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打印通道：三通道打印</w:t>
            </w:r>
            <w:r>
              <w:rPr>
                <w:rFonts w:hint="eastAsia" w:ascii="宋体" w:hAnsi="宋体" w:eastAsia="宋体" w:cs="宋体"/>
                <w:color w:val="auto"/>
                <w:sz w:val="21"/>
                <w:szCs w:val="21"/>
                <w:highlight w:val="none"/>
                <w:lang w:eastAsia="zh-CN"/>
              </w:rPr>
              <w:t>；</w:t>
            </w:r>
          </w:p>
          <w:p>
            <w:pPr>
              <w:keepNext w:val="0"/>
              <w:keepLines w:val="0"/>
              <w:pageBreakBefore w:val="0"/>
              <w:tabs>
                <w:tab w:val="left" w:pos="2835"/>
                <w:tab w:val="left" w:pos="3119"/>
                <w:tab w:val="left" w:pos="3402"/>
                <w:tab w:val="left" w:pos="3686"/>
                <w:tab w:val="left" w:pos="3969"/>
                <w:tab w:val="left" w:pos="4536"/>
                <w:tab w:val="left" w:pos="4820"/>
                <w:tab w:val="left" w:pos="5103"/>
                <w:tab w:val="left" w:pos="5387"/>
                <w:tab w:val="left" w:pos="5670"/>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打印宽度：50毫米</w:t>
            </w:r>
            <w:r>
              <w:rPr>
                <w:rFonts w:hint="eastAsia" w:ascii="宋体" w:hAnsi="宋体" w:eastAsia="宋体" w:cs="宋体"/>
                <w:color w:val="auto"/>
                <w:sz w:val="21"/>
                <w:szCs w:val="21"/>
                <w:highlight w:val="none"/>
                <w:lang w:eastAsia="zh-CN"/>
              </w:rPr>
              <w:t>；</w:t>
            </w:r>
          </w:p>
          <w:p>
            <w:pPr>
              <w:keepNext w:val="0"/>
              <w:keepLines w:val="0"/>
              <w:pageBreakBefore w:val="0"/>
              <w:tabs>
                <w:tab w:val="left" w:pos="2835"/>
                <w:tab w:val="left" w:pos="3119"/>
                <w:tab w:val="left" w:pos="3402"/>
                <w:tab w:val="left" w:pos="3686"/>
                <w:tab w:val="left" w:pos="3969"/>
                <w:tab w:val="left" w:pos="4536"/>
                <w:tab w:val="left" w:pos="4820"/>
                <w:tab w:val="left" w:pos="5103"/>
                <w:tab w:val="left" w:pos="5387"/>
                <w:tab w:val="left" w:pos="5670"/>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进纸速度：25/50毫米/秒</w:t>
            </w:r>
            <w:r>
              <w:rPr>
                <w:rFonts w:hint="eastAsia" w:ascii="宋体" w:hAnsi="宋体" w:eastAsia="宋体" w:cs="宋体"/>
                <w:color w:val="auto"/>
                <w:sz w:val="21"/>
                <w:szCs w:val="21"/>
                <w:highlight w:val="none"/>
                <w:lang w:eastAsia="zh-CN"/>
              </w:rPr>
              <w:t>；</w:t>
            </w:r>
          </w:p>
          <w:p>
            <w:pPr>
              <w:pStyle w:val="88"/>
              <w:keepNext w:val="0"/>
              <w:keepLines w:val="0"/>
              <w:pageBreakBefore w:val="0"/>
              <w:numPr>
                <w:ilvl w:val="0"/>
                <w:numId w:val="0"/>
              </w:numPr>
              <w:tabs>
                <w:tab w:val="left" w:pos="4820"/>
                <w:tab w:val="right" w:pos="5954"/>
                <w:tab w:val="left" w:pos="6663"/>
                <w:tab w:val="right" w:pos="7371"/>
                <w:tab w:val="clear" w:pos="4253"/>
              </w:tabs>
              <w:kinsoku/>
              <w:wordWrap/>
              <w:overflowPunct/>
              <w:topLinePunct w:val="0"/>
              <w:bidi w:val="0"/>
              <w:adjustRightInd/>
              <w:snapToGrid/>
              <w:spacing w:beforeAutospacing="0" w:afterAutospacing="0" w:line="360" w:lineRule="exact"/>
              <w:ind w:left="-420" w:leftChars="0" w:right="0" w:righ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打印模式：自动，在线，记忆打印</w:t>
            </w:r>
            <w:r>
              <w:rPr>
                <w:rFonts w:hint="eastAsia" w:ascii="宋体" w:hAnsi="宋体" w:eastAsia="宋体" w:cs="宋体"/>
                <w:color w:val="auto"/>
                <w:sz w:val="21"/>
                <w:szCs w:val="21"/>
                <w:highlight w:val="none"/>
                <w:lang w:eastAsia="zh-CN"/>
              </w:rPr>
              <w:t>。</w:t>
            </w:r>
          </w:p>
          <w:p>
            <w:pPr>
              <w:pStyle w:val="89"/>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b w:val="0"/>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color w:val="auto"/>
                <w:sz w:val="21"/>
                <w:szCs w:val="21"/>
                <w:highlight w:val="none"/>
              </w:rPr>
              <w:t>能量供应</w:t>
            </w:r>
            <w:r>
              <w:rPr>
                <w:rFonts w:hint="eastAsia" w:ascii="宋体" w:hAnsi="宋体" w:eastAsia="宋体" w:cs="宋体"/>
                <w:b w:val="0"/>
                <w:color w:val="auto"/>
                <w:sz w:val="21"/>
                <w:szCs w:val="21"/>
                <w:highlight w:val="none"/>
                <w:lang w:eastAsia="zh-CN"/>
              </w:rPr>
              <w:t>：</w:t>
            </w:r>
          </w:p>
          <w:p>
            <w:pPr>
              <w:pStyle w:val="88"/>
              <w:keepNext w:val="0"/>
              <w:keepLines w:val="0"/>
              <w:pageBreakBefore w:val="0"/>
              <w:numPr>
                <w:ilvl w:val="0"/>
                <w:numId w:val="0"/>
              </w:numPr>
              <w:tabs>
                <w:tab w:val="left" w:pos="4820"/>
                <w:tab w:val="right" w:pos="5954"/>
                <w:tab w:val="left" w:pos="6663"/>
                <w:tab w:val="right" w:pos="7371"/>
                <w:tab w:val="clear" w:pos="4253"/>
              </w:tabs>
              <w:kinsoku/>
              <w:wordWrap/>
              <w:overflowPunct/>
              <w:topLinePunct w:val="0"/>
              <w:bidi w:val="0"/>
              <w:adjustRightInd/>
              <w:snapToGrid/>
              <w:spacing w:beforeAutospacing="0" w:afterAutospacing="0" w:line="360" w:lineRule="exact"/>
              <w:ind w:left="-420" w:leftChars="0" w:right="0" w:righ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Lithium蓄电池：可充电锂电池，13.2 V /2.3 Ah （无记</w:t>
            </w:r>
          </w:p>
          <w:p>
            <w:pPr>
              <w:pStyle w:val="88"/>
              <w:keepNext w:val="0"/>
              <w:keepLines w:val="0"/>
              <w:pageBreakBefore w:val="0"/>
              <w:numPr>
                <w:ilvl w:val="0"/>
                <w:numId w:val="0"/>
              </w:numPr>
              <w:tabs>
                <w:tab w:val="left" w:pos="4820"/>
                <w:tab w:val="right" w:pos="5954"/>
                <w:tab w:val="left" w:pos="6663"/>
                <w:tab w:val="right" w:pos="7371"/>
                <w:tab w:val="clear" w:pos="4253"/>
              </w:tabs>
              <w:kinsoku/>
              <w:wordWrap/>
              <w:overflowPunct/>
              <w:topLinePunct w:val="0"/>
              <w:bidi w:val="0"/>
              <w:adjustRightInd/>
              <w:snapToGrid/>
              <w:spacing w:beforeAutospacing="0" w:afterAutospacing="0" w:line="360" w:lineRule="exact"/>
              <w:ind w:left="-420" w:leftChars="0" w:right="0" w:rightChars="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忆效应）</w:t>
            </w:r>
            <w:r>
              <w:rPr>
                <w:rFonts w:hint="eastAsia" w:ascii="宋体" w:hAnsi="宋体" w:eastAsia="宋体" w:cs="宋体"/>
                <w:color w:val="auto"/>
                <w:sz w:val="21"/>
                <w:szCs w:val="21"/>
                <w:highlight w:val="none"/>
                <w:lang w:eastAsia="zh-CN"/>
              </w:rPr>
              <w:t>；</w:t>
            </w:r>
          </w:p>
          <w:p>
            <w:pPr>
              <w:pStyle w:val="88"/>
              <w:keepNext w:val="0"/>
              <w:keepLines w:val="0"/>
              <w:pageBreakBefore w:val="0"/>
              <w:numPr>
                <w:ilvl w:val="0"/>
                <w:numId w:val="0"/>
              </w:numPr>
              <w:tabs>
                <w:tab w:val="left" w:pos="4820"/>
                <w:tab w:val="right" w:pos="5954"/>
                <w:tab w:val="left" w:pos="6663"/>
                <w:tab w:val="right" w:pos="7371"/>
                <w:tab w:val="clear" w:pos="4253"/>
              </w:tabs>
              <w:kinsoku/>
              <w:wordWrap/>
              <w:overflowPunct/>
              <w:topLinePunct w:val="0"/>
              <w:bidi w:val="0"/>
              <w:adjustRightInd/>
              <w:snapToGrid/>
              <w:spacing w:beforeAutospacing="0" w:afterAutospacing="0" w:line="360" w:lineRule="exact"/>
              <w:ind w:left="-420" w:leftChars="0" w:right="0" w:righ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11.2</w:t>
            </w:r>
            <w:r>
              <w:rPr>
                <w:rFonts w:hint="eastAsia" w:ascii="宋体" w:hAnsi="宋体" w:eastAsia="宋体" w:cs="宋体"/>
                <w:color w:val="auto"/>
                <w:sz w:val="21"/>
                <w:szCs w:val="21"/>
                <w:highlight w:val="none"/>
              </w:rPr>
              <w:t>电池有效期：4年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pStyle w:val="88"/>
              <w:keepNext w:val="0"/>
              <w:keepLines w:val="0"/>
              <w:pageBreakBefore w:val="0"/>
              <w:numPr>
                <w:ilvl w:val="0"/>
                <w:numId w:val="0"/>
              </w:numPr>
              <w:tabs>
                <w:tab w:val="left" w:pos="4820"/>
                <w:tab w:val="right" w:pos="5954"/>
                <w:tab w:val="left" w:pos="6663"/>
                <w:tab w:val="right" w:pos="7371"/>
                <w:tab w:val="clear" w:pos="4253"/>
              </w:tabs>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出厂睡眠期：1年</w:t>
            </w:r>
            <w:r>
              <w:rPr>
                <w:rFonts w:hint="eastAsia" w:ascii="宋体" w:hAnsi="宋体" w:eastAsia="宋体" w:cs="宋体"/>
                <w:color w:val="auto"/>
                <w:sz w:val="21"/>
                <w:szCs w:val="21"/>
                <w:highlight w:val="none"/>
                <w:lang w:eastAsia="zh-CN"/>
              </w:rPr>
              <w:t>；</w:t>
            </w:r>
          </w:p>
          <w:p>
            <w:pPr>
              <w:pStyle w:val="88"/>
              <w:keepNext w:val="0"/>
              <w:keepLines w:val="0"/>
              <w:pageBreakBefore w:val="0"/>
              <w:numPr>
                <w:ilvl w:val="0"/>
                <w:numId w:val="0"/>
              </w:numPr>
              <w:tabs>
                <w:tab w:val="left" w:pos="4820"/>
                <w:tab w:val="right" w:pos="5954"/>
                <w:tab w:val="left" w:pos="6663"/>
                <w:tab w:val="right" w:pos="7371"/>
                <w:tab w:val="clear" w:pos="4253"/>
              </w:tabs>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放电次数：200焦耳150次，监护5小时</w:t>
            </w:r>
            <w:r>
              <w:rPr>
                <w:rFonts w:hint="eastAsia" w:ascii="宋体" w:hAnsi="宋体" w:eastAsia="宋体" w:cs="宋体"/>
                <w:color w:val="auto"/>
                <w:sz w:val="21"/>
                <w:szCs w:val="21"/>
                <w:highlight w:val="none"/>
                <w:lang w:eastAsia="zh-CN"/>
              </w:rPr>
              <w:t>；</w:t>
            </w:r>
          </w:p>
          <w:p>
            <w:pPr>
              <w:keepNext w:val="0"/>
              <w:keepLines w:val="0"/>
              <w:pageBreakBefore w:val="0"/>
              <w:tabs>
                <w:tab w:val="left" w:pos="2935"/>
                <w:tab w:val="left" w:pos="3119"/>
                <w:tab w:val="left" w:pos="3402"/>
                <w:tab w:val="left" w:pos="3686"/>
                <w:tab w:val="left" w:pos="3969"/>
                <w:tab w:val="left" w:pos="4536"/>
                <w:tab w:val="left" w:pos="4820"/>
                <w:tab w:val="left" w:pos="5103"/>
                <w:tab w:val="left" w:pos="5387"/>
                <w:tab w:val="left" w:pos="5670"/>
              </w:tabs>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val="en-US" w:eastAsia="zh-CN"/>
              </w:rPr>
              <w:t>5</w:t>
            </w:r>
            <w:r>
              <w:rPr>
                <w:rFonts w:hint="eastAsia" w:ascii="宋体" w:hAnsi="宋体" w:eastAsia="宋体" w:cs="宋体"/>
                <w:bCs/>
                <w:color w:val="auto"/>
                <w:sz w:val="21"/>
                <w:szCs w:val="21"/>
                <w:highlight w:val="none"/>
              </w:rPr>
              <w:t>内置电源变压器：</w:t>
            </w:r>
            <w:r>
              <w:rPr>
                <w:rFonts w:hint="eastAsia" w:ascii="宋体" w:hAnsi="宋体" w:eastAsia="宋体" w:cs="宋体"/>
                <w:color w:val="auto"/>
                <w:sz w:val="21"/>
                <w:szCs w:val="21"/>
                <w:highlight w:val="none"/>
              </w:rPr>
              <w:t xml:space="preserve"> 100 – 240V， 50 / 60 Hz</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pStyle w:val="88"/>
              <w:keepNext w:val="0"/>
              <w:keepLines w:val="0"/>
              <w:pageBreakBefore w:val="0"/>
              <w:numPr>
                <w:ilvl w:val="0"/>
                <w:numId w:val="0"/>
              </w:numPr>
              <w:tabs>
                <w:tab w:val="left" w:pos="4820"/>
                <w:tab w:val="right" w:pos="5954"/>
                <w:tab w:val="left" w:pos="6663"/>
                <w:tab w:val="right" w:pos="7371"/>
                <w:tab w:val="clear" w:pos="4253"/>
              </w:tabs>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可交直流两用</w:t>
            </w:r>
            <w:r>
              <w:rPr>
                <w:rFonts w:hint="eastAsia" w:ascii="宋体" w:hAnsi="宋体" w:eastAsia="宋体" w:cs="宋体"/>
                <w:color w:val="auto"/>
                <w:sz w:val="21"/>
                <w:szCs w:val="21"/>
                <w:highlight w:val="none"/>
                <w:lang w:eastAsia="zh-CN"/>
              </w:rPr>
              <w:t>。</w:t>
            </w:r>
          </w:p>
          <w:p>
            <w:pPr>
              <w:pStyle w:val="89"/>
              <w:keepNext w:val="0"/>
              <w:keepLines w:val="0"/>
              <w:pageBreakBefore w:val="0"/>
              <w:numPr>
                <w:ilvl w:val="0"/>
                <w:numId w:val="5"/>
              </w:numPr>
              <w:kinsoku/>
              <w:wordWrap/>
              <w:overflowPunct/>
              <w:topLinePunct w:val="0"/>
              <w:bidi w:val="0"/>
              <w:adjustRightInd/>
              <w:snapToGrid/>
              <w:spacing w:beforeAutospacing="0" w:afterAutospacing="0" w:line="360" w:lineRule="exact"/>
              <w:ind w:left="0" w:leftChars="0" w:right="0"/>
              <w:jc w:val="left"/>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数据管理</w:t>
            </w:r>
            <w:r>
              <w:rPr>
                <w:rFonts w:hint="eastAsia" w:ascii="宋体" w:hAnsi="宋体" w:eastAsia="宋体" w:cs="宋体"/>
                <w:b w:val="0"/>
                <w:color w:val="auto"/>
                <w:sz w:val="21"/>
                <w:szCs w:val="21"/>
                <w:highlight w:val="none"/>
                <w:lang w:val="en-US" w:eastAsia="zh-CN"/>
              </w:rPr>
              <w:t>:</w:t>
            </w:r>
          </w:p>
          <w:p>
            <w:pPr>
              <w:pStyle w:val="89"/>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12.1</w:t>
            </w:r>
            <w:r>
              <w:rPr>
                <w:rFonts w:hint="eastAsia" w:ascii="宋体" w:hAnsi="宋体" w:eastAsia="宋体" w:cs="宋体"/>
                <w:b w:val="0"/>
                <w:bCs w:val="0"/>
                <w:color w:val="auto"/>
                <w:sz w:val="21"/>
                <w:szCs w:val="21"/>
                <w:highlight w:val="none"/>
              </w:rPr>
              <w:t>通用可取出存储卡：至少512M 标配(至少22小时带语音录音）</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 xml:space="preserve"> </w:t>
            </w:r>
          </w:p>
          <w:p>
            <w:pPr>
              <w:pStyle w:val="88"/>
              <w:keepNext w:val="0"/>
              <w:keepLines w:val="0"/>
              <w:pageBreakBefore w:val="0"/>
              <w:kinsoku/>
              <w:wordWrap/>
              <w:overflowPunct/>
              <w:topLinePunct w:val="0"/>
              <w:bidi w:val="0"/>
              <w:adjustRightInd/>
              <w:snapToGrid/>
              <w:spacing w:beforeAutospacing="0" w:afterAutospacing="0" w:line="360" w:lineRule="exact"/>
              <w:ind w:right="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12.2</w:t>
            </w:r>
            <w:r>
              <w:rPr>
                <w:rFonts w:hint="eastAsia" w:ascii="宋体" w:hAnsi="宋体" w:eastAsia="宋体" w:cs="宋体"/>
                <w:color w:val="auto"/>
                <w:sz w:val="21"/>
                <w:szCs w:val="21"/>
                <w:highlight w:val="none"/>
              </w:rPr>
              <w:t>语音录音功能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心电图浏览器读取软件（标配）</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心电监护仪</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 产品要求：</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1、病人监护仪,便携一体式设计</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2、采用10.4寸LED液晶屏设计，具有超薄外观,隐藏式提手设计，方便移动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3、监护参数具有声、光双重三级报警，红、黄、蓝三色报警灯提示</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4、标配内置高容量锂电池，连续工作3小时以上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、具备报警集中设置和音量调节快捷键功能</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、具有掉电存储功能，</w:t>
            </w:r>
            <w:r>
              <w:rPr>
                <w:rFonts w:hint="eastAsia" w:ascii="宋体" w:hAnsi="宋体" w:eastAsia="宋体" w:cs="宋体"/>
                <w:color w:val="auto"/>
                <w:kern w:val="0"/>
                <w:sz w:val="21"/>
                <w:szCs w:val="21"/>
                <w:highlight w:val="none"/>
              </w:rPr>
              <w:t>全息心电波形存储回放时间≥120分钟</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、具备168小时趋势图表回顾，1500组血压数据查询，100条报警数据回放</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630" w:leftChars="0" w:right="0" w:hanging="630" w:hangingChars="3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、具备趋势共存界面、呼吸氧合图界面、大字体显示界面、</w:t>
            </w:r>
          </w:p>
          <w:p>
            <w:pPr>
              <w:keepNext w:val="0"/>
              <w:keepLines w:val="0"/>
              <w:pageBreakBefore w:val="0"/>
              <w:kinsoku/>
              <w:wordWrap/>
              <w:overflowPunct/>
              <w:topLinePunct w:val="0"/>
              <w:bidi w:val="0"/>
              <w:adjustRightInd/>
              <w:snapToGrid/>
              <w:spacing w:beforeAutospacing="0" w:afterAutospacing="0" w:line="360" w:lineRule="exact"/>
              <w:ind w:left="630" w:leftChars="0" w:right="0" w:hanging="630" w:hanging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标准显示界面、全屏 7 导等多种显示界面，并支持一键快速切</w:t>
            </w:r>
          </w:p>
          <w:p>
            <w:pPr>
              <w:keepNext w:val="0"/>
              <w:keepLines w:val="0"/>
              <w:pageBreakBefore w:val="0"/>
              <w:kinsoku/>
              <w:wordWrap/>
              <w:overflowPunct/>
              <w:topLinePunct w:val="0"/>
              <w:bidi w:val="0"/>
              <w:adjustRightInd/>
              <w:snapToGrid/>
              <w:spacing w:beforeAutospacing="0" w:afterAutospacing="0" w:line="360" w:lineRule="exact"/>
              <w:ind w:left="630" w:leftChars="0" w:right="0" w:hanging="630" w:hangingChars="3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换功能</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、快捷设置菜单，全中文操作系统</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、具有屏幕亮度调节功能</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、可选配112mm热敏打印机，可打印全息波形，并可具有热拔插功能。</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二、技术指标：</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标准配置：心电（ECG），呼吸（Resp），无创血压（NIBP），血氧饱和度（SpO2），脉搏（PR）和体温（Temp）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1、心电监测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支持3/5导心电测量，提供监护，诊断，手术模式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心率测量范围：成人15~300bpm，小儿/新生儿 15~350bpm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1.3具备智能导联脱落监测功能，电极脱离提示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 导联增益: ×0.25,×0.5,×1,×2,×4,Auto</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2、呼吸监测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 测量方法：阻抗呼吸法</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2.2</w:t>
            </w:r>
            <w:r>
              <w:rPr>
                <w:rFonts w:hint="eastAsia" w:ascii="宋体" w:hAnsi="宋体" w:eastAsia="宋体" w:cs="宋体"/>
                <w:color w:val="auto"/>
                <w:kern w:val="0"/>
                <w:sz w:val="21"/>
                <w:szCs w:val="21"/>
                <w:highlight w:val="none"/>
              </w:rPr>
              <w:t>呼吸测量模式：RA-LA/RA-LL/LA-RL/LL-RL四种可选择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3、血氧监测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hanging="5"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3.1血氧算法模块可显示血氧灌注指数，有效反映血氧灌注情况，具有的抗干扰和弱灌注技术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3.2 血氧测量范围：0%～100%</w:t>
            </w:r>
            <w:r>
              <w:rPr>
                <w:rFonts w:hint="eastAsia" w:ascii="宋体" w:hAnsi="宋体" w:cs="宋体"/>
                <w:color w:val="auto"/>
                <w:kern w:val="0"/>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4、无创血压监测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测量方法：采用连续振荡法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操作模式：手动、自动、连续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测量参数：收缩压、舒张压、平均压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 NIBP可选择初始充气压力，提升测量的准确性和患者舒适性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提供NIBP测量列表同屏显示功能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4.6</w:t>
            </w:r>
            <w:r>
              <w:rPr>
                <w:rFonts w:hint="eastAsia" w:ascii="宋体" w:hAnsi="宋体" w:eastAsia="宋体" w:cs="宋体"/>
                <w:color w:val="auto"/>
                <w:kern w:val="0"/>
                <w:sz w:val="21"/>
                <w:szCs w:val="21"/>
                <w:highlight w:val="none"/>
              </w:rPr>
              <w:t>自动血压测量时间间隔：1-480分钟可选</w:t>
            </w:r>
            <w:r>
              <w:rPr>
                <w:rFonts w:hint="eastAsia" w:ascii="宋体" w:hAnsi="宋体" w:cs="宋体"/>
                <w:color w:val="auto"/>
                <w:kern w:val="0"/>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5、体温监测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测量方法：热敏电阻法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支持两通道体温监测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支持两通道体温差值的计算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十二</w:t>
            </w:r>
            <w:r>
              <w:rPr>
                <w:rFonts w:hint="eastAsia" w:ascii="宋体" w:hAnsi="宋体" w:eastAsia="宋体" w:cs="宋体"/>
                <w:color w:val="auto"/>
                <w:kern w:val="0"/>
                <w:sz w:val="21"/>
                <w:szCs w:val="21"/>
                <w:highlight w:val="none"/>
              </w:rPr>
              <w:t>导联心电图机</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一、主要技术指标及基本参数：</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1、导联：标准12导联，12导联同步采集；</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2、配7英寸彩色液晶屏，同步显示、记录12导心电波形；</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3、具有手动、自动、存储、节律四种工作模式，有快速体检功能，适合各种工作要求；</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4、有便携式提手，有自动分析报告功能，中文菜单；</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5、全数字字母键盘操作，支持拼音和五笔中文输入，能快速输入患者信息；</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 具有强抗干扰能力，精确起搏脉冲识别；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7、250个病例存储，SD卡可扩展更多存储；</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8、具有回顾打印功能，可以即时回顾前10秒波形并打印；</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9、内置可充电锂电池, 可快速充电，充满电能连续记录200份心电图以上；</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10、高分辨热敏打印(支持210mm*30卷纸或210*140mm折叠纸)；</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11、可设置心电图自动记录时间5秒-12.5秒，方便调节波形图报告长度；</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12、具有冻结功能，可以冻结前后12秒心电波形并回放；</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13、自动检测并触发打印心律失常心电报告；</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14、可支持条码扫描快速录入患者信息（可选购）；</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15、滤波器：自适应漂移滤波器，交流滤波50Hz/60Hz，肌电滤波器25Hz / 45Hz；</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16、可设置5-60分钟无操作指示自动关机（在使用直流的情况下）；</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17、输入电路：浮地输入方式，具备抗除颤效应防护电路；</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18、输入阻抗：≥2.5MΩ（10Hz）；</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19、频率响应：0.05-160Hz（-3db）；</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20、输入回路电流：≤0.1μA；</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21、噪声电平：＜30μVp-p；</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22、耐极化电压：≥±620mV；</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23、共模抑制比：≥120dB（加滤波器）；</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24、时间常数：≥3.2s；</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25、患者漏电流：＜10μA；</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26、灵 敏 阈：≤20μVp-p；</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27、道间干扰：≤0.5mm；</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28、采 样 率：32000Hz（同步采集）；</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29、定标电压：1mV±5％；</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30、灵敏度选择：自动，2.5，5，10，20，40 (mm/mV)；</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31、走纸速度： 6.25mm/s、12.5mm/s、25mm/s、50 mm/s；</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32、记录通道：3+3、6+1、12；</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33、通讯接口：标配USB/RS232接口/RJ11接口，USB主机接口支持心电图文件网络传输。支持USB外接U盘和USB打印机（可选配）；</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34、允许重新修改患者信息；</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35、安全类别：IEC I类CF型（符合GB9706.1-2007）；</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36、电源：宽电压可适应100V～240V（±10%），50/60Hz(±1Hz)</w:t>
            </w:r>
            <w:r>
              <w:rPr>
                <w:rFonts w:hint="eastAsia" w:ascii="宋体" w:hAnsi="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洗胃机</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电源电压：AC220V,50HZ</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输入功率：小于250VA</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流量：大于2L/min</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自控：冲液量为250-350ml/次</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吸液量为350-450ml/次</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储液桶：10L/只，2只一组</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工作压力及变化：压力绝对值在47-67KPA范围内</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工作压力变化不大于正负5KPA</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17</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不锈钢急救车</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规格：1950*600*750(mm)</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主要材质：不锈钢</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脚轮材质：天然橡胶材质</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款式：摩托轮</w:t>
            </w:r>
            <w:r>
              <w:rPr>
                <w:rFonts w:hint="eastAsia" w:ascii="宋体" w:hAnsi="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辆</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喉镜</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产品重量：喉镜（含电池）370g</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显示屏：尺寸大于3寸 分辨率：大于1600*1200</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尺寸：总长24cm 握柄3.5cm</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个</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治疗车</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不锈钢材质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长宽高：66*44*86（cm）</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病床</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长宽高：200*90*50（cm）带床垫 ABS床头</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张</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吸痰器</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体积：370*180*280（mm）</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净重：4.4KG</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储存罐：1000ml</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负压调价范围：0.02MPA至极限负压值</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干式免疫荧光分析仪</w:t>
            </w:r>
          </w:p>
        </w:tc>
        <w:tc>
          <w:tcPr>
            <w:tcW w:w="6059" w:type="dxa"/>
            <w:vAlign w:val="center"/>
          </w:tcPr>
          <w:p>
            <w:pPr>
              <w:pStyle w:val="25"/>
              <w:keepNext w:val="0"/>
              <w:keepLines w:val="0"/>
              <w:pageBreakBefore w:val="0"/>
              <w:widowControl/>
              <w:kinsoku/>
              <w:wordWrap/>
              <w:overflowPunct/>
              <w:topLinePunct w:val="0"/>
              <w:bidi w:val="0"/>
              <w:adjustRightInd/>
              <w:snapToGrid/>
              <w:spacing w:before="0" w:beforeAutospacing="0" w:after="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检测样本：人血清/血浆/全血/尿液</w:t>
            </w:r>
            <w:r>
              <w:rPr>
                <w:rFonts w:hint="eastAsia" w:ascii="宋体" w:hAnsi="宋体" w:eastAsia="宋体" w:cs="宋体"/>
                <w:color w:val="auto"/>
                <w:sz w:val="21"/>
                <w:szCs w:val="21"/>
                <w:highlight w:val="none"/>
                <w:lang w:eastAsia="zh-CN"/>
              </w:rPr>
              <w:t>；</w:t>
            </w:r>
          </w:p>
          <w:p>
            <w:pPr>
              <w:pStyle w:val="25"/>
              <w:keepNext w:val="0"/>
              <w:keepLines w:val="0"/>
              <w:pageBreakBefore w:val="0"/>
              <w:widowControl/>
              <w:kinsoku/>
              <w:wordWrap/>
              <w:overflowPunct/>
              <w:topLinePunct w:val="0"/>
              <w:bidi w:val="0"/>
              <w:adjustRightInd/>
              <w:snapToGrid/>
              <w:spacing w:before="0" w:beforeAutospacing="0" w:after="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荧光免疫定量分析仪的可检测项目如下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心肌标志物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cTnI、NT-proBNP、cTnI\NT-proBNP、D-Dimer、H-FABP</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cTnI\Myo\CK-MB、cTnI\H-FABP\CK-MB</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炎症标志物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hs-CRP、PCT、PCT\CRP、hs-CRP+CRP、U-CRP</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肾脏标志物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mAlb、CysC、β2-MG、NGAL</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血糖 HbA1c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妊娠 HCG</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采用的荧光免疫定量技术、多重质控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即时检测2-15分钟完成检测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多样本量时最快5秒即可完成一个样本检测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广泛的应用场合，体积小巧，内置锂电池（选配），可在多种环境下运行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支持WIFI，数据传输更自在，摆脱网线束缚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大触摸屏，界面友好，操作便捷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特有条码设置，自动识别检测项目，自动检测并打印上传。</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微量元素分析仪</w:t>
            </w:r>
          </w:p>
        </w:tc>
        <w:tc>
          <w:tcPr>
            <w:tcW w:w="6059" w:type="dxa"/>
            <w:vAlign w:val="center"/>
          </w:tcPr>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检测原理：</w:t>
            </w:r>
            <w:r>
              <w:rPr>
                <w:rFonts w:hint="eastAsia" w:ascii="宋体" w:hAnsi="宋体" w:eastAsia="宋体" w:cs="宋体"/>
                <w:color w:val="auto"/>
                <w:sz w:val="21"/>
                <w:szCs w:val="21"/>
                <w:highlight w:val="none"/>
                <w:shd w:val="clear" w:color="auto" w:fill="FFFFFF"/>
              </w:rPr>
              <w:t>双通道检测，电化学法和全光谱扫描法测量微量元素含量</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检测项目：</w:t>
            </w:r>
            <w:r>
              <w:rPr>
                <w:rFonts w:hint="eastAsia" w:ascii="宋体" w:hAnsi="宋体" w:eastAsia="宋体" w:cs="宋体"/>
                <w:color w:val="auto"/>
                <w:sz w:val="21"/>
                <w:szCs w:val="21"/>
                <w:highlight w:val="none"/>
                <w:shd w:val="clear" w:color="auto" w:fill="FFFFFF"/>
              </w:rPr>
              <w:t>锌、铁、钙、镁、锰、铅、镉、铜</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检测标本：末梢血检测，节约时间，是基层医院的最佳选择</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多元素同测：</w:t>
            </w:r>
            <w:r>
              <w:rPr>
                <w:rFonts w:hint="eastAsia" w:ascii="宋体" w:hAnsi="宋体" w:eastAsia="宋体" w:cs="宋体"/>
                <w:color w:val="auto"/>
                <w:sz w:val="21"/>
                <w:szCs w:val="21"/>
                <w:highlight w:val="none"/>
                <w:shd w:val="clear" w:color="auto" w:fill="FFFFFF"/>
              </w:rPr>
              <w:t>采用复合试剂技术8元素同时检测，相互无干扰</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样本用量：一滴血检测，其中铅镉铜20ul，锌铁钙镁锰20ul</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shd w:val="clear" w:color="auto" w:fill="FFFFFF"/>
                <w:lang w:val="en-US" w:eastAsia="zh-CN"/>
              </w:rPr>
              <w:t>6、</w:t>
            </w:r>
            <w:r>
              <w:rPr>
                <w:rFonts w:hint="eastAsia" w:ascii="宋体" w:hAnsi="宋体" w:eastAsia="宋体" w:cs="宋体"/>
                <w:color w:val="auto"/>
                <w:sz w:val="21"/>
                <w:szCs w:val="21"/>
                <w:highlight w:val="none"/>
                <w:shd w:val="clear" w:color="auto" w:fill="FFFFFF"/>
              </w:rPr>
              <w:t>电极系统：三电极体系（旋转电极、铂电极、甘汞电极）</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rPr>
              <w:t>病人随到随测，报告立等可取，可随意插入病号</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rPr>
              <w:t>适用于医院、妇幼保健、卫生防疫、质量监督、环保、科研高校等部门做各种微量分析</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shd w:val="clear" w:color="auto" w:fill="FFFFFF"/>
                <w:lang w:val="en-US" w:eastAsia="zh-CN"/>
              </w:rPr>
              <w:t>9、</w:t>
            </w:r>
            <w:r>
              <w:rPr>
                <w:rFonts w:hint="eastAsia" w:ascii="宋体" w:hAnsi="宋体" w:eastAsia="宋体" w:cs="宋体"/>
                <w:color w:val="auto"/>
                <w:sz w:val="21"/>
                <w:szCs w:val="21"/>
                <w:highlight w:val="none"/>
                <w:shd w:val="clear" w:color="auto" w:fill="FFFFFF"/>
              </w:rPr>
              <w:t>操作软件：病例可无限存储、自动编号、可根据病人信息自动查找</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10、</w:t>
            </w:r>
            <w:r>
              <w:rPr>
                <w:rFonts w:hint="eastAsia" w:ascii="宋体" w:hAnsi="宋体" w:eastAsia="宋体" w:cs="宋体"/>
                <w:color w:val="auto"/>
                <w:sz w:val="21"/>
                <w:szCs w:val="21"/>
                <w:highlight w:val="none"/>
                <w:shd w:val="clear" w:color="auto" w:fill="FFFFFF"/>
              </w:rPr>
              <w:t>分析环境：占用空间小，无需乙炔等易燃易爆气体，无汞污染，无安全隐患</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11、</w:t>
            </w:r>
            <w:r>
              <w:rPr>
                <w:rFonts w:hint="eastAsia" w:ascii="宋体" w:hAnsi="宋体" w:eastAsia="宋体" w:cs="宋体"/>
                <w:color w:val="auto"/>
                <w:sz w:val="21"/>
                <w:szCs w:val="21"/>
                <w:highlight w:val="none"/>
                <w:shd w:val="clear" w:color="auto" w:fill="FFFFFF"/>
              </w:rPr>
              <w:t>检测下限：极谱部分≤1×10</w:t>
            </w:r>
            <w:r>
              <w:rPr>
                <w:rFonts w:hint="eastAsia" w:ascii="宋体" w:hAnsi="宋体" w:eastAsia="宋体" w:cs="宋体"/>
                <w:color w:val="auto"/>
                <w:sz w:val="21"/>
                <w:szCs w:val="21"/>
                <w:highlight w:val="none"/>
                <w:shd w:val="clear" w:color="auto" w:fill="FFFFFF"/>
                <w:vertAlign w:val="superscript"/>
              </w:rPr>
              <w:t>-7</w:t>
            </w:r>
            <w:r>
              <w:rPr>
                <w:rFonts w:hint="eastAsia" w:ascii="宋体" w:hAnsi="宋体" w:eastAsia="宋体" w:cs="宋体"/>
                <w:color w:val="auto"/>
                <w:sz w:val="21"/>
                <w:szCs w:val="21"/>
                <w:highlight w:val="none"/>
                <w:shd w:val="clear" w:color="auto" w:fill="FFFFFF"/>
              </w:rPr>
              <w:t>mol/L；溶出部分≤0.1μg/L</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12、</w:t>
            </w:r>
            <w:r>
              <w:rPr>
                <w:rFonts w:hint="eastAsia" w:ascii="宋体" w:hAnsi="宋体" w:eastAsia="宋体" w:cs="宋体"/>
                <w:color w:val="auto"/>
                <w:sz w:val="21"/>
                <w:szCs w:val="21"/>
                <w:highlight w:val="none"/>
                <w:shd w:val="clear" w:color="auto" w:fill="FFFFFF"/>
              </w:rPr>
              <w:t>精密度（相对标准偏差）：极谱部分≤5%；溶出部分≤5%</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13、</w:t>
            </w:r>
            <w:r>
              <w:rPr>
                <w:rFonts w:hint="eastAsia" w:ascii="宋体" w:hAnsi="宋体" w:eastAsia="宋体" w:cs="宋体"/>
                <w:color w:val="auto"/>
                <w:sz w:val="21"/>
                <w:szCs w:val="21"/>
                <w:highlight w:val="none"/>
                <w:shd w:val="clear" w:color="auto" w:fill="FFFFFF"/>
              </w:rPr>
              <w:t>线性关系：r≥0.997</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14、</w:t>
            </w:r>
            <w:r>
              <w:rPr>
                <w:rFonts w:hint="eastAsia" w:ascii="宋体" w:hAnsi="宋体" w:eastAsia="宋体" w:cs="宋体"/>
                <w:color w:val="auto"/>
                <w:sz w:val="21"/>
                <w:szCs w:val="21"/>
                <w:highlight w:val="none"/>
                <w:shd w:val="clear" w:color="auto" w:fill="FFFFFF"/>
              </w:rPr>
              <w:t>输入电压：220V 50Hz   输入功率： 110VA</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 xml:space="preserve"> </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15、</w:t>
            </w:r>
            <w:r>
              <w:rPr>
                <w:rFonts w:hint="eastAsia" w:ascii="宋体" w:hAnsi="宋体" w:eastAsia="宋体" w:cs="宋体"/>
                <w:color w:val="auto"/>
                <w:sz w:val="21"/>
                <w:szCs w:val="21"/>
                <w:highlight w:val="none"/>
                <w:shd w:val="clear" w:color="auto" w:fill="FFFFFF"/>
              </w:rPr>
              <w:t>运行环境：Windows XP  sp3（32位）</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16、</w:t>
            </w:r>
            <w:r>
              <w:rPr>
                <w:rFonts w:hint="eastAsia" w:ascii="宋体" w:hAnsi="宋体" w:eastAsia="宋体" w:cs="宋体"/>
                <w:color w:val="auto"/>
                <w:sz w:val="21"/>
                <w:szCs w:val="21"/>
                <w:highlight w:val="none"/>
                <w:shd w:val="clear" w:color="auto" w:fill="FFFFFF"/>
              </w:rPr>
              <w:t>环境温度：10℃~30℃</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17、</w:t>
            </w:r>
            <w:r>
              <w:rPr>
                <w:rFonts w:hint="eastAsia" w:ascii="宋体" w:hAnsi="宋体" w:eastAsia="宋体" w:cs="宋体"/>
                <w:color w:val="auto"/>
                <w:sz w:val="21"/>
                <w:szCs w:val="21"/>
                <w:highlight w:val="none"/>
                <w:shd w:val="clear" w:color="auto" w:fill="FFFFFF"/>
              </w:rPr>
              <w:t>相对湿度：≤85%</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rPr>
              <w:t>18、大气压力：86kPa~106kPa</w:t>
            </w:r>
            <w:r>
              <w:rPr>
                <w:rFonts w:hint="eastAsia" w:ascii="宋体" w:hAnsi="宋体" w:eastAsia="宋体" w:cs="宋体"/>
                <w:color w:val="auto"/>
                <w:sz w:val="21"/>
                <w:szCs w:val="21"/>
                <w:highlight w:val="none"/>
                <w:shd w:val="clear" w:color="auto" w:fill="FFFFFF"/>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三折抢救床</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长宽高：1930*640*（500-900）mm</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平车面板及护栏采用PE材料一次成型</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采用先进的中控刹车系统稳定可靠</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头部带有氧气瓶支架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方便易用人员使用，床体两端配有四钩螺钉紧可升降输液架</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背板采用气弹簧作支撑力点，可升降角度0度至88度</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最大承重300KG</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整体升降采用螺旋机构传动，升降范围达500-900mm</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张</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便携式彩色多普勒超声诊断仪</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1、产品用途说明</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1.1适合腹部、妇科、产科、心脏、浅表组织与小器官、神经、外周血管、颅脑，泌尿系统、超声引导下介入性治疗等全身超声应用。中位线同时配合碎石机器定位</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1.2要求为2013年最新版本或者最新出厂机型，具有用户现场升级能力，可满足将来临床应用扩展需求，提供上门免费升级系统版本</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2、主要规格及系统概述：</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2.1主机彩色多谱勒超声波诊断仪包括：</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 15寸高清晰、医用专业彩色液晶显示器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2.3 探头接口2个，标配2个探头接口，全部激活，互相通用，支持热拔插</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2.4二维灰阶成像部件；</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2.5频谱多谱勒显示及分析系统；</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2.6彩色多谱勒超声波诊断部件（包括彩色、能量）；支持频谱多普勒</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2.7组织谐波成像；专利的宽带频移谐波技术（PSHI）</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2.8斑点噪声抑制技术，要求多级可调；专利的斑点噪声抑制技术（iClear）</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2.9图像局部放大功能；</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2.10 具有组织特征成像≥2档可调</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可选配内置电池（内置电池在充满电后，连续正常工作时间≥1.5小时）；</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支持语言，包括英语，中文（键盘输入、注释、操作面板等）；</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3、测量和分析:(B型，M型，频谱多谱勒，彩色多谱勒)</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3.1一般测量（距离测量、椭圆及描迹测量面积周长）；</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3.2妇产科测量，妇科/产科专用测量及分析</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3.3心脏功能测量；</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3.4外周血管血流测量分析报告功能；</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3.5全科测量软件包：腹部、妇科、产科、心脏、泌尿、小器官、儿科、血管、神经、急诊科；</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3.6多普勒测量及分析；</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4、技术参数及要求</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4.1系统通用功能；</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4.1.1监视器:15寸高清晰、医用专业彩色液晶显示器，同时显示器可独立调节角度。</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4.1.2主机探头接口数:2个，标配探头接口2个；全部激活，互相通用，支持热拔插</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4.1.3整机重量8.5kg（含电池）；</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4.2二维灰阶模式；</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4.2.1数字化声束形成器；</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4.2.2最大显示深度:35cm；</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TGC:8段；</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4.2.4动态范围:≥140（可视可调）；</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4.2.5增益调节:B/M/D分别独立可调，100；</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4.2.6预设条件：针对不同的检查脏器，预置最佳图像检查条件；</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4.3探头规格；</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4.3.1频率:宽频带变频探头，两维和彩色独立变频；</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4.3.2凸阵探头具有≥5种频率的变频范围，扫描角度≥70度。</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4.3.3线阵探头具有≥5种频率的变频范围；</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 B/D兼用:凸阵:B灰阶/PW脉冲多普勒/Color彩色多普勒</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线阵:B灰阶/PW脉冲多普勒/Color彩色多普勒；</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 凸阵，频率范围:2.0-4.0MHz；</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4.3.6 线阵，频率范围:5.0-14MHz；</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4.3.7穿刺导向:探头可支持穿刺导向装置；支持穿刺引导辅助线</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4.4彩色多普勒成像；</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4.4.1显示方式：B灰阶/C彩色多普勒、B灰阶/POWER能量多普勒、B灰阶/C彩色多普勒/PW脉冲多普勒；</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4.4.2多普勒频率≥2段可视可独立调节；</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4.5频谱多普勒模式；</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4.5.1显示方式：B，PW，B/PW，B/C/PW等；</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4.5.2取样容积:0.5-20mm；可视可调</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4.5.3偏转角度:≥±6度(线阵探头)；</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4.5.4快速角度校正；</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5、全中文界面内置一体化数字化图像管理与记录装置：</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5.1数字化超声图像硬盘存储≥300G</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5.2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3个USB2.0接口，支持一键操作，图像直接储存硬盘或移动储存设备。</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6、输入/输出信号:</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6.1输入:USB、VCR，外部视频，RGB彩色视频；</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6.2输出:复合视频，RGB彩色视频，VGA；</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6.3支持DICOM3.0连接；</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7、电影回放</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7.1所有模式下可用；</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7.2支持手动、自动回放；</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7.3图像存储与(电影)回放重现单元：支持同步存储(支持单帧图像文件包含：BMP，JPG，DCM，单帧，电影文件包括：AVI</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B模式最大电影存储容量≥1000帧/秒；</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 C模式最大电影存储容量≥400帧/秒。</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26</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自动固定紫外线消毒灯</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灯管2支 可固定</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建议使用面积大于30平米</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紫外线主波长253.7nm</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定时装置：0-120分钟</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27</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输液架</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高度：1m-2m</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可移动底座</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28</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医用手推车</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规格66P*44*86（cm）三层双抽屉</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辆</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医用氧气瓶</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规格：10L 带压力表 推车 吸氧管 吸氧面罩</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个</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急救手推车</w:t>
            </w:r>
          </w:p>
        </w:tc>
        <w:tc>
          <w:tcPr>
            <w:tcW w:w="6059"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规格：最高位190*55*88cm 最低为：190*55*54cm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承重：159KG 可分离 头部可抬高</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辆</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除颤仪</w:t>
            </w:r>
          </w:p>
        </w:tc>
        <w:tc>
          <w:tcPr>
            <w:tcW w:w="6059" w:type="dxa"/>
            <w:vAlign w:val="center"/>
          </w:tcPr>
          <w:p>
            <w:pPr>
              <w:keepNext w:val="0"/>
              <w:keepLines w:val="0"/>
              <w:pageBreakBefore w:val="0"/>
              <w:widowControl/>
              <w:numPr>
                <w:ilvl w:val="0"/>
                <w:numId w:val="6"/>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具备手动除颤、心电监护、呼吸监护、自动体外除颤（AED）功能</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除颤采用双相波技术，具备自动阻抗补偿功能</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除颤充电迅速，充电至200J&lt;5s</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手动除颤分为同步和非同步两种方式，能量分20档以上，可通过体外电极板进行能量选择</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带体外起搏功能，起搏分为固定和按需两种模式。具备慢速起搏功能</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心电波形扫描时间&gt;10s，扫描长度&gt;100mm</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可选配血氧饱和度监护功能</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可充电锂电池，支持100次以上200J除颤</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具备生理报警和技术报警功能，通过声音、灯光等多种方式进行报警</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成人、小儿一体化电极板，可选用除颤起搏监护多功能电极片</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支持中文操作界面、AED中文语音提示</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50mm记录仪，自动打印除颤记录，可延迟打印心电，延迟时间&gt;10s</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rPr>
              <w:t>彩色TFT显示屏&gt;6”, 分辨率640×480，最多可显示3通道监护参数波形，有高对比度显示界面</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可存储24小时连续ECG波形，数据可导出至电脑查看</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符合除颤国际专用安全标准IEC60601-2-4:2002</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符合欧盟救护车标准EN1789:2007</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17、</w:t>
            </w:r>
            <w:r>
              <w:rPr>
                <w:rFonts w:hint="eastAsia" w:ascii="宋体" w:hAnsi="宋体" w:eastAsia="宋体" w:cs="宋体"/>
                <w:color w:val="auto"/>
                <w:kern w:val="0"/>
                <w:sz w:val="21"/>
                <w:szCs w:val="21"/>
                <w:highlight w:val="none"/>
              </w:rPr>
              <w:t>具备良好的防水性能，防水级别IPX4</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rPr>
              <w:t>整机带电极板、电池的重量不超过6kg</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exact"/>
              <w:ind w:right="0" w:right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19、</w:t>
            </w:r>
            <w:r>
              <w:rPr>
                <w:rFonts w:hint="eastAsia" w:ascii="宋体" w:hAnsi="宋体" w:eastAsia="宋体" w:cs="宋体"/>
                <w:color w:val="auto"/>
                <w:kern w:val="0"/>
                <w:sz w:val="21"/>
                <w:szCs w:val="21"/>
                <w:highlight w:val="none"/>
              </w:rPr>
              <w:t>具备优异的抗跌落性能，裸机可承受0.75m跌落冲击。</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心电监护仪</w:t>
            </w:r>
          </w:p>
        </w:tc>
        <w:tc>
          <w:tcPr>
            <w:tcW w:w="6059" w:type="dxa"/>
            <w:vAlign w:val="center"/>
          </w:tcPr>
          <w:p>
            <w:pPr>
              <w:keepNext w:val="0"/>
              <w:keepLines w:val="0"/>
              <w:pageBreakBefore w:val="0"/>
              <w:numPr>
                <w:ilvl w:val="0"/>
                <w:numId w:val="7"/>
              </w:numPr>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12.1"彩色液晶显示，高分辨率800×600 dpi；</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标准参数：心电，血氧，血压，呼吸率，体温，心率</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13种心率失常波形自动分析功能，冻结状态下，可进行ST段手动分析</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left="-420" w:leftChars="0"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  4、</w:t>
            </w:r>
            <w:r>
              <w:rPr>
                <w:rFonts w:hint="eastAsia" w:ascii="宋体" w:hAnsi="宋体" w:eastAsia="宋体" w:cs="宋体"/>
                <w:color w:val="auto"/>
                <w:sz w:val="21"/>
                <w:szCs w:val="21"/>
                <w:highlight w:val="none"/>
              </w:rPr>
              <w:t>血压双重过压保护，温漂控制等技术，保证患者安全</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left="-420" w:leftChars="0"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5、</w:t>
            </w:r>
            <w:r>
              <w:rPr>
                <w:rFonts w:hint="eastAsia" w:ascii="宋体" w:hAnsi="宋体" w:eastAsia="宋体" w:cs="宋体"/>
                <w:color w:val="auto"/>
                <w:sz w:val="21"/>
                <w:szCs w:val="21"/>
                <w:highlight w:val="none"/>
              </w:rPr>
              <w:t>药物浓度计算，滴定表</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left="-420" w:leftChars="0" w:right="0" w:rightChars="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/6  </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屏幕显示亮度10级可调</w:t>
            </w:r>
            <w:r>
              <w:rPr>
                <w:rFonts w:hint="eastAsia" w:ascii="宋体" w:hAnsi="宋体" w:eastAsia="宋体" w:cs="宋体"/>
                <w:bCs/>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bCs/>
                <w:color w:val="auto"/>
                <w:sz w:val="21"/>
                <w:szCs w:val="21"/>
                <w:highlight w:val="none"/>
                <w:u w:val="none"/>
              </w:rPr>
            </w:pP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rPr>
              <w:t>脉率音量10级可调；报警音量10级可调；报警音与脉率音分离；</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血氧智能音调调制，通过心跳声音的音调变化来判断血氧饱和度的高低变化，使医护人员从听觉中获取病人生命体征信息；</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丰富友好的界面显示，</w:t>
            </w:r>
            <w:r>
              <w:rPr>
                <w:rFonts w:hint="eastAsia" w:ascii="宋体" w:hAnsi="宋体" w:eastAsia="宋体" w:cs="宋体"/>
                <w:bCs/>
                <w:color w:val="auto"/>
                <w:sz w:val="21"/>
                <w:szCs w:val="21"/>
                <w:highlight w:val="none"/>
              </w:rPr>
              <w:t>可7导心电同屏显示</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待机功能，暂停止所有监护操作，保存所有设置和病人数据</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全中文语言操作界面；友好的操作系统，便捷操作患者的信息录入\删除\保存</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参数颜色调节功能，医护人员可自定义背景、波形、字体的颜色</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国际标准，声光双重高中低三级报警，更安全更专业</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抗除颤、电刀、电网、肌电干扰</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color w:val="auto"/>
                <w:sz w:val="21"/>
                <w:szCs w:val="21"/>
                <w:highlight w:val="none"/>
              </w:rPr>
              <w:t>大容量内置锂电池，2小时连续工作，</w:t>
            </w:r>
            <w:r>
              <w:rPr>
                <w:rFonts w:hint="eastAsia" w:ascii="宋体" w:hAnsi="宋体" w:eastAsia="宋体" w:cs="宋体"/>
                <w:bCs/>
                <w:color w:val="auto"/>
                <w:sz w:val="21"/>
                <w:szCs w:val="21"/>
                <w:highlight w:val="none"/>
              </w:rPr>
              <w:t>可直接外部插拔</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u w:val="none"/>
              </w:rPr>
            </w:pP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u w:val="none"/>
                <w:lang w:val="en-US" w:eastAsia="zh-CN"/>
              </w:rPr>
              <w:t>16、</w:t>
            </w:r>
            <w:r>
              <w:rPr>
                <w:rFonts w:hint="eastAsia" w:ascii="宋体" w:hAnsi="宋体" w:eastAsia="宋体" w:cs="宋体"/>
                <w:bCs/>
                <w:color w:val="auto"/>
                <w:sz w:val="21"/>
                <w:szCs w:val="21"/>
                <w:highlight w:val="none"/>
                <w:u w:val="none"/>
              </w:rPr>
              <w:t>屏幕冻结状态下，波形可倒退和前进翻看，参数区域持续显示实时参数</w:t>
            </w:r>
            <w:r>
              <w:rPr>
                <w:rFonts w:hint="eastAsia" w:ascii="宋体" w:hAnsi="宋体" w:eastAsia="宋体" w:cs="宋体"/>
                <w:color w:val="auto"/>
                <w:sz w:val="21"/>
                <w:szCs w:val="21"/>
                <w:highlight w:val="none"/>
                <w:u w:val="none"/>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交流电源指示灯，工作状态指示灯，电量实时检测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电池低电量报警，关键时刻不会丢失数据</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lang w:val="en-US" w:eastAsia="zh-CN"/>
              </w:rPr>
              <w:t>19、</w:t>
            </w:r>
            <w:r>
              <w:rPr>
                <w:rFonts w:hint="eastAsia" w:ascii="宋体" w:hAnsi="宋体" w:eastAsia="宋体" w:cs="宋体"/>
                <w:color w:val="auto"/>
                <w:sz w:val="21"/>
                <w:szCs w:val="21"/>
                <w:highlight w:val="none"/>
              </w:rPr>
              <w:t>支持掉电存储功能，保证病人数据存储的安全性以及完整性</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存储：NIBP:1000组；报警:200组；</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right="0" w:right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TCP/IP 中央联网功能</w:t>
            </w:r>
            <w:r>
              <w:rPr>
                <w:rFonts w:hint="eastAsia" w:ascii="宋体" w:hAnsi="宋体" w:eastAsia="宋体" w:cs="宋体"/>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exact"/>
              <w:ind w:left="0" w:lef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w:t>
            </w:r>
          </w:p>
        </w:tc>
        <w:tc>
          <w:tcPr>
            <w:tcW w:w="1830" w:type="dxa"/>
            <w:tcBorders>
              <w:top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十二</w:t>
            </w:r>
            <w:r>
              <w:rPr>
                <w:rFonts w:hint="eastAsia" w:ascii="宋体" w:hAnsi="宋体" w:eastAsia="宋体" w:cs="宋体"/>
                <w:color w:val="auto"/>
                <w:kern w:val="0"/>
                <w:sz w:val="21"/>
                <w:szCs w:val="21"/>
                <w:highlight w:val="none"/>
              </w:rPr>
              <w:t>导联心电图机</w:t>
            </w:r>
          </w:p>
        </w:tc>
        <w:tc>
          <w:tcPr>
            <w:tcW w:w="6059" w:type="dxa"/>
            <w:vAlign w:val="center"/>
          </w:tcPr>
          <w:p>
            <w:pPr>
              <w:keepNext w:val="0"/>
              <w:keepLines w:val="0"/>
              <w:pageBreakBefore w:val="0"/>
              <w:numPr>
                <w:ilvl w:val="0"/>
                <w:numId w:val="8"/>
              </w:numPr>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导联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标准12导联</w:t>
            </w:r>
            <w:r>
              <w:rPr>
                <w:rFonts w:hint="eastAsia" w:ascii="宋体" w:hAnsi="宋体" w:eastAsia="宋体" w:cs="宋体"/>
                <w:color w:val="auto"/>
                <w:sz w:val="21"/>
                <w:szCs w:val="21"/>
                <w:highlight w:val="none"/>
                <w:lang w:eastAsia="zh-CN"/>
              </w:rPr>
              <w:t>；</w:t>
            </w:r>
          </w:p>
          <w:p>
            <w:pPr>
              <w:keepNext w:val="0"/>
              <w:keepLines w:val="0"/>
              <w:pageBreakBefore w:val="0"/>
              <w:numPr>
                <w:ilvl w:val="0"/>
                <w:numId w:val="8"/>
              </w:numPr>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采样率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12位/1000Hz（12导联同步采集）</w:t>
            </w:r>
            <w:r>
              <w:rPr>
                <w:rFonts w:hint="eastAsia" w:ascii="宋体" w:hAnsi="宋体" w:eastAsia="宋体" w:cs="宋体"/>
                <w:color w:val="auto"/>
                <w:sz w:val="21"/>
                <w:szCs w:val="21"/>
                <w:highlight w:val="none"/>
                <w:lang w:eastAsia="zh-CN"/>
              </w:rPr>
              <w:t>；</w:t>
            </w:r>
          </w:p>
          <w:p>
            <w:pPr>
              <w:keepNext w:val="0"/>
              <w:keepLines w:val="0"/>
              <w:pageBreakBefore w:val="0"/>
              <w:numPr>
                <w:ilvl w:val="0"/>
                <w:numId w:val="8"/>
              </w:numPr>
              <w:kinsoku/>
              <w:wordWrap/>
              <w:overflowPunct/>
              <w:topLinePunct w:val="0"/>
              <w:bidi w:val="0"/>
              <w:adjustRightInd/>
              <w:snapToGrid/>
              <w:spacing w:beforeAutospacing="0" w:afterAutospacing="0" w:line="360" w:lineRule="exact"/>
              <w:ind w:left="0" w:leftChars="0" w:right="0" w:firstLine="0" w:firstLine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工作模式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具有手动、自动、节律分析、存储四种工作模式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回放功能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支持心电图波形回放，并支持修改，分析和打印心电图</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leftChars="0" w:right="0" w:righ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辅助分析功能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支持预览心电图参数和分析结果，辅助分析结果</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leftChars="0" w:right="0" w:righ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自动模式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回顾打印前10秒心电图，快速打印节约打印纸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存储模式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不打印显示参数和诊断信息，存储心电图供回放</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冻结功能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冻结前后12秒心电图，供回放打印</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滤波器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交流滤波器：50Hz/60Hz</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肌电滤波器：25Hz/45Hz</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漂移滤波器：0.15Hz（自适应）</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共模抑制比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≥120dB（加交流滤波器）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输入电路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浮地输入，具有抗除颤效应防护电路和起博脉冲抑制电路</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输入阻抗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≥50M</w:t>
            </w:r>
            <w:r>
              <w:rPr>
                <w:rFonts w:hint="eastAsia" w:ascii="宋体" w:hAnsi="宋体" w:eastAsia="宋体" w:cs="宋体"/>
                <w:color w:val="auto"/>
                <w:sz w:val="21"/>
                <w:szCs w:val="21"/>
                <w:highlight w:val="none"/>
                <w:lang w:val="el-GR"/>
              </w:rPr>
              <w:t>Ω</w:t>
            </w:r>
            <w:r>
              <w:rPr>
                <w:rFonts w:hint="eastAsia" w:ascii="宋体" w:hAnsi="宋体" w:eastAsia="宋体" w:cs="宋体"/>
                <w:color w:val="auto"/>
                <w:sz w:val="21"/>
                <w:szCs w:val="21"/>
                <w:highlight w:val="none"/>
                <w:lang w:val="el-GR" w:eastAsia="el-GR"/>
              </w:rPr>
              <w:t>（10Hz）</w:t>
            </w:r>
            <w:r>
              <w:rPr>
                <w:rFonts w:hint="eastAsia" w:ascii="宋体" w:hAnsi="宋体" w:eastAsia="宋体" w:cs="宋体"/>
                <w:color w:val="auto"/>
                <w:sz w:val="21"/>
                <w:szCs w:val="21"/>
                <w:highlight w:val="none"/>
                <w:lang w:val="el-GR"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输入回路电流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≤0.05μA</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输入动态范围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±10mVp-p</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患者漏电流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＜10μA(AC)</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sz w:val="21"/>
                <w:szCs w:val="21"/>
                <w:highlight w:val="none"/>
              </w:rPr>
              <w:t>绝缘强度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4000V rms</w:t>
            </w:r>
            <w:r>
              <w:rPr>
                <w:rFonts w:hint="eastAsia" w:ascii="宋体" w:hAnsi="宋体" w:eastAsia="宋体" w:cs="宋体"/>
                <w:bCs/>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定标电压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1mV±2％</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耐极化电压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≥±500mV（灵敏度变化≤±5%）</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时间常数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≥3.2s</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频率响应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0.05～160Hz(-3db)</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噪声电平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＜15μVp-p</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灵敏阈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≤20μV（对10Hz、20μVp-p正弦信号能检测）</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灵敏度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自动，2.5，5，10，20，40 mm/mV</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道间干扰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≤0.5mm</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走纸速度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6.25、12.5、25、50mm/s（±3％）</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安全分类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I类内部电源类CF型</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rPr>
              <w:t>电磁兼容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І组A 类</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产品标准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val="0"/>
              <w:autoSpaceDN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30.1</w:t>
            </w:r>
            <w:r>
              <w:rPr>
                <w:rFonts w:hint="eastAsia" w:ascii="宋体" w:hAnsi="宋体" w:eastAsia="宋体" w:cs="宋体"/>
                <w:color w:val="auto"/>
                <w:sz w:val="21"/>
                <w:szCs w:val="21"/>
                <w:highlight w:val="none"/>
              </w:rPr>
              <w:t>IEC60601-1（GB9706.1-2007）通用安全要求</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val="0"/>
              <w:autoSpaceDN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30.2</w:t>
            </w:r>
            <w:r>
              <w:rPr>
                <w:rFonts w:hint="eastAsia" w:ascii="宋体" w:hAnsi="宋体" w:eastAsia="宋体" w:cs="宋体"/>
                <w:color w:val="auto"/>
                <w:sz w:val="21"/>
                <w:szCs w:val="21"/>
                <w:highlight w:val="none"/>
              </w:rPr>
              <w:t>IEC60601-2-25（GB10793-2000）心电图机安全专用要求</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val="0"/>
              <w:autoSpaceDN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30.3</w:t>
            </w:r>
            <w:r>
              <w:rPr>
                <w:rFonts w:hint="eastAsia" w:ascii="宋体" w:hAnsi="宋体" w:eastAsia="宋体" w:cs="宋体"/>
                <w:color w:val="auto"/>
                <w:sz w:val="21"/>
                <w:szCs w:val="21"/>
                <w:highlight w:val="none"/>
              </w:rPr>
              <w:t>EN-60601-2-51（YY1139-2000）单道和多道心电图机</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贮存环境</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31.1</w:t>
            </w:r>
            <w:r>
              <w:rPr>
                <w:rFonts w:hint="eastAsia" w:ascii="宋体" w:hAnsi="宋体" w:eastAsia="宋体" w:cs="宋体"/>
                <w:color w:val="auto"/>
                <w:sz w:val="21"/>
                <w:szCs w:val="21"/>
                <w:highlight w:val="none"/>
              </w:rPr>
              <w:t>环境温度：-20℃～+55℃；相对湿度：25％～95％</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val="0"/>
              <w:autoSpaceDN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31.2</w:t>
            </w:r>
            <w:r>
              <w:rPr>
                <w:rFonts w:hint="eastAsia" w:ascii="宋体" w:hAnsi="宋体" w:eastAsia="宋体" w:cs="宋体"/>
                <w:color w:val="auto"/>
                <w:sz w:val="21"/>
                <w:szCs w:val="21"/>
                <w:highlight w:val="none"/>
              </w:rPr>
              <w:t>大气压强：700hPa～1060hPa</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使用环境</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32.1</w:t>
            </w:r>
            <w:r>
              <w:rPr>
                <w:rFonts w:hint="eastAsia" w:ascii="宋体" w:hAnsi="宋体" w:eastAsia="宋体" w:cs="宋体"/>
                <w:color w:val="auto"/>
                <w:sz w:val="21"/>
                <w:szCs w:val="21"/>
                <w:highlight w:val="none"/>
              </w:rPr>
              <w:t>环境温度：+5℃～+40℃；相对湿度：25％～80％（无冷凝）</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val="0"/>
              <w:autoSpaceDN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32.2</w:t>
            </w:r>
            <w:r>
              <w:rPr>
                <w:rFonts w:hint="eastAsia" w:ascii="宋体" w:hAnsi="宋体" w:eastAsia="宋体" w:cs="宋体"/>
                <w:color w:val="auto"/>
                <w:sz w:val="21"/>
                <w:szCs w:val="21"/>
                <w:highlight w:val="none"/>
              </w:rPr>
              <w:t>大气压强：860hPa～1060hPa</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33、</w:t>
            </w:r>
            <w:r>
              <w:rPr>
                <w:rFonts w:hint="eastAsia" w:ascii="宋体" w:hAnsi="宋体" w:eastAsia="宋体" w:cs="宋体"/>
                <w:color w:val="auto"/>
                <w:sz w:val="21"/>
                <w:szCs w:val="21"/>
                <w:highlight w:val="none"/>
              </w:rPr>
              <w:t>外部输入</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输入阻抗：&gt;100k</w:t>
            </w:r>
            <w:r>
              <w:rPr>
                <w:rFonts w:hint="eastAsia" w:ascii="宋体" w:hAnsi="宋体" w:eastAsia="宋体" w:cs="宋体"/>
                <w:color w:val="auto"/>
                <w:sz w:val="21"/>
                <w:szCs w:val="21"/>
                <w:highlight w:val="none"/>
                <w:lang w:val="el-GR"/>
              </w:rPr>
              <w:t>Ω</w:t>
            </w:r>
            <w:r>
              <w:rPr>
                <w:rFonts w:hint="eastAsia" w:ascii="宋体" w:hAnsi="宋体" w:eastAsia="宋体" w:cs="宋体"/>
                <w:color w:val="auto"/>
                <w:sz w:val="21"/>
                <w:szCs w:val="21"/>
                <w:highlight w:val="none"/>
              </w:rPr>
              <w:t xml:space="preserve">  灵 敏 度：10mm/V±</w:t>
            </w:r>
            <w:r>
              <w:rPr>
                <w:rFonts w:hint="eastAsia" w:ascii="宋体" w:hAnsi="宋体" w:eastAsia="宋体" w:cs="宋体"/>
                <w:color w:val="auto"/>
                <w:sz w:val="21"/>
                <w:szCs w:val="21"/>
                <w:highlight w:val="none"/>
                <w:lang w:val="el-GR"/>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外部输出</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输出阻抗：≤100</w:t>
            </w:r>
            <w:r>
              <w:rPr>
                <w:rFonts w:hint="eastAsia" w:ascii="宋体" w:hAnsi="宋体" w:eastAsia="宋体" w:cs="宋体"/>
                <w:color w:val="auto"/>
                <w:sz w:val="21"/>
                <w:szCs w:val="21"/>
                <w:highlight w:val="none"/>
                <w:lang w:val="el-GR"/>
              </w:rPr>
              <w:t>Ω</w:t>
            </w:r>
            <w:r>
              <w:rPr>
                <w:rFonts w:hint="eastAsia" w:ascii="宋体" w:hAnsi="宋体" w:eastAsia="宋体" w:cs="宋体"/>
                <w:color w:val="auto"/>
                <w:sz w:val="21"/>
                <w:szCs w:val="21"/>
                <w:highlight w:val="none"/>
              </w:rPr>
              <w:t xml:space="preserve">  灵 敏 度：1V/mV±5％</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记录格式</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35.1 </w:t>
            </w:r>
            <w:r>
              <w:rPr>
                <w:rFonts w:hint="eastAsia" w:ascii="宋体" w:hAnsi="宋体" w:eastAsia="宋体" w:cs="宋体"/>
                <w:color w:val="auto"/>
                <w:sz w:val="21"/>
                <w:szCs w:val="21"/>
                <w:highlight w:val="none"/>
              </w:rPr>
              <w:t>3+3道、6道、6+1道、12道四种</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默认的手动模式 ：3+3道记录格式</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默认的自动模式 ：12道 记录格式</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36、</w:t>
            </w:r>
            <w:r>
              <w:rPr>
                <w:rFonts w:hint="eastAsia" w:ascii="宋体" w:hAnsi="宋体" w:eastAsia="宋体" w:cs="宋体"/>
                <w:color w:val="auto"/>
                <w:sz w:val="21"/>
                <w:szCs w:val="21"/>
                <w:highlight w:val="none"/>
              </w:rPr>
              <w:t>节律导联</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可选Ⅰ、Ⅱ、Ⅲ、avR、avL、avF 、V1……V6</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37、</w:t>
            </w:r>
            <w:r>
              <w:rPr>
                <w:rFonts w:hint="eastAsia" w:ascii="宋体" w:hAnsi="宋体" w:eastAsia="宋体" w:cs="宋体"/>
                <w:color w:val="auto"/>
                <w:sz w:val="21"/>
                <w:szCs w:val="21"/>
                <w:highlight w:val="none"/>
              </w:rPr>
              <w:t>自动记录时间</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最短、正常、较长、最长四种选项分别对应:</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3+3道（10、15、20、25s）</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6道、6+1道（8、12、16、24s）</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12道（5、7.5、10、12.5s）</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38、</w:t>
            </w:r>
            <w:r>
              <w:rPr>
                <w:rFonts w:hint="eastAsia" w:ascii="宋体" w:hAnsi="宋体" w:eastAsia="宋体" w:cs="宋体"/>
                <w:color w:val="auto"/>
                <w:sz w:val="21"/>
                <w:szCs w:val="21"/>
                <w:highlight w:val="none"/>
              </w:rPr>
              <w:t>记录方式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热敏点阵记录，8点/毫米 (垂直方向)；40点/毫米(水平方向25mm/s时)；支持中文拼音和笔画输入并打印ECG波形和测量值及分析诊断结果报告</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39、</w:t>
            </w:r>
            <w:r>
              <w:rPr>
                <w:rFonts w:hint="eastAsia" w:ascii="宋体" w:hAnsi="宋体" w:eastAsia="宋体" w:cs="宋体"/>
                <w:color w:val="auto"/>
                <w:sz w:val="21"/>
                <w:szCs w:val="21"/>
                <w:highlight w:val="none"/>
              </w:rPr>
              <w:t>记录纸规格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210mm / 216mm宽卷纸或折叠纸</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有效记录宽度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210mm</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41、</w:t>
            </w:r>
            <w:r>
              <w:rPr>
                <w:rFonts w:hint="eastAsia" w:ascii="宋体" w:hAnsi="宋体" w:eastAsia="宋体" w:cs="宋体"/>
                <w:color w:val="auto"/>
                <w:sz w:val="21"/>
                <w:szCs w:val="21"/>
                <w:highlight w:val="none"/>
              </w:rPr>
              <w:t>液晶显示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7寸彩色TFT，显示波形和工作状态。</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42、</w:t>
            </w:r>
            <w:r>
              <w:rPr>
                <w:rFonts w:hint="eastAsia" w:ascii="宋体" w:hAnsi="宋体" w:eastAsia="宋体" w:cs="宋体"/>
                <w:color w:val="auto"/>
                <w:sz w:val="21"/>
                <w:szCs w:val="21"/>
                <w:highlight w:val="none"/>
              </w:rPr>
              <w:t>亮度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屏幕亮度可调，具有屏幕保护省电模式</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43、</w:t>
            </w:r>
            <w:r>
              <w:rPr>
                <w:rFonts w:hint="eastAsia" w:ascii="宋体" w:hAnsi="宋体" w:eastAsia="宋体" w:cs="宋体"/>
                <w:color w:val="auto"/>
                <w:sz w:val="21"/>
                <w:szCs w:val="21"/>
                <w:highlight w:val="none"/>
              </w:rPr>
              <w:t>脱落指示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电极接触不良指示，电极脱落报警，每个电极独立指示</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44、</w:t>
            </w:r>
            <w:r>
              <w:rPr>
                <w:rFonts w:hint="eastAsia" w:ascii="宋体" w:hAnsi="宋体" w:eastAsia="宋体" w:cs="宋体"/>
                <w:color w:val="auto"/>
                <w:sz w:val="21"/>
                <w:szCs w:val="21"/>
                <w:highlight w:val="none"/>
              </w:rPr>
              <w:t>病例存储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标配250个病例存储（可扩展）</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通讯接口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支持USB/RS232通讯，LAN，外接U盘和USB打印机（需选配）</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46、</w:t>
            </w:r>
            <w:r>
              <w:rPr>
                <w:rFonts w:hint="eastAsia" w:ascii="宋体" w:hAnsi="宋体" w:eastAsia="宋体" w:cs="宋体"/>
                <w:color w:val="auto"/>
                <w:sz w:val="21"/>
                <w:szCs w:val="21"/>
                <w:highlight w:val="none"/>
              </w:rPr>
              <w:t>交流电源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75V～265V（±10%），50/60Hz(±1Hz)；功率60VA</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47、</w:t>
            </w:r>
            <w:r>
              <w:rPr>
                <w:rFonts w:hint="eastAsia" w:ascii="宋体" w:hAnsi="宋体" w:eastAsia="宋体" w:cs="宋体"/>
                <w:color w:val="auto"/>
                <w:sz w:val="21"/>
                <w:szCs w:val="21"/>
                <w:highlight w:val="none"/>
              </w:rPr>
              <w:t>内部直流电源（内置可充电锂电池）</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48、</w:t>
            </w:r>
            <w:r>
              <w:rPr>
                <w:rFonts w:hint="eastAsia" w:ascii="宋体" w:hAnsi="宋体" w:eastAsia="宋体" w:cs="宋体"/>
                <w:color w:val="auto"/>
                <w:sz w:val="21"/>
                <w:szCs w:val="21"/>
                <w:highlight w:val="none"/>
              </w:rPr>
              <w:t>额定电压/容量：14.4V/4400mAh，连续工作3小时以上</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49、</w:t>
            </w:r>
            <w:r>
              <w:rPr>
                <w:rFonts w:hint="eastAsia" w:ascii="宋体" w:hAnsi="宋体" w:eastAsia="宋体" w:cs="宋体"/>
                <w:color w:val="auto"/>
                <w:sz w:val="21"/>
                <w:szCs w:val="21"/>
                <w:highlight w:val="none"/>
              </w:rPr>
              <w:t>额定充电电流：500mA（恒压恒流）</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rPr>
              <w:t>额定充电循环次数：不小于300次</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51、</w:t>
            </w:r>
            <w:r>
              <w:rPr>
                <w:rFonts w:hint="eastAsia" w:ascii="宋体" w:hAnsi="宋体" w:eastAsia="宋体" w:cs="宋体"/>
                <w:color w:val="auto"/>
                <w:sz w:val="21"/>
                <w:szCs w:val="21"/>
                <w:highlight w:val="none"/>
              </w:rPr>
              <w:t>保险管规格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T2A/250V，ф5x20</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52、</w:t>
            </w:r>
            <w:r>
              <w:rPr>
                <w:rFonts w:hint="eastAsia" w:ascii="宋体" w:hAnsi="宋体" w:eastAsia="宋体" w:cs="宋体"/>
                <w:color w:val="auto"/>
                <w:sz w:val="21"/>
                <w:szCs w:val="21"/>
                <w:highlight w:val="none"/>
              </w:rPr>
              <w:t>外形尺寸/重量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330mm×270mm×70mm，约4.8公斤</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53、</w:t>
            </w:r>
            <w:r>
              <w:rPr>
                <w:rFonts w:hint="eastAsia" w:ascii="宋体" w:hAnsi="宋体" w:eastAsia="宋体" w:cs="宋体"/>
                <w:color w:val="auto"/>
                <w:sz w:val="21"/>
                <w:szCs w:val="21"/>
                <w:highlight w:val="none"/>
              </w:rPr>
              <w:t>软件分析（需选配工作站）</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rPr>
              <w:t>心向量、</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导联心电图模拟心向量</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55、</w:t>
            </w:r>
            <w:r>
              <w:rPr>
                <w:rFonts w:hint="eastAsia" w:ascii="宋体" w:hAnsi="宋体" w:eastAsia="宋体" w:cs="宋体"/>
                <w:color w:val="auto"/>
                <w:sz w:val="21"/>
                <w:szCs w:val="21"/>
                <w:highlight w:val="none"/>
              </w:rPr>
              <w:t>ＨＲＶ／ＱＴＣ分析功能</w:t>
            </w:r>
            <w:r>
              <w:rPr>
                <w:rFonts w:hint="eastAsia" w:ascii="宋体" w:hAnsi="宋体" w:eastAsia="宋体" w:cs="宋体"/>
                <w:color w:val="auto"/>
                <w:sz w:val="21"/>
                <w:szCs w:val="21"/>
                <w:highlight w:val="none"/>
                <w:lang w:eastAsia="zh-CN"/>
              </w:rPr>
              <w:t>；</w:t>
            </w:r>
          </w:p>
          <w:p>
            <w:pPr>
              <w:keepNext w:val="0"/>
              <w:keepLines w:val="0"/>
              <w:pageBreakBefore w:val="0"/>
              <w:tabs>
                <w:tab w:val="left" w:pos="705"/>
              </w:tabs>
              <w:kinsoku/>
              <w:wordWrap/>
              <w:overflowPunct/>
              <w:topLinePunct w:val="0"/>
              <w:bidi w:val="0"/>
              <w:adjustRightInd/>
              <w:snapToGrid/>
              <w:spacing w:beforeAutospacing="0" w:afterAutospacing="0" w:line="360" w:lineRule="exact"/>
              <w:ind w:left="0" w:leftChars="0" w:right="0"/>
              <w:textAlignment w:val="baseline"/>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rPr>
              <w:t>左右肢体导联反接校正</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57、</w:t>
            </w:r>
            <w:r>
              <w:rPr>
                <w:rFonts w:hint="eastAsia" w:ascii="宋体" w:hAnsi="宋体" w:eastAsia="宋体" w:cs="宋体"/>
                <w:bCs/>
                <w:color w:val="auto"/>
                <w:sz w:val="21"/>
                <w:szCs w:val="21"/>
                <w:highlight w:val="none"/>
              </w:rPr>
              <w:t>输出Ｗord/Excel格式文档、方便教学科研</w:t>
            </w:r>
            <w:r>
              <w:rPr>
                <w:rFonts w:hint="eastAsia" w:ascii="宋体" w:hAnsi="宋体" w:eastAsia="宋体" w:cs="宋体"/>
                <w:bCs/>
                <w:color w:val="auto"/>
                <w:sz w:val="21"/>
                <w:szCs w:val="21"/>
                <w:highlight w:val="none"/>
                <w:lang w:eastAsia="zh-CN"/>
              </w:rPr>
              <w:t>。</w:t>
            </w:r>
          </w:p>
        </w:tc>
        <w:tc>
          <w:tcPr>
            <w:tcW w:w="665"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ight="0" w:right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55" w:type="dxa"/>
            <w:gridSpan w:val="5"/>
            <w:tcBorders>
              <w:top w:val="single" w:color="auto" w:sz="4" w:space="0"/>
              <w:left w:val="single" w:color="auto" w:sz="4" w:space="0"/>
              <w:bottom w:val="single" w:color="auto" w:sz="4" w:space="0"/>
            </w:tcBorders>
            <w:vAlign w:val="center"/>
          </w:tcPr>
          <w:p>
            <w:pPr>
              <w:pStyle w:val="11"/>
              <w:keepNext w:val="0"/>
              <w:keepLines w:val="0"/>
              <w:pageBreakBefore w:val="0"/>
              <w:kinsoku/>
              <w:wordWrap/>
              <w:overflowPunct/>
              <w:topLinePunct w:val="0"/>
              <w:bidi w:val="0"/>
              <w:adjustRightInd/>
              <w:snapToGrid/>
              <w:spacing w:beforeAutospacing="0" w:afterAutospacing="0" w:line="360" w:lineRule="exact"/>
              <w:ind w:left="0" w:left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商务要求表:</w:t>
            </w:r>
          </w:p>
        </w:tc>
        <w:tc>
          <w:tcPr>
            <w:tcW w:w="658" w:type="dxa"/>
            <w:tcBorders>
              <w:top w:val="single" w:color="auto" w:sz="4" w:space="0"/>
              <w:left w:val="single" w:color="auto" w:sz="4" w:space="0"/>
              <w:bottom w:val="single" w:color="auto" w:sz="4" w:space="0"/>
            </w:tcBorders>
            <w:vAlign w:val="center"/>
          </w:tcPr>
          <w:p>
            <w:pPr>
              <w:pStyle w:val="11"/>
              <w:keepNext w:val="0"/>
              <w:keepLines w:val="0"/>
              <w:pageBreakBefore w:val="0"/>
              <w:kinsoku/>
              <w:wordWrap/>
              <w:overflowPunct/>
              <w:topLinePunct w:val="0"/>
              <w:bidi w:val="0"/>
              <w:adjustRightInd/>
              <w:snapToGrid/>
              <w:spacing w:beforeAutospacing="0" w:afterAutospacing="0" w:line="360" w:lineRule="exact"/>
              <w:ind w:left="0" w:leftChars="0"/>
              <w:jc w:val="both"/>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7382" w:type="dxa"/>
            <w:gridSpan w:val="3"/>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自验收合格后不少于一年的免费保修。定期回访；按国家规定和厂家承诺实行“三包”。</w:t>
            </w:r>
          </w:p>
        </w:tc>
        <w:tc>
          <w:tcPr>
            <w:tcW w:w="658" w:type="dxa"/>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售后技术服务要求</w:t>
            </w:r>
          </w:p>
        </w:tc>
        <w:tc>
          <w:tcPr>
            <w:tcW w:w="7382" w:type="dxa"/>
            <w:gridSpan w:val="3"/>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1、竞标人须制定技术服务条款及实施办法，并明确售后服务措施；质量保证期内中标方必须每年2次到现场进行一次免费维护及提供技术服务；须提供质保期满后的措施；</w:t>
            </w:r>
          </w:p>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2、产品到货及验收时需提供的资料：①产品的使用手册；②产品出厂检验合格证书；③产品质保证明；</w:t>
            </w:r>
          </w:p>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3、投入使用后提供保养及相关服务；</w:t>
            </w:r>
          </w:p>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4、现场培训：中标供应商提供现场技术培训，对采购单位人员进行操作、维修、保养等技术的培训指导，至能独立操作，简单故障排除；</w:t>
            </w:r>
          </w:p>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5、免费送货上门，免费安装调试。</w:t>
            </w:r>
          </w:p>
        </w:tc>
        <w:tc>
          <w:tcPr>
            <w:tcW w:w="658" w:type="dxa"/>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73"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交货时间及地点</w:t>
            </w:r>
          </w:p>
        </w:tc>
        <w:tc>
          <w:tcPr>
            <w:tcW w:w="7382" w:type="dxa"/>
            <w:gridSpan w:val="3"/>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交货时间：</w:t>
            </w:r>
            <w:r>
              <w:rPr>
                <w:rFonts w:hint="eastAsia" w:ascii="宋体" w:hAnsi="宋体" w:eastAsia="宋体" w:cs="宋体"/>
                <w:color w:val="auto"/>
                <w:sz w:val="21"/>
                <w:szCs w:val="21"/>
                <w:highlight w:val="none"/>
                <w:lang w:eastAsia="zh-CN"/>
              </w:rPr>
              <w:t>签订合同之日起20日内安装调试完毕验收合格交并付使用。</w:t>
            </w:r>
          </w:p>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交货地点：广西</w:t>
            </w:r>
            <w:r>
              <w:rPr>
                <w:rFonts w:hint="eastAsia" w:ascii="宋体" w:hAnsi="宋体" w:eastAsia="宋体" w:cs="宋体"/>
                <w:color w:val="auto"/>
                <w:sz w:val="21"/>
                <w:szCs w:val="21"/>
                <w:highlight w:val="none"/>
                <w:lang w:eastAsia="zh-CN"/>
              </w:rPr>
              <w:t>柳州市</w:t>
            </w:r>
            <w:r>
              <w:rPr>
                <w:rFonts w:hint="eastAsia" w:ascii="宋体" w:hAnsi="宋体" w:eastAsia="宋体" w:cs="宋体"/>
                <w:color w:val="auto"/>
                <w:sz w:val="21"/>
                <w:szCs w:val="21"/>
                <w:highlight w:val="none"/>
              </w:rPr>
              <w:t>用户指定地点。</w:t>
            </w:r>
          </w:p>
        </w:tc>
        <w:tc>
          <w:tcPr>
            <w:tcW w:w="658" w:type="dxa"/>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c>
          <w:tcPr>
            <w:tcW w:w="7382" w:type="dxa"/>
            <w:gridSpan w:val="3"/>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本项目预付50%，全部货物交货验收合格、安装、调试完毕，验收合格交付使用之日起十个工作日内，由甲方支付合同价款的100%。</w:t>
            </w:r>
          </w:p>
        </w:tc>
        <w:tc>
          <w:tcPr>
            <w:tcW w:w="658" w:type="dxa"/>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原厂商授权及相关要求</w:t>
            </w:r>
          </w:p>
        </w:tc>
        <w:tc>
          <w:tcPr>
            <w:tcW w:w="7382" w:type="dxa"/>
            <w:gridSpan w:val="3"/>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为确保采购的产品为全新含质保产品，成交人在供货时需出具核心设备生产厂家针对本项目的授权书、供货证明、售后服务承诺书原件并加盖成交人公章。</w:t>
            </w:r>
          </w:p>
        </w:tc>
        <w:tc>
          <w:tcPr>
            <w:tcW w:w="658" w:type="dxa"/>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备品备件及耗材等要求</w:t>
            </w:r>
          </w:p>
        </w:tc>
        <w:tc>
          <w:tcPr>
            <w:tcW w:w="7382" w:type="dxa"/>
            <w:gridSpan w:val="3"/>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竞标方提供备品备件及易损件清单及价格。</w:t>
            </w:r>
          </w:p>
        </w:tc>
        <w:tc>
          <w:tcPr>
            <w:tcW w:w="658" w:type="dxa"/>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售后服务保障或维修响应时间要求</w:t>
            </w:r>
          </w:p>
        </w:tc>
        <w:tc>
          <w:tcPr>
            <w:tcW w:w="7382" w:type="dxa"/>
            <w:gridSpan w:val="3"/>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中标供应商对采购方维修或维护要求应在1小时内作出响应，提出处理意见，如果需要现场服务的，保证技术人员在12小时内到达现场；保修期后供应商在接到通知的48小时内作出响应，提出处理意见，如果需要现场服务的，保证技术人员在2个工作日内到达现场。如需更换零配件及消耗品，不超过10天（自然日）。如发生非用户导致的重大损坏，在设备更换或维修正常工作后延长相应时间的保修期。设备在运输过程中出现损坏的，由供应商负责该损坏设备的更换或维修。</w:t>
            </w:r>
          </w:p>
        </w:tc>
        <w:tc>
          <w:tcPr>
            <w:tcW w:w="658" w:type="dxa"/>
            <w:tcBorders>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7382" w:type="dxa"/>
            <w:gridSpan w:val="3"/>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竞标人提供的硬件设备及软件的技术参数、配置和性能指标必须为真实有效，签订合同前须出具主要生产制造厂商的供货确认函和设备说明书（加盖生产厂商单位公章），并在正式交货前提供一套设备进行预安装，如有提供虚假材料谋取中标的，按政府采购相关法规处罚，并追究其相应的法律责任</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2、竞标产品必须是按厂家标准配置的整套全新，具备正规合法经销渠道的，符合国家各项有关质量标准的合格产品。相关部件及服务满足以上各项要求。若产品在运输过程中损坏或擦伤须无偿调换相同产品</w:t>
            </w:r>
            <w:r>
              <w:rPr>
                <w:rFonts w:hint="eastAsia" w:ascii="宋体" w:hAnsi="宋体" w:eastAsia="宋体" w:cs="宋体"/>
                <w:color w:val="auto"/>
                <w:sz w:val="21"/>
                <w:szCs w:val="21"/>
                <w:highlight w:val="none"/>
                <w:lang w:eastAsia="zh-CN"/>
              </w:rPr>
              <w:t>。</w:t>
            </w:r>
          </w:p>
          <w:p>
            <w:pPr>
              <w:pStyle w:val="11"/>
              <w:keepNext w:val="0"/>
              <w:keepLines w:val="0"/>
              <w:pageBreakBefore w:val="0"/>
              <w:kinsoku/>
              <w:wordWrap/>
              <w:overflowPunct/>
              <w:topLinePunct w:val="0"/>
              <w:bidi w:val="0"/>
              <w:adjustRightInd/>
              <w:snapToGrid/>
              <w:spacing w:beforeAutospacing="0" w:afterAutospacing="0" w:line="360" w:lineRule="exact"/>
              <w:ind w:left="0" w:lef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3、采购人有权要求进行样机抽检(如产生检测费用的由成交人承担)，以确认功能的真实有效性；如成交人提供的产品和采购文件要求不符的, 以虚假应标处理，采购人不予验收，并追究成交人相应的法律责任</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4、为了保障项目设计完整性，竞标人可选择自行踏勘，并自行承担现场考察的责任和风险、考察及现场设备测试的所有费用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了确保采购质量，根据《中华人民共和国财政部令第87号--政府采购货物和服务招标竞标管理办法》第六十条：“评标委员会认为竞标人的报价明显低于其他通过符合性审查竞标人的报价，有可能影响产品质量或者不能诚信履约的，应当要求其在评标现场合理的时间内提供书面说明，必要时提交相关证明材料；竞标人不能证明其报价合理性的，评标委员会应当将其作为无效竞标处理。”</w:t>
            </w:r>
          </w:p>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评审专家组认定竞标人出现明显恶意低价的行为，则竞标人必须提供最近一年财务审计报告、成本组成明细（有合同双方证明，提供复印件，原件现场核查），如不提供或其提供的资料不能详尽合理说明其成本的，视为低于成本价报价，其竞标无效。</w:t>
            </w:r>
          </w:p>
        </w:tc>
        <w:tc>
          <w:tcPr>
            <w:tcW w:w="658" w:type="dxa"/>
            <w:vAlign w:val="center"/>
          </w:tcPr>
          <w:p>
            <w:pPr>
              <w:keepNext w:val="0"/>
              <w:keepLines w:val="0"/>
              <w:pageBreakBefore w:val="0"/>
              <w:kinsoku/>
              <w:wordWrap/>
              <w:overflowPunct/>
              <w:topLinePunct w:val="0"/>
              <w:bidi w:val="0"/>
              <w:adjustRightInd/>
              <w:snapToGrid/>
              <w:spacing w:beforeAutospacing="0" w:afterAutospacing="0" w:line="360" w:lineRule="exact"/>
              <w:ind w:left="0" w:leftChars="0"/>
              <w:rPr>
                <w:rFonts w:hint="eastAsia" w:ascii="宋体" w:hAnsi="宋体" w:eastAsia="宋体" w:cs="宋体"/>
                <w:color w:val="auto"/>
                <w:sz w:val="21"/>
                <w:szCs w:val="21"/>
                <w:highlight w:val="none"/>
              </w:rPr>
            </w:pPr>
          </w:p>
        </w:tc>
      </w:tr>
    </w:tbl>
    <w:p>
      <w:pPr>
        <w:pStyle w:val="3"/>
        <w:spacing w:line="360" w:lineRule="exact"/>
        <w:jc w:val="center"/>
        <w:rPr>
          <w:rFonts w:ascii="宋体" w:hAnsi="宋体" w:cs="宋体"/>
          <w:color w:val="auto"/>
          <w:highlight w:val="none"/>
        </w:rPr>
      </w:pPr>
      <w:r>
        <w:rPr>
          <w:rFonts w:hint="eastAsia" w:ascii="宋体" w:hAnsi="宋体" w:cs="宋体"/>
          <w:color w:val="auto"/>
          <w:highlight w:val="none"/>
        </w:rPr>
        <w:br w:type="page"/>
      </w:r>
      <w:bookmarkStart w:id="135" w:name="_Toc18361"/>
      <w:r>
        <w:rPr>
          <w:rFonts w:hint="eastAsia" w:ascii="宋体" w:hAnsi="宋体" w:cs="宋体"/>
          <w:color w:val="auto"/>
          <w:highlight w:val="none"/>
        </w:rPr>
        <w:t>第四章</w:t>
      </w:r>
      <w:r>
        <w:rPr>
          <w:rFonts w:hint="eastAsia" w:ascii="宋体" w:hAnsi="宋体" w:cs="宋体"/>
          <w:color w:val="auto"/>
          <w:highlight w:val="none"/>
          <w:lang w:val="en-US" w:eastAsia="zh-CN"/>
        </w:rPr>
        <w:t xml:space="preserve">  </w:t>
      </w:r>
      <w:r>
        <w:rPr>
          <w:rFonts w:hint="eastAsia" w:ascii="宋体" w:hAnsi="宋体" w:cs="宋体"/>
          <w:color w:val="auto"/>
          <w:highlight w:val="none"/>
        </w:rPr>
        <w:t>合同主要条款格式</w:t>
      </w:r>
      <w:bookmarkEnd w:id="135"/>
    </w:p>
    <w:p>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《政府采购合同》</w:t>
      </w:r>
    </w:p>
    <w:p>
      <w:pPr>
        <w:snapToGrid w:val="0"/>
        <w:spacing w:line="400" w:lineRule="exact"/>
        <w:jc w:val="center"/>
        <w:rPr>
          <w:rFonts w:ascii="宋体" w:hAnsi="宋体"/>
          <w:b/>
          <w:bCs/>
          <w:color w:val="auto"/>
          <w:sz w:val="32"/>
          <w:szCs w:val="32"/>
          <w:highlight w:val="none"/>
        </w:rPr>
      </w:pPr>
    </w:p>
    <w:p>
      <w:pPr>
        <w:snapToGrid w:val="0"/>
        <w:spacing w:line="380" w:lineRule="exact"/>
        <w:ind w:right="480" w:firstLine="6300" w:firstLineChars="3000"/>
        <w:rPr>
          <w:rFonts w:ascii="宋体" w:hAnsi="宋体"/>
          <w:bCs/>
          <w:color w:val="auto"/>
          <w:szCs w:val="21"/>
          <w:highlight w:val="none"/>
          <w:u w:val="single"/>
        </w:rPr>
      </w:pPr>
      <w:r>
        <w:rPr>
          <w:rFonts w:hint="eastAsia" w:ascii="宋体" w:hAnsi="宋体"/>
          <w:bCs/>
          <w:color w:val="auto"/>
          <w:szCs w:val="21"/>
          <w:highlight w:val="none"/>
        </w:rPr>
        <w:t>合同编号：</w:t>
      </w:r>
    </w:p>
    <w:p>
      <w:pPr>
        <w:snapToGrid w:val="0"/>
        <w:spacing w:line="360" w:lineRule="exact"/>
        <w:rPr>
          <w:rFonts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pacing w:val="0"/>
          <w:szCs w:val="21"/>
          <w:highlight w:val="none"/>
        </w:rPr>
        <w:t>）采购计划号：</w:t>
      </w:r>
    </w:p>
    <w:p>
      <w:pPr>
        <w:snapToGrid w:val="0"/>
        <w:spacing w:line="360" w:lineRule="exact"/>
        <w:rPr>
          <w:rFonts w:ascii="宋体" w:hAnsi="宋体"/>
          <w:color w:val="auto"/>
          <w:szCs w:val="21"/>
          <w:highlight w:val="none"/>
          <w:u w:val="single"/>
        </w:rPr>
      </w:pPr>
      <w:r>
        <w:rPr>
          <w:rFonts w:hint="eastAsia" w:ascii="宋体" w:hAnsi="宋体"/>
          <w:color w:val="auto"/>
          <w:szCs w:val="21"/>
          <w:highlight w:val="none"/>
        </w:rPr>
        <w:t>供应商（乙方）项目名称和编号：</w:t>
      </w:r>
    </w:p>
    <w:p>
      <w:pPr>
        <w:snapToGrid w:val="0"/>
        <w:spacing w:line="360" w:lineRule="exact"/>
        <w:rPr>
          <w:rFonts w:ascii="宋体" w:hAnsi="宋体"/>
          <w:i/>
          <w:iCs/>
          <w:color w:val="auto"/>
          <w:szCs w:val="21"/>
          <w:highlight w:val="none"/>
          <w:u w:val="single"/>
        </w:rPr>
      </w:pPr>
      <w:r>
        <w:rPr>
          <w:rFonts w:hint="eastAsia" w:ascii="宋体" w:hAnsi="宋体"/>
          <w:color w:val="auto"/>
          <w:szCs w:val="21"/>
          <w:highlight w:val="none"/>
        </w:rPr>
        <w:t>签订地点签订时间：</w:t>
      </w:r>
    </w:p>
    <w:p>
      <w:pPr>
        <w:snapToGrid w:val="0"/>
        <w:spacing w:line="360" w:lineRule="exact"/>
        <w:ind w:firstLine="420" w:firstLineChars="200"/>
        <w:rPr>
          <w:rFonts w:ascii="宋体" w:hAnsi="宋体"/>
          <w:color w:val="auto"/>
          <w:szCs w:val="21"/>
          <w:highlight w:val="none"/>
        </w:rPr>
      </w:pP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根据《中华人民共和国政府采购法》、《中华人民共和国合同法》等法律、法规规定，按照谈判文件规定条款和成交供应商承诺，甲乙双方签订本合同。</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tbl>
      <w:tblPr>
        <w:tblStyle w:val="29"/>
        <w:tblpPr w:leftFromText="180" w:rightFromText="180" w:vertAnchor="text" w:horzAnchor="page" w:tblpX="1567" w:tblpY="361"/>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3"/>
        <w:gridCol w:w="754"/>
        <w:gridCol w:w="756"/>
        <w:gridCol w:w="1510"/>
        <w:gridCol w:w="1056"/>
        <w:gridCol w:w="906"/>
        <w:gridCol w:w="120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5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793"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产品名称</w:t>
            </w:r>
          </w:p>
        </w:tc>
        <w:tc>
          <w:tcPr>
            <w:tcW w:w="754"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商标品牌</w:t>
            </w:r>
          </w:p>
        </w:tc>
        <w:tc>
          <w:tcPr>
            <w:tcW w:w="75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510"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生产厂家</w:t>
            </w:r>
          </w:p>
        </w:tc>
        <w:tc>
          <w:tcPr>
            <w:tcW w:w="105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90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1207"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（元）</w:t>
            </w:r>
          </w:p>
        </w:tc>
        <w:tc>
          <w:tcPr>
            <w:tcW w:w="1662"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金额</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793" w:type="dxa"/>
            <w:vAlign w:val="center"/>
          </w:tcPr>
          <w:p>
            <w:pPr>
              <w:snapToGrid w:val="0"/>
              <w:spacing w:line="360" w:lineRule="exact"/>
              <w:jc w:val="center"/>
              <w:rPr>
                <w:rFonts w:ascii="宋体" w:hAnsi="宋体"/>
                <w:color w:val="auto"/>
                <w:szCs w:val="21"/>
                <w:highlight w:val="none"/>
              </w:rPr>
            </w:pPr>
          </w:p>
        </w:tc>
        <w:tc>
          <w:tcPr>
            <w:tcW w:w="754" w:type="dxa"/>
            <w:vAlign w:val="center"/>
          </w:tcPr>
          <w:p>
            <w:pPr>
              <w:snapToGrid w:val="0"/>
              <w:spacing w:line="360" w:lineRule="exact"/>
              <w:jc w:val="center"/>
              <w:rPr>
                <w:rFonts w:ascii="宋体" w:hAnsi="宋体"/>
                <w:color w:val="auto"/>
                <w:szCs w:val="21"/>
                <w:highlight w:val="none"/>
              </w:rPr>
            </w:pPr>
          </w:p>
        </w:tc>
        <w:tc>
          <w:tcPr>
            <w:tcW w:w="756" w:type="dxa"/>
            <w:vAlign w:val="center"/>
          </w:tcPr>
          <w:p>
            <w:pPr>
              <w:snapToGrid w:val="0"/>
              <w:spacing w:line="360" w:lineRule="exact"/>
              <w:jc w:val="center"/>
              <w:rPr>
                <w:rFonts w:ascii="宋体" w:hAnsi="宋体"/>
                <w:color w:val="auto"/>
                <w:szCs w:val="21"/>
                <w:highlight w:val="none"/>
              </w:rPr>
            </w:pPr>
          </w:p>
        </w:tc>
        <w:tc>
          <w:tcPr>
            <w:tcW w:w="1510" w:type="dxa"/>
          </w:tcPr>
          <w:p>
            <w:pPr>
              <w:snapToGrid w:val="0"/>
              <w:spacing w:line="360" w:lineRule="exact"/>
              <w:jc w:val="center"/>
              <w:rPr>
                <w:rFonts w:ascii="宋体" w:hAnsi="宋体"/>
                <w:color w:val="auto"/>
                <w:szCs w:val="21"/>
                <w:highlight w:val="none"/>
              </w:rPr>
            </w:pPr>
          </w:p>
        </w:tc>
        <w:tc>
          <w:tcPr>
            <w:tcW w:w="1056" w:type="dxa"/>
          </w:tcPr>
          <w:p>
            <w:pPr>
              <w:snapToGrid w:val="0"/>
              <w:spacing w:line="360" w:lineRule="exact"/>
              <w:jc w:val="center"/>
              <w:rPr>
                <w:rFonts w:ascii="宋体" w:hAnsi="宋体"/>
                <w:color w:val="auto"/>
                <w:szCs w:val="21"/>
                <w:highlight w:val="none"/>
              </w:rPr>
            </w:pPr>
          </w:p>
        </w:tc>
        <w:tc>
          <w:tcPr>
            <w:tcW w:w="906" w:type="dxa"/>
          </w:tcPr>
          <w:p>
            <w:pPr>
              <w:snapToGrid w:val="0"/>
              <w:spacing w:line="360" w:lineRule="exact"/>
              <w:jc w:val="center"/>
              <w:rPr>
                <w:rFonts w:ascii="宋体" w:hAnsi="宋体"/>
                <w:color w:val="auto"/>
                <w:szCs w:val="21"/>
                <w:highlight w:val="none"/>
              </w:rPr>
            </w:pPr>
          </w:p>
        </w:tc>
        <w:tc>
          <w:tcPr>
            <w:tcW w:w="1207" w:type="dxa"/>
            <w:vAlign w:val="center"/>
          </w:tcPr>
          <w:p>
            <w:pPr>
              <w:snapToGrid w:val="0"/>
              <w:spacing w:line="360" w:lineRule="exact"/>
              <w:jc w:val="center"/>
              <w:rPr>
                <w:rFonts w:ascii="宋体" w:hAnsi="宋体"/>
                <w:color w:val="auto"/>
                <w:szCs w:val="21"/>
                <w:highlight w:val="none"/>
              </w:rPr>
            </w:pPr>
          </w:p>
        </w:tc>
        <w:tc>
          <w:tcPr>
            <w:tcW w:w="1662" w:type="dxa"/>
            <w:vAlign w:val="center"/>
          </w:tcPr>
          <w:p>
            <w:pPr>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793" w:type="dxa"/>
            <w:vAlign w:val="center"/>
          </w:tcPr>
          <w:p>
            <w:pPr>
              <w:snapToGrid w:val="0"/>
              <w:spacing w:line="360" w:lineRule="exact"/>
              <w:jc w:val="center"/>
              <w:rPr>
                <w:rFonts w:ascii="宋体" w:hAnsi="宋体"/>
                <w:color w:val="auto"/>
                <w:szCs w:val="21"/>
                <w:highlight w:val="none"/>
              </w:rPr>
            </w:pPr>
          </w:p>
        </w:tc>
        <w:tc>
          <w:tcPr>
            <w:tcW w:w="754" w:type="dxa"/>
            <w:vAlign w:val="center"/>
          </w:tcPr>
          <w:p>
            <w:pPr>
              <w:snapToGrid w:val="0"/>
              <w:spacing w:line="360" w:lineRule="exact"/>
              <w:jc w:val="center"/>
              <w:rPr>
                <w:rFonts w:ascii="宋体" w:hAnsi="宋体"/>
                <w:color w:val="auto"/>
                <w:szCs w:val="21"/>
                <w:highlight w:val="none"/>
              </w:rPr>
            </w:pPr>
          </w:p>
        </w:tc>
        <w:tc>
          <w:tcPr>
            <w:tcW w:w="756" w:type="dxa"/>
            <w:vAlign w:val="center"/>
          </w:tcPr>
          <w:p>
            <w:pPr>
              <w:snapToGrid w:val="0"/>
              <w:spacing w:line="360" w:lineRule="exact"/>
              <w:jc w:val="center"/>
              <w:rPr>
                <w:rFonts w:ascii="宋体" w:hAnsi="宋体"/>
                <w:color w:val="auto"/>
                <w:szCs w:val="21"/>
                <w:highlight w:val="none"/>
              </w:rPr>
            </w:pPr>
          </w:p>
        </w:tc>
        <w:tc>
          <w:tcPr>
            <w:tcW w:w="1510" w:type="dxa"/>
          </w:tcPr>
          <w:p>
            <w:pPr>
              <w:snapToGrid w:val="0"/>
              <w:spacing w:line="360" w:lineRule="exact"/>
              <w:jc w:val="center"/>
              <w:rPr>
                <w:rFonts w:ascii="宋体" w:hAnsi="宋体"/>
                <w:color w:val="auto"/>
                <w:szCs w:val="21"/>
                <w:highlight w:val="none"/>
              </w:rPr>
            </w:pPr>
          </w:p>
        </w:tc>
        <w:tc>
          <w:tcPr>
            <w:tcW w:w="1056" w:type="dxa"/>
          </w:tcPr>
          <w:p>
            <w:pPr>
              <w:snapToGrid w:val="0"/>
              <w:spacing w:line="360" w:lineRule="exact"/>
              <w:jc w:val="center"/>
              <w:rPr>
                <w:rFonts w:ascii="宋体" w:hAnsi="宋体"/>
                <w:color w:val="auto"/>
                <w:szCs w:val="21"/>
                <w:highlight w:val="none"/>
              </w:rPr>
            </w:pPr>
          </w:p>
        </w:tc>
        <w:tc>
          <w:tcPr>
            <w:tcW w:w="906" w:type="dxa"/>
          </w:tcPr>
          <w:p>
            <w:pPr>
              <w:snapToGrid w:val="0"/>
              <w:spacing w:line="360" w:lineRule="exact"/>
              <w:jc w:val="center"/>
              <w:rPr>
                <w:rFonts w:ascii="宋体" w:hAnsi="宋体"/>
                <w:color w:val="auto"/>
                <w:szCs w:val="21"/>
                <w:highlight w:val="none"/>
              </w:rPr>
            </w:pPr>
          </w:p>
        </w:tc>
        <w:tc>
          <w:tcPr>
            <w:tcW w:w="1207" w:type="dxa"/>
            <w:vAlign w:val="center"/>
          </w:tcPr>
          <w:p>
            <w:pPr>
              <w:snapToGrid w:val="0"/>
              <w:spacing w:line="360" w:lineRule="exact"/>
              <w:jc w:val="center"/>
              <w:rPr>
                <w:rFonts w:ascii="宋体" w:hAnsi="宋体"/>
                <w:color w:val="auto"/>
                <w:szCs w:val="21"/>
                <w:highlight w:val="none"/>
              </w:rPr>
            </w:pPr>
          </w:p>
        </w:tc>
        <w:tc>
          <w:tcPr>
            <w:tcW w:w="1662" w:type="dxa"/>
            <w:vAlign w:val="center"/>
          </w:tcPr>
          <w:p>
            <w:pPr>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793" w:type="dxa"/>
            <w:vAlign w:val="center"/>
          </w:tcPr>
          <w:p>
            <w:pPr>
              <w:snapToGrid w:val="0"/>
              <w:spacing w:line="360" w:lineRule="exact"/>
              <w:jc w:val="center"/>
              <w:rPr>
                <w:rFonts w:ascii="宋体" w:hAnsi="宋体"/>
                <w:color w:val="auto"/>
                <w:szCs w:val="21"/>
                <w:highlight w:val="none"/>
              </w:rPr>
            </w:pPr>
          </w:p>
        </w:tc>
        <w:tc>
          <w:tcPr>
            <w:tcW w:w="754" w:type="dxa"/>
            <w:vAlign w:val="center"/>
          </w:tcPr>
          <w:p>
            <w:pPr>
              <w:snapToGrid w:val="0"/>
              <w:spacing w:line="360" w:lineRule="exact"/>
              <w:jc w:val="center"/>
              <w:rPr>
                <w:rFonts w:ascii="宋体" w:hAnsi="宋体"/>
                <w:color w:val="auto"/>
                <w:szCs w:val="21"/>
                <w:highlight w:val="none"/>
              </w:rPr>
            </w:pPr>
          </w:p>
        </w:tc>
        <w:tc>
          <w:tcPr>
            <w:tcW w:w="756" w:type="dxa"/>
            <w:vAlign w:val="center"/>
          </w:tcPr>
          <w:p>
            <w:pPr>
              <w:snapToGrid w:val="0"/>
              <w:spacing w:line="360" w:lineRule="exact"/>
              <w:jc w:val="center"/>
              <w:rPr>
                <w:rFonts w:ascii="宋体" w:hAnsi="宋体"/>
                <w:color w:val="auto"/>
                <w:szCs w:val="21"/>
                <w:highlight w:val="none"/>
              </w:rPr>
            </w:pPr>
          </w:p>
        </w:tc>
        <w:tc>
          <w:tcPr>
            <w:tcW w:w="1510" w:type="dxa"/>
          </w:tcPr>
          <w:p>
            <w:pPr>
              <w:snapToGrid w:val="0"/>
              <w:spacing w:line="360" w:lineRule="exact"/>
              <w:jc w:val="center"/>
              <w:rPr>
                <w:rFonts w:ascii="宋体" w:hAnsi="宋体"/>
                <w:color w:val="auto"/>
                <w:szCs w:val="21"/>
                <w:highlight w:val="none"/>
              </w:rPr>
            </w:pPr>
          </w:p>
        </w:tc>
        <w:tc>
          <w:tcPr>
            <w:tcW w:w="1056" w:type="dxa"/>
          </w:tcPr>
          <w:p>
            <w:pPr>
              <w:snapToGrid w:val="0"/>
              <w:spacing w:line="360" w:lineRule="exact"/>
              <w:jc w:val="center"/>
              <w:rPr>
                <w:rFonts w:ascii="宋体" w:hAnsi="宋体"/>
                <w:color w:val="auto"/>
                <w:szCs w:val="21"/>
                <w:highlight w:val="none"/>
              </w:rPr>
            </w:pPr>
          </w:p>
        </w:tc>
        <w:tc>
          <w:tcPr>
            <w:tcW w:w="906" w:type="dxa"/>
          </w:tcPr>
          <w:p>
            <w:pPr>
              <w:snapToGrid w:val="0"/>
              <w:spacing w:line="360" w:lineRule="exact"/>
              <w:jc w:val="center"/>
              <w:rPr>
                <w:rFonts w:ascii="宋体" w:hAnsi="宋体"/>
                <w:color w:val="auto"/>
                <w:szCs w:val="21"/>
                <w:highlight w:val="none"/>
              </w:rPr>
            </w:pPr>
          </w:p>
        </w:tc>
        <w:tc>
          <w:tcPr>
            <w:tcW w:w="1207" w:type="dxa"/>
            <w:vAlign w:val="center"/>
          </w:tcPr>
          <w:p>
            <w:pPr>
              <w:snapToGrid w:val="0"/>
              <w:spacing w:line="360" w:lineRule="exact"/>
              <w:jc w:val="center"/>
              <w:rPr>
                <w:rFonts w:ascii="宋体" w:hAnsi="宋体"/>
                <w:color w:val="auto"/>
                <w:szCs w:val="21"/>
                <w:highlight w:val="none"/>
              </w:rPr>
            </w:pPr>
          </w:p>
        </w:tc>
        <w:tc>
          <w:tcPr>
            <w:tcW w:w="1662" w:type="dxa"/>
            <w:vAlign w:val="center"/>
          </w:tcPr>
          <w:p>
            <w:pPr>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00" w:type="dxa"/>
            <w:gridSpan w:val="9"/>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人民币合计金额</w:t>
            </w:r>
            <w:r>
              <w:rPr>
                <w:rFonts w:hint="eastAsia" w:ascii="宋体" w:hAnsi="宋体"/>
                <w:color w:val="auto"/>
                <w:szCs w:val="21"/>
                <w:highlight w:val="none"/>
                <w:lang w:eastAsia="zh-CN"/>
              </w:rPr>
              <w:t>：</w:t>
            </w:r>
            <w:r>
              <w:rPr>
                <w:rFonts w:hint="eastAsia" w:ascii="宋体" w:hAnsi="宋体"/>
                <w:color w:val="auto"/>
                <w:szCs w:val="21"/>
                <w:highlight w:val="none"/>
              </w:rPr>
              <w:t>（大写）</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（小写）</w:t>
            </w:r>
          </w:p>
        </w:tc>
      </w:tr>
    </w:tbl>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1.供货一览表</w:t>
      </w:r>
    </w:p>
    <w:p>
      <w:pPr>
        <w:snapToGrid w:val="0"/>
        <w:spacing w:line="360" w:lineRule="exact"/>
        <w:ind w:right="420" w:firstLine="420" w:firstLineChars="200"/>
        <w:rPr>
          <w:rFonts w:ascii="宋体" w:hAnsi="宋体"/>
          <w:color w:val="auto"/>
          <w:szCs w:val="21"/>
          <w:highlight w:val="none"/>
        </w:rPr>
      </w:pPr>
      <w:r>
        <w:rPr>
          <w:rFonts w:hint="eastAsia" w:ascii="宋体" w:hAnsi="宋体"/>
          <w:color w:val="auto"/>
          <w:szCs w:val="21"/>
          <w:highlight w:val="none"/>
        </w:rPr>
        <w:t>2.合同合计金额包括货物价款，备件、专用工具、安装、调试、检验、技术培训及技术资料和包装、运输等全部费用。如谈判文件和响应文件对其另有规定的，从其规定。</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第二条　质量保证</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1.乙方所提供的货物型号、技术规格、技术参数等质量必须与招响应文件和承诺相一致。乙方提供的自主创新产品、节能和环保产品必须是列入政府采购清单的产品。</w:t>
      </w:r>
    </w:p>
    <w:p>
      <w:pPr>
        <w:snapToGrid w:val="0"/>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2.乙方所提供的货物必须是全新、未使用的原装产品，且在正常安装、使用和保养条件下，其使用寿命期内各项指标均达到质量要求。</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第三条　权利保证</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乙方应保证所提供货物在使用时不会侵犯任何第三方的专利权、商标权、工业设计权或其他权利。</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乙方应按谈判文件规定的时间向甲方提供使用货物的有关技术资料。</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乙方保证所交付的货物的所有权完全属于乙方且无任何抵押、质押、查封等产权瑕疵。</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第四条　包装和运输</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1.乙方提供的货物均应按谈判文件和响应文件要求的包装材料、包装标准、包装方式进行包装，每一包装单元内应附详细的装箱单和质量合格证。</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不限。</w:t>
      </w:r>
    </w:p>
    <w:p>
      <w:pPr>
        <w:snapToGrid w:val="0"/>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3.乙方负责货物运输，货物运输合理损耗及计算方法：</w:t>
      </w:r>
      <w:r>
        <w:rPr>
          <w:rFonts w:hint="eastAsia" w:ascii="宋体" w:hAnsi="宋体"/>
          <w:color w:val="auto"/>
          <w:szCs w:val="21"/>
          <w:highlight w:val="none"/>
          <w:u w:val="single"/>
        </w:rPr>
        <w:t>不接受损耗。</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第五条　交付和验收</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1.交货时间：</w:t>
      </w:r>
      <w:r>
        <w:rPr>
          <w:rFonts w:hint="eastAsia" w:ascii="宋体" w:hAnsi="宋体"/>
          <w:color w:val="auto"/>
          <w:szCs w:val="21"/>
          <w:highlight w:val="none"/>
          <w:u w:val="single"/>
        </w:rPr>
        <w:t>按乙方响应文件承诺</w:t>
      </w:r>
      <w:r>
        <w:rPr>
          <w:rFonts w:hint="eastAsia" w:ascii="宋体" w:hAnsi="宋体"/>
          <w:color w:val="auto"/>
          <w:szCs w:val="21"/>
          <w:highlight w:val="none"/>
        </w:rPr>
        <w:t>、地点：</w:t>
      </w:r>
      <w:r>
        <w:rPr>
          <w:rFonts w:hint="eastAsia" w:ascii="宋体" w:hAnsi="宋体"/>
          <w:color w:val="auto"/>
          <w:szCs w:val="21"/>
          <w:highlight w:val="none"/>
          <w:u w:val="single"/>
        </w:rPr>
        <w:t>按乙方响应文件承诺</w:t>
      </w:r>
      <w:r>
        <w:rPr>
          <w:rFonts w:hint="eastAsia" w:ascii="宋体" w:hAnsi="宋体"/>
          <w:color w:val="auto"/>
          <w:szCs w:val="21"/>
          <w:highlight w:val="none"/>
        </w:rPr>
        <w:t>。</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2.乙方提供不符合招响应文件和本合同规定的货物，甲方有权拒绝接受。</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3.乙方应将所提供货物的装箱清单、用户手册、原厂保修卡、随机资料、工具和备品、备件等交付给甲方，货物属于进口产品的，供货时应同时附上中文使用说明书，如有缺失应及时补齐，否则视为逾期交货。</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6.甲方对验收有异议的，在验收后五个工作日内以书面形式向乙方提出，乙方应自收到甲方书面异议后五个工作日内及时予以解决。</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第六条　安装和培训</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1.甲方应提供必要安装条件（如场地、电源、水源等）。</w:t>
      </w:r>
    </w:p>
    <w:p>
      <w:pPr>
        <w:snapToGrid w:val="0"/>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2.乙方负责甲方有关人员的培训。培训时间、地点：</w:t>
      </w:r>
      <w:r>
        <w:rPr>
          <w:rFonts w:hint="eastAsia" w:ascii="宋体" w:hAnsi="宋体"/>
          <w:color w:val="auto"/>
          <w:szCs w:val="21"/>
          <w:highlight w:val="none"/>
          <w:u w:val="single"/>
        </w:rPr>
        <w:t>按乙方响应文件承诺</w:t>
      </w:r>
      <w:r>
        <w:rPr>
          <w:rFonts w:hint="eastAsia" w:ascii="宋体" w:hAnsi="宋体"/>
          <w:color w:val="auto"/>
          <w:szCs w:val="21"/>
          <w:highlight w:val="none"/>
        </w:rPr>
        <w:t>。</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第七条售后服务、保修期</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1.乙方应按照国家有关法律法规和“三包”规定以及招响应文件和本合同所附的《服务承诺》，为甲方提供售后服务。</w:t>
      </w:r>
    </w:p>
    <w:p>
      <w:pPr>
        <w:snapToGrid w:val="0"/>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2.货物保修期：</w:t>
      </w:r>
      <w:r>
        <w:rPr>
          <w:rFonts w:hint="eastAsia" w:ascii="宋体" w:hAnsi="宋体"/>
          <w:color w:val="auto"/>
          <w:szCs w:val="21"/>
          <w:highlight w:val="none"/>
          <w:u w:val="single"/>
        </w:rPr>
        <w:t>按乙方响应文件承诺</w:t>
      </w:r>
      <w:r>
        <w:rPr>
          <w:rFonts w:hint="eastAsia" w:ascii="宋体" w:hAnsi="宋体"/>
          <w:color w:val="auto"/>
          <w:szCs w:val="21"/>
          <w:highlight w:val="none"/>
        </w:rPr>
        <w:t>。</w:t>
      </w:r>
    </w:p>
    <w:p>
      <w:pPr>
        <w:snapToGrid w:val="0"/>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3.乙方提供的服务承诺和售后服务及保修期责任等其它具体约定事项。（见合同附件）</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第八条　付款方式和保证金</w:t>
      </w:r>
    </w:p>
    <w:p>
      <w:pPr>
        <w:pStyle w:val="14"/>
        <w:snapToGrid w:val="0"/>
        <w:spacing w:before="120" w:after="120" w:line="360" w:lineRule="exact"/>
        <w:ind w:left="420" w:leftChars="200"/>
        <w:rPr>
          <w:rFonts w:hAnsi="宋体"/>
          <w:color w:val="auto"/>
          <w:highlight w:val="none"/>
        </w:rPr>
      </w:pPr>
      <w:r>
        <w:rPr>
          <w:rFonts w:hint="eastAsia" w:hAnsi="宋体"/>
          <w:bCs/>
          <w:color w:val="auto"/>
          <w:highlight w:val="none"/>
        </w:rPr>
        <w:t>1.</w:t>
      </w:r>
      <w:r>
        <w:rPr>
          <w:rFonts w:hint="eastAsia" w:hAnsi="宋体"/>
          <w:color w:val="auto"/>
          <w:highlight w:val="none"/>
        </w:rPr>
        <w:t>当采购数量与实际使用数量不一致时，乙方应根据实际使用量供货，合同的最终结算金额按实际使用量乘以成交单价进行计算。</w:t>
      </w:r>
    </w:p>
    <w:p>
      <w:pPr>
        <w:snapToGrid w:val="0"/>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2.资金性质：</w:t>
      </w:r>
      <w:r>
        <w:rPr>
          <w:rFonts w:hint="eastAsia" w:ascii="宋体" w:hAnsi="宋体"/>
          <w:color w:val="auto"/>
          <w:szCs w:val="21"/>
          <w:highlight w:val="none"/>
          <w:u w:val="single"/>
        </w:rPr>
        <w:t>财政性资金</w:t>
      </w:r>
      <w:r>
        <w:rPr>
          <w:rFonts w:hint="eastAsia" w:ascii="宋体" w:hAnsi="宋体"/>
          <w:color w:val="auto"/>
          <w:szCs w:val="21"/>
          <w:highlight w:val="none"/>
        </w:rPr>
        <w:t>。</w:t>
      </w:r>
    </w:p>
    <w:p>
      <w:pPr>
        <w:widowControl/>
        <w:spacing w:line="360" w:lineRule="exact"/>
        <w:ind w:firstLine="420" w:firstLineChars="200"/>
        <w:rPr>
          <w:rFonts w:hint="eastAsia" w:ascii="宋体" w:hAnsi="宋体" w:eastAsia="宋体"/>
          <w:bCs/>
          <w:color w:val="auto"/>
          <w:szCs w:val="21"/>
          <w:highlight w:val="none"/>
          <w:lang w:eastAsia="zh-CN"/>
        </w:rPr>
      </w:pPr>
      <w:r>
        <w:rPr>
          <w:rFonts w:hint="eastAsia" w:ascii="宋体" w:hAnsi="宋体"/>
          <w:color w:val="auto"/>
          <w:kern w:val="0"/>
          <w:szCs w:val="21"/>
          <w:highlight w:val="none"/>
        </w:rPr>
        <w:t>3.付款方式：</w:t>
      </w:r>
      <w:r>
        <w:rPr>
          <w:rFonts w:hint="eastAsia" w:ascii="宋体" w:hAnsi="宋体" w:cs="宋体"/>
          <w:color w:val="auto"/>
          <w:szCs w:val="21"/>
          <w:highlight w:val="none"/>
          <w:lang w:eastAsia="zh-CN"/>
        </w:rPr>
        <w:t>本项目预付50%，全部货物交货验收合格、安装、调试完毕，验收合格交付使用之日起十个工作日内，由甲方支付合同价款的100%。</w:t>
      </w:r>
    </w:p>
    <w:p>
      <w:pPr>
        <w:snapToGrid w:val="0"/>
        <w:spacing w:line="360" w:lineRule="exact"/>
        <w:ind w:left="-61" w:leftChars="-29" w:firstLine="517" w:firstLineChars="245"/>
        <w:rPr>
          <w:rFonts w:ascii="宋体" w:hAnsi="宋体"/>
          <w:b/>
          <w:color w:val="auto"/>
          <w:szCs w:val="21"/>
          <w:highlight w:val="none"/>
        </w:rPr>
      </w:pPr>
      <w:r>
        <w:rPr>
          <w:rFonts w:hint="eastAsia" w:ascii="宋体" w:hAnsi="宋体"/>
          <w:b/>
          <w:color w:val="auto"/>
          <w:szCs w:val="21"/>
          <w:highlight w:val="none"/>
        </w:rPr>
        <w:t>第九条　履约保证金</w:t>
      </w:r>
    </w:p>
    <w:p>
      <w:pPr>
        <w:snapToGrid w:val="0"/>
        <w:spacing w:line="360" w:lineRule="exact"/>
        <w:ind w:left="-61" w:leftChars="-29" w:firstLine="517" w:firstLineChars="245"/>
        <w:rPr>
          <w:rFonts w:ascii="宋体" w:hAnsi="宋体"/>
          <w:b/>
          <w:color w:val="auto"/>
          <w:szCs w:val="21"/>
          <w:highlight w:val="none"/>
        </w:rPr>
      </w:pPr>
      <w:r>
        <w:rPr>
          <w:rFonts w:hint="eastAsia" w:ascii="宋体" w:hAnsi="宋体"/>
          <w:b/>
          <w:color w:val="auto"/>
          <w:szCs w:val="21"/>
          <w:highlight w:val="none"/>
        </w:rPr>
        <w:t>无。</w:t>
      </w:r>
    </w:p>
    <w:p>
      <w:pPr>
        <w:snapToGrid w:val="0"/>
        <w:spacing w:line="360" w:lineRule="exact"/>
        <w:ind w:left="-61" w:leftChars="-29" w:firstLine="517" w:firstLineChars="245"/>
        <w:rPr>
          <w:rFonts w:ascii="宋体" w:hAnsi="宋体"/>
          <w:b/>
          <w:color w:val="auto"/>
          <w:szCs w:val="21"/>
          <w:highlight w:val="none"/>
        </w:rPr>
      </w:pPr>
      <w:r>
        <w:rPr>
          <w:rFonts w:hint="eastAsia" w:ascii="宋体" w:hAnsi="宋体"/>
          <w:b/>
          <w:color w:val="auto"/>
          <w:szCs w:val="21"/>
          <w:highlight w:val="none"/>
        </w:rPr>
        <w:t>第十条税费</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本合同执行中相关的一切税费均由乙方负担。</w:t>
      </w:r>
    </w:p>
    <w:p>
      <w:pPr>
        <w:numPr>
          <w:ilvl w:val="0"/>
          <w:numId w:val="9"/>
        </w:num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、质量保证及售后服务</w:t>
      </w:r>
    </w:p>
    <w:p>
      <w:pPr>
        <w:pStyle w:val="14"/>
        <w:spacing w:line="360" w:lineRule="exact"/>
        <w:ind w:firstLine="420" w:firstLineChars="200"/>
        <w:rPr>
          <w:rFonts w:hAnsi="宋体"/>
          <w:color w:val="auto"/>
          <w:highlight w:val="none"/>
        </w:rPr>
      </w:pPr>
      <w:r>
        <w:rPr>
          <w:rFonts w:hint="eastAsia" w:hAnsi="宋体"/>
          <w:color w:val="auto"/>
          <w:highlight w:val="none"/>
        </w:rPr>
        <w:t>1.质量保证期年（自交货验收合格之日起计）。</w:t>
      </w:r>
    </w:p>
    <w:p>
      <w:pPr>
        <w:pStyle w:val="14"/>
        <w:spacing w:line="360" w:lineRule="exact"/>
        <w:ind w:firstLine="420" w:firstLineChars="200"/>
        <w:rPr>
          <w:rFonts w:hAnsi="宋体"/>
          <w:b/>
          <w:color w:val="auto"/>
          <w:highlight w:val="none"/>
        </w:rPr>
      </w:pPr>
      <w:r>
        <w:rPr>
          <w:rFonts w:hint="eastAsia" w:hAnsi="宋体"/>
          <w:color w:val="auto"/>
          <w:highlight w:val="none"/>
        </w:rPr>
        <w:t>2.质量保证金为（大写）人民币</w:t>
      </w:r>
      <w:r>
        <w:rPr>
          <w:rFonts w:hint="eastAsia" w:hAnsi="宋体"/>
          <w:color w:val="auto"/>
          <w:highlight w:val="none"/>
          <w:u w:val="single"/>
        </w:rPr>
        <w:t>　　　　　　</w:t>
      </w:r>
      <w:r>
        <w:rPr>
          <w:rFonts w:hint="eastAsia" w:hAnsi="宋体"/>
          <w:color w:val="auto"/>
          <w:highlight w:val="none"/>
        </w:rPr>
        <w:t>元（￥</w:t>
      </w:r>
      <w:r>
        <w:rPr>
          <w:rFonts w:hint="eastAsia" w:hAnsi="宋体"/>
          <w:color w:val="auto"/>
          <w:highlight w:val="none"/>
          <w:lang w:val="en-US" w:eastAsia="zh-CN"/>
        </w:rPr>
        <w:t xml:space="preserve">       </w:t>
      </w:r>
      <w:r>
        <w:rPr>
          <w:rFonts w:hint="eastAsia" w:hAnsi="宋体"/>
          <w:color w:val="auto"/>
          <w:highlight w:val="none"/>
        </w:rPr>
        <w:t>）。</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3.乙方应按谈判文件规定的货物性能、技术要求、质量标准向甲方提供未经使用的全新产品。不符合要求者，根据实际情况，经双方协商，可按以下办法处理：</w:t>
      </w:r>
    </w:p>
    <w:p>
      <w:pPr>
        <w:pStyle w:val="14"/>
        <w:snapToGrid w:val="0"/>
        <w:spacing w:before="120" w:after="120" w:line="360" w:lineRule="exact"/>
        <w:ind w:firstLine="420" w:firstLineChars="200"/>
        <w:rPr>
          <w:rFonts w:hAnsi="宋体"/>
          <w:color w:val="auto"/>
          <w:highlight w:val="none"/>
        </w:rPr>
      </w:pPr>
      <w:r>
        <w:rPr>
          <w:rFonts w:hint="eastAsia" w:hAnsi="宋体"/>
          <w:color w:val="auto"/>
          <w:highlight w:val="none"/>
        </w:rPr>
        <w:t>⑴更换：由乙方承担所发生的全部费用。</w:t>
      </w:r>
    </w:p>
    <w:p>
      <w:pPr>
        <w:pStyle w:val="14"/>
        <w:snapToGrid w:val="0"/>
        <w:spacing w:before="120" w:after="120" w:line="360" w:lineRule="exact"/>
        <w:ind w:firstLine="420"/>
        <w:rPr>
          <w:rFonts w:hAnsi="宋体"/>
          <w:color w:val="auto"/>
          <w:highlight w:val="none"/>
        </w:rPr>
      </w:pPr>
      <w:r>
        <w:rPr>
          <w:rFonts w:hint="eastAsia" w:hAnsi="宋体"/>
          <w:color w:val="auto"/>
          <w:highlight w:val="none"/>
        </w:rPr>
        <w:t>⑵贬值处理：由甲乙双方合议定价。</w:t>
      </w:r>
    </w:p>
    <w:p>
      <w:pPr>
        <w:pStyle w:val="14"/>
        <w:snapToGrid w:val="0"/>
        <w:spacing w:before="120" w:after="120" w:line="360" w:lineRule="exact"/>
        <w:ind w:firstLine="420" w:firstLineChars="200"/>
        <w:rPr>
          <w:rFonts w:hAnsi="宋体"/>
          <w:color w:val="auto"/>
          <w:highlight w:val="none"/>
        </w:rPr>
      </w:pPr>
      <w:r>
        <w:rPr>
          <w:rFonts w:hint="eastAsia" w:hAnsi="宋体"/>
          <w:color w:val="auto"/>
          <w:highlight w:val="none"/>
        </w:rPr>
        <w:t>⑶退货处理：乙方应退还甲方支付的合同款，同时应承担该货物的直接费用（运输、保险、检验、货款利息及银行手续费等）。</w:t>
      </w:r>
    </w:p>
    <w:p>
      <w:pPr>
        <w:pStyle w:val="14"/>
        <w:snapToGrid w:val="0"/>
        <w:spacing w:before="120" w:after="120" w:line="360" w:lineRule="exact"/>
        <w:ind w:firstLine="420" w:firstLineChars="200"/>
        <w:rPr>
          <w:rFonts w:hAnsi="宋体"/>
          <w:color w:val="auto"/>
          <w:highlight w:val="none"/>
        </w:rPr>
      </w:pPr>
      <w:r>
        <w:rPr>
          <w:rFonts w:hint="eastAsia" w:hAnsi="宋体"/>
          <w:color w:val="auto"/>
          <w:highlight w:val="none"/>
        </w:rPr>
        <w:t>4.如在使用过程中发生质量问题，乙方在接到甲方通知后在小时内到达甲方现场处理。</w:t>
      </w:r>
    </w:p>
    <w:p>
      <w:pPr>
        <w:pStyle w:val="14"/>
        <w:snapToGrid w:val="0"/>
        <w:spacing w:before="120" w:after="120" w:line="360" w:lineRule="exact"/>
        <w:ind w:firstLine="420" w:firstLineChars="200"/>
        <w:rPr>
          <w:rFonts w:hAnsi="宋体"/>
          <w:color w:val="auto"/>
          <w:highlight w:val="none"/>
        </w:rPr>
      </w:pPr>
      <w:r>
        <w:rPr>
          <w:rFonts w:hint="eastAsia" w:hAnsi="宋体"/>
          <w:color w:val="auto"/>
          <w:highlight w:val="none"/>
        </w:rPr>
        <w:t>5.在质保期内，乙方应对货物出现的质量及安全问题负责处理解决并承担一切费用。</w:t>
      </w:r>
    </w:p>
    <w:p>
      <w:pPr>
        <w:snapToGrid w:val="0"/>
        <w:spacing w:line="360" w:lineRule="exact"/>
        <w:ind w:left="-61" w:leftChars="-29" w:firstLine="514" w:firstLineChars="245"/>
        <w:rPr>
          <w:rFonts w:ascii="宋体" w:hAnsi="宋体"/>
          <w:color w:val="auto"/>
          <w:szCs w:val="21"/>
          <w:highlight w:val="none"/>
        </w:rPr>
      </w:pPr>
      <w:r>
        <w:rPr>
          <w:rFonts w:hint="eastAsia" w:ascii="宋体" w:hAnsi="宋体"/>
          <w:color w:val="auto"/>
          <w:szCs w:val="21"/>
          <w:highlight w:val="none"/>
        </w:rPr>
        <w:t>6.上述的货物免费保修期为</w:t>
      </w:r>
      <w:r>
        <w:rPr>
          <w:rFonts w:hint="eastAsia" w:ascii="宋体" w:hAnsi="宋体"/>
          <w:color w:val="auto"/>
          <w:szCs w:val="21"/>
          <w:highlight w:val="none"/>
          <w:u w:val="single"/>
        </w:rPr>
        <w:t>按乙方响应文件承诺</w:t>
      </w:r>
      <w:r>
        <w:rPr>
          <w:rFonts w:hint="eastAsia" w:ascii="宋体" w:hAnsi="宋体"/>
          <w:color w:val="auto"/>
          <w:szCs w:val="21"/>
          <w:highlight w:val="none"/>
        </w:rPr>
        <w:t>，因人为因素出现的故障不在免费保修范围内。超过保修期的机器设备，终生维修，维修时只收部件成本费。</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第十二条　违约责任</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2.乙方提供的货物如侵犯了第三方合法权益而引发的任何纠纷或诉讼，均由乙方负责交涉并承担全部责任。</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3.因包装、运输引起的货物损坏，按质量不合格处罚。</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4.甲方无故延期接收货物、乙方逾期交货的，每天向对方偿付违约货款额3‰违约金，但违约金累计不得超过违约货款额5%，超过</w:t>
      </w:r>
      <w:r>
        <w:rPr>
          <w:rFonts w:hint="eastAsia" w:ascii="宋体" w:hAnsi="宋体"/>
          <w:color w:val="auto"/>
          <w:szCs w:val="21"/>
          <w:highlight w:val="none"/>
          <w:u w:val="single"/>
        </w:rPr>
        <w:t>七个工作日</w:t>
      </w:r>
      <w:r>
        <w:rPr>
          <w:rFonts w:hint="eastAsia" w:ascii="宋体" w:hAnsi="宋体"/>
          <w:color w:val="auto"/>
          <w:szCs w:val="21"/>
          <w:highlight w:val="none"/>
        </w:rPr>
        <w:t>对方有权解除合同，违约方承担因此给对方造成经济损失；甲方延期付货款的，每天向乙方偿付延期货款额3‰滞纳金，但滞纳金累计不得超过延期货款额5%。</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5.乙方未按本合同和响应文件中规定的服务承诺提供售后服务的，乙方应按本合同合计金额 5%向甲方支付违约金。</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6.乙方提供的货物在质量保证期内，因设计、工艺或材料的缺陷和其它质量原因造成的问题，由乙方负责，费用从质量保证金中扣除，不足另补。</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7.其它违约行为按违约货款额5%收取违约金并赔偿经济损失。</w:t>
      </w:r>
    </w:p>
    <w:p>
      <w:pPr>
        <w:pStyle w:val="14"/>
        <w:snapToGrid w:val="0"/>
        <w:spacing w:before="120" w:after="120" w:line="360" w:lineRule="exact"/>
        <w:ind w:firstLine="413" w:firstLineChars="196"/>
        <w:rPr>
          <w:rFonts w:hAnsi="宋体"/>
          <w:b/>
          <w:color w:val="auto"/>
          <w:highlight w:val="none"/>
        </w:rPr>
      </w:pPr>
      <w:r>
        <w:rPr>
          <w:rFonts w:hint="eastAsia" w:hAnsi="宋体"/>
          <w:b/>
          <w:color w:val="auto"/>
          <w:highlight w:val="none"/>
        </w:rPr>
        <w:t>第十三条、调试和验收</w:t>
      </w:r>
    </w:p>
    <w:p>
      <w:pPr>
        <w:pStyle w:val="14"/>
        <w:snapToGrid w:val="0"/>
        <w:spacing w:before="120" w:after="120" w:line="360" w:lineRule="exact"/>
        <w:ind w:firstLine="420" w:firstLineChars="200"/>
        <w:jc w:val="left"/>
        <w:rPr>
          <w:rFonts w:hAnsi="宋体"/>
          <w:color w:val="auto"/>
          <w:highlight w:val="none"/>
        </w:rPr>
      </w:pPr>
      <w:r>
        <w:rPr>
          <w:rFonts w:hint="eastAsia" w:hAnsi="宋体"/>
          <w:color w:val="auto"/>
          <w:highlight w:val="none"/>
        </w:rPr>
        <w:t>1.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pPr>
        <w:pStyle w:val="14"/>
        <w:snapToGrid w:val="0"/>
        <w:spacing w:before="120" w:after="120" w:line="360" w:lineRule="exact"/>
        <w:ind w:firstLine="420" w:firstLineChars="200"/>
        <w:rPr>
          <w:rFonts w:hAnsi="宋体"/>
          <w:color w:val="auto"/>
          <w:highlight w:val="none"/>
        </w:rPr>
      </w:pPr>
      <w:r>
        <w:rPr>
          <w:rFonts w:hint="eastAsia" w:hAnsi="宋体"/>
          <w:color w:val="auto"/>
          <w:highlight w:val="none"/>
        </w:rPr>
        <w:t>2.乙方交货前应对产品作出全面检查和对验收文件进行整理，并列出清单，作为甲方收货验收和使用的技术条件依据，检验的结果应随货物交甲方。</w:t>
      </w:r>
    </w:p>
    <w:p>
      <w:pPr>
        <w:pStyle w:val="14"/>
        <w:snapToGrid w:val="0"/>
        <w:spacing w:before="120" w:after="120" w:line="360" w:lineRule="exact"/>
        <w:ind w:firstLine="420" w:firstLineChars="200"/>
        <w:rPr>
          <w:rFonts w:hAnsi="宋体"/>
          <w:color w:val="auto"/>
          <w:highlight w:val="none"/>
        </w:rPr>
      </w:pPr>
      <w:r>
        <w:rPr>
          <w:rFonts w:hint="eastAsia" w:hAnsi="宋体"/>
          <w:color w:val="auto"/>
          <w:highlight w:val="none"/>
        </w:rPr>
        <w:t>3.甲方对乙方提供的货物在使用前进行调试时，乙方需负责安装并培训甲方的</w:t>
      </w:r>
    </w:p>
    <w:p>
      <w:pPr>
        <w:pStyle w:val="14"/>
        <w:snapToGrid w:val="0"/>
        <w:spacing w:before="120" w:after="120" w:line="360" w:lineRule="exact"/>
        <w:rPr>
          <w:rFonts w:hAnsi="宋体"/>
          <w:color w:val="auto"/>
          <w:highlight w:val="none"/>
          <w:u w:val="single"/>
        </w:rPr>
      </w:pPr>
      <w:r>
        <w:rPr>
          <w:rFonts w:hint="eastAsia" w:hAnsi="宋体"/>
          <w:color w:val="auto"/>
          <w:highlight w:val="none"/>
        </w:rPr>
        <w:t>使用操作人员，并协助甲方一起调试，直到符合技术要求，甲方才做最终验收。</w:t>
      </w:r>
    </w:p>
    <w:p>
      <w:pPr>
        <w:pStyle w:val="14"/>
        <w:snapToGrid w:val="0"/>
        <w:spacing w:before="120" w:after="120" w:line="360" w:lineRule="exact"/>
        <w:ind w:firstLine="420" w:firstLineChars="200"/>
        <w:rPr>
          <w:rFonts w:hAnsi="宋体"/>
          <w:color w:val="auto"/>
          <w:highlight w:val="none"/>
        </w:rPr>
      </w:pPr>
      <w:r>
        <w:rPr>
          <w:rFonts w:hint="eastAsia" w:hAnsi="宋体"/>
          <w:color w:val="auto"/>
          <w:highlight w:val="none"/>
        </w:rPr>
        <w:t>4.对技术复杂的货物，甲方应请国家认可的专业检测机构参与初步验收及最终验收，并由其出具质量检测报告。</w:t>
      </w:r>
    </w:p>
    <w:p>
      <w:pPr>
        <w:pStyle w:val="14"/>
        <w:snapToGrid w:val="0"/>
        <w:spacing w:before="120" w:after="120" w:line="360" w:lineRule="exact"/>
        <w:ind w:firstLine="420" w:firstLineChars="200"/>
        <w:rPr>
          <w:rFonts w:hAnsi="宋体"/>
          <w:color w:val="auto"/>
          <w:highlight w:val="none"/>
        </w:rPr>
      </w:pPr>
      <w:r>
        <w:rPr>
          <w:rFonts w:hint="eastAsia" w:hAnsi="宋体"/>
          <w:color w:val="auto"/>
          <w:highlight w:val="none"/>
        </w:rPr>
        <w:t>5.验收时乙方必须在现场，验收完毕后作出验收结果报告；验收费用由乙方负责。</w:t>
      </w:r>
    </w:p>
    <w:p>
      <w:pPr>
        <w:pStyle w:val="14"/>
        <w:snapToGrid w:val="0"/>
        <w:spacing w:before="120" w:after="120" w:line="360" w:lineRule="exact"/>
        <w:ind w:firstLine="413" w:firstLineChars="196"/>
        <w:rPr>
          <w:rFonts w:hAnsi="宋体"/>
          <w:b/>
          <w:color w:val="auto"/>
          <w:highlight w:val="none"/>
        </w:rPr>
      </w:pPr>
      <w:r>
        <w:rPr>
          <w:rFonts w:hint="eastAsia" w:hAnsi="宋体"/>
          <w:b/>
          <w:color w:val="auto"/>
          <w:highlight w:val="none"/>
        </w:rPr>
        <w:t>第十四条、货物包装、发运及运输</w:t>
      </w:r>
    </w:p>
    <w:p>
      <w:pPr>
        <w:snapToGrid w:val="0"/>
        <w:spacing w:line="360" w:lineRule="exact"/>
        <w:ind w:left="-61" w:leftChars="-29" w:firstLine="514" w:firstLineChars="245"/>
        <w:rPr>
          <w:rFonts w:ascii="宋体" w:hAnsi="宋体"/>
          <w:color w:val="auto"/>
          <w:szCs w:val="21"/>
          <w:highlight w:val="none"/>
        </w:rPr>
      </w:pPr>
      <w:r>
        <w:rPr>
          <w:rFonts w:hint="eastAsia" w:ascii="宋体" w:hAnsi="宋体"/>
          <w:color w:val="auto"/>
          <w:szCs w:val="21"/>
          <w:highlight w:val="none"/>
        </w:rPr>
        <w:t>1.乙方应在货物发运前对其进行满足运输距离、防潮、防震、防锈和防破损装卸等要求包装，以保证货物安全运达甲方指定地点。</w:t>
      </w:r>
    </w:p>
    <w:p>
      <w:pPr>
        <w:snapToGrid w:val="0"/>
        <w:spacing w:line="360" w:lineRule="exact"/>
        <w:ind w:left="-61" w:leftChars="-29" w:firstLine="514" w:firstLineChars="245"/>
        <w:rPr>
          <w:rFonts w:ascii="宋体" w:hAnsi="宋体"/>
          <w:color w:val="auto"/>
          <w:szCs w:val="21"/>
          <w:highlight w:val="none"/>
        </w:rPr>
      </w:pPr>
      <w:r>
        <w:rPr>
          <w:rFonts w:hint="eastAsia" w:ascii="宋体" w:hAnsi="宋体"/>
          <w:color w:val="auto"/>
          <w:szCs w:val="21"/>
          <w:highlight w:val="none"/>
        </w:rPr>
        <w:t>2.使用说明书（货物属于进口产品的，供货时应同时附上中文使用说明书）、质量检验证明书、随配附件和工具以及清单一并附于货物内。</w:t>
      </w:r>
    </w:p>
    <w:p>
      <w:pPr>
        <w:snapToGrid w:val="0"/>
        <w:spacing w:line="360" w:lineRule="exact"/>
        <w:ind w:left="-61" w:leftChars="-29" w:firstLine="514" w:firstLineChars="245"/>
        <w:rPr>
          <w:rFonts w:ascii="宋体" w:hAnsi="宋体"/>
          <w:color w:val="auto"/>
          <w:szCs w:val="21"/>
          <w:highlight w:val="none"/>
        </w:rPr>
      </w:pPr>
      <w:r>
        <w:rPr>
          <w:rFonts w:hint="eastAsia" w:ascii="宋体" w:hAnsi="宋体"/>
          <w:color w:val="auto"/>
          <w:szCs w:val="21"/>
          <w:highlight w:val="none"/>
        </w:rPr>
        <w:t>3.乙方在货物发运手续办理完毕后二十四小时内或货到甲方四十八小时前通知甲方，以准备接货。</w:t>
      </w:r>
    </w:p>
    <w:p>
      <w:pPr>
        <w:snapToGrid w:val="0"/>
        <w:spacing w:line="360" w:lineRule="exact"/>
        <w:ind w:left="-61" w:leftChars="-29" w:firstLine="514" w:firstLineChars="245"/>
        <w:rPr>
          <w:rFonts w:ascii="宋体" w:hAnsi="宋体"/>
          <w:color w:val="auto"/>
          <w:szCs w:val="21"/>
          <w:highlight w:val="none"/>
        </w:rPr>
      </w:pPr>
      <w:r>
        <w:rPr>
          <w:rFonts w:hint="eastAsia" w:ascii="宋体" w:hAnsi="宋体"/>
          <w:color w:val="auto"/>
          <w:szCs w:val="21"/>
          <w:highlight w:val="none"/>
        </w:rPr>
        <w:t>4.货物在交付甲方前发生的风险均由乙方负责。</w:t>
      </w:r>
    </w:p>
    <w:p>
      <w:pPr>
        <w:snapToGrid w:val="0"/>
        <w:spacing w:line="360" w:lineRule="exact"/>
        <w:ind w:left="-61" w:leftChars="-29" w:firstLine="514" w:firstLineChars="245"/>
        <w:rPr>
          <w:rFonts w:ascii="宋体" w:hAnsi="宋体"/>
          <w:color w:val="auto"/>
          <w:szCs w:val="21"/>
          <w:highlight w:val="none"/>
        </w:rPr>
      </w:pPr>
      <w:r>
        <w:rPr>
          <w:rFonts w:hint="eastAsia" w:ascii="宋体" w:hAnsi="宋体"/>
          <w:color w:val="auto"/>
          <w:szCs w:val="21"/>
          <w:highlight w:val="none"/>
        </w:rPr>
        <w:t>5.货物在规定的交付期限内由乙方送达甲方指定的地点视为交付，乙方同时需通知甲方货物已送达。</w:t>
      </w:r>
    </w:p>
    <w:p>
      <w:pPr>
        <w:pStyle w:val="14"/>
        <w:snapToGrid w:val="0"/>
        <w:spacing w:before="120" w:after="120" w:line="360" w:lineRule="exact"/>
        <w:ind w:firstLine="413" w:firstLineChars="196"/>
        <w:rPr>
          <w:rFonts w:hAnsi="宋体"/>
          <w:b/>
          <w:color w:val="auto"/>
          <w:highlight w:val="none"/>
        </w:rPr>
      </w:pPr>
      <w:r>
        <w:rPr>
          <w:rFonts w:hint="eastAsia" w:hAnsi="宋体"/>
          <w:b/>
          <w:color w:val="auto"/>
          <w:highlight w:val="none"/>
        </w:rPr>
        <w:t>第十五条不可抗力事件处理</w:t>
      </w:r>
    </w:p>
    <w:p>
      <w:pPr>
        <w:pStyle w:val="14"/>
        <w:snapToGrid w:val="0"/>
        <w:spacing w:before="120" w:after="120" w:line="360" w:lineRule="exact"/>
        <w:ind w:firstLine="420" w:firstLineChars="200"/>
        <w:rPr>
          <w:rFonts w:hAnsi="宋体"/>
          <w:color w:val="auto"/>
          <w:highlight w:val="none"/>
        </w:rPr>
      </w:pPr>
      <w:r>
        <w:rPr>
          <w:rFonts w:hint="eastAsia" w:hAnsi="宋体"/>
          <w:color w:val="auto"/>
          <w:highlight w:val="none"/>
        </w:rPr>
        <w:t>1.在合同有效期内，任何一方因不可抗力事件导致不能履行合同，则合同履行期可延长，其延长期与不可抗力影响期相同。</w:t>
      </w:r>
    </w:p>
    <w:p>
      <w:pPr>
        <w:pStyle w:val="14"/>
        <w:snapToGrid w:val="0"/>
        <w:spacing w:before="120" w:after="120" w:line="360" w:lineRule="exact"/>
        <w:ind w:firstLine="420" w:firstLineChars="200"/>
        <w:rPr>
          <w:rFonts w:hAnsi="宋体"/>
          <w:color w:val="auto"/>
          <w:highlight w:val="none"/>
        </w:rPr>
      </w:pPr>
      <w:r>
        <w:rPr>
          <w:rFonts w:hint="eastAsia" w:hAnsi="宋体"/>
          <w:color w:val="auto"/>
          <w:highlight w:val="none"/>
        </w:rPr>
        <w:t>2.不可抗力事件发生后，应立即通知对方，并寄送有关权威机构出具的证明。</w:t>
      </w:r>
    </w:p>
    <w:p>
      <w:pPr>
        <w:pStyle w:val="14"/>
        <w:snapToGrid w:val="0"/>
        <w:spacing w:before="120" w:after="120" w:line="360" w:lineRule="exact"/>
        <w:ind w:firstLine="420" w:firstLineChars="200"/>
        <w:rPr>
          <w:rFonts w:hAnsi="宋体"/>
          <w:color w:val="auto"/>
          <w:highlight w:val="none"/>
        </w:rPr>
      </w:pPr>
      <w:r>
        <w:rPr>
          <w:rFonts w:hint="eastAsia" w:hAnsi="宋体"/>
          <w:color w:val="auto"/>
          <w:highlight w:val="none"/>
        </w:rPr>
        <w:t>3.不可抗力事件延续一百二十天以上，双方应通过友好协商，确定是否继续履行合同。</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第十六条合同争议解决</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2.因履行本合同引起的或与本合同有关的争议，甲乙双方应首先通过友好协商解决，如果协商不能解决，可向仲裁委员会申请仲裁或向人民法院提起诉讼。</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3.诉讼期间，本合同继续履行。</w:t>
      </w:r>
    </w:p>
    <w:p>
      <w:pPr>
        <w:pStyle w:val="14"/>
        <w:snapToGrid w:val="0"/>
        <w:spacing w:before="120" w:after="120" w:line="360" w:lineRule="exact"/>
        <w:ind w:firstLine="413" w:firstLineChars="196"/>
        <w:rPr>
          <w:rFonts w:hAnsi="宋体"/>
          <w:b/>
          <w:color w:val="auto"/>
          <w:highlight w:val="none"/>
        </w:rPr>
      </w:pPr>
      <w:r>
        <w:rPr>
          <w:rFonts w:hint="eastAsia" w:hAnsi="宋体"/>
          <w:b/>
          <w:color w:val="auto"/>
          <w:highlight w:val="none"/>
        </w:rPr>
        <w:t>第十七条诉讼</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双方在执行合同中所发生的一切争议，应通过协商解决。如协商不成，任何一方可向甲方住所地人民法院起诉。</w:t>
      </w:r>
    </w:p>
    <w:p>
      <w:pPr>
        <w:pStyle w:val="14"/>
        <w:snapToGrid w:val="0"/>
        <w:spacing w:before="120" w:after="120" w:line="360" w:lineRule="exact"/>
        <w:ind w:firstLine="413" w:firstLineChars="196"/>
        <w:rPr>
          <w:rFonts w:hAnsi="宋体"/>
          <w:b/>
          <w:color w:val="auto"/>
          <w:highlight w:val="none"/>
        </w:rPr>
      </w:pPr>
      <w:r>
        <w:rPr>
          <w:rFonts w:hint="eastAsia" w:hAnsi="宋体"/>
          <w:b/>
          <w:color w:val="auto"/>
          <w:highlight w:val="none"/>
        </w:rPr>
        <w:t>第十八条合同生效及其它</w:t>
      </w:r>
    </w:p>
    <w:p>
      <w:pPr>
        <w:pStyle w:val="14"/>
        <w:snapToGrid w:val="0"/>
        <w:spacing w:before="120" w:after="120" w:line="360" w:lineRule="exact"/>
        <w:ind w:firstLine="420" w:firstLineChars="200"/>
        <w:rPr>
          <w:rFonts w:hAnsi="宋体"/>
          <w:color w:val="auto"/>
          <w:highlight w:val="none"/>
        </w:rPr>
      </w:pPr>
      <w:r>
        <w:rPr>
          <w:rFonts w:hint="eastAsia" w:hAnsi="宋体"/>
          <w:color w:val="auto"/>
          <w:highlight w:val="none"/>
        </w:rPr>
        <w:t>1.合同经双方法定代表人</w:t>
      </w:r>
      <w:r>
        <w:rPr>
          <w:rFonts w:hint="eastAsia" w:hAnsi="宋体" w:cs="宋体"/>
          <w:color w:val="auto"/>
          <w:highlight w:val="none"/>
        </w:rPr>
        <w:t>（负责人或自然人）</w:t>
      </w:r>
      <w:r>
        <w:rPr>
          <w:rFonts w:hint="eastAsia" w:hAnsi="宋体"/>
          <w:color w:val="auto"/>
          <w:highlight w:val="none"/>
        </w:rPr>
        <w:t>或授权代表签字并加盖单位公章后生效。</w:t>
      </w:r>
    </w:p>
    <w:p>
      <w:pPr>
        <w:pStyle w:val="14"/>
        <w:snapToGrid w:val="0"/>
        <w:spacing w:before="120" w:after="120" w:line="360" w:lineRule="exact"/>
        <w:ind w:firstLine="420" w:firstLineChars="200"/>
        <w:rPr>
          <w:rFonts w:hAnsi="宋体"/>
          <w:color w:val="auto"/>
          <w:highlight w:val="none"/>
        </w:rPr>
      </w:pPr>
      <w:r>
        <w:rPr>
          <w:rFonts w:hint="eastAsia" w:hAnsi="宋体"/>
          <w:color w:val="auto"/>
          <w:highlight w:val="none"/>
        </w:rPr>
        <w:t>2.合同执行中涉及采购资金和采购内容修改或补充的，须经财政部门审批，并签书面补充协议报财政部门备案，方可作为主合同不可分割的一部分。</w:t>
      </w:r>
    </w:p>
    <w:p>
      <w:pPr>
        <w:pStyle w:val="14"/>
        <w:snapToGrid w:val="0"/>
        <w:spacing w:before="120" w:after="120" w:line="360" w:lineRule="exact"/>
        <w:ind w:left="420" w:leftChars="200"/>
        <w:rPr>
          <w:rFonts w:hAnsi="宋体"/>
          <w:color w:val="auto"/>
          <w:highlight w:val="none"/>
        </w:rPr>
      </w:pPr>
      <w:r>
        <w:rPr>
          <w:rFonts w:hint="eastAsia" w:hAnsi="宋体"/>
          <w:color w:val="auto"/>
          <w:highlight w:val="none"/>
        </w:rPr>
        <w:t>3.本合同未尽事宜，遵照《合同法》有关条文执行。</w:t>
      </w:r>
    </w:p>
    <w:p>
      <w:pPr>
        <w:pStyle w:val="14"/>
        <w:snapToGrid w:val="0"/>
        <w:spacing w:before="120" w:after="120" w:line="360" w:lineRule="exact"/>
        <w:ind w:left="420" w:leftChars="200"/>
        <w:rPr>
          <w:rFonts w:hAnsi="宋体"/>
          <w:b/>
          <w:color w:val="auto"/>
          <w:highlight w:val="none"/>
        </w:rPr>
      </w:pPr>
      <w:r>
        <w:rPr>
          <w:rFonts w:hint="eastAsia" w:hAnsi="宋体"/>
          <w:b/>
          <w:color w:val="auto"/>
          <w:highlight w:val="none"/>
        </w:rPr>
        <w:t>第十九条合同的变更、终止与转让</w:t>
      </w:r>
    </w:p>
    <w:p>
      <w:pPr>
        <w:pStyle w:val="14"/>
        <w:snapToGrid w:val="0"/>
        <w:spacing w:before="120" w:after="120" w:line="360" w:lineRule="exact"/>
        <w:ind w:left="420"/>
        <w:rPr>
          <w:rFonts w:hAnsi="宋体"/>
          <w:color w:val="auto"/>
          <w:highlight w:val="none"/>
        </w:rPr>
      </w:pPr>
      <w:r>
        <w:rPr>
          <w:rFonts w:hint="eastAsia" w:hAnsi="宋体"/>
          <w:color w:val="auto"/>
          <w:highlight w:val="none"/>
        </w:rPr>
        <w:t>1.除《中华人民共和国政府采购法》第五十条规定的情形外，本合同一经签订，甲乙双方不得擅自变更、中止或终止。</w:t>
      </w:r>
    </w:p>
    <w:p>
      <w:pPr>
        <w:pStyle w:val="14"/>
        <w:snapToGrid w:val="0"/>
        <w:spacing w:before="120" w:after="120" w:line="360" w:lineRule="exact"/>
        <w:ind w:firstLine="420"/>
        <w:rPr>
          <w:rFonts w:hAnsi="宋体"/>
          <w:color w:val="auto"/>
          <w:highlight w:val="none"/>
        </w:rPr>
      </w:pPr>
      <w:r>
        <w:rPr>
          <w:rFonts w:hint="eastAsia" w:hAnsi="宋体"/>
          <w:color w:val="auto"/>
          <w:highlight w:val="none"/>
        </w:rPr>
        <w:t>2.乙方不得擅自转让（无进口资格的供应商委托进口货物除外）其应履行的合同义务。</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第二十条　签订本合同依据</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1.政府采购谈判文件；</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2.乙方提供的采购竞标（或应答）文件；</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3.竞标承诺书；</w:t>
      </w:r>
    </w:p>
    <w:p>
      <w:pPr>
        <w:snapToGrid w:val="0"/>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4.中标或成交通知书。</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第二十一条　</w:t>
      </w:r>
      <w:r>
        <w:rPr>
          <w:rFonts w:hint="eastAsia" w:ascii="宋体" w:hAnsi="宋体"/>
          <w:color w:val="auto"/>
          <w:szCs w:val="21"/>
          <w:highlight w:val="none"/>
        </w:rPr>
        <w:t>本合同一式五份，具有同等法律效力，采购代理机构一份，甲乙双方各两份（可根据需要另增加）。</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本合同甲乙双方签字盖章后生效。</w:t>
      </w:r>
    </w:p>
    <w:tbl>
      <w:tblPr>
        <w:tblStyle w:val="29"/>
        <w:tblW w:w="911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2"/>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4402"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甲方（章）</w:t>
            </w:r>
          </w:p>
          <w:p>
            <w:pPr>
              <w:snapToGrid w:val="0"/>
              <w:spacing w:line="380" w:lineRule="exact"/>
              <w:rPr>
                <w:rFonts w:ascii="宋体" w:hAnsi="宋体"/>
                <w:color w:val="auto"/>
                <w:szCs w:val="21"/>
                <w:highlight w:val="none"/>
              </w:rPr>
            </w:pPr>
          </w:p>
          <w:p>
            <w:pPr>
              <w:snapToGrid w:val="0"/>
              <w:spacing w:line="380" w:lineRule="exact"/>
              <w:ind w:firstLine="945" w:firstLineChars="450"/>
              <w:jc w:val="right"/>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tc>
        <w:tc>
          <w:tcPr>
            <w:tcW w:w="4717"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乙方（章）</w:t>
            </w:r>
          </w:p>
          <w:p>
            <w:pPr>
              <w:snapToGrid w:val="0"/>
              <w:spacing w:line="380" w:lineRule="exact"/>
              <w:rPr>
                <w:rFonts w:ascii="宋体" w:hAnsi="宋体"/>
                <w:color w:val="auto"/>
                <w:szCs w:val="21"/>
                <w:highlight w:val="none"/>
              </w:rPr>
            </w:pPr>
          </w:p>
          <w:p>
            <w:pPr>
              <w:snapToGrid w:val="0"/>
              <w:spacing w:line="380" w:lineRule="exact"/>
              <w:jc w:val="right"/>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402"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单位地址：</w:t>
            </w:r>
          </w:p>
        </w:tc>
        <w:tc>
          <w:tcPr>
            <w:tcW w:w="4717"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402"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法定代表人：</w:t>
            </w:r>
          </w:p>
        </w:tc>
        <w:tc>
          <w:tcPr>
            <w:tcW w:w="4717"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4402"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委托代理人：</w:t>
            </w:r>
          </w:p>
        </w:tc>
        <w:tc>
          <w:tcPr>
            <w:tcW w:w="4717"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402"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电话：</w:t>
            </w:r>
          </w:p>
        </w:tc>
        <w:tc>
          <w:tcPr>
            <w:tcW w:w="4717"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4402"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电子邮箱：</w:t>
            </w:r>
          </w:p>
        </w:tc>
        <w:tc>
          <w:tcPr>
            <w:tcW w:w="4717"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4402"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开户银行：</w:t>
            </w:r>
          </w:p>
        </w:tc>
        <w:tc>
          <w:tcPr>
            <w:tcW w:w="4717"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402"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账号：</w:t>
            </w:r>
          </w:p>
        </w:tc>
        <w:tc>
          <w:tcPr>
            <w:tcW w:w="4717"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402"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邮政编码：</w:t>
            </w:r>
          </w:p>
        </w:tc>
        <w:tc>
          <w:tcPr>
            <w:tcW w:w="4717" w:type="dxa"/>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邮政编码：</w:t>
            </w:r>
          </w:p>
        </w:tc>
      </w:tr>
    </w:tbl>
    <w:p>
      <w:pPr>
        <w:wordWrap w:val="0"/>
        <w:snapToGrid w:val="0"/>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pStyle w:val="3"/>
        <w:rPr>
          <w:rFonts w:ascii="宋体" w:hAnsi="宋体" w:cs="宋体"/>
          <w:color w:val="auto"/>
          <w:highlight w:val="none"/>
        </w:rPr>
      </w:pPr>
      <w:bookmarkStart w:id="136" w:name="_Toc9010"/>
      <w:r>
        <w:rPr>
          <w:rFonts w:hint="eastAsia" w:ascii="宋体" w:hAnsi="宋体" w:cs="宋体"/>
          <w:color w:val="auto"/>
          <w:highlight w:val="none"/>
        </w:rPr>
        <w:t>第五章</w:t>
      </w:r>
      <w:r>
        <w:rPr>
          <w:rFonts w:hint="eastAsia" w:ascii="宋体" w:hAnsi="宋体" w:cs="宋体"/>
          <w:color w:val="auto"/>
          <w:highlight w:val="none"/>
          <w:lang w:val="en-US" w:eastAsia="zh-CN"/>
        </w:rPr>
        <w:t xml:space="preserve">  </w:t>
      </w:r>
      <w:r>
        <w:rPr>
          <w:rFonts w:hint="eastAsia" w:ascii="宋体" w:hAnsi="宋体" w:cs="宋体"/>
          <w:color w:val="auto"/>
          <w:highlight w:val="none"/>
        </w:rPr>
        <w:t>评定成交的标准</w:t>
      </w:r>
      <w:bookmarkEnd w:id="136"/>
    </w:p>
    <w:p>
      <w:pPr>
        <w:wordWrap w:val="0"/>
        <w:spacing w:line="400" w:lineRule="exact"/>
        <w:rPr>
          <w:rFonts w:ascii="宋体" w:hAnsi="宋体" w:cs="宋体"/>
          <w:b/>
          <w:color w:val="auto"/>
          <w:szCs w:val="20"/>
          <w:highlight w:val="none"/>
        </w:rPr>
      </w:pPr>
    </w:p>
    <w:p>
      <w:pPr>
        <w:wordWrap w:val="0"/>
        <w:spacing w:line="400" w:lineRule="exact"/>
        <w:rPr>
          <w:rFonts w:ascii="宋体" w:hAnsi="宋体" w:cs="宋体"/>
          <w:b/>
          <w:color w:val="auto"/>
          <w:szCs w:val="20"/>
          <w:highlight w:val="none"/>
        </w:rPr>
      </w:pPr>
      <w:r>
        <w:rPr>
          <w:rFonts w:hint="eastAsia" w:ascii="宋体" w:hAnsi="宋体" w:cs="宋体"/>
          <w:b/>
          <w:color w:val="auto"/>
          <w:szCs w:val="20"/>
          <w:highlight w:val="none"/>
        </w:rPr>
        <w:t>一、评定原则</w:t>
      </w:r>
    </w:p>
    <w:p>
      <w:pPr>
        <w:wordWrap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(一)谈判小组构成：本采购项目的谈判小组分别由聘请的专家、采购人代表等三人以上单数组成，其中专家人数不少于成员总数的三分之二。</w:t>
      </w:r>
    </w:p>
    <w:p>
      <w:pPr>
        <w:wordWrap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(二)评定依据：谈判小组将以竞争性谈判文件和响应文件为评定依据。</w:t>
      </w:r>
    </w:p>
    <w:p>
      <w:pPr>
        <w:wordWrap w:val="0"/>
        <w:spacing w:line="400" w:lineRule="exact"/>
        <w:ind w:firstLine="420" w:firstLineChars="200"/>
        <w:rPr>
          <w:rFonts w:ascii="宋体" w:hAnsi="宋体" w:cs="宋体"/>
          <w:bCs/>
          <w:color w:val="auto"/>
          <w:szCs w:val="20"/>
          <w:highlight w:val="none"/>
        </w:rPr>
      </w:pPr>
      <w:r>
        <w:rPr>
          <w:rFonts w:hint="eastAsia" w:ascii="宋体" w:hAnsi="宋体" w:cs="宋体"/>
          <w:bCs/>
          <w:color w:val="auto"/>
          <w:szCs w:val="20"/>
          <w:highlight w:val="none"/>
        </w:rPr>
        <w:t>(三)评定方式：采用最低评标价法。</w:t>
      </w:r>
    </w:p>
    <w:p>
      <w:pPr>
        <w:wordWrap w:val="0"/>
        <w:spacing w:line="400" w:lineRule="exact"/>
        <w:rPr>
          <w:rFonts w:ascii="宋体" w:hAnsi="宋体" w:cs="宋体"/>
          <w:b/>
          <w:color w:val="auto"/>
          <w:szCs w:val="20"/>
          <w:highlight w:val="none"/>
        </w:rPr>
      </w:pPr>
      <w:r>
        <w:rPr>
          <w:rFonts w:hint="eastAsia" w:ascii="宋体" w:hAnsi="宋体" w:cs="宋体"/>
          <w:b/>
          <w:color w:val="auto"/>
          <w:szCs w:val="20"/>
          <w:highlight w:val="none"/>
        </w:rPr>
        <w:t>二、评定办法</w:t>
      </w:r>
    </w:p>
    <w:p>
      <w:pPr>
        <w:wordWrap w:val="0"/>
        <w:spacing w:line="400" w:lineRule="exact"/>
        <w:ind w:firstLine="409" w:firstLineChars="195"/>
        <w:rPr>
          <w:rFonts w:ascii="宋体" w:hAnsi="宋体" w:cs="宋体"/>
          <w:bCs/>
          <w:color w:val="auto"/>
          <w:szCs w:val="20"/>
          <w:highlight w:val="none"/>
        </w:rPr>
      </w:pPr>
      <w:r>
        <w:rPr>
          <w:rFonts w:hint="eastAsia" w:ascii="宋体" w:hAnsi="宋体" w:cs="宋体"/>
          <w:bCs/>
          <w:color w:val="auto"/>
          <w:szCs w:val="20"/>
          <w:highlight w:val="none"/>
        </w:rPr>
        <w:t>（一）对资格证明和响应文件构成的符合性检查合格的响应文件，采用最低评标价法。</w:t>
      </w:r>
    </w:p>
    <w:p>
      <w:pPr>
        <w:wordWrap w:val="0"/>
        <w:spacing w:line="400" w:lineRule="exact"/>
        <w:ind w:firstLine="409" w:firstLineChars="195"/>
        <w:rPr>
          <w:rFonts w:ascii="宋体" w:hAnsi="宋体" w:cs="宋体"/>
          <w:bCs/>
          <w:color w:val="auto"/>
          <w:szCs w:val="20"/>
          <w:highlight w:val="none"/>
        </w:rPr>
      </w:pPr>
      <w:r>
        <w:rPr>
          <w:rFonts w:hint="eastAsia" w:ascii="宋体" w:hAnsi="宋体" w:cs="宋体"/>
          <w:bCs/>
          <w:color w:val="auto"/>
          <w:szCs w:val="20"/>
          <w:highlight w:val="none"/>
        </w:rPr>
        <w:t>（二）谈判小组将以竞争性谈判文件、响应文件为评定依据，对资格证明和响应文件构成的符合性检查的响应文件，依据统一的价格要素评定最低报价，以报价最低的竞标人作为成交候选供应商。</w:t>
      </w:r>
    </w:p>
    <w:p>
      <w:pPr>
        <w:wordWrap w:val="0"/>
        <w:spacing w:line="400" w:lineRule="exact"/>
        <w:ind w:firstLine="409" w:firstLineChars="195"/>
        <w:rPr>
          <w:rFonts w:ascii="宋体" w:hAnsi="宋体" w:cs="宋体"/>
          <w:bCs/>
          <w:color w:val="auto"/>
          <w:szCs w:val="20"/>
          <w:highlight w:val="none"/>
        </w:rPr>
      </w:pPr>
      <w:r>
        <w:rPr>
          <w:rFonts w:hint="eastAsia" w:ascii="宋体" w:hAnsi="宋体" w:cs="宋体"/>
          <w:bCs/>
          <w:color w:val="auto"/>
          <w:szCs w:val="20"/>
          <w:highlight w:val="none"/>
        </w:rPr>
        <w:t>（三）谈判小组将按报价由低到高顺序排列。</w:t>
      </w:r>
    </w:p>
    <w:p>
      <w:pPr>
        <w:wordWrap w:val="0"/>
        <w:spacing w:line="400" w:lineRule="exact"/>
        <w:ind w:firstLine="409" w:firstLineChars="195"/>
        <w:rPr>
          <w:rFonts w:ascii="宋体" w:hAnsi="宋体" w:cs="宋体"/>
          <w:bCs/>
          <w:color w:val="auto"/>
          <w:szCs w:val="20"/>
          <w:highlight w:val="none"/>
        </w:rPr>
      </w:pPr>
      <w:r>
        <w:rPr>
          <w:rFonts w:hint="eastAsia" w:ascii="宋体" w:hAnsi="宋体" w:cs="宋体"/>
          <w:bCs/>
          <w:color w:val="auto"/>
          <w:szCs w:val="20"/>
          <w:highlight w:val="none"/>
        </w:rPr>
        <w:t>（四）谈判小组认为，排在前面的成交候选供应商的最低报价或者某些分项报价明显不合理或者低于成本，有可能影响商品质量和不能诚信履约的，应在要求其在规定的的期限内提供书面文件予以解释说明，并提交相关证明材料，否则，谈判小组可以取消该竞标人的成交候选资格，按顺序排在后面的成交候选供应商递补，以此类推。</w:t>
      </w:r>
    </w:p>
    <w:p>
      <w:pPr>
        <w:wordWrap w:val="0"/>
        <w:spacing w:line="400" w:lineRule="exact"/>
        <w:ind w:firstLine="409" w:firstLineChars="195"/>
        <w:rPr>
          <w:rFonts w:ascii="宋体" w:hAnsi="宋体" w:cs="宋体"/>
          <w:bCs/>
          <w:color w:val="auto"/>
          <w:szCs w:val="20"/>
          <w:highlight w:val="none"/>
        </w:rPr>
      </w:pPr>
      <w:r>
        <w:rPr>
          <w:rFonts w:hint="eastAsia" w:ascii="宋体" w:hAnsi="宋体" w:cs="宋体"/>
          <w:bCs/>
          <w:color w:val="auto"/>
          <w:szCs w:val="20"/>
          <w:highlight w:val="none"/>
        </w:rPr>
        <w:t>（五）竞标人报价相同、技术指标优劣也相同，则由谈判小组集体决定推荐顺序；谈判小组各方意见不一致时，应采用记名表决的方式决定，遵循少数服从多数的原则，表决结果要书面结果归档备查。</w:t>
      </w:r>
    </w:p>
    <w:p>
      <w:pPr>
        <w:wordWrap w:val="0"/>
        <w:spacing w:line="400" w:lineRule="exact"/>
        <w:rPr>
          <w:rFonts w:ascii="宋体" w:hAnsi="宋体" w:cs="宋体"/>
          <w:b/>
          <w:color w:val="auto"/>
          <w:szCs w:val="20"/>
          <w:highlight w:val="none"/>
        </w:rPr>
      </w:pPr>
      <w:r>
        <w:rPr>
          <w:rFonts w:hint="eastAsia" w:ascii="宋体" w:hAnsi="宋体" w:cs="宋体"/>
          <w:b/>
          <w:color w:val="auto"/>
          <w:szCs w:val="20"/>
          <w:highlight w:val="none"/>
        </w:rPr>
        <w:t>三、成交候选供应商推荐原则</w:t>
      </w:r>
    </w:p>
    <w:p>
      <w:pPr>
        <w:pStyle w:val="14"/>
        <w:wordWrap w:val="0"/>
        <w:spacing w:line="400" w:lineRule="exact"/>
        <w:ind w:firstLine="420" w:firstLineChars="200"/>
        <w:rPr>
          <w:rFonts w:hAnsi="宋体" w:cs="宋体"/>
          <w:color w:val="auto"/>
          <w:highlight w:val="none"/>
        </w:rPr>
      </w:pPr>
      <w:r>
        <w:rPr>
          <w:rFonts w:hint="eastAsia" w:hAnsi="宋体" w:cs="宋体"/>
          <w:color w:val="auto"/>
          <w:highlight w:val="none"/>
        </w:rPr>
        <w:t>谈判小组以谈判文件、响应文件作为评定依据，按照《政府采购促进中小企业发展暂定的有关证明材料为准》（财库[2011]181号），竞标人认定为小型和微型企业（以响应文件提供的符合规定的有关证明材料为准）且所投产品均为小型和微型企业产品的，对最终报价给予</w:t>
      </w:r>
      <w:r>
        <w:rPr>
          <w:rFonts w:hint="eastAsia" w:hAnsi="宋体" w:cs="宋体"/>
          <w:color w:val="auto"/>
          <w:highlight w:val="none"/>
          <w:lang w:val="en-US" w:eastAsia="zh-CN"/>
        </w:rPr>
        <w:t>10%</w:t>
      </w:r>
      <w:r>
        <w:rPr>
          <w:rFonts w:hint="eastAsia" w:hAnsi="宋体" w:cs="宋体"/>
          <w:color w:val="auto"/>
          <w:highlight w:val="none"/>
        </w:rPr>
        <w:t>的扣除，扣除后的价格为评标价，即评标价＝最终报价×</w:t>
      </w:r>
      <w:r>
        <w:rPr>
          <w:rFonts w:hint="eastAsia" w:hAnsi="宋体" w:cs="宋体"/>
          <w:bCs/>
          <w:color w:val="auto"/>
          <w:highlight w:val="none"/>
        </w:rPr>
        <w:t>（1-</w:t>
      </w:r>
      <w:r>
        <w:rPr>
          <w:rFonts w:hint="eastAsia" w:hAnsi="宋体" w:cs="宋体"/>
          <w:bCs/>
          <w:color w:val="auto"/>
          <w:highlight w:val="none"/>
          <w:lang w:val="en-US" w:eastAsia="zh-CN"/>
        </w:rPr>
        <w:t>10%</w:t>
      </w:r>
      <w:r>
        <w:rPr>
          <w:rFonts w:hint="eastAsia" w:hAnsi="宋体" w:cs="宋体"/>
          <w:bCs/>
          <w:color w:val="auto"/>
          <w:highlight w:val="none"/>
        </w:rPr>
        <w:t>）；除上述情况外，评标价＝最终报价</w:t>
      </w:r>
      <w:r>
        <w:rPr>
          <w:rFonts w:hint="eastAsia" w:hAnsi="宋体" w:cs="宋体"/>
          <w:color w:val="auto"/>
          <w:highlight w:val="none"/>
        </w:rPr>
        <w:t>。在符合采购需求、质量和服务相等的前提下，</w:t>
      </w:r>
      <w:r>
        <w:rPr>
          <w:rFonts w:hint="eastAsia" w:hAnsi="宋体" w:cs="宋体"/>
          <w:bCs/>
          <w:color w:val="auto"/>
          <w:highlight w:val="none"/>
        </w:rPr>
        <w:t>评标价按由低到高的顺序进行排名，推荐前三名为成交候选供应商。评标价排名第一为第一成交候选供应商，评标价排名第二为第二成交候选供应商，评标价排名第三为第三成交候选供应商。如出现两个及以上报价相同时，则由评标小组集体决定推荐顺序；评标小组各方意见不一致时，应采用记名表决的方式决定，遵循少数服从多数的原则，表决结果要书面结果归档备查。</w:t>
      </w:r>
    </w:p>
    <w:p>
      <w:pPr>
        <w:pStyle w:val="14"/>
        <w:wordWrap w:val="0"/>
        <w:spacing w:line="400" w:lineRule="exact"/>
        <w:ind w:firstLine="420" w:firstLineChars="200"/>
        <w:rPr>
          <w:rFonts w:hAnsi="宋体" w:cs="宋体"/>
          <w:color w:val="auto"/>
          <w:highlight w:val="none"/>
        </w:rPr>
      </w:pPr>
      <w:r>
        <w:rPr>
          <w:rFonts w:hint="eastAsia" w:hAnsi="宋体" w:cs="宋体"/>
          <w:color w:val="auto"/>
          <w:highlight w:val="none"/>
        </w:rPr>
        <w:t>采购单位应当确定谈判小组推荐排名第一的成交候选供应商为成交供应商。排名第一的成交候选供应商放弃成交、因不可抗力提出不能履行合同，采购单位可以确定排名第二的成交候选供应商为成交供应商。排名第二的成交候选供应商因前款规定的同样原因不能签订合同的，采购单位可以确定排名第三的成交候选供应商为成交供应商,以此类推。</w:t>
      </w:r>
      <w:bookmarkStart w:id="137" w:name="_Toc147248437"/>
      <w:bookmarkStart w:id="138" w:name="_Toc306259719"/>
      <w:bookmarkStart w:id="139" w:name="_Toc156106972"/>
      <w:bookmarkStart w:id="140" w:name="_Toc182358701"/>
    </w:p>
    <w:p>
      <w:pPr>
        <w:pStyle w:val="14"/>
        <w:wordWrap w:val="0"/>
        <w:spacing w:line="400" w:lineRule="exact"/>
        <w:ind w:firstLine="420" w:firstLineChars="200"/>
        <w:rPr>
          <w:rFonts w:hAnsi="宋体" w:cs="宋体"/>
          <w:color w:val="auto"/>
          <w:highlight w:val="none"/>
        </w:rPr>
      </w:pPr>
    </w:p>
    <w:p>
      <w:pPr>
        <w:pStyle w:val="11"/>
        <w:jc w:val="both"/>
        <w:rPr>
          <w:color w:val="auto"/>
          <w:highlight w:val="none"/>
        </w:rPr>
      </w:pPr>
    </w:p>
    <w:p>
      <w:pPr>
        <w:pStyle w:val="3"/>
        <w:rPr>
          <w:rFonts w:ascii="宋体" w:hAnsi="宋体" w:cs="宋体"/>
          <w:color w:val="auto"/>
          <w:highlight w:val="none"/>
        </w:rPr>
      </w:pPr>
      <w:bookmarkStart w:id="141" w:name="_Toc6490"/>
      <w:r>
        <w:rPr>
          <w:rFonts w:hint="eastAsia" w:ascii="宋体" w:hAnsi="宋体" w:cs="宋体"/>
          <w:color w:val="auto"/>
          <w:highlight w:val="none"/>
        </w:rPr>
        <w:t>第六章</w:t>
      </w:r>
      <w:r>
        <w:rPr>
          <w:rFonts w:hint="eastAsia" w:ascii="宋体" w:hAnsi="宋体" w:cs="宋体"/>
          <w:color w:val="auto"/>
          <w:highlight w:val="none"/>
          <w:lang w:val="en-US" w:eastAsia="zh-CN"/>
        </w:rPr>
        <w:t xml:space="preserve">  </w:t>
      </w:r>
      <w:r>
        <w:rPr>
          <w:rFonts w:hint="eastAsia" w:ascii="宋体" w:hAnsi="宋体" w:cs="宋体"/>
          <w:color w:val="auto"/>
          <w:highlight w:val="none"/>
        </w:rPr>
        <w:t>响应文件（格式）</w:t>
      </w:r>
      <w:bookmarkEnd w:id="137"/>
      <w:bookmarkEnd w:id="138"/>
      <w:bookmarkEnd w:id="139"/>
      <w:bookmarkEnd w:id="140"/>
      <w:bookmarkEnd w:id="141"/>
    </w:p>
    <w:p>
      <w:pPr>
        <w:wordWrap w:val="0"/>
        <w:snapToGrid w:val="0"/>
        <w:spacing w:beforeLines="50" w:after="50"/>
        <w:outlineLvl w:val="1"/>
        <w:rPr>
          <w:rFonts w:ascii="宋体" w:hAnsi="宋体" w:cs="宋体"/>
          <w:b/>
          <w:bCs/>
          <w:color w:val="auto"/>
          <w:szCs w:val="21"/>
          <w:highlight w:val="none"/>
        </w:rPr>
      </w:pPr>
      <w:bookmarkStart w:id="142" w:name="_Toc22431"/>
      <w:bookmarkStart w:id="143" w:name="_Toc15196"/>
      <w:bookmarkStart w:id="144" w:name="_Toc3891"/>
      <w:r>
        <w:rPr>
          <w:rFonts w:hint="eastAsia" w:ascii="宋体" w:hAnsi="宋体" w:cs="宋体"/>
          <w:b/>
          <w:bCs/>
          <w:color w:val="auto"/>
          <w:szCs w:val="21"/>
          <w:highlight w:val="none"/>
        </w:rPr>
        <w:t>一、竞标文件外层包装封面格式</w:t>
      </w:r>
      <w:bookmarkEnd w:id="142"/>
      <w:bookmarkEnd w:id="143"/>
      <w:bookmarkEnd w:id="144"/>
    </w:p>
    <w:p>
      <w:pPr>
        <w:wordWrap w:val="0"/>
        <w:snapToGrid w:val="0"/>
        <w:spacing w:beforeLines="50" w:after="50"/>
        <w:rPr>
          <w:rFonts w:ascii="宋体" w:hAnsi="宋体" w:cs="宋体"/>
          <w:color w:val="auto"/>
          <w:szCs w:val="21"/>
          <w:highlight w:val="none"/>
        </w:rPr>
      </w:pPr>
      <w:r>
        <w:rPr>
          <w:rFonts w:hint="eastAsia" w:ascii="宋体" w:hAnsi="宋体" w:cs="宋体"/>
          <w:b/>
          <w:color w:val="auto"/>
          <w:szCs w:val="21"/>
          <w:highlight w:val="none"/>
        </w:rPr>
        <w:t>1.竞标标文件的外包装封面格式：</w:t>
      </w:r>
    </w:p>
    <w:p>
      <w:pPr>
        <w:wordWrap w:val="0"/>
        <w:snapToGrid w:val="0"/>
        <w:spacing w:beforeLines="50" w:after="50"/>
        <w:jc w:val="center"/>
        <w:rPr>
          <w:rFonts w:ascii="宋体" w:hAnsi="宋体" w:cs="宋体"/>
          <w:bCs/>
          <w:color w:val="auto"/>
          <w:szCs w:val="21"/>
          <w:highlight w:val="none"/>
        </w:rPr>
      </w:pPr>
    </w:p>
    <w:p>
      <w:pPr>
        <w:wordWrap w:val="0"/>
        <w:snapToGrid w:val="0"/>
        <w:spacing w:beforeLines="50" w:after="50"/>
        <w:jc w:val="center"/>
        <w:rPr>
          <w:rFonts w:ascii="宋体" w:hAnsi="宋体" w:cs="宋体"/>
          <w:bCs/>
          <w:color w:val="auto"/>
          <w:sz w:val="52"/>
          <w:szCs w:val="52"/>
          <w:highlight w:val="none"/>
        </w:rPr>
      </w:pPr>
    </w:p>
    <w:p>
      <w:pPr>
        <w:wordWrap w:val="0"/>
        <w:snapToGrid w:val="0"/>
        <w:spacing w:beforeLines="50" w:after="50"/>
        <w:jc w:val="center"/>
        <w:rPr>
          <w:rFonts w:ascii="宋体" w:hAnsi="宋体" w:cs="宋体"/>
          <w:b/>
          <w:color w:val="auto"/>
          <w:sz w:val="72"/>
          <w:szCs w:val="72"/>
          <w:highlight w:val="none"/>
        </w:rPr>
      </w:pPr>
      <w:r>
        <w:rPr>
          <w:rFonts w:hint="eastAsia" w:ascii="宋体" w:hAnsi="宋体" w:cs="宋体"/>
          <w:b/>
          <w:color w:val="auto"/>
          <w:sz w:val="72"/>
          <w:szCs w:val="72"/>
          <w:highlight w:val="none"/>
        </w:rPr>
        <w:t>竞争性谈判响应文件</w:t>
      </w:r>
    </w:p>
    <w:p>
      <w:pPr>
        <w:wordWrap w:val="0"/>
        <w:snapToGrid w:val="0"/>
        <w:spacing w:beforeLines="50" w:after="50"/>
        <w:rPr>
          <w:rFonts w:ascii="宋体" w:hAnsi="宋体" w:cs="宋体"/>
          <w:bCs/>
          <w:color w:val="auto"/>
          <w:sz w:val="30"/>
          <w:szCs w:val="30"/>
          <w:highlight w:val="none"/>
        </w:rPr>
      </w:pPr>
    </w:p>
    <w:p>
      <w:pPr>
        <w:wordWrap w:val="0"/>
        <w:snapToGrid w:val="0"/>
        <w:spacing w:beforeLines="50" w:after="50"/>
        <w:rPr>
          <w:rFonts w:ascii="宋体" w:hAnsi="宋体" w:cs="宋体"/>
          <w:bCs/>
          <w:color w:val="auto"/>
          <w:sz w:val="30"/>
          <w:szCs w:val="30"/>
          <w:highlight w:val="none"/>
        </w:rPr>
      </w:pPr>
    </w:p>
    <w:p>
      <w:pPr>
        <w:wordWrap w:val="0"/>
        <w:snapToGrid w:val="0"/>
        <w:spacing w:beforeLines="50" w:after="50" w:line="360" w:lineRule="auto"/>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wordWrap w:val="0"/>
        <w:snapToGrid w:val="0"/>
        <w:spacing w:beforeLines="50" w:after="50" w:line="360" w:lineRule="auto"/>
        <w:ind w:firstLine="450" w:firstLineChars="150"/>
        <w:rPr>
          <w:rFonts w:ascii="宋体" w:hAnsi="宋体" w:cs="宋体"/>
          <w:bCs/>
          <w:color w:val="auto"/>
          <w:sz w:val="30"/>
          <w:szCs w:val="30"/>
          <w:highlight w:val="none"/>
        </w:rPr>
      </w:pPr>
    </w:p>
    <w:p>
      <w:pPr>
        <w:wordWrap w:val="0"/>
        <w:snapToGrid w:val="0"/>
        <w:spacing w:beforeLines="50" w:after="50" w:line="360" w:lineRule="auto"/>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采购编号：</w:t>
      </w:r>
    </w:p>
    <w:p>
      <w:pPr>
        <w:pStyle w:val="7"/>
        <w:wordWrap w:val="0"/>
        <w:snapToGrid w:val="0"/>
        <w:spacing w:before="50" w:after="50" w:line="360" w:lineRule="auto"/>
        <w:ind w:firstLine="0" w:firstLineChars="0"/>
        <w:rPr>
          <w:rFonts w:ascii="宋体" w:hAnsi="宋体" w:cs="宋体"/>
          <w:bCs/>
          <w:color w:val="auto"/>
          <w:sz w:val="30"/>
          <w:szCs w:val="30"/>
          <w:highlight w:val="none"/>
        </w:rPr>
      </w:pPr>
    </w:p>
    <w:p>
      <w:pPr>
        <w:pStyle w:val="7"/>
        <w:wordWrap w:val="0"/>
        <w:snapToGrid w:val="0"/>
        <w:spacing w:before="50" w:after="50" w:line="360" w:lineRule="auto"/>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竞标人名称：</w:t>
      </w:r>
      <w:r>
        <w:rPr>
          <w:rFonts w:hint="eastAsia" w:ascii="宋体" w:hAnsi="宋体" w:cs="宋体"/>
          <w:bCs/>
          <w:color w:val="auto"/>
          <w:sz w:val="30"/>
          <w:szCs w:val="30"/>
          <w:highlight w:val="none"/>
          <w:u w:val="single"/>
        </w:rPr>
        <w:t>全称（加盖单位公章）</w:t>
      </w:r>
    </w:p>
    <w:p>
      <w:pPr>
        <w:pStyle w:val="7"/>
        <w:wordWrap w:val="0"/>
        <w:snapToGrid w:val="0"/>
        <w:spacing w:before="50" w:after="50" w:line="360" w:lineRule="auto"/>
        <w:ind w:firstLine="450" w:firstLineChars="150"/>
        <w:rPr>
          <w:rFonts w:ascii="宋体" w:hAnsi="宋体" w:cs="宋体"/>
          <w:bCs/>
          <w:color w:val="auto"/>
          <w:sz w:val="30"/>
          <w:szCs w:val="30"/>
          <w:highlight w:val="none"/>
        </w:rPr>
      </w:pPr>
    </w:p>
    <w:p>
      <w:pPr>
        <w:pStyle w:val="7"/>
        <w:wordWrap w:val="0"/>
        <w:snapToGrid w:val="0"/>
        <w:spacing w:before="50" w:after="50" w:line="360" w:lineRule="auto"/>
        <w:ind w:firstLine="450" w:firstLineChars="150"/>
        <w:rPr>
          <w:rFonts w:ascii="宋体" w:hAnsi="宋体" w:cs="宋体"/>
          <w:bCs/>
          <w:color w:val="auto"/>
          <w:sz w:val="30"/>
          <w:szCs w:val="30"/>
          <w:highlight w:val="none"/>
          <w:u w:val="single"/>
        </w:rPr>
      </w:pPr>
      <w:r>
        <w:rPr>
          <w:rFonts w:hint="eastAsia" w:ascii="宋体" w:hAnsi="宋体" w:cs="宋体"/>
          <w:bCs/>
          <w:color w:val="auto"/>
          <w:sz w:val="30"/>
          <w:szCs w:val="30"/>
          <w:highlight w:val="none"/>
        </w:rPr>
        <w:t>竞标人地址：</w:t>
      </w:r>
      <w:r>
        <w:rPr>
          <w:rFonts w:hint="eastAsia" w:ascii="宋体" w:hAnsi="宋体" w:cs="宋体"/>
          <w:bCs/>
          <w:color w:val="auto"/>
          <w:sz w:val="30"/>
          <w:szCs w:val="30"/>
          <w:highlight w:val="none"/>
          <w:u w:val="single"/>
        </w:rPr>
        <w:t>　　　　　　　　　　　　　　　　　　　</w:t>
      </w:r>
    </w:p>
    <w:p>
      <w:pPr>
        <w:pStyle w:val="7"/>
        <w:wordWrap w:val="0"/>
        <w:snapToGrid w:val="0"/>
        <w:spacing w:before="50" w:after="50" w:line="360" w:lineRule="auto"/>
        <w:ind w:firstLine="450" w:firstLineChars="150"/>
        <w:rPr>
          <w:rFonts w:ascii="宋体" w:hAnsi="宋体" w:cs="宋体"/>
          <w:bCs/>
          <w:color w:val="auto"/>
          <w:sz w:val="30"/>
          <w:szCs w:val="30"/>
          <w:highlight w:val="none"/>
          <w:u w:val="single"/>
        </w:rPr>
      </w:pPr>
    </w:p>
    <w:p>
      <w:pPr>
        <w:pStyle w:val="7"/>
        <w:wordWrap w:val="0"/>
        <w:snapToGrid w:val="0"/>
        <w:spacing w:before="50" w:after="50" w:line="360" w:lineRule="auto"/>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在</w:t>
      </w:r>
      <w:r>
        <w:rPr>
          <w:rFonts w:hint="eastAsia" w:ascii="宋体" w:hAnsi="宋体" w:cs="宋体"/>
          <w:bCs/>
          <w:color w:val="auto"/>
          <w:sz w:val="30"/>
          <w:szCs w:val="30"/>
          <w:highlight w:val="none"/>
          <w:lang w:val="en-US" w:eastAsia="zh-CN"/>
        </w:rPr>
        <w:t xml:space="preserve">  </w:t>
      </w:r>
      <w:r>
        <w:rPr>
          <w:rFonts w:hint="eastAsia" w:ascii="宋体" w:hAnsi="宋体" w:cs="宋体"/>
          <w:bCs/>
          <w:color w:val="auto"/>
          <w:sz w:val="30"/>
          <w:szCs w:val="30"/>
          <w:highlight w:val="none"/>
        </w:rPr>
        <w:t>年</w:t>
      </w:r>
      <w:r>
        <w:rPr>
          <w:rFonts w:hint="eastAsia" w:ascii="宋体" w:hAnsi="宋体" w:cs="宋体"/>
          <w:bCs/>
          <w:color w:val="auto"/>
          <w:sz w:val="30"/>
          <w:szCs w:val="30"/>
          <w:highlight w:val="none"/>
          <w:lang w:val="en-US" w:eastAsia="zh-CN"/>
        </w:rPr>
        <w:t xml:space="preserve">  </w:t>
      </w:r>
      <w:r>
        <w:rPr>
          <w:rFonts w:hint="eastAsia" w:ascii="宋体" w:hAnsi="宋体" w:cs="宋体"/>
          <w:bCs/>
          <w:color w:val="auto"/>
          <w:sz w:val="30"/>
          <w:szCs w:val="30"/>
          <w:highlight w:val="none"/>
        </w:rPr>
        <w:t>月</w:t>
      </w:r>
      <w:r>
        <w:rPr>
          <w:rFonts w:hint="eastAsia" w:ascii="宋体" w:hAnsi="宋体" w:cs="宋体"/>
          <w:bCs/>
          <w:color w:val="auto"/>
          <w:sz w:val="30"/>
          <w:szCs w:val="30"/>
          <w:highlight w:val="none"/>
          <w:lang w:val="en-US" w:eastAsia="zh-CN"/>
        </w:rPr>
        <w:t xml:space="preserve">  </w:t>
      </w:r>
      <w:r>
        <w:rPr>
          <w:rFonts w:hint="eastAsia" w:ascii="宋体" w:hAnsi="宋体" w:cs="宋体"/>
          <w:bCs/>
          <w:color w:val="auto"/>
          <w:sz w:val="30"/>
          <w:szCs w:val="30"/>
          <w:highlight w:val="none"/>
        </w:rPr>
        <w:t>日</w:t>
      </w:r>
      <w:r>
        <w:rPr>
          <w:rFonts w:hint="eastAsia" w:ascii="宋体" w:hAnsi="宋体" w:cs="宋体"/>
          <w:bCs/>
          <w:color w:val="auto"/>
          <w:sz w:val="30"/>
          <w:szCs w:val="30"/>
          <w:highlight w:val="none"/>
          <w:lang w:val="en-US" w:eastAsia="zh-CN"/>
        </w:rPr>
        <w:t xml:space="preserve"> </w:t>
      </w:r>
      <w:r>
        <w:rPr>
          <w:rFonts w:hint="eastAsia" w:ascii="宋体" w:hAnsi="宋体" w:cs="宋体"/>
          <w:bCs/>
          <w:color w:val="auto"/>
          <w:sz w:val="30"/>
          <w:szCs w:val="30"/>
          <w:highlight w:val="none"/>
        </w:rPr>
        <w:t>时</w:t>
      </w:r>
      <w:r>
        <w:rPr>
          <w:rFonts w:hint="eastAsia" w:ascii="宋体" w:hAnsi="宋体" w:cs="宋体"/>
          <w:bCs/>
          <w:color w:val="auto"/>
          <w:sz w:val="30"/>
          <w:szCs w:val="30"/>
          <w:highlight w:val="none"/>
          <w:lang w:val="en-US" w:eastAsia="zh-CN"/>
        </w:rPr>
        <w:t xml:space="preserve">  </w:t>
      </w:r>
      <w:r>
        <w:rPr>
          <w:rFonts w:hint="eastAsia" w:ascii="宋体" w:hAnsi="宋体" w:cs="宋体"/>
          <w:bCs/>
          <w:color w:val="auto"/>
          <w:sz w:val="30"/>
          <w:szCs w:val="30"/>
          <w:highlight w:val="none"/>
        </w:rPr>
        <w:t>分之前不得启封</w:t>
      </w:r>
    </w:p>
    <w:p>
      <w:pPr>
        <w:pStyle w:val="7"/>
        <w:wordWrap w:val="0"/>
        <w:snapToGrid w:val="0"/>
        <w:spacing w:before="50" w:after="50" w:line="360" w:lineRule="auto"/>
        <w:ind w:firstLine="0" w:firstLineChars="0"/>
        <w:rPr>
          <w:rFonts w:ascii="宋体" w:hAnsi="宋体" w:cs="宋体"/>
          <w:bCs/>
          <w:color w:val="auto"/>
          <w:sz w:val="30"/>
          <w:szCs w:val="30"/>
          <w:highlight w:val="none"/>
        </w:rPr>
      </w:pPr>
    </w:p>
    <w:p>
      <w:pPr>
        <w:pStyle w:val="7"/>
        <w:wordWrap w:val="0"/>
        <w:snapToGrid w:val="0"/>
        <w:spacing w:before="50" w:after="50" w:line="360" w:lineRule="auto"/>
        <w:ind w:firstLine="450" w:firstLineChars="150"/>
        <w:jc w:val="center"/>
        <w:rPr>
          <w:rFonts w:ascii="宋体" w:hAnsi="宋体" w:cs="宋体"/>
          <w:bCs/>
          <w:color w:val="auto"/>
          <w:sz w:val="30"/>
          <w:szCs w:val="30"/>
          <w:highlight w:val="none"/>
        </w:rPr>
      </w:pPr>
      <w:r>
        <w:rPr>
          <w:rFonts w:hint="eastAsia" w:ascii="宋体" w:hAnsi="宋体" w:cs="宋体"/>
          <w:bCs/>
          <w:color w:val="auto"/>
          <w:sz w:val="30"/>
          <w:szCs w:val="30"/>
          <w:highlight w:val="none"/>
        </w:rPr>
        <w:t>年</w:t>
      </w:r>
      <w:r>
        <w:rPr>
          <w:rFonts w:hint="eastAsia" w:ascii="宋体" w:hAnsi="宋体" w:cs="宋体"/>
          <w:bCs/>
          <w:color w:val="auto"/>
          <w:sz w:val="30"/>
          <w:szCs w:val="30"/>
          <w:highlight w:val="none"/>
          <w:lang w:val="en-US" w:eastAsia="zh-CN"/>
        </w:rPr>
        <w:t xml:space="preserve">  </w:t>
      </w:r>
      <w:r>
        <w:rPr>
          <w:rFonts w:hint="eastAsia" w:ascii="宋体" w:hAnsi="宋体" w:cs="宋体"/>
          <w:bCs/>
          <w:color w:val="auto"/>
          <w:sz w:val="30"/>
          <w:szCs w:val="30"/>
          <w:highlight w:val="none"/>
        </w:rPr>
        <w:t>月</w:t>
      </w:r>
      <w:r>
        <w:rPr>
          <w:rFonts w:hint="eastAsia" w:ascii="宋体" w:hAnsi="宋体" w:cs="宋体"/>
          <w:bCs/>
          <w:color w:val="auto"/>
          <w:sz w:val="30"/>
          <w:szCs w:val="30"/>
          <w:highlight w:val="none"/>
          <w:lang w:val="en-US" w:eastAsia="zh-CN"/>
        </w:rPr>
        <w:t xml:space="preserve">  </w:t>
      </w:r>
      <w:r>
        <w:rPr>
          <w:rFonts w:hint="eastAsia" w:ascii="宋体" w:hAnsi="宋体" w:cs="宋体"/>
          <w:bCs/>
          <w:color w:val="auto"/>
          <w:sz w:val="30"/>
          <w:szCs w:val="30"/>
          <w:highlight w:val="none"/>
        </w:rPr>
        <w:t>日</w:t>
      </w:r>
    </w:p>
    <w:p>
      <w:pPr>
        <w:pStyle w:val="7"/>
        <w:wordWrap w:val="0"/>
        <w:snapToGrid w:val="0"/>
        <w:spacing w:before="50" w:after="50" w:line="360" w:lineRule="auto"/>
        <w:ind w:firstLine="0" w:firstLineChars="0"/>
        <w:rPr>
          <w:rFonts w:ascii="宋体" w:hAnsi="宋体" w:cs="宋体"/>
          <w:b/>
          <w:color w:val="auto"/>
          <w:szCs w:val="21"/>
          <w:highlight w:val="none"/>
        </w:rPr>
      </w:pPr>
    </w:p>
    <w:p>
      <w:pPr>
        <w:pStyle w:val="7"/>
        <w:wordWrap w:val="0"/>
        <w:snapToGrid w:val="0"/>
        <w:spacing w:before="50" w:after="50" w:line="360" w:lineRule="auto"/>
        <w:ind w:firstLine="0" w:firstLineChars="0"/>
        <w:rPr>
          <w:rFonts w:ascii="宋体" w:hAnsi="宋体" w:cs="宋体"/>
          <w:b/>
          <w:color w:val="auto"/>
          <w:szCs w:val="21"/>
          <w:highlight w:val="none"/>
        </w:rPr>
      </w:pPr>
    </w:p>
    <w:p>
      <w:pPr>
        <w:pStyle w:val="7"/>
        <w:wordWrap w:val="0"/>
        <w:snapToGrid w:val="0"/>
        <w:spacing w:before="50" w:after="50" w:line="360" w:lineRule="auto"/>
        <w:ind w:firstLine="0" w:firstLineChars="0"/>
        <w:rPr>
          <w:rFonts w:ascii="宋体" w:hAnsi="宋体" w:cs="宋体"/>
          <w:b/>
          <w:color w:val="auto"/>
          <w:szCs w:val="21"/>
          <w:highlight w:val="none"/>
        </w:rPr>
      </w:pPr>
    </w:p>
    <w:p>
      <w:pPr>
        <w:pStyle w:val="7"/>
        <w:wordWrap w:val="0"/>
        <w:snapToGrid w:val="0"/>
        <w:spacing w:before="50" w:after="50" w:line="360" w:lineRule="auto"/>
        <w:ind w:firstLine="0" w:firstLineChars="0"/>
        <w:rPr>
          <w:rFonts w:ascii="宋体" w:hAnsi="宋体" w:cs="宋体"/>
          <w:b/>
          <w:color w:val="auto"/>
          <w:szCs w:val="21"/>
          <w:highlight w:val="none"/>
        </w:rPr>
      </w:pPr>
    </w:p>
    <w:p>
      <w:pPr>
        <w:pStyle w:val="7"/>
        <w:wordWrap w:val="0"/>
        <w:snapToGrid w:val="0"/>
        <w:spacing w:before="50" w:after="50" w:line="360" w:lineRule="auto"/>
        <w:ind w:firstLine="0" w:firstLineChars="0"/>
        <w:rPr>
          <w:rFonts w:hAnsi="宋体" w:cs="宋体"/>
          <w:color w:val="auto"/>
          <w:sz w:val="36"/>
          <w:szCs w:val="36"/>
          <w:highlight w:val="none"/>
        </w:rPr>
      </w:pPr>
      <w:r>
        <w:rPr>
          <w:rFonts w:hint="eastAsia" w:ascii="宋体" w:hAnsi="宋体" w:cs="宋体"/>
          <w:b/>
          <w:color w:val="auto"/>
          <w:szCs w:val="21"/>
          <w:highlight w:val="none"/>
        </w:rPr>
        <w:t>1.竞标标文件的封面格式：</w:t>
      </w:r>
    </w:p>
    <w:p>
      <w:pPr>
        <w:pStyle w:val="14"/>
        <w:wordWrap w:val="0"/>
        <w:ind w:firstLine="2160" w:firstLineChars="600"/>
        <w:jc w:val="right"/>
        <w:rPr>
          <w:rFonts w:hAnsi="宋体" w:cs="宋体"/>
          <w:color w:val="auto"/>
          <w:sz w:val="36"/>
          <w:szCs w:val="36"/>
          <w:highlight w:val="none"/>
        </w:rPr>
      </w:pPr>
      <w:r>
        <w:rPr>
          <w:rFonts w:hint="eastAsia" w:hAnsi="宋体" w:cs="宋体"/>
          <w:color w:val="auto"/>
          <w:sz w:val="36"/>
          <w:szCs w:val="36"/>
          <w:highlight w:val="none"/>
        </w:rPr>
        <w:t>正/副本</w:t>
      </w:r>
    </w:p>
    <w:p>
      <w:pPr>
        <w:pStyle w:val="14"/>
        <w:wordWrap w:val="0"/>
        <w:jc w:val="center"/>
        <w:rPr>
          <w:rFonts w:hAnsi="宋体" w:cs="宋体"/>
          <w:color w:val="auto"/>
          <w:sz w:val="36"/>
          <w:szCs w:val="36"/>
          <w:highlight w:val="none"/>
        </w:rPr>
      </w:pPr>
    </w:p>
    <w:p>
      <w:pPr>
        <w:pStyle w:val="14"/>
        <w:wordWrap w:val="0"/>
        <w:jc w:val="center"/>
        <w:rPr>
          <w:rFonts w:hAnsi="宋体" w:cs="宋体"/>
          <w:color w:val="auto"/>
          <w:sz w:val="36"/>
          <w:szCs w:val="36"/>
          <w:highlight w:val="none"/>
        </w:rPr>
      </w:pPr>
      <w:r>
        <w:rPr>
          <w:rFonts w:hint="eastAsia" w:hAnsi="宋体" w:cs="宋体"/>
          <w:color w:val="auto"/>
          <w:sz w:val="36"/>
          <w:szCs w:val="36"/>
          <w:highlight w:val="none"/>
        </w:rPr>
        <w:t>××××××（竞标人名称）</w:t>
      </w:r>
    </w:p>
    <w:p>
      <w:pPr>
        <w:pStyle w:val="14"/>
        <w:wordWrap w:val="0"/>
        <w:rPr>
          <w:rFonts w:hAnsi="宋体" w:cs="宋体"/>
          <w:color w:val="auto"/>
          <w:sz w:val="36"/>
          <w:szCs w:val="36"/>
          <w:highlight w:val="none"/>
        </w:rPr>
      </w:pPr>
    </w:p>
    <w:p>
      <w:pPr>
        <w:pStyle w:val="14"/>
        <w:wordWrap w:val="0"/>
        <w:jc w:val="center"/>
        <w:rPr>
          <w:rFonts w:hAnsi="宋体" w:cs="宋体"/>
          <w:b/>
          <w:bCs/>
          <w:color w:val="auto"/>
          <w:sz w:val="72"/>
          <w:szCs w:val="72"/>
          <w:highlight w:val="none"/>
        </w:rPr>
      </w:pPr>
      <w:r>
        <w:rPr>
          <w:rFonts w:hint="eastAsia" w:hAnsi="宋体" w:cs="宋体"/>
          <w:b/>
          <w:bCs/>
          <w:color w:val="auto"/>
          <w:sz w:val="72"/>
          <w:szCs w:val="72"/>
          <w:highlight w:val="none"/>
        </w:rPr>
        <w:t>竞争性谈判响应文件</w:t>
      </w:r>
    </w:p>
    <w:p>
      <w:pPr>
        <w:pStyle w:val="14"/>
        <w:wordWrap w:val="0"/>
        <w:jc w:val="center"/>
        <w:rPr>
          <w:rFonts w:hAnsi="宋体" w:cs="宋体"/>
          <w:color w:val="auto"/>
          <w:sz w:val="36"/>
          <w:szCs w:val="36"/>
          <w:highlight w:val="none"/>
        </w:rPr>
      </w:pPr>
    </w:p>
    <w:p>
      <w:pPr>
        <w:pStyle w:val="14"/>
        <w:wordWrap w:val="0"/>
        <w:jc w:val="center"/>
        <w:rPr>
          <w:rFonts w:hAnsi="宋体" w:cs="宋体"/>
          <w:color w:val="auto"/>
          <w:sz w:val="36"/>
          <w:szCs w:val="36"/>
          <w:highlight w:val="none"/>
        </w:rPr>
      </w:pPr>
    </w:p>
    <w:p>
      <w:pPr>
        <w:wordWrap w:val="0"/>
        <w:snapToGrid w:val="0"/>
        <w:spacing w:beforeLines="50" w:after="50" w:line="360" w:lineRule="auto"/>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wordWrap w:val="0"/>
        <w:snapToGrid w:val="0"/>
        <w:spacing w:beforeLines="50" w:after="50" w:line="360" w:lineRule="auto"/>
        <w:ind w:firstLine="675" w:firstLineChars="225"/>
        <w:rPr>
          <w:rFonts w:ascii="宋体" w:hAnsi="宋体" w:cs="宋体"/>
          <w:bCs/>
          <w:color w:val="auto"/>
          <w:sz w:val="30"/>
          <w:szCs w:val="30"/>
          <w:highlight w:val="none"/>
        </w:rPr>
      </w:pPr>
    </w:p>
    <w:p>
      <w:pPr>
        <w:wordWrap w:val="0"/>
        <w:snapToGrid w:val="0"/>
        <w:spacing w:beforeLines="50" w:after="50" w:line="360" w:lineRule="auto"/>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采购编号：</w:t>
      </w:r>
    </w:p>
    <w:p>
      <w:pPr>
        <w:wordWrap w:val="0"/>
        <w:snapToGrid w:val="0"/>
        <w:spacing w:beforeLines="50" w:after="50" w:line="360" w:lineRule="auto"/>
        <w:rPr>
          <w:rFonts w:ascii="宋体" w:hAnsi="宋体" w:cs="宋体"/>
          <w:bCs/>
          <w:color w:val="auto"/>
          <w:sz w:val="30"/>
          <w:szCs w:val="30"/>
          <w:highlight w:val="none"/>
        </w:rPr>
      </w:pPr>
    </w:p>
    <w:p>
      <w:pPr>
        <w:wordWrap w:val="0"/>
        <w:snapToGrid w:val="0"/>
        <w:spacing w:beforeLines="50" w:after="50" w:line="360" w:lineRule="auto"/>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竞标人名称（公章）：</w:t>
      </w:r>
    </w:p>
    <w:p>
      <w:pPr>
        <w:wordWrap w:val="0"/>
        <w:snapToGrid w:val="0"/>
        <w:spacing w:beforeLines="50" w:after="50" w:line="360" w:lineRule="auto"/>
        <w:ind w:firstLine="675" w:firstLineChars="225"/>
        <w:rPr>
          <w:rFonts w:ascii="宋体" w:hAnsi="宋体" w:cs="宋体"/>
          <w:bCs/>
          <w:color w:val="auto"/>
          <w:sz w:val="30"/>
          <w:szCs w:val="30"/>
          <w:highlight w:val="none"/>
        </w:rPr>
      </w:pPr>
    </w:p>
    <w:p>
      <w:pPr>
        <w:wordWrap w:val="0"/>
        <w:snapToGrid w:val="0"/>
        <w:spacing w:beforeLines="50" w:after="50" w:line="360" w:lineRule="auto"/>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法定代表人（负责人或自然人）或其授权委托人（签字或盖章）：</w:t>
      </w:r>
    </w:p>
    <w:p>
      <w:pPr>
        <w:pStyle w:val="7"/>
        <w:wordWrap w:val="0"/>
        <w:snapToGrid w:val="0"/>
        <w:spacing w:before="50" w:after="50" w:line="280" w:lineRule="exact"/>
        <w:ind w:firstLine="675" w:firstLineChars="225"/>
        <w:rPr>
          <w:rFonts w:ascii="宋体" w:hAnsi="宋体" w:cs="宋体"/>
          <w:bCs/>
          <w:color w:val="auto"/>
          <w:sz w:val="30"/>
          <w:szCs w:val="30"/>
          <w:highlight w:val="none"/>
        </w:rPr>
      </w:pPr>
    </w:p>
    <w:p>
      <w:pPr>
        <w:pStyle w:val="7"/>
        <w:wordWrap w:val="0"/>
        <w:snapToGrid w:val="0"/>
        <w:spacing w:before="50" w:after="50" w:line="280" w:lineRule="exact"/>
        <w:ind w:firstLine="0" w:firstLineChars="0"/>
        <w:rPr>
          <w:rFonts w:ascii="宋体" w:hAnsi="宋体" w:cs="宋体"/>
          <w:bCs/>
          <w:color w:val="auto"/>
          <w:sz w:val="30"/>
          <w:szCs w:val="30"/>
          <w:highlight w:val="none"/>
        </w:rPr>
      </w:pPr>
    </w:p>
    <w:p>
      <w:pPr>
        <w:wordWrap w:val="0"/>
        <w:snapToGrid w:val="0"/>
        <w:spacing w:beforeLines="50" w:after="50"/>
        <w:ind w:firstLine="10"/>
        <w:jc w:val="center"/>
        <w:rPr>
          <w:rFonts w:ascii="宋体" w:hAnsi="宋体" w:cs="宋体"/>
          <w:color w:val="auto"/>
          <w:sz w:val="30"/>
          <w:szCs w:val="30"/>
          <w:highlight w:val="none"/>
        </w:rPr>
      </w:pP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日</w:t>
      </w: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4"/>
        <w:wordWrap w:val="0"/>
        <w:jc w:val="center"/>
        <w:rPr>
          <w:rFonts w:hAnsi="宋体" w:cs="宋体"/>
          <w:b/>
          <w:bCs/>
          <w:color w:val="auto"/>
          <w:sz w:val="28"/>
          <w:szCs w:val="13"/>
          <w:highlight w:val="none"/>
        </w:rPr>
      </w:pPr>
      <w:r>
        <w:rPr>
          <w:rFonts w:hint="eastAsia" w:hAnsi="宋体" w:cs="宋体"/>
          <w:b/>
          <w:bCs/>
          <w:color w:val="auto"/>
          <w:sz w:val="28"/>
          <w:szCs w:val="13"/>
          <w:highlight w:val="none"/>
        </w:rPr>
        <w:t>目录</w:t>
      </w:r>
    </w:p>
    <w:p>
      <w:pPr>
        <w:pStyle w:val="14"/>
        <w:wordWrap w:val="0"/>
        <w:jc w:val="center"/>
        <w:rPr>
          <w:rFonts w:hAnsi="宋体" w:cs="宋体"/>
          <w:color w:val="auto"/>
          <w:sz w:val="16"/>
          <w:szCs w:val="15"/>
          <w:highlight w:val="none"/>
        </w:rPr>
      </w:pPr>
    </w:p>
    <w:p>
      <w:pPr>
        <w:pStyle w:val="14"/>
        <w:wordWrap w:val="0"/>
        <w:spacing w:line="480" w:lineRule="auto"/>
        <w:rPr>
          <w:rFonts w:hAnsi="宋体" w:cs="宋体"/>
          <w:color w:val="auto"/>
          <w:szCs w:val="21"/>
          <w:highlight w:val="none"/>
        </w:rPr>
      </w:pPr>
      <w:r>
        <w:rPr>
          <w:rFonts w:hint="eastAsia" w:hAnsi="宋体" w:cs="宋体"/>
          <w:color w:val="auto"/>
          <w:szCs w:val="21"/>
          <w:highlight w:val="none"/>
        </w:rPr>
        <w:t>一、竞标函.......................................................................</w:t>
      </w:r>
    </w:p>
    <w:p>
      <w:pPr>
        <w:pStyle w:val="14"/>
        <w:wordWrap w:val="0"/>
        <w:spacing w:line="480" w:lineRule="auto"/>
        <w:rPr>
          <w:rFonts w:hAnsi="宋体" w:cs="宋体"/>
          <w:color w:val="auto"/>
          <w:szCs w:val="21"/>
          <w:highlight w:val="none"/>
        </w:rPr>
      </w:pPr>
      <w:r>
        <w:rPr>
          <w:rFonts w:hint="eastAsia" w:hAnsi="宋体" w:cs="宋体"/>
          <w:color w:val="auto"/>
          <w:szCs w:val="21"/>
          <w:highlight w:val="none"/>
        </w:rPr>
        <w:t>二、竞标报价表..................................................................</w:t>
      </w:r>
    </w:p>
    <w:p>
      <w:pPr>
        <w:pStyle w:val="14"/>
        <w:tabs>
          <w:tab w:val="left" w:pos="8930"/>
          <w:tab w:val="left" w:pos="9105"/>
        </w:tabs>
        <w:wordWrap w:val="0"/>
        <w:spacing w:line="480" w:lineRule="auto"/>
        <w:rPr>
          <w:rFonts w:hAnsi="宋体" w:cs="宋体"/>
          <w:color w:val="auto"/>
          <w:szCs w:val="21"/>
          <w:highlight w:val="none"/>
        </w:rPr>
      </w:pPr>
      <w:r>
        <w:rPr>
          <w:rFonts w:hint="eastAsia" w:hAnsi="宋体" w:cs="宋体"/>
          <w:color w:val="auto"/>
          <w:szCs w:val="21"/>
          <w:highlight w:val="none"/>
        </w:rPr>
        <w:t>三、</w:t>
      </w:r>
      <w:r>
        <w:rPr>
          <w:rFonts w:hint="eastAsia" w:hAnsi="宋体" w:cs="宋体"/>
          <w:color w:val="auto"/>
          <w:highlight w:val="none"/>
        </w:rPr>
        <w:t>技术规格、商务响应偏离表</w:t>
      </w:r>
      <w:r>
        <w:rPr>
          <w:rFonts w:hint="eastAsia" w:hAnsi="宋体" w:cs="宋体"/>
          <w:color w:val="auto"/>
          <w:szCs w:val="21"/>
          <w:highlight w:val="none"/>
        </w:rPr>
        <w:t>.....................................................</w:t>
      </w:r>
    </w:p>
    <w:p>
      <w:pPr>
        <w:pStyle w:val="14"/>
        <w:tabs>
          <w:tab w:val="left" w:pos="8070"/>
          <w:tab w:val="left" w:pos="9085"/>
        </w:tabs>
        <w:wordWrap w:val="0"/>
        <w:spacing w:line="480" w:lineRule="auto"/>
        <w:rPr>
          <w:rFonts w:hAnsi="宋体" w:cs="宋体"/>
          <w:color w:val="auto"/>
          <w:szCs w:val="21"/>
          <w:highlight w:val="none"/>
        </w:rPr>
      </w:pPr>
      <w:r>
        <w:rPr>
          <w:rFonts w:hint="eastAsia" w:hAnsi="宋体" w:cs="宋体"/>
          <w:color w:val="auto"/>
          <w:szCs w:val="21"/>
          <w:highlight w:val="none"/>
        </w:rPr>
        <w:t>四、售后服务承诺书 ..............................................................</w:t>
      </w:r>
    </w:p>
    <w:p>
      <w:pPr>
        <w:pStyle w:val="14"/>
        <w:tabs>
          <w:tab w:val="left" w:pos="8070"/>
          <w:tab w:val="left" w:pos="9085"/>
        </w:tabs>
        <w:wordWrap w:val="0"/>
        <w:spacing w:line="480" w:lineRule="auto"/>
        <w:rPr>
          <w:rFonts w:hAnsi="宋体" w:cs="宋体"/>
          <w:color w:val="auto"/>
          <w:szCs w:val="21"/>
          <w:highlight w:val="none"/>
        </w:rPr>
      </w:pPr>
      <w:r>
        <w:rPr>
          <w:rFonts w:hint="eastAsia" w:hAnsi="宋体" w:cs="宋体"/>
          <w:color w:val="auto"/>
          <w:szCs w:val="21"/>
          <w:highlight w:val="none"/>
        </w:rPr>
        <w:t>五、中小企业声明函 ..............................................................</w:t>
      </w:r>
    </w:p>
    <w:p>
      <w:pPr>
        <w:pStyle w:val="14"/>
        <w:tabs>
          <w:tab w:val="left" w:pos="8070"/>
          <w:tab w:val="left" w:pos="9085"/>
        </w:tabs>
        <w:wordWrap w:val="0"/>
        <w:spacing w:line="480" w:lineRule="auto"/>
        <w:rPr>
          <w:rFonts w:hAnsi="宋体" w:cs="宋体"/>
          <w:color w:val="auto"/>
          <w:szCs w:val="21"/>
          <w:highlight w:val="none"/>
        </w:rPr>
      </w:pPr>
      <w:r>
        <w:rPr>
          <w:rFonts w:hint="eastAsia" w:hAnsi="宋体" w:cs="宋体"/>
          <w:color w:val="auto"/>
          <w:szCs w:val="21"/>
          <w:highlight w:val="none"/>
        </w:rPr>
        <w:t>六、竞标人资格证明文件...........................................................</w:t>
      </w:r>
    </w:p>
    <w:p>
      <w:pPr>
        <w:pStyle w:val="14"/>
        <w:wordWrap w:val="0"/>
        <w:spacing w:line="480" w:lineRule="auto"/>
        <w:rPr>
          <w:rFonts w:hAnsi="宋体" w:cs="宋体"/>
          <w:color w:val="auto"/>
          <w:szCs w:val="21"/>
          <w:highlight w:val="none"/>
        </w:rPr>
      </w:pPr>
      <w:r>
        <w:rPr>
          <w:rFonts w:hint="eastAsia" w:hAnsi="宋体" w:cs="宋体"/>
          <w:color w:val="auto"/>
          <w:szCs w:val="21"/>
          <w:highlight w:val="none"/>
        </w:rPr>
        <w:t>七、竞标人认为有必要提供的其他有关材料. .........................................</w:t>
      </w:r>
    </w:p>
    <w:p>
      <w:pPr>
        <w:pStyle w:val="14"/>
        <w:wordWrap w:val="0"/>
        <w:rPr>
          <w:rFonts w:hAnsi="宋体" w:cs="宋体"/>
          <w:color w:val="auto"/>
          <w:sz w:val="32"/>
          <w:highlight w:val="none"/>
        </w:rPr>
      </w:pPr>
    </w:p>
    <w:p>
      <w:pPr>
        <w:pStyle w:val="14"/>
        <w:wordWrap w:val="0"/>
        <w:rPr>
          <w:rFonts w:hAnsi="宋体" w:cs="宋体"/>
          <w:color w:val="auto"/>
          <w:sz w:val="32"/>
          <w:highlight w:val="none"/>
        </w:rPr>
      </w:pPr>
    </w:p>
    <w:p>
      <w:pPr>
        <w:pStyle w:val="14"/>
        <w:wordWrap w:val="0"/>
        <w:rPr>
          <w:rFonts w:hAnsi="宋体" w:cs="宋体"/>
          <w:color w:val="auto"/>
          <w:sz w:val="32"/>
          <w:highlight w:val="none"/>
        </w:rPr>
      </w:pPr>
    </w:p>
    <w:p>
      <w:pPr>
        <w:pStyle w:val="14"/>
        <w:wordWrap w:val="0"/>
        <w:rPr>
          <w:rFonts w:hAnsi="宋体" w:cs="宋体"/>
          <w:color w:val="auto"/>
          <w:sz w:val="32"/>
          <w:highlight w:val="none"/>
        </w:rPr>
      </w:pPr>
    </w:p>
    <w:p>
      <w:pPr>
        <w:pStyle w:val="14"/>
        <w:wordWrap w:val="0"/>
        <w:rPr>
          <w:rFonts w:hAnsi="宋体" w:cs="宋体"/>
          <w:color w:val="auto"/>
          <w:sz w:val="32"/>
          <w:highlight w:val="none"/>
        </w:rPr>
      </w:pPr>
    </w:p>
    <w:p>
      <w:pPr>
        <w:pStyle w:val="14"/>
        <w:wordWrap w:val="0"/>
        <w:rPr>
          <w:rFonts w:hAnsi="宋体" w:cs="宋体"/>
          <w:color w:val="auto"/>
          <w:sz w:val="32"/>
          <w:highlight w:val="none"/>
        </w:rPr>
      </w:pPr>
    </w:p>
    <w:p>
      <w:pPr>
        <w:pStyle w:val="14"/>
        <w:wordWrap w:val="0"/>
        <w:rPr>
          <w:rFonts w:hAnsi="宋体" w:cs="宋体"/>
          <w:color w:val="auto"/>
          <w:sz w:val="32"/>
          <w:highlight w:val="none"/>
        </w:rPr>
      </w:pPr>
    </w:p>
    <w:p>
      <w:pPr>
        <w:pStyle w:val="14"/>
        <w:wordWrap w:val="0"/>
        <w:rPr>
          <w:rFonts w:hAnsi="宋体" w:cs="宋体"/>
          <w:color w:val="auto"/>
          <w:sz w:val="32"/>
          <w:highlight w:val="none"/>
        </w:rPr>
      </w:pPr>
    </w:p>
    <w:p>
      <w:pPr>
        <w:pStyle w:val="14"/>
        <w:wordWrap w:val="0"/>
        <w:rPr>
          <w:rFonts w:hAnsi="宋体" w:cs="宋体"/>
          <w:color w:val="auto"/>
          <w:sz w:val="32"/>
          <w:highlight w:val="none"/>
        </w:rPr>
      </w:pPr>
    </w:p>
    <w:p>
      <w:pPr>
        <w:pStyle w:val="14"/>
        <w:wordWrap w:val="0"/>
        <w:rPr>
          <w:rFonts w:hAnsi="宋体" w:cs="宋体"/>
          <w:color w:val="auto"/>
          <w:sz w:val="32"/>
          <w:highlight w:val="none"/>
        </w:rPr>
      </w:pPr>
    </w:p>
    <w:p>
      <w:pPr>
        <w:pStyle w:val="14"/>
        <w:wordWrap w:val="0"/>
        <w:rPr>
          <w:rFonts w:hAnsi="宋体" w:cs="宋体"/>
          <w:color w:val="auto"/>
          <w:sz w:val="32"/>
          <w:highlight w:val="none"/>
        </w:rPr>
      </w:pPr>
    </w:p>
    <w:p>
      <w:pPr>
        <w:pStyle w:val="3"/>
        <w:keepLines/>
        <w:wordWrap w:val="0"/>
        <w:spacing w:before="340" w:after="330" w:line="578" w:lineRule="auto"/>
        <w:rPr>
          <w:rFonts w:ascii="宋体" w:hAnsi="宋体" w:cs="宋体"/>
          <w:color w:val="auto"/>
          <w:highlight w:val="none"/>
        </w:rPr>
      </w:pPr>
      <w:bookmarkStart w:id="145" w:name="_Toc393117395"/>
      <w:bookmarkStart w:id="146" w:name="_Toc15534"/>
      <w:bookmarkStart w:id="147" w:name="_Toc2123"/>
      <w:bookmarkStart w:id="148" w:name="_Toc11607"/>
      <w:r>
        <w:rPr>
          <w:rFonts w:hint="eastAsia" w:ascii="宋体" w:hAnsi="宋体" w:cs="宋体"/>
          <w:color w:val="auto"/>
          <w:kern w:val="44"/>
          <w:szCs w:val="44"/>
          <w:highlight w:val="none"/>
        </w:rPr>
        <w:t>一、竞标函（格式）</w:t>
      </w:r>
      <w:bookmarkEnd w:id="145"/>
      <w:bookmarkEnd w:id="146"/>
      <w:bookmarkEnd w:id="147"/>
      <w:bookmarkEnd w:id="148"/>
    </w:p>
    <w:p>
      <w:pPr>
        <w:pStyle w:val="14"/>
        <w:wordWrap w:val="0"/>
        <w:spacing w:line="420" w:lineRule="exact"/>
        <w:ind w:firstLine="103"/>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广西同泽工程项目管理股份有限公司</w:t>
      </w:r>
    </w:p>
    <w:p>
      <w:pPr>
        <w:wordWrap w:val="0"/>
        <w:spacing w:line="380" w:lineRule="exact"/>
        <w:ind w:left="103" w:leftChars="49" w:firstLine="411" w:firstLineChars="196"/>
        <w:jc w:val="left"/>
        <w:rPr>
          <w:rFonts w:ascii="宋体" w:hAnsi="宋体" w:cs="宋体"/>
          <w:color w:val="auto"/>
          <w:highlight w:val="none"/>
        </w:rPr>
      </w:pPr>
      <w:r>
        <w:rPr>
          <w:rFonts w:hint="eastAsia" w:ascii="宋体" w:hAnsi="宋体" w:cs="宋体"/>
          <w:color w:val="auto"/>
          <w:highlight w:val="none"/>
        </w:rPr>
        <w:t>根据贵方</w:t>
      </w:r>
      <w:r>
        <w:rPr>
          <w:rFonts w:hint="eastAsia" w:ascii="宋体" w:hAnsi="宋体" w:cs="宋体"/>
          <w:color w:val="auto"/>
          <w:highlight w:val="none"/>
          <w:u w:val="single"/>
        </w:rPr>
        <w:t>（项目名称）</w:t>
      </w:r>
      <w:r>
        <w:rPr>
          <w:rFonts w:hint="eastAsia" w:ascii="宋体" w:hAnsi="宋体" w:cs="宋体"/>
          <w:color w:val="auto"/>
          <w:highlight w:val="none"/>
        </w:rPr>
        <w:t>竞争性谈判文件</w:t>
      </w:r>
      <w:r>
        <w:rPr>
          <w:rFonts w:hint="eastAsia" w:ascii="宋体" w:hAnsi="宋体" w:cs="宋体"/>
          <w:color w:val="auto"/>
          <w:highlight w:val="none"/>
          <w:u w:val="single"/>
        </w:rPr>
        <w:t>（采购编号）</w:t>
      </w:r>
      <w:r>
        <w:rPr>
          <w:rFonts w:hint="eastAsia" w:ascii="宋体" w:hAnsi="宋体" w:cs="宋体"/>
          <w:color w:val="auto"/>
          <w:highlight w:val="none"/>
        </w:rPr>
        <w:t>，正式授权下述签字人</w:t>
      </w:r>
      <w:r>
        <w:rPr>
          <w:rFonts w:hint="eastAsia" w:ascii="宋体" w:hAnsi="宋体" w:cs="宋体"/>
          <w:color w:val="auto"/>
          <w:highlight w:val="none"/>
          <w:u w:val="single"/>
        </w:rPr>
        <w:t>（姓名和职务）</w:t>
      </w:r>
      <w:r>
        <w:rPr>
          <w:rFonts w:hint="eastAsia" w:ascii="宋体" w:hAnsi="宋体" w:cs="宋体"/>
          <w:color w:val="auto"/>
          <w:highlight w:val="none"/>
        </w:rPr>
        <w:t>代表竞标人</w:t>
      </w:r>
      <w:r>
        <w:rPr>
          <w:rFonts w:hint="eastAsia" w:ascii="宋体" w:hAnsi="宋体" w:cs="宋体"/>
          <w:color w:val="auto"/>
          <w:highlight w:val="none"/>
          <w:u w:val="single"/>
        </w:rPr>
        <w:t>（竞标单位名称）</w:t>
      </w:r>
      <w:r>
        <w:rPr>
          <w:rFonts w:hint="eastAsia" w:ascii="宋体" w:hAnsi="宋体" w:cs="宋体"/>
          <w:color w:val="auto"/>
          <w:highlight w:val="none"/>
        </w:rPr>
        <w:t>，提交下述文件：</w:t>
      </w:r>
    </w:p>
    <w:p>
      <w:pPr>
        <w:pStyle w:val="14"/>
        <w:wordWrap w:val="0"/>
        <w:spacing w:line="480" w:lineRule="exact"/>
        <w:ind w:firstLine="420"/>
        <w:rPr>
          <w:rFonts w:hAnsi="宋体" w:cs="宋体"/>
          <w:color w:val="auto"/>
          <w:highlight w:val="none"/>
        </w:rPr>
      </w:pPr>
      <w:r>
        <w:rPr>
          <w:rFonts w:hint="eastAsia" w:hAnsi="宋体" w:cs="宋体"/>
          <w:color w:val="auto"/>
          <w:highlight w:val="none"/>
        </w:rPr>
        <w:t>一、响应文件(按竞争性谈判文件第五章要求的格式及顺序自行填写提交，正本一本，副本四本，共五本)：</w:t>
      </w:r>
    </w:p>
    <w:p>
      <w:pPr>
        <w:pStyle w:val="14"/>
        <w:wordWrap w:val="0"/>
        <w:spacing w:line="420" w:lineRule="exact"/>
        <w:ind w:firstLine="420"/>
        <w:rPr>
          <w:rFonts w:hAnsi="宋体" w:cs="宋体"/>
          <w:color w:val="auto"/>
          <w:highlight w:val="none"/>
        </w:rPr>
      </w:pPr>
      <w:r>
        <w:rPr>
          <w:rFonts w:hint="eastAsia" w:hAnsi="宋体" w:cs="宋体"/>
          <w:color w:val="auto"/>
          <w:highlight w:val="none"/>
        </w:rPr>
        <w:t>（1）竞标函；</w:t>
      </w:r>
    </w:p>
    <w:p>
      <w:pPr>
        <w:pStyle w:val="14"/>
        <w:wordWrap w:val="0"/>
        <w:spacing w:line="420" w:lineRule="exact"/>
        <w:ind w:firstLine="420"/>
        <w:rPr>
          <w:rFonts w:hAnsi="宋体" w:cs="宋体"/>
          <w:color w:val="auto"/>
          <w:highlight w:val="none"/>
        </w:rPr>
      </w:pPr>
      <w:r>
        <w:rPr>
          <w:rFonts w:hint="eastAsia" w:hAnsi="宋体" w:cs="宋体"/>
          <w:color w:val="auto"/>
          <w:highlight w:val="none"/>
        </w:rPr>
        <w:t>（2）竞标报价表；</w:t>
      </w:r>
    </w:p>
    <w:p>
      <w:pPr>
        <w:pStyle w:val="14"/>
        <w:wordWrap w:val="0"/>
        <w:spacing w:line="420" w:lineRule="exact"/>
        <w:ind w:firstLine="420"/>
        <w:rPr>
          <w:rFonts w:hAnsi="宋体" w:cs="宋体"/>
          <w:color w:val="auto"/>
          <w:highlight w:val="none"/>
        </w:rPr>
      </w:pPr>
      <w:r>
        <w:rPr>
          <w:rFonts w:hint="eastAsia" w:hAnsi="宋体" w:cs="宋体"/>
          <w:color w:val="auto"/>
          <w:highlight w:val="none"/>
        </w:rPr>
        <w:t>（3）技术规格、商务响应偏离表；</w:t>
      </w:r>
    </w:p>
    <w:p>
      <w:pPr>
        <w:pStyle w:val="14"/>
        <w:wordWrap w:val="0"/>
        <w:spacing w:line="420" w:lineRule="exact"/>
        <w:ind w:firstLine="420"/>
        <w:rPr>
          <w:rFonts w:hAnsi="宋体" w:cs="宋体"/>
          <w:color w:val="auto"/>
          <w:highlight w:val="none"/>
        </w:rPr>
      </w:pPr>
      <w:r>
        <w:rPr>
          <w:rFonts w:hint="eastAsia" w:hAnsi="宋体" w:cs="宋体"/>
          <w:color w:val="auto"/>
          <w:highlight w:val="none"/>
        </w:rPr>
        <w:t>（4）售后服务承诺书；</w:t>
      </w:r>
    </w:p>
    <w:p>
      <w:pPr>
        <w:pStyle w:val="14"/>
        <w:wordWrap w:val="0"/>
        <w:spacing w:line="420" w:lineRule="exact"/>
        <w:ind w:firstLine="420" w:firstLineChars="200"/>
        <w:rPr>
          <w:rFonts w:hAnsi="宋体" w:cs="宋体"/>
          <w:color w:val="auto"/>
          <w:highlight w:val="none"/>
        </w:rPr>
      </w:pPr>
      <w:r>
        <w:rPr>
          <w:rFonts w:hint="eastAsia" w:hAnsi="宋体" w:cs="宋体"/>
          <w:color w:val="auto"/>
          <w:highlight w:val="none"/>
        </w:rPr>
        <w:t>（5）</w:t>
      </w:r>
      <w:r>
        <w:rPr>
          <w:rFonts w:hint="eastAsia" w:hAnsi="宋体" w:cs="宋体"/>
          <w:color w:val="auto"/>
          <w:szCs w:val="21"/>
          <w:highlight w:val="none"/>
        </w:rPr>
        <w:t>中小企业声明函；</w:t>
      </w:r>
    </w:p>
    <w:p>
      <w:pPr>
        <w:pStyle w:val="14"/>
        <w:wordWrap w:val="0"/>
        <w:spacing w:line="420" w:lineRule="exact"/>
        <w:ind w:firstLine="420"/>
        <w:rPr>
          <w:rFonts w:hAnsi="宋体" w:cs="宋体"/>
          <w:color w:val="auto"/>
          <w:highlight w:val="none"/>
        </w:rPr>
      </w:pPr>
      <w:r>
        <w:rPr>
          <w:rFonts w:hint="eastAsia" w:hAnsi="宋体" w:cs="宋体"/>
          <w:color w:val="auto"/>
          <w:highlight w:val="none"/>
        </w:rPr>
        <w:t>（6）竞标人资格证明文件；</w:t>
      </w:r>
    </w:p>
    <w:p>
      <w:pPr>
        <w:pStyle w:val="14"/>
        <w:wordWrap w:val="0"/>
        <w:spacing w:line="420" w:lineRule="exact"/>
        <w:ind w:firstLine="420"/>
        <w:rPr>
          <w:rFonts w:hAnsi="宋体" w:cs="宋体"/>
          <w:color w:val="auto"/>
          <w:highlight w:val="none"/>
        </w:rPr>
      </w:pPr>
      <w:r>
        <w:rPr>
          <w:rFonts w:hint="eastAsia" w:hAnsi="宋体" w:cs="宋体"/>
          <w:color w:val="auto"/>
          <w:highlight w:val="none"/>
        </w:rPr>
        <w:t>（7）竞标人认为有必要提供的其他有关材料。</w:t>
      </w:r>
    </w:p>
    <w:p>
      <w:pPr>
        <w:pStyle w:val="14"/>
        <w:wordWrap w:val="0"/>
        <w:spacing w:line="420" w:lineRule="exact"/>
        <w:ind w:left="101" w:leftChars="48" w:firstLine="310" w:firstLineChars="148"/>
        <w:rPr>
          <w:rFonts w:hAnsi="宋体" w:cs="宋体"/>
          <w:color w:val="auto"/>
          <w:highlight w:val="none"/>
        </w:rPr>
      </w:pPr>
      <w:r>
        <w:rPr>
          <w:rFonts w:hint="eastAsia" w:hAnsi="宋体" w:cs="宋体"/>
          <w:color w:val="auto"/>
          <w:highlight w:val="none"/>
        </w:rPr>
        <w:t>二、据此函，签字人兹宣布同意如下：</w:t>
      </w:r>
    </w:p>
    <w:p>
      <w:pPr>
        <w:pStyle w:val="14"/>
        <w:wordWrap w:val="0"/>
        <w:spacing w:line="420" w:lineRule="exact"/>
        <w:ind w:firstLine="420" w:firstLineChars="200"/>
        <w:rPr>
          <w:rFonts w:hAnsi="宋体" w:cs="宋体"/>
          <w:color w:val="auto"/>
          <w:highlight w:val="none"/>
        </w:rPr>
      </w:pPr>
      <w:r>
        <w:rPr>
          <w:rFonts w:hint="eastAsia" w:hAnsi="宋体" w:cs="宋体"/>
          <w:color w:val="auto"/>
          <w:highlight w:val="none"/>
        </w:rPr>
        <w:t>1、我方同意在竞标人须知规定的截标日期起遵循本响应文件，在竞标人须知第14条规定的竞标有效期满之前均具有约束力，并按时到场参加谈判。</w:t>
      </w:r>
    </w:p>
    <w:p>
      <w:pPr>
        <w:pStyle w:val="14"/>
        <w:wordWrap w:val="0"/>
        <w:spacing w:line="420" w:lineRule="exact"/>
        <w:ind w:firstLine="420" w:firstLineChars="200"/>
        <w:rPr>
          <w:rFonts w:hAnsi="宋体" w:cs="宋体"/>
          <w:color w:val="auto"/>
          <w:highlight w:val="none"/>
        </w:rPr>
      </w:pPr>
      <w:r>
        <w:rPr>
          <w:rFonts w:hint="eastAsia" w:hAnsi="宋体" w:cs="宋体"/>
          <w:color w:val="auto"/>
          <w:highlight w:val="none"/>
        </w:rPr>
        <w:t>2、我方承诺已经具备《中华人民共和国政府采购法》中规定的参加政府采购活动的供应商应当具备的条件：</w:t>
      </w:r>
    </w:p>
    <w:p>
      <w:pPr>
        <w:pStyle w:val="14"/>
        <w:wordWrap w:val="0"/>
        <w:spacing w:line="420" w:lineRule="exact"/>
        <w:rPr>
          <w:rFonts w:hAnsi="宋体" w:cs="宋体"/>
          <w:color w:val="auto"/>
          <w:highlight w:val="none"/>
        </w:rPr>
      </w:pPr>
      <w:r>
        <w:rPr>
          <w:rFonts w:hint="eastAsia" w:hAnsi="宋体" w:cs="宋体"/>
          <w:color w:val="auto"/>
          <w:highlight w:val="none"/>
        </w:rPr>
        <w:t>（1）具有独立承担民事责任的能力；</w:t>
      </w:r>
    </w:p>
    <w:p>
      <w:pPr>
        <w:pStyle w:val="14"/>
        <w:wordWrap w:val="0"/>
        <w:spacing w:line="420" w:lineRule="exact"/>
        <w:rPr>
          <w:rFonts w:hAnsi="宋体" w:cs="宋体"/>
          <w:color w:val="auto"/>
          <w:highlight w:val="none"/>
        </w:rPr>
      </w:pPr>
      <w:r>
        <w:rPr>
          <w:rFonts w:hint="eastAsia" w:hAnsi="宋体" w:cs="宋体"/>
          <w:color w:val="auto"/>
          <w:highlight w:val="none"/>
        </w:rPr>
        <w:t>（2）具有良好的商业信誉和健全的财务会计制度；</w:t>
      </w:r>
    </w:p>
    <w:p>
      <w:pPr>
        <w:pStyle w:val="14"/>
        <w:wordWrap w:val="0"/>
        <w:spacing w:line="420" w:lineRule="exact"/>
        <w:rPr>
          <w:rFonts w:hAnsi="宋体" w:cs="宋体"/>
          <w:color w:val="auto"/>
          <w:highlight w:val="none"/>
        </w:rPr>
      </w:pPr>
      <w:r>
        <w:rPr>
          <w:rFonts w:hint="eastAsia" w:hAnsi="宋体" w:cs="宋体"/>
          <w:color w:val="auto"/>
          <w:highlight w:val="none"/>
        </w:rPr>
        <w:t>（3）具有履行合同所必需的设备和专业技术能力；</w:t>
      </w:r>
    </w:p>
    <w:p>
      <w:pPr>
        <w:pStyle w:val="14"/>
        <w:wordWrap w:val="0"/>
        <w:spacing w:line="420" w:lineRule="exact"/>
        <w:rPr>
          <w:rFonts w:hAnsi="宋体" w:cs="宋体"/>
          <w:color w:val="auto"/>
          <w:highlight w:val="none"/>
        </w:rPr>
      </w:pPr>
      <w:r>
        <w:rPr>
          <w:rFonts w:hint="eastAsia" w:hAnsi="宋体" w:cs="宋体"/>
          <w:color w:val="auto"/>
          <w:highlight w:val="none"/>
        </w:rPr>
        <w:t>（4）有依法缴纳税收和社会保障资金的良好记录；</w:t>
      </w:r>
    </w:p>
    <w:p>
      <w:pPr>
        <w:pStyle w:val="14"/>
        <w:wordWrap w:val="0"/>
        <w:spacing w:line="420" w:lineRule="exact"/>
        <w:rPr>
          <w:rFonts w:hAnsi="宋体" w:cs="宋体"/>
          <w:color w:val="auto"/>
          <w:highlight w:val="none"/>
        </w:rPr>
      </w:pPr>
      <w:r>
        <w:rPr>
          <w:rFonts w:hint="eastAsia" w:hAnsi="宋体" w:cs="宋体"/>
          <w:color w:val="auto"/>
          <w:highlight w:val="none"/>
        </w:rPr>
        <w:t>（5）参加此项采购活动前三年内，在经营活动中没有重大违法记录。</w:t>
      </w:r>
    </w:p>
    <w:p>
      <w:pPr>
        <w:pStyle w:val="14"/>
        <w:wordWrap w:val="0"/>
        <w:spacing w:line="420" w:lineRule="exact"/>
        <w:ind w:firstLine="420" w:firstLineChars="200"/>
        <w:rPr>
          <w:rFonts w:hAnsi="宋体" w:cs="宋体"/>
          <w:color w:val="auto"/>
          <w:highlight w:val="none"/>
        </w:rPr>
      </w:pPr>
      <w:r>
        <w:rPr>
          <w:rFonts w:hint="eastAsia" w:hAnsi="宋体" w:cs="宋体"/>
          <w:color w:val="auto"/>
          <w:highlight w:val="none"/>
        </w:rPr>
        <w:t>3、我方根据谈判谈判文件的规定，承担完成合同的责任和义务。</w:t>
      </w:r>
    </w:p>
    <w:p>
      <w:pPr>
        <w:pStyle w:val="14"/>
        <w:wordWrap w:val="0"/>
        <w:spacing w:line="420" w:lineRule="exact"/>
        <w:ind w:firstLine="420" w:firstLineChars="200"/>
        <w:rPr>
          <w:rFonts w:hAnsi="宋体" w:cs="宋体"/>
          <w:color w:val="auto"/>
          <w:highlight w:val="none"/>
        </w:rPr>
      </w:pPr>
      <w:r>
        <w:rPr>
          <w:rFonts w:hint="eastAsia" w:hAnsi="宋体" w:cs="宋体"/>
          <w:color w:val="auto"/>
          <w:highlight w:val="none"/>
        </w:rPr>
        <w:t>4、我方已详细审核谈判谈判文件，我方知道必须放弃提出含糊不清或误解问题的权利。</w:t>
      </w:r>
    </w:p>
    <w:p>
      <w:pPr>
        <w:pStyle w:val="14"/>
        <w:wordWrap w:val="0"/>
        <w:spacing w:line="420" w:lineRule="exact"/>
        <w:ind w:firstLine="420" w:firstLineChars="200"/>
        <w:rPr>
          <w:rFonts w:hAnsi="宋体" w:cs="宋体"/>
          <w:color w:val="auto"/>
          <w:highlight w:val="none"/>
        </w:rPr>
      </w:pPr>
      <w:r>
        <w:rPr>
          <w:rFonts w:hint="eastAsia" w:hAnsi="宋体" w:cs="宋体"/>
          <w:color w:val="auto"/>
          <w:highlight w:val="none"/>
        </w:rPr>
        <w:t>5、如果在竞标截止时间后的竞标有效期内撤回竞标或者有其他违约行为，贵方可对我方的竞标保证金不予退还。</w:t>
      </w:r>
    </w:p>
    <w:p>
      <w:pPr>
        <w:pStyle w:val="14"/>
        <w:wordWrap w:val="0"/>
        <w:spacing w:line="420" w:lineRule="exact"/>
        <w:ind w:firstLine="420" w:firstLineChars="200"/>
        <w:rPr>
          <w:rFonts w:hAnsi="宋体" w:cs="宋体"/>
          <w:color w:val="auto"/>
          <w:highlight w:val="none"/>
        </w:rPr>
      </w:pPr>
      <w:r>
        <w:rPr>
          <w:rFonts w:hint="eastAsia" w:hAnsi="宋体" w:cs="宋体"/>
          <w:color w:val="auto"/>
          <w:highlight w:val="none"/>
        </w:rPr>
        <w:t>6、同意向贵方提供贵方可能要求的与本竞标有关的任何数据或资料。</w:t>
      </w:r>
    </w:p>
    <w:p>
      <w:pPr>
        <w:pStyle w:val="14"/>
        <w:wordWrap w:val="0"/>
        <w:spacing w:line="420" w:lineRule="exact"/>
        <w:ind w:firstLine="420" w:firstLineChars="200"/>
        <w:rPr>
          <w:rFonts w:hAnsi="宋体" w:cs="宋体"/>
          <w:color w:val="auto"/>
          <w:highlight w:val="none"/>
        </w:rPr>
      </w:pPr>
      <w:r>
        <w:rPr>
          <w:rFonts w:hint="eastAsia" w:hAnsi="宋体" w:cs="宋体"/>
          <w:color w:val="auto"/>
          <w:highlight w:val="none"/>
        </w:rPr>
        <w:t>7、若贵方需要，我方愿意提供我方作出的一切承诺的证明材料。</w:t>
      </w:r>
    </w:p>
    <w:p>
      <w:pPr>
        <w:pStyle w:val="14"/>
        <w:wordWrap w:val="0"/>
        <w:spacing w:line="420" w:lineRule="exact"/>
        <w:ind w:firstLine="420" w:firstLineChars="200"/>
        <w:rPr>
          <w:rFonts w:hAnsi="宋体" w:cs="宋体"/>
          <w:color w:val="auto"/>
          <w:highlight w:val="none"/>
        </w:rPr>
      </w:pPr>
      <w:r>
        <w:rPr>
          <w:rFonts w:hint="eastAsia" w:hAnsi="宋体" w:cs="宋体"/>
          <w:color w:val="auto"/>
          <w:highlight w:val="none"/>
        </w:rPr>
        <w:t>8、我方将严格遵守《中华人民共和国政府采购法》第七十七条规定，供应商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14"/>
        <w:wordWrap w:val="0"/>
        <w:spacing w:line="420" w:lineRule="exact"/>
        <w:rPr>
          <w:rFonts w:hAnsi="宋体" w:cs="宋体"/>
          <w:color w:val="auto"/>
          <w:highlight w:val="none"/>
        </w:rPr>
      </w:pPr>
      <w:r>
        <w:rPr>
          <w:rFonts w:hint="eastAsia" w:hAnsi="宋体" w:cs="宋体"/>
          <w:color w:val="auto"/>
          <w:highlight w:val="none"/>
        </w:rPr>
        <w:t>（1）提供虚假材料谋取成交的；</w:t>
      </w:r>
    </w:p>
    <w:p>
      <w:pPr>
        <w:pStyle w:val="14"/>
        <w:wordWrap w:val="0"/>
        <w:spacing w:line="420" w:lineRule="exact"/>
        <w:rPr>
          <w:rFonts w:hAnsi="宋体" w:cs="宋体"/>
          <w:color w:val="auto"/>
          <w:highlight w:val="none"/>
        </w:rPr>
      </w:pPr>
      <w:r>
        <w:rPr>
          <w:rFonts w:hint="eastAsia" w:hAnsi="宋体" w:cs="宋体"/>
          <w:color w:val="auto"/>
          <w:highlight w:val="none"/>
        </w:rPr>
        <w:t>（2）采取不正当手段诋毁、排挤其他供应商的；</w:t>
      </w:r>
    </w:p>
    <w:p>
      <w:pPr>
        <w:pStyle w:val="14"/>
        <w:wordWrap w:val="0"/>
        <w:spacing w:line="420" w:lineRule="exact"/>
        <w:rPr>
          <w:rFonts w:hAnsi="宋体" w:cs="宋体"/>
          <w:color w:val="auto"/>
          <w:highlight w:val="none"/>
        </w:rPr>
      </w:pPr>
      <w:r>
        <w:rPr>
          <w:rFonts w:hint="eastAsia" w:hAnsi="宋体" w:cs="宋体"/>
          <w:color w:val="auto"/>
          <w:highlight w:val="none"/>
        </w:rPr>
        <w:t>（3）与采购人、其他供应商或者采购代理机构恶意串通的；</w:t>
      </w:r>
    </w:p>
    <w:p>
      <w:pPr>
        <w:pStyle w:val="14"/>
        <w:wordWrap w:val="0"/>
        <w:spacing w:line="420" w:lineRule="exact"/>
        <w:rPr>
          <w:rFonts w:hAnsi="宋体" w:cs="宋体"/>
          <w:color w:val="auto"/>
          <w:highlight w:val="none"/>
        </w:rPr>
      </w:pPr>
      <w:r>
        <w:rPr>
          <w:rFonts w:hint="eastAsia" w:hAnsi="宋体" w:cs="宋体"/>
          <w:color w:val="auto"/>
          <w:highlight w:val="none"/>
        </w:rPr>
        <w:t>（4）向采购人、采购代理机构行贿或者提供其他不正当利益的；</w:t>
      </w:r>
    </w:p>
    <w:p>
      <w:pPr>
        <w:pStyle w:val="14"/>
        <w:wordWrap w:val="0"/>
        <w:spacing w:line="420" w:lineRule="exact"/>
        <w:rPr>
          <w:rFonts w:hAnsi="宋体" w:cs="宋体"/>
          <w:color w:val="auto"/>
          <w:highlight w:val="none"/>
        </w:rPr>
      </w:pPr>
      <w:r>
        <w:rPr>
          <w:rFonts w:hint="eastAsia" w:hAnsi="宋体" w:cs="宋体"/>
          <w:color w:val="auto"/>
          <w:highlight w:val="none"/>
        </w:rPr>
        <w:t>（5）拒绝有关部门监督检查或提供虚假情况的。</w:t>
      </w:r>
    </w:p>
    <w:p>
      <w:pPr>
        <w:pStyle w:val="14"/>
        <w:wordWrap w:val="0"/>
        <w:spacing w:line="420" w:lineRule="exact"/>
        <w:ind w:left="100" w:firstLine="312"/>
        <w:rPr>
          <w:rFonts w:hAnsi="宋体" w:cs="宋体"/>
          <w:color w:val="auto"/>
          <w:highlight w:val="none"/>
        </w:rPr>
      </w:pPr>
      <w:r>
        <w:rPr>
          <w:rFonts w:hint="eastAsia" w:hAnsi="宋体" w:cs="宋体"/>
          <w:color w:val="auto"/>
          <w:highlight w:val="none"/>
        </w:rPr>
        <w:t>三、与本竞标有关的正式通讯地址为：</w:t>
      </w:r>
    </w:p>
    <w:p>
      <w:pPr>
        <w:pStyle w:val="14"/>
        <w:wordWrap w:val="0"/>
        <w:spacing w:line="420" w:lineRule="exact"/>
        <w:ind w:firstLine="420" w:firstLineChars="200"/>
        <w:rPr>
          <w:rFonts w:hAnsi="宋体" w:cs="宋体"/>
          <w:color w:val="auto"/>
          <w:highlight w:val="none"/>
          <w:u w:val="single"/>
        </w:rPr>
      </w:pPr>
      <w:r>
        <w:rPr>
          <w:rFonts w:hint="eastAsia" w:hAnsi="宋体" w:cs="宋体"/>
          <w:color w:val="auto"/>
          <w:highlight w:val="none"/>
        </w:rPr>
        <w:t>地址：邮政编码：</w:t>
      </w:r>
      <w:r>
        <w:rPr>
          <w:rFonts w:hint="eastAsia" w:hAnsi="宋体" w:cs="宋体"/>
          <w:color w:val="auto"/>
          <w:highlight w:val="none"/>
          <w:u w:val="single"/>
        </w:rPr>
        <w:t>　　　　　　　</w:t>
      </w:r>
    </w:p>
    <w:p>
      <w:pPr>
        <w:pStyle w:val="14"/>
        <w:wordWrap w:val="0"/>
        <w:spacing w:line="420" w:lineRule="exact"/>
        <w:ind w:firstLine="420" w:firstLineChars="200"/>
        <w:rPr>
          <w:rFonts w:hAnsi="宋体" w:cs="宋体"/>
          <w:color w:val="auto"/>
          <w:highlight w:val="none"/>
        </w:rPr>
      </w:pPr>
      <w:r>
        <w:rPr>
          <w:rFonts w:hint="eastAsia" w:hAnsi="宋体" w:cs="宋体"/>
          <w:color w:val="auto"/>
          <w:highlight w:val="none"/>
        </w:rPr>
        <w:t>电话、传真或电传：</w:t>
      </w:r>
      <w:r>
        <w:rPr>
          <w:rFonts w:hint="eastAsia" w:hAnsi="宋体" w:cs="宋体"/>
          <w:color w:val="auto"/>
          <w:highlight w:val="none"/>
          <w:u w:val="single"/>
        </w:rPr>
        <w:t>　　　　　　　　　　</w:t>
      </w:r>
    </w:p>
    <w:p>
      <w:pPr>
        <w:pStyle w:val="14"/>
        <w:wordWrap w:val="0"/>
        <w:spacing w:line="400" w:lineRule="exact"/>
        <w:ind w:firstLine="420" w:firstLineChars="200"/>
        <w:rPr>
          <w:rFonts w:hAnsi="宋体" w:cs="宋体"/>
          <w:color w:val="auto"/>
          <w:highlight w:val="none"/>
        </w:rPr>
      </w:pPr>
      <w:r>
        <w:rPr>
          <w:rFonts w:hint="eastAsia" w:hAnsi="宋体" w:cs="宋体"/>
          <w:color w:val="auto"/>
          <w:highlight w:val="none"/>
        </w:rPr>
        <w:t>开户名称：</w:t>
      </w:r>
      <w:r>
        <w:rPr>
          <w:rFonts w:hint="eastAsia" w:hAnsi="宋体" w:cs="宋体"/>
          <w:color w:val="auto"/>
          <w:highlight w:val="none"/>
          <w:u w:val="single"/>
        </w:rPr>
        <w:t>　　　　　　　　　　　　　　</w:t>
      </w:r>
    </w:p>
    <w:p>
      <w:pPr>
        <w:pStyle w:val="14"/>
        <w:wordWrap w:val="0"/>
        <w:spacing w:line="400" w:lineRule="exact"/>
        <w:ind w:firstLine="420" w:firstLineChars="200"/>
        <w:rPr>
          <w:rFonts w:hAnsi="宋体" w:cs="宋体"/>
          <w:color w:val="auto"/>
          <w:highlight w:val="none"/>
        </w:rPr>
      </w:pPr>
      <w:r>
        <w:rPr>
          <w:rFonts w:hint="eastAsia" w:hAnsi="宋体" w:cs="宋体"/>
          <w:color w:val="auto"/>
          <w:highlight w:val="none"/>
        </w:rPr>
        <w:t>帐号：</w:t>
      </w:r>
      <w:r>
        <w:rPr>
          <w:rFonts w:hint="eastAsia" w:hAnsi="宋体" w:cs="宋体"/>
          <w:color w:val="auto"/>
          <w:highlight w:val="none"/>
          <w:u w:val="single"/>
        </w:rPr>
        <w:t>　　　　　　　　　　　　　　</w:t>
      </w:r>
    </w:p>
    <w:p>
      <w:pPr>
        <w:pStyle w:val="14"/>
        <w:wordWrap w:val="0"/>
        <w:spacing w:line="420" w:lineRule="exact"/>
        <w:ind w:left="101" w:leftChars="48" w:firstLine="722" w:firstLineChars="344"/>
        <w:rPr>
          <w:rFonts w:hAnsi="宋体" w:cs="宋体"/>
          <w:color w:val="auto"/>
          <w:highlight w:val="none"/>
        </w:rPr>
      </w:pPr>
    </w:p>
    <w:p>
      <w:pPr>
        <w:pStyle w:val="14"/>
        <w:wordWrap w:val="0"/>
        <w:spacing w:line="420" w:lineRule="exact"/>
        <w:ind w:left="101" w:leftChars="48" w:firstLine="722" w:firstLineChars="344"/>
        <w:rPr>
          <w:rFonts w:hAnsi="宋体" w:cs="宋体"/>
          <w:color w:val="auto"/>
          <w:highlight w:val="none"/>
        </w:rPr>
      </w:pPr>
    </w:p>
    <w:p>
      <w:pPr>
        <w:pStyle w:val="14"/>
        <w:wordWrap w:val="0"/>
        <w:spacing w:line="420" w:lineRule="exact"/>
        <w:ind w:left="100"/>
        <w:rPr>
          <w:rFonts w:hAnsi="宋体" w:cs="宋体"/>
          <w:color w:val="auto"/>
          <w:highlight w:val="none"/>
        </w:rPr>
      </w:pPr>
    </w:p>
    <w:p>
      <w:pPr>
        <w:pStyle w:val="14"/>
        <w:widowControl/>
        <w:wordWrap w:val="0"/>
        <w:spacing w:line="400" w:lineRule="exact"/>
        <w:ind w:firstLine="3570" w:firstLineChars="1700"/>
        <w:jc w:val="both"/>
        <w:rPr>
          <w:rFonts w:hAnsi="宋体" w:cs="宋体"/>
          <w:color w:val="auto"/>
          <w:highlight w:val="none"/>
        </w:rPr>
      </w:pPr>
      <w:r>
        <w:rPr>
          <w:rFonts w:hint="eastAsia" w:hAnsi="宋体" w:cs="宋体"/>
          <w:color w:val="auto"/>
          <w:highlight w:val="none"/>
        </w:rPr>
        <w:t>竞标人名称（</w:t>
      </w:r>
      <w:r>
        <w:rPr>
          <w:rFonts w:hint="eastAsia" w:hAnsi="宋体" w:cs="宋体"/>
          <w:b/>
          <w:bCs/>
          <w:color w:val="auto"/>
          <w:highlight w:val="none"/>
        </w:rPr>
        <w:t>公章</w:t>
      </w:r>
      <w:r>
        <w:rPr>
          <w:rFonts w:hint="eastAsia" w:hAnsi="宋体" w:cs="宋体"/>
          <w:color w:val="auto"/>
          <w:highlight w:val="none"/>
        </w:rPr>
        <w:t>）：</w:t>
      </w:r>
      <w:r>
        <w:rPr>
          <w:rFonts w:hint="eastAsia" w:hAnsi="宋体" w:cs="宋体"/>
          <w:color w:val="auto"/>
          <w:highlight w:val="none"/>
          <w:u w:val="single"/>
        </w:rPr>
        <w:t>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w:t>
      </w:r>
      <w:r>
        <w:rPr>
          <w:rFonts w:hint="eastAsia" w:hAnsi="宋体" w:cs="宋体"/>
          <w:color w:val="auto"/>
          <w:highlight w:val="none"/>
          <w:u w:val="single"/>
          <w:lang w:val="en-US" w:eastAsia="zh-CN"/>
        </w:rPr>
        <w:t xml:space="preserve">      </w:t>
      </w:r>
    </w:p>
    <w:p>
      <w:pPr>
        <w:wordWrap/>
        <w:spacing w:line="400" w:lineRule="exact"/>
        <w:jc w:val="center"/>
        <w:rPr>
          <w:rFonts w:hint="eastAsia" w:ascii="宋体" w:hAnsi="宋体" w:cs="宋体"/>
          <w:color w:val="auto"/>
          <w:szCs w:val="21"/>
          <w:highlight w:val="none"/>
          <w:u w:val="single"/>
          <w:lang w:val="en-US" w:eastAsia="zh-CN"/>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法定代表人（负责人或自然人）或委托代理人</w:t>
      </w:r>
      <w:r>
        <w:rPr>
          <w:rFonts w:hint="eastAsia" w:ascii="宋体" w:hAnsi="宋体" w:cs="宋体"/>
          <w:b/>
          <w:bCs/>
          <w:color w:val="auto"/>
          <w:highlight w:val="none"/>
        </w:rPr>
        <w:t>签名：</w:t>
      </w:r>
      <w:r>
        <w:rPr>
          <w:rFonts w:hint="eastAsia" w:ascii="宋体" w:hAnsi="宋体" w:cs="宋体"/>
          <w:color w:val="auto"/>
          <w:szCs w:val="21"/>
          <w:highlight w:val="none"/>
          <w:u w:val="single"/>
          <w:lang w:val="en-US" w:eastAsia="zh-CN"/>
        </w:rPr>
        <w:t xml:space="preserve">           </w:t>
      </w:r>
    </w:p>
    <w:p>
      <w:pPr>
        <w:wordWrap/>
        <w:spacing w:line="400" w:lineRule="exact"/>
        <w:jc w:val="center"/>
        <w:rPr>
          <w:rFonts w:ascii="宋体" w:hAnsi="宋体" w:cs="宋体"/>
          <w:color w:val="auto"/>
          <w:szCs w:val="21"/>
          <w:highlight w:val="none"/>
        </w:rPr>
      </w:pPr>
      <w:r>
        <w:rPr>
          <w:rFonts w:hint="eastAsia" w:ascii="宋体" w:hAnsi="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pPr>
        <w:wordWrap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p>
      <w:pPr>
        <w:pStyle w:val="14"/>
        <w:wordWrap w:val="0"/>
        <w:jc w:val="center"/>
        <w:rPr>
          <w:rFonts w:hAnsi="宋体" w:cs="宋体"/>
          <w:color w:val="auto"/>
          <w:highlight w:val="none"/>
        </w:rPr>
      </w:pPr>
    </w:p>
    <w:p>
      <w:pPr>
        <w:pStyle w:val="14"/>
        <w:wordWrap w:val="0"/>
        <w:rPr>
          <w:rFonts w:hAnsi="宋体" w:cs="宋体"/>
          <w:color w:val="auto"/>
          <w:highlight w:val="none"/>
        </w:rPr>
      </w:pPr>
    </w:p>
    <w:p>
      <w:pPr>
        <w:pStyle w:val="14"/>
        <w:wordWrap w:val="0"/>
        <w:jc w:val="center"/>
        <w:rPr>
          <w:rFonts w:hAnsi="宋体" w:cs="宋体"/>
          <w:color w:val="auto"/>
          <w:highlight w:val="none"/>
        </w:rPr>
      </w:pPr>
    </w:p>
    <w:p>
      <w:pPr>
        <w:pStyle w:val="3"/>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14"/>
        <w:wordWrap w:val="0"/>
        <w:jc w:val="center"/>
        <w:rPr>
          <w:rFonts w:hAnsi="宋体" w:cs="宋体"/>
          <w:color w:val="auto"/>
          <w:highlight w:val="none"/>
        </w:rPr>
      </w:pPr>
    </w:p>
    <w:p>
      <w:pPr>
        <w:pStyle w:val="14"/>
        <w:wordWrap w:val="0"/>
        <w:rPr>
          <w:rFonts w:hAnsi="宋体" w:cs="宋体"/>
          <w:color w:val="auto"/>
          <w:highlight w:val="none"/>
        </w:rPr>
      </w:pPr>
    </w:p>
    <w:p>
      <w:pPr>
        <w:pStyle w:val="3"/>
        <w:rPr>
          <w:color w:val="auto"/>
          <w:highlight w:val="none"/>
        </w:rPr>
      </w:pPr>
    </w:p>
    <w:p>
      <w:pPr>
        <w:pStyle w:val="3"/>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snapToGrid w:val="0"/>
        <w:spacing w:before="50" w:after="50" w:line="3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二、竞标报价表</w:t>
      </w:r>
    </w:p>
    <w:p>
      <w:pPr>
        <w:snapToGrid w:val="0"/>
        <w:spacing w:before="50" w:after="50" w:line="360" w:lineRule="exact"/>
        <w:ind w:firstLine="315" w:firstLineChars="150"/>
        <w:rPr>
          <w:rFonts w:ascii="宋体" w:hAnsi="宋体" w:cs="宋体"/>
          <w:color w:val="auto"/>
          <w:szCs w:val="28"/>
          <w:highlight w:val="none"/>
        </w:rPr>
      </w:pPr>
    </w:p>
    <w:p>
      <w:pPr>
        <w:snapToGrid w:val="0"/>
        <w:spacing w:before="50" w:after="50" w:line="360" w:lineRule="exact"/>
        <w:ind w:firstLine="315" w:firstLineChars="150"/>
        <w:rPr>
          <w:rFonts w:ascii="宋体" w:hAnsi="宋体" w:cs="宋体"/>
          <w:color w:val="auto"/>
          <w:szCs w:val="28"/>
          <w:highlight w:val="none"/>
          <w:u w:val="single"/>
        </w:rPr>
      </w:pPr>
      <w:r>
        <w:rPr>
          <w:rFonts w:hint="eastAsia" w:ascii="宋体" w:hAnsi="宋体" w:cs="宋体"/>
          <w:color w:val="auto"/>
          <w:szCs w:val="28"/>
          <w:highlight w:val="none"/>
        </w:rPr>
        <w:t>项目名称：</w:t>
      </w:r>
      <w:r>
        <w:rPr>
          <w:rFonts w:hint="eastAsia" w:ascii="宋体" w:hAnsi="宋体" w:cs="宋体"/>
          <w:color w:val="auto"/>
          <w:szCs w:val="28"/>
          <w:highlight w:val="none"/>
          <w:u w:val="single"/>
        </w:rPr>
        <w:t>　　　　　　　　　　</w:t>
      </w:r>
    </w:p>
    <w:p>
      <w:pPr>
        <w:snapToGrid w:val="0"/>
        <w:spacing w:before="50" w:after="50" w:line="360" w:lineRule="exact"/>
        <w:ind w:firstLine="315" w:firstLineChars="150"/>
        <w:rPr>
          <w:rFonts w:hint="default" w:ascii="宋体" w:hAnsi="宋体" w:eastAsia="宋体" w:cs="宋体"/>
          <w:color w:val="auto"/>
          <w:szCs w:val="28"/>
          <w:highlight w:val="none"/>
          <w:u w:val="single"/>
          <w:lang w:val="en-US" w:eastAsia="zh-CN"/>
        </w:rPr>
      </w:pPr>
      <w:r>
        <w:rPr>
          <w:rFonts w:hint="eastAsia" w:ascii="宋体" w:hAnsi="宋体" w:cs="宋体"/>
          <w:color w:val="auto"/>
          <w:szCs w:val="28"/>
          <w:highlight w:val="none"/>
        </w:rPr>
        <w:t>采购编号：</w:t>
      </w:r>
      <w:r>
        <w:rPr>
          <w:rFonts w:hint="eastAsia" w:ascii="宋体" w:hAnsi="宋体" w:cs="宋体"/>
          <w:color w:val="auto"/>
          <w:szCs w:val="28"/>
          <w:highlight w:val="none"/>
          <w:u w:val="single"/>
          <w:lang w:val="en-US" w:eastAsia="zh-CN"/>
        </w:rPr>
        <w:t xml:space="preserve">                    </w:t>
      </w:r>
    </w:p>
    <w:p>
      <w:pPr>
        <w:snapToGrid w:val="0"/>
        <w:spacing w:before="50" w:after="50" w:line="360" w:lineRule="exact"/>
        <w:ind w:firstLine="210" w:firstLineChars="100"/>
        <w:jc w:val="right"/>
        <w:rPr>
          <w:rFonts w:ascii="宋体" w:hAnsi="宋体" w:cs="宋体"/>
          <w:color w:val="auto"/>
          <w:highlight w:val="none"/>
        </w:rPr>
      </w:pPr>
      <w:r>
        <w:rPr>
          <w:rFonts w:hint="eastAsia" w:ascii="宋体" w:hAnsi="宋体" w:cs="宋体"/>
          <w:color w:val="auto"/>
          <w:highlight w:val="none"/>
        </w:rPr>
        <w:t>金额单位：人民币（元）</w:t>
      </w:r>
    </w:p>
    <w:tbl>
      <w:tblPr>
        <w:tblStyle w:val="29"/>
        <w:tblpPr w:leftFromText="180" w:rightFromText="180" w:vertAnchor="text" w:horzAnchor="page" w:tblpX="1567" w:tblpY="361"/>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3"/>
        <w:gridCol w:w="754"/>
        <w:gridCol w:w="756"/>
        <w:gridCol w:w="1510"/>
        <w:gridCol w:w="1056"/>
        <w:gridCol w:w="906"/>
        <w:gridCol w:w="120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5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793"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产品名称</w:t>
            </w:r>
          </w:p>
        </w:tc>
        <w:tc>
          <w:tcPr>
            <w:tcW w:w="754"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商标品牌</w:t>
            </w:r>
          </w:p>
        </w:tc>
        <w:tc>
          <w:tcPr>
            <w:tcW w:w="75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510"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生产厂家</w:t>
            </w:r>
          </w:p>
        </w:tc>
        <w:tc>
          <w:tcPr>
            <w:tcW w:w="105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90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1207"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（元）</w:t>
            </w:r>
          </w:p>
        </w:tc>
        <w:tc>
          <w:tcPr>
            <w:tcW w:w="1662"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金额</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793" w:type="dxa"/>
            <w:vAlign w:val="center"/>
          </w:tcPr>
          <w:p>
            <w:pPr>
              <w:snapToGrid w:val="0"/>
              <w:spacing w:line="360" w:lineRule="exact"/>
              <w:jc w:val="center"/>
              <w:rPr>
                <w:rFonts w:ascii="宋体" w:hAnsi="宋体"/>
                <w:color w:val="auto"/>
                <w:szCs w:val="21"/>
                <w:highlight w:val="none"/>
              </w:rPr>
            </w:pPr>
          </w:p>
        </w:tc>
        <w:tc>
          <w:tcPr>
            <w:tcW w:w="754" w:type="dxa"/>
            <w:vAlign w:val="center"/>
          </w:tcPr>
          <w:p>
            <w:pPr>
              <w:snapToGrid w:val="0"/>
              <w:spacing w:line="360" w:lineRule="exact"/>
              <w:jc w:val="center"/>
              <w:rPr>
                <w:rFonts w:ascii="宋体" w:hAnsi="宋体"/>
                <w:color w:val="auto"/>
                <w:szCs w:val="21"/>
                <w:highlight w:val="none"/>
              </w:rPr>
            </w:pPr>
          </w:p>
        </w:tc>
        <w:tc>
          <w:tcPr>
            <w:tcW w:w="756" w:type="dxa"/>
            <w:vAlign w:val="center"/>
          </w:tcPr>
          <w:p>
            <w:pPr>
              <w:snapToGrid w:val="0"/>
              <w:spacing w:line="360" w:lineRule="exact"/>
              <w:jc w:val="center"/>
              <w:rPr>
                <w:rFonts w:ascii="宋体" w:hAnsi="宋体"/>
                <w:color w:val="auto"/>
                <w:szCs w:val="21"/>
                <w:highlight w:val="none"/>
              </w:rPr>
            </w:pPr>
          </w:p>
        </w:tc>
        <w:tc>
          <w:tcPr>
            <w:tcW w:w="1510" w:type="dxa"/>
          </w:tcPr>
          <w:p>
            <w:pPr>
              <w:snapToGrid w:val="0"/>
              <w:spacing w:line="360" w:lineRule="exact"/>
              <w:jc w:val="center"/>
              <w:rPr>
                <w:rFonts w:ascii="宋体" w:hAnsi="宋体"/>
                <w:color w:val="auto"/>
                <w:szCs w:val="21"/>
                <w:highlight w:val="none"/>
              </w:rPr>
            </w:pPr>
          </w:p>
        </w:tc>
        <w:tc>
          <w:tcPr>
            <w:tcW w:w="1056" w:type="dxa"/>
          </w:tcPr>
          <w:p>
            <w:pPr>
              <w:snapToGrid w:val="0"/>
              <w:spacing w:line="360" w:lineRule="exact"/>
              <w:jc w:val="center"/>
              <w:rPr>
                <w:rFonts w:ascii="宋体" w:hAnsi="宋体"/>
                <w:color w:val="auto"/>
                <w:szCs w:val="21"/>
                <w:highlight w:val="none"/>
              </w:rPr>
            </w:pPr>
          </w:p>
        </w:tc>
        <w:tc>
          <w:tcPr>
            <w:tcW w:w="906" w:type="dxa"/>
          </w:tcPr>
          <w:p>
            <w:pPr>
              <w:snapToGrid w:val="0"/>
              <w:spacing w:line="360" w:lineRule="exact"/>
              <w:jc w:val="center"/>
              <w:rPr>
                <w:rFonts w:ascii="宋体" w:hAnsi="宋体"/>
                <w:color w:val="auto"/>
                <w:szCs w:val="21"/>
                <w:highlight w:val="none"/>
              </w:rPr>
            </w:pPr>
          </w:p>
        </w:tc>
        <w:tc>
          <w:tcPr>
            <w:tcW w:w="1207" w:type="dxa"/>
            <w:vAlign w:val="center"/>
          </w:tcPr>
          <w:p>
            <w:pPr>
              <w:snapToGrid w:val="0"/>
              <w:spacing w:line="360" w:lineRule="exact"/>
              <w:jc w:val="center"/>
              <w:rPr>
                <w:rFonts w:ascii="宋体" w:hAnsi="宋体"/>
                <w:color w:val="auto"/>
                <w:szCs w:val="21"/>
                <w:highlight w:val="none"/>
              </w:rPr>
            </w:pPr>
          </w:p>
        </w:tc>
        <w:tc>
          <w:tcPr>
            <w:tcW w:w="1662" w:type="dxa"/>
            <w:vAlign w:val="center"/>
          </w:tcPr>
          <w:p>
            <w:pPr>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793" w:type="dxa"/>
            <w:vAlign w:val="center"/>
          </w:tcPr>
          <w:p>
            <w:pPr>
              <w:snapToGrid w:val="0"/>
              <w:spacing w:line="360" w:lineRule="exact"/>
              <w:jc w:val="center"/>
              <w:rPr>
                <w:rFonts w:ascii="宋体" w:hAnsi="宋体"/>
                <w:color w:val="auto"/>
                <w:szCs w:val="21"/>
                <w:highlight w:val="none"/>
              </w:rPr>
            </w:pPr>
          </w:p>
        </w:tc>
        <w:tc>
          <w:tcPr>
            <w:tcW w:w="754" w:type="dxa"/>
            <w:vAlign w:val="center"/>
          </w:tcPr>
          <w:p>
            <w:pPr>
              <w:snapToGrid w:val="0"/>
              <w:spacing w:line="360" w:lineRule="exact"/>
              <w:jc w:val="center"/>
              <w:rPr>
                <w:rFonts w:ascii="宋体" w:hAnsi="宋体"/>
                <w:color w:val="auto"/>
                <w:szCs w:val="21"/>
                <w:highlight w:val="none"/>
              </w:rPr>
            </w:pPr>
          </w:p>
        </w:tc>
        <w:tc>
          <w:tcPr>
            <w:tcW w:w="756" w:type="dxa"/>
            <w:vAlign w:val="center"/>
          </w:tcPr>
          <w:p>
            <w:pPr>
              <w:snapToGrid w:val="0"/>
              <w:spacing w:line="360" w:lineRule="exact"/>
              <w:jc w:val="center"/>
              <w:rPr>
                <w:rFonts w:ascii="宋体" w:hAnsi="宋体"/>
                <w:color w:val="auto"/>
                <w:szCs w:val="21"/>
                <w:highlight w:val="none"/>
              </w:rPr>
            </w:pPr>
          </w:p>
        </w:tc>
        <w:tc>
          <w:tcPr>
            <w:tcW w:w="1510" w:type="dxa"/>
          </w:tcPr>
          <w:p>
            <w:pPr>
              <w:snapToGrid w:val="0"/>
              <w:spacing w:line="360" w:lineRule="exact"/>
              <w:jc w:val="center"/>
              <w:rPr>
                <w:rFonts w:ascii="宋体" w:hAnsi="宋体"/>
                <w:color w:val="auto"/>
                <w:szCs w:val="21"/>
                <w:highlight w:val="none"/>
              </w:rPr>
            </w:pPr>
          </w:p>
        </w:tc>
        <w:tc>
          <w:tcPr>
            <w:tcW w:w="1056" w:type="dxa"/>
          </w:tcPr>
          <w:p>
            <w:pPr>
              <w:snapToGrid w:val="0"/>
              <w:spacing w:line="360" w:lineRule="exact"/>
              <w:jc w:val="center"/>
              <w:rPr>
                <w:rFonts w:ascii="宋体" w:hAnsi="宋体"/>
                <w:color w:val="auto"/>
                <w:szCs w:val="21"/>
                <w:highlight w:val="none"/>
              </w:rPr>
            </w:pPr>
          </w:p>
        </w:tc>
        <w:tc>
          <w:tcPr>
            <w:tcW w:w="906" w:type="dxa"/>
          </w:tcPr>
          <w:p>
            <w:pPr>
              <w:snapToGrid w:val="0"/>
              <w:spacing w:line="360" w:lineRule="exact"/>
              <w:jc w:val="center"/>
              <w:rPr>
                <w:rFonts w:ascii="宋体" w:hAnsi="宋体"/>
                <w:color w:val="auto"/>
                <w:szCs w:val="21"/>
                <w:highlight w:val="none"/>
              </w:rPr>
            </w:pPr>
          </w:p>
        </w:tc>
        <w:tc>
          <w:tcPr>
            <w:tcW w:w="1207" w:type="dxa"/>
            <w:vAlign w:val="center"/>
          </w:tcPr>
          <w:p>
            <w:pPr>
              <w:snapToGrid w:val="0"/>
              <w:spacing w:line="360" w:lineRule="exact"/>
              <w:jc w:val="center"/>
              <w:rPr>
                <w:rFonts w:ascii="宋体" w:hAnsi="宋体"/>
                <w:color w:val="auto"/>
                <w:szCs w:val="21"/>
                <w:highlight w:val="none"/>
              </w:rPr>
            </w:pPr>
          </w:p>
        </w:tc>
        <w:tc>
          <w:tcPr>
            <w:tcW w:w="1662" w:type="dxa"/>
            <w:vAlign w:val="center"/>
          </w:tcPr>
          <w:p>
            <w:pPr>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793" w:type="dxa"/>
            <w:vAlign w:val="center"/>
          </w:tcPr>
          <w:p>
            <w:pPr>
              <w:snapToGrid w:val="0"/>
              <w:spacing w:line="360" w:lineRule="exact"/>
              <w:jc w:val="center"/>
              <w:rPr>
                <w:rFonts w:ascii="宋体" w:hAnsi="宋体"/>
                <w:color w:val="auto"/>
                <w:szCs w:val="21"/>
                <w:highlight w:val="none"/>
              </w:rPr>
            </w:pPr>
          </w:p>
        </w:tc>
        <w:tc>
          <w:tcPr>
            <w:tcW w:w="754" w:type="dxa"/>
            <w:vAlign w:val="center"/>
          </w:tcPr>
          <w:p>
            <w:pPr>
              <w:snapToGrid w:val="0"/>
              <w:spacing w:line="360" w:lineRule="exact"/>
              <w:jc w:val="center"/>
              <w:rPr>
                <w:rFonts w:ascii="宋体" w:hAnsi="宋体"/>
                <w:color w:val="auto"/>
                <w:szCs w:val="21"/>
                <w:highlight w:val="none"/>
              </w:rPr>
            </w:pPr>
          </w:p>
        </w:tc>
        <w:tc>
          <w:tcPr>
            <w:tcW w:w="756" w:type="dxa"/>
            <w:vAlign w:val="center"/>
          </w:tcPr>
          <w:p>
            <w:pPr>
              <w:snapToGrid w:val="0"/>
              <w:spacing w:line="360" w:lineRule="exact"/>
              <w:jc w:val="center"/>
              <w:rPr>
                <w:rFonts w:ascii="宋体" w:hAnsi="宋体"/>
                <w:color w:val="auto"/>
                <w:szCs w:val="21"/>
                <w:highlight w:val="none"/>
              </w:rPr>
            </w:pPr>
          </w:p>
        </w:tc>
        <w:tc>
          <w:tcPr>
            <w:tcW w:w="1510" w:type="dxa"/>
          </w:tcPr>
          <w:p>
            <w:pPr>
              <w:snapToGrid w:val="0"/>
              <w:spacing w:line="360" w:lineRule="exact"/>
              <w:jc w:val="center"/>
              <w:rPr>
                <w:rFonts w:ascii="宋体" w:hAnsi="宋体"/>
                <w:color w:val="auto"/>
                <w:szCs w:val="21"/>
                <w:highlight w:val="none"/>
              </w:rPr>
            </w:pPr>
          </w:p>
        </w:tc>
        <w:tc>
          <w:tcPr>
            <w:tcW w:w="1056" w:type="dxa"/>
          </w:tcPr>
          <w:p>
            <w:pPr>
              <w:snapToGrid w:val="0"/>
              <w:spacing w:line="360" w:lineRule="exact"/>
              <w:jc w:val="center"/>
              <w:rPr>
                <w:rFonts w:ascii="宋体" w:hAnsi="宋体"/>
                <w:color w:val="auto"/>
                <w:szCs w:val="21"/>
                <w:highlight w:val="none"/>
              </w:rPr>
            </w:pPr>
          </w:p>
        </w:tc>
        <w:tc>
          <w:tcPr>
            <w:tcW w:w="906" w:type="dxa"/>
          </w:tcPr>
          <w:p>
            <w:pPr>
              <w:snapToGrid w:val="0"/>
              <w:spacing w:line="360" w:lineRule="exact"/>
              <w:jc w:val="center"/>
              <w:rPr>
                <w:rFonts w:ascii="宋体" w:hAnsi="宋体"/>
                <w:color w:val="auto"/>
                <w:szCs w:val="21"/>
                <w:highlight w:val="none"/>
              </w:rPr>
            </w:pPr>
          </w:p>
        </w:tc>
        <w:tc>
          <w:tcPr>
            <w:tcW w:w="1207" w:type="dxa"/>
            <w:vAlign w:val="center"/>
          </w:tcPr>
          <w:p>
            <w:pPr>
              <w:snapToGrid w:val="0"/>
              <w:spacing w:line="360" w:lineRule="exact"/>
              <w:jc w:val="center"/>
              <w:rPr>
                <w:rFonts w:ascii="宋体" w:hAnsi="宋体"/>
                <w:color w:val="auto"/>
                <w:szCs w:val="21"/>
                <w:highlight w:val="none"/>
              </w:rPr>
            </w:pPr>
          </w:p>
        </w:tc>
        <w:tc>
          <w:tcPr>
            <w:tcW w:w="1662" w:type="dxa"/>
            <w:vAlign w:val="center"/>
          </w:tcPr>
          <w:p>
            <w:pPr>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00" w:type="dxa"/>
            <w:gridSpan w:val="9"/>
            <w:vAlign w:val="center"/>
          </w:tcPr>
          <w:p>
            <w:pPr>
              <w:snapToGrid w:val="0"/>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人民币合计金额（大写）</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（小写）</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00" w:type="dxa"/>
            <w:gridSpan w:val="9"/>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交货时间：</w:t>
            </w:r>
          </w:p>
          <w:p>
            <w:pPr>
              <w:snapToGrid w:val="0"/>
              <w:spacing w:line="360" w:lineRule="exact"/>
              <w:rPr>
                <w:color w:val="auto"/>
                <w:highlight w:val="none"/>
              </w:rPr>
            </w:pPr>
            <w:r>
              <w:rPr>
                <w:rFonts w:hint="eastAsia" w:ascii="宋体" w:hAnsi="宋体"/>
                <w:color w:val="auto"/>
                <w:szCs w:val="21"/>
                <w:highlight w:val="none"/>
              </w:rPr>
              <w:t>交货地点：</w:t>
            </w:r>
          </w:p>
        </w:tc>
      </w:tr>
    </w:tbl>
    <w:p>
      <w:pPr>
        <w:snapToGrid w:val="0"/>
        <w:spacing w:before="50" w:after="50" w:line="360" w:lineRule="exact"/>
        <w:ind w:firstLine="210" w:firstLineChars="100"/>
        <w:rPr>
          <w:rFonts w:ascii="宋体" w:hAnsi="宋体" w:cs="宋体"/>
          <w:color w:val="auto"/>
          <w:highlight w:val="none"/>
        </w:rPr>
      </w:pPr>
    </w:p>
    <w:p>
      <w:pPr>
        <w:snapToGrid w:val="0"/>
        <w:spacing w:before="50" w:after="50" w:line="360" w:lineRule="exact"/>
        <w:ind w:firstLine="210" w:firstLineChars="100"/>
        <w:rPr>
          <w:rFonts w:ascii="宋体" w:hAnsi="宋体" w:cs="宋体"/>
          <w:color w:val="auto"/>
          <w:highlight w:val="none"/>
        </w:rPr>
      </w:pPr>
    </w:p>
    <w:p>
      <w:pPr>
        <w:snapToGrid w:val="0"/>
        <w:spacing w:before="50" w:after="50" w:line="360" w:lineRule="exact"/>
        <w:ind w:firstLine="210" w:firstLineChars="100"/>
        <w:rPr>
          <w:rFonts w:ascii="宋体" w:hAnsi="宋体" w:cs="宋体"/>
          <w:color w:val="auto"/>
          <w:szCs w:val="28"/>
          <w:highlight w:val="none"/>
        </w:rPr>
      </w:pPr>
    </w:p>
    <w:p>
      <w:pPr>
        <w:pStyle w:val="11"/>
        <w:rPr>
          <w:color w:val="auto"/>
          <w:highlight w:val="none"/>
        </w:rPr>
      </w:pPr>
    </w:p>
    <w:p>
      <w:pPr>
        <w:snapToGrid w:val="0"/>
        <w:spacing w:before="50" w:after="50"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注：1、报价一经涂改，应在涂改处加盖单位公章或者由法定代表人（负责人或自然人）或授权委托人签字或盖章，否则其竞标作无效标处理。</w:t>
      </w:r>
    </w:p>
    <w:p>
      <w:pPr>
        <w:snapToGrid w:val="0"/>
        <w:spacing w:before="50" w:after="50"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28"/>
          <w:highlight w:val="none"/>
        </w:rPr>
        <w:t>竞标费用包括项目实施所需的人工费、服务费、运输费、安装调试费、安全文明施工费、购买及制作标书费、税费及其他一切费用。</w:t>
      </w:r>
    </w:p>
    <w:p>
      <w:pPr>
        <w:snapToGrid w:val="0"/>
        <w:spacing w:before="50" w:after="50"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3、货物名称及序号须与竞标文件第二章招标项目采购需求中“一、项目要求及技术需求”表中的采购内容和序号一致。</w:t>
      </w:r>
    </w:p>
    <w:p>
      <w:pPr>
        <w:snapToGrid w:val="0"/>
        <w:spacing w:before="50" w:after="50"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4、如果竞标产品中有小型或微型企业的产品，须在备注栏中注明生产企业名称并提供相关证明材料，否则不认可该项产品为小型或微型企业的产品。</w:t>
      </w:r>
    </w:p>
    <w:p>
      <w:pPr>
        <w:snapToGrid w:val="0"/>
        <w:spacing w:before="50" w:after="50" w:line="360" w:lineRule="exact"/>
        <w:ind w:right="-817" w:rightChars="-389"/>
        <w:rPr>
          <w:rFonts w:ascii="宋体" w:hAnsi="宋体" w:cs="宋体"/>
          <w:color w:val="auto"/>
          <w:highlight w:val="none"/>
        </w:rPr>
      </w:pPr>
    </w:p>
    <w:p>
      <w:pPr>
        <w:snapToGrid w:val="0"/>
        <w:spacing w:before="50" w:after="50" w:line="360" w:lineRule="exact"/>
        <w:ind w:right="-817" w:rightChars="-389"/>
        <w:rPr>
          <w:rFonts w:ascii="宋体" w:hAnsi="宋体" w:cs="宋体"/>
          <w:color w:val="auto"/>
          <w:highlight w:val="none"/>
        </w:rPr>
      </w:pPr>
    </w:p>
    <w:p>
      <w:pPr>
        <w:pStyle w:val="14"/>
        <w:widowControl/>
        <w:wordWrap w:val="0"/>
        <w:spacing w:line="400" w:lineRule="exact"/>
        <w:ind w:firstLine="3570" w:firstLineChars="1700"/>
        <w:jc w:val="both"/>
        <w:rPr>
          <w:rFonts w:hAnsi="宋体" w:cs="宋体"/>
          <w:color w:val="auto"/>
          <w:highlight w:val="none"/>
        </w:rPr>
      </w:pPr>
      <w:r>
        <w:rPr>
          <w:rFonts w:hint="eastAsia" w:hAnsi="宋体" w:cs="宋体"/>
          <w:color w:val="auto"/>
          <w:highlight w:val="none"/>
        </w:rPr>
        <w:t>竞标人名称（</w:t>
      </w:r>
      <w:r>
        <w:rPr>
          <w:rFonts w:hint="eastAsia" w:hAnsi="宋体" w:cs="宋体"/>
          <w:b/>
          <w:bCs/>
          <w:color w:val="auto"/>
          <w:highlight w:val="none"/>
        </w:rPr>
        <w:t>公章</w:t>
      </w:r>
      <w:r>
        <w:rPr>
          <w:rFonts w:hint="eastAsia" w:hAnsi="宋体" w:cs="宋体"/>
          <w:color w:val="auto"/>
          <w:highlight w:val="none"/>
        </w:rPr>
        <w:t>）：</w:t>
      </w:r>
      <w:r>
        <w:rPr>
          <w:rFonts w:hint="eastAsia" w:hAnsi="宋体" w:cs="宋体"/>
          <w:color w:val="auto"/>
          <w:highlight w:val="none"/>
          <w:u w:val="single"/>
        </w:rPr>
        <w:t>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w:t>
      </w:r>
      <w:r>
        <w:rPr>
          <w:rFonts w:hint="eastAsia" w:hAnsi="宋体" w:cs="宋体"/>
          <w:color w:val="auto"/>
          <w:highlight w:val="none"/>
          <w:u w:val="single"/>
          <w:lang w:val="en-US" w:eastAsia="zh-CN"/>
        </w:rPr>
        <w:t xml:space="preserve">      </w:t>
      </w:r>
    </w:p>
    <w:p>
      <w:pPr>
        <w:wordWrap/>
        <w:spacing w:line="400" w:lineRule="exact"/>
        <w:jc w:val="center"/>
        <w:rPr>
          <w:rFonts w:hint="eastAsia" w:ascii="宋体" w:hAnsi="宋体" w:cs="宋体"/>
          <w:color w:val="auto"/>
          <w:szCs w:val="21"/>
          <w:highlight w:val="none"/>
          <w:u w:val="single"/>
          <w:lang w:val="en-US" w:eastAsia="zh-CN"/>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法定代表人（负责人或自然人）或委托代理人</w:t>
      </w:r>
      <w:r>
        <w:rPr>
          <w:rFonts w:hint="eastAsia" w:ascii="宋体" w:hAnsi="宋体" w:cs="宋体"/>
          <w:b/>
          <w:bCs/>
          <w:color w:val="auto"/>
          <w:highlight w:val="none"/>
        </w:rPr>
        <w:t>签名：</w:t>
      </w:r>
      <w:r>
        <w:rPr>
          <w:rFonts w:hint="eastAsia" w:ascii="宋体" w:hAnsi="宋体" w:cs="宋体"/>
          <w:color w:val="auto"/>
          <w:szCs w:val="21"/>
          <w:highlight w:val="none"/>
          <w:u w:val="single"/>
          <w:lang w:val="en-US" w:eastAsia="zh-CN"/>
        </w:rPr>
        <w:t xml:space="preserve">           </w:t>
      </w:r>
    </w:p>
    <w:p>
      <w:pPr>
        <w:wordWrap/>
        <w:spacing w:line="400" w:lineRule="exact"/>
        <w:jc w:val="center"/>
        <w:rPr>
          <w:rFonts w:ascii="宋体" w:hAnsi="宋体" w:cs="宋体"/>
          <w:color w:val="auto"/>
          <w:szCs w:val="21"/>
          <w:highlight w:val="none"/>
        </w:rPr>
      </w:pPr>
      <w:r>
        <w:rPr>
          <w:rFonts w:hint="eastAsia" w:ascii="宋体" w:hAnsi="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pPr>
        <w:pStyle w:val="14"/>
        <w:snapToGrid w:val="0"/>
        <w:spacing w:line="400" w:lineRule="exact"/>
        <w:outlineLvl w:val="0"/>
        <w:rPr>
          <w:rFonts w:hAnsi="宋体" w:cs="宋体"/>
          <w:color w:val="auto"/>
          <w:highlight w:val="none"/>
        </w:rPr>
      </w:pPr>
    </w:p>
    <w:p>
      <w:pPr>
        <w:rPr>
          <w:rFonts w:ascii="宋体" w:hAnsi="宋体" w:cs="宋体"/>
          <w:color w:val="auto"/>
          <w:highlight w:val="none"/>
        </w:rPr>
      </w:pPr>
    </w:p>
    <w:p>
      <w:pPr>
        <w:snapToGrid w:val="0"/>
        <w:spacing w:before="50" w:line="360" w:lineRule="exact"/>
        <w:ind w:firstLine="643" w:firstLineChars="200"/>
        <w:jc w:val="center"/>
        <w:rPr>
          <w:rFonts w:ascii="宋体" w:hAnsi="宋体" w:cs="宋体"/>
          <w:b/>
          <w:bCs/>
          <w:color w:val="auto"/>
          <w:sz w:val="32"/>
          <w:szCs w:val="44"/>
          <w:highlight w:val="none"/>
        </w:rPr>
      </w:pPr>
      <w:r>
        <w:rPr>
          <w:rFonts w:hint="eastAsia" w:ascii="宋体" w:hAnsi="宋体" w:cs="宋体"/>
          <w:b/>
          <w:bCs/>
          <w:color w:val="auto"/>
          <w:sz w:val="32"/>
          <w:szCs w:val="44"/>
          <w:highlight w:val="none"/>
        </w:rPr>
        <w:t>三、技术规格、商务响应偏离表</w:t>
      </w:r>
    </w:p>
    <w:p>
      <w:pPr>
        <w:snapToGrid w:val="0"/>
        <w:spacing w:before="50" w:line="360" w:lineRule="exact"/>
        <w:ind w:firstLine="420" w:firstLineChars="200"/>
        <w:rPr>
          <w:rFonts w:ascii="宋体" w:hAnsi="宋体" w:cs="宋体"/>
          <w:color w:val="auto"/>
          <w:szCs w:val="28"/>
          <w:highlight w:val="none"/>
          <w:u w:val="single"/>
        </w:rPr>
      </w:pPr>
      <w:r>
        <w:rPr>
          <w:rFonts w:hint="eastAsia" w:ascii="宋体" w:hAnsi="宋体" w:cs="宋体"/>
          <w:color w:val="auto"/>
          <w:szCs w:val="28"/>
          <w:highlight w:val="none"/>
        </w:rPr>
        <w:t>项目名称：</w:t>
      </w:r>
      <w:r>
        <w:rPr>
          <w:rFonts w:hint="eastAsia" w:ascii="宋体" w:hAnsi="宋体" w:cs="宋体"/>
          <w:color w:val="auto"/>
          <w:szCs w:val="28"/>
          <w:highlight w:val="none"/>
          <w:u w:val="single"/>
        </w:rPr>
        <w:t>　　　　　　　　</w:t>
      </w:r>
    </w:p>
    <w:p>
      <w:pPr>
        <w:snapToGrid w:val="0"/>
        <w:spacing w:before="50" w:line="360" w:lineRule="exact"/>
        <w:ind w:firstLine="420" w:firstLineChars="200"/>
        <w:rPr>
          <w:rFonts w:hint="default" w:ascii="宋体" w:hAnsi="宋体" w:eastAsia="宋体" w:cs="宋体"/>
          <w:color w:val="auto"/>
          <w:szCs w:val="28"/>
          <w:highlight w:val="none"/>
          <w:u w:val="single"/>
          <w:lang w:val="en-US" w:eastAsia="zh-CN"/>
        </w:rPr>
      </w:pPr>
      <w:r>
        <w:rPr>
          <w:rFonts w:hint="eastAsia" w:ascii="宋体" w:hAnsi="宋体" w:cs="宋体"/>
          <w:color w:val="auto"/>
          <w:szCs w:val="28"/>
          <w:highlight w:val="none"/>
        </w:rPr>
        <w:t>采购编号：</w:t>
      </w:r>
      <w:r>
        <w:rPr>
          <w:rFonts w:hint="eastAsia" w:ascii="宋体" w:hAnsi="宋体" w:cs="宋体"/>
          <w:color w:val="auto"/>
          <w:szCs w:val="28"/>
          <w:highlight w:val="none"/>
          <w:u w:val="single"/>
          <w:lang w:val="en-US" w:eastAsia="zh-CN"/>
        </w:rPr>
        <w:t xml:space="preserve">                </w:t>
      </w:r>
    </w:p>
    <w:p>
      <w:pPr>
        <w:pStyle w:val="28"/>
        <w:rPr>
          <w:color w:val="auto"/>
          <w:highlight w:val="none"/>
        </w:rPr>
      </w:pPr>
    </w:p>
    <w:tbl>
      <w:tblPr>
        <w:tblStyle w:val="29"/>
        <w:tblW w:w="8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106"/>
        <w:gridCol w:w="3380"/>
        <w:gridCol w:w="1889"/>
        <w:gridCol w:w="1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left"/>
              <w:outlineLvl w:val="0"/>
              <w:rPr>
                <w:rFonts w:hAnsi="宋体" w:cs="宋体"/>
                <w:color w:val="auto"/>
                <w:szCs w:val="24"/>
                <w:highlight w:val="none"/>
              </w:rPr>
            </w:pPr>
            <w:bookmarkStart w:id="149" w:name="_Toc24342"/>
            <w:r>
              <w:rPr>
                <w:rFonts w:hint="eastAsia" w:hAnsi="宋体" w:cs="宋体"/>
                <w:color w:val="auto"/>
                <w:szCs w:val="24"/>
                <w:highlight w:val="none"/>
              </w:rPr>
              <w:t>序号</w:t>
            </w:r>
            <w:bookmarkEnd w:id="149"/>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left"/>
              <w:outlineLvl w:val="0"/>
              <w:rPr>
                <w:rFonts w:hAnsi="宋体" w:cs="宋体"/>
                <w:color w:val="auto"/>
                <w:szCs w:val="24"/>
                <w:highlight w:val="none"/>
              </w:rPr>
            </w:pPr>
            <w:bookmarkStart w:id="150" w:name="_Toc17338"/>
            <w:r>
              <w:rPr>
                <w:rFonts w:hint="eastAsia" w:hAnsi="宋体" w:cs="宋体"/>
                <w:color w:val="auto"/>
                <w:szCs w:val="24"/>
                <w:highlight w:val="none"/>
              </w:rPr>
              <w:t>货物名称</w:t>
            </w:r>
            <w:bookmarkEnd w:id="150"/>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center"/>
              <w:outlineLvl w:val="0"/>
              <w:rPr>
                <w:rFonts w:hAnsi="宋体" w:cs="宋体"/>
                <w:color w:val="auto"/>
                <w:szCs w:val="24"/>
                <w:highlight w:val="none"/>
              </w:rPr>
            </w:pPr>
            <w:bookmarkStart w:id="151" w:name="_Toc13656"/>
            <w:r>
              <w:rPr>
                <w:rFonts w:hint="eastAsia" w:hAnsi="宋体" w:cs="宋体"/>
                <w:color w:val="auto"/>
                <w:szCs w:val="24"/>
                <w:highlight w:val="none"/>
              </w:rPr>
              <w:t>竞标文件</w:t>
            </w:r>
            <w:r>
              <w:rPr>
                <w:rFonts w:hint="eastAsia" w:hAnsi="宋体" w:cs="宋体"/>
                <w:color w:val="auto"/>
                <w:kern w:val="0"/>
                <w:highlight w:val="none"/>
              </w:rPr>
              <w:t>型号规格及技术要求</w:t>
            </w:r>
            <w:bookmarkEnd w:id="151"/>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center"/>
              <w:outlineLvl w:val="0"/>
              <w:rPr>
                <w:rFonts w:hAnsi="宋体" w:cs="宋体"/>
                <w:color w:val="auto"/>
                <w:szCs w:val="24"/>
                <w:highlight w:val="none"/>
              </w:rPr>
            </w:pPr>
            <w:bookmarkStart w:id="152" w:name="_Toc6731"/>
            <w:r>
              <w:rPr>
                <w:rFonts w:hint="eastAsia" w:hAnsi="宋体" w:cs="宋体"/>
                <w:color w:val="auto"/>
                <w:szCs w:val="24"/>
                <w:highlight w:val="none"/>
              </w:rPr>
              <w:t>竞标文件响应</w:t>
            </w:r>
            <w:bookmarkEnd w:id="152"/>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bookmarkStart w:id="153" w:name="_Toc13497"/>
            <w:r>
              <w:rPr>
                <w:rFonts w:hint="eastAsia" w:hAnsi="宋体" w:cs="宋体"/>
                <w:color w:val="auto"/>
                <w:szCs w:val="24"/>
                <w:highlight w:val="none"/>
              </w:rPr>
              <w:t>...</w:t>
            </w:r>
            <w:bookmarkEnd w:id="153"/>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left"/>
              <w:outlineLvl w:val="0"/>
              <w:rPr>
                <w:rFonts w:hAnsi="宋体" w:cs="宋体"/>
                <w:color w:val="auto"/>
                <w:szCs w:val="24"/>
                <w:highlight w:val="none"/>
              </w:rPr>
            </w:pPr>
            <w:bookmarkStart w:id="154" w:name="_Toc25997"/>
            <w:r>
              <w:rPr>
                <w:rFonts w:hint="eastAsia" w:hAnsi="宋体" w:cs="宋体"/>
                <w:color w:val="auto"/>
                <w:szCs w:val="24"/>
                <w:highlight w:val="none"/>
              </w:rPr>
              <w:t>序号</w:t>
            </w:r>
            <w:bookmarkEnd w:id="154"/>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left"/>
              <w:outlineLvl w:val="0"/>
              <w:rPr>
                <w:rFonts w:hAnsi="宋体" w:cs="宋体"/>
                <w:color w:val="auto"/>
                <w:szCs w:val="24"/>
                <w:highlight w:val="none"/>
              </w:rPr>
            </w:pPr>
            <w:bookmarkStart w:id="155" w:name="_Toc32490"/>
            <w:r>
              <w:rPr>
                <w:rFonts w:hint="eastAsia" w:hAnsi="宋体" w:cs="宋体"/>
                <w:color w:val="auto"/>
                <w:szCs w:val="24"/>
                <w:highlight w:val="none"/>
              </w:rPr>
              <w:t>项目</w:t>
            </w:r>
            <w:bookmarkEnd w:id="155"/>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center"/>
              <w:outlineLvl w:val="0"/>
              <w:rPr>
                <w:rFonts w:hAnsi="宋体" w:cs="宋体"/>
                <w:color w:val="auto"/>
                <w:szCs w:val="24"/>
                <w:highlight w:val="none"/>
              </w:rPr>
            </w:pPr>
            <w:bookmarkStart w:id="156" w:name="_Toc27321"/>
            <w:r>
              <w:rPr>
                <w:rFonts w:hint="eastAsia" w:hAnsi="宋体" w:cs="宋体"/>
                <w:color w:val="auto"/>
                <w:szCs w:val="24"/>
                <w:highlight w:val="none"/>
              </w:rPr>
              <w:t>竞标文件</w:t>
            </w:r>
            <w:r>
              <w:rPr>
                <w:rFonts w:hint="eastAsia" w:hAnsi="宋体" w:cs="宋体"/>
                <w:color w:val="auto"/>
                <w:kern w:val="0"/>
                <w:highlight w:val="none"/>
              </w:rPr>
              <w:t>商务要求</w:t>
            </w:r>
            <w:bookmarkEnd w:id="156"/>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center"/>
              <w:outlineLvl w:val="0"/>
              <w:rPr>
                <w:rFonts w:hAnsi="宋体" w:cs="宋体"/>
                <w:color w:val="auto"/>
                <w:szCs w:val="24"/>
                <w:highlight w:val="none"/>
              </w:rPr>
            </w:pPr>
            <w:bookmarkStart w:id="157" w:name="_Toc3398"/>
            <w:r>
              <w:rPr>
                <w:rFonts w:hint="eastAsia" w:hAnsi="宋体" w:cs="宋体"/>
                <w:color w:val="auto"/>
                <w:szCs w:val="24"/>
                <w:highlight w:val="none"/>
              </w:rPr>
              <w:t>竞标文件响应</w:t>
            </w:r>
            <w:bookmarkEnd w:id="157"/>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highlight w:val="none"/>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highlight w:val="none"/>
              </w:rPr>
            </w:pPr>
          </w:p>
        </w:tc>
      </w:tr>
    </w:tbl>
    <w:p>
      <w:pPr>
        <w:pStyle w:val="10"/>
        <w:spacing w:line="400" w:lineRule="exact"/>
        <w:rPr>
          <w:rFonts w:ascii="宋体" w:hAnsi="宋体" w:cs="宋体"/>
          <w:color w:val="auto"/>
          <w:sz w:val="21"/>
          <w:highlight w:val="none"/>
        </w:rPr>
      </w:pPr>
    </w:p>
    <w:p>
      <w:pPr>
        <w:pStyle w:val="10"/>
        <w:spacing w:line="400" w:lineRule="exact"/>
        <w:rPr>
          <w:rFonts w:ascii="宋体" w:hAnsi="宋体" w:cs="宋体"/>
          <w:color w:val="auto"/>
          <w:sz w:val="21"/>
          <w:highlight w:val="none"/>
        </w:rPr>
      </w:pPr>
      <w:r>
        <w:rPr>
          <w:rFonts w:hint="eastAsia" w:ascii="宋体" w:hAnsi="宋体" w:cs="宋体"/>
          <w:color w:val="auto"/>
          <w:sz w:val="21"/>
          <w:highlight w:val="none"/>
        </w:rPr>
        <w:t>注：竞标人应根据竞标设备的功能指标、对照竞标文件要求在“偏离情况”栏注明“正偏离”、“负偏离”或“无偏离”。</w:t>
      </w:r>
    </w:p>
    <w:p>
      <w:pPr>
        <w:snapToGrid w:val="0"/>
        <w:spacing w:line="400" w:lineRule="exact"/>
        <w:ind w:right="-817" w:rightChars="-389" w:firstLine="3360" w:firstLineChars="1600"/>
        <w:rPr>
          <w:rFonts w:ascii="宋体" w:hAnsi="宋体" w:cs="宋体"/>
          <w:color w:val="auto"/>
          <w:highlight w:val="none"/>
        </w:rPr>
      </w:pPr>
      <w:r>
        <w:rPr>
          <w:rFonts w:hint="eastAsia" w:ascii="宋体" w:hAnsi="宋体" w:cs="宋体"/>
          <w:color w:val="auto"/>
          <w:highlight w:val="none"/>
        </w:rPr>
        <w:t>　　　　　　　</w:t>
      </w:r>
    </w:p>
    <w:p>
      <w:pPr>
        <w:snapToGrid w:val="0"/>
        <w:spacing w:line="400" w:lineRule="exact"/>
        <w:ind w:right="-817" w:rightChars="-389" w:firstLine="3360" w:firstLineChars="1600"/>
        <w:rPr>
          <w:rFonts w:ascii="宋体" w:hAnsi="宋体" w:cs="宋体"/>
          <w:color w:val="auto"/>
          <w:highlight w:val="none"/>
        </w:rPr>
      </w:pPr>
    </w:p>
    <w:p>
      <w:pPr>
        <w:snapToGrid w:val="0"/>
        <w:spacing w:line="400" w:lineRule="exact"/>
        <w:ind w:right="-817" w:rightChars="-389" w:firstLine="3360" w:firstLineChars="1600"/>
        <w:rPr>
          <w:rFonts w:ascii="宋体" w:hAnsi="宋体" w:cs="宋体"/>
          <w:color w:val="auto"/>
          <w:highlight w:val="none"/>
        </w:rPr>
      </w:pPr>
    </w:p>
    <w:p>
      <w:pPr>
        <w:snapToGrid w:val="0"/>
        <w:spacing w:line="400" w:lineRule="exact"/>
        <w:ind w:right="-817" w:rightChars="-389" w:firstLine="3360" w:firstLineChars="1600"/>
        <w:rPr>
          <w:rFonts w:ascii="宋体" w:hAnsi="宋体" w:cs="宋体"/>
          <w:color w:val="auto"/>
          <w:highlight w:val="none"/>
        </w:rPr>
      </w:pPr>
    </w:p>
    <w:p>
      <w:pPr>
        <w:pStyle w:val="14"/>
        <w:widowControl/>
        <w:wordWrap w:val="0"/>
        <w:spacing w:line="400" w:lineRule="exact"/>
        <w:ind w:firstLine="3570" w:firstLineChars="1700"/>
        <w:jc w:val="both"/>
        <w:rPr>
          <w:rFonts w:hAnsi="宋体" w:cs="宋体"/>
          <w:color w:val="auto"/>
          <w:highlight w:val="none"/>
        </w:rPr>
      </w:pPr>
      <w:r>
        <w:rPr>
          <w:rFonts w:hint="eastAsia" w:hAnsi="宋体" w:cs="宋体"/>
          <w:color w:val="auto"/>
          <w:highlight w:val="none"/>
        </w:rPr>
        <w:t>竞标人名称（</w:t>
      </w:r>
      <w:r>
        <w:rPr>
          <w:rFonts w:hint="eastAsia" w:hAnsi="宋体" w:cs="宋体"/>
          <w:b/>
          <w:bCs/>
          <w:color w:val="auto"/>
          <w:highlight w:val="none"/>
        </w:rPr>
        <w:t>公章</w:t>
      </w:r>
      <w:r>
        <w:rPr>
          <w:rFonts w:hint="eastAsia" w:hAnsi="宋体" w:cs="宋体"/>
          <w:color w:val="auto"/>
          <w:highlight w:val="none"/>
        </w:rPr>
        <w:t>）：</w:t>
      </w:r>
      <w:r>
        <w:rPr>
          <w:rFonts w:hint="eastAsia" w:hAnsi="宋体" w:cs="宋体"/>
          <w:color w:val="auto"/>
          <w:highlight w:val="none"/>
          <w:u w:val="single"/>
        </w:rPr>
        <w:t>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w:t>
      </w:r>
      <w:r>
        <w:rPr>
          <w:rFonts w:hint="eastAsia" w:hAnsi="宋体" w:cs="宋体"/>
          <w:color w:val="auto"/>
          <w:highlight w:val="none"/>
          <w:u w:val="single"/>
          <w:lang w:val="en-US" w:eastAsia="zh-CN"/>
        </w:rPr>
        <w:t xml:space="preserve">      </w:t>
      </w:r>
    </w:p>
    <w:p>
      <w:pPr>
        <w:wordWrap/>
        <w:spacing w:line="400" w:lineRule="exact"/>
        <w:jc w:val="center"/>
        <w:rPr>
          <w:rFonts w:hint="eastAsia" w:ascii="宋体" w:hAnsi="宋体" w:cs="宋体"/>
          <w:color w:val="auto"/>
          <w:szCs w:val="21"/>
          <w:highlight w:val="none"/>
          <w:u w:val="single"/>
          <w:lang w:val="en-US" w:eastAsia="zh-CN"/>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法定代表人（负责人或自然人）或委托代理人</w:t>
      </w:r>
      <w:r>
        <w:rPr>
          <w:rFonts w:hint="eastAsia" w:ascii="宋体" w:hAnsi="宋体" w:cs="宋体"/>
          <w:b/>
          <w:bCs/>
          <w:color w:val="auto"/>
          <w:highlight w:val="none"/>
        </w:rPr>
        <w:t>签名：</w:t>
      </w:r>
      <w:r>
        <w:rPr>
          <w:rFonts w:hint="eastAsia" w:ascii="宋体" w:hAnsi="宋体" w:cs="宋体"/>
          <w:color w:val="auto"/>
          <w:szCs w:val="21"/>
          <w:highlight w:val="none"/>
          <w:u w:val="single"/>
          <w:lang w:val="en-US" w:eastAsia="zh-CN"/>
        </w:rPr>
        <w:t xml:space="preserve">           </w:t>
      </w:r>
    </w:p>
    <w:p>
      <w:pPr>
        <w:wordWrap/>
        <w:spacing w:line="400" w:lineRule="exact"/>
        <w:jc w:val="center"/>
        <w:rPr>
          <w:rFonts w:ascii="宋体" w:hAnsi="宋体" w:cs="宋体"/>
          <w:color w:val="auto"/>
          <w:szCs w:val="21"/>
          <w:highlight w:val="none"/>
        </w:rPr>
      </w:pPr>
      <w:r>
        <w:rPr>
          <w:rFonts w:hint="eastAsia" w:ascii="宋体" w:hAnsi="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pPr>
        <w:pStyle w:val="14"/>
        <w:snapToGrid w:val="0"/>
        <w:spacing w:line="400" w:lineRule="exact"/>
        <w:outlineLvl w:val="0"/>
        <w:rPr>
          <w:rFonts w:hAnsi="宋体" w:cs="宋体"/>
          <w:color w:val="auto"/>
          <w:highlight w:val="none"/>
        </w:rPr>
      </w:pPr>
    </w:p>
    <w:p>
      <w:pPr>
        <w:wordWrap w:val="0"/>
        <w:rPr>
          <w:rFonts w:ascii="宋体" w:hAnsi="宋体" w:cs="宋体"/>
          <w:color w:val="auto"/>
          <w:highlight w:val="none"/>
        </w:rPr>
      </w:pPr>
    </w:p>
    <w:p>
      <w:pPr>
        <w:pStyle w:val="3"/>
        <w:keepLines/>
        <w:wordWrap w:val="0"/>
        <w:spacing w:before="340" w:after="330" w:line="578" w:lineRule="auto"/>
        <w:rPr>
          <w:rFonts w:ascii="宋体" w:hAnsi="宋体" w:cs="宋体"/>
          <w:color w:val="auto"/>
          <w:kern w:val="44"/>
          <w:szCs w:val="44"/>
          <w:highlight w:val="none"/>
        </w:rPr>
      </w:pPr>
      <w:bookmarkStart w:id="158" w:name="_Toc2725"/>
      <w:bookmarkStart w:id="159" w:name="_Toc21889"/>
      <w:bookmarkStart w:id="160" w:name="_Toc393117399"/>
      <w:bookmarkStart w:id="161" w:name="_Toc12384"/>
      <w:r>
        <w:rPr>
          <w:rFonts w:hint="eastAsia" w:ascii="宋体" w:hAnsi="宋体" w:cs="宋体"/>
          <w:color w:val="auto"/>
          <w:kern w:val="44"/>
          <w:szCs w:val="44"/>
          <w:highlight w:val="none"/>
        </w:rPr>
        <w:t>四、售后服务承诺书（格式）</w:t>
      </w:r>
      <w:bookmarkEnd w:id="158"/>
      <w:bookmarkEnd w:id="159"/>
      <w:bookmarkEnd w:id="160"/>
      <w:bookmarkEnd w:id="161"/>
    </w:p>
    <w:p>
      <w:pPr>
        <w:pStyle w:val="14"/>
        <w:wordWrap w:val="0"/>
        <w:jc w:val="center"/>
        <w:rPr>
          <w:rFonts w:hAnsi="宋体" w:cs="宋体"/>
          <w:color w:val="auto"/>
          <w:highlight w:val="none"/>
        </w:rPr>
      </w:pPr>
      <w:r>
        <w:rPr>
          <w:rFonts w:hint="eastAsia" w:hAnsi="宋体" w:cs="宋体"/>
          <w:color w:val="auto"/>
          <w:highlight w:val="none"/>
        </w:rPr>
        <w:t>(由竞标人就《货物需求一览表》售后服务及要求自行填写)</w:t>
      </w: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ordWrap w:val="0"/>
        <w:rPr>
          <w:rFonts w:hAnsi="宋体" w:cs="宋体"/>
          <w:color w:val="auto"/>
          <w:highlight w:val="none"/>
        </w:rPr>
      </w:pPr>
    </w:p>
    <w:p>
      <w:pPr>
        <w:pStyle w:val="14"/>
        <w:widowControl/>
        <w:wordWrap w:val="0"/>
        <w:spacing w:line="400" w:lineRule="exact"/>
        <w:ind w:firstLine="3570" w:firstLineChars="1700"/>
        <w:jc w:val="both"/>
        <w:rPr>
          <w:rFonts w:hAnsi="宋体" w:cs="宋体"/>
          <w:color w:val="auto"/>
          <w:highlight w:val="none"/>
        </w:rPr>
      </w:pPr>
      <w:r>
        <w:rPr>
          <w:rFonts w:hint="eastAsia" w:hAnsi="宋体" w:cs="宋体"/>
          <w:color w:val="auto"/>
          <w:highlight w:val="none"/>
        </w:rPr>
        <w:t>竞标人名称（</w:t>
      </w:r>
      <w:r>
        <w:rPr>
          <w:rFonts w:hint="eastAsia" w:hAnsi="宋体" w:cs="宋体"/>
          <w:b/>
          <w:bCs/>
          <w:color w:val="auto"/>
          <w:highlight w:val="none"/>
        </w:rPr>
        <w:t>公章</w:t>
      </w:r>
      <w:r>
        <w:rPr>
          <w:rFonts w:hint="eastAsia" w:hAnsi="宋体" w:cs="宋体"/>
          <w:color w:val="auto"/>
          <w:highlight w:val="none"/>
        </w:rPr>
        <w:t>）：</w:t>
      </w:r>
      <w:r>
        <w:rPr>
          <w:rFonts w:hint="eastAsia" w:hAnsi="宋体" w:cs="宋体"/>
          <w:color w:val="auto"/>
          <w:highlight w:val="none"/>
          <w:u w:val="single"/>
        </w:rPr>
        <w:t>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w:t>
      </w:r>
    </w:p>
    <w:p>
      <w:pPr>
        <w:wordWrap/>
        <w:spacing w:line="400" w:lineRule="exact"/>
        <w:jc w:val="center"/>
        <w:rPr>
          <w:rFonts w:hint="eastAsia" w:ascii="宋体" w:hAnsi="宋体" w:cs="宋体"/>
          <w:color w:val="auto"/>
          <w:szCs w:val="21"/>
          <w:highlight w:val="none"/>
          <w:u w:val="single"/>
          <w:lang w:val="en-US" w:eastAsia="zh-CN"/>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法定代表人（负责人或自然人）或委托代理人</w:t>
      </w:r>
      <w:r>
        <w:rPr>
          <w:rFonts w:hint="eastAsia" w:ascii="宋体" w:hAnsi="宋体" w:cs="宋体"/>
          <w:b/>
          <w:bCs/>
          <w:color w:val="auto"/>
          <w:highlight w:val="none"/>
        </w:rPr>
        <w:t>签名：</w:t>
      </w:r>
      <w:r>
        <w:rPr>
          <w:rFonts w:hint="eastAsia" w:ascii="宋体" w:hAnsi="宋体" w:cs="宋体"/>
          <w:color w:val="auto"/>
          <w:szCs w:val="21"/>
          <w:highlight w:val="none"/>
          <w:u w:val="single"/>
          <w:lang w:val="en-US" w:eastAsia="zh-CN"/>
        </w:rPr>
        <w:t xml:space="preserve">           </w:t>
      </w:r>
    </w:p>
    <w:p>
      <w:pPr>
        <w:wordWrap/>
        <w:spacing w:line="400" w:lineRule="exact"/>
        <w:jc w:val="center"/>
        <w:rPr>
          <w:rFonts w:ascii="宋体" w:hAnsi="宋体" w:cs="宋体"/>
          <w:color w:val="auto"/>
          <w:szCs w:val="21"/>
          <w:highlight w:val="none"/>
        </w:rPr>
      </w:pPr>
      <w:r>
        <w:rPr>
          <w:rFonts w:hint="eastAsia" w:ascii="宋体" w:hAnsi="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pPr>
        <w:pStyle w:val="14"/>
        <w:wordWrap w:val="0"/>
        <w:spacing w:line="400" w:lineRule="exact"/>
        <w:rPr>
          <w:rFonts w:hAnsi="宋体" w:cs="宋体"/>
          <w:color w:val="auto"/>
          <w:highlight w:val="none"/>
        </w:rPr>
      </w:pPr>
    </w:p>
    <w:p>
      <w:pPr>
        <w:pStyle w:val="14"/>
        <w:wordWrap w:val="0"/>
        <w:rPr>
          <w:rFonts w:hAnsi="宋体" w:cs="宋体"/>
          <w:color w:val="auto"/>
          <w:highlight w:val="none"/>
        </w:rPr>
      </w:pPr>
    </w:p>
    <w:p>
      <w:pPr>
        <w:pStyle w:val="14"/>
        <w:wordWrap w:val="0"/>
        <w:ind w:firstLine="422"/>
        <w:jc w:val="center"/>
        <w:rPr>
          <w:rFonts w:hAnsi="宋体" w:cs="宋体"/>
          <w:color w:val="auto"/>
          <w:highlight w:val="none"/>
        </w:rPr>
      </w:pPr>
    </w:p>
    <w:p>
      <w:pPr>
        <w:pStyle w:val="14"/>
        <w:wordWrap w:val="0"/>
        <w:ind w:firstLine="422"/>
        <w:jc w:val="center"/>
        <w:rPr>
          <w:rFonts w:hAnsi="宋体" w:cs="宋体"/>
          <w:color w:val="auto"/>
          <w:highlight w:val="none"/>
        </w:rPr>
      </w:pPr>
    </w:p>
    <w:p>
      <w:pPr>
        <w:pStyle w:val="14"/>
        <w:wordWrap w:val="0"/>
        <w:ind w:firstLine="422"/>
        <w:jc w:val="center"/>
        <w:rPr>
          <w:rFonts w:hAnsi="宋体" w:cs="宋体"/>
          <w:color w:val="auto"/>
          <w:highlight w:val="none"/>
        </w:rPr>
      </w:pPr>
    </w:p>
    <w:p>
      <w:pPr>
        <w:pStyle w:val="14"/>
        <w:wordWrap w:val="0"/>
        <w:ind w:firstLine="422"/>
        <w:jc w:val="center"/>
        <w:rPr>
          <w:rFonts w:hAnsi="宋体" w:cs="宋体"/>
          <w:color w:val="auto"/>
          <w:highlight w:val="none"/>
        </w:rPr>
      </w:pPr>
    </w:p>
    <w:p>
      <w:pPr>
        <w:widowControl/>
        <w:wordWrap w:val="0"/>
        <w:spacing w:before="100" w:beforeAutospacing="1" w:after="100" w:afterAutospacing="1" w:line="360" w:lineRule="auto"/>
        <w:textAlignment w:val="top"/>
        <w:rPr>
          <w:rFonts w:ascii="宋体" w:hAnsi="宋体" w:cs="宋体"/>
          <w:b/>
          <w:bCs/>
          <w:color w:val="auto"/>
          <w:sz w:val="32"/>
          <w:szCs w:val="32"/>
          <w:highlight w:val="none"/>
        </w:rPr>
      </w:pPr>
    </w:p>
    <w:p>
      <w:pPr>
        <w:widowControl/>
        <w:wordWrap w:val="0"/>
        <w:spacing w:before="100" w:beforeAutospacing="1" w:after="100" w:afterAutospacing="1" w:line="360" w:lineRule="auto"/>
        <w:textAlignment w:val="top"/>
        <w:rPr>
          <w:rFonts w:ascii="宋体" w:hAnsi="宋体" w:cs="宋体"/>
          <w:b/>
          <w:bCs/>
          <w:color w:val="auto"/>
          <w:sz w:val="32"/>
          <w:szCs w:val="32"/>
          <w:highlight w:val="none"/>
        </w:rPr>
      </w:pPr>
    </w:p>
    <w:p>
      <w:pPr>
        <w:widowControl/>
        <w:wordWrap w:val="0"/>
        <w:spacing w:before="100" w:beforeAutospacing="1" w:after="100" w:afterAutospacing="1" w:line="360" w:lineRule="auto"/>
        <w:jc w:val="center"/>
        <w:textAlignment w:val="top"/>
        <w:rPr>
          <w:rFonts w:ascii="宋体" w:hAnsi="宋体" w:cs="宋体"/>
          <w:b/>
          <w:bCs/>
          <w:color w:val="auto"/>
          <w:kern w:val="0"/>
          <w:sz w:val="30"/>
          <w:highlight w:val="none"/>
        </w:rPr>
      </w:pPr>
      <w:r>
        <w:rPr>
          <w:rFonts w:hint="eastAsia" w:ascii="宋体" w:hAnsi="宋体" w:cs="宋体"/>
          <w:b/>
          <w:bCs/>
          <w:color w:val="auto"/>
          <w:sz w:val="32"/>
          <w:szCs w:val="32"/>
          <w:highlight w:val="none"/>
        </w:rPr>
        <w:t>五、中小企业声明函</w:t>
      </w:r>
    </w:p>
    <w:p>
      <w:pPr>
        <w:widowControl/>
        <w:wordWrap w:val="0"/>
        <w:spacing w:line="400" w:lineRule="exact"/>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本公司郑重声明，根据《政府采购促进中小企业发展暂行办法》（财库〔2011〕181号）的规定，本公司为（请填写：中型、小型、微型）企业。即，本公司满足以下条件：</w:t>
      </w:r>
    </w:p>
    <w:p>
      <w:pPr>
        <w:widowControl/>
        <w:wordWrap w:val="0"/>
        <w:spacing w:line="400" w:lineRule="exact"/>
        <w:ind w:firstLine="420"/>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1.根据《工业和信息化部、国家统计局、国家发展和改革委员会、财政部关于印发中小企业划型标准规定的通知》（工信部联企业〔2011〕300号）规定的划分标准，本公司为（请填写：中型、小型、微型）企业。</w:t>
      </w:r>
    </w:p>
    <w:p>
      <w:pPr>
        <w:widowControl/>
        <w:wordWrap w:val="0"/>
        <w:spacing w:line="400" w:lineRule="exact"/>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2.本公司参加单位的项目采购活动提供本企业制造的货物，由本企业承担工程、提供服务，或者提供其他（请填写：中型、小型、微型）企业制造的货物。本条所称货物不包括使用大型企业注册商标的货物。</w:t>
      </w:r>
    </w:p>
    <w:p>
      <w:pPr>
        <w:widowControl/>
        <w:wordWrap w:val="0"/>
        <w:spacing w:line="400" w:lineRule="exact"/>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本公司对上述声明的真实性负责。如有虚假，将依法承担相应责任。</w:t>
      </w:r>
    </w:p>
    <w:p>
      <w:pPr>
        <w:pStyle w:val="14"/>
        <w:wordWrap w:val="0"/>
        <w:spacing w:line="400" w:lineRule="exact"/>
        <w:ind w:firstLine="3780" w:firstLineChars="1800"/>
        <w:rPr>
          <w:rFonts w:hAnsi="宋体" w:cs="宋体"/>
          <w:color w:val="auto"/>
          <w:kern w:val="0"/>
          <w:highlight w:val="none"/>
        </w:rPr>
      </w:pPr>
    </w:p>
    <w:p>
      <w:pPr>
        <w:pStyle w:val="14"/>
        <w:wordWrap w:val="0"/>
        <w:spacing w:line="400" w:lineRule="exact"/>
        <w:ind w:firstLine="3780" w:firstLineChars="1800"/>
        <w:rPr>
          <w:rFonts w:hAnsi="宋体" w:cs="宋体"/>
          <w:color w:val="auto"/>
          <w:kern w:val="0"/>
          <w:highlight w:val="none"/>
        </w:rPr>
      </w:pPr>
    </w:p>
    <w:p>
      <w:pPr>
        <w:pStyle w:val="14"/>
        <w:wordWrap w:val="0"/>
        <w:spacing w:line="400" w:lineRule="exact"/>
        <w:ind w:firstLine="3780" w:firstLineChars="1800"/>
        <w:rPr>
          <w:rFonts w:hAnsi="宋体" w:cs="宋体"/>
          <w:color w:val="auto"/>
          <w:kern w:val="0"/>
          <w:highlight w:val="none"/>
        </w:rPr>
      </w:pPr>
    </w:p>
    <w:p>
      <w:pPr>
        <w:pStyle w:val="14"/>
        <w:wordWrap w:val="0"/>
        <w:spacing w:line="400" w:lineRule="exact"/>
        <w:ind w:firstLine="3780" w:firstLineChars="1800"/>
        <w:rPr>
          <w:rFonts w:hAnsi="宋体" w:cs="宋体"/>
          <w:color w:val="auto"/>
          <w:kern w:val="0"/>
          <w:highlight w:val="none"/>
        </w:rPr>
      </w:pPr>
    </w:p>
    <w:p>
      <w:pPr>
        <w:pStyle w:val="14"/>
        <w:widowControl/>
        <w:wordWrap w:val="0"/>
        <w:spacing w:line="400" w:lineRule="exact"/>
        <w:ind w:firstLine="3570" w:firstLineChars="1700"/>
        <w:jc w:val="both"/>
        <w:rPr>
          <w:rFonts w:hAnsi="宋体" w:cs="宋体"/>
          <w:color w:val="auto"/>
          <w:highlight w:val="none"/>
        </w:rPr>
      </w:pPr>
      <w:r>
        <w:rPr>
          <w:rFonts w:hint="eastAsia" w:hAnsi="宋体" w:cs="宋体"/>
          <w:color w:val="auto"/>
          <w:highlight w:val="none"/>
        </w:rPr>
        <w:t>竞标人名称（</w:t>
      </w:r>
      <w:r>
        <w:rPr>
          <w:rFonts w:hint="eastAsia" w:hAnsi="宋体" w:cs="宋体"/>
          <w:b/>
          <w:bCs/>
          <w:color w:val="auto"/>
          <w:highlight w:val="none"/>
        </w:rPr>
        <w:t>公章</w:t>
      </w:r>
      <w:r>
        <w:rPr>
          <w:rFonts w:hint="eastAsia" w:hAnsi="宋体" w:cs="宋体"/>
          <w:color w:val="auto"/>
          <w:highlight w:val="none"/>
        </w:rPr>
        <w:t>）：</w:t>
      </w:r>
      <w:r>
        <w:rPr>
          <w:rFonts w:hint="eastAsia" w:hAnsi="宋体" w:cs="宋体"/>
          <w:color w:val="auto"/>
          <w:highlight w:val="none"/>
          <w:u w:val="single"/>
        </w:rPr>
        <w:t>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w:t>
      </w:r>
    </w:p>
    <w:p>
      <w:pPr>
        <w:wordWrap/>
        <w:spacing w:line="400" w:lineRule="exact"/>
        <w:jc w:val="center"/>
        <w:rPr>
          <w:rFonts w:hint="eastAsia" w:ascii="宋体" w:hAnsi="宋体" w:cs="宋体"/>
          <w:color w:val="auto"/>
          <w:szCs w:val="21"/>
          <w:highlight w:val="none"/>
          <w:u w:val="single"/>
          <w:lang w:val="en-US" w:eastAsia="zh-CN"/>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法定代表人（负责人或自然人）或委托代理人</w:t>
      </w:r>
      <w:r>
        <w:rPr>
          <w:rFonts w:hint="eastAsia" w:ascii="宋体" w:hAnsi="宋体" w:cs="宋体"/>
          <w:b/>
          <w:bCs/>
          <w:color w:val="auto"/>
          <w:highlight w:val="none"/>
        </w:rPr>
        <w:t>签名：</w:t>
      </w:r>
      <w:r>
        <w:rPr>
          <w:rFonts w:hint="eastAsia" w:ascii="宋体" w:hAnsi="宋体" w:cs="宋体"/>
          <w:color w:val="auto"/>
          <w:szCs w:val="21"/>
          <w:highlight w:val="none"/>
          <w:u w:val="single"/>
          <w:lang w:val="en-US" w:eastAsia="zh-CN"/>
        </w:rPr>
        <w:t xml:space="preserve">           </w:t>
      </w:r>
    </w:p>
    <w:p>
      <w:pPr>
        <w:wordWrap/>
        <w:spacing w:line="400" w:lineRule="exact"/>
        <w:jc w:val="center"/>
        <w:rPr>
          <w:rFonts w:ascii="宋体" w:hAnsi="宋体" w:cs="宋体"/>
          <w:color w:val="auto"/>
          <w:szCs w:val="21"/>
          <w:highlight w:val="none"/>
        </w:rPr>
      </w:pPr>
      <w:r>
        <w:rPr>
          <w:rFonts w:hint="eastAsia" w:ascii="宋体" w:hAnsi="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pPr>
        <w:pStyle w:val="7"/>
        <w:wordWrap w:val="0"/>
        <w:overflowPunct w:val="0"/>
        <w:spacing w:line="400" w:lineRule="exact"/>
        <w:rPr>
          <w:rFonts w:ascii="宋体" w:hAnsi="宋体" w:cs="宋体"/>
          <w:color w:val="auto"/>
          <w:kern w:val="0"/>
          <w:szCs w:val="21"/>
          <w:highlight w:val="none"/>
        </w:rPr>
      </w:pPr>
    </w:p>
    <w:p>
      <w:pPr>
        <w:pStyle w:val="7"/>
        <w:wordWrap w:val="0"/>
        <w:overflowPunct w:val="0"/>
        <w:spacing w:line="400" w:lineRule="exact"/>
        <w:rPr>
          <w:rFonts w:ascii="宋体" w:hAnsi="宋体" w:cs="宋体"/>
          <w:color w:val="auto"/>
          <w:kern w:val="0"/>
          <w:szCs w:val="21"/>
          <w:highlight w:val="none"/>
        </w:rPr>
      </w:pPr>
    </w:p>
    <w:p>
      <w:pPr>
        <w:pStyle w:val="7"/>
        <w:wordWrap w:val="0"/>
        <w:overflowPunct w:val="0"/>
        <w:spacing w:line="400" w:lineRule="exact"/>
        <w:rPr>
          <w:rFonts w:ascii="宋体" w:hAnsi="宋体" w:cs="宋体"/>
          <w:color w:val="auto"/>
          <w:kern w:val="0"/>
          <w:szCs w:val="21"/>
          <w:highlight w:val="none"/>
        </w:rPr>
      </w:pPr>
    </w:p>
    <w:p>
      <w:pPr>
        <w:pStyle w:val="7"/>
        <w:wordWrap w:val="0"/>
        <w:overflowPunct w:val="0"/>
        <w:spacing w:line="400" w:lineRule="exact"/>
        <w:rPr>
          <w:rFonts w:ascii="宋体" w:hAnsi="宋体" w:cs="宋体"/>
          <w:color w:val="auto"/>
          <w:kern w:val="0"/>
          <w:szCs w:val="21"/>
          <w:highlight w:val="none"/>
        </w:rPr>
      </w:pPr>
    </w:p>
    <w:p>
      <w:pPr>
        <w:pStyle w:val="7"/>
        <w:wordWrap w:val="0"/>
        <w:overflowPunct w:val="0"/>
        <w:spacing w:line="400" w:lineRule="exact"/>
        <w:rPr>
          <w:rFonts w:ascii="宋体" w:hAnsi="宋体" w:cs="宋体"/>
          <w:color w:val="auto"/>
          <w:kern w:val="0"/>
          <w:szCs w:val="21"/>
          <w:highlight w:val="none"/>
        </w:rPr>
      </w:pPr>
    </w:p>
    <w:p>
      <w:pPr>
        <w:pStyle w:val="7"/>
        <w:wordWrap w:val="0"/>
        <w:overflowPunct w:val="0"/>
        <w:spacing w:line="400" w:lineRule="exact"/>
        <w:rPr>
          <w:rFonts w:ascii="宋体" w:hAnsi="宋体" w:cs="宋体"/>
          <w:color w:val="auto"/>
          <w:kern w:val="0"/>
          <w:szCs w:val="21"/>
          <w:highlight w:val="none"/>
        </w:rPr>
      </w:pPr>
    </w:p>
    <w:p>
      <w:pPr>
        <w:pStyle w:val="7"/>
        <w:wordWrap w:val="0"/>
        <w:overflowPunct w:val="0"/>
        <w:spacing w:line="400" w:lineRule="exact"/>
        <w:rPr>
          <w:rFonts w:ascii="宋体" w:hAnsi="宋体" w:cs="宋体"/>
          <w:color w:val="auto"/>
          <w:kern w:val="0"/>
          <w:szCs w:val="21"/>
          <w:highlight w:val="none"/>
        </w:rPr>
      </w:pPr>
    </w:p>
    <w:p>
      <w:pPr>
        <w:wordWrap w:val="0"/>
        <w:snapToGrid w:val="0"/>
        <w:spacing w:line="400" w:lineRule="exact"/>
        <w:jc w:val="left"/>
        <w:rPr>
          <w:rFonts w:ascii="宋体" w:hAnsi="宋体" w:cs="宋体"/>
          <w:color w:val="auto"/>
          <w:highlight w:val="none"/>
        </w:rPr>
      </w:pPr>
      <w:r>
        <w:rPr>
          <w:rFonts w:hint="eastAsia" w:ascii="宋体" w:hAnsi="宋体" w:cs="宋体"/>
          <w:b/>
          <w:bCs/>
          <w:color w:val="auto"/>
          <w:kern w:val="0"/>
          <w:szCs w:val="21"/>
          <w:highlight w:val="none"/>
        </w:rPr>
        <w:t>附：所投产品</w:t>
      </w:r>
      <w:r>
        <w:rPr>
          <w:rFonts w:hint="eastAsia" w:ascii="宋体" w:hAnsi="宋体" w:cs="宋体"/>
          <w:b/>
          <w:bCs/>
          <w:color w:val="auto"/>
          <w:highlight w:val="none"/>
        </w:rPr>
        <w:t>企业所在地的县级以上中小企业主管部门相关证明材料复印件，并对证明材料的真实性负责（装订在竞标文件正本中），</w:t>
      </w:r>
      <w:r>
        <w:rPr>
          <w:rFonts w:hint="eastAsia" w:ascii="宋体" w:hAnsi="宋体" w:cs="宋体"/>
          <w:b/>
          <w:bCs/>
          <w:color w:val="auto"/>
          <w:szCs w:val="21"/>
          <w:highlight w:val="none"/>
        </w:rPr>
        <w:t>竞标文件递交截止时间前提交</w:t>
      </w:r>
      <w:r>
        <w:rPr>
          <w:rFonts w:hint="eastAsia" w:ascii="宋体" w:hAnsi="宋体" w:cs="宋体"/>
          <w:b/>
          <w:bCs/>
          <w:color w:val="auto"/>
          <w:highlight w:val="none"/>
        </w:rPr>
        <w:t>证明材料</w:t>
      </w:r>
      <w:r>
        <w:rPr>
          <w:rFonts w:hint="eastAsia" w:ascii="宋体" w:hAnsi="宋体" w:cs="宋体"/>
          <w:b/>
          <w:bCs/>
          <w:color w:val="auto"/>
          <w:szCs w:val="21"/>
          <w:highlight w:val="none"/>
        </w:rPr>
        <w:t>原件验证，</w:t>
      </w:r>
      <w:r>
        <w:rPr>
          <w:rFonts w:hint="eastAsia" w:ascii="宋体" w:hAnsi="宋体" w:cs="宋体"/>
          <w:b/>
          <w:bCs/>
          <w:color w:val="auto"/>
          <w:highlight w:val="none"/>
        </w:rPr>
        <w:t>否则不予价格扣除。</w:t>
      </w:r>
    </w:p>
    <w:p>
      <w:pPr>
        <w:wordWrap w:val="0"/>
        <w:snapToGrid w:val="0"/>
        <w:spacing w:before="50"/>
        <w:jc w:val="left"/>
        <w:rPr>
          <w:rFonts w:ascii="宋体" w:hAnsi="宋体" w:cs="宋体"/>
          <w:b/>
          <w:bCs/>
          <w:color w:val="auto"/>
          <w:highlight w:val="none"/>
        </w:rPr>
      </w:pPr>
    </w:p>
    <w:p>
      <w:pPr>
        <w:pStyle w:val="14"/>
        <w:wordWrap w:val="0"/>
        <w:ind w:firstLine="422"/>
        <w:jc w:val="center"/>
        <w:rPr>
          <w:rFonts w:hAnsi="宋体" w:cs="宋体"/>
          <w:b/>
          <w:color w:val="auto"/>
          <w:sz w:val="32"/>
          <w:highlight w:val="none"/>
        </w:rPr>
      </w:pPr>
      <w:r>
        <w:rPr>
          <w:rFonts w:hint="eastAsia" w:hAnsi="宋体" w:cs="宋体"/>
          <w:b/>
          <w:bCs/>
          <w:color w:val="auto"/>
          <w:sz w:val="30"/>
          <w:highlight w:val="none"/>
        </w:rPr>
        <w:br w:type="page"/>
      </w:r>
      <w:bookmarkStart w:id="162" w:name="_Toc393117400"/>
      <w:r>
        <w:rPr>
          <w:rFonts w:hint="eastAsia" w:hAnsi="宋体" w:cs="宋体"/>
          <w:b/>
          <w:color w:val="auto"/>
          <w:kern w:val="44"/>
          <w:sz w:val="32"/>
          <w:szCs w:val="44"/>
          <w:highlight w:val="none"/>
        </w:rPr>
        <w:t>六、资格证明文件（格式）</w:t>
      </w:r>
      <w:bookmarkEnd w:id="162"/>
    </w:p>
    <w:p>
      <w:pPr>
        <w:pStyle w:val="3"/>
        <w:jc w:val="both"/>
        <w:rPr>
          <w:color w:val="auto"/>
          <w:highlight w:val="none"/>
        </w:rPr>
      </w:pPr>
    </w:p>
    <w:p>
      <w:pPr>
        <w:pStyle w:val="14"/>
        <w:wordWrap w:val="0"/>
        <w:spacing w:line="400" w:lineRule="exact"/>
        <w:ind w:left="-10" w:firstLine="8" w:firstLineChars="3"/>
        <w:jc w:val="center"/>
        <w:rPr>
          <w:rFonts w:hAnsi="宋体" w:cs="宋体"/>
          <w:b/>
          <w:color w:val="auto"/>
          <w:sz w:val="44"/>
          <w:highlight w:val="none"/>
        </w:rPr>
      </w:pPr>
      <w:r>
        <w:rPr>
          <w:rFonts w:hint="eastAsia" w:hAnsi="宋体" w:cs="宋体"/>
          <w:b/>
          <w:color w:val="auto"/>
          <w:sz w:val="28"/>
          <w:szCs w:val="18"/>
          <w:highlight w:val="none"/>
        </w:rPr>
        <w:t>法定代表人（负责人或自然人）身份证明书</w:t>
      </w:r>
    </w:p>
    <w:p>
      <w:pPr>
        <w:pStyle w:val="14"/>
        <w:wordWrap w:val="0"/>
        <w:spacing w:line="400" w:lineRule="exact"/>
        <w:ind w:firstLine="277"/>
        <w:rPr>
          <w:rFonts w:hAnsi="宋体" w:cs="宋体"/>
          <w:color w:val="auto"/>
          <w:highlight w:val="none"/>
        </w:rPr>
      </w:pPr>
    </w:p>
    <w:p>
      <w:pPr>
        <w:pStyle w:val="14"/>
        <w:wordWrap w:val="0"/>
        <w:spacing w:line="400" w:lineRule="exact"/>
        <w:ind w:firstLine="277"/>
        <w:rPr>
          <w:rFonts w:hAnsi="宋体" w:cs="宋体"/>
          <w:color w:val="auto"/>
          <w:highlight w:val="none"/>
        </w:rPr>
      </w:pPr>
      <w:r>
        <w:rPr>
          <w:rFonts w:hint="eastAsia" w:hAnsi="宋体" w:cs="宋体"/>
          <w:color w:val="auto"/>
          <w:highlight w:val="none"/>
        </w:rPr>
        <w:t>单位名称：</w:t>
      </w:r>
      <w:r>
        <w:rPr>
          <w:rFonts w:hint="eastAsia" w:hAnsi="宋体" w:cs="宋体"/>
          <w:color w:val="auto"/>
          <w:highlight w:val="none"/>
          <w:u w:val="single"/>
        </w:rPr>
        <w:t>　　　　　　　　　　　　</w:t>
      </w:r>
    </w:p>
    <w:p>
      <w:pPr>
        <w:pStyle w:val="14"/>
        <w:wordWrap w:val="0"/>
        <w:spacing w:line="400" w:lineRule="exact"/>
        <w:ind w:firstLine="277"/>
        <w:rPr>
          <w:rFonts w:hAnsi="宋体" w:cs="宋体"/>
          <w:color w:val="auto"/>
          <w:highlight w:val="none"/>
        </w:rPr>
      </w:pPr>
      <w:r>
        <w:rPr>
          <w:rFonts w:hint="eastAsia" w:hAnsi="宋体" w:cs="宋体"/>
          <w:color w:val="auto"/>
          <w:highlight w:val="none"/>
        </w:rPr>
        <w:t>单位性质：</w:t>
      </w:r>
      <w:r>
        <w:rPr>
          <w:rFonts w:hint="eastAsia" w:hAnsi="宋体" w:cs="宋体"/>
          <w:color w:val="auto"/>
          <w:highlight w:val="none"/>
          <w:u w:val="single"/>
        </w:rPr>
        <w:t>　　　　　　　　　　　　</w:t>
      </w:r>
    </w:p>
    <w:p>
      <w:pPr>
        <w:pStyle w:val="14"/>
        <w:wordWrap w:val="0"/>
        <w:spacing w:line="400" w:lineRule="exact"/>
        <w:ind w:firstLine="277"/>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w:t>
      </w:r>
    </w:p>
    <w:p>
      <w:pPr>
        <w:pStyle w:val="14"/>
        <w:wordWrap w:val="0"/>
        <w:spacing w:line="400" w:lineRule="exact"/>
        <w:ind w:firstLine="277"/>
        <w:rPr>
          <w:rFonts w:hAnsi="宋体" w:cs="宋体"/>
          <w:color w:val="auto"/>
          <w:highlight w:val="none"/>
          <w:u w:val="single"/>
        </w:rPr>
      </w:pPr>
      <w:r>
        <w:rPr>
          <w:rFonts w:hint="eastAsia" w:hAnsi="宋体" w:cs="宋体"/>
          <w:color w:val="auto"/>
          <w:highlight w:val="none"/>
        </w:rPr>
        <w:t>成立时间：年月日</w:t>
      </w:r>
    </w:p>
    <w:p>
      <w:pPr>
        <w:pStyle w:val="14"/>
        <w:wordWrap w:val="0"/>
        <w:spacing w:line="400" w:lineRule="exact"/>
        <w:ind w:firstLine="277"/>
        <w:rPr>
          <w:rFonts w:hAnsi="宋体" w:cs="宋体"/>
          <w:color w:val="auto"/>
          <w:highlight w:val="none"/>
        </w:rPr>
      </w:pPr>
      <w:r>
        <w:rPr>
          <w:rFonts w:hint="eastAsia" w:hAnsi="宋体" w:cs="宋体"/>
          <w:color w:val="auto"/>
          <w:highlight w:val="none"/>
        </w:rPr>
        <w:t>经营期限：</w:t>
      </w:r>
      <w:r>
        <w:rPr>
          <w:rFonts w:hint="eastAsia" w:hAnsi="宋体" w:cs="宋体"/>
          <w:color w:val="auto"/>
          <w:highlight w:val="none"/>
          <w:u w:val="single"/>
        </w:rPr>
        <w:t>　　　　　　　　　　　　</w:t>
      </w:r>
    </w:p>
    <w:p>
      <w:pPr>
        <w:pStyle w:val="14"/>
        <w:wordWrap w:val="0"/>
        <w:spacing w:line="400" w:lineRule="exact"/>
        <w:ind w:firstLine="277"/>
        <w:rPr>
          <w:rFonts w:hAnsi="宋体" w:cs="宋体"/>
          <w:color w:val="auto"/>
          <w:highlight w:val="none"/>
        </w:rPr>
      </w:pPr>
      <w:r>
        <w:rPr>
          <w:rFonts w:hint="eastAsia" w:hAnsi="宋体" w:cs="宋体"/>
          <w:color w:val="auto"/>
          <w:highlight w:val="none"/>
        </w:rPr>
        <w:t>姓名：性别：年龄：职务：</w:t>
      </w:r>
      <w:r>
        <w:rPr>
          <w:rFonts w:hint="eastAsia" w:hAnsi="宋体" w:cs="宋体"/>
          <w:color w:val="auto"/>
          <w:highlight w:val="none"/>
          <w:u w:val="single"/>
        </w:rPr>
        <w:t>　　　</w:t>
      </w:r>
    </w:p>
    <w:p>
      <w:pPr>
        <w:pStyle w:val="14"/>
        <w:wordWrap w:val="0"/>
        <w:spacing w:line="400" w:lineRule="exact"/>
        <w:ind w:firstLine="277"/>
        <w:rPr>
          <w:rFonts w:hAnsi="宋体" w:cs="宋体"/>
          <w:color w:val="auto"/>
          <w:highlight w:val="none"/>
        </w:rPr>
      </w:pPr>
      <w:r>
        <w:rPr>
          <w:rFonts w:hint="eastAsia" w:hAnsi="宋体" w:cs="宋体"/>
          <w:color w:val="auto"/>
          <w:highlight w:val="none"/>
        </w:rPr>
        <w:t>系</w:t>
      </w:r>
      <w:r>
        <w:rPr>
          <w:rFonts w:hint="eastAsia" w:hAnsi="宋体" w:cs="宋体"/>
          <w:color w:val="auto"/>
          <w:highlight w:val="none"/>
          <w:u w:val="single"/>
        </w:rPr>
        <w:t>（竞标人单位名称）</w:t>
      </w:r>
      <w:r>
        <w:rPr>
          <w:rFonts w:hint="eastAsia" w:hAnsi="宋体" w:cs="宋体"/>
          <w:color w:val="auto"/>
          <w:highlight w:val="none"/>
        </w:rPr>
        <w:t>的法定代表人。</w:t>
      </w:r>
    </w:p>
    <w:p>
      <w:pPr>
        <w:pStyle w:val="14"/>
        <w:wordWrap w:val="0"/>
        <w:spacing w:line="400" w:lineRule="exact"/>
        <w:ind w:firstLine="277"/>
        <w:rPr>
          <w:rFonts w:hAnsi="宋体" w:cs="宋体"/>
          <w:color w:val="auto"/>
          <w:highlight w:val="none"/>
        </w:rPr>
      </w:pPr>
      <w:r>
        <w:rPr>
          <w:rFonts w:hint="eastAsia" w:hAnsi="宋体" w:cs="宋体"/>
          <w:color w:val="auto"/>
          <w:highlight w:val="none"/>
        </w:rPr>
        <w:t>特此证明！</w:t>
      </w:r>
    </w:p>
    <w:p>
      <w:pPr>
        <w:pStyle w:val="3"/>
        <w:rPr>
          <w:rFonts w:ascii="宋体" w:hAnsi="宋体" w:cs="宋体"/>
          <w:color w:val="auto"/>
          <w:highlight w:val="none"/>
        </w:rPr>
      </w:pPr>
    </w:p>
    <w:p>
      <w:pPr>
        <w:rPr>
          <w:rFonts w:ascii="宋体" w:hAnsi="宋体" w:cs="宋体"/>
          <w:color w:val="auto"/>
          <w:highlight w:val="none"/>
        </w:rPr>
      </w:pPr>
    </w:p>
    <w:p>
      <w:pPr>
        <w:pStyle w:val="14"/>
        <w:widowControl/>
        <w:wordWrap w:val="0"/>
        <w:spacing w:line="360" w:lineRule="exact"/>
        <w:ind w:firstLine="5670" w:firstLineChars="2700"/>
        <w:rPr>
          <w:rFonts w:hAnsi="宋体" w:cs="宋体"/>
          <w:color w:val="auto"/>
          <w:highlight w:val="none"/>
        </w:rPr>
      </w:pPr>
      <w:r>
        <w:rPr>
          <w:rFonts w:hint="eastAsia" w:hAnsi="宋体" w:cs="宋体"/>
          <w:color w:val="auto"/>
          <w:highlight w:val="none"/>
        </w:rPr>
        <w:t>竞标人名称（</w:t>
      </w:r>
      <w:r>
        <w:rPr>
          <w:rFonts w:hint="eastAsia" w:hAnsi="宋体" w:cs="宋体"/>
          <w:b/>
          <w:bCs/>
          <w:color w:val="auto"/>
          <w:highlight w:val="none"/>
        </w:rPr>
        <w:t>公章</w:t>
      </w:r>
      <w:r>
        <w:rPr>
          <w:rFonts w:hint="eastAsia" w:hAnsi="宋体" w:cs="宋体"/>
          <w:color w:val="auto"/>
          <w:highlight w:val="none"/>
        </w:rPr>
        <w:t>）：</w:t>
      </w:r>
      <w:r>
        <w:rPr>
          <w:rFonts w:hint="eastAsia" w:hAnsi="宋体" w:cs="宋体"/>
          <w:color w:val="auto"/>
          <w:highlight w:val="none"/>
          <w:u w:val="single"/>
        </w:rPr>
        <w:t>　　　　　　　　</w:t>
      </w:r>
    </w:p>
    <w:p>
      <w:pPr>
        <w:pStyle w:val="14"/>
        <w:wordWrap w:val="0"/>
        <w:spacing w:line="400" w:lineRule="exact"/>
        <w:ind w:firstLine="5670" w:firstLineChars="2700"/>
        <w:jc w:val="both"/>
        <w:rPr>
          <w:rFonts w:hAnsi="宋体" w:cs="宋体"/>
          <w:color w:val="auto"/>
          <w:highlight w:val="none"/>
        </w:rPr>
      </w:pPr>
      <w:r>
        <w:rPr>
          <w:rFonts w:hint="eastAsia" w:hAnsi="宋体" w:cs="宋体"/>
          <w:color w:val="auto"/>
          <w:highlight w:val="none"/>
        </w:rPr>
        <w:t>日期：</w:t>
      </w:r>
      <w:r>
        <w:rPr>
          <w:rFonts w:hint="eastAsia" w:hAnsi="宋体" w:cs="宋体"/>
          <w:color w:val="auto"/>
          <w:highlight w:val="none"/>
          <w:lang w:val="en-US" w:eastAsia="zh-CN"/>
        </w:rPr>
        <w:t xml:space="preserve">    </w:t>
      </w:r>
      <w:r>
        <w:rPr>
          <w:rFonts w:hint="eastAsia" w:hAnsi="宋体" w:cs="宋体"/>
          <w:color w:val="auto"/>
          <w:highlight w:val="none"/>
        </w:rPr>
        <w:t>年</w:t>
      </w:r>
      <w:r>
        <w:rPr>
          <w:rFonts w:hint="eastAsia" w:hAnsi="宋体" w:cs="宋体"/>
          <w:color w:val="auto"/>
          <w:highlight w:val="none"/>
          <w:lang w:val="en-US" w:eastAsia="zh-CN"/>
        </w:rPr>
        <w:t xml:space="preserve">   </w:t>
      </w:r>
      <w:r>
        <w:rPr>
          <w:rFonts w:hint="eastAsia" w:hAnsi="宋体" w:cs="宋体"/>
          <w:color w:val="auto"/>
          <w:highlight w:val="none"/>
        </w:rPr>
        <w:t>月</w:t>
      </w:r>
      <w:r>
        <w:rPr>
          <w:rFonts w:hint="eastAsia" w:hAnsi="宋体" w:cs="宋体"/>
          <w:color w:val="auto"/>
          <w:highlight w:val="none"/>
          <w:lang w:val="en-US" w:eastAsia="zh-CN"/>
        </w:rPr>
        <w:t xml:space="preserve">   </w:t>
      </w:r>
      <w:r>
        <w:rPr>
          <w:rFonts w:hint="eastAsia" w:hAnsi="宋体" w:cs="宋体"/>
          <w:color w:val="auto"/>
          <w:highlight w:val="none"/>
        </w:rPr>
        <w:t>日</w:t>
      </w: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r>
        <w:rPr>
          <w:rFonts w:hint="eastAsia" w:hAnsi="宋体" w:cs="宋体"/>
          <w:color w:val="auto"/>
          <w:highlight w:val="none"/>
        </w:rPr>
        <w:t>注：采购</w:t>
      </w:r>
      <w:r>
        <w:rPr>
          <w:rFonts w:hint="eastAsia" w:hAnsi="宋体" w:cs="宋体"/>
          <w:color w:val="auto"/>
          <w:szCs w:val="21"/>
          <w:highlight w:val="none"/>
        </w:rPr>
        <w:t>文件第六章格式不适合竞标单位实际情况的，竞标人可根据实际情况编制填写。</w:t>
      </w:r>
    </w:p>
    <w:p>
      <w:pPr>
        <w:pStyle w:val="3"/>
        <w:rPr>
          <w:rFonts w:hAnsi="宋体" w:cs="宋体"/>
          <w:color w:val="auto"/>
          <w:highlight w:val="none"/>
        </w:rPr>
      </w:pPr>
    </w:p>
    <w:p>
      <w:pPr>
        <w:rPr>
          <w:rFonts w:hAnsi="宋体" w:cs="宋体"/>
          <w:color w:val="auto"/>
          <w:highlight w:val="none"/>
        </w:rPr>
      </w:pPr>
    </w:p>
    <w:p>
      <w:pPr>
        <w:pStyle w:val="11"/>
        <w:rPr>
          <w:color w:val="auto"/>
          <w:highlight w:val="none"/>
        </w:rPr>
      </w:pPr>
    </w:p>
    <w:p>
      <w:pPr>
        <w:pStyle w:val="3"/>
        <w:jc w:val="both"/>
        <w:rPr>
          <w:color w:val="auto"/>
          <w:highlight w:val="none"/>
        </w:rPr>
      </w:pPr>
    </w:p>
    <w:p>
      <w:pPr>
        <w:rPr>
          <w:color w:val="auto"/>
          <w:highlight w:val="none"/>
        </w:rPr>
      </w:pPr>
    </w:p>
    <w:p>
      <w:pPr>
        <w:pStyle w:val="14"/>
        <w:wordWrap w:val="0"/>
        <w:spacing w:line="400" w:lineRule="exact"/>
        <w:jc w:val="center"/>
        <w:rPr>
          <w:rFonts w:hAnsi="宋体" w:cs="宋体"/>
          <w:b/>
          <w:color w:val="auto"/>
          <w:sz w:val="28"/>
          <w:szCs w:val="28"/>
          <w:highlight w:val="none"/>
        </w:rPr>
      </w:pPr>
      <w:r>
        <w:rPr>
          <w:rFonts w:hint="eastAsia" w:hAnsi="宋体" w:cs="宋体"/>
          <w:b/>
          <w:color w:val="auto"/>
          <w:sz w:val="28"/>
          <w:szCs w:val="28"/>
          <w:highlight w:val="none"/>
        </w:rPr>
        <w:t>法定代表人（负责人）授权委托书</w:t>
      </w:r>
    </w:p>
    <w:p>
      <w:pPr>
        <w:wordWrap w:val="0"/>
        <w:snapToGrid w:val="0"/>
        <w:spacing w:line="380" w:lineRule="exact"/>
        <w:rPr>
          <w:rFonts w:ascii="宋体" w:hAnsi="宋体" w:cs="宋体"/>
          <w:bCs/>
          <w:color w:val="auto"/>
          <w:szCs w:val="21"/>
          <w:highlight w:val="none"/>
        </w:rPr>
      </w:pPr>
    </w:p>
    <w:p>
      <w:pPr>
        <w:wordWrap w:val="0"/>
        <w:snapToGrid w:val="0"/>
        <w:spacing w:line="380" w:lineRule="exact"/>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广西同泽工程项目管理股份有限公司</w:t>
      </w:r>
    </w:p>
    <w:p>
      <w:pPr>
        <w:wordWrap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（竞标人名称）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（姓名）</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的竞标活动，并代表我方全权办理针对上述项目的竞标、开标、评标、签约等具体事务和签署相关文件。</w:t>
      </w:r>
    </w:p>
    <w:p>
      <w:pPr>
        <w:wordWrap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我方对被授权人的签名事项负全部责任。代理期限从年月日至</w:t>
      </w:r>
      <w:r>
        <w:rPr>
          <w:rFonts w:hint="eastAsia" w:ascii="宋体" w:hAnsi="宋体" w:cs="宋体"/>
          <w:color w:val="auto"/>
          <w:szCs w:val="21"/>
          <w:highlight w:val="none"/>
          <w:u w:val="single"/>
        </w:rPr>
        <w:t>　</w:t>
      </w:r>
      <w:r>
        <w:rPr>
          <w:rFonts w:hint="eastAsia" w:ascii="宋体" w:hAnsi="宋体" w:cs="宋体"/>
          <w:color w:val="auto"/>
          <w:szCs w:val="21"/>
          <w:highlight w:val="none"/>
        </w:rPr>
        <w:t>年月日止。</w:t>
      </w:r>
    </w:p>
    <w:p>
      <w:pPr>
        <w:wordWrap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pPr>
        <w:wordWrap w:val="0"/>
        <w:snapToGrid w:val="0"/>
        <w:spacing w:line="380" w:lineRule="exact"/>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wordWrap w:val="0"/>
        <w:snapToGrid w:val="0"/>
        <w:spacing w:line="380" w:lineRule="exact"/>
        <w:rPr>
          <w:rFonts w:ascii="宋体" w:hAnsi="宋体" w:cs="宋体"/>
          <w:color w:val="auto"/>
          <w:szCs w:val="21"/>
          <w:highlight w:val="none"/>
        </w:rPr>
      </w:pPr>
    </w:p>
    <w:p>
      <w:pPr>
        <w:wordWrap w:val="0"/>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被授权人签名：法定代表人（负责人或自然人）</w:t>
      </w:r>
      <w:r>
        <w:rPr>
          <w:rFonts w:hint="eastAsia" w:ascii="宋体" w:hAnsi="宋体" w:cs="宋体"/>
          <w:bCs/>
          <w:color w:val="auto"/>
          <w:szCs w:val="21"/>
          <w:highlight w:val="none"/>
        </w:rPr>
        <w:t>签名：</w:t>
      </w:r>
      <w:r>
        <w:rPr>
          <w:rFonts w:hint="eastAsia" w:ascii="宋体" w:hAnsi="宋体" w:cs="宋体"/>
          <w:color w:val="auto"/>
          <w:szCs w:val="21"/>
          <w:highlight w:val="none"/>
          <w:u w:val="single"/>
        </w:rPr>
        <w:t>　　　　　　　</w:t>
      </w:r>
    </w:p>
    <w:p>
      <w:pPr>
        <w:wordWrap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所在部门职务：职务：</w:t>
      </w:r>
      <w:r>
        <w:rPr>
          <w:rFonts w:hint="eastAsia" w:ascii="宋体" w:hAnsi="宋体" w:cs="宋体"/>
          <w:color w:val="auto"/>
          <w:szCs w:val="21"/>
          <w:highlight w:val="none"/>
          <w:u w:val="single"/>
        </w:rPr>
        <w:t>　　　　　　　</w:t>
      </w:r>
    </w:p>
    <w:p>
      <w:pPr>
        <w:wordWrap w:val="0"/>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w:t>
      </w:r>
    </w:p>
    <w:p>
      <w:pPr>
        <w:pStyle w:val="14"/>
        <w:widowControl/>
        <w:wordWrap w:val="0"/>
        <w:spacing w:line="360" w:lineRule="exact"/>
        <w:ind w:firstLine="5670" w:firstLineChars="2700"/>
        <w:rPr>
          <w:rFonts w:hAnsi="宋体" w:cs="宋体"/>
          <w:color w:val="auto"/>
          <w:szCs w:val="21"/>
          <w:highlight w:val="none"/>
        </w:rPr>
      </w:pPr>
    </w:p>
    <w:p>
      <w:pPr>
        <w:pStyle w:val="14"/>
        <w:widowControl/>
        <w:wordWrap w:val="0"/>
        <w:spacing w:line="360" w:lineRule="exact"/>
        <w:ind w:firstLine="5670" w:firstLineChars="2700"/>
        <w:jc w:val="right"/>
        <w:rPr>
          <w:rFonts w:hAnsi="宋体" w:cs="宋体"/>
          <w:color w:val="auto"/>
          <w:highlight w:val="none"/>
        </w:rPr>
      </w:pPr>
      <w:r>
        <w:rPr>
          <w:rFonts w:hint="eastAsia" w:hAnsi="宋体" w:cs="宋体"/>
          <w:color w:val="auto"/>
          <w:szCs w:val="21"/>
          <w:highlight w:val="none"/>
        </w:rPr>
        <w:t>　　　　　　　　　　　　　　　　　　　　　　</w:t>
      </w:r>
      <w:r>
        <w:rPr>
          <w:rFonts w:hint="eastAsia" w:hAnsi="宋体" w:cs="宋体"/>
          <w:color w:val="auto"/>
          <w:highlight w:val="none"/>
        </w:rPr>
        <w:t>竞标人名称（</w:t>
      </w:r>
      <w:r>
        <w:rPr>
          <w:rFonts w:hint="eastAsia" w:hAnsi="宋体" w:cs="宋体"/>
          <w:b/>
          <w:bCs/>
          <w:color w:val="auto"/>
          <w:highlight w:val="none"/>
        </w:rPr>
        <w:t>公章</w:t>
      </w:r>
      <w:r>
        <w:rPr>
          <w:rFonts w:hint="eastAsia" w:hAnsi="宋体" w:cs="宋体"/>
          <w:color w:val="auto"/>
          <w:highlight w:val="none"/>
        </w:rPr>
        <w:t>）：</w:t>
      </w:r>
      <w:r>
        <w:rPr>
          <w:rFonts w:hint="eastAsia" w:hAnsi="宋体" w:cs="宋体"/>
          <w:color w:val="auto"/>
          <w:highlight w:val="none"/>
          <w:u w:val="single"/>
        </w:rPr>
        <w:t>　　　　　　　　　</w:t>
      </w:r>
    </w:p>
    <w:p>
      <w:pPr>
        <w:wordWrap w:val="0"/>
        <w:spacing w:line="400" w:lineRule="exact"/>
        <w:jc w:val="right"/>
        <w:rPr>
          <w:rFonts w:ascii="宋体" w:hAnsi="宋体" w:cs="宋体"/>
          <w:color w:val="auto"/>
          <w:szCs w:val="21"/>
          <w:highlight w:val="none"/>
        </w:rPr>
      </w:pPr>
      <w:r>
        <w:rPr>
          <w:rFonts w:hint="eastAsia" w:ascii="宋体" w:hAnsi="宋体" w:cs="宋体"/>
          <w:color w:val="auto"/>
          <w:highlight w:val="none"/>
        </w:rPr>
        <w:t>　　　　</w:t>
      </w:r>
      <w:r>
        <w:rPr>
          <w:rFonts w:hint="eastAsia" w:ascii="宋体" w:hAnsi="宋体" w:cs="宋体"/>
          <w:b/>
          <w:bCs/>
          <w:color w:val="auto"/>
          <w:highlight w:val="none"/>
        </w:rPr>
        <w:t>　　</w:t>
      </w:r>
    </w:p>
    <w:p>
      <w:pPr>
        <w:wordWrap w:val="0"/>
        <w:spacing w:line="400" w:lineRule="exact"/>
        <w:jc w:val="center"/>
        <w:rPr>
          <w:rFonts w:ascii="宋体" w:hAnsi="宋体" w:cs="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pPr>
        <w:wordWrap w:val="0"/>
        <w:spacing w:line="400" w:lineRule="exact"/>
        <w:jc w:val="center"/>
        <w:rPr>
          <w:rFonts w:hAnsi="宋体" w:cs="宋体"/>
          <w:color w:val="auto"/>
          <w:highlight w:val="none"/>
        </w:rPr>
      </w:pPr>
    </w:p>
    <w:p>
      <w:pPr>
        <w:wordWrap w:val="0"/>
        <w:spacing w:line="400" w:lineRule="exact"/>
        <w:jc w:val="center"/>
        <w:rPr>
          <w:rFonts w:hAnsi="宋体" w:cs="宋体"/>
          <w:color w:val="auto"/>
          <w:highlight w:val="none"/>
        </w:rPr>
      </w:pPr>
    </w:p>
    <w:p>
      <w:pPr>
        <w:wordWrap w:val="0"/>
        <w:spacing w:line="400" w:lineRule="exact"/>
        <w:jc w:val="center"/>
        <w:rPr>
          <w:rFonts w:hAnsi="宋体" w:cs="宋体"/>
          <w:color w:val="auto"/>
          <w:highlight w:val="none"/>
        </w:rPr>
      </w:pPr>
    </w:p>
    <w:p>
      <w:pPr>
        <w:wordWrap w:val="0"/>
        <w:spacing w:line="400" w:lineRule="exact"/>
        <w:jc w:val="center"/>
        <w:rPr>
          <w:rFonts w:hAnsi="宋体" w:cs="宋体"/>
          <w:color w:val="auto"/>
          <w:highlight w:val="none"/>
        </w:rPr>
      </w:pPr>
    </w:p>
    <w:p>
      <w:pPr>
        <w:wordWrap w:val="0"/>
        <w:spacing w:line="400" w:lineRule="exact"/>
        <w:jc w:val="center"/>
        <w:rPr>
          <w:rFonts w:hAnsi="宋体" w:cs="宋体"/>
          <w:color w:val="auto"/>
          <w:highlight w:val="none"/>
        </w:rPr>
      </w:pPr>
    </w:p>
    <w:p>
      <w:pPr>
        <w:wordWrap w:val="0"/>
        <w:spacing w:line="400" w:lineRule="exact"/>
        <w:jc w:val="center"/>
        <w:rPr>
          <w:rFonts w:hAnsi="宋体" w:cs="宋体"/>
          <w:color w:val="auto"/>
          <w:highlight w:val="none"/>
        </w:rPr>
      </w:pPr>
    </w:p>
    <w:p>
      <w:pPr>
        <w:wordWrap w:val="0"/>
        <w:spacing w:line="400" w:lineRule="exact"/>
        <w:jc w:val="center"/>
        <w:rPr>
          <w:rFonts w:hAnsi="宋体" w:cs="宋体"/>
          <w:color w:val="auto"/>
          <w:highlight w:val="none"/>
        </w:rPr>
      </w:pPr>
    </w:p>
    <w:p>
      <w:pPr>
        <w:wordWrap w:val="0"/>
        <w:spacing w:line="400" w:lineRule="exact"/>
        <w:jc w:val="center"/>
        <w:rPr>
          <w:rFonts w:hAnsi="宋体" w:cs="宋体"/>
          <w:color w:val="auto"/>
          <w:highlight w:val="none"/>
        </w:rPr>
      </w:pPr>
    </w:p>
    <w:p>
      <w:pPr>
        <w:wordWrap w:val="0"/>
        <w:spacing w:line="400" w:lineRule="exact"/>
        <w:jc w:val="center"/>
        <w:rPr>
          <w:rFonts w:hAnsi="宋体" w:cs="宋体"/>
          <w:color w:val="auto"/>
          <w:highlight w:val="none"/>
        </w:rPr>
      </w:pPr>
    </w:p>
    <w:p>
      <w:pPr>
        <w:wordWrap w:val="0"/>
        <w:spacing w:line="400" w:lineRule="exact"/>
        <w:jc w:val="center"/>
        <w:rPr>
          <w:rFonts w:hAnsi="宋体" w:cs="宋体"/>
          <w:color w:val="auto"/>
          <w:highlight w:val="none"/>
        </w:rPr>
      </w:pPr>
    </w:p>
    <w:p>
      <w:pPr>
        <w:wordWrap w:val="0"/>
        <w:spacing w:line="400" w:lineRule="exact"/>
        <w:jc w:val="center"/>
        <w:rPr>
          <w:rFonts w:ascii="宋体" w:hAnsi="宋体" w:cs="宋体"/>
          <w:color w:val="auto"/>
          <w:highlight w:val="none"/>
        </w:rPr>
      </w:pPr>
      <w:r>
        <w:rPr>
          <w:rFonts w:hint="eastAsia" w:hAnsi="宋体" w:cs="宋体"/>
          <w:color w:val="auto"/>
          <w:highlight w:val="none"/>
        </w:rPr>
        <w:t>注：采购</w:t>
      </w:r>
      <w:r>
        <w:rPr>
          <w:rFonts w:hint="eastAsia" w:ascii="宋体" w:hAnsi="宋体" w:cs="宋体"/>
          <w:color w:val="auto"/>
          <w:szCs w:val="21"/>
          <w:highlight w:val="none"/>
        </w:rPr>
        <w:t>文件第六章格式不适合竞标单位实际情况的，竞标人可根据实际情况编制填写。</w:t>
      </w:r>
      <w:r>
        <w:rPr>
          <w:rFonts w:hint="eastAsia" w:ascii="宋体" w:hAnsi="宋体" w:cs="宋体"/>
          <w:color w:val="auto"/>
          <w:highlight w:val="none"/>
        </w:rPr>
        <w:br w:type="page"/>
      </w:r>
      <w:r>
        <w:rPr>
          <w:rFonts w:hint="eastAsia" w:ascii="宋体" w:hAnsi="宋体" w:cs="宋体"/>
          <w:b/>
          <w:bCs/>
          <w:color w:val="auto"/>
          <w:sz w:val="28"/>
          <w:szCs w:val="36"/>
          <w:highlight w:val="none"/>
        </w:rPr>
        <w:t>竞标保证金缴纳证明复印件</w:t>
      </w: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76200</wp:posOffset>
                </wp:positionV>
                <wp:extent cx="5432425" cy="2879725"/>
                <wp:effectExtent l="4445" t="4445" r="11430" b="11430"/>
                <wp:wrapNone/>
                <wp:docPr id="1" name="Rectangle 5"/>
                <wp:cNvGraphicFramePr/>
                <a:graphic xmlns:a="http://schemas.openxmlformats.org/drawingml/2006/main">
                  <a:graphicData uri="http://schemas.microsoft.com/office/word/2010/wordprocessingShape">
                    <wps:wsp>
                      <wps:cNvSpPr/>
                      <wps:spPr>
                        <a:xfrm>
                          <a:off x="0" y="0"/>
                          <a:ext cx="5432425" cy="287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color w:val="000000"/>
                              </w:rPr>
                              <w:t>进帐单或电汇凭证银行</w:t>
                            </w:r>
                            <w:r>
                              <w:rPr>
                                <w:rFonts w:hint="eastAsia"/>
                                <w:szCs w:val="21"/>
                              </w:rPr>
                              <w:t>复印件</w:t>
                            </w:r>
                          </w:p>
                        </w:txbxContent>
                      </wps:txbx>
                      <wps:bodyPr upright="1"/>
                    </wps:wsp>
                  </a:graphicData>
                </a:graphic>
              </wp:anchor>
            </w:drawing>
          </mc:Choice>
          <mc:Fallback>
            <w:pict>
              <v:rect id="Rectangle 5" o:spid="_x0000_s1026" o:spt="1" style="position:absolute;left:0pt;margin-left:17.25pt;margin-top:6pt;height:226.75pt;width:427.75pt;z-index:251658240;mso-width-relative:page;mso-height-relative:page;" fillcolor="#FFFFFF" filled="t" stroked="t" coordsize="21600,21600" o:gfxdata="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iaA+2AAAAAkBAAAPAAAAAAAAAAEAIAAAACIAAABkcnMvZG93bnJldi54bWxQ&#10;SwECFAAUAAAACACHTuJAlYPxq/cBAAAtBAAADgAAAAAAAAABACAAAAAnAQAAZHJzL2Uyb0RvYy54&#10;bWxQSwUGAAAAAAYABgBZAQAAkAU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color w:val="000000"/>
                        </w:rPr>
                        <w:t>进帐单或电汇凭证银行</w:t>
                      </w:r>
                      <w:r>
                        <w:rPr>
                          <w:rFonts w:hint="eastAsia"/>
                          <w:szCs w:val="21"/>
                        </w:rPr>
                        <w:t>复印件</w:t>
                      </w:r>
                    </w:p>
                  </w:txbxContent>
                </v:textbox>
              </v:rect>
            </w:pict>
          </mc:Fallback>
        </mc:AlternateContent>
      </w: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ind w:firstLine="4830" w:firstLineChars="2300"/>
        <w:rPr>
          <w:rFonts w:hAnsi="宋体" w:cs="宋体"/>
          <w:color w:val="auto"/>
          <w:highlight w:val="none"/>
        </w:rPr>
      </w:pPr>
    </w:p>
    <w:p>
      <w:pPr>
        <w:pStyle w:val="14"/>
        <w:wordWrap w:val="0"/>
        <w:spacing w:line="400" w:lineRule="exact"/>
        <w:ind w:firstLine="4830" w:firstLineChars="2300"/>
        <w:rPr>
          <w:rFonts w:hAnsi="宋体" w:cs="宋体"/>
          <w:color w:val="auto"/>
          <w:highlight w:val="none"/>
        </w:rPr>
      </w:pPr>
    </w:p>
    <w:p>
      <w:pPr>
        <w:pStyle w:val="14"/>
        <w:wordWrap w:val="0"/>
        <w:spacing w:line="400" w:lineRule="exact"/>
        <w:ind w:firstLine="4830" w:firstLineChars="2300"/>
        <w:rPr>
          <w:rFonts w:hAnsi="宋体" w:cs="宋体"/>
          <w:color w:val="auto"/>
          <w:highlight w:val="none"/>
        </w:rPr>
      </w:pPr>
    </w:p>
    <w:p>
      <w:pPr>
        <w:pStyle w:val="14"/>
        <w:wordWrap w:val="0"/>
        <w:spacing w:line="400" w:lineRule="exact"/>
        <w:ind w:firstLine="4830" w:firstLineChars="2300"/>
        <w:rPr>
          <w:rFonts w:hAnsi="宋体" w:cs="宋体"/>
          <w:color w:val="auto"/>
          <w:highlight w:val="none"/>
        </w:rPr>
      </w:pPr>
    </w:p>
    <w:p>
      <w:pPr>
        <w:pStyle w:val="14"/>
        <w:wordWrap w:val="0"/>
        <w:spacing w:line="400" w:lineRule="exact"/>
        <w:ind w:firstLine="4830" w:firstLineChars="2300"/>
        <w:rPr>
          <w:rFonts w:hAnsi="宋体" w:cs="宋体"/>
          <w:color w:val="auto"/>
          <w:highlight w:val="none"/>
        </w:rPr>
      </w:pPr>
    </w:p>
    <w:p>
      <w:pPr>
        <w:pStyle w:val="14"/>
        <w:wordWrap w:val="0"/>
        <w:spacing w:line="400" w:lineRule="exact"/>
        <w:ind w:firstLine="4830" w:firstLineChars="2300"/>
        <w:rPr>
          <w:rFonts w:hAnsi="宋体" w:cs="宋体"/>
          <w:color w:val="auto"/>
          <w:highlight w:val="none"/>
        </w:rPr>
      </w:pPr>
    </w:p>
    <w:p>
      <w:pPr>
        <w:pStyle w:val="14"/>
        <w:widowControl/>
        <w:wordWrap w:val="0"/>
        <w:spacing w:line="400" w:lineRule="exact"/>
        <w:ind w:firstLine="3570" w:firstLineChars="1700"/>
        <w:jc w:val="both"/>
        <w:rPr>
          <w:rFonts w:hAnsi="宋体" w:cs="宋体"/>
          <w:color w:val="auto"/>
          <w:highlight w:val="none"/>
        </w:rPr>
      </w:pPr>
      <w:r>
        <w:rPr>
          <w:rFonts w:hint="eastAsia" w:hAnsi="宋体" w:cs="宋体"/>
          <w:color w:val="auto"/>
          <w:highlight w:val="none"/>
        </w:rPr>
        <w:t>竞标人名称（</w:t>
      </w:r>
      <w:r>
        <w:rPr>
          <w:rFonts w:hint="eastAsia" w:hAnsi="宋体" w:cs="宋体"/>
          <w:b/>
          <w:bCs/>
          <w:color w:val="auto"/>
          <w:highlight w:val="none"/>
        </w:rPr>
        <w:t>公章</w:t>
      </w:r>
      <w:r>
        <w:rPr>
          <w:rFonts w:hint="eastAsia" w:hAnsi="宋体" w:cs="宋体"/>
          <w:color w:val="auto"/>
          <w:highlight w:val="none"/>
        </w:rPr>
        <w:t>）：</w:t>
      </w:r>
      <w:r>
        <w:rPr>
          <w:rFonts w:hint="eastAsia" w:hAnsi="宋体" w:cs="宋体"/>
          <w:color w:val="auto"/>
          <w:highlight w:val="none"/>
          <w:u w:val="single"/>
        </w:rPr>
        <w:t>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w:t>
      </w:r>
    </w:p>
    <w:p>
      <w:pPr>
        <w:wordWrap/>
        <w:spacing w:line="400" w:lineRule="exact"/>
        <w:jc w:val="center"/>
        <w:rPr>
          <w:rFonts w:hint="eastAsia" w:ascii="宋体" w:hAnsi="宋体" w:cs="宋体"/>
          <w:color w:val="auto"/>
          <w:szCs w:val="21"/>
          <w:highlight w:val="none"/>
          <w:u w:val="single"/>
          <w:lang w:val="en-US" w:eastAsia="zh-CN"/>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法定代表人（负责人或自然人）或委托代理人</w:t>
      </w:r>
      <w:r>
        <w:rPr>
          <w:rFonts w:hint="eastAsia" w:ascii="宋体" w:hAnsi="宋体" w:cs="宋体"/>
          <w:b/>
          <w:bCs/>
          <w:color w:val="auto"/>
          <w:highlight w:val="none"/>
        </w:rPr>
        <w:t>签名：</w:t>
      </w:r>
      <w:r>
        <w:rPr>
          <w:rFonts w:hint="eastAsia" w:ascii="宋体" w:hAnsi="宋体" w:cs="宋体"/>
          <w:color w:val="auto"/>
          <w:szCs w:val="21"/>
          <w:highlight w:val="none"/>
          <w:u w:val="single"/>
          <w:lang w:val="en-US" w:eastAsia="zh-CN"/>
        </w:rPr>
        <w:t xml:space="preserve">           </w:t>
      </w:r>
    </w:p>
    <w:p>
      <w:pPr>
        <w:wordWrap/>
        <w:spacing w:line="400" w:lineRule="exact"/>
        <w:jc w:val="center"/>
        <w:rPr>
          <w:rFonts w:ascii="宋体" w:hAnsi="宋体" w:cs="宋体"/>
          <w:color w:val="auto"/>
          <w:szCs w:val="21"/>
          <w:highlight w:val="none"/>
        </w:rPr>
      </w:pPr>
      <w:r>
        <w:rPr>
          <w:rFonts w:hint="eastAsia" w:ascii="宋体" w:hAnsi="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pPr>
        <w:pStyle w:val="14"/>
        <w:wordWrap w:val="0"/>
        <w:spacing w:line="400" w:lineRule="exact"/>
        <w:rPr>
          <w:rFonts w:hAnsi="宋体" w:cs="宋体"/>
          <w:color w:val="auto"/>
          <w:highlight w:val="none"/>
        </w:rPr>
      </w:pPr>
    </w:p>
    <w:p>
      <w:pPr>
        <w:pStyle w:val="14"/>
        <w:wordWrap w:val="0"/>
        <w:spacing w:line="400" w:lineRule="exact"/>
        <w:rPr>
          <w:rFonts w:hAnsi="宋体" w:cs="宋体"/>
          <w:color w:val="auto"/>
          <w:highlight w:val="none"/>
        </w:rPr>
      </w:pPr>
    </w:p>
    <w:p>
      <w:pPr>
        <w:pStyle w:val="14"/>
        <w:wordWrap w:val="0"/>
        <w:spacing w:line="400" w:lineRule="exact"/>
        <w:ind w:firstLine="420"/>
        <w:rPr>
          <w:rFonts w:hAnsi="宋体" w:cs="宋体"/>
          <w:color w:val="auto"/>
          <w:highlight w:val="none"/>
        </w:rPr>
      </w:pPr>
      <w:r>
        <w:rPr>
          <w:rFonts w:hint="eastAsia" w:hAnsi="宋体" w:cs="宋体"/>
          <w:color w:val="auto"/>
          <w:highlight w:val="none"/>
        </w:rPr>
        <w:t>说明：</w:t>
      </w:r>
    </w:p>
    <w:p>
      <w:pPr>
        <w:pStyle w:val="14"/>
        <w:numPr>
          <w:ilvl w:val="0"/>
          <w:numId w:val="10"/>
        </w:numPr>
        <w:wordWrap w:val="0"/>
        <w:spacing w:line="400" w:lineRule="exact"/>
        <w:rPr>
          <w:rFonts w:hAnsi="宋体" w:cs="宋体"/>
          <w:color w:val="auto"/>
          <w:highlight w:val="none"/>
        </w:rPr>
      </w:pPr>
      <w:r>
        <w:rPr>
          <w:rFonts w:hint="eastAsia" w:hAnsi="宋体" w:cs="宋体"/>
          <w:color w:val="auto"/>
          <w:highlight w:val="none"/>
        </w:rPr>
        <w:t>请务必在银行进帐单或电汇凭证的用途或空白栏上</w:t>
      </w:r>
      <w:r>
        <w:rPr>
          <w:rFonts w:hint="eastAsia" w:hAnsi="宋体" w:cs="宋体"/>
          <w:bCs/>
          <w:color w:val="auto"/>
          <w:highlight w:val="none"/>
        </w:rPr>
        <w:t>注明报价项目名称或采购编号</w:t>
      </w:r>
      <w:r>
        <w:rPr>
          <w:rFonts w:hint="eastAsia" w:hAnsi="宋体" w:cs="宋体"/>
          <w:color w:val="auto"/>
          <w:highlight w:val="none"/>
        </w:rPr>
        <w:t>。出票人、汇款人须填写供应商单位名称，</w:t>
      </w:r>
      <w:r>
        <w:rPr>
          <w:rFonts w:hint="eastAsia" w:hAnsi="宋体" w:cs="宋体"/>
          <w:b/>
          <w:color w:val="auto"/>
          <w:highlight w:val="none"/>
        </w:rPr>
        <w:t>不得填写个人姓名，否则将导致报价无效</w:t>
      </w:r>
      <w:r>
        <w:rPr>
          <w:rFonts w:hint="eastAsia" w:hAnsi="宋体" w:cs="宋体"/>
          <w:color w:val="auto"/>
          <w:highlight w:val="none"/>
        </w:rPr>
        <w:t>。</w:t>
      </w:r>
    </w:p>
    <w:p>
      <w:pPr>
        <w:pStyle w:val="14"/>
        <w:numPr>
          <w:ilvl w:val="0"/>
          <w:numId w:val="10"/>
        </w:numPr>
        <w:wordWrap w:val="0"/>
        <w:spacing w:line="400" w:lineRule="exact"/>
        <w:rPr>
          <w:rFonts w:hAnsi="宋体" w:cs="宋体"/>
          <w:color w:val="auto"/>
          <w:highlight w:val="none"/>
        </w:rPr>
      </w:pPr>
      <w:r>
        <w:rPr>
          <w:rFonts w:hint="eastAsia" w:hAnsi="宋体" w:cs="宋体"/>
          <w:color w:val="auto"/>
          <w:highlight w:val="none"/>
        </w:rPr>
        <w:t>进帐单或电汇凭证复印件务必保持清晰完整，如模糊不清而造成该证明被视为无效或报价无效的，后果由供应商自负。</w:t>
      </w:r>
    </w:p>
    <w:p>
      <w:pPr>
        <w:pStyle w:val="14"/>
        <w:numPr>
          <w:ilvl w:val="0"/>
          <w:numId w:val="10"/>
        </w:numPr>
        <w:wordWrap w:val="0"/>
        <w:spacing w:line="400" w:lineRule="exact"/>
        <w:rPr>
          <w:rFonts w:hAnsi="宋体" w:cs="宋体"/>
          <w:color w:val="auto"/>
          <w:highlight w:val="none"/>
        </w:rPr>
      </w:pPr>
      <w:r>
        <w:rPr>
          <w:rFonts w:hint="eastAsia" w:hAnsi="宋体" w:cs="宋体"/>
          <w:color w:val="auto"/>
          <w:highlight w:val="none"/>
        </w:rPr>
        <w:t>若广西同泽工程项目管理股份有限公司柳州分公司保证金专户在规定递交的时间内没有收到其缴纳的竞标保证金，则取消其报价资格。</w:t>
      </w:r>
    </w:p>
    <w:p>
      <w:pPr>
        <w:pStyle w:val="14"/>
        <w:wordWrap w:val="0"/>
        <w:spacing w:line="380" w:lineRule="exact"/>
        <w:rPr>
          <w:rFonts w:hAnsi="宋体" w:cs="宋体"/>
          <w:color w:val="auto"/>
          <w:highlight w:val="none"/>
        </w:rPr>
      </w:pPr>
    </w:p>
    <w:p>
      <w:pPr>
        <w:pStyle w:val="14"/>
        <w:wordWrap w:val="0"/>
        <w:spacing w:line="440" w:lineRule="exact"/>
        <w:rPr>
          <w:rFonts w:hAnsi="宋体" w:cs="宋体"/>
          <w:color w:val="auto"/>
          <w:highlight w:val="none"/>
        </w:rPr>
      </w:pPr>
      <w:bookmarkStart w:id="163" w:name="_Toc393117401"/>
    </w:p>
    <w:p>
      <w:pPr>
        <w:pStyle w:val="3"/>
        <w:keepLines/>
        <w:wordWrap w:val="0"/>
        <w:spacing w:before="340" w:after="330" w:line="578" w:lineRule="auto"/>
        <w:rPr>
          <w:rFonts w:ascii="宋体" w:hAnsi="宋体" w:cs="宋体"/>
          <w:color w:val="auto"/>
          <w:kern w:val="44"/>
          <w:szCs w:val="44"/>
          <w:highlight w:val="none"/>
        </w:rPr>
      </w:pPr>
      <w:bookmarkStart w:id="164" w:name="_Toc16554"/>
      <w:bookmarkStart w:id="165" w:name="_Toc1574"/>
      <w:bookmarkStart w:id="166" w:name="_Toc24231"/>
      <w:r>
        <w:rPr>
          <w:rFonts w:hint="eastAsia" w:ascii="宋体" w:hAnsi="宋体" w:cs="宋体"/>
          <w:color w:val="auto"/>
          <w:kern w:val="44"/>
          <w:szCs w:val="44"/>
          <w:highlight w:val="none"/>
        </w:rPr>
        <w:t>七、竞标人认为有必要提供的其他有关材料</w:t>
      </w:r>
      <w:bookmarkEnd w:id="163"/>
      <w:bookmarkEnd w:id="164"/>
      <w:bookmarkEnd w:id="165"/>
      <w:bookmarkEnd w:id="166"/>
    </w:p>
    <w:p>
      <w:pPr>
        <w:pStyle w:val="14"/>
        <w:wordWrap w:val="0"/>
        <w:spacing w:line="440" w:lineRule="exact"/>
        <w:ind w:firstLine="210" w:firstLineChars="100"/>
        <w:jc w:val="center"/>
        <w:rPr>
          <w:rFonts w:hAnsi="宋体" w:cs="宋体"/>
          <w:color w:val="auto"/>
          <w:highlight w:val="none"/>
        </w:rPr>
      </w:pPr>
      <w:r>
        <w:rPr>
          <w:rFonts w:hint="eastAsia" w:hAnsi="宋体" w:cs="宋体"/>
          <w:color w:val="auto"/>
          <w:highlight w:val="none"/>
        </w:rPr>
        <w:t>（由竞标人根据自己实际情况如实提供）</w:t>
      </w:r>
    </w:p>
    <w:p>
      <w:pPr>
        <w:pStyle w:val="14"/>
        <w:wordWrap w:val="0"/>
        <w:spacing w:line="440" w:lineRule="exact"/>
        <w:ind w:firstLine="210" w:firstLineChars="100"/>
        <w:rPr>
          <w:rFonts w:hAnsi="宋体" w:cs="宋体"/>
          <w:color w:val="auto"/>
          <w:highlight w:val="none"/>
        </w:rPr>
      </w:pPr>
    </w:p>
    <w:p>
      <w:pPr>
        <w:pStyle w:val="14"/>
        <w:wordWrap w:val="0"/>
        <w:spacing w:line="440" w:lineRule="exact"/>
        <w:ind w:firstLine="210" w:firstLineChars="100"/>
        <w:rPr>
          <w:rFonts w:hAnsi="宋体" w:cs="宋体"/>
          <w:color w:val="auto"/>
          <w:highlight w:val="none"/>
        </w:rPr>
      </w:pPr>
    </w:p>
    <w:p>
      <w:pPr>
        <w:pStyle w:val="14"/>
        <w:wordWrap w:val="0"/>
        <w:spacing w:line="440" w:lineRule="exact"/>
        <w:ind w:firstLine="210" w:firstLineChars="100"/>
        <w:rPr>
          <w:rFonts w:hAnsi="宋体" w:cs="宋体"/>
          <w:color w:val="auto"/>
          <w:highlight w:val="none"/>
        </w:rPr>
      </w:pPr>
    </w:p>
    <w:p>
      <w:pPr>
        <w:pStyle w:val="14"/>
        <w:wordWrap w:val="0"/>
        <w:spacing w:line="440" w:lineRule="exact"/>
        <w:ind w:firstLine="210" w:firstLineChars="100"/>
        <w:rPr>
          <w:rFonts w:hAnsi="宋体" w:cs="宋体"/>
          <w:color w:val="auto"/>
          <w:highlight w:val="none"/>
        </w:rPr>
      </w:pPr>
    </w:p>
    <w:p>
      <w:pPr>
        <w:pStyle w:val="14"/>
        <w:wordWrap w:val="0"/>
        <w:spacing w:line="440" w:lineRule="exact"/>
        <w:ind w:firstLine="210" w:firstLineChars="100"/>
        <w:rPr>
          <w:rFonts w:hAnsi="宋体" w:cs="宋体"/>
          <w:color w:val="auto"/>
          <w:highlight w:val="none"/>
        </w:rPr>
      </w:pPr>
    </w:p>
    <w:p>
      <w:pPr>
        <w:wordWrap w:val="0"/>
        <w:spacing w:line="560" w:lineRule="exact"/>
        <w:ind w:firstLine="482"/>
        <w:rPr>
          <w:rFonts w:ascii="宋体" w:hAnsi="宋体" w:cs="宋体"/>
          <w:color w:val="auto"/>
          <w:highlight w:val="none"/>
        </w:rPr>
      </w:pPr>
    </w:p>
    <w:p>
      <w:pPr>
        <w:wordWrap w:val="0"/>
        <w:spacing w:line="560" w:lineRule="exact"/>
        <w:ind w:firstLine="482"/>
        <w:rPr>
          <w:rFonts w:ascii="宋体" w:hAnsi="宋体" w:cs="宋体"/>
          <w:color w:val="auto"/>
          <w:highlight w:val="none"/>
        </w:rPr>
      </w:pPr>
    </w:p>
    <w:p>
      <w:pPr>
        <w:wordWrap w:val="0"/>
        <w:spacing w:line="560" w:lineRule="exact"/>
        <w:ind w:firstLine="482"/>
        <w:rPr>
          <w:rFonts w:ascii="宋体" w:hAnsi="宋体" w:cs="宋体"/>
          <w:color w:val="auto"/>
          <w:highlight w:val="none"/>
        </w:rPr>
      </w:pPr>
    </w:p>
    <w:p>
      <w:pPr>
        <w:wordWrap w:val="0"/>
        <w:spacing w:line="560" w:lineRule="exact"/>
        <w:ind w:firstLine="482"/>
        <w:rPr>
          <w:rFonts w:ascii="宋体" w:hAnsi="宋体" w:cs="宋体"/>
          <w:color w:val="auto"/>
          <w:highlight w:val="none"/>
        </w:rPr>
      </w:pPr>
    </w:p>
    <w:p>
      <w:pPr>
        <w:wordWrap w:val="0"/>
        <w:spacing w:line="560" w:lineRule="exact"/>
        <w:ind w:firstLine="482"/>
        <w:rPr>
          <w:rFonts w:ascii="宋体" w:hAnsi="宋体" w:cs="宋体"/>
          <w:color w:val="auto"/>
          <w:highlight w:val="none"/>
        </w:rPr>
      </w:pPr>
    </w:p>
    <w:p>
      <w:pPr>
        <w:wordWrap w:val="0"/>
        <w:spacing w:line="560" w:lineRule="exact"/>
        <w:ind w:firstLine="482"/>
        <w:rPr>
          <w:rFonts w:ascii="宋体" w:hAnsi="宋体" w:cs="宋体"/>
          <w:color w:val="auto"/>
          <w:highlight w:val="none"/>
        </w:rPr>
      </w:pPr>
    </w:p>
    <w:p>
      <w:pPr>
        <w:wordWrap w:val="0"/>
        <w:spacing w:line="560" w:lineRule="exact"/>
        <w:ind w:firstLine="482"/>
        <w:rPr>
          <w:rFonts w:ascii="宋体" w:hAnsi="宋体" w:cs="宋体"/>
          <w:color w:val="auto"/>
          <w:highlight w:val="none"/>
        </w:rPr>
      </w:pPr>
    </w:p>
    <w:p>
      <w:pPr>
        <w:wordWrap w:val="0"/>
        <w:spacing w:line="560" w:lineRule="exact"/>
        <w:ind w:firstLine="482"/>
        <w:rPr>
          <w:rFonts w:ascii="宋体" w:hAnsi="宋体" w:cs="宋体"/>
          <w:color w:val="auto"/>
          <w:highlight w:val="none"/>
        </w:rPr>
      </w:pPr>
    </w:p>
    <w:p>
      <w:pPr>
        <w:pStyle w:val="14"/>
        <w:wordWrap w:val="0"/>
        <w:jc w:val="center"/>
        <w:rPr>
          <w:rFonts w:hAnsi="宋体" w:cs="宋体"/>
          <w:color w:val="auto"/>
          <w:sz w:val="32"/>
          <w:highlight w:val="none"/>
        </w:rPr>
      </w:pPr>
    </w:p>
    <w:p>
      <w:pPr>
        <w:pStyle w:val="14"/>
        <w:wordWrap w:val="0"/>
        <w:spacing w:line="320" w:lineRule="exact"/>
        <w:rPr>
          <w:rFonts w:hAnsi="宋体" w:cs="宋体"/>
          <w:color w:val="auto"/>
          <w:sz w:val="24"/>
          <w:szCs w:val="24"/>
          <w:highlight w:val="none"/>
        </w:rPr>
      </w:pPr>
    </w:p>
    <w:p>
      <w:pPr>
        <w:pStyle w:val="14"/>
        <w:wordWrap w:val="0"/>
        <w:spacing w:line="320" w:lineRule="exact"/>
        <w:jc w:val="center"/>
        <w:rPr>
          <w:rFonts w:hAnsi="宋体" w:cs="宋体"/>
          <w:color w:val="auto"/>
          <w:sz w:val="24"/>
          <w:szCs w:val="24"/>
          <w:highlight w:val="none"/>
        </w:rPr>
      </w:pPr>
    </w:p>
    <w:p>
      <w:pPr>
        <w:pStyle w:val="14"/>
        <w:wordWrap w:val="0"/>
        <w:spacing w:line="460" w:lineRule="exact"/>
        <w:rPr>
          <w:rFonts w:hAnsi="宋体" w:cs="宋体"/>
          <w:color w:val="auto"/>
          <w:highlight w:val="none"/>
        </w:rPr>
      </w:pPr>
    </w:p>
    <w:p>
      <w:pPr>
        <w:pStyle w:val="11"/>
        <w:wordWrap w:val="0"/>
        <w:ind w:left="449" w:leftChars="114" w:hanging="210" w:hangingChars="100"/>
        <w:rPr>
          <w:rFonts w:ascii="宋体" w:hAnsi="宋体" w:cs="宋体"/>
          <w:color w:val="auto"/>
          <w:highlight w:val="none"/>
        </w:rPr>
      </w:pPr>
    </w:p>
    <w:p>
      <w:pPr>
        <w:pStyle w:val="11"/>
        <w:wordWrap w:val="0"/>
        <w:ind w:left="449" w:leftChars="114" w:hanging="210" w:hangingChars="100"/>
        <w:rPr>
          <w:rFonts w:ascii="宋体" w:hAnsi="宋体" w:cs="宋体"/>
          <w:color w:val="auto"/>
          <w:highlight w:val="none"/>
        </w:rPr>
      </w:pPr>
    </w:p>
    <w:p>
      <w:pPr>
        <w:pStyle w:val="11"/>
        <w:wordWrap w:val="0"/>
        <w:ind w:left="449" w:leftChars="114" w:hanging="210" w:hangingChars="100"/>
        <w:rPr>
          <w:rFonts w:ascii="宋体" w:hAnsi="宋体" w:cs="宋体"/>
          <w:color w:val="auto"/>
          <w:highlight w:val="none"/>
        </w:rPr>
      </w:pPr>
    </w:p>
    <w:p>
      <w:pPr>
        <w:pStyle w:val="11"/>
        <w:wordWrap w:val="0"/>
        <w:ind w:left="449" w:leftChars="114" w:hanging="210" w:hangingChars="100"/>
        <w:rPr>
          <w:rFonts w:ascii="宋体" w:hAnsi="宋体" w:cs="宋体"/>
          <w:color w:val="auto"/>
          <w:highlight w:val="none"/>
        </w:rPr>
      </w:pPr>
    </w:p>
    <w:p>
      <w:pPr>
        <w:pStyle w:val="11"/>
        <w:wordWrap w:val="0"/>
        <w:ind w:left="449" w:leftChars="114" w:hanging="210" w:hangingChars="100"/>
        <w:rPr>
          <w:rFonts w:ascii="宋体" w:hAnsi="宋体" w:cs="宋体"/>
          <w:color w:val="auto"/>
          <w:highlight w:val="none"/>
        </w:rPr>
      </w:pPr>
    </w:p>
    <w:p>
      <w:pPr>
        <w:pStyle w:val="11"/>
        <w:wordWrap w:val="0"/>
        <w:ind w:left="449" w:leftChars="114" w:hanging="210" w:hangingChars="100"/>
        <w:rPr>
          <w:rFonts w:ascii="宋体" w:hAnsi="宋体" w:cs="宋体"/>
          <w:color w:val="auto"/>
          <w:highlight w:val="none"/>
        </w:rPr>
      </w:pPr>
    </w:p>
    <w:p>
      <w:pPr>
        <w:pStyle w:val="11"/>
        <w:wordWrap w:val="0"/>
        <w:ind w:left="449" w:leftChars="114" w:hanging="210" w:hangingChars="100"/>
        <w:rPr>
          <w:rFonts w:ascii="宋体" w:hAnsi="宋体" w:cs="宋体"/>
          <w:color w:val="auto"/>
          <w:highlight w:val="none"/>
        </w:rPr>
      </w:pPr>
    </w:p>
    <w:p>
      <w:pPr>
        <w:pStyle w:val="11"/>
        <w:wordWrap w:val="0"/>
        <w:ind w:left="449" w:leftChars="114" w:hanging="210" w:hangingChars="100"/>
        <w:rPr>
          <w:rFonts w:ascii="宋体" w:hAnsi="宋体" w:cs="宋体"/>
          <w:color w:val="auto"/>
          <w:highlight w:val="none"/>
        </w:rPr>
      </w:pPr>
    </w:p>
    <w:p>
      <w:pPr>
        <w:pStyle w:val="11"/>
        <w:wordWrap w:val="0"/>
        <w:ind w:left="449" w:leftChars="114" w:hanging="210" w:hangingChars="100"/>
        <w:rPr>
          <w:rFonts w:ascii="宋体" w:hAnsi="宋体" w:cs="宋体"/>
          <w:color w:val="auto"/>
          <w:highlight w:val="none"/>
        </w:rPr>
      </w:pPr>
    </w:p>
    <w:p>
      <w:pPr>
        <w:pStyle w:val="11"/>
        <w:wordWrap w:val="0"/>
        <w:ind w:left="449" w:leftChars="114" w:hanging="210" w:hangingChars="100"/>
        <w:rPr>
          <w:rFonts w:ascii="宋体" w:hAnsi="宋体" w:cs="宋体"/>
          <w:color w:val="auto"/>
          <w:highlight w:val="none"/>
        </w:rPr>
      </w:pPr>
    </w:p>
    <w:p>
      <w:pPr>
        <w:pStyle w:val="11"/>
        <w:wordWrap w:val="0"/>
        <w:ind w:left="449" w:leftChars="114" w:hanging="210" w:hangingChars="100"/>
        <w:rPr>
          <w:rFonts w:ascii="宋体" w:hAnsi="宋体" w:cs="宋体"/>
          <w:color w:val="auto"/>
          <w:highlight w:val="none"/>
        </w:rPr>
      </w:pPr>
    </w:p>
    <w:sectPr>
      <w:footerReference r:id="rId12" w:type="first"/>
      <w:footerReference r:id="rId11" w:type="default"/>
      <w:pgSz w:w="11906" w:h="16838"/>
      <w:pgMar w:top="1361" w:right="1191" w:bottom="1304" w:left="1361" w:header="680" w:footer="680" w:gutter="0"/>
      <w:pgNumType w:start="1"/>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roman"/>
    <w:pitch w:val="default"/>
    <w:sig w:usb0="A10006FF" w:usb1="4000205B" w:usb2="00000010" w:usb3="00000000" w:csb0="2000019F" w:csb1="00000000"/>
  </w:font>
  <w:font w:name="方正仿宋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Ansi="宋体"/>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1980"/>
      <w:jc w:val="right"/>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8DAB0"/>
    <w:multiLevelType w:val="singleLevel"/>
    <w:tmpl w:val="9BA8DAB0"/>
    <w:lvl w:ilvl="0" w:tentative="0">
      <w:start w:val="2"/>
      <w:numFmt w:val="decimal"/>
      <w:suff w:val="nothing"/>
      <w:lvlText w:val="%1、"/>
      <w:lvlJc w:val="left"/>
    </w:lvl>
  </w:abstractNum>
  <w:abstractNum w:abstractNumId="1">
    <w:nsid w:val="EDB8CB7E"/>
    <w:multiLevelType w:val="singleLevel"/>
    <w:tmpl w:val="EDB8CB7E"/>
    <w:lvl w:ilvl="0" w:tentative="0">
      <w:start w:val="1"/>
      <w:numFmt w:val="decimal"/>
      <w:suff w:val="nothing"/>
      <w:lvlText w:val="%1、"/>
      <w:lvlJc w:val="left"/>
    </w:lvl>
  </w:abstractNum>
  <w:abstractNum w:abstractNumId="2">
    <w:nsid w:val="EF7106E1"/>
    <w:multiLevelType w:val="singleLevel"/>
    <w:tmpl w:val="EF7106E1"/>
    <w:lvl w:ilvl="0" w:tentative="0">
      <w:start w:val="12"/>
      <w:numFmt w:val="decimal"/>
      <w:suff w:val="nothing"/>
      <w:lvlText w:val="%1、"/>
      <w:lvlJc w:val="left"/>
    </w:lvl>
  </w:abstractNum>
  <w:abstractNum w:abstractNumId="3">
    <w:nsid w:val="24D66CE0"/>
    <w:multiLevelType w:val="multilevel"/>
    <w:tmpl w:val="24D66CE0"/>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4DDE05B7"/>
    <w:multiLevelType w:val="multilevel"/>
    <w:tmpl w:val="4DDE05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8BB9CE"/>
    <w:multiLevelType w:val="singleLevel"/>
    <w:tmpl w:val="538BB9CE"/>
    <w:lvl w:ilvl="0" w:tentative="0">
      <w:start w:val="1"/>
      <w:numFmt w:val="decimal"/>
      <w:suff w:val="nothing"/>
      <w:lvlText w:val="%1、"/>
      <w:lvlJc w:val="left"/>
    </w:lvl>
  </w:abstractNum>
  <w:abstractNum w:abstractNumId="6">
    <w:nsid w:val="54AA3715"/>
    <w:multiLevelType w:val="multilevel"/>
    <w:tmpl w:val="54AA3715"/>
    <w:lvl w:ilvl="0" w:tentative="0">
      <w:start w:val="1"/>
      <w:numFmt w:val="decimal"/>
      <w:lvlText w:val="%1"/>
      <w:lvlJc w:val="left"/>
      <w:pPr>
        <w:ind w:left="375" w:hanging="360"/>
      </w:pPr>
      <w:rPr>
        <w:rFonts w:hint="default"/>
      </w:rPr>
    </w:lvl>
    <w:lvl w:ilvl="1" w:tentative="0">
      <w:start w:val="1"/>
      <w:numFmt w:val="lowerLetter"/>
      <w:lvlText w:val="%2)"/>
      <w:lvlJc w:val="left"/>
      <w:pPr>
        <w:ind w:left="855" w:hanging="420"/>
      </w:pPr>
    </w:lvl>
    <w:lvl w:ilvl="2" w:tentative="0">
      <w:start w:val="1"/>
      <w:numFmt w:val="lowerRoman"/>
      <w:lvlText w:val="%3."/>
      <w:lvlJc w:val="right"/>
      <w:pPr>
        <w:ind w:left="1275" w:hanging="420"/>
      </w:pPr>
    </w:lvl>
    <w:lvl w:ilvl="3" w:tentative="0">
      <w:start w:val="1"/>
      <w:numFmt w:val="decimal"/>
      <w:lvlText w:val="%4."/>
      <w:lvlJc w:val="left"/>
      <w:pPr>
        <w:ind w:left="1695" w:hanging="420"/>
      </w:pPr>
    </w:lvl>
    <w:lvl w:ilvl="4" w:tentative="0">
      <w:start w:val="1"/>
      <w:numFmt w:val="lowerLetter"/>
      <w:lvlText w:val="%5)"/>
      <w:lvlJc w:val="left"/>
      <w:pPr>
        <w:ind w:left="2115" w:hanging="420"/>
      </w:pPr>
    </w:lvl>
    <w:lvl w:ilvl="5" w:tentative="0">
      <w:start w:val="1"/>
      <w:numFmt w:val="lowerRoman"/>
      <w:lvlText w:val="%6."/>
      <w:lvlJc w:val="right"/>
      <w:pPr>
        <w:ind w:left="2535" w:hanging="420"/>
      </w:pPr>
    </w:lvl>
    <w:lvl w:ilvl="6" w:tentative="0">
      <w:start w:val="1"/>
      <w:numFmt w:val="decimal"/>
      <w:lvlText w:val="%7."/>
      <w:lvlJc w:val="left"/>
      <w:pPr>
        <w:ind w:left="2955" w:hanging="420"/>
      </w:pPr>
    </w:lvl>
    <w:lvl w:ilvl="7" w:tentative="0">
      <w:start w:val="1"/>
      <w:numFmt w:val="lowerLetter"/>
      <w:lvlText w:val="%8)"/>
      <w:lvlJc w:val="left"/>
      <w:pPr>
        <w:ind w:left="3375" w:hanging="420"/>
      </w:pPr>
    </w:lvl>
    <w:lvl w:ilvl="8" w:tentative="0">
      <w:start w:val="1"/>
      <w:numFmt w:val="lowerRoman"/>
      <w:lvlText w:val="%9."/>
      <w:lvlJc w:val="right"/>
      <w:pPr>
        <w:ind w:left="3795" w:hanging="420"/>
      </w:pPr>
    </w:lvl>
  </w:abstractNum>
  <w:abstractNum w:abstractNumId="7">
    <w:nsid w:val="581309FC"/>
    <w:multiLevelType w:val="singleLevel"/>
    <w:tmpl w:val="581309FC"/>
    <w:lvl w:ilvl="0" w:tentative="0">
      <w:start w:val="11"/>
      <w:numFmt w:val="chineseCounting"/>
      <w:suff w:val="nothing"/>
      <w:lvlText w:val="第%1条"/>
      <w:lvlJc w:val="left"/>
    </w:lvl>
  </w:abstractNum>
  <w:abstractNum w:abstractNumId="8">
    <w:nsid w:val="6669D679"/>
    <w:multiLevelType w:val="singleLevel"/>
    <w:tmpl w:val="6669D679"/>
    <w:lvl w:ilvl="0" w:tentative="0">
      <w:start w:val="9"/>
      <w:numFmt w:val="decimal"/>
      <w:suff w:val="nothing"/>
      <w:lvlText w:val="%1、"/>
      <w:lvlJc w:val="left"/>
    </w:lvl>
  </w:abstractNum>
  <w:abstractNum w:abstractNumId="9">
    <w:nsid w:val="7305603A"/>
    <w:multiLevelType w:val="multilevel"/>
    <w:tmpl w:val="7305603A"/>
    <w:lvl w:ilvl="0" w:tentative="0">
      <w:start w:val="1"/>
      <w:numFmt w:val="decimal"/>
      <w:lvlText w:val="%1"/>
      <w:lvlJc w:val="left"/>
      <w:pPr>
        <w:ind w:left="375"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8"/>
  </w:num>
  <w:num w:numId="3">
    <w:abstractNumId w:val="6"/>
  </w:num>
  <w:num w:numId="4">
    <w:abstractNumId w:val="9"/>
  </w:num>
  <w:num w:numId="5">
    <w:abstractNumId w:val="2"/>
  </w:num>
  <w:num w:numId="6">
    <w:abstractNumId w:val="5"/>
  </w:num>
  <w:num w:numId="7">
    <w:abstractNumId w:val="4"/>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dit="forms" w:formatting="1" w:enforcement="1" w:cryptProviderType="rsaFull" w:cryptAlgorithmClass="hash" w:cryptAlgorithmType="typeAny" w:cryptAlgorithmSid="4" w:cryptSpinCount="0" w:hash="S2vMcYlfmsT7WhHOD4qPGpFVcsg=" w:salt="jMogsKF3Cy87WwLCg1dVcQ=="/>
  <w:defaultTabStop w:val="420"/>
  <w:drawingGridHorizontalSpacing w:val="10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E710A"/>
    <w:rsid w:val="005F78C7"/>
    <w:rsid w:val="007B651E"/>
    <w:rsid w:val="00C711BD"/>
    <w:rsid w:val="011459B1"/>
    <w:rsid w:val="03446115"/>
    <w:rsid w:val="065A5808"/>
    <w:rsid w:val="0BC2403F"/>
    <w:rsid w:val="0D7A3B1B"/>
    <w:rsid w:val="0E6C1B88"/>
    <w:rsid w:val="12FD2032"/>
    <w:rsid w:val="14840D04"/>
    <w:rsid w:val="164D5E84"/>
    <w:rsid w:val="17F1613D"/>
    <w:rsid w:val="1A5F4228"/>
    <w:rsid w:val="1AF20F96"/>
    <w:rsid w:val="2510739C"/>
    <w:rsid w:val="27FC3818"/>
    <w:rsid w:val="2847059D"/>
    <w:rsid w:val="298A3B11"/>
    <w:rsid w:val="29BF0360"/>
    <w:rsid w:val="2CF87341"/>
    <w:rsid w:val="2D2807FB"/>
    <w:rsid w:val="2EDC10A3"/>
    <w:rsid w:val="2FDE4AE2"/>
    <w:rsid w:val="339D4937"/>
    <w:rsid w:val="36934DF1"/>
    <w:rsid w:val="379D3120"/>
    <w:rsid w:val="38A14356"/>
    <w:rsid w:val="3A0F2DCE"/>
    <w:rsid w:val="3A1C2371"/>
    <w:rsid w:val="3D466B53"/>
    <w:rsid w:val="3D9411BB"/>
    <w:rsid w:val="3DB9385D"/>
    <w:rsid w:val="3FA00194"/>
    <w:rsid w:val="42065FB4"/>
    <w:rsid w:val="42917CCF"/>
    <w:rsid w:val="45074EFC"/>
    <w:rsid w:val="47374CE8"/>
    <w:rsid w:val="4AB27BFD"/>
    <w:rsid w:val="4AFE0DE1"/>
    <w:rsid w:val="4BE943A8"/>
    <w:rsid w:val="4CA63D23"/>
    <w:rsid w:val="4ED949FA"/>
    <w:rsid w:val="4F551579"/>
    <w:rsid w:val="50E17E52"/>
    <w:rsid w:val="51960DC0"/>
    <w:rsid w:val="53D944ED"/>
    <w:rsid w:val="54E337C3"/>
    <w:rsid w:val="567E4A38"/>
    <w:rsid w:val="59DE55F4"/>
    <w:rsid w:val="5AFD5A31"/>
    <w:rsid w:val="5D4B17D3"/>
    <w:rsid w:val="5D9C5FF1"/>
    <w:rsid w:val="5FD87EDF"/>
    <w:rsid w:val="61CB0560"/>
    <w:rsid w:val="625940A5"/>
    <w:rsid w:val="62C7019D"/>
    <w:rsid w:val="64D63D35"/>
    <w:rsid w:val="654D2372"/>
    <w:rsid w:val="66C8359E"/>
    <w:rsid w:val="685F1A2F"/>
    <w:rsid w:val="6F4F73A2"/>
    <w:rsid w:val="7074153B"/>
    <w:rsid w:val="732F3AF2"/>
    <w:rsid w:val="752A62FE"/>
    <w:rsid w:val="75DD341E"/>
    <w:rsid w:val="76904C2F"/>
    <w:rsid w:val="76A47F13"/>
    <w:rsid w:val="77CA1AAD"/>
    <w:rsid w:val="7B5F4CD9"/>
    <w:rsid w:val="7EF5766A"/>
    <w:rsid w:val="7EF8025B"/>
    <w:rsid w:val="7FF415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7"/>
    <w:qFormat/>
    <w:uiPriority w:val="0"/>
    <w:pPr>
      <w:keepNext/>
      <w:jc w:val="center"/>
      <w:outlineLvl w:val="0"/>
    </w:pPr>
    <w:rPr>
      <w:b/>
      <w:kern w:val="0"/>
      <w:sz w:val="32"/>
      <w:szCs w:val="20"/>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adjustRightInd w:val="0"/>
      <w:spacing w:line="312" w:lineRule="atLeast"/>
      <w:textAlignment w:val="baseline"/>
      <w:outlineLvl w:val="3"/>
    </w:pPr>
    <w:rPr>
      <w:b/>
      <w:kern w:val="0"/>
      <w:sz w:val="24"/>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semiHidden/>
    <w:qFormat/>
    <w:uiPriority w:val="0"/>
    <w:pPr>
      <w:spacing w:line="360" w:lineRule="auto"/>
    </w:pPr>
    <w:rPr>
      <w:rFonts w:ascii="宋体" w:hAnsi="宋体"/>
      <w:bCs/>
      <w:szCs w:val="21"/>
    </w:rPr>
  </w:style>
  <w:style w:type="paragraph" w:styleId="7">
    <w:name w:val="Normal Indent"/>
    <w:basedOn w:val="1"/>
    <w:qFormat/>
    <w:uiPriority w:val="0"/>
    <w:pPr>
      <w:ind w:firstLine="420" w:firstLineChars="200"/>
    </w:pPr>
  </w:style>
  <w:style w:type="paragraph" w:styleId="8">
    <w:name w:val="List Bullet"/>
    <w:basedOn w:val="1"/>
    <w:qFormat/>
    <w:uiPriority w:val="0"/>
    <w:pPr>
      <w:tabs>
        <w:tab w:val="left" w:pos="360"/>
      </w:tabs>
      <w:ind w:left="360" w:hanging="360"/>
    </w:pPr>
  </w:style>
  <w:style w:type="paragraph" w:styleId="9">
    <w:name w:val="annotation text"/>
    <w:basedOn w:val="1"/>
    <w:semiHidden/>
    <w:qFormat/>
    <w:uiPriority w:val="0"/>
    <w:pPr>
      <w:jc w:val="left"/>
    </w:pPr>
  </w:style>
  <w:style w:type="paragraph" w:styleId="10">
    <w:name w:val="Body Text 3"/>
    <w:basedOn w:val="1"/>
    <w:qFormat/>
    <w:uiPriority w:val="0"/>
    <w:pPr>
      <w:spacing w:line="500" w:lineRule="exact"/>
    </w:pPr>
    <w:rPr>
      <w:b/>
      <w:bCs/>
      <w:sz w:val="24"/>
    </w:rPr>
  </w:style>
  <w:style w:type="paragraph" w:styleId="11">
    <w:name w:val="Body Text"/>
    <w:basedOn w:val="1"/>
    <w:next w:val="1"/>
    <w:qFormat/>
    <w:uiPriority w:val="0"/>
    <w:pPr>
      <w:jc w:val="center"/>
    </w:pPr>
  </w:style>
  <w:style w:type="paragraph" w:styleId="12">
    <w:name w:val="Body Text Indent"/>
    <w:basedOn w:val="1"/>
    <w:qFormat/>
    <w:uiPriority w:val="0"/>
    <w:pPr>
      <w:spacing w:line="200" w:lineRule="exact"/>
      <w:ind w:firstLine="301"/>
    </w:pPr>
    <w:rPr>
      <w:rFonts w:ascii="宋体" w:hAnsi="Courier New"/>
      <w:spacing w:val="-4"/>
      <w:sz w:val="18"/>
      <w:szCs w:val="20"/>
    </w:rPr>
  </w:style>
  <w:style w:type="paragraph" w:styleId="13">
    <w:name w:val="toc 3"/>
    <w:basedOn w:val="1"/>
    <w:next w:val="1"/>
    <w:semiHidden/>
    <w:qFormat/>
    <w:uiPriority w:val="0"/>
    <w:pPr>
      <w:tabs>
        <w:tab w:val="right" w:leader="dot" w:pos="9476"/>
      </w:tabs>
      <w:spacing w:line="460" w:lineRule="exact"/>
    </w:pPr>
    <w:rPr>
      <w:rFonts w:eastAsia="仿宋_GB2312"/>
    </w:rPr>
  </w:style>
  <w:style w:type="paragraph" w:styleId="14">
    <w:name w:val="Plain Text"/>
    <w:basedOn w:val="1"/>
    <w:next w:val="3"/>
    <w:link w:val="58"/>
    <w:qFormat/>
    <w:uiPriority w:val="0"/>
    <w:rPr>
      <w:rFonts w:ascii="宋体" w:hAnsi="Courier New"/>
      <w:szCs w:val="20"/>
    </w:rPr>
  </w:style>
  <w:style w:type="paragraph" w:styleId="15">
    <w:name w:val="Date"/>
    <w:basedOn w:val="1"/>
    <w:next w:val="1"/>
    <w:qFormat/>
    <w:uiPriority w:val="0"/>
    <w:pPr>
      <w:ind w:left="100" w:leftChars="2500"/>
    </w:pPr>
    <w:rPr>
      <w:rFonts w:ascii="宋体" w:hAnsi="Courier New"/>
      <w:szCs w:val="20"/>
    </w:rPr>
  </w:style>
  <w:style w:type="paragraph" w:styleId="16">
    <w:name w:val="Body Text Indent 2"/>
    <w:basedOn w:val="1"/>
    <w:qFormat/>
    <w:uiPriority w:val="0"/>
    <w:pPr>
      <w:ind w:firstLine="412" w:firstLineChars="196"/>
    </w:p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宋体" w:hAnsi="Courier New"/>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0">
    <w:name w:val="toc 1"/>
    <w:basedOn w:val="1"/>
    <w:next w:val="1"/>
    <w:semiHidden/>
    <w:qFormat/>
    <w:uiPriority w:val="0"/>
    <w:pPr>
      <w:tabs>
        <w:tab w:val="right" w:leader="dot" w:pos="9466"/>
      </w:tabs>
      <w:spacing w:line="360" w:lineRule="auto"/>
    </w:pPr>
    <w:rPr>
      <w:rFonts w:ascii="隶书" w:hAnsi="宋体" w:eastAsia="隶书"/>
      <w:bCs/>
      <w:kern w:val="44"/>
      <w:sz w:val="24"/>
    </w:rPr>
  </w:style>
  <w:style w:type="paragraph" w:styleId="21">
    <w:name w:val="Body Text Indent 3"/>
    <w:basedOn w:val="1"/>
    <w:qFormat/>
    <w:uiPriority w:val="0"/>
    <w:pPr>
      <w:spacing w:line="400" w:lineRule="exact"/>
      <w:ind w:firstLine="420" w:firstLineChars="200"/>
    </w:pPr>
    <w:rPr>
      <w:rFonts w:ascii="宋体" w:hAnsi="宋体"/>
      <w:szCs w:val="32"/>
    </w:rPr>
  </w:style>
  <w:style w:type="paragraph" w:styleId="22">
    <w:name w:val="toc 2"/>
    <w:basedOn w:val="1"/>
    <w:next w:val="1"/>
    <w:semiHidden/>
    <w:qFormat/>
    <w:uiPriority w:val="0"/>
    <w:pPr>
      <w:tabs>
        <w:tab w:val="right" w:leader="dot" w:pos="9568"/>
      </w:tabs>
      <w:ind w:left="420" w:leftChars="200"/>
    </w:pPr>
    <w:rPr>
      <w:rFonts w:hAnsi="宋体"/>
      <w:sz w:val="24"/>
    </w:rPr>
  </w:style>
  <w:style w:type="paragraph" w:styleId="23">
    <w:name w:val="Body Text 2"/>
    <w:basedOn w:val="1"/>
    <w:qFormat/>
    <w:uiPriority w:val="0"/>
    <w:pPr>
      <w:spacing w:line="320" w:lineRule="exact"/>
    </w:pPr>
    <w:rPr>
      <w:b/>
      <w:bCs/>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6">
    <w:name w:val="annotation subject"/>
    <w:basedOn w:val="9"/>
    <w:next w:val="9"/>
    <w:semiHidden/>
    <w:qFormat/>
    <w:uiPriority w:val="0"/>
    <w:rPr>
      <w:b/>
      <w:bCs/>
    </w:rPr>
  </w:style>
  <w:style w:type="paragraph" w:styleId="27">
    <w:name w:val="Body Text First Indent"/>
    <w:basedOn w:val="1"/>
    <w:qFormat/>
    <w:uiPriority w:val="0"/>
    <w:pPr>
      <w:spacing w:line="360" w:lineRule="auto"/>
      <w:ind w:firstLine="200" w:firstLineChars="200"/>
    </w:pPr>
    <w:rPr>
      <w:rFonts w:ascii="宋体" w:hAnsi="宋体"/>
      <w:szCs w:val="20"/>
    </w:rPr>
  </w:style>
  <w:style w:type="paragraph" w:styleId="28">
    <w:name w:val="Body Text First Indent 2"/>
    <w:basedOn w:val="12"/>
    <w:qFormat/>
    <w:uiPriority w:val="0"/>
    <w:pPr>
      <w:ind w:firstLine="42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0066CC"/>
      <w:u w:val="none"/>
    </w:rPr>
  </w:style>
  <w:style w:type="character" w:styleId="35">
    <w:name w:val="Hyperlink"/>
    <w:qFormat/>
    <w:uiPriority w:val="0"/>
    <w:rPr>
      <w:color w:val="0066CC"/>
      <w:u w:val="none"/>
    </w:rPr>
  </w:style>
  <w:style w:type="character" w:styleId="36">
    <w:name w:val="annotation reference"/>
    <w:semiHidden/>
    <w:qFormat/>
    <w:uiPriority w:val="0"/>
    <w:rPr>
      <w:sz w:val="21"/>
      <w:szCs w:val="21"/>
    </w:rPr>
  </w:style>
  <w:style w:type="character" w:customStyle="1" w:styleId="37">
    <w:name w:val="标题 1 Char"/>
    <w:link w:val="3"/>
    <w:qFormat/>
    <w:uiPriority w:val="0"/>
    <w:rPr>
      <w:rFonts w:ascii="Times New Roman" w:hAnsi="Times New Roman" w:eastAsia="宋体"/>
      <w:b/>
      <w:sz w:val="32"/>
    </w:rPr>
  </w:style>
  <w:style w:type="character" w:customStyle="1" w:styleId="38">
    <w:name w:val="标题 2 Char"/>
    <w:link w:val="4"/>
    <w:qFormat/>
    <w:uiPriority w:val="0"/>
    <w:rPr>
      <w:rFonts w:ascii="Arial" w:hAnsi="Arial" w:eastAsia="黑体"/>
      <w:b/>
      <w:bCs/>
      <w:kern w:val="2"/>
      <w:sz w:val="32"/>
      <w:szCs w:val="32"/>
      <w:lang w:val="en-US" w:eastAsia="zh-CN" w:bidi="ar-SA"/>
    </w:rPr>
  </w:style>
  <w:style w:type="character" w:customStyle="1" w:styleId="39">
    <w:name w:val="m011"/>
    <w:basedOn w:val="31"/>
    <w:qFormat/>
    <w:uiPriority w:val="0"/>
  </w:style>
  <w:style w:type="character" w:customStyle="1" w:styleId="40">
    <w:name w:val="m01"/>
    <w:basedOn w:val="31"/>
    <w:qFormat/>
    <w:uiPriority w:val="0"/>
  </w:style>
  <w:style w:type="character" w:customStyle="1" w:styleId="41">
    <w:name w:val="m03"/>
    <w:basedOn w:val="31"/>
    <w:qFormat/>
    <w:uiPriority w:val="0"/>
  </w:style>
  <w:style w:type="character" w:customStyle="1" w:styleId="42">
    <w:name w:val="m02"/>
    <w:basedOn w:val="31"/>
    <w:qFormat/>
    <w:uiPriority w:val="0"/>
  </w:style>
  <w:style w:type="character" w:customStyle="1" w:styleId="43">
    <w:name w:val="m04"/>
    <w:basedOn w:val="31"/>
    <w:qFormat/>
    <w:uiPriority w:val="0"/>
  </w:style>
  <w:style w:type="character" w:customStyle="1" w:styleId="44">
    <w:name w:val="m07"/>
    <w:basedOn w:val="31"/>
    <w:qFormat/>
    <w:uiPriority w:val="0"/>
  </w:style>
  <w:style w:type="character" w:customStyle="1" w:styleId="45">
    <w:name w:val="font71"/>
    <w:basedOn w:val="31"/>
    <w:qFormat/>
    <w:uiPriority w:val="0"/>
    <w:rPr>
      <w:rFonts w:hint="default" w:ascii="Times New Roman" w:hAnsi="Times New Roman" w:cs="Times New Roman"/>
      <w:color w:val="000000"/>
      <w:sz w:val="18"/>
      <w:szCs w:val="18"/>
      <w:u w:val="none"/>
    </w:rPr>
  </w:style>
  <w:style w:type="character" w:customStyle="1" w:styleId="46">
    <w:name w:val="bds_more"/>
    <w:basedOn w:val="31"/>
    <w:qFormat/>
    <w:uiPriority w:val="0"/>
  </w:style>
  <w:style w:type="character" w:customStyle="1" w:styleId="47">
    <w:name w:val="m08"/>
    <w:basedOn w:val="31"/>
    <w:qFormat/>
    <w:uiPriority w:val="0"/>
  </w:style>
  <w:style w:type="character" w:customStyle="1" w:styleId="48">
    <w:name w:val="小行距正文文字4 Char"/>
    <w:qFormat/>
    <w:uiPriority w:val="0"/>
    <w:rPr>
      <w:rFonts w:ascii="宋体" w:hAnsi="Courier New" w:cs="Courier New"/>
      <w:kern w:val="2"/>
      <w:sz w:val="21"/>
      <w:szCs w:val="21"/>
    </w:rPr>
  </w:style>
  <w:style w:type="character" w:customStyle="1" w:styleId="49">
    <w:name w:val="MSG_EN_FONT_STYLE_NAME_TEMPLATE_ROLE_NUMBER MSG_EN_FONT_STYLE_NAME_BY_ROLE_TEXT 2"/>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0">
    <w:name w:val="font31"/>
    <w:basedOn w:val="31"/>
    <w:qFormat/>
    <w:uiPriority w:val="0"/>
    <w:rPr>
      <w:rFonts w:hint="eastAsia" w:ascii="宋体" w:hAnsi="宋体" w:eastAsia="宋体" w:cs="宋体"/>
      <w:color w:val="000000"/>
      <w:sz w:val="22"/>
      <w:szCs w:val="22"/>
      <w:u w:val="none"/>
    </w:rPr>
  </w:style>
  <w:style w:type="character" w:customStyle="1" w:styleId="51">
    <w:name w:val="bds_nopic1"/>
    <w:basedOn w:val="31"/>
    <w:qFormat/>
    <w:uiPriority w:val="0"/>
  </w:style>
  <w:style w:type="character" w:customStyle="1" w:styleId="52">
    <w:name w:val="bds_more2"/>
    <w:basedOn w:val="31"/>
    <w:qFormat/>
    <w:uiPriority w:val="0"/>
  </w:style>
  <w:style w:type="character" w:customStyle="1" w:styleId="53">
    <w:name w:val="m05"/>
    <w:basedOn w:val="31"/>
    <w:qFormat/>
    <w:uiPriority w:val="0"/>
  </w:style>
  <w:style w:type="character" w:customStyle="1" w:styleId="54">
    <w:name w:val="bds_nopic"/>
    <w:basedOn w:val="31"/>
    <w:qFormat/>
    <w:uiPriority w:val="0"/>
  </w:style>
  <w:style w:type="character" w:customStyle="1" w:styleId="55">
    <w:name w:val="font01"/>
    <w:basedOn w:val="31"/>
    <w:qFormat/>
    <w:uiPriority w:val="0"/>
    <w:rPr>
      <w:rFonts w:hint="default" w:ascii="Times New Roman" w:hAnsi="Times New Roman" w:cs="Times New Roman"/>
      <w:color w:val="000000"/>
      <w:sz w:val="22"/>
      <w:szCs w:val="22"/>
      <w:u w:val="none"/>
    </w:rPr>
  </w:style>
  <w:style w:type="character" w:customStyle="1" w:styleId="56">
    <w:name w:val="bds_more1"/>
    <w:qFormat/>
    <w:uiPriority w:val="0"/>
    <w:rPr>
      <w:rFonts w:hint="eastAsia" w:ascii="宋体" w:hAnsi="宋体" w:eastAsia="宋体" w:cs="宋体"/>
    </w:rPr>
  </w:style>
  <w:style w:type="character" w:customStyle="1" w:styleId="57">
    <w:name w:val="Char Char"/>
    <w:qFormat/>
    <w:locked/>
    <w:uiPriority w:val="0"/>
    <w:rPr>
      <w:rFonts w:ascii="宋体" w:hAnsi="Courier New" w:eastAsia="宋体"/>
      <w:kern w:val="2"/>
      <w:sz w:val="21"/>
      <w:lang w:val="en-US" w:eastAsia="zh-CN" w:bidi="ar-SA"/>
    </w:rPr>
  </w:style>
  <w:style w:type="character" w:customStyle="1" w:styleId="58">
    <w:name w:val="纯文本 Char"/>
    <w:link w:val="14"/>
    <w:qFormat/>
    <w:uiPriority w:val="0"/>
    <w:rPr>
      <w:rFonts w:ascii="宋体" w:hAnsi="Courier New" w:eastAsia="宋体"/>
      <w:kern w:val="2"/>
      <w:sz w:val="21"/>
      <w:lang w:val="en-US" w:eastAsia="zh-CN" w:bidi="ar-SA"/>
    </w:rPr>
  </w:style>
  <w:style w:type="character" w:customStyle="1" w:styleId="59">
    <w:name w:val="f141"/>
    <w:qFormat/>
    <w:uiPriority w:val="0"/>
    <w:rPr>
      <w:sz w:val="21"/>
      <w:szCs w:val="21"/>
    </w:rPr>
  </w:style>
  <w:style w:type="character" w:customStyle="1" w:styleId="60">
    <w:name w:val="font21"/>
    <w:basedOn w:val="31"/>
    <w:qFormat/>
    <w:uiPriority w:val="0"/>
    <w:rPr>
      <w:rFonts w:hint="eastAsia" w:ascii="宋体" w:hAnsi="宋体" w:eastAsia="宋体" w:cs="宋体"/>
      <w:color w:val="000000"/>
      <w:sz w:val="20"/>
      <w:szCs w:val="20"/>
      <w:u w:val="none"/>
    </w:rPr>
  </w:style>
  <w:style w:type="character" w:customStyle="1" w:styleId="61">
    <w:name w:val="font11"/>
    <w:basedOn w:val="31"/>
    <w:qFormat/>
    <w:uiPriority w:val="0"/>
    <w:rPr>
      <w:rFonts w:hint="eastAsia" w:ascii="宋体" w:hAnsi="宋体" w:eastAsia="宋体" w:cs="宋体"/>
      <w:color w:val="000000"/>
      <w:sz w:val="18"/>
      <w:szCs w:val="18"/>
      <w:u w:val="none"/>
    </w:rPr>
  </w:style>
  <w:style w:type="character" w:customStyle="1" w:styleId="62">
    <w:name w:val="m012"/>
    <w:basedOn w:val="31"/>
    <w:qFormat/>
    <w:uiPriority w:val="0"/>
  </w:style>
  <w:style w:type="character" w:customStyle="1" w:styleId="63">
    <w:name w:val="m06"/>
    <w:basedOn w:val="31"/>
    <w:qFormat/>
    <w:uiPriority w:val="0"/>
  </w:style>
  <w:style w:type="character" w:customStyle="1" w:styleId="64">
    <w:name w:val="Char Char1"/>
    <w:qFormat/>
    <w:uiPriority w:val="0"/>
    <w:rPr>
      <w:rFonts w:ascii="宋体" w:hAnsi="Courier New" w:eastAsia="宋体"/>
      <w:kern w:val="2"/>
      <w:sz w:val="21"/>
      <w:lang w:val="en-US" w:eastAsia="zh-CN" w:bidi="ar-SA"/>
    </w:rPr>
  </w:style>
  <w:style w:type="character" w:customStyle="1" w:styleId="65">
    <w:name w:val="font41"/>
    <w:basedOn w:val="31"/>
    <w:qFormat/>
    <w:uiPriority w:val="0"/>
    <w:rPr>
      <w:rFonts w:hint="eastAsia" w:ascii="宋体" w:hAnsi="宋体" w:eastAsia="宋体" w:cs="宋体"/>
      <w:color w:val="000000"/>
      <w:sz w:val="20"/>
      <w:szCs w:val="20"/>
      <w:u w:val="none"/>
    </w:rPr>
  </w:style>
  <w:style w:type="character" w:customStyle="1" w:styleId="66">
    <w:name w:val="font51"/>
    <w:basedOn w:val="31"/>
    <w:qFormat/>
    <w:uiPriority w:val="0"/>
    <w:rPr>
      <w:rFonts w:hint="eastAsia" w:ascii="宋体" w:hAnsi="宋体" w:eastAsia="宋体" w:cs="宋体"/>
      <w:color w:val="FF0000"/>
      <w:sz w:val="18"/>
      <w:szCs w:val="18"/>
      <w:u w:val="none"/>
    </w:rPr>
  </w:style>
  <w:style w:type="character" w:customStyle="1" w:styleId="67">
    <w:name w:val="bds_nopic2"/>
    <w:basedOn w:val="31"/>
    <w:qFormat/>
    <w:uiPriority w:val="0"/>
  </w:style>
  <w:style w:type="character" w:customStyle="1" w:styleId="68">
    <w:name w:val="font61"/>
    <w:qFormat/>
    <w:uiPriority w:val="0"/>
    <w:rPr>
      <w:rFonts w:hint="eastAsia" w:ascii="宋体" w:hAnsi="宋体" w:eastAsia="宋体" w:cs="宋体"/>
      <w:color w:val="000000"/>
      <w:sz w:val="18"/>
      <w:szCs w:val="18"/>
      <w:u w:val="none"/>
    </w:rPr>
  </w:style>
  <w:style w:type="paragraph" w:customStyle="1" w:styleId="6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70">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1">
    <w:name w:val="列出段落1"/>
    <w:basedOn w:val="1"/>
    <w:qFormat/>
    <w:uiPriority w:val="34"/>
    <w:pPr>
      <w:ind w:firstLine="420" w:firstLineChars="200"/>
    </w:pPr>
    <w:rPr>
      <w:szCs w:val="22"/>
    </w:rPr>
  </w:style>
  <w:style w:type="paragraph" w:customStyle="1" w:styleId="72">
    <w:name w:val="样式 首行缩进:  0.74 厘米"/>
    <w:basedOn w:val="1"/>
    <w:qFormat/>
    <w:uiPriority w:val="0"/>
    <w:pPr>
      <w:spacing w:line="360" w:lineRule="auto"/>
      <w:ind w:firstLine="420"/>
    </w:pPr>
    <w:rPr>
      <w:szCs w:val="21"/>
    </w:rPr>
  </w:style>
  <w:style w:type="paragraph" w:customStyle="1" w:styleId="73">
    <w:name w:val="Char Char Char1"/>
    <w:basedOn w:val="1"/>
    <w:qFormat/>
    <w:uiPriority w:val="0"/>
    <w:rPr>
      <w:rFonts w:ascii="Tahoma" w:hAnsi="Tahoma"/>
      <w:sz w:val="24"/>
      <w:szCs w:val="20"/>
    </w:rPr>
  </w:style>
  <w:style w:type="paragraph" w:customStyle="1" w:styleId="74">
    <w:name w:val="列出段落11"/>
    <w:basedOn w:val="1"/>
    <w:qFormat/>
    <w:uiPriority w:val="0"/>
    <w:pPr>
      <w:autoSpaceDE w:val="0"/>
      <w:autoSpaceDN w:val="0"/>
      <w:spacing w:line="360" w:lineRule="auto"/>
      <w:ind w:firstLine="420" w:firstLineChars="200"/>
    </w:pPr>
    <w:rPr>
      <w:szCs w:val="22"/>
    </w:rPr>
  </w:style>
  <w:style w:type="paragraph" w:customStyle="1" w:styleId="75">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Char1"/>
    <w:basedOn w:val="1"/>
    <w:qFormat/>
    <w:uiPriority w:val="0"/>
    <w:pPr>
      <w:widowControl/>
      <w:tabs>
        <w:tab w:val="left" w:pos="509"/>
      </w:tabs>
      <w:spacing w:after="160" w:line="240" w:lineRule="exact"/>
      <w:ind w:left="252"/>
      <w:jc w:val="left"/>
    </w:pPr>
    <w:rPr>
      <w:rFonts w:ascii="宋体" w:hAnsi="Courier New"/>
      <w:szCs w:val="20"/>
    </w:rPr>
  </w:style>
  <w:style w:type="paragraph" w:customStyle="1" w:styleId="77">
    <w:name w:val="表内文字"/>
    <w:basedOn w:val="1"/>
    <w:qFormat/>
    <w:uiPriority w:val="0"/>
    <w:pPr>
      <w:snapToGrid w:val="0"/>
      <w:spacing w:before="50" w:after="50"/>
      <w:jc w:val="center"/>
    </w:pPr>
    <w:rPr>
      <w:rFonts w:ascii="仿宋_GB2312" w:hAnsi="宋体" w:eastAsia="仿宋_GB2312"/>
      <w:color w:val="000000"/>
      <w:szCs w:val="21"/>
    </w:rPr>
  </w:style>
  <w:style w:type="paragraph" w:customStyle="1" w:styleId="78">
    <w:name w:val="p0"/>
    <w:basedOn w:val="1"/>
    <w:qFormat/>
    <w:uiPriority w:val="0"/>
    <w:pPr>
      <w:widowControl/>
    </w:pPr>
    <w:rPr>
      <w:kern w:val="0"/>
      <w:szCs w:val="21"/>
    </w:rPr>
  </w:style>
  <w:style w:type="paragraph" w:customStyle="1" w:styleId="7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1">
    <w:name w:val="Char"/>
    <w:basedOn w:val="1"/>
    <w:qFormat/>
    <w:uiPriority w:val="0"/>
  </w:style>
  <w:style w:type="paragraph" w:customStyle="1" w:styleId="82">
    <w:name w:val="Char Char Char"/>
    <w:basedOn w:val="1"/>
    <w:qFormat/>
    <w:uiPriority w:val="0"/>
    <w:rPr>
      <w:rFonts w:ascii="Tahoma" w:hAnsi="Tahoma"/>
      <w:sz w:val="24"/>
      <w:szCs w:val="20"/>
    </w:rPr>
  </w:style>
  <w:style w:type="paragraph" w:customStyle="1" w:styleId="83">
    <w:name w:val="style1"/>
    <w:basedOn w:val="1"/>
    <w:next w:val="1"/>
    <w:qFormat/>
    <w:uiPriority w:val="0"/>
    <w:pPr>
      <w:tabs>
        <w:tab w:val="left" w:pos="845"/>
      </w:tabs>
      <w:adjustRightInd w:val="0"/>
      <w:spacing w:before="120" w:line="264" w:lineRule="auto"/>
      <w:ind w:left="845" w:hanging="425"/>
      <w:textAlignment w:val="baseline"/>
      <w:outlineLvl w:val="1"/>
    </w:pPr>
    <w:rPr>
      <w:b/>
      <w:kern w:val="0"/>
      <w:sz w:val="28"/>
      <w:szCs w:val="20"/>
    </w:rPr>
  </w:style>
  <w:style w:type="paragraph" w:customStyle="1" w:styleId="84">
    <w:name w:val="_Style 11"/>
    <w:basedOn w:val="1"/>
    <w:next w:val="14"/>
    <w:qFormat/>
    <w:uiPriority w:val="0"/>
    <w:rPr>
      <w:rFonts w:ascii="宋体" w:hAnsi="Courier New"/>
      <w:szCs w:val="20"/>
    </w:rPr>
  </w:style>
  <w:style w:type="paragraph" w:customStyle="1" w:styleId="85">
    <w:name w:val="Char11"/>
    <w:basedOn w:val="1"/>
    <w:qFormat/>
    <w:uiPriority w:val="0"/>
  </w:style>
  <w:style w:type="paragraph" w:customStyle="1" w:styleId="86">
    <w:name w:val="style3"/>
    <w:basedOn w:val="5"/>
    <w:qFormat/>
    <w:uiPriority w:val="0"/>
    <w:pPr>
      <w:widowControl/>
      <w:tabs>
        <w:tab w:val="left" w:pos="1140"/>
      </w:tabs>
      <w:spacing w:before="0" w:after="120" w:line="240" w:lineRule="auto"/>
      <w:ind w:left="420"/>
      <w:jc w:val="left"/>
      <w:outlineLvl w:val="3"/>
    </w:pPr>
    <w:rPr>
      <w:bCs w:val="0"/>
      <w:kern w:val="0"/>
      <w:sz w:val="21"/>
      <w:szCs w:val="20"/>
    </w:rPr>
  </w:style>
  <w:style w:type="paragraph" w:customStyle="1" w:styleId="87">
    <w:name w:val="Char Char Char Char Char"/>
    <w:basedOn w:val="1"/>
    <w:qFormat/>
    <w:uiPriority w:val="0"/>
    <w:rPr>
      <w:rFonts w:ascii="Tahoma" w:hAnsi="Tahoma"/>
      <w:sz w:val="24"/>
      <w:szCs w:val="20"/>
    </w:rPr>
  </w:style>
  <w:style w:type="paragraph" w:customStyle="1" w:styleId="88">
    <w:name w:val="Standard o abs"/>
    <w:basedOn w:val="1"/>
    <w:qFormat/>
    <w:uiPriority w:val="0"/>
    <w:pPr>
      <w:tabs>
        <w:tab w:val="left" w:pos="2835"/>
        <w:tab w:val="left" w:pos="3119"/>
        <w:tab w:val="left" w:pos="3402"/>
        <w:tab w:val="left" w:pos="3686"/>
        <w:tab w:val="left" w:pos="3969"/>
        <w:tab w:val="left" w:pos="4253"/>
      </w:tabs>
    </w:pPr>
    <w:rPr>
      <w:rFonts w:cs="Times New Roman"/>
      <w:szCs w:val="24"/>
    </w:rPr>
  </w:style>
  <w:style w:type="paragraph" w:customStyle="1" w:styleId="89">
    <w:name w:val="10 f"/>
    <w:basedOn w:val="1"/>
    <w:qFormat/>
    <w:uiPriority w:val="0"/>
    <w:pPr>
      <w:tabs>
        <w:tab w:val="left" w:pos="2835"/>
        <w:tab w:val="left" w:pos="3119"/>
        <w:tab w:val="left" w:pos="3402"/>
        <w:tab w:val="left" w:pos="3686"/>
        <w:tab w:val="left" w:pos="3969"/>
        <w:tab w:val="left" w:pos="4253"/>
      </w:tabs>
    </w:pPr>
    <w:rPr>
      <w:rFonts w:cs="Times New Roman"/>
      <w:b/>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zbzx</Company>
  <Pages>51</Pages>
  <Words>30508</Words>
  <Characters>34296</Characters>
  <Lines>501</Lines>
  <Paragraphs>141</Paragraphs>
  <TotalTime>19</TotalTime>
  <ScaleCrop>false</ScaleCrop>
  <LinksUpToDate>false</LinksUpToDate>
  <CharactersWithSpaces>35500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2020-08-06T01:04:00Z</dcterms:created>
  <dc:creator>同泽-玉林分公司</dc:creator>
  <cp:lastModifiedBy>NTKO</cp:lastModifiedBy>
  <cp:lastPrinted>2020-03-03T04:58:00Z</cp:lastPrinted>
  <dcterms:modified xsi:type="dcterms:W3CDTF">2020-11-30T09:14:35Z</dcterms:modified>
  <dc:title>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GSEDS_HWMT_d46a6755">
    <vt:lpwstr>f2457d92_mFV0yj84Kyk1PspOlXv8rMoP9R4=_8QYrr1pYKjA2SdgkjiKjw1qxfLwnrZhZ7Id6dw938bDMYMP4T/Pi29tDwoZXAGru/jtn/i6S4yPquqQN2G0=_8d0835c6</vt:lpwstr>
  </property>
</Properties>
</file>