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 w:after="15" w:line="240" w:lineRule="auto"/>
        <w:jc w:val="center"/>
        <w:rPr>
          <w:rFonts w:ascii="黑体" w:hAnsi="黑体" w:eastAsia="黑体" w:cs="Times New Roman"/>
          <w:color w:val="auto"/>
          <w:kern w:val="0"/>
          <w:sz w:val="44"/>
          <w:szCs w:val="44"/>
        </w:rPr>
      </w:pPr>
      <w:r>
        <w:rPr>
          <w:rFonts w:ascii="黑体" w:hAnsi="黑体" w:eastAsia="黑体" w:cs="Times New Roman"/>
          <w:color w:val="auto"/>
          <w:kern w:val="0"/>
          <w:sz w:val="44"/>
          <w:szCs w:val="44"/>
        </w:rPr>
        <w:t>广西金算子建设工程咨询有限公司</w:t>
      </w:r>
    </w:p>
    <w:p>
      <w:pPr>
        <w:snapToGrid w:val="0"/>
        <w:spacing w:before="12" w:after="12" w:line="240" w:lineRule="auto"/>
        <w:jc w:val="center"/>
        <w:rPr>
          <w:rFonts w:hint="eastAsia" w:ascii="宋体" w:hAnsi="宋体" w:eastAsia="宋体" w:cs="Times New Roman"/>
          <w:b/>
          <w:color w:val="auto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36"/>
          <w:szCs w:val="20"/>
          <w:lang w:eastAsia="zh-CN"/>
        </w:rPr>
        <w:t>玉林市玉州区城西街道社区卫生服务中心抗疫特别国债项目YLZC2020-J1-020163-GXJS</w:t>
      </w:r>
    </w:p>
    <w:p>
      <w:pPr>
        <w:snapToGrid w:val="0"/>
        <w:spacing w:before="12" w:after="12" w:line="240" w:lineRule="auto"/>
        <w:jc w:val="center"/>
        <w:rPr>
          <w:rFonts w:ascii="宋体" w:hAnsi="宋体" w:eastAsia="宋体" w:cs="Times New Roman"/>
          <w:b/>
          <w:color w:val="auto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36"/>
          <w:szCs w:val="20"/>
        </w:rPr>
        <w:t>成交结果</w:t>
      </w:r>
      <w:r>
        <w:rPr>
          <w:rFonts w:ascii="宋体" w:hAnsi="宋体" w:eastAsia="宋体" w:cs="Times New Roman"/>
          <w:b/>
          <w:color w:val="auto"/>
          <w:kern w:val="0"/>
          <w:sz w:val="36"/>
          <w:szCs w:val="20"/>
        </w:rPr>
        <w:t>公告</w:t>
      </w:r>
    </w:p>
    <w:p>
      <w:pPr>
        <w:pStyle w:val="11"/>
        <w:numPr>
          <w:ilvl w:val="0"/>
          <w:numId w:val="1"/>
        </w:numPr>
        <w:spacing w:line="240" w:lineRule="auto"/>
        <w:ind w:left="0" w:leftChars="0" w:firstLineChars="0"/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项目编号: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YLZC2020-J1-020163-GXJS</w:t>
      </w:r>
    </w:p>
    <w:p>
      <w:pPr>
        <w:pStyle w:val="11"/>
        <w:numPr>
          <w:ilvl w:val="0"/>
          <w:numId w:val="1"/>
        </w:numPr>
        <w:spacing w:line="240" w:lineRule="auto"/>
        <w:ind w:left="0" w:leftChars="0" w:firstLineChars="0"/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项目名称：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玉林市玉州区城西街道社区卫生服务中心抗疫特别国债项目</w:t>
      </w:r>
    </w:p>
    <w:p>
      <w:pPr>
        <w:pStyle w:val="11"/>
        <w:numPr>
          <w:ilvl w:val="0"/>
          <w:numId w:val="1"/>
        </w:numPr>
        <w:spacing w:line="240" w:lineRule="auto"/>
        <w:ind w:left="0" w:leftChars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（成交）信息</w:t>
      </w:r>
    </w:p>
    <w:p>
      <w:pPr>
        <w:pStyle w:val="11"/>
        <w:spacing w:line="240" w:lineRule="auto"/>
        <w:ind w:left="720" w:leftChars="0" w:firstLine="0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供应商名称</w:t>
      </w:r>
      <w:r>
        <w:rPr>
          <w:rFonts w:hint="eastAsia" w:ascii="仿宋" w:hAnsi="仿宋" w:eastAsia="仿宋"/>
          <w:color w:val="auto"/>
          <w:sz w:val="28"/>
          <w:szCs w:val="28"/>
        </w:rPr>
        <w:t>：江西华谦医疗器械有限公司</w:t>
      </w:r>
    </w:p>
    <w:p>
      <w:pPr>
        <w:pStyle w:val="11"/>
        <w:spacing w:line="240" w:lineRule="auto"/>
        <w:ind w:left="720" w:leftChars="0" w:firstLine="0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供应商地址</w:t>
      </w:r>
      <w:r>
        <w:rPr>
          <w:rFonts w:hint="eastAsia" w:ascii="仿宋" w:hAnsi="仿宋" w:eastAsia="仿宋"/>
          <w:color w:val="auto"/>
          <w:sz w:val="28"/>
          <w:szCs w:val="28"/>
        </w:rPr>
        <w:t>：江西省南昌市进贤县泉岭乡学前路21-2号。</w:t>
      </w:r>
    </w:p>
    <w:p>
      <w:pPr>
        <w:pStyle w:val="11"/>
        <w:spacing w:line="240" w:lineRule="auto"/>
        <w:ind w:left="720" w:leftChars="0" w:firstLine="0" w:firstLineChars="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中标（成交）金额</w:t>
      </w:r>
      <w:r>
        <w:rPr>
          <w:rFonts w:hint="eastAsia" w:ascii="仿宋" w:hAnsi="仿宋" w:eastAsia="仿宋"/>
          <w:color w:val="auto"/>
          <w:sz w:val="28"/>
          <w:szCs w:val="28"/>
        </w:rPr>
        <w:t>：人民币伍拾玖万玖仟元整（￥599000.00）</w:t>
      </w:r>
    </w:p>
    <w:p>
      <w:pPr>
        <w:pStyle w:val="11"/>
        <w:spacing w:line="240" w:lineRule="auto"/>
        <w:ind w:left="720" w:leftChars="0" w:firstLine="0" w:firstLineChars="0"/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主要标的信息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1193"/>
        <w:gridCol w:w="1431"/>
        <w:gridCol w:w="1431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11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11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93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31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1431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数量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套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92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11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DR设备</w:t>
            </w:r>
          </w:p>
        </w:tc>
        <w:tc>
          <w:tcPr>
            <w:tcW w:w="1193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431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深圳迈瑞</w:t>
            </w:r>
          </w:p>
        </w:tc>
        <w:tc>
          <w:tcPr>
            <w:tcW w:w="1431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2" w:type="dxa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lang w:val="en-US" w:eastAsia="zh-CN"/>
              </w:rPr>
              <w:t>599000.00</w:t>
            </w:r>
            <w:bookmarkStart w:id="12" w:name="_GoBack"/>
            <w:bookmarkEnd w:id="12"/>
          </w:p>
        </w:tc>
      </w:tr>
    </w:tbl>
    <w:p>
      <w:pPr>
        <w:pStyle w:val="11"/>
        <w:spacing w:line="240" w:lineRule="auto"/>
        <w:ind w:left="720" w:leftChars="0" w:firstLine="0" w:firstLineChars="0"/>
        <w:rPr>
          <w:rFonts w:ascii="黑体" w:hAnsi="黑体" w:eastAsia="黑体" w:cs="Times New Roman"/>
          <w:color w:val="auto"/>
          <w:sz w:val="28"/>
          <w:szCs w:val="28"/>
        </w:rPr>
      </w:pPr>
    </w:p>
    <w:p>
      <w:pPr>
        <w:pStyle w:val="11"/>
        <w:numPr>
          <w:ilvl w:val="0"/>
          <w:numId w:val="1"/>
        </w:numPr>
        <w:spacing w:line="240" w:lineRule="auto"/>
        <w:ind w:left="0" w:leftChars="0" w:firstLineChars="0"/>
        <w:rPr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谈判小组成员名单:</w:t>
      </w:r>
      <w:r>
        <w:rPr>
          <w:rFonts w:hint="eastAsia"/>
          <w:color w:val="auto"/>
          <w:sz w:val="28"/>
          <w:szCs w:val="28"/>
        </w:rPr>
        <w:t xml:space="preserve"> 钟天路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(组长)、钟传德、文敏（业主评委）</w:t>
      </w:r>
    </w:p>
    <w:p>
      <w:pPr>
        <w:pStyle w:val="11"/>
        <w:numPr>
          <w:ilvl w:val="0"/>
          <w:numId w:val="1"/>
        </w:numPr>
        <w:spacing w:line="240" w:lineRule="auto"/>
        <w:ind w:left="0" w:leftChars="0" w:firstLineChars="0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代理服务收费标准及金额：</w:t>
      </w:r>
      <w:r>
        <w:rPr>
          <w:rFonts w:hint="eastAsia" w:asciiTheme="minorEastAsia" w:hAnsiTheme="minorEastAsia"/>
          <w:color w:val="auto"/>
          <w:sz w:val="28"/>
          <w:szCs w:val="28"/>
        </w:rPr>
        <w:t>成交服务费经双方商定按计价【2002】1980号《招标代理服务费收费管理暂行办法》货物类收费标准，以成交价为基数，按差额定率累进法计算：100万元以下的费率为1.5%；100-500万元的费率为1.1%计算收取，领取成交通知书前，成交供应商应向采购代理机构一次性付清成交服务费.</w:t>
      </w:r>
    </w:p>
    <w:p>
      <w:pPr>
        <w:pStyle w:val="11"/>
        <w:numPr>
          <w:ilvl w:val="0"/>
          <w:numId w:val="1"/>
        </w:numPr>
        <w:spacing w:line="240" w:lineRule="auto"/>
        <w:ind w:left="0" w:leftChars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公告期限</w:t>
      </w:r>
    </w:p>
    <w:p>
      <w:pPr>
        <w:pStyle w:val="11"/>
        <w:spacing w:line="240" w:lineRule="auto"/>
        <w:ind w:left="720" w:leftChars="0" w:firstLine="0" w:firstLineChars="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个工作日。</w:t>
      </w:r>
    </w:p>
    <w:p>
      <w:pPr>
        <w:pStyle w:val="11"/>
        <w:numPr>
          <w:ilvl w:val="0"/>
          <w:numId w:val="1"/>
        </w:numPr>
        <w:spacing w:line="240" w:lineRule="auto"/>
        <w:ind w:left="0" w:leftChars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其他补充事宜</w:t>
      </w:r>
    </w:p>
    <w:p>
      <w:pPr>
        <w:pStyle w:val="11"/>
        <w:spacing w:line="240" w:lineRule="auto"/>
        <w:ind w:left="862" w:leftChars="0" w:firstLine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ascii="黑体" w:hAnsi="黑体" w:eastAsia="黑体"/>
          <w:color w:val="auto"/>
          <w:sz w:val="28"/>
          <w:szCs w:val="28"/>
        </w:rPr>
        <w:t>无</w:t>
      </w:r>
    </w:p>
    <w:p>
      <w:pPr>
        <w:pStyle w:val="11"/>
        <w:numPr>
          <w:ilvl w:val="0"/>
          <w:numId w:val="1"/>
        </w:numPr>
        <w:spacing w:line="240" w:lineRule="auto"/>
        <w:ind w:left="0" w:leftChars="0" w:firstLineChars="0"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凡对本次公告内容提出询问，请按以下方式联系。</w:t>
      </w:r>
    </w:p>
    <w:p>
      <w:pPr>
        <w:pStyle w:val="2"/>
        <w:spacing w:line="240" w:lineRule="auto"/>
        <w:ind w:left="862" w:leftChars="0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0" w:name="_Toc28359023"/>
      <w:bookmarkStart w:id="1" w:name="_Toc35393810"/>
      <w:bookmarkStart w:id="2" w:name="_Toc35393641"/>
      <w:bookmarkStart w:id="3" w:name="_Toc28359100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pStyle w:val="11"/>
        <w:spacing w:line="240" w:lineRule="auto"/>
        <w:ind w:left="862" w:leftChars="0" w:firstLine="0" w:firstLineChars="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　　玉林市玉州区城西街道社区卫生服务中心　</w:t>
      </w:r>
    </w:p>
    <w:p>
      <w:pPr>
        <w:pStyle w:val="11"/>
        <w:spacing w:line="240" w:lineRule="auto"/>
        <w:ind w:left="862" w:leftChars="0" w:firstLine="0" w:firstLineChars="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    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　　　　　玉林市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玉州区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　　    </w:t>
      </w:r>
    </w:p>
    <w:p>
      <w:pPr>
        <w:pStyle w:val="11"/>
        <w:spacing w:line="240" w:lineRule="auto"/>
        <w:ind w:left="862" w:leftChars="0" w:firstLine="0" w:firstLineChars="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　　　0775-2080868　　　　 </w:t>
      </w:r>
    </w:p>
    <w:p>
      <w:pPr>
        <w:pStyle w:val="2"/>
        <w:spacing w:line="240" w:lineRule="auto"/>
        <w:ind w:left="142" w:leftChars="0" w:firstLine="280" w:firstLineChars="100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4" w:name="_Toc28359101"/>
      <w:bookmarkStart w:id="5" w:name="_Toc35393642"/>
      <w:bookmarkStart w:id="6" w:name="_Toc28359024"/>
      <w:bookmarkStart w:id="7" w:name="_Toc35393811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pStyle w:val="11"/>
        <w:spacing w:line="240" w:lineRule="auto"/>
        <w:ind w:left="862" w:leftChars="0" w:firstLine="0" w:firstLineChars="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　　　　广西金算子建设工程咨询有限公司　 　</w:t>
      </w:r>
    </w:p>
    <w:p>
      <w:pPr>
        <w:spacing w:line="24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　  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　　　　玉林市玉州区民主中路东明南环里2号　　　　　 </w:t>
      </w:r>
    </w:p>
    <w:p>
      <w:pPr>
        <w:pStyle w:val="11"/>
        <w:spacing w:line="240" w:lineRule="auto"/>
        <w:ind w:left="862" w:leftChars="0" w:firstLine="0" w:firstLineChars="0"/>
        <w:rPr>
          <w:rFonts w:hint="default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color w:val="auto"/>
          <w:sz w:val="28"/>
          <w:szCs w:val="28"/>
          <w:u w:val="single"/>
        </w:rPr>
        <w:t>0775-2509987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pStyle w:val="2"/>
        <w:spacing w:line="240" w:lineRule="auto"/>
        <w:ind w:left="862" w:leftChars="0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8" w:name="_Toc35393812"/>
      <w:bookmarkStart w:id="9" w:name="_Toc28359025"/>
      <w:bookmarkStart w:id="10" w:name="_Toc28359102"/>
      <w:bookmarkStart w:id="11" w:name="_Toc35393643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color w:val="auto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3"/>
        <w:spacing w:line="240" w:lineRule="auto"/>
        <w:ind w:left="862" w:leftChars="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李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工</w:t>
      </w:r>
    </w:p>
    <w:p>
      <w:pPr>
        <w:pStyle w:val="11"/>
        <w:spacing w:line="240" w:lineRule="auto"/>
        <w:ind w:left="862" w:leftChars="0" w:firstLine="0" w:firstLineChars="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　  话：</w:t>
      </w:r>
      <w:r>
        <w:rPr>
          <w:rFonts w:ascii="仿宋" w:hAnsi="仿宋" w:eastAsia="仿宋"/>
          <w:color w:val="auto"/>
          <w:sz w:val="28"/>
          <w:szCs w:val="28"/>
          <w:u w:val="single"/>
        </w:rPr>
        <w:t>0775-2509987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</w:t>
      </w:r>
    </w:p>
    <w:p>
      <w:pPr>
        <w:pStyle w:val="11"/>
        <w:numPr>
          <w:ilvl w:val="0"/>
          <w:numId w:val="1"/>
        </w:numPr>
        <w:spacing w:line="240" w:lineRule="auto"/>
        <w:ind w:left="0" w:leftChars="0" w:firstLineChars="0"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附件</w:t>
      </w:r>
    </w:p>
    <w:p>
      <w:pPr>
        <w:pStyle w:val="11"/>
        <w:spacing w:line="240" w:lineRule="auto"/>
        <w:ind w:left="862" w:leftChars="0" w:firstLine="0" w:firstLineChars="0"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1.成交结果公告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B646F"/>
    <w:multiLevelType w:val="multilevel"/>
    <w:tmpl w:val="5EBB646F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 w:ascii="黑体" w:hAnsi="黑体" w:eastAsia="黑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0F387A"/>
    <w:rsid w:val="000167E0"/>
    <w:rsid w:val="000B3925"/>
    <w:rsid w:val="00150F57"/>
    <w:rsid w:val="00173845"/>
    <w:rsid w:val="002F6FCF"/>
    <w:rsid w:val="00345F53"/>
    <w:rsid w:val="0038031B"/>
    <w:rsid w:val="00380E81"/>
    <w:rsid w:val="00483605"/>
    <w:rsid w:val="004854EC"/>
    <w:rsid w:val="00491FC3"/>
    <w:rsid w:val="00512C5D"/>
    <w:rsid w:val="005B09B7"/>
    <w:rsid w:val="0064048A"/>
    <w:rsid w:val="00675F45"/>
    <w:rsid w:val="00743DAC"/>
    <w:rsid w:val="00750B02"/>
    <w:rsid w:val="007877D0"/>
    <w:rsid w:val="007A5EF0"/>
    <w:rsid w:val="008046E7"/>
    <w:rsid w:val="0081241B"/>
    <w:rsid w:val="009662D3"/>
    <w:rsid w:val="009B38E5"/>
    <w:rsid w:val="00AD3332"/>
    <w:rsid w:val="00AF4704"/>
    <w:rsid w:val="00B416A3"/>
    <w:rsid w:val="00BE1CF4"/>
    <w:rsid w:val="00CB58AD"/>
    <w:rsid w:val="00D205BE"/>
    <w:rsid w:val="01BC7B00"/>
    <w:rsid w:val="050F387A"/>
    <w:rsid w:val="0CEC5053"/>
    <w:rsid w:val="0F8A1CBB"/>
    <w:rsid w:val="1D0315F1"/>
    <w:rsid w:val="44BB692D"/>
    <w:rsid w:val="54A443D6"/>
    <w:rsid w:val="78C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215</Characters>
  <Lines>1</Lines>
  <Paragraphs>1</Paragraphs>
  <TotalTime>7</TotalTime>
  <ScaleCrop>false</ScaleCrop>
  <LinksUpToDate>false</LinksUpToDate>
  <CharactersWithSpaces>710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2020-09-25T07:49:00Z</dcterms:created>
  <dc:creator>TMM123</dc:creator>
  <cp:lastModifiedBy>Administrator</cp:lastModifiedBy>
  <dcterms:modified xsi:type="dcterms:W3CDTF">2020-11-27T09:15:11Z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