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165" w:beforeLines="50" w:line="360" w:lineRule="auto"/>
        <w:jc w:val="center"/>
        <w:rPr>
          <w:rFonts w:hint="eastAsia" w:ascii="华文新魏" w:hAnsi="宋体" w:eastAsia="华文新魏"/>
          <w:color w:val="auto"/>
          <w:sz w:val="72"/>
          <w:szCs w:val="72"/>
          <w:highlight w:val="none"/>
        </w:rPr>
      </w:pPr>
    </w:p>
    <w:p>
      <w:pPr>
        <w:snapToGrid w:val="0"/>
        <w:spacing w:before="165" w:beforeLines="50" w:line="360" w:lineRule="auto"/>
        <w:jc w:val="center"/>
        <w:rPr>
          <w:rFonts w:hint="eastAsia" w:ascii="华文新魏" w:hAnsi="宋体" w:eastAsia="华文新魏"/>
          <w:color w:val="auto"/>
          <w:sz w:val="72"/>
          <w:szCs w:val="72"/>
          <w:highlight w:val="none"/>
        </w:rPr>
      </w:pPr>
    </w:p>
    <w:p>
      <w:pPr>
        <w:snapToGrid w:val="0"/>
        <w:spacing w:before="165" w:beforeLines="50" w:line="360" w:lineRule="auto"/>
        <w:jc w:val="center"/>
        <w:rPr>
          <w:rFonts w:hint="eastAsia" w:ascii="华文新魏" w:hAnsi="宋体" w:eastAsia="华文新魏"/>
          <w:color w:val="auto"/>
          <w:sz w:val="72"/>
          <w:szCs w:val="72"/>
          <w:highlight w:val="none"/>
        </w:rPr>
      </w:pPr>
      <w:r>
        <w:rPr>
          <w:rFonts w:hint="eastAsia" w:ascii="华文新魏" w:hAnsi="宋体" w:eastAsia="华文新魏"/>
          <w:color w:val="auto"/>
          <w:sz w:val="72"/>
          <w:szCs w:val="72"/>
          <w:highlight w:val="none"/>
        </w:rPr>
        <w:t>招 标 文 件</w:t>
      </w:r>
    </w:p>
    <w:p>
      <w:pPr>
        <w:snapToGrid w:val="0"/>
        <w:spacing w:before="165" w:beforeLines="50" w:line="360" w:lineRule="auto"/>
        <w:jc w:val="center"/>
        <w:rPr>
          <w:rFonts w:hint="eastAsia" w:ascii="仿宋_GB2312" w:hAnsi="宋体" w:eastAsia="仿宋_GB2312"/>
          <w:color w:val="auto"/>
          <w:sz w:val="30"/>
          <w:szCs w:val="72"/>
          <w:highlight w:val="none"/>
        </w:rPr>
      </w:pPr>
      <w:r>
        <w:rPr>
          <w:rFonts w:hint="eastAsia" w:ascii="仿宋_GB2312" w:hAnsi="宋体" w:eastAsia="仿宋_GB2312"/>
          <w:color w:val="auto"/>
          <w:sz w:val="30"/>
          <w:szCs w:val="72"/>
          <w:highlight w:val="none"/>
        </w:rPr>
        <w:t>（全流程电子化评标）</w:t>
      </w:r>
    </w:p>
    <w:p>
      <w:pPr>
        <w:snapToGrid w:val="0"/>
        <w:spacing w:before="165" w:beforeLines="50" w:line="360" w:lineRule="auto"/>
        <w:rPr>
          <w:rFonts w:hint="eastAsia" w:ascii="仿宋_GB2312" w:hAnsi="宋体" w:eastAsia="仿宋_GB2312"/>
          <w:color w:val="auto"/>
          <w:sz w:val="30"/>
          <w:szCs w:val="72"/>
          <w:highlight w:val="none"/>
        </w:rPr>
      </w:pPr>
    </w:p>
    <w:p>
      <w:pPr>
        <w:snapToGrid w:val="0"/>
        <w:spacing w:before="165" w:beforeLines="50" w:line="360" w:lineRule="auto"/>
        <w:rPr>
          <w:rFonts w:hint="eastAsia" w:ascii="仿宋_GB2312" w:hAnsi="宋体" w:eastAsia="仿宋_GB2312"/>
          <w:color w:val="auto"/>
          <w:sz w:val="30"/>
          <w:szCs w:val="72"/>
          <w:highlight w:val="none"/>
        </w:rPr>
      </w:pPr>
    </w:p>
    <w:p>
      <w:pPr>
        <w:pStyle w:val="21"/>
        <w:snapToGrid w:val="0"/>
        <w:spacing w:before="50" w:after="120" w:line="360" w:lineRule="auto"/>
        <w:ind w:firstLine="301" w:firstLineChars="100"/>
        <w:rPr>
          <w:rFonts w:hint="eastAsia" w:ascii="仿宋_GB2312" w:hAnsi="宋体" w:eastAsia="仿宋_GB2312"/>
          <w:b/>
          <w:bCs/>
          <w:color w:val="auto"/>
          <w:sz w:val="30"/>
          <w:szCs w:val="30"/>
          <w:highlight w:val="none"/>
          <w:lang w:eastAsia="zh-CN"/>
        </w:rPr>
      </w:pPr>
      <w:r>
        <w:rPr>
          <w:rFonts w:hint="eastAsia" w:ascii="仿宋_GB2312" w:hAnsi="宋体" w:eastAsia="仿宋_GB2312"/>
          <w:b/>
          <w:bCs/>
          <w:color w:val="auto"/>
          <w:sz w:val="30"/>
          <w:szCs w:val="30"/>
          <w:highlight w:val="none"/>
        </w:rPr>
        <w:t>项目</w:t>
      </w:r>
      <w:r>
        <w:rPr>
          <w:rFonts w:hint="eastAsia" w:ascii="仿宋_GB2312" w:hAnsi="宋体" w:eastAsia="仿宋_GB2312" w:cs="Courier New"/>
          <w:b/>
          <w:bCs/>
          <w:color w:val="auto"/>
          <w:w w:val="95"/>
          <w:sz w:val="30"/>
          <w:szCs w:val="30"/>
          <w:highlight w:val="none"/>
        </w:rPr>
        <w:t>名称</w:t>
      </w:r>
      <w:r>
        <w:rPr>
          <w:rFonts w:hint="eastAsia" w:ascii="仿宋_GB2312" w:hAnsi="宋体" w:eastAsia="仿宋_GB2312"/>
          <w:b/>
          <w:bCs/>
          <w:color w:val="auto"/>
          <w:sz w:val="30"/>
          <w:szCs w:val="30"/>
          <w:highlight w:val="none"/>
        </w:rPr>
        <w:t>：</w:t>
      </w:r>
      <w:bookmarkStart w:id="257" w:name="_GoBack"/>
      <w:r>
        <w:rPr>
          <w:rFonts w:hint="eastAsia" w:ascii="仿宋_GB2312" w:hAnsi="宋体" w:eastAsia="仿宋_GB2312"/>
          <w:b/>
          <w:bCs/>
          <w:color w:val="auto"/>
          <w:sz w:val="30"/>
          <w:szCs w:val="30"/>
          <w:highlight w:val="none"/>
          <w:lang w:eastAsia="zh-CN"/>
        </w:rPr>
        <w:t>广西医科大学玉林校区零星建设服务</w:t>
      </w:r>
    </w:p>
    <w:bookmarkEnd w:id="257"/>
    <w:p>
      <w:pPr>
        <w:snapToGrid w:val="0"/>
        <w:spacing w:before="165" w:beforeLines="50" w:line="360" w:lineRule="auto"/>
        <w:ind w:firstLine="286" w:firstLineChars="100"/>
        <w:rPr>
          <w:rFonts w:hint="eastAsia" w:ascii="仿宋_GB2312" w:hAnsi="宋体" w:eastAsia="仿宋_GB2312"/>
          <w:b/>
          <w:color w:val="auto"/>
          <w:sz w:val="30"/>
          <w:szCs w:val="48"/>
          <w:highlight w:val="none"/>
          <w:lang w:eastAsia="zh-CN"/>
        </w:rPr>
      </w:pPr>
      <w:r>
        <w:rPr>
          <w:rFonts w:hint="eastAsia" w:ascii="仿宋_GB2312" w:hAnsi="宋体" w:eastAsia="仿宋_GB2312" w:cs="Courier New"/>
          <w:b/>
          <w:bCs/>
          <w:color w:val="auto"/>
          <w:w w:val="95"/>
          <w:sz w:val="30"/>
          <w:szCs w:val="30"/>
          <w:highlight w:val="none"/>
        </w:rPr>
        <w:t>项目</w:t>
      </w:r>
      <w:r>
        <w:rPr>
          <w:rFonts w:hint="eastAsia" w:ascii="仿宋_GB2312" w:hAnsi="宋体" w:eastAsia="仿宋_GB2312"/>
          <w:b/>
          <w:bCs/>
          <w:color w:val="auto"/>
          <w:sz w:val="30"/>
          <w:szCs w:val="30"/>
          <w:highlight w:val="none"/>
        </w:rPr>
        <w:t>编号</w:t>
      </w:r>
      <w:r>
        <w:rPr>
          <w:rFonts w:hint="eastAsia" w:ascii="仿宋_GB2312" w:hAnsi="宋体" w:eastAsia="仿宋_GB2312" w:cs="Courier New"/>
          <w:b/>
          <w:bCs/>
          <w:color w:val="auto"/>
          <w:w w:val="95"/>
          <w:sz w:val="30"/>
          <w:szCs w:val="30"/>
          <w:highlight w:val="none"/>
        </w:rPr>
        <w:t>：</w:t>
      </w:r>
      <w:r>
        <w:rPr>
          <w:rFonts w:hint="eastAsia" w:ascii="仿宋_GB2312" w:hAnsi="宋体" w:eastAsia="仿宋_GB2312" w:cs="Courier New"/>
          <w:b/>
          <w:bCs/>
          <w:color w:val="auto"/>
          <w:w w:val="95"/>
          <w:sz w:val="30"/>
          <w:szCs w:val="30"/>
          <w:highlight w:val="none"/>
          <w:lang w:val="en" w:eastAsia="zh-CN"/>
        </w:rPr>
        <w:t>GXZC2024-G3-000144-JGJD</w:t>
      </w:r>
    </w:p>
    <w:p>
      <w:pPr>
        <w:pStyle w:val="21"/>
        <w:snapToGrid w:val="0"/>
        <w:spacing w:before="50" w:after="120" w:line="360" w:lineRule="auto"/>
        <w:ind w:firstLine="286" w:firstLineChars="100"/>
        <w:rPr>
          <w:rFonts w:hint="eastAsia" w:ascii="仿宋_GB2312" w:hAnsi="宋体" w:eastAsia="仿宋_GB2312"/>
          <w:b/>
          <w:bCs/>
          <w:color w:val="auto"/>
          <w:w w:val="95"/>
          <w:sz w:val="30"/>
          <w:szCs w:val="30"/>
          <w:highlight w:val="none"/>
        </w:rPr>
      </w:pPr>
      <w:r>
        <w:rPr>
          <w:rFonts w:hint="eastAsia" w:ascii="仿宋_GB2312" w:hAnsi="宋体" w:eastAsia="仿宋_GB2312"/>
          <w:b/>
          <w:bCs/>
          <w:color w:val="auto"/>
          <w:w w:val="95"/>
          <w:sz w:val="30"/>
          <w:szCs w:val="30"/>
          <w:highlight w:val="none"/>
        </w:rPr>
        <w:t>采 购 人：广西医科大学</w:t>
      </w:r>
    </w:p>
    <w:p>
      <w:pPr>
        <w:pStyle w:val="21"/>
        <w:snapToGrid w:val="0"/>
        <w:spacing w:before="50" w:after="120" w:line="360" w:lineRule="auto"/>
        <w:ind w:firstLine="286" w:firstLineChars="100"/>
        <w:rPr>
          <w:rFonts w:hint="eastAsia" w:ascii="仿宋_GB2312" w:hAnsi="宋体" w:eastAsia="仿宋_GB2312"/>
          <w:b/>
          <w:bCs/>
          <w:color w:val="auto"/>
          <w:w w:val="95"/>
          <w:sz w:val="30"/>
          <w:szCs w:val="30"/>
          <w:highlight w:val="none"/>
        </w:rPr>
      </w:pPr>
      <w:r>
        <w:rPr>
          <w:rFonts w:hint="eastAsia" w:ascii="仿宋_GB2312" w:hAnsi="宋体" w:eastAsia="仿宋_GB2312"/>
          <w:b/>
          <w:bCs/>
          <w:color w:val="auto"/>
          <w:w w:val="95"/>
          <w:sz w:val="30"/>
          <w:szCs w:val="30"/>
          <w:highlight w:val="none"/>
        </w:rPr>
        <w:t>采购代理机构：</w:t>
      </w:r>
      <w:bookmarkStart w:id="0" w:name="PO_3000001866_PM031"/>
      <w:r>
        <w:rPr>
          <w:rFonts w:hint="eastAsia" w:ascii="仿宋_GB2312" w:hAnsi="宋体" w:eastAsia="仿宋_GB2312"/>
          <w:b/>
          <w:bCs/>
          <w:color w:val="auto"/>
          <w:w w:val="95"/>
          <w:sz w:val="30"/>
          <w:szCs w:val="30"/>
          <w:highlight w:val="none"/>
        </w:rPr>
        <w:t>广西建设工程机电设备招标中心有限公司</w:t>
      </w:r>
      <w:bookmarkEnd w:id="0"/>
    </w:p>
    <w:p>
      <w:pPr>
        <w:pStyle w:val="21"/>
        <w:snapToGrid w:val="0"/>
        <w:spacing w:before="50" w:after="120" w:line="360" w:lineRule="auto"/>
        <w:ind w:firstLine="841" w:firstLineChars="294"/>
        <w:rPr>
          <w:rFonts w:hint="eastAsia" w:ascii="仿宋_GB2312" w:hAnsi="宋体" w:eastAsia="仿宋_GB2312"/>
          <w:b/>
          <w:bCs/>
          <w:color w:val="auto"/>
          <w:w w:val="95"/>
          <w:sz w:val="30"/>
          <w:szCs w:val="30"/>
          <w:highlight w:val="none"/>
          <w:lang w:eastAsia="zh-CN"/>
        </w:rPr>
      </w:pPr>
      <w:r>
        <w:rPr>
          <w:rFonts w:hint="eastAsia" w:ascii="仿宋_GB2312" w:hAnsi="宋体" w:eastAsia="仿宋_GB2312"/>
          <w:b/>
          <w:bCs/>
          <w:color w:val="auto"/>
          <w:w w:val="95"/>
          <w:sz w:val="30"/>
          <w:szCs w:val="30"/>
          <w:highlight w:val="none"/>
        </w:rPr>
        <w:t xml:space="preserve">            </w:t>
      </w:r>
      <w:r>
        <w:rPr>
          <w:rFonts w:hint="eastAsia" w:ascii="仿宋_GB2312" w:hAnsi="宋体" w:eastAsia="仿宋_GB2312"/>
          <w:b/>
          <w:bCs/>
          <w:color w:val="auto"/>
          <w:w w:val="95"/>
          <w:sz w:val="30"/>
          <w:szCs w:val="30"/>
          <w:highlight w:val="none"/>
          <w:lang w:eastAsia="zh-CN"/>
        </w:rPr>
        <w:t xml:space="preserve"> 2024年3月29日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7617"/>
        </w:tabs>
        <w:jc w:val="left"/>
        <w:rPr>
          <w:rFonts w:hint="eastAsia"/>
          <w:color w:val="auto"/>
          <w:highlight w:val="none"/>
        </w:rPr>
        <w:sectPr>
          <w:footerReference r:id="rId3" w:type="default"/>
          <w:pgSz w:w="11905" w:h="16838"/>
          <w:pgMar w:top="1134" w:right="1134" w:bottom="1134" w:left="1134" w:header="720" w:footer="720" w:gutter="0"/>
          <w:pgNumType w:start="1"/>
          <w:cols w:space="720" w:num="1"/>
          <w:docGrid w:type="lines" w:linePitch="331" w:charSpace="0"/>
        </w:sectPr>
      </w:pPr>
      <w:r>
        <w:rPr>
          <w:rFonts w:hint="eastAsia"/>
          <w:color w:val="auto"/>
          <w:highlight w:val="none"/>
        </w:rPr>
        <w:tab/>
      </w:r>
    </w:p>
    <w:p>
      <w:pPr>
        <w:pStyle w:val="21"/>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w:t>
      </w:r>
      <w:r>
        <w:rPr>
          <w:rFonts w:ascii="Times New Roman" w:hAnsi="Times New Roman"/>
          <w:b/>
          <w:color w:val="auto"/>
          <w:sz w:val="48"/>
          <w:szCs w:val="48"/>
          <w:highlight w:val="none"/>
        </w:rPr>
        <w:t xml:space="preserve">     </w:t>
      </w:r>
      <w:r>
        <w:rPr>
          <w:rFonts w:hint="eastAsia" w:ascii="Times New Roman" w:hAnsi="Times New Roman"/>
          <w:b/>
          <w:color w:val="auto"/>
          <w:sz w:val="48"/>
          <w:szCs w:val="48"/>
          <w:highlight w:val="none"/>
        </w:rPr>
        <w:t>录</w:t>
      </w:r>
    </w:p>
    <w:p>
      <w:pPr>
        <w:pStyle w:val="29"/>
        <w:tabs>
          <w:tab w:val="right" w:leader="dot" w:pos="9637"/>
        </w:tabs>
      </w:pPr>
      <w:r>
        <w:rPr>
          <w:rFonts w:hAnsi="宋体"/>
          <w:b w:val="0"/>
          <w:bCs w:val="0"/>
          <w:caps w:val="0"/>
          <w:color w:val="auto"/>
          <w:sz w:val="28"/>
          <w:szCs w:val="28"/>
          <w:highlight w:val="none"/>
        </w:rPr>
        <w:fldChar w:fldCharType="begin"/>
      </w:r>
      <w:r>
        <w:rPr>
          <w:rFonts w:hAnsi="宋体"/>
          <w:b w:val="0"/>
          <w:bCs w:val="0"/>
          <w:caps w:val="0"/>
          <w:color w:val="auto"/>
          <w:sz w:val="28"/>
          <w:szCs w:val="28"/>
          <w:highlight w:val="none"/>
        </w:rPr>
        <w:instrText xml:space="preserve"> TOC \o "1-3" \h \z \u </w:instrText>
      </w:r>
      <w:r>
        <w:rPr>
          <w:rFonts w:hAnsi="宋体"/>
          <w:b w:val="0"/>
          <w:bCs w:val="0"/>
          <w:caps w:val="0"/>
          <w:color w:val="auto"/>
          <w:sz w:val="28"/>
          <w:szCs w:val="28"/>
          <w:highlight w:val="none"/>
        </w:rPr>
        <w:fldChar w:fldCharType="separate"/>
      </w: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_Toc9409 </w:instrText>
      </w:r>
      <w:r>
        <w:rPr>
          <w:rFonts w:ascii="Calibri" w:hAnsi="宋体"/>
          <w:bCs/>
          <w:caps/>
          <w:szCs w:val="28"/>
          <w:highlight w:val="none"/>
        </w:rPr>
        <w:fldChar w:fldCharType="separate"/>
      </w:r>
      <w:r>
        <w:rPr>
          <w:rFonts w:hint="eastAsia" w:ascii="Times New Roman" w:hAnsi="Times New Roman"/>
          <w:highlight w:val="none"/>
        </w:rPr>
        <w:t>第一章</w:t>
      </w:r>
      <w:r>
        <w:rPr>
          <w:rFonts w:ascii="Times New Roman" w:hAnsi="Times New Roman"/>
          <w:highlight w:val="none"/>
        </w:rPr>
        <w:t xml:space="preserve">  </w:t>
      </w:r>
      <w:r>
        <w:rPr>
          <w:rFonts w:hint="eastAsia" w:ascii="Times New Roman" w:hAnsi="Times New Roman"/>
          <w:highlight w:val="none"/>
        </w:rPr>
        <w:t>招标公告</w:t>
      </w:r>
      <w:r>
        <w:tab/>
      </w:r>
      <w:r>
        <w:fldChar w:fldCharType="begin"/>
      </w:r>
      <w:r>
        <w:instrText xml:space="preserve"> PAGEREF _Toc9409 \h </w:instrText>
      </w:r>
      <w:r>
        <w:fldChar w:fldCharType="separate"/>
      </w:r>
      <w:r>
        <w:t>3</w:t>
      </w:r>
      <w:r>
        <w:fldChar w:fldCharType="end"/>
      </w:r>
      <w:r>
        <w:rPr>
          <w:rFonts w:ascii="Calibri" w:hAnsi="宋体"/>
          <w:bCs/>
          <w:caps/>
          <w:color w:val="auto"/>
          <w:szCs w:val="28"/>
          <w:highlight w:val="none"/>
          <w:u w:val="single"/>
        </w:rPr>
        <w:fldChar w:fldCharType="end"/>
      </w:r>
    </w:p>
    <w:p>
      <w:pPr>
        <w:pStyle w:val="29"/>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_Toc21981 </w:instrText>
      </w:r>
      <w:r>
        <w:rPr>
          <w:rFonts w:ascii="Calibri" w:hAnsi="宋体"/>
          <w:bCs/>
          <w:caps/>
          <w:szCs w:val="28"/>
          <w:highlight w:val="none"/>
        </w:rPr>
        <w:fldChar w:fldCharType="separate"/>
      </w:r>
      <w:r>
        <w:rPr>
          <w:rFonts w:hint="default" w:ascii="Cambria" w:hAnsi="Cambria"/>
          <w:bCs w:val="0"/>
          <w:szCs w:val="36"/>
          <w:highlight w:val="none"/>
        </w:rPr>
        <w:t>第二章 采购需求</w:t>
      </w:r>
      <w:r>
        <w:tab/>
      </w:r>
      <w:r>
        <w:fldChar w:fldCharType="begin"/>
      </w:r>
      <w:r>
        <w:instrText xml:space="preserve"> PAGEREF _Toc21981 \h </w:instrText>
      </w:r>
      <w:r>
        <w:fldChar w:fldCharType="separate"/>
      </w:r>
      <w:r>
        <w:t>7</w:t>
      </w:r>
      <w:r>
        <w:fldChar w:fldCharType="end"/>
      </w:r>
      <w:r>
        <w:rPr>
          <w:rFonts w:ascii="Calibri" w:hAnsi="宋体"/>
          <w:bCs/>
          <w:caps/>
          <w:color w:val="auto"/>
          <w:szCs w:val="28"/>
          <w:highlight w:val="none"/>
          <w:u w:val="single"/>
        </w:rPr>
        <w:fldChar w:fldCharType="end"/>
      </w:r>
    </w:p>
    <w:p>
      <w:pPr>
        <w:pStyle w:val="29"/>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_Toc30015 </w:instrText>
      </w:r>
      <w:r>
        <w:rPr>
          <w:rFonts w:ascii="Calibri" w:hAnsi="宋体"/>
          <w:bCs/>
          <w:caps/>
          <w:szCs w:val="28"/>
          <w:highlight w:val="none"/>
        </w:rPr>
        <w:fldChar w:fldCharType="separate"/>
      </w:r>
      <w:r>
        <w:rPr>
          <w:rFonts w:hint="eastAsia" w:ascii="Times New Roman" w:hAnsi="Times New Roman"/>
          <w:highlight w:val="none"/>
        </w:rPr>
        <w:t>第三章</w:t>
      </w:r>
      <w:r>
        <w:rPr>
          <w:rFonts w:ascii="Times New Roman" w:hAnsi="Times New Roman"/>
          <w:highlight w:val="none"/>
        </w:rPr>
        <w:t xml:space="preserve">  </w:t>
      </w:r>
      <w:r>
        <w:rPr>
          <w:rFonts w:hint="eastAsia" w:ascii="Times New Roman" w:hAnsi="Times New Roman"/>
          <w:highlight w:val="none"/>
        </w:rPr>
        <w:t>投标人须知</w:t>
      </w:r>
      <w:r>
        <w:tab/>
      </w:r>
      <w:r>
        <w:fldChar w:fldCharType="begin"/>
      </w:r>
      <w:r>
        <w:instrText xml:space="preserve"> PAGEREF _Toc30015 \h </w:instrText>
      </w:r>
      <w:r>
        <w:fldChar w:fldCharType="separate"/>
      </w:r>
      <w:r>
        <w:t>22</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_Toc6244 </w:instrText>
      </w:r>
      <w:r>
        <w:rPr>
          <w:rFonts w:ascii="Calibri" w:hAnsi="宋体"/>
          <w:bCs/>
          <w:caps/>
          <w:szCs w:val="28"/>
          <w:highlight w:val="none"/>
        </w:rPr>
        <w:fldChar w:fldCharType="separate"/>
      </w:r>
      <w:r>
        <w:rPr>
          <w:rFonts w:hint="eastAsia" w:ascii="Times New Roman" w:hAnsi="Times New Roman"/>
          <w:szCs w:val="30"/>
          <w:highlight w:val="none"/>
        </w:rPr>
        <w:t>第一节 投标人须知前附表</w:t>
      </w:r>
      <w:r>
        <w:tab/>
      </w:r>
      <w:r>
        <w:fldChar w:fldCharType="begin"/>
      </w:r>
      <w:r>
        <w:instrText xml:space="preserve"> PAGEREF _Toc6244 \h </w:instrText>
      </w:r>
      <w:r>
        <w:fldChar w:fldCharType="separate"/>
      </w:r>
      <w:r>
        <w:t>22</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_Toc7882 </w:instrText>
      </w:r>
      <w:r>
        <w:rPr>
          <w:rFonts w:ascii="Calibri" w:hAnsi="宋体"/>
          <w:bCs/>
          <w:caps/>
          <w:szCs w:val="28"/>
          <w:highlight w:val="none"/>
        </w:rPr>
        <w:fldChar w:fldCharType="separate"/>
      </w:r>
      <w:r>
        <w:rPr>
          <w:rFonts w:hint="eastAsia"/>
          <w:highlight w:val="none"/>
        </w:rPr>
        <w:t>第二节 投标人须知正文</w:t>
      </w:r>
      <w:r>
        <w:tab/>
      </w:r>
      <w:r>
        <w:fldChar w:fldCharType="begin"/>
      </w:r>
      <w:r>
        <w:instrText xml:space="preserve"> PAGEREF _Toc7882 \h </w:instrText>
      </w:r>
      <w:r>
        <w:fldChar w:fldCharType="separate"/>
      </w:r>
      <w:r>
        <w:t>29</w:t>
      </w:r>
      <w:r>
        <w:fldChar w:fldCharType="end"/>
      </w:r>
      <w:r>
        <w:rPr>
          <w:rFonts w:ascii="Calibri" w:hAnsi="宋体"/>
          <w:bCs/>
          <w:caps/>
          <w:color w:val="auto"/>
          <w:szCs w:val="28"/>
          <w:highlight w:val="none"/>
          <w:u w:val="single"/>
        </w:rPr>
        <w:fldChar w:fldCharType="end"/>
      </w:r>
    </w:p>
    <w:p>
      <w:pPr>
        <w:pStyle w:val="20"/>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_Toc8457 </w:instrText>
      </w:r>
      <w:r>
        <w:rPr>
          <w:rFonts w:ascii="Calibri" w:hAnsi="宋体"/>
          <w:bCs/>
          <w:caps/>
          <w:szCs w:val="28"/>
          <w:highlight w:val="none"/>
        </w:rPr>
        <w:fldChar w:fldCharType="separate"/>
      </w:r>
      <w:r>
        <w:rPr>
          <w:rFonts w:hint="eastAsia"/>
          <w:highlight w:val="none"/>
        </w:rPr>
        <w:t>一、总  则</w:t>
      </w:r>
      <w:r>
        <w:tab/>
      </w:r>
      <w:r>
        <w:fldChar w:fldCharType="begin"/>
      </w:r>
      <w:r>
        <w:instrText xml:space="preserve"> PAGEREF _Toc8457 \h </w:instrText>
      </w:r>
      <w:r>
        <w:fldChar w:fldCharType="separate"/>
      </w:r>
      <w:r>
        <w:t>29</w:t>
      </w:r>
      <w:r>
        <w:fldChar w:fldCharType="end"/>
      </w:r>
      <w:r>
        <w:rPr>
          <w:rFonts w:ascii="Calibri" w:hAnsi="宋体"/>
          <w:bCs/>
          <w:caps/>
          <w:color w:val="auto"/>
          <w:szCs w:val="28"/>
          <w:highlight w:val="none"/>
          <w:u w:val="single"/>
        </w:rPr>
        <w:fldChar w:fldCharType="end"/>
      </w:r>
    </w:p>
    <w:p>
      <w:pPr>
        <w:pStyle w:val="20"/>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_Toc27430 </w:instrText>
      </w:r>
      <w:r>
        <w:rPr>
          <w:rFonts w:ascii="Calibri" w:hAnsi="宋体"/>
          <w:bCs/>
          <w:caps/>
          <w:szCs w:val="28"/>
          <w:highlight w:val="none"/>
        </w:rPr>
        <w:fldChar w:fldCharType="separate"/>
      </w:r>
      <w:r>
        <w:rPr>
          <w:rFonts w:hint="eastAsia"/>
          <w:highlight w:val="none"/>
        </w:rPr>
        <w:t>二、招标文件</w:t>
      </w:r>
      <w:r>
        <w:tab/>
      </w:r>
      <w:r>
        <w:fldChar w:fldCharType="begin"/>
      </w:r>
      <w:r>
        <w:instrText xml:space="preserve"> PAGEREF _Toc27430 \h </w:instrText>
      </w:r>
      <w:r>
        <w:fldChar w:fldCharType="separate"/>
      </w:r>
      <w:r>
        <w:t>31</w:t>
      </w:r>
      <w:r>
        <w:fldChar w:fldCharType="end"/>
      </w:r>
      <w:r>
        <w:rPr>
          <w:rFonts w:ascii="Calibri" w:hAnsi="宋体"/>
          <w:bCs/>
          <w:caps/>
          <w:color w:val="auto"/>
          <w:szCs w:val="28"/>
          <w:highlight w:val="none"/>
          <w:u w:val="single"/>
        </w:rPr>
        <w:fldChar w:fldCharType="end"/>
      </w:r>
    </w:p>
    <w:p>
      <w:pPr>
        <w:pStyle w:val="20"/>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_Toc9908 </w:instrText>
      </w:r>
      <w:r>
        <w:rPr>
          <w:rFonts w:ascii="Calibri" w:hAnsi="宋体"/>
          <w:bCs/>
          <w:caps/>
          <w:szCs w:val="28"/>
          <w:highlight w:val="none"/>
        </w:rPr>
        <w:fldChar w:fldCharType="separate"/>
      </w:r>
      <w:r>
        <w:rPr>
          <w:rFonts w:hint="eastAsia"/>
          <w:highlight w:val="none"/>
        </w:rPr>
        <w:t>三、投标文件的编制</w:t>
      </w:r>
      <w:r>
        <w:tab/>
      </w:r>
      <w:r>
        <w:fldChar w:fldCharType="begin"/>
      </w:r>
      <w:r>
        <w:instrText xml:space="preserve"> PAGEREF _Toc9908 \h </w:instrText>
      </w:r>
      <w:r>
        <w:fldChar w:fldCharType="separate"/>
      </w:r>
      <w:r>
        <w:t>32</w:t>
      </w:r>
      <w:r>
        <w:fldChar w:fldCharType="end"/>
      </w:r>
      <w:r>
        <w:rPr>
          <w:rFonts w:ascii="Calibri" w:hAnsi="宋体"/>
          <w:bCs/>
          <w:caps/>
          <w:color w:val="auto"/>
          <w:szCs w:val="28"/>
          <w:highlight w:val="none"/>
          <w:u w:val="single"/>
        </w:rPr>
        <w:fldChar w:fldCharType="end"/>
      </w:r>
    </w:p>
    <w:p>
      <w:pPr>
        <w:pStyle w:val="20"/>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_Toc16645 </w:instrText>
      </w:r>
      <w:r>
        <w:rPr>
          <w:rFonts w:ascii="Calibri" w:hAnsi="宋体"/>
          <w:bCs/>
          <w:caps/>
          <w:szCs w:val="28"/>
          <w:highlight w:val="none"/>
        </w:rPr>
        <w:fldChar w:fldCharType="separate"/>
      </w:r>
      <w:r>
        <w:rPr>
          <w:rFonts w:hint="eastAsia"/>
          <w:highlight w:val="none"/>
        </w:rPr>
        <w:t>四、开    标</w:t>
      </w:r>
      <w:r>
        <w:tab/>
      </w:r>
      <w:r>
        <w:fldChar w:fldCharType="begin"/>
      </w:r>
      <w:r>
        <w:instrText xml:space="preserve"> PAGEREF _Toc16645 \h </w:instrText>
      </w:r>
      <w:r>
        <w:fldChar w:fldCharType="separate"/>
      </w:r>
      <w:r>
        <w:t>35</w:t>
      </w:r>
      <w:r>
        <w:fldChar w:fldCharType="end"/>
      </w:r>
      <w:r>
        <w:rPr>
          <w:rFonts w:ascii="Calibri" w:hAnsi="宋体"/>
          <w:bCs/>
          <w:caps/>
          <w:color w:val="auto"/>
          <w:szCs w:val="28"/>
          <w:highlight w:val="none"/>
          <w:u w:val="single"/>
        </w:rPr>
        <w:fldChar w:fldCharType="end"/>
      </w:r>
    </w:p>
    <w:p>
      <w:pPr>
        <w:pStyle w:val="20"/>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_Toc31505 </w:instrText>
      </w:r>
      <w:r>
        <w:rPr>
          <w:rFonts w:ascii="Calibri" w:hAnsi="宋体"/>
          <w:bCs/>
          <w:caps/>
          <w:szCs w:val="28"/>
          <w:highlight w:val="none"/>
        </w:rPr>
        <w:fldChar w:fldCharType="separate"/>
      </w:r>
      <w:r>
        <w:rPr>
          <w:rFonts w:hint="eastAsia"/>
          <w:highlight w:val="none"/>
        </w:rPr>
        <w:t>五、资格审查</w:t>
      </w:r>
      <w:r>
        <w:tab/>
      </w:r>
      <w:r>
        <w:fldChar w:fldCharType="begin"/>
      </w:r>
      <w:r>
        <w:instrText xml:space="preserve"> PAGEREF _Toc31505 \h </w:instrText>
      </w:r>
      <w:r>
        <w:fldChar w:fldCharType="separate"/>
      </w:r>
      <w:r>
        <w:t>36</w:t>
      </w:r>
      <w:r>
        <w:fldChar w:fldCharType="end"/>
      </w:r>
      <w:r>
        <w:rPr>
          <w:rFonts w:ascii="Calibri" w:hAnsi="宋体"/>
          <w:bCs/>
          <w:caps/>
          <w:color w:val="auto"/>
          <w:szCs w:val="28"/>
          <w:highlight w:val="none"/>
          <w:u w:val="single"/>
        </w:rPr>
        <w:fldChar w:fldCharType="end"/>
      </w:r>
    </w:p>
    <w:p>
      <w:pPr>
        <w:pStyle w:val="20"/>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_Toc8738 </w:instrText>
      </w:r>
      <w:r>
        <w:rPr>
          <w:rFonts w:ascii="Calibri" w:hAnsi="宋体"/>
          <w:bCs/>
          <w:caps/>
          <w:szCs w:val="28"/>
          <w:highlight w:val="none"/>
        </w:rPr>
        <w:fldChar w:fldCharType="separate"/>
      </w:r>
      <w:r>
        <w:rPr>
          <w:rFonts w:hint="eastAsia"/>
          <w:highlight w:val="none"/>
        </w:rPr>
        <w:t>六、评   标</w:t>
      </w:r>
      <w:r>
        <w:tab/>
      </w:r>
      <w:r>
        <w:fldChar w:fldCharType="begin"/>
      </w:r>
      <w:r>
        <w:instrText xml:space="preserve"> PAGEREF _Toc8738 \h </w:instrText>
      </w:r>
      <w:r>
        <w:fldChar w:fldCharType="separate"/>
      </w:r>
      <w:r>
        <w:t>37</w:t>
      </w:r>
      <w:r>
        <w:fldChar w:fldCharType="end"/>
      </w:r>
      <w:r>
        <w:rPr>
          <w:rFonts w:ascii="Calibri" w:hAnsi="宋体"/>
          <w:bCs/>
          <w:caps/>
          <w:color w:val="auto"/>
          <w:szCs w:val="28"/>
          <w:highlight w:val="none"/>
          <w:u w:val="single"/>
        </w:rPr>
        <w:fldChar w:fldCharType="end"/>
      </w:r>
    </w:p>
    <w:p>
      <w:pPr>
        <w:pStyle w:val="20"/>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_Toc7361 </w:instrText>
      </w:r>
      <w:r>
        <w:rPr>
          <w:rFonts w:ascii="Calibri" w:hAnsi="宋体"/>
          <w:bCs/>
          <w:caps/>
          <w:szCs w:val="28"/>
          <w:highlight w:val="none"/>
        </w:rPr>
        <w:fldChar w:fldCharType="separate"/>
      </w:r>
      <w:r>
        <w:rPr>
          <w:rFonts w:hint="eastAsia"/>
          <w:highlight w:val="none"/>
        </w:rPr>
        <w:t>七、中标和合同</w:t>
      </w:r>
      <w:r>
        <w:tab/>
      </w:r>
      <w:r>
        <w:fldChar w:fldCharType="begin"/>
      </w:r>
      <w:r>
        <w:instrText xml:space="preserve"> PAGEREF _Toc7361 \h </w:instrText>
      </w:r>
      <w:r>
        <w:fldChar w:fldCharType="separate"/>
      </w:r>
      <w:r>
        <w:t>38</w:t>
      </w:r>
      <w:r>
        <w:fldChar w:fldCharType="end"/>
      </w:r>
      <w:r>
        <w:rPr>
          <w:rFonts w:ascii="Calibri" w:hAnsi="宋体"/>
          <w:bCs/>
          <w:caps/>
          <w:color w:val="auto"/>
          <w:szCs w:val="28"/>
          <w:highlight w:val="none"/>
          <w:u w:val="single"/>
        </w:rPr>
        <w:fldChar w:fldCharType="end"/>
      </w:r>
    </w:p>
    <w:p>
      <w:pPr>
        <w:pStyle w:val="20"/>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_Toc20258 </w:instrText>
      </w:r>
      <w:r>
        <w:rPr>
          <w:rFonts w:ascii="Calibri" w:hAnsi="宋体"/>
          <w:bCs/>
          <w:caps/>
          <w:szCs w:val="28"/>
          <w:highlight w:val="none"/>
        </w:rPr>
        <w:fldChar w:fldCharType="separate"/>
      </w:r>
      <w:r>
        <w:rPr>
          <w:rFonts w:hint="eastAsia"/>
          <w:highlight w:val="none"/>
        </w:rPr>
        <w:t>九、其他事项</w:t>
      </w:r>
      <w:r>
        <w:tab/>
      </w:r>
      <w:r>
        <w:fldChar w:fldCharType="begin"/>
      </w:r>
      <w:r>
        <w:instrText xml:space="preserve"> PAGEREF _Toc20258 \h </w:instrText>
      </w:r>
      <w:r>
        <w:fldChar w:fldCharType="separate"/>
      </w:r>
      <w:r>
        <w:t>44</w:t>
      </w:r>
      <w:r>
        <w:fldChar w:fldCharType="end"/>
      </w:r>
      <w:r>
        <w:rPr>
          <w:rFonts w:ascii="Calibri" w:hAnsi="宋体"/>
          <w:bCs/>
          <w:caps/>
          <w:color w:val="auto"/>
          <w:szCs w:val="28"/>
          <w:highlight w:val="none"/>
          <w:u w:val="single"/>
        </w:rPr>
        <w:fldChar w:fldCharType="end"/>
      </w:r>
    </w:p>
    <w:p>
      <w:pPr>
        <w:pStyle w:val="29"/>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_Toc15414 </w:instrText>
      </w:r>
      <w:r>
        <w:rPr>
          <w:rFonts w:ascii="Calibri" w:hAnsi="宋体"/>
          <w:bCs/>
          <w:caps/>
          <w:szCs w:val="28"/>
          <w:highlight w:val="none"/>
        </w:rPr>
        <w:fldChar w:fldCharType="separate"/>
      </w:r>
      <w:r>
        <w:rPr>
          <w:rFonts w:hint="eastAsia" w:ascii="Times New Roman" w:hAnsi="Times New Roman"/>
          <w:highlight w:val="none"/>
        </w:rPr>
        <w:t>第四章</w:t>
      </w:r>
      <w:r>
        <w:rPr>
          <w:rFonts w:ascii="Times New Roman" w:hAnsi="Times New Roman"/>
          <w:highlight w:val="none"/>
        </w:rPr>
        <w:t xml:space="preserve">  </w:t>
      </w:r>
      <w:r>
        <w:rPr>
          <w:rFonts w:hint="eastAsia" w:ascii="Times New Roman" w:hAnsi="Times New Roman"/>
          <w:highlight w:val="none"/>
        </w:rPr>
        <w:t>评标方法及评分标准</w:t>
      </w:r>
      <w:r>
        <w:tab/>
      </w:r>
      <w:r>
        <w:fldChar w:fldCharType="begin"/>
      </w:r>
      <w:r>
        <w:instrText xml:space="preserve"> PAGEREF _Toc15414 \h </w:instrText>
      </w:r>
      <w:r>
        <w:fldChar w:fldCharType="separate"/>
      </w:r>
      <w:r>
        <w:t>45</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_Toc26503 </w:instrText>
      </w:r>
      <w:r>
        <w:rPr>
          <w:rFonts w:ascii="Calibri" w:hAnsi="宋体"/>
          <w:bCs/>
          <w:caps/>
          <w:szCs w:val="28"/>
          <w:highlight w:val="none"/>
        </w:rPr>
        <w:fldChar w:fldCharType="separate"/>
      </w:r>
      <w:r>
        <w:rPr>
          <w:rFonts w:hint="eastAsia" w:ascii="Times New Roman" w:hAnsi="Times New Roman"/>
          <w:bCs/>
          <w:szCs w:val="32"/>
          <w:highlight w:val="none"/>
        </w:rPr>
        <w:t>第一节 评标方法</w:t>
      </w:r>
      <w:r>
        <w:tab/>
      </w:r>
      <w:r>
        <w:fldChar w:fldCharType="begin"/>
      </w:r>
      <w:r>
        <w:instrText xml:space="preserve"> PAGEREF _Toc26503 \h </w:instrText>
      </w:r>
      <w:r>
        <w:fldChar w:fldCharType="separate"/>
      </w:r>
      <w:r>
        <w:t>45</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_Toc20570 </w:instrText>
      </w:r>
      <w:r>
        <w:rPr>
          <w:rFonts w:ascii="Calibri" w:hAnsi="宋体"/>
          <w:bCs/>
          <w:caps/>
          <w:szCs w:val="28"/>
          <w:highlight w:val="none"/>
        </w:rPr>
        <w:fldChar w:fldCharType="separate"/>
      </w:r>
      <w:r>
        <w:rPr>
          <w:rFonts w:hint="eastAsia" w:ascii="Times New Roman" w:hAnsi="Times New Roman"/>
          <w:bCs/>
          <w:szCs w:val="32"/>
          <w:highlight w:val="none"/>
        </w:rPr>
        <w:t>第二节 评标程序</w:t>
      </w:r>
      <w:r>
        <w:tab/>
      </w:r>
      <w:r>
        <w:fldChar w:fldCharType="begin"/>
      </w:r>
      <w:r>
        <w:instrText xml:space="preserve"> PAGEREF _Toc20570 \h </w:instrText>
      </w:r>
      <w:r>
        <w:fldChar w:fldCharType="separate"/>
      </w:r>
      <w:r>
        <w:t>45</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_Toc20031 </w:instrText>
      </w:r>
      <w:r>
        <w:rPr>
          <w:rFonts w:ascii="Calibri" w:hAnsi="宋体"/>
          <w:bCs/>
          <w:caps/>
          <w:szCs w:val="28"/>
          <w:highlight w:val="none"/>
        </w:rPr>
        <w:fldChar w:fldCharType="separate"/>
      </w:r>
      <w:r>
        <w:rPr>
          <w:rFonts w:hint="eastAsia"/>
          <w:szCs w:val="30"/>
          <w:highlight w:val="none"/>
        </w:rPr>
        <w:t>第三节 评分标准</w:t>
      </w:r>
      <w:r>
        <w:tab/>
      </w:r>
      <w:r>
        <w:fldChar w:fldCharType="begin"/>
      </w:r>
      <w:r>
        <w:instrText xml:space="preserve"> PAGEREF _Toc20031 \h </w:instrText>
      </w:r>
      <w:r>
        <w:fldChar w:fldCharType="separate"/>
      </w:r>
      <w:r>
        <w:t>48</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_Toc361 </w:instrText>
      </w:r>
      <w:r>
        <w:rPr>
          <w:rFonts w:ascii="Calibri" w:hAnsi="宋体"/>
          <w:bCs/>
          <w:caps/>
          <w:szCs w:val="28"/>
          <w:highlight w:val="none"/>
        </w:rPr>
        <w:fldChar w:fldCharType="separate"/>
      </w:r>
      <w:r>
        <w:rPr>
          <w:rFonts w:hint="eastAsia"/>
          <w:szCs w:val="30"/>
          <w:highlight w:val="none"/>
        </w:rPr>
        <w:t>第四节 中标候选人推荐原则</w:t>
      </w:r>
      <w:r>
        <w:tab/>
      </w:r>
      <w:r>
        <w:fldChar w:fldCharType="begin"/>
      </w:r>
      <w:r>
        <w:instrText xml:space="preserve"> PAGEREF _Toc361 \h </w:instrText>
      </w:r>
      <w:r>
        <w:fldChar w:fldCharType="separate"/>
      </w:r>
      <w:r>
        <w:t>50</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_Toc8075 </w:instrText>
      </w:r>
      <w:r>
        <w:rPr>
          <w:rFonts w:ascii="Calibri" w:hAnsi="宋体"/>
          <w:bCs/>
          <w:caps/>
          <w:szCs w:val="28"/>
          <w:highlight w:val="none"/>
        </w:rPr>
        <w:fldChar w:fldCharType="separate"/>
      </w:r>
      <w:r>
        <w:rPr>
          <w:rFonts w:hint="eastAsia"/>
          <w:szCs w:val="30"/>
          <w:highlight w:val="none"/>
        </w:rPr>
        <w:t>第五节 评标报告</w:t>
      </w:r>
      <w:r>
        <w:tab/>
      </w:r>
      <w:r>
        <w:fldChar w:fldCharType="begin"/>
      </w:r>
      <w:r>
        <w:instrText xml:space="preserve"> PAGEREF _Toc8075 \h </w:instrText>
      </w:r>
      <w:r>
        <w:fldChar w:fldCharType="separate"/>
      </w:r>
      <w:r>
        <w:t>50</w:t>
      </w:r>
      <w:r>
        <w:fldChar w:fldCharType="end"/>
      </w:r>
      <w:r>
        <w:rPr>
          <w:rFonts w:ascii="Calibri" w:hAnsi="宋体"/>
          <w:bCs/>
          <w:caps/>
          <w:color w:val="auto"/>
          <w:szCs w:val="28"/>
          <w:highlight w:val="none"/>
          <w:u w:val="single"/>
        </w:rPr>
        <w:fldChar w:fldCharType="end"/>
      </w:r>
    </w:p>
    <w:p>
      <w:pPr>
        <w:pStyle w:val="29"/>
        <w:tabs>
          <w:tab w:val="right" w:leader="dot" w:pos="9637"/>
        </w:tabs>
        <w:spacing w:before="0" w:after="0"/>
        <w:rPr>
          <w:rFonts w:ascii="Calibri" w:hAnsi="宋体"/>
          <w:bCs/>
          <w:caps/>
          <w:color w:val="auto"/>
          <w:szCs w:val="28"/>
          <w:highlight w:val="none"/>
          <w:u w:val="single"/>
        </w:rPr>
      </w:pPr>
    </w:p>
    <w:p>
      <w:pPr>
        <w:pStyle w:val="29"/>
        <w:tabs>
          <w:tab w:val="right" w:leader="dot" w:pos="9637"/>
        </w:tabs>
        <w:spacing w:before="0" w:after="0"/>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_Toc9134 </w:instrText>
      </w:r>
      <w:r>
        <w:rPr>
          <w:rFonts w:ascii="Calibri" w:hAnsi="宋体"/>
          <w:bCs/>
          <w:caps/>
          <w:szCs w:val="28"/>
          <w:highlight w:val="none"/>
        </w:rPr>
        <w:fldChar w:fldCharType="separate"/>
      </w:r>
      <w:r>
        <w:rPr>
          <w:rFonts w:hint="eastAsia" w:ascii="Times New Roman" w:hAnsi="Times New Roman"/>
          <w:highlight w:val="none"/>
        </w:rPr>
        <w:t>第五章 拟签订的合同文本</w:t>
      </w:r>
      <w:r>
        <w:tab/>
      </w:r>
      <w:r>
        <w:fldChar w:fldCharType="begin"/>
      </w:r>
      <w:r>
        <w:instrText xml:space="preserve"> PAGEREF _Toc9134 \h </w:instrText>
      </w:r>
      <w:r>
        <w:fldChar w:fldCharType="separate"/>
      </w:r>
      <w:r>
        <w:t>51</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_Toc11101 </w:instrText>
      </w:r>
      <w:r>
        <w:rPr>
          <w:rFonts w:ascii="Calibri" w:hAnsi="宋体"/>
          <w:bCs/>
          <w:caps/>
          <w:szCs w:val="28"/>
          <w:highlight w:val="none"/>
        </w:rPr>
        <w:fldChar w:fldCharType="separate"/>
      </w:r>
      <w:r>
        <w:rPr>
          <w:highlight w:val="none"/>
        </w:rPr>
        <w:t>政府采购合同</w:t>
      </w:r>
      <w:r>
        <w:tab/>
      </w:r>
      <w:r>
        <w:fldChar w:fldCharType="begin"/>
      </w:r>
      <w:r>
        <w:instrText xml:space="preserve"> PAGEREF _Toc11101 \h </w:instrText>
      </w:r>
      <w:r>
        <w:fldChar w:fldCharType="separate"/>
      </w:r>
      <w:r>
        <w:t>52</w:t>
      </w:r>
      <w:r>
        <w:fldChar w:fldCharType="end"/>
      </w:r>
      <w:r>
        <w:rPr>
          <w:rFonts w:ascii="Calibri" w:hAnsi="宋体"/>
          <w:bCs/>
          <w:caps/>
          <w:color w:val="auto"/>
          <w:szCs w:val="28"/>
          <w:highlight w:val="none"/>
          <w:u w:val="single"/>
        </w:rPr>
        <w:fldChar w:fldCharType="end"/>
      </w:r>
    </w:p>
    <w:p>
      <w:pPr>
        <w:pStyle w:val="29"/>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_Toc2297 </w:instrText>
      </w:r>
      <w:r>
        <w:rPr>
          <w:rFonts w:ascii="Calibri" w:hAnsi="宋体"/>
          <w:bCs/>
          <w:caps/>
          <w:szCs w:val="28"/>
          <w:highlight w:val="none"/>
        </w:rPr>
        <w:fldChar w:fldCharType="separate"/>
      </w:r>
      <w:r>
        <w:rPr>
          <w:rFonts w:hint="eastAsia" w:ascii="Times New Roman" w:hAnsi="Times New Roman"/>
          <w:highlight w:val="none"/>
        </w:rPr>
        <w:t>第六章 投标文件格式</w:t>
      </w:r>
      <w:r>
        <w:tab/>
      </w:r>
      <w:r>
        <w:fldChar w:fldCharType="begin"/>
      </w:r>
      <w:r>
        <w:instrText xml:space="preserve"> PAGEREF _Toc2297 \h </w:instrText>
      </w:r>
      <w:r>
        <w:fldChar w:fldCharType="separate"/>
      </w:r>
      <w:r>
        <w:t>67</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_Toc16216 </w:instrText>
      </w:r>
      <w:r>
        <w:rPr>
          <w:rFonts w:ascii="Calibri" w:hAnsi="宋体"/>
          <w:bCs/>
          <w:caps/>
          <w:szCs w:val="28"/>
          <w:highlight w:val="none"/>
        </w:rPr>
        <w:fldChar w:fldCharType="separate"/>
      </w:r>
      <w:r>
        <w:rPr>
          <w:rFonts w:hint="eastAsia" w:hAnsi="宋体"/>
          <w:bCs/>
          <w:szCs w:val="28"/>
          <w:highlight w:val="none"/>
        </w:rPr>
        <w:t>第一节 投标文件外层包装封面格式</w:t>
      </w:r>
      <w:r>
        <w:tab/>
      </w:r>
      <w:r>
        <w:fldChar w:fldCharType="begin"/>
      </w:r>
      <w:r>
        <w:instrText xml:space="preserve"> PAGEREF _Toc16216 \h </w:instrText>
      </w:r>
      <w:r>
        <w:fldChar w:fldCharType="separate"/>
      </w:r>
      <w:r>
        <w:t>68</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_Toc26385 </w:instrText>
      </w:r>
      <w:r>
        <w:rPr>
          <w:rFonts w:ascii="Calibri" w:hAnsi="宋体"/>
          <w:bCs/>
          <w:caps/>
          <w:szCs w:val="28"/>
          <w:highlight w:val="none"/>
        </w:rPr>
        <w:fldChar w:fldCharType="separate"/>
      </w:r>
      <w:r>
        <w:rPr>
          <w:rFonts w:hint="eastAsia" w:hAnsi="宋体"/>
          <w:bCs/>
          <w:szCs w:val="28"/>
          <w:highlight w:val="none"/>
        </w:rPr>
        <w:t>第二节 资格证明文件格式</w:t>
      </w:r>
      <w:r>
        <w:tab/>
      </w:r>
      <w:r>
        <w:fldChar w:fldCharType="begin"/>
      </w:r>
      <w:r>
        <w:instrText xml:space="preserve"> PAGEREF _Toc26385 \h </w:instrText>
      </w:r>
      <w:r>
        <w:fldChar w:fldCharType="separate"/>
      </w:r>
      <w:r>
        <w:t>69</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_Toc9749 </w:instrText>
      </w:r>
      <w:r>
        <w:rPr>
          <w:rFonts w:ascii="Calibri" w:hAnsi="宋体"/>
          <w:bCs/>
          <w:caps/>
          <w:szCs w:val="28"/>
          <w:highlight w:val="none"/>
        </w:rPr>
        <w:fldChar w:fldCharType="separate"/>
      </w:r>
      <w:r>
        <w:rPr>
          <w:rFonts w:hint="eastAsia" w:hAnsi="宋体"/>
          <w:bCs/>
          <w:szCs w:val="28"/>
          <w:highlight w:val="none"/>
        </w:rPr>
        <w:t>第三节 商务文件格式</w:t>
      </w:r>
      <w:r>
        <w:tab/>
      </w:r>
      <w:r>
        <w:fldChar w:fldCharType="begin"/>
      </w:r>
      <w:r>
        <w:instrText xml:space="preserve"> PAGEREF _Toc9749 \h </w:instrText>
      </w:r>
      <w:r>
        <w:fldChar w:fldCharType="separate"/>
      </w:r>
      <w:r>
        <w:t>76</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_Toc17007 </w:instrText>
      </w:r>
      <w:r>
        <w:rPr>
          <w:rFonts w:ascii="Calibri" w:hAnsi="宋体"/>
          <w:bCs/>
          <w:caps/>
          <w:szCs w:val="28"/>
          <w:highlight w:val="none"/>
        </w:rPr>
        <w:fldChar w:fldCharType="separate"/>
      </w:r>
      <w:r>
        <w:rPr>
          <w:rFonts w:hint="eastAsia" w:hAnsi="宋体"/>
          <w:bCs/>
          <w:szCs w:val="28"/>
          <w:highlight w:val="none"/>
        </w:rPr>
        <w:t>第四节 技术文件格式</w:t>
      </w:r>
      <w:r>
        <w:tab/>
      </w:r>
      <w:r>
        <w:fldChar w:fldCharType="begin"/>
      </w:r>
      <w:r>
        <w:instrText xml:space="preserve"> PAGEREF _Toc17007 \h </w:instrText>
      </w:r>
      <w:r>
        <w:fldChar w:fldCharType="separate"/>
      </w:r>
      <w:r>
        <w:t>87</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_Toc11616 </w:instrText>
      </w:r>
      <w:r>
        <w:rPr>
          <w:rFonts w:ascii="Calibri" w:hAnsi="宋体"/>
          <w:bCs/>
          <w:caps/>
          <w:szCs w:val="28"/>
          <w:highlight w:val="none"/>
        </w:rPr>
        <w:fldChar w:fldCharType="separate"/>
      </w:r>
      <w:r>
        <w:rPr>
          <w:rFonts w:hint="eastAsia" w:hAnsi="宋体"/>
          <w:bCs/>
          <w:szCs w:val="28"/>
          <w:highlight w:val="none"/>
        </w:rPr>
        <w:t>第五节 报价文件格式</w:t>
      </w:r>
      <w:r>
        <w:tab/>
      </w:r>
      <w:r>
        <w:fldChar w:fldCharType="begin"/>
      </w:r>
      <w:r>
        <w:instrText xml:space="preserve"> PAGEREF _Toc11616 \h </w:instrText>
      </w:r>
      <w:r>
        <w:fldChar w:fldCharType="separate"/>
      </w:r>
      <w:r>
        <w:t>92</w:t>
      </w:r>
      <w:r>
        <w:fldChar w:fldCharType="end"/>
      </w:r>
      <w:r>
        <w:rPr>
          <w:rFonts w:ascii="Calibri" w:hAnsi="宋体"/>
          <w:bCs/>
          <w:caps/>
          <w:color w:val="auto"/>
          <w:szCs w:val="28"/>
          <w:highlight w:val="none"/>
          <w:u w:val="single"/>
        </w:rPr>
        <w:fldChar w:fldCharType="end"/>
      </w:r>
    </w:p>
    <w:p>
      <w:pPr>
        <w:pStyle w:val="29"/>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_Toc2045 </w:instrText>
      </w:r>
      <w:r>
        <w:rPr>
          <w:rFonts w:ascii="Calibri" w:hAnsi="宋体"/>
          <w:bCs/>
          <w:caps/>
          <w:szCs w:val="28"/>
          <w:highlight w:val="none"/>
        </w:rPr>
        <w:fldChar w:fldCharType="separate"/>
      </w:r>
      <w:r>
        <w:rPr>
          <w:rFonts w:hint="eastAsia" w:ascii="Times New Roman" w:hAnsi="Times New Roman"/>
          <w:highlight w:val="none"/>
        </w:rPr>
        <w:t>第七章 质疑、投诉证明材料格式</w:t>
      </w:r>
      <w:r>
        <w:tab/>
      </w:r>
      <w:r>
        <w:fldChar w:fldCharType="begin"/>
      </w:r>
      <w:r>
        <w:instrText xml:space="preserve"> PAGEREF _Toc2045 \h </w:instrText>
      </w:r>
      <w:r>
        <w:fldChar w:fldCharType="separate"/>
      </w:r>
      <w:r>
        <w:t>99</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_Toc21383 </w:instrText>
      </w:r>
      <w:r>
        <w:rPr>
          <w:rFonts w:ascii="Calibri" w:hAnsi="宋体"/>
          <w:bCs/>
          <w:caps/>
          <w:szCs w:val="28"/>
          <w:highlight w:val="none"/>
        </w:rPr>
        <w:fldChar w:fldCharType="separate"/>
      </w:r>
      <w:r>
        <w:rPr>
          <w:rFonts w:hint="eastAsia" w:ascii="宋体" w:hAnsi="宋体"/>
          <w:bCs w:val="0"/>
          <w:highlight w:val="none"/>
        </w:rPr>
        <w:t>第一节 质疑函（格式）</w:t>
      </w:r>
      <w:r>
        <w:tab/>
      </w:r>
      <w:r>
        <w:fldChar w:fldCharType="begin"/>
      </w:r>
      <w:r>
        <w:instrText xml:space="preserve"> PAGEREF _Toc21383 \h </w:instrText>
      </w:r>
      <w:r>
        <w:fldChar w:fldCharType="separate"/>
      </w:r>
      <w:r>
        <w:t>100</w:t>
      </w:r>
      <w:r>
        <w:fldChar w:fldCharType="end"/>
      </w:r>
      <w:r>
        <w:rPr>
          <w:rFonts w:ascii="Calibri" w:hAnsi="宋体"/>
          <w:bCs/>
          <w:caps/>
          <w:color w:val="auto"/>
          <w:szCs w:val="28"/>
          <w:highlight w:val="none"/>
          <w:u w:val="single"/>
        </w:rPr>
        <w:fldChar w:fldCharType="end"/>
      </w:r>
    </w:p>
    <w:p>
      <w:pPr>
        <w:pStyle w:val="33"/>
        <w:tabs>
          <w:tab w:val="right" w:leader="dot" w:pos="9637"/>
        </w:tabs>
      </w:pPr>
      <w:r>
        <w:rPr>
          <w:rFonts w:ascii="Calibri" w:hAnsi="宋体"/>
          <w:bCs/>
          <w:caps/>
          <w:color w:val="auto"/>
          <w:szCs w:val="28"/>
          <w:highlight w:val="none"/>
          <w:u w:val="single"/>
        </w:rPr>
        <w:fldChar w:fldCharType="begin"/>
      </w:r>
      <w:r>
        <w:rPr>
          <w:rFonts w:ascii="Calibri" w:hAnsi="宋体"/>
          <w:bCs/>
          <w:caps/>
          <w:szCs w:val="28"/>
          <w:highlight w:val="none"/>
        </w:rPr>
        <w:instrText xml:space="preserve"> HYPERLINK \l _Toc5559 </w:instrText>
      </w:r>
      <w:r>
        <w:rPr>
          <w:rFonts w:ascii="Calibri" w:hAnsi="宋体"/>
          <w:bCs/>
          <w:caps/>
          <w:szCs w:val="28"/>
          <w:highlight w:val="none"/>
        </w:rPr>
        <w:fldChar w:fldCharType="separate"/>
      </w:r>
      <w:r>
        <w:rPr>
          <w:rFonts w:hint="eastAsia" w:ascii="宋体" w:hAnsi="宋体"/>
          <w:bCs w:val="0"/>
          <w:highlight w:val="none"/>
        </w:rPr>
        <w:t>第二节 投诉书（格式）</w:t>
      </w:r>
      <w:r>
        <w:tab/>
      </w:r>
      <w:r>
        <w:fldChar w:fldCharType="begin"/>
      </w:r>
      <w:r>
        <w:instrText xml:space="preserve"> PAGEREF _Toc5559 \h </w:instrText>
      </w:r>
      <w:r>
        <w:fldChar w:fldCharType="separate"/>
      </w:r>
      <w:r>
        <w:t>102</w:t>
      </w:r>
      <w:r>
        <w:fldChar w:fldCharType="end"/>
      </w:r>
      <w:r>
        <w:rPr>
          <w:rFonts w:ascii="Calibri" w:hAnsi="宋体"/>
          <w:bCs/>
          <w:caps/>
          <w:color w:val="auto"/>
          <w:szCs w:val="28"/>
          <w:highlight w:val="none"/>
          <w:u w:val="single"/>
        </w:rPr>
        <w:fldChar w:fldCharType="end"/>
      </w:r>
    </w:p>
    <w:p>
      <w:pPr>
        <w:pStyle w:val="21"/>
        <w:jc w:val="center"/>
        <w:rPr>
          <w:rFonts w:hint="eastAsia" w:hAnsi="宋体"/>
          <w:b/>
          <w:color w:val="auto"/>
          <w:sz w:val="36"/>
          <w:szCs w:val="36"/>
          <w:highlight w:val="none"/>
        </w:rPr>
      </w:pPr>
      <w:r>
        <w:rPr>
          <w:rFonts w:ascii="Calibri" w:hAnsi="宋体"/>
          <w:b/>
          <w:bCs/>
          <w:caps/>
          <w:color w:val="auto"/>
          <w:sz w:val="28"/>
          <w:szCs w:val="28"/>
          <w:highlight w:val="none"/>
          <w:u w:val="single"/>
        </w:rPr>
        <w:fldChar w:fldCharType="end"/>
      </w:r>
      <w:bookmarkStart w:id="1" w:name="_Toc532545041"/>
      <w:bookmarkStart w:id="2" w:name="_Toc80092990"/>
      <w:r>
        <w:rPr>
          <w:color w:val="auto"/>
          <w:highlight w:val="none"/>
        </w:rPr>
        <w:br w:type="page"/>
      </w:r>
      <w:bookmarkStart w:id="3" w:name="_Toc9409"/>
      <w:bookmarkStart w:id="4" w:name="_Toc12741"/>
      <w:bookmarkStart w:id="5" w:name="_Toc26616"/>
      <w:r>
        <w:rPr>
          <w:rStyle w:val="47"/>
          <w:rFonts w:hint="eastAsia" w:ascii="Times New Roman" w:hAnsi="Times New Roman"/>
          <w:b/>
          <w:color w:val="auto"/>
          <w:sz w:val="36"/>
          <w:highlight w:val="none"/>
        </w:rPr>
        <w:t>第一章</w:t>
      </w:r>
      <w:r>
        <w:rPr>
          <w:rStyle w:val="47"/>
          <w:rFonts w:ascii="Times New Roman" w:hAnsi="Times New Roman"/>
          <w:b/>
          <w:color w:val="auto"/>
          <w:sz w:val="36"/>
          <w:highlight w:val="none"/>
        </w:rPr>
        <w:t xml:space="preserve">  </w:t>
      </w:r>
      <w:r>
        <w:rPr>
          <w:rStyle w:val="47"/>
          <w:rFonts w:hint="eastAsia" w:ascii="Times New Roman" w:hAnsi="Times New Roman"/>
          <w:b/>
          <w:color w:val="auto"/>
          <w:sz w:val="36"/>
          <w:highlight w:val="none"/>
        </w:rPr>
        <w:t>招标公告</w:t>
      </w:r>
      <w:bookmarkEnd w:id="1"/>
      <w:bookmarkEnd w:id="2"/>
      <w:bookmarkEnd w:id="3"/>
      <w:bookmarkEnd w:id="4"/>
      <w:bookmarkEnd w:id="5"/>
    </w:p>
    <w:p>
      <w:pPr>
        <w:pStyle w:val="21"/>
        <w:jc w:val="center"/>
        <w:rPr>
          <w:rFonts w:hint="eastAsia" w:ascii="Times New Roman" w:hAnsi="Times New Roman"/>
          <w:b/>
          <w:color w:val="auto"/>
          <w:sz w:val="30"/>
          <w:szCs w:val="30"/>
          <w:highlight w:val="none"/>
        </w:rPr>
      </w:pPr>
      <w:r>
        <w:rPr>
          <w:rFonts w:hint="eastAsia" w:ascii="Times New Roman" w:hAnsi="Times New Roman"/>
          <w:b/>
          <w:color w:val="auto"/>
          <w:sz w:val="30"/>
          <w:szCs w:val="30"/>
          <w:highlight w:val="none"/>
        </w:rPr>
        <w:t>公开招标公告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 xml:space="preserve">  广西医科大学玉林校区零星建设服务的潜在投标人应在“政采云”平台（https://www.zcygov.cn/）获取（下载）招标文件，并于</w:t>
      </w:r>
      <w:bookmarkStart w:id="6" w:name="PO_3000001866_PM015"/>
      <w:r>
        <w:rPr>
          <w:rFonts w:hint="eastAsia" w:ascii="宋体" w:hAnsi="宋体" w:cs="宋体"/>
          <w:color w:val="auto"/>
          <w:szCs w:val="21"/>
          <w:highlight w:val="none"/>
          <w:lang w:eastAsia="zh-CN"/>
        </w:rPr>
        <w:t xml:space="preserve"> 2024年4月19日</w:t>
      </w:r>
      <w:r>
        <w:rPr>
          <w:rFonts w:hint="eastAsia" w:ascii="宋体" w:hAnsi="宋体" w:cs="宋体"/>
          <w:color w:val="auto"/>
          <w:szCs w:val="21"/>
          <w:highlight w:val="none"/>
        </w:rPr>
        <w:t>9:30:00</w:t>
      </w:r>
      <w:bookmarkEnd w:id="6"/>
      <w:r>
        <w:rPr>
          <w:rFonts w:hint="eastAsia" w:ascii="宋体" w:hAnsi="宋体" w:cs="宋体"/>
          <w:color w:val="auto"/>
          <w:szCs w:val="21"/>
          <w:highlight w:val="none"/>
        </w:rPr>
        <w:t>（北京时间）前递交（上传）投标文件。</w:t>
      </w:r>
    </w:p>
    <w:p>
      <w:pPr>
        <w:spacing w:line="360" w:lineRule="auto"/>
        <w:rPr>
          <w:rFonts w:ascii="黑体" w:hAnsi="黑体" w:eastAsia="黑体"/>
          <w:b/>
          <w:bCs/>
          <w:color w:val="auto"/>
          <w:sz w:val="24"/>
          <w:highlight w:val="none"/>
        </w:rPr>
      </w:pPr>
      <w:bookmarkStart w:id="7" w:name="_Toc35393790"/>
      <w:bookmarkStart w:id="8" w:name="_Toc28359002"/>
      <w:bookmarkStart w:id="9" w:name="_Toc35393621"/>
      <w:bookmarkStart w:id="10" w:name="_Toc28359079"/>
      <w:bookmarkStart w:id="11" w:name="_Hlk24379207"/>
      <w:r>
        <w:rPr>
          <w:rFonts w:hint="eastAsia" w:ascii="黑体" w:hAnsi="黑体" w:eastAsia="黑体"/>
          <w:b/>
          <w:bCs/>
          <w:color w:val="auto"/>
          <w:sz w:val="24"/>
          <w:highlight w:val="none"/>
        </w:rPr>
        <w:t>一、项目基本情况</w:t>
      </w:r>
      <w:bookmarkEnd w:id="7"/>
      <w:bookmarkEnd w:id="8"/>
      <w:bookmarkEnd w:id="9"/>
      <w:bookmarkEnd w:id="10"/>
    </w:p>
    <w:p>
      <w:pPr>
        <w:spacing w:line="360" w:lineRule="auto"/>
        <w:ind w:firstLine="420" w:firstLineChars="200"/>
        <w:rPr>
          <w:rFonts w:hint="eastAsia" w:eastAsia="宋体"/>
          <w:color w:val="auto"/>
          <w:highlight w:val="none"/>
          <w:lang w:eastAsia="zh-CN"/>
        </w:rPr>
      </w:pPr>
      <w:r>
        <w:rPr>
          <w:rFonts w:hint="eastAsia" w:ascii="宋体" w:hAnsi="宋体"/>
          <w:color w:val="auto"/>
          <w:szCs w:val="21"/>
          <w:highlight w:val="none"/>
        </w:rPr>
        <w:t>项目编号：</w:t>
      </w:r>
      <w:r>
        <w:rPr>
          <w:rFonts w:hint="eastAsia" w:ascii="宋体" w:hAnsi="宋体"/>
          <w:color w:val="auto"/>
          <w:szCs w:val="21"/>
          <w:highlight w:val="none"/>
          <w:lang w:eastAsia="zh-CN"/>
        </w:rPr>
        <w:t>GXZC2024-G3-000144-JGJD</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广西医科大学玉林校区零星建设服务</w:t>
      </w:r>
    </w:p>
    <w:bookmarkEnd w:id="11"/>
    <w:p>
      <w:pPr>
        <w:spacing w:line="360" w:lineRule="auto"/>
        <w:ind w:firstLine="420" w:firstLineChars="200"/>
        <w:rPr>
          <w:rFonts w:hint="eastAsia"/>
          <w:color w:val="auto"/>
          <w:highlight w:val="none"/>
        </w:rPr>
      </w:pPr>
      <w:r>
        <w:rPr>
          <w:rFonts w:hint="eastAsia" w:ascii="宋体" w:hAnsi="宋体"/>
          <w:color w:val="auto"/>
          <w:szCs w:val="21"/>
          <w:highlight w:val="none"/>
        </w:rPr>
        <w:t>预算金额：440万元（其中分标1：220万元；分标2</w:t>
      </w:r>
      <w:r>
        <w:rPr>
          <w:rFonts w:hint="eastAsia" w:ascii="宋体" w:hAnsi="宋体"/>
          <w:color w:val="auto"/>
          <w:szCs w:val="21"/>
          <w:highlight w:val="none"/>
          <w:lang w:eastAsia="zh-CN"/>
        </w:rPr>
        <w:t>：</w:t>
      </w:r>
      <w:r>
        <w:rPr>
          <w:rFonts w:hint="eastAsia" w:ascii="宋体" w:hAnsi="宋体"/>
          <w:color w:val="auto"/>
          <w:szCs w:val="21"/>
          <w:highlight w:val="none"/>
        </w:rPr>
        <w:t>220万元）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采购需求：</w:t>
      </w:r>
      <w:r>
        <w:rPr>
          <w:rFonts w:ascii="宋体" w:hAnsi="宋体"/>
          <w:color w:val="auto"/>
          <w:szCs w:val="21"/>
          <w:highlight w:val="none"/>
        </w:rPr>
        <w:t xml:space="preserve"> </w:t>
      </w:r>
    </w:p>
    <w:tbl>
      <w:tblPr>
        <w:tblStyle w:val="38"/>
        <w:tblW w:w="5022"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959"/>
        <w:gridCol w:w="1361"/>
        <w:gridCol w:w="5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50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标段</w:t>
            </w:r>
          </w:p>
        </w:tc>
        <w:tc>
          <w:tcPr>
            <w:tcW w:w="989"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标的的名称</w:t>
            </w:r>
          </w:p>
        </w:tc>
        <w:tc>
          <w:tcPr>
            <w:tcW w:w="687"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数量及单位</w:t>
            </w:r>
          </w:p>
        </w:tc>
        <w:tc>
          <w:tcPr>
            <w:tcW w:w="2815"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简要服务要求或者技术需求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3" w:hRule="atLeast"/>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450" w:lineRule="exact"/>
              <w:jc w:val="center"/>
              <w:rPr>
                <w:rFonts w:ascii="宋体" w:hAnsi="宋体"/>
                <w:color w:val="auto"/>
                <w:szCs w:val="21"/>
                <w:highlight w:val="none"/>
              </w:rPr>
            </w:pPr>
            <w:r>
              <w:rPr>
                <w:rFonts w:hint="eastAsia" w:ascii="宋体" w:hAnsi="宋体"/>
                <w:color w:val="auto"/>
                <w:szCs w:val="21"/>
                <w:highlight w:val="none"/>
              </w:rPr>
              <w:t>分标1</w:t>
            </w:r>
          </w:p>
        </w:tc>
        <w:tc>
          <w:tcPr>
            <w:tcW w:w="989" w:type="pct"/>
            <w:tcBorders>
              <w:top w:val="single" w:color="auto" w:sz="4" w:space="0"/>
              <w:left w:val="single" w:color="auto" w:sz="4" w:space="0"/>
              <w:bottom w:val="single" w:color="auto" w:sz="4" w:space="0"/>
              <w:right w:val="single" w:color="auto" w:sz="4" w:space="0"/>
            </w:tcBorders>
            <w:vAlign w:val="center"/>
          </w:tcPr>
          <w:p>
            <w:pPr>
              <w:spacing w:line="450" w:lineRule="exact"/>
              <w:jc w:val="center"/>
              <w:rPr>
                <w:rFonts w:hint="eastAsia" w:ascii="宋体" w:hAnsi="宋体"/>
                <w:color w:val="auto"/>
                <w:szCs w:val="21"/>
                <w:highlight w:val="none"/>
              </w:rPr>
            </w:pPr>
            <w:r>
              <w:rPr>
                <w:rFonts w:hint="eastAsia" w:ascii="宋体" w:hAnsi="宋体"/>
                <w:color w:val="auto"/>
                <w:szCs w:val="21"/>
                <w:highlight w:val="none"/>
              </w:rPr>
              <w:t>教学、科研、基础设施零星建设服务采购(100万以下工程项目)</w:t>
            </w:r>
          </w:p>
        </w:tc>
        <w:tc>
          <w:tcPr>
            <w:tcW w:w="687" w:type="pct"/>
            <w:tcBorders>
              <w:top w:val="single" w:color="auto" w:sz="4" w:space="0"/>
              <w:left w:val="single" w:color="auto" w:sz="4" w:space="0"/>
              <w:bottom w:val="single" w:color="auto" w:sz="4" w:space="0"/>
              <w:right w:val="single" w:color="auto" w:sz="4" w:space="0"/>
            </w:tcBorders>
            <w:vAlign w:val="center"/>
          </w:tcPr>
          <w:p>
            <w:pPr>
              <w:spacing w:line="450" w:lineRule="exact"/>
              <w:jc w:val="center"/>
              <w:rPr>
                <w:rFonts w:ascii="宋体" w:hAnsi="宋体"/>
                <w:color w:val="auto"/>
                <w:szCs w:val="21"/>
                <w:highlight w:val="none"/>
              </w:rPr>
            </w:pPr>
            <w:r>
              <w:rPr>
                <w:rFonts w:hint="eastAsia" w:ascii="宋体" w:hAnsi="宋体" w:cs="宋体"/>
                <w:color w:val="auto"/>
                <w:szCs w:val="21"/>
                <w:highlight w:val="none"/>
              </w:rPr>
              <w:t>1项</w:t>
            </w:r>
          </w:p>
        </w:tc>
        <w:tc>
          <w:tcPr>
            <w:tcW w:w="2815" w:type="pct"/>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00" w:lineRule="exact"/>
              <w:jc w:val="both"/>
              <w:rPr>
                <w:rFonts w:hint="eastAsia" w:ascii="宋体" w:hAnsi="宋体"/>
                <w:color w:val="auto"/>
                <w:szCs w:val="21"/>
                <w:highlight w:val="none"/>
              </w:rPr>
            </w:pPr>
            <w:r>
              <w:rPr>
                <w:rFonts w:hint="eastAsia"/>
                <w:color w:val="auto"/>
                <w:highlight w:val="none"/>
              </w:rPr>
              <w:t>根据采购人要求提供玉林校区范围内工程款在100万元以下的</w:t>
            </w:r>
            <w:r>
              <w:rPr>
                <w:rFonts w:hint="eastAsia"/>
                <w:color w:val="auto"/>
                <w:highlight w:val="none"/>
                <w:lang w:val="en-US" w:eastAsia="zh-CN"/>
              </w:rPr>
              <w:t>主要以</w:t>
            </w:r>
            <w:r>
              <w:rPr>
                <w:rFonts w:hint="eastAsia"/>
                <w:color w:val="auto"/>
                <w:highlight w:val="none"/>
              </w:rPr>
              <w:t>房屋建筑维修、房屋建筑装饰维修</w:t>
            </w:r>
            <w:r>
              <w:rPr>
                <w:rFonts w:hint="eastAsia"/>
                <w:color w:val="auto"/>
                <w:highlight w:val="none"/>
                <w:lang w:val="en-US" w:eastAsia="zh-CN"/>
              </w:rPr>
              <w:t>等为主的</w:t>
            </w:r>
            <w:r>
              <w:rPr>
                <w:rFonts w:hint="eastAsia"/>
                <w:color w:val="auto"/>
                <w:highlight w:val="none"/>
              </w:rPr>
              <w:t>服务，包含编制维修方案、图纸绘制，平面图及效果图绘制和维修项目的预算及</w:t>
            </w:r>
            <w:r>
              <w:rPr>
                <w:rFonts w:hint="eastAsia"/>
                <w:color w:val="auto"/>
                <w:highlight w:val="none"/>
                <w:lang w:val="en-US" w:eastAsia="zh-CN"/>
              </w:rPr>
              <w:t>工程量</w:t>
            </w:r>
            <w:r>
              <w:rPr>
                <w:rFonts w:hint="eastAsia"/>
                <w:color w:val="auto"/>
                <w:highlight w:val="none"/>
              </w:rPr>
              <w:t>清单编制（该等费用由供应商承担，采购人不另行支付）。维修项目范围</w:t>
            </w:r>
            <w:r>
              <w:rPr>
                <w:rFonts w:hint="eastAsia" w:ascii="宋体" w:hAnsi="宋体" w:cs="宋体"/>
                <w:color w:val="auto"/>
                <w:szCs w:val="21"/>
                <w:highlight w:val="none"/>
              </w:rPr>
              <w:t>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4" w:hRule="atLeast"/>
          <w:jc w:val="center"/>
        </w:trPr>
        <w:tc>
          <w:tcPr>
            <w:tcW w:w="507" w:type="pct"/>
            <w:tcBorders>
              <w:top w:val="single" w:color="auto" w:sz="4" w:space="0"/>
              <w:left w:val="single" w:color="auto" w:sz="4" w:space="0"/>
              <w:bottom w:val="single" w:color="auto" w:sz="4" w:space="0"/>
              <w:right w:val="single" w:color="auto" w:sz="4" w:space="0"/>
            </w:tcBorders>
            <w:vAlign w:val="center"/>
          </w:tcPr>
          <w:p>
            <w:pPr>
              <w:spacing w:line="450" w:lineRule="exact"/>
              <w:jc w:val="center"/>
              <w:rPr>
                <w:rFonts w:hint="eastAsia" w:ascii="宋体" w:hAnsi="宋体"/>
                <w:color w:val="auto"/>
                <w:szCs w:val="21"/>
                <w:highlight w:val="none"/>
              </w:rPr>
            </w:pPr>
            <w:r>
              <w:rPr>
                <w:rFonts w:hint="eastAsia" w:ascii="宋体" w:hAnsi="宋体"/>
                <w:color w:val="auto"/>
                <w:szCs w:val="21"/>
                <w:highlight w:val="none"/>
              </w:rPr>
              <w:t>分标2</w:t>
            </w:r>
          </w:p>
        </w:tc>
        <w:tc>
          <w:tcPr>
            <w:tcW w:w="989" w:type="pct"/>
            <w:tcBorders>
              <w:top w:val="single" w:color="auto" w:sz="4" w:space="0"/>
              <w:left w:val="single" w:color="auto" w:sz="4" w:space="0"/>
              <w:bottom w:val="single" w:color="auto" w:sz="4" w:space="0"/>
              <w:right w:val="single" w:color="auto" w:sz="4" w:space="0"/>
            </w:tcBorders>
            <w:vAlign w:val="center"/>
          </w:tcPr>
          <w:p>
            <w:pPr>
              <w:spacing w:line="450" w:lineRule="exact"/>
              <w:jc w:val="center"/>
              <w:rPr>
                <w:rFonts w:hint="eastAsia" w:ascii="宋体" w:hAnsi="宋体"/>
                <w:color w:val="auto"/>
                <w:szCs w:val="21"/>
                <w:highlight w:val="none"/>
              </w:rPr>
            </w:pPr>
            <w:r>
              <w:rPr>
                <w:rFonts w:hint="eastAsia" w:ascii="宋体" w:hAnsi="宋体"/>
                <w:color w:val="auto"/>
                <w:szCs w:val="21"/>
                <w:highlight w:val="none"/>
              </w:rPr>
              <w:t>学生、教工生活用房及校园环境零星建设采购(100万以下工程项目)</w:t>
            </w:r>
          </w:p>
        </w:tc>
        <w:tc>
          <w:tcPr>
            <w:tcW w:w="687" w:type="pct"/>
            <w:tcBorders>
              <w:top w:val="single" w:color="auto" w:sz="4" w:space="0"/>
              <w:left w:val="single" w:color="auto" w:sz="4" w:space="0"/>
              <w:bottom w:val="single" w:color="auto" w:sz="4" w:space="0"/>
              <w:right w:val="single" w:color="auto" w:sz="4" w:space="0"/>
            </w:tcBorders>
            <w:vAlign w:val="center"/>
          </w:tcPr>
          <w:p>
            <w:pPr>
              <w:spacing w:line="450" w:lineRule="exact"/>
              <w:jc w:val="center"/>
              <w:rPr>
                <w:rFonts w:hint="eastAsia" w:ascii="宋体" w:hAnsi="宋体" w:cs="宋体"/>
                <w:color w:val="auto"/>
                <w:szCs w:val="21"/>
                <w:highlight w:val="none"/>
              </w:rPr>
            </w:pPr>
            <w:r>
              <w:rPr>
                <w:rFonts w:hint="eastAsia" w:ascii="宋体" w:hAnsi="宋体" w:cs="宋体"/>
                <w:color w:val="auto"/>
                <w:szCs w:val="21"/>
                <w:highlight w:val="none"/>
              </w:rPr>
              <w:t>1项</w:t>
            </w:r>
          </w:p>
        </w:tc>
        <w:tc>
          <w:tcPr>
            <w:tcW w:w="2815" w:type="pct"/>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00" w:lineRule="exact"/>
              <w:jc w:val="left"/>
              <w:rPr>
                <w:rFonts w:hint="eastAsia" w:ascii="宋体" w:hAnsi="宋体" w:cs="宋体"/>
                <w:color w:val="auto"/>
                <w:szCs w:val="21"/>
                <w:highlight w:val="none"/>
              </w:rPr>
            </w:pPr>
            <w:r>
              <w:rPr>
                <w:rFonts w:hint="eastAsia"/>
                <w:color w:val="auto"/>
                <w:highlight w:val="none"/>
              </w:rPr>
              <w:t>根据采购人要求提供玉林校区工程款在100万元以下的</w:t>
            </w:r>
            <w:r>
              <w:rPr>
                <w:rFonts w:hint="eastAsia"/>
                <w:color w:val="auto"/>
                <w:highlight w:val="none"/>
                <w:lang w:val="en-US" w:eastAsia="zh-CN"/>
              </w:rPr>
              <w:t>主要以</w:t>
            </w:r>
            <w:r>
              <w:rPr>
                <w:rFonts w:hint="eastAsia"/>
                <w:color w:val="auto"/>
                <w:highlight w:val="none"/>
              </w:rPr>
              <w:t>市政工程维修、绿化工程维修</w:t>
            </w:r>
            <w:r>
              <w:rPr>
                <w:rFonts w:hint="eastAsia"/>
                <w:color w:val="auto"/>
                <w:highlight w:val="none"/>
                <w:lang w:val="en-US" w:eastAsia="zh-CN"/>
              </w:rPr>
              <w:t>等为主的</w:t>
            </w:r>
            <w:r>
              <w:rPr>
                <w:rFonts w:hint="eastAsia"/>
                <w:color w:val="auto"/>
                <w:highlight w:val="none"/>
              </w:rPr>
              <w:t>服务，包含编制维修方案、图纸绘制，平面图及效果图绘制和维修项目的预算及</w:t>
            </w:r>
            <w:r>
              <w:rPr>
                <w:rFonts w:hint="eastAsia"/>
                <w:color w:val="auto"/>
                <w:highlight w:val="none"/>
                <w:lang w:val="en-US" w:eastAsia="zh-CN"/>
              </w:rPr>
              <w:t>工程量</w:t>
            </w:r>
            <w:r>
              <w:rPr>
                <w:rFonts w:hint="eastAsia"/>
                <w:color w:val="auto"/>
                <w:highlight w:val="none"/>
              </w:rPr>
              <w:t>清单编制（该等费用由供应商承担，采购人不另行支付）。维修项目范围</w:t>
            </w:r>
            <w:r>
              <w:rPr>
                <w:rFonts w:hint="eastAsia" w:ascii="宋体" w:hAnsi="宋体" w:cs="宋体"/>
                <w:color w:val="auto"/>
                <w:szCs w:val="21"/>
                <w:highlight w:val="none"/>
              </w:rPr>
              <w:t>见采购需求。</w:t>
            </w:r>
          </w:p>
        </w:tc>
      </w:tr>
    </w:tbl>
    <w:p>
      <w:pPr>
        <w:spacing w:line="360" w:lineRule="auto"/>
        <w:ind w:firstLine="420"/>
        <w:jc w:val="left"/>
        <w:rPr>
          <w:rFonts w:hint="eastAsia" w:ascii="宋体" w:hAnsi="宋体" w:cs="宋体"/>
          <w:color w:val="auto"/>
          <w:kern w:val="0"/>
          <w:szCs w:val="21"/>
          <w:highlight w:val="none"/>
        </w:rPr>
      </w:pPr>
      <w:r>
        <w:rPr>
          <w:rFonts w:hint="eastAsia" w:ascii="宋体" w:hAnsi="宋体"/>
          <w:color w:val="auto"/>
          <w:szCs w:val="21"/>
          <w:highlight w:val="none"/>
        </w:rPr>
        <w:t>合同有效期限：</w:t>
      </w:r>
      <w:r>
        <w:rPr>
          <w:rFonts w:hint="eastAsia" w:hAnsi="宋体"/>
          <w:color w:val="auto"/>
          <w:highlight w:val="none"/>
        </w:rPr>
        <w:t>自合同签订指定日期开始提供服务，服务期限一年</w:t>
      </w:r>
      <w:r>
        <w:rPr>
          <w:rFonts w:hint="eastAsia" w:ascii="宋体" w:hAnsi="宋体" w:cs="宋体"/>
          <w:color w:val="auto"/>
          <w:kern w:val="0"/>
          <w:szCs w:val="21"/>
          <w:highlight w:val="none"/>
        </w:rPr>
        <w:t>；对于在合同有效期内未完成维修工作并通过验收的项目，中标人应继续完成维修并通过验收。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本项目是否接受联合体投标：否。</w:t>
      </w:r>
    </w:p>
    <w:p>
      <w:pPr>
        <w:spacing w:line="360" w:lineRule="auto"/>
        <w:rPr>
          <w:rFonts w:ascii="黑体" w:hAnsi="黑体" w:eastAsia="黑体"/>
          <w:b/>
          <w:bCs/>
          <w:color w:val="auto"/>
          <w:sz w:val="24"/>
          <w:highlight w:val="none"/>
        </w:rPr>
      </w:pPr>
      <w:bookmarkStart w:id="12" w:name="_Toc28359080"/>
      <w:bookmarkStart w:id="13" w:name="_Toc28359003"/>
      <w:bookmarkStart w:id="14" w:name="_Toc35393791"/>
      <w:bookmarkStart w:id="15" w:name="_Toc35393622"/>
      <w:r>
        <w:rPr>
          <w:rFonts w:hint="eastAsia" w:ascii="黑体" w:hAnsi="黑体" w:eastAsia="黑体"/>
          <w:b/>
          <w:bCs/>
          <w:color w:val="auto"/>
          <w:sz w:val="24"/>
          <w:highlight w:val="none"/>
        </w:rPr>
        <w:t>二、投标人的资格要求：</w:t>
      </w:r>
      <w:bookmarkEnd w:id="12"/>
      <w:bookmarkEnd w:id="13"/>
      <w:bookmarkEnd w:id="14"/>
      <w:bookmarkEnd w:id="15"/>
    </w:p>
    <w:p>
      <w:pPr>
        <w:spacing w:line="360" w:lineRule="auto"/>
        <w:ind w:firstLine="420" w:firstLineChars="200"/>
        <w:rPr>
          <w:rFonts w:hint="eastAsia" w:ascii="宋体" w:hAnsi="宋体"/>
          <w:color w:val="auto"/>
          <w:szCs w:val="21"/>
          <w:highlight w:val="none"/>
        </w:rPr>
      </w:pPr>
      <w:bookmarkStart w:id="16" w:name="_Toc35393792"/>
      <w:bookmarkStart w:id="17" w:name="_Toc28359004"/>
      <w:bookmarkStart w:id="18" w:name="_Toc35393623"/>
      <w:bookmarkStart w:id="19" w:name="_Toc28359081"/>
      <w:r>
        <w:rPr>
          <w:rFonts w:hint="eastAsia" w:ascii="宋体" w:hAnsi="宋体"/>
          <w:color w:val="auto"/>
          <w:szCs w:val="21"/>
          <w:highlight w:val="none"/>
        </w:rPr>
        <w:t>1.满足《中华人民共和国政府采购法》第二十二条规定；</w:t>
      </w:r>
    </w:p>
    <w:p>
      <w:pPr>
        <w:shd w:val="clear" w:color="auto" w:fill="auto"/>
        <w:spacing w:line="360" w:lineRule="auto"/>
        <w:ind w:firstLine="420" w:firstLineChars="200"/>
        <w:rPr>
          <w:color w:val="auto"/>
          <w:highlight w:val="none"/>
        </w:rPr>
      </w:pPr>
      <w:r>
        <w:rPr>
          <w:rFonts w:hint="eastAsia" w:ascii="宋体" w:hAnsi="宋体"/>
          <w:color w:val="auto"/>
          <w:szCs w:val="21"/>
          <w:highlight w:val="none"/>
        </w:rPr>
        <w:t>2.落实政府采购政策需满足的资格要求：专门面向中小企业采购的项目（供应商应为中小微企业、监狱企业、残疾人福利性单位)。</w:t>
      </w:r>
    </w:p>
    <w:p>
      <w:pPr>
        <w:spacing w:line="360" w:lineRule="auto"/>
        <w:ind w:firstLine="420" w:firstLineChars="200"/>
        <w:rPr>
          <w:rFonts w:hint="eastAsia" w:ascii="宋体" w:hAnsi="宋体"/>
          <w:color w:val="auto"/>
          <w:szCs w:val="21"/>
          <w:highlight w:val="none"/>
        </w:rPr>
      </w:pPr>
      <w:bookmarkStart w:id="20" w:name="PO_3000001868_PM005"/>
      <w:r>
        <w:rPr>
          <w:rFonts w:hint="eastAsia" w:ascii="宋体" w:hAnsi="宋体"/>
          <w:color w:val="auto"/>
          <w:szCs w:val="21"/>
          <w:highlight w:val="none"/>
        </w:rPr>
        <w:t>3.未被“信用中国”（www.creditchina.gov.cn）、中国政府采购网（www.ccgp.gov.cn）列入失信被执行人、重大税收违法案件当事人名单、政府采购严重违法失信行为记录名单。</w:t>
      </w:r>
      <w:bookmarkEnd w:id="20"/>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4.本项目的特定资格要求：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分标1：（1）具备建筑工程施工总承包贰级（含以上级）资质或具备建筑装修装饰工程专业承包贰级（含以上级）资质或具备建筑机电安装工程专业承包贰级（含以上级）资质，以营业执照经营范围内包含消防设施工程、电子与智能化工程或其他可证明上述资质的材料为准。有省级及以上建设行政主管部门颁发的安全生产许可证。在人员、设备、资金等方面具备相应的施工能力。</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（2）需指定1名项目经理，项目经理须具有建筑工程贰级（含以上级）或机电工程贰级（含以上级）注册建造师执业资格，且不得随意变更，若变更需书面提出请求，经采购人同意后方可更换。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（3）投入的安全员必须取得建筑施工企业安全生产考核合格证。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分标2：（1）具备建筑工程施工总承包贰级（含以上级）资质或具备建筑装修装饰工程专业承包贰级（含以上级）资质或具备建筑机电安装工程专业承包贰级（含以上级）资质，以营业执照经营范围内包含环保工程、园林绿化施工工程、市政公用工程或其他可证明上述资质的材料为准。有省级及以上建设行政主管部门颁发的安全生产许可证。在人员、设备、资金等方面具备相应的施工能力。</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（2）需指定1名项目经理，项目经理须具有建筑工程贰级（含以上级）或机电工程贰级（含以上级）注册建造师执业资格，且不得随意变更，若变更需书面提出请求，经采购人同意后方可更换。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（3）投入的安全员必须取得建筑施工企业安全生产考核合格证。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5.本项目的特定条件：无。</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三、获取招标文件</w:t>
      </w:r>
      <w:bookmarkEnd w:id="16"/>
      <w:bookmarkEnd w:id="17"/>
      <w:bookmarkEnd w:id="18"/>
      <w:bookmarkEnd w:id="19"/>
    </w:p>
    <w:p>
      <w:pPr>
        <w:snapToGrid w:val="0"/>
        <w:spacing w:line="360" w:lineRule="auto"/>
        <w:ind w:firstLine="472" w:firstLineChars="225"/>
        <w:rPr>
          <w:rFonts w:hint="eastAsia" w:ascii="宋体" w:hAnsi="宋体"/>
          <w:color w:val="auto"/>
          <w:szCs w:val="21"/>
          <w:highlight w:val="none"/>
        </w:rPr>
      </w:pPr>
      <w:bookmarkStart w:id="21" w:name="_Toc28359005"/>
      <w:bookmarkStart w:id="22" w:name="_Toc28359082"/>
      <w:bookmarkStart w:id="23" w:name="_Toc35393793"/>
      <w:bookmarkStart w:id="24" w:name="_Toc35393624"/>
      <w:r>
        <w:rPr>
          <w:rFonts w:hint="eastAsia" w:ascii="宋体" w:hAnsi="宋体"/>
          <w:color w:val="auto"/>
          <w:szCs w:val="21"/>
          <w:highlight w:val="none"/>
        </w:rPr>
        <w:t>时间：</w:t>
      </w:r>
      <w:r>
        <w:rPr>
          <w:rFonts w:hint="eastAsia" w:ascii="宋体" w:hAnsi="宋体"/>
          <w:b/>
          <w:bCs/>
          <w:color w:val="auto"/>
          <w:szCs w:val="21"/>
          <w:highlight w:val="none"/>
          <w:u w:val="single"/>
        </w:rPr>
        <w:t>2024年</w:t>
      </w:r>
      <w:r>
        <w:rPr>
          <w:rFonts w:hint="eastAsia" w:ascii="宋体" w:hAnsi="宋体"/>
          <w:b/>
          <w:bCs/>
          <w:color w:val="auto"/>
          <w:szCs w:val="21"/>
          <w:highlight w:val="none"/>
          <w:u w:val="single"/>
          <w:lang w:val="en-US" w:eastAsia="zh-CN"/>
        </w:rPr>
        <w:t>3</w:t>
      </w:r>
      <w:r>
        <w:rPr>
          <w:rFonts w:hint="eastAsia" w:ascii="宋体" w:hAnsi="宋体"/>
          <w:b/>
          <w:bCs/>
          <w:color w:val="auto"/>
          <w:szCs w:val="21"/>
          <w:highlight w:val="none"/>
          <w:u w:val="single"/>
        </w:rPr>
        <w:t>月</w:t>
      </w:r>
      <w:r>
        <w:rPr>
          <w:rFonts w:hint="eastAsia" w:ascii="宋体" w:hAnsi="宋体"/>
          <w:b/>
          <w:bCs/>
          <w:color w:val="auto"/>
          <w:szCs w:val="21"/>
          <w:highlight w:val="none"/>
          <w:u w:val="single"/>
          <w:lang w:val="en-US" w:eastAsia="zh-CN"/>
        </w:rPr>
        <w:t>29</w:t>
      </w:r>
      <w:r>
        <w:rPr>
          <w:rFonts w:hint="eastAsia" w:ascii="宋体" w:hAnsi="宋体"/>
          <w:b/>
          <w:bCs/>
          <w:color w:val="auto"/>
          <w:szCs w:val="21"/>
          <w:highlight w:val="none"/>
          <w:u w:val="single"/>
        </w:rPr>
        <w:t xml:space="preserve">日至2024年 </w:t>
      </w:r>
      <w:r>
        <w:rPr>
          <w:rFonts w:hint="eastAsia" w:ascii="宋体" w:hAnsi="宋体"/>
          <w:b/>
          <w:bCs/>
          <w:color w:val="auto"/>
          <w:szCs w:val="21"/>
          <w:highlight w:val="none"/>
          <w:u w:val="single"/>
          <w:lang w:val="en-US" w:eastAsia="zh-CN"/>
        </w:rPr>
        <w:t>4</w:t>
      </w:r>
      <w:r>
        <w:rPr>
          <w:rFonts w:hint="eastAsia" w:ascii="宋体" w:hAnsi="宋体"/>
          <w:b/>
          <w:bCs/>
          <w:color w:val="auto"/>
          <w:szCs w:val="21"/>
          <w:highlight w:val="none"/>
          <w:u w:val="single"/>
        </w:rPr>
        <w:t>月</w:t>
      </w:r>
      <w:r>
        <w:rPr>
          <w:rFonts w:hint="eastAsia" w:ascii="宋体" w:hAnsi="宋体"/>
          <w:b/>
          <w:bCs/>
          <w:color w:val="auto"/>
          <w:szCs w:val="21"/>
          <w:highlight w:val="none"/>
          <w:u w:val="single"/>
          <w:lang w:val="en-US" w:eastAsia="zh-CN"/>
        </w:rPr>
        <w:t>8</w:t>
      </w:r>
      <w:r>
        <w:rPr>
          <w:rFonts w:hint="eastAsia" w:ascii="宋体" w:hAnsi="宋体"/>
          <w:b/>
          <w:bCs/>
          <w:color w:val="auto"/>
          <w:szCs w:val="21"/>
          <w:highlight w:val="none"/>
          <w:u w:val="single"/>
        </w:rPr>
        <w:t>日。</w:t>
      </w:r>
    </w:p>
    <w:p>
      <w:pPr>
        <w:spacing w:line="360" w:lineRule="auto"/>
        <w:ind w:firstLine="420" w:firstLineChars="200"/>
        <w:rPr>
          <w:rFonts w:ascii="黑体" w:hAnsi="黑体" w:eastAsia="黑体"/>
          <w:b/>
          <w:bCs/>
          <w:color w:val="auto"/>
          <w:sz w:val="24"/>
          <w:highlight w:val="none"/>
        </w:rPr>
      </w:pPr>
      <w:r>
        <w:rPr>
          <w:rFonts w:hint="eastAsia" w:ascii="宋体" w:hAnsi="宋体"/>
          <w:color w:val="auto"/>
          <w:szCs w:val="21"/>
          <w:highlight w:val="none"/>
        </w:rPr>
        <w:t>获取方式:网上下载。本项目不发放纸质文件，供应商可自行在</w:t>
      </w:r>
      <w:r>
        <w:rPr>
          <w:color w:val="auto"/>
          <w:highlight w:val="none"/>
        </w:rPr>
        <w:fldChar w:fldCharType="begin"/>
      </w:r>
      <w:r>
        <w:rPr>
          <w:color w:val="auto"/>
          <w:highlight w:val="none"/>
        </w:rPr>
        <w:instrText xml:space="preserve"> HYPERLINK </w:instrText>
      </w:r>
      <w:r>
        <w:rPr>
          <w:color w:val="auto"/>
          <w:highlight w:val="none"/>
        </w:rPr>
        <w:fldChar w:fldCharType="separate"/>
      </w:r>
      <w:r>
        <w:rPr>
          <w:color w:val="auto"/>
          <w:highlight w:val="none"/>
        </w:rPr>
        <w:fldChar w:fldCharType="end"/>
      </w:r>
      <w:r>
        <w:rPr>
          <w:rFonts w:hint="eastAsia" w:ascii="宋体" w:hAnsi="宋体"/>
          <w:color w:val="auto"/>
          <w:szCs w:val="21"/>
          <w:highlight w:val="none"/>
        </w:rPr>
        <w:t>“政采云”平台（http：/</w:t>
      </w:r>
      <w:r>
        <w:rPr>
          <w:rFonts w:ascii="宋体" w:hAnsi="宋体"/>
          <w:color w:val="auto"/>
          <w:szCs w:val="21"/>
          <w:highlight w:val="none"/>
        </w:rPr>
        <w:t>/www.zcygov.cn</w:t>
      </w:r>
      <w:r>
        <w:rPr>
          <w:rFonts w:hint="eastAsia" w:ascii="宋体" w:hAnsi="宋体"/>
          <w:color w:val="auto"/>
          <w:szCs w:val="21"/>
          <w:highlight w:val="none"/>
        </w:rPr>
        <w:t>）下载招标文件（操作路径：登录“政采云”平台-项目采购-获取采购文件-找到本项目-点击“申请获取采购文件”），电子投标文件制作需要基于“政采云”平台获取的招标文件编制。</w:t>
      </w:r>
    </w:p>
    <w:p>
      <w:pPr>
        <w:snapToGrid w:val="0"/>
        <w:spacing w:line="360" w:lineRule="auto"/>
        <w:ind w:firstLine="472" w:firstLineChars="225"/>
        <w:rPr>
          <w:rFonts w:hint="eastAsia" w:ascii="宋体" w:hAnsi="宋体"/>
          <w:color w:val="auto"/>
          <w:szCs w:val="21"/>
          <w:highlight w:val="none"/>
        </w:rPr>
      </w:pPr>
      <w:r>
        <w:rPr>
          <w:rFonts w:hint="eastAsia" w:ascii="宋体" w:hAnsi="宋体"/>
          <w:color w:val="auto"/>
          <w:szCs w:val="21"/>
          <w:highlight w:val="none"/>
        </w:rPr>
        <w:t>售价：0元。</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四、提交投标文件</w:t>
      </w:r>
      <w:bookmarkEnd w:id="21"/>
      <w:bookmarkEnd w:id="22"/>
      <w:r>
        <w:rPr>
          <w:rFonts w:hint="eastAsia" w:ascii="黑体" w:hAnsi="黑体" w:eastAsia="黑体"/>
          <w:b/>
          <w:bCs/>
          <w:color w:val="auto"/>
          <w:sz w:val="24"/>
          <w:highlight w:val="none"/>
        </w:rPr>
        <w:t>截止时间、开标时间和地点</w:t>
      </w:r>
      <w:bookmarkEnd w:id="23"/>
      <w:bookmarkEnd w:id="24"/>
    </w:p>
    <w:p>
      <w:pPr>
        <w:spacing w:line="360" w:lineRule="auto"/>
        <w:ind w:firstLine="420" w:firstLineChars="200"/>
        <w:rPr>
          <w:rFonts w:hint="eastAsia" w:ascii="宋体" w:hAnsi="宋体"/>
          <w:color w:val="auto"/>
          <w:szCs w:val="21"/>
          <w:highlight w:val="none"/>
        </w:rPr>
      </w:pPr>
      <w:bookmarkStart w:id="25" w:name="_Toc28359007"/>
      <w:bookmarkStart w:id="26" w:name="_Toc35393625"/>
      <w:bookmarkStart w:id="27" w:name="_Toc28359084"/>
      <w:bookmarkStart w:id="28" w:name="_Toc35393794"/>
      <w:r>
        <w:rPr>
          <w:rFonts w:hint="eastAsia" w:ascii="宋体" w:hAnsi="宋体"/>
          <w:color w:val="auto"/>
          <w:szCs w:val="21"/>
          <w:highlight w:val="none"/>
        </w:rPr>
        <w:t> 提交投标文件截止时间：</w:t>
      </w:r>
      <w:r>
        <w:rPr>
          <w:rFonts w:hint="eastAsia" w:ascii="宋体" w:hAnsi="宋体" w:cs="宋体"/>
          <w:color w:val="auto"/>
          <w:szCs w:val="21"/>
          <w:highlight w:val="none"/>
          <w:lang w:eastAsia="zh-CN"/>
        </w:rPr>
        <w:t xml:space="preserve"> 2024年4月19日</w:t>
      </w:r>
      <w:r>
        <w:rPr>
          <w:rFonts w:hint="eastAsia" w:ascii="宋体" w:hAnsi="宋体"/>
          <w:color w:val="auto"/>
          <w:szCs w:val="21"/>
          <w:highlight w:val="none"/>
        </w:rPr>
        <w:t xml:space="preserve"> </w:t>
      </w:r>
      <w:r>
        <w:rPr>
          <w:rFonts w:hint="eastAsia" w:ascii="宋体" w:hAnsi="宋体" w:cs="宋体"/>
          <w:color w:val="auto"/>
          <w:szCs w:val="21"/>
          <w:highlight w:val="none"/>
        </w:rPr>
        <w:t>9:30</w:t>
      </w:r>
      <w:r>
        <w:rPr>
          <w:rFonts w:hint="eastAsia" w:ascii="宋体" w:hAnsi="宋体"/>
          <w:color w:val="auto"/>
          <w:szCs w:val="21"/>
          <w:highlight w:val="none"/>
        </w:rPr>
        <w:t>（北京时间）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投标地点（网址）：本项目为全流程电子化政府采购项目，通过“政采云”平台（http：//www.zcygov.cn）实行在线电子投标。</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开标时间：</w:t>
      </w:r>
      <w:r>
        <w:rPr>
          <w:rFonts w:hint="eastAsia" w:ascii="宋体" w:hAnsi="宋体" w:cs="宋体"/>
          <w:color w:val="auto"/>
          <w:szCs w:val="21"/>
          <w:highlight w:val="none"/>
          <w:lang w:eastAsia="zh-CN"/>
        </w:rPr>
        <w:t xml:space="preserve"> 2024年4月19日</w:t>
      </w:r>
      <w:r>
        <w:rPr>
          <w:rFonts w:hint="eastAsia" w:ascii="宋体" w:hAnsi="宋体"/>
          <w:color w:val="auto"/>
          <w:szCs w:val="21"/>
          <w:highlight w:val="none"/>
        </w:rPr>
        <w:t xml:space="preserve"> </w:t>
      </w:r>
      <w:r>
        <w:rPr>
          <w:rFonts w:hint="eastAsia" w:ascii="宋体" w:hAnsi="宋体" w:cs="宋体"/>
          <w:color w:val="auto"/>
          <w:szCs w:val="21"/>
          <w:highlight w:val="none"/>
        </w:rPr>
        <w:t>9:30</w:t>
      </w:r>
      <w:r>
        <w:rPr>
          <w:rFonts w:hint="eastAsia" w:ascii="宋体" w:hAnsi="宋体"/>
          <w:color w:val="auto"/>
          <w:szCs w:val="21"/>
          <w:highlight w:val="none"/>
        </w:rPr>
        <w:t> </w:t>
      </w:r>
    </w:p>
    <w:p>
      <w:pPr>
        <w:spacing w:line="360" w:lineRule="auto"/>
        <w:ind w:firstLine="420" w:firstLineChars="200"/>
        <w:rPr>
          <w:rFonts w:hint="eastAsia" w:ascii="黑体" w:hAnsi="黑体" w:eastAsia="黑体"/>
          <w:b/>
          <w:bCs/>
          <w:color w:val="auto"/>
          <w:sz w:val="24"/>
          <w:highlight w:val="none"/>
        </w:rPr>
      </w:pPr>
      <w:r>
        <w:rPr>
          <w:rFonts w:hint="eastAsia" w:ascii="宋体" w:hAnsi="宋体"/>
          <w:color w:val="auto"/>
          <w:szCs w:val="21"/>
          <w:highlight w:val="none"/>
        </w:rPr>
        <w:t> 开标地点：</w:t>
      </w:r>
      <w:r>
        <w:rPr>
          <w:rFonts w:hint="eastAsia" w:ascii="宋体" w:hAnsi="宋体" w:cs="宋体"/>
          <w:color w:val="auto"/>
          <w:szCs w:val="21"/>
          <w:highlight w:val="none"/>
          <w:lang w:bidi="ar"/>
        </w:rPr>
        <w:t>本项目将在“政采云”平台电子开标大厅解密、开标。</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五、公告期限</w:t>
      </w:r>
      <w:bookmarkEnd w:id="25"/>
      <w:bookmarkEnd w:id="26"/>
      <w:bookmarkEnd w:id="27"/>
      <w:bookmarkEnd w:id="28"/>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360" w:lineRule="auto"/>
        <w:rPr>
          <w:rFonts w:ascii="黑体" w:hAnsi="黑体" w:eastAsia="黑体"/>
          <w:b/>
          <w:bCs/>
          <w:color w:val="auto"/>
          <w:sz w:val="24"/>
          <w:highlight w:val="none"/>
        </w:rPr>
      </w:pPr>
      <w:bookmarkStart w:id="29" w:name="_Toc35393626"/>
      <w:bookmarkStart w:id="30" w:name="_Toc35393795"/>
      <w:r>
        <w:rPr>
          <w:rFonts w:hint="eastAsia" w:ascii="黑体" w:hAnsi="黑体" w:eastAsia="黑体"/>
          <w:b/>
          <w:bCs/>
          <w:color w:val="auto"/>
          <w:sz w:val="24"/>
          <w:highlight w:val="none"/>
        </w:rPr>
        <w:t>六、其他补充事宜</w:t>
      </w:r>
      <w:bookmarkEnd w:id="29"/>
      <w:bookmarkEnd w:id="30"/>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w:t>
      </w:r>
      <w:r>
        <w:rPr>
          <w:rFonts w:hint="eastAsia" w:ascii="宋体" w:hAnsi="宋体" w:cs="宋体"/>
          <w:color w:val="auto"/>
          <w:kern w:val="0"/>
          <w:szCs w:val="21"/>
          <w:highlight w:val="none"/>
        </w:rPr>
        <w:t>投标保证金：本项目收取投标保证金，分标1：贰万元整（¥20000.00）；分标2：贰万元整（¥20000.00），详见投标人须知前附表。</w:t>
      </w:r>
    </w:p>
    <w:p>
      <w:pPr>
        <w:spacing w:line="360" w:lineRule="auto"/>
        <w:ind w:firstLine="315" w:firstLineChars="150"/>
        <w:rPr>
          <w:rFonts w:hint="eastAsia" w:ascii="宋体" w:hAnsi="宋体" w:cs="宋体"/>
          <w:color w:val="auto"/>
          <w:kern w:val="0"/>
          <w:szCs w:val="21"/>
          <w:highlight w:val="none"/>
        </w:rPr>
      </w:pPr>
      <w:bookmarkStart w:id="31" w:name="_Hlk37429585"/>
      <w:r>
        <w:rPr>
          <w:rFonts w:hint="eastAsia" w:ascii="宋体" w:hAnsi="宋体" w:cs="宋体"/>
          <w:color w:val="auto"/>
          <w:kern w:val="0"/>
          <w:szCs w:val="21"/>
          <w:highlight w:val="none"/>
        </w:rPr>
        <w:t>2</w:t>
      </w:r>
      <w:r>
        <w:rPr>
          <w:rFonts w:ascii="宋体" w:hAnsi="宋体" w:cs="宋体"/>
          <w:color w:val="auto"/>
          <w:kern w:val="0"/>
          <w:szCs w:val="21"/>
          <w:highlight w:val="none"/>
        </w:rPr>
        <w:t>.</w:t>
      </w:r>
      <w:r>
        <w:rPr>
          <w:rFonts w:hint="eastAsia" w:ascii="宋体" w:hAnsi="宋体"/>
          <w:color w:val="auto"/>
          <w:szCs w:val="21"/>
          <w:highlight w:val="none"/>
        </w:rPr>
        <w:t xml:space="preserve"> </w:t>
      </w:r>
      <w:bookmarkStart w:id="32" w:name="_Hlk37429595"/>
      <w:r>
        <w:rPr>
          <w:rFonts w:hint="eastAsia" w:ascii="宋体" w:hAnsi="宋体" w:cs="宋体"/>
          <w:color w:val="auto"/>
          <w:kern w:val="0"/>
          <w:szCs w:val="21"/>
          <w:highlight w:val="none"/>
        </w:rPr>
        <w:t>网上查询地址</w:t>
      </w:r>
      <w:bookmarkEnd w:id="31"/>
      <w:bookmarkEnd w:id="32"/>
      <w:bookmarkStart w:id="33" w:name="_Hlk37429674"/>
      <w:r>
        <w:rPr>
          <w:rFonts w:hint="eastAsia" w:ascii="宋体" w:hAnsi="宋体" w:cs="宋体"/>
          <w:color w:val="auto"/>
          <w:kern w:val="0"/>
          <w:szCs w:val="21"/>
          <w:highlight w:val="none"/>
        </w:rPr>
        <w:t>：http://www.ccgp.gov.cn(中国政府采购网)，http://zfcg.gxzf.gov.cn(广西政府采购网)，http://gxggzy.gxzf.gov.cn（广西壮族自治区公共资源交易中心）、http://www.guangxibid.com.cn/（广西招标网），https://gxygcg.ejy365.com/（广西阳光采购服务平台）。</w:t>
      </w:r>
    </w:p>
    <w:p>
      <w:pPr>
        <w:spacing w:line="360" w:lineRule="auto"/>
        <w:ind w:firstLine="315" w:firstLineChars="150"/>
        <w:rPr>
          <w:rFonts w:ascii="宋体" w:hAnsi="宋体" w:cs="宋体"/>
          <w:color w:val="auto"/>
          <w:kern w:val="0"/>
          <w:szCs w:val="21"/>
          <w:highlight w:val="none"/>
        </w:rPr>
      </w:pPr>
      <w:r>
        <w:rPr>
          <w:rFonts w:ascii="宋体" w:hAnsi="宋体"/>
          <w:color w:val="auto"/>
          <w:szCs w:val="21"/>
          <w:highlight w:val="none"/>
        </w:rPr>
        <w:t>3.</w:t>
      </w:r>
      <w:r>
        <w:rPr>
          <w:rFonts w:hint="eastAsia" w:ascii="宋体" w:hAnsi="宋体"/>
          <w:color w:val="auto"/>
          <w:szCs w:val="21"/>
          <w:highlight w:val="none"/>
        </w:rPr>
        <w:t xml:space="preserve"> </w:t>
      </w:r>
      <w:r>
        <w:rPr>
          <w:rFonts w:hint="eastAsia" w:ascii="宋体" w:hAnsi="宋体" w:cs="宋体"/>
          <w:color w:val="auto"/>
          <w:kern w:val="0"/>
          <w:szCs w:val="21"/>
          <w:highlight w:val="none"/>
        </w:rPr>
        <w:t>本项目需要落实的政府采购政策</w:t>
      </w:r>
    </w:p>
    <w:bookmarkEnd w:id="33"/>
    <w:p>
      <w:pPr>
        <w:spacing w:line="360" w:lineRule="auto"/>
        <w:ind w:firstLine="315" w:firstLineChars="150"/>
        <w:rPr>
          <w:rFonts w:hint="eastAsia"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360" w:lineRule="auto"/>
        <w:ind w:firstLine="315" w:firstLineChars="150"/>
        <w:rPr>
          <w:rFonts w:hint="eastAsia"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360" w:lineRule="auto"/>
        <w:ind w:firstLine="315" w:firstLineChars="150"/>
        <w:rPr>
          <w:rFonts w:hint="eastAsia"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360" w:lineRule="auto"/>
        <w:ind w:firstLine="315" w:firstLineChars="150"/>
        <w:rPr>
          <w:rFonts w:hint="eastAsia"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360" w:lineRule="auto"/>
        <w:ind w:firstLine="315" w:firstLineChars="150"/>
        <w:rPr>
          <w:rFonts w:hint="eastAsia"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w:t>
      </w:r>
      <w:r>
        <w:rPr>
          <w:rFonts w:hint="eastAsia" w:ascii="宋体" w:hAnsi="宋体" w:cs="宋体"/>
          <w:color w:val="auto"/>
          <w:kern w:val="0"/>
          <w:szCs w:val="21"/>
          <w:highlight w:val="none"/>
        </w:rPr>
        <w:t>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w:t>
      </w:r>
      <w:r>
        <w:rPr>
          <w:rFonts w:hint="eastAsia" w:ascii="宋体" w:hAnsi="宋体" w:cs="宋体"/>
          <w:color w:val="auto"/>
          <w:kern w:val="0"/>
          <w:szCs w:val="21"/>
          <w:highlight w:val="none"/>
        </w:rPr>
        <w:t xml:space="preserve"> 若对项目采购电子交易系统操作有疑问，可登录“政采云”平台（https://www.zcygov.cn/），点击右侧咨询小采，获取采小蜜智能服务管家帮助，或拨打政采云服务热线95763获取热线服务帮助。</w:t>
      </w:r>
      <w:bookmarkStart w:id="34" w:name="_Toc35393627"/>
      <w:bookmarkStart w:id="35" w:name="_Toc28359085"/>
      <w:bookmarkStart w:id="36" w:name="_Toc35393796"/>
      <w:bookmarkStart w:id="37" w:name="_Toc28359008"/>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6.监督单位：广西壮族自治区财政厅政府采购监督管理处  0771-5331544</w:t>
      </w:r>
    </w:p>
    <w:p>
      <w:pPr>
        <w:pStyle w:val="2"/>
        <w:rPr>
          <w:rFonts w:hint="eastAsia"/>
        </w:rPr>
      </w:pPr>
    </w:p>
    <w:p>
      <w:pPr>
        <w:spacing w:line="360" w:lineRule="auto"/>
      </w:pPr>
      <w:r>
        <w:rPr>
          <w:rFonts w:hint="eastAsia" w:ascii="黑体" w:hAnsi="黑体" w:eastAsia="黑体"/>
          <w:b/>
          <w:bCs/>
          <w:color w:val="auto"/>
          <w:sz w:val="24"/>
          <w:highlight w:val="none"/>
        </w:rPr>
        <w:t>七、对本次招标提出询问，请按</w:t>
      </w:r>
      <w:r>
        <w:rPr>
          <w:rFonts w:ascii="黑体" w:hAnsi="黑体" w:eastAsia="黑体"/>
          <w:b/>
          <w:bCs/>
          <w:color w:val="auto"/>
          <w:sz w:val="24"/>
          <w:highlight w:val="none"/>
        </w:rPr>
        <w:t>以下方式</w:t>
      </w:r>
      <w:r>
        <w:rPr>
          <w:rFonts w:hint="eastAsia" w:ascii="黑体" w:hAnsi="黑体" w:eastAsia="黑体"/>
          <w:b/>
          <w:bCs/>
          <w:color w:val="auto"/>
          <w:sz w:val="24"/>
          <w:highlight w:val="none"/>
        </w:rPr>
        <w:t>联系。</w:t>
      </w:r>
      <w:bookmarkEnd w:id="34"/>
      <w:bookmarkEnd w:id="35"/>
      <w:bookmarkEnd w:id="36"/>
      <w:bookmarkEnd w:id="37"/>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1.采购人信息</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名称：广西医科大学</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地址：广西南宁市双拥路22号</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2"/>
          <w:highlight w:val="none"/>
        </w:rPr>
        <w:t xml:space="preserve">项目联系人：黄敏 </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项目联系方式：0771-5358884</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2.采购代理机构信息</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名称：广西建设工程机电设备招标中心有限公司</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地址：</w:t>
      </w:r>
      <w:r>
        <w:rPr>
          <w:rFonts w:hint="eastAsia" w:ascii="宋体" w:hAnsi="宋体" w:cs="宋体"/>
          <w:color w:val="auto"/>
          <w:szCs w:val="21"/>
          <w:highlight w:val="none"/>
        </w:rPr>
        <w:t>南宁市良庆区凯旋路15号绿地中心5号楼610室</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项目联系人：韦吉、罗雷 ，联系电话：0771-2869912</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3.项目联系方式</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项目联系人：韦吉、罗雷    </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电 话：0771-2869912</w:t>
      </w:r>
    </w:p>
    <w:p>
      <w:pPr>
        <w:spacing w:line="360" w:lineRule="auto"/>
        <w:ind w:firstLine="735" w:firstLineChars="350"/>
        <w:rPr>
          <w:rFonts w:hint="eastAsia" w:ascii="宋体" w:hAnsi="宋体" w:cs="宋体"/>
          <w:color w:val="auto"/>
          <w:szCs w:val="21"/>
          <w:highlight w:val="none"/>
        </w:rPr>
      </w:pPr>
    </w:p>
    <w:p>
      <w:pPr>
        <w:spacing w:line="360" w:lineRule="auto"/>
        <w:ind w:firstLine="735" w:firstLineChars="350"/>
        <w:jc w:val="right"/>
        <w:rPr>
          <w:rFonts w:hint="eastAsia" w:ascii="宋体" w:hAnsi="宋体" w:cs="宋体"/>
          <w:color w:val="auto"/>
          <w:szCs w:val="21"/>
          <w:highlight w:val="none"/>
        </w:rPr>
      </w:pPr>
    </w:p>
    <w:p>
      <w:pPr>
        <w:spacing w:line="360" w:lineRule="auto"/>
        <w:ind w:firstLine="735" w:firstLineChars="350"/>
        <w:jc w:val="right"/>
        <w:rPr>
          <w:rFonts w:hint="eastAsia" w:ascii="宋体" w:hAnsi="宋体" w:cs="宋体"/>
          <w:color w:val="auto"/>
          <w:szCs w:val="21"/>
          <w:highlight w:val="none"/>
        </w:rPr>
      </w:pPr>
      <w:r>
        <w:rPr>
          <w:rFonts w:hint="eastAsia" w:ascii="宋体" w:hAnsi="宋体" w:cs="宋体"/>
          <w:color w:val="auto"/>
          <w:szCs w:val="21"/>
          <w:highlight w:val="none"/>
        </w:rPr>
        <w:t>广西建设工程机电设备招标中心有限公司</w:t>
      </w:r>
    </w:p>
    <w:p>
      <w:pPr>
        <w:spacing w:line="360" w:lineRule="auto"/>
        <w:ind w:firstLine="735" w:firstLineChars="350"/>
        <w:jc w:val="center"/>
        <w:rPr>
          <w:rFonts w:hint="eastAsia" w:ascii="宋体" w:hAnsi="宋体" w:eastAsia="宋体" w:cs="宋体"/>
          <w:color w:val="auto"/>
          <w:szCs w:val="21"/>
          <w:highlight w:val="none"/>
          <w:lang w:val="en-US" w:eastAsia="zh-CN"/>
        </w:rPr>
      </w:pPr>
      <w:r>
        <w:rPr>
          <w:rFonts w:hint="eastAsia" w:ascii="宋体" w:hAnsi="宋体" w:cs="宋体"/>
          <w:b w:val="0"/>
          <w:bCs w:val="0"/>
          <w:color w:val="auto"/>
          <w:szCs w:val="21"/>
          <w:highlight w:val="none"/>
          <w:u w:val="none"/>
          <w:lang w:val="en-US" w:eastAsia="zh-CN"/>
        </w:rPr>
        <w:t xml:space="preserve">                                                    </w:t>
      </w:r>
      <w:r>
        <w:rPr>
          <w:rFonts w:hint="eastAsia" w:ascii="宋体" w:hAnsi="宋体" w:cs="宋体"/>
          <w:b w:val="0"/>
          <w:bCs w:val="0"/>
          <w:color w:val="auto"/>
          <w:szCs w:val="21"/>
          <w:highlight w:val="none"/>
          <w:u w:val="none"/>
        </w:rPr>
        <w:t>2024年</w:t>
      </w:r>
      <w:r>
        <w:rPr>
          <w:rFonts w:hint="eastAsia" w:ascii="宋体" w:hAnsi="宋体" w:cs="宋体"/>
          <w:b w:val="0"/>
          <w:bCs w:val="0"/>
          <w:color w:val="auto"/>
          <w:szCs w:val="21"/>
          <w:highlight w:val="none"/>
          <w:u w:val="none"/>
          <w:lang w:val="en-US" w:eastAsia="zh-CN"/>
        </w:rPr>
        <w:t>3</w:t>
      </w:r>
      <w:r>
        <w:rPr>
          <w:rFonts w:hint="eastAsia" w:ascii="宋体" w:hAnsi="宋体" w:cs="宋体"/>
          <w:b w:val="0"/>
          <w:bCs w:val="0"/>
          <w:color w:val="auto"/>
          <w:szCs w:val="21"/>
          <w:highlight w:val="none"/>
          <w:u w:val="none"/>
        </w:rPr>
        <w:t>月</w:t>
      </w:r>
      <w:r>
        <w:rPr>
          <w:rFonts w:hint="eastAsia" w:ascii="宋体" w:hAnsi="宋体" w:cs="宋体"/>
          <w:b w:val="0"/>
          <w:bCs w:val="0"/>
          <w:color w:val="auto"/>
          <w:szCs w:val="21"/>
          <w:highlight w:val="none"/>
          <w:u w:val="none"/>
          <w:lang w:val="en-US" w:eastAsia="zh-CN"/>
        </w:rPr>
        <w:t>29</w:t>
      </w:r>
      <w:r>
        <w:rPr>
          <w:rFonts w:hint="eastAsia" w:ascii="宋体" w:hAnsi="宋体" w:cs="宋体"/>
          <w:b w:val="0"/>
          <w:bCs w:val="0"/>
          <w:color w:val="auto"/>
          <w:szCs w:val="21"/>
          <w:highlight w:val="none"/>
          <w:u w:val="none"/>
        </w:rPr>
        <w:t>日</w:t>
      </w:r>
      <w:r>
        <w:rPr>
          <w:rFonts w:hint="eastAsia" w:ascii="宋体" w:hAnsi="宋体" w:cs="宋体"/>
          <w:b w:val="0"/>
          <w:bCs w:val="0"/>
          <w:color w:val="auto"/>
          <w:szCs w:val="21"/>
          <w:highlight w:val="none"/>
          <w:u w:val="none"/>
          <w:lang w:val="en-US" w:eastAsia="zh-CN"/>
        </w:rPr>
        <w:t xml:space="preserve">            </w:t>
      </w:r>
    </w:p>
    <w:p>
      <w:pPr>
        <w:spacing w:line="360" w:lineRule="auto"/>
        <w:rPr>
          <w:rFonts w:ascii="宋体" w:hAnsi="宋体"/>
          <w:color w:val="auto"/>
          <w:szCs w:val="21"/>
          <w:highlight w:val="none"/>
        </w:rPr>
      </w:pPr>
    </w:p>
    <w:p>
      <w:pPr>
        <w:pStyle w:val="3"/>
        <w:jc w:val="center"/>
        <w:rPr>
          <w:rFonts w:hint="eastAsia"/>
          <w:color w:val="auto"/>
          <w:sz w:val="48"/>
          <w:szCs w:val="48"/>
          <w:highlight w:val="none"/>
        </w:rPr>
      </w:pPr>
      <w:bookmarkStart w:id="38" w:name="_Toc532545042"/>
      <w:bookmarkStart w:id="39" w:name="_Toc80092991"/>
      <w:r>
        <w:rPr>
          <w:rFonts w:hint="eastAsia"/>
          <w:b w:val="0"/>
          <w:color w:val="auto"/>
          <w:sz w:val="36"/>
          <w:highlight w:val="none"/>
        </w:rPr>
        <w:br w:type="page"/>
      </w:r>
      <w:bookmarkEnd w:id="38"/>
      <w:bookmarkEnd w:id="39"/>
      <w:bookmarkStart w:id="40" w:name="_Toc21981"/>
      <w:bookmarkStart w:id="41" w:name="_Toc14364"/>
      <w:bookmarkStart w:id="42" w:name="_Toc17956"/>
      <w:r>
        <w:rPr>
          <w:rStyle w:val="47"/>
          <w:rFonts w:hint="default" w:ascii="Cambria" w:hAnsi="Cambria"/>
          <w:b/>
          <w:bCs w:val="0"/>
          <w:color w:val="auto"/>
          <w:sz w:val="36"/>
          <w:szCs w:val="36"/>
          <w:highlight w:val="none"/>
        </w:rPr>
        <w:t>第二章 采购需求</w:t>
      </w:r>
      <w:bookmarkEnd w:id="40"/>
      <w:bookmarkEnd w:id="41"/>
      <w:bookmarkEnd w:id="42"/>
    </w:p>
    <w:p>
      <w:pPr>
        <w:spacing w:line="400" w:lineRule="exact"/>
        <w:jc w:val="left"/>
        <w:rPr>
          <w:rFonts w:hint="eastAsia" w:ascii="宋体" w:hAnsi="宋体" w:cs="宋体"/>
          <w:color w:val="auto"/>
          <w:szCs w:val="21"/>
          <w:highlight w:val="none"/>
        </w:rPr>
      </w:pPr>
      <w:r>
        <w:rPr>
          <w:rFonts w:hint="eastAsia" w:ascii="宋体" w:hAnsi="宋体" w:cs="宋体"/>
          <w:color w:val="auto"/>
          <w:szCs w:val="21"/>
          <w:highlight w:val="none"/>
        </w:rPr>
        <w:t>说明：</w:t>
      </w:r>
    </w:p>
    <w:p>
      <w:pPr>
        <w:spacing w:line="360" w:lineRule="auto"/>
        <w:ind w:firstLine="424" w:firstLineChars="202"/>
        <w:jc w:val="left"/>
        <w:rPr>
          <w:rFonts w:hint="eastAsia"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货物属于品目清单内标注“★”的产品时，投标人的投标货物必须使用政府强制采购的节能产品，投标人必须在投标文件中提供所投标产品的节能产品认证证书复印件（加盖投标人公章），否则投标文件作无效处理。如本项目包含的货物属于品目清单内非标注“★”的产品时，应优先采购，具体详见“第四章 评标方法和评标标准”。</w:t>
      </w:r>
    </w:p>
    <w:p>
      <w:pPr>
        <w:spacing w:line="360" w:lineRule="auto"/>
        <w:ind w:firstLine="424" w:firstLineChars="202"/>
        <w:jc w:val="left"/>
        <w:rPr>
          <w:rFonts w:hint="eastAsia"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.“实质性要求”是指招标文件中已经指明不满足则投标无效的条款，或者不能负偏离的条款，或者采购需求中带“▲”的条款。</w:t>
      </w:r>
    </w:p>
    <w:p>
      <w:pPr>
        <w:spacing w:line="360" w:lineRule="auto"/>
        <w:ind w:firstLine="424" w:firstLineChars="202"/>
        <w:jc w:val="left"/>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w:t>
      </w:r>
      <w:bookmarkStart w:id="43" w:name="_Hlk54774389"/>
      <w:r>
        <w:rPr>
          <w:rFonts w:hint="eastAsia" w:ascii="宋体" w:hAnsi="宋体" w:cs="宋体"/>
          <w:color w:val="auto"/>
          <w:szCs w:val="21"/>
          <w:highlight w:val="none"/>
        </w:rPr>
        <w:t>服务项目中伴随货物的，</w:t>
      </w:r>
      <w:bookmarkEnd w:id="43"/>
      <w:r>
        <w:rPr>
          <w:rFonts w:hint="eastAsia" w:ascii="宋体" w:hAnsi="宋体" w:cs="宋体"/>
          <w:color w:val="auto"/>
          <w:szCs w:val="21"/>
          <w:highlight w:val="none"/>
        </w:rPr>
        <w:t>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auto"/>
        <w:ind w:firstLine="424" w:firstLineChars="202"/>
        <w:jc w:val="left"/>
        <w:rPr>
          <w:rFonts w:hint="eastAsia"/>
          <w:color w:val="auto"/>
          <w:highlight w:val="none"/>
        </w:rPr>
      </w:pPr>
      <w:r>
        <w:rPr>
          <w:rFonts w:ascii="宋体" w:hAnsi="宋体" w:cs="宋体"/>
          <w:color w:val="auto"/>
          <w:szCs w:val="21"/>
          <w:highlight w:val="none"/>
        </w:rPr>
        <w:t>4.</w:t>
      </w:r>
      <w:r>
        <w:rPr>
          <w:color w:val="auto"/>
          <w:highlight w:val="none"/>
        </w:rPr>
        <w:t>供应商必须自行为其</w:t>
      </w:r>
      <w:r>
        <w:rPr>
          <w:rFonts w:hint="eastAsia"/>
          <w:color w:val="auto"/>
          <w:highlight w:val="none"/>
        </w:rPr>
        <w:t>投标</w:t>
      </w:r>
      <w:r>
        <w:rPr>
          <w:color w:val="auto"/>
          <w:highlight w:val="none"/>
        </w:rPr>
        <w:t>产品侵犯</w:t>
      </w:r>
      <w:r>
        <w:rPr>
          <w:rFonts w:hint="eastAsia"/>
          <w:color w:val="auto"/>
          <w:highlight w:val="none"/>
        </w:rPr>
        <w:t>他人的知识产权或者专利成果的行为</w:t>
      </w:r>
      <w:r>
        <w:rPr>
          <w:color w:val="auto"/>
          <w:highlight w:val="none"/>
        </w:rPr>
        <w:t>承担相应法律责任</w:t>
      </w:r>
      <w:r>
        <w:rPr>
          <w:rFonts w:hint="eastAsia"/>
          <w:color w:val="auto"/>
          <w:highlight w:val="none"/>
        </w:rPr>
        <w:t>。</w:t>
      </w:r>
    </w:p>
    <w:p>
      <w:pPr>
        <w:spacing w:line="360" w:lineRule="auto"/>
        <w:ind w:firstLine="424" w:firstLineChars="202"/>
        <w:jc w:val="left"/>
        <w:rPr>
          <w:rFonts w:hint="eastAsia" w:ascii="宋体" w:hAnsi="宋体" w:cs="宋体"/>
          <w:color w:val="auto"/>
          <w:szCs w:val="21"/>
          <w:highlight w:val="none"/>
        </w:rPr>
      </w:pPr>
      <w:r>
        <w:rPr>
          <w:rFonts w:hint="eastAsia" w:ascii="宋体" w:hAnsi="宋体" w:cs="宋体"/>
          <w:color w:val="auto"/>
          <w:szCs w:val="21"/>
          <w:highlight w:val="none"/>
        </w:rPr>
        <w:t>5.采购所属行业：建筑业。</w:t>
      </w:r>
    </w:p>
    <w:p>
      <w:pPr>
        <w:spacing w:line="428" w:lineRule="exact"/>
        <w:ind w:left="119"/>
        <w:rPr>
          <w:rFonts w:hAnsi="宋体"/>
          <w:color w:val="auto"/>
          <w:highlight w:val="none"/>
        </w:rPr>
      </w:pPr>
      <w:r>
        <w:rPr>
          <w:rFonts w:hAnsi="宋体"/>
          <w:color w:val="auto"/>
          <w:highlight w:val="none"/>
        </w:rPr>
        <w:br w:type="page"/>
      </w:r>
      <w:r>
        <w:rPr>
          <w:rFonts w:hint="eastAsia" w:hAnsi="宋体"/>
          <w:b/>
          <w:bCs/>
          <w:color w:val="auto"/>
          <w:sz w:val="28"/>
          <w:szCs w:val="36"/>
          <w:highlight w:val="none"/>
        </w:rPr>
        <w:t>分标1：</w:t>
      </w:r>
    </w:p>
    <w:tbl>
      <w:tblPr>
        <w:tblStyle w:val="38"/>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467"/>
        <w:gridCol w:w="544"/>
        <w:gridCol w:w="1012"/>
        <w:gridCol w:w="6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47" w:type="dxa"/>
            <w:shd w:val="clear" w:color="auto" w:fill="auto"/>
            <w:vAlign w:val="center"/>
          </w:tcPr>
          <w:p>
            <w:pPr>
              <w:spacing w:line="428" w:lineRule="exact"/>
              <w:jc w:val="center"/>
              <w:rPr>
                <w:rFonts w:hint="eastAsia" w:hAnsi="宋体"/>
                <w:color w:val="auto"/>
                <w:highlight w:val="none"/>
              </w:rPr>
            </w:pPr>
            <w:r>
              <w:rPr>
                <w:rFonts w:hint="eastAsia" w:hAnsi="宋体"/>
                <w:color w:val="auto"/>
                <w:highlight w:val="none"/>
              </w:rPr>
              <w:t>序号</w:t>
            </w:r>
          </w:p>
        </w:tc>
        <w:tc>
          <w:tcPr>
            <w:tcW w:w="1011" w:type="dxa"/>
            <w:gridSpan w:val="2"/>
            <w:shd w:val="clear" w:color="auto" w:fill="auto"/>
            <w:vAlign w:val="center"/>
          </w:tcPr>
          <w:p>
            <w:pPr>
              <w:spacing w:line="428" w:lineRule="exact"/>
              <w:jc w:val="center"/>
              <w:rPr>
                <w:rFonts w:hint="eastAsia" w:hAnsi="宋体"/>
                <w:color w:val="auto"/>
                <w:highlight w:val="none"/>
              </w:rPr>
            </w:pPr>
            <w:r>
              <w:rPr>
                <w:rFonts w:hint="eastAsia" w:hAnsi="宋体"/>
                <w:color w:val="auto"/>
                <w:highlight w:val="none"/>
              </w:rPr>
              <w:t>标的名称</w:t>
            </w:r>
          </w:p>
        </w:tc>
        <w:tc>
          <w:tcPr>
            <w:tcW w:w="1012" w:type="dxa"/>
            <w:shd w:val="clear" w:color="auto" w:fill="auto"/>
            <w:vAlign w:val="center"/>
          </w:tcPr>
          <w:p>
            <w:pPr>
              <w:spacing w:line="428" w:lineRule="exact"/>
              <w:jc w:val="center"/>
              <w:rPr>
                <w:rFonts w:hAnsi="宋体"/>
                <w:color w:val="auto"/>
                <w:highlight w:val="none"/>
              </w:rPr>
            </w:pPr>
            <w:r>
              <w:rPr>
                <w:rFonts w:hint="eastAsia" w:hAnsi="宋体"/>
                <w:color w:val="auto"/>
                <w:highlight w:val="none"/>
              </w:rPr>
              <w:t>数量及单位</w:t>
            </w:r>
          </w:p>
        </w:tc>
        <w:tc>
          <w:tcPr>
            <w:tcW w:w="6190" w:type="dxa"/>
            <w:shd w:val="clear" w:color="auto" w:fill="auto"/>
            <w:vAlign w:val="center"/>
          </w:tcPr>
          <w:p>
            <w:pPr>
              <w:spacing w:line="428" w:lineRule="exact"/>
              <w:jc w:val="center"/>
              <w:rPr>
                <w:rFonts w:hAnsi="宋体"/>
                <w:color w:val="auto"/>
                <w:highlight w:val="none"/>
              </w:rPr>
            </w:pPr>
            <w:r>
              <w:rPr>
                <w:rFonts w:hint="eastAsia" w:hAnsi="宋体"/>
                <w:color w:val="auto"/>
                <w:highlight w:val="none"/>
              </w:rPr>
              <w:t>技术及服务要求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4" w:hRule="atLeast"/>
        </w:trPr>
        <w:tc>
          <w:tcPr>
            <w:tcW w:w="747" w:type="dxa"/>
            <w:shd w:val="clear" w:color="auto" w:fill="auto"/>
          </w:tcPr>
          <w:p>
            <w:pPr>
              <w:spacing w:line="428" w:lineRule="exact"/>
              <w:jc w:val="center"/>
              <w:rPr>
                <w:rFonts w:hint="eastAsia" w:hAnsi="宋体"/>
                <w:color w:val="auto"/>
                <w:highlight w:val="none"/>
              </w:rPr>
            </w:pPr>
            <w:r>
              <w:rPr>
                <w:rFonts w:hint="eastAsia" w:hAnsi="宋体"/>
                <w:color w:val="auto"/>
                <w:highlight w:val="none"/>
              </w:rPr>
              <w:t>1</w:t>
            </w:r>
          </w:p>
        </w:tc>
        <w:tc>
          <w:tcPr>
            <w:tcW w:w="1011" w:type="dxa"/>
            <w:gridSpan w:val="2"/>
            <w:shd w:val="clear" w:color="auto" w:fill="auto"/>
          </w:tcPr>
          <w:p>
            <w:pPr>
              <w:spacing w:line="428" w:lineRule="exact"/>
              <w:rPr>
                <w:rFonts w:hAnsi="宋体"/>
                <w:color w:val="auto"/>
                <w:highlight w:val="none"/>
              </w:rPr>
            </w:pPr>
            <w:r>
              <w:rPr>
                <w:rFonts w:hint="eastAsia" w:hAnsi="宋体"/>
                <w:color w:val="auto"/>
                <w:highlight w:val="none"/>
              </w:rPr>
              <w:t>教学、科研、基础设施零星建设服务采购(100万以下工程项目)</w:t>
            </w:r>
          </w:p>
        </w:tc>
        <w:tc>
          <w:tcPr>
            <w:tcW w:w="1012" w:type="dxa"/>
            <w:shd w:val="clear" w:color="auto" w:fill="auto"/>
          </w:tcPr>
          <w:p>
            <w:pPr>
              <w:spacing w:line="428" w:lineRule="exact"/>
              <w:jc w:val="center"/>
              <w:rPr>
                <w:rFonts w:hAnsi="宋体"/>
                <w:color w:val="auto"/>
                <w:highlight w:val="none"/>
              </w:rPr>
            </w:pPr>
            <w:r>
              <w:rPr>
                <w:rFonts w:hint="eastAsia" w:hAnsi="宋体"/>
                <w:color w:val="auto"/>
                <w:highlight w:val="none"/>
              </w:rPr>
              <w:t>1项</w:t>
            </w:r>
          </w:p>
        </w:tc>
        <w:tc>
          <w:tcPr>
            <w:tcW w:w="6190" w:type="dxa"/>
            <w:shd w:val="clear" w:color="auto" w:fill="auto"/>
          </w:tcPr>
          <w:p>
            <w:pPr>
              <w:spacing w:line="428" w:lineRule="exact"/>
              <w:rPr>
                <w:rFonts w:hint="eastAsia" w:hAnsi="宋体"/>
                <w:color w:val="auto"/>
                <w:highlight w:val="none"/>
              </w:rPr>
            </w:pPr>
            <w:r>
              <w:rPr>
                <w:rFonts w:hint="eastAsia" w:hAnsi="宋体"/>
                <w:color w:val="auto"/>
                <w:highlight w:val="none"/>
              </w:rPr>
              <w:t>一、项目需求内容及说明：</w:t>
            </w:r>
          </w:p>
          <w:p>
            <w:pPr>
              <w:wordWrap w:val="0"/>
              <w:topLinePunct/>
              <w:snapToGrid w:val="0"/>
              <w:spacing w:line="400" w:lineRule="exact"/>
              <w:rPr>
                <w:rFonts w:hint="eastAsia"/>
                <w:color w:val="auto"/>
                <w:highlight w:val="none"/>
              </w:rPr>
            </w:pPr>
            <w:r>
              <w:rPr>
                <w:rFonts w:hint="eastAsia"/>
                <w:color w:val="auto"/>
                <w:highlight w:val="none"/>
              </w:rPr>
              <w:t>1.零星维修服务内容为根据采购人要求，负责玉林校区100万元以下零星维修项目，主要以房屋建筑维修服务、房屋建筑装饰维修服务为主，包含编制维修方案、图纸绘制，平面图及效果图绘制和维修项目的预算及清单编制，费用由供应商承担。维修内容包括但不限于：</w:t>
            </w:r>
          </w:p>
          <w:p>
            <w:pPr>
              <w:wordWrap w:val="0"/>
              <w:topLinePunct/>
              <w:snapToGrid w:val="0"/>
              <w:spacing w:line="400" w:lineRule="exact"/>
              <w:rPr>
                <w:rFonts w:hint="eastAsia"/>
                <w:color w:val="auto"/>
                <w:highlight w:val="none"/>
              </w:rPr>
            </w:pPr>
            <w:r>
              <w:rPr>
                <w:rFonts w:hint="eastAsia"/>
                <w:color w:val="auto"/>
                <w:highlight w:val="none"/>
              </w:rPr>
              <w:t>（1）拆除工程：人工拆除工程，机械拆除工程，爆破拆除工程，渣土场外运输工程等；</w:t>
            </w:r>
          </w:p>
          <w:p>
            <w:pPr>
              <w:wordWrap w:val="0"/>
              <w:topLinePunct/>
              <w:snapToGrid w:val="0"/>
              <w:spacing w:line="400" w:lineRule="exact"/>
              <w:rPr>
                <w:rFonts w:hint="eastAsia"/>
                <w:color w:val="auto"/>
                <w:highlight w:val="none"/>
              </w:rPr>
            </w:pPr>
            <w:r>
              <w:rPr>
                <w:rFonts w:hint="eastAsia"/>
                <w:color w:val="auto"/>
                <w:highlight w:val="none"/>
              </w:rPr>
              <w:t>（2）安装拆除工程：高压变配电及低压电器拆除，建筑智能化设备拆除，给排水、燃气工程拆除，通风空调工程拆除；</w:t>
            </w:r>
          </w:p>
          <w:p>
            <w:pPr>
              <w:wordWrap w:val="0"/>
              <w:topLinePunct/>
              <w:snapToGrid w:val="0"/>
              <w:spacing w:line="400" w:lineRule="exact"/>
              <w:rPr>
                <w:rFonts w:hint="eastAsia"/>
                <w:color w:val="auto"/>
                <w:highlight w:val="none"/>
              </w:rPr>
            </w:pPr>
            <w:r>
              <w:rPr>
                <w:rFonts w:hint="eastAsia"/>
                <w:color w:val="auto"/>
                <w:highlight w:val="none"/>
              </w:rPr>
              <w:t>（3）建筑装饰装修工程：土（石）方工程，砌筑工程，混凝土及钢筋混凝土工程，木结构工程，金属结构工程，屋面及卫生间等防水工程，保温、隔热及防腐工程，楼地面工程，墙、柱面工程，天棚工程，吊顶工程，门窗工程，油漆、涂料、裱糊工程等；</w:t>
            </w:r>
          </w:p>
          <w:p>
            <w:pPr>
              <w:wordWrap w:val="0"/>
              <w:topLinePunct/>
              <w:snapToGrid w:val="0"/>
              <w:spacing w:line="400" w:lineRule="exact"/>
              <w:rPr>
                <w:rFonts w:hint="eastAsia"/>
                <w:color w:val="auto"/>
                <w:highlight w:val="none"/>
              </w:rPr>
            </w:pPr>
            <w:r>
              <w:rPr>
                <w:rFonts w:hint="eastAsia"/>
                <w:color w:val="auto"/>
                <w:highlight w:val="none"/>
              </w:rPr>
              <w:t>（4）安装工程：机械设备安装工程，热力设备安装工程，静置设备与工艺金属结构制作安装工程，电气设备安装工程（含校内高、低压配电线路、强弱电线路、设备、系统等），建筑智能化工程，自动化控制仪表安装工程，通风空调工程，工业管道工程，给排水、燃气工程，通信设备工程，刷油、防腐蚀、绝热工程等；</w:t>
            </w:r>
          </w:p>
          <w:p>
            <w:pPr>
              <w:wordWrap w:val="0"/>
              <w:topLinePunct/>
              <w:snapToGrid w:val="0"/>
              <w:spacing w:line="400" w:lineRule="exact"/>
              <w:rPr>
                <w:rFonts w:hint="eastAsia"/>
                <w:color w:val="auto"/>
                <w:highlight w:val="none"/>
              </w:rPr>
            </w:pPr>
            <w:r>
              <w:rPr>
                <w:rFonts w:hint="eastAsia"/>
                <w:color w:val="auto"/>
                <w:highlight w:val="none"/>
              </w:rPr>
              <w:t>（5）市政工程：市政道路工程，人行道工程，管网工程，给排水工程等；</w:t>
            </w:r>
          </w:p>
          <w:p>
            <w:pPr>
              <w:wordWrap w:val="0"/>
              <w:topLinePunct/>
              <w:snapToGrid w:val="0"/>
              <w:spacing w:line="400" w:lineRule="exact"/>
              <w:rPr>
                <w:rFonts w:hint="eastAsia"/>
                <w:color w:val="auto"/>
                <w:highlight w:val="none"/>
              </w:rPr>
            </w:pPr>
            <w:r>
              <w:rPr>
                <w:rFonts w:hint="eastAsia"/>
                <w:color w:val="auto"/>
                <w:highlight w:val="none"/>
              </w:rPr>
              <w:t>（6）园林工程：绿化工程，园林园桥工程，园林景观工程，节地与室外环境工程等。</w:t>
            </w:r>
          </w:p>
          <w:p>
            <w:pPr>
              <w:pStyle w:val="37"/>
              <w:ind w:left="0" w:leftChars="0" w:firstLine="0" w:firstLineChars="0"/>
              <w:rPr>
                <w:rFonts w:hint="eastAsia" w:hAnsi="Times New Roman"/>
                <w:color w:val="auto"/>
                <w:highlight w:val="none"/>
              </w:rPr>
            </w:pPr>
            <w:r>
              <w:rPr>
                <w:rFonts w:hint="eastAsia" w:hAnsi="Times New Roman"/>
                <w:color w:val="auto"/>
                <w:highlight w:val="none"/>
              </w:rPr>
              <w:t>（7）工程检测：对已建的建筑工程进行监测、检测。</w:t>
            </w:r>
          </w:p>
          <w:p>
            <w:pPr>
              <w:spacing w:line="428" w:lineRule="exact"/>
              <w:rPr>
                <w:rFonts w:hint="eastAsia" w:hAnsi="宋体"/>
                <w:color w:val="auto"/>
                <w:highlight w:val="none"/>
              </w:rPr>
            </w:pPr>
            <w:r>
              <w:rPr>
                <w:rFonts w:hint="eastAsia" w:hAnsi="宋体"/>
                <w:color w:val="auto"/>
                <w:highlight w:val="none"/>
              </w:rPr>
              <w:t>2.要求零星建设服务公司具备建筑工程施工总承包贰级（含以上级）资质或具备建筑装修装饰工程专业承包贰级（含以上级）资质或具备建筑机电安装工程专业承包贰级（含以上级）资质，</w:t>
            </w:r>
            <w:r>
              <w:rPr>
                <w:rFonts w:hint="eastAsia" w:ascii="宋体" w:hAnsi="宋体"/>
                <w:color w:val="auto"/>
                <w:szCs w:val="21"/>
                <w:highlight w:val="none"/>
              </w:rPr>
              <w:t>营业执照经营范围内包含消防设施工程、电子与智能化工程或其他可证明上述资质的材料为准</w:t>
            </w:r>
            <w:r>
              <w:rPr>
                <w:rFonts w:hint="eastAsia" w:hAnsi="宋体"/>
                <w:color w:val="auto"/>
                <w:highlight w:val="none"/>
              </w:rPr>
              <w:t>。有省级及以上建设行政主管部门颁发的安全生产许可证。在人员、设备、资金等方面具备相应的施工能力。</w:t>
            </w:r>
          </w:p>
          <w:p>
            <w:pPr>
              <w:spacing w:line="428" w:lineRule="exact"/>
              <w:rPr>
                <w:rFonts w:hint="eastAsia" w:hAnsi="宋体"/>
                <w:color w:val="auto"/>
                <w:highlight w:val="none"/>
              </w:rPr>
            </w:pPr>
            <w:r>
              <w:rPr>
                <w:rFonts w:hint="eastAsia" w:hAnsi="宋体"/>
                <w:color w:val="auto"/>
                <w:highlight w:val="none"/>
              </w:rPr>
              <w:t>3.需指定1名项目经理，项目经理须具有建筑工程贰级（含以上级）或机电工程贰级（含以上级）注册建造师执业资格，且不得随意变更，若变更需书面提出请求，经采购人同意后方可更换。</w:t>
            </w:r>
          </w:p>
          <w:p>
            <w:pPr>
              <w:spacing w:line="428" w:lineRule="exact"/>
              <w:rPr>
                <w:rFonts w:hint="eastAsia" w:hAnsi="宋体"/>
                <w:color w:val="auto"/>
                <w:highlight w:val="none"/>
              </w:rPr>
            </w:pPr>
            <w:r>
              <w:rPr>
                <w:rFonts w:hint="eastAsia" w:hAnsi="宋体"/>
                <w:color w:val="auto"/>
                <w:highlight w:val="none"/>
              </w:rPr>
              <w:t>4.投入的安全员必须取得建筑施工企业安全生产考核合格证。</w:t>
            </w:r>
          </w:p>
          <w:p>
            <w:pPr>
              <w:spacing w:line="428" w:lineRule="exact"/>
              <w:rPr>
                <w:rFonts w:hint="eastAsia" w:hAnsi="宋体"/>
                <w:color w:val="auto"/>
                <w:highlight w:val="none"/>
              </w:rPr>
            </w:pPr>
            <w:r>
              <w:rPr>
                <w:rFonts w:hint="eastAsia" w:hAnsi="宋体"/>
                <w:color w:val="auto"/>
                <w:highlight w:val="none"/>
              </w:rPr>
              <w:t>5.采购有效期：有效期为1年，即按照签订零星维修服务单位采购协议开始之日起1年。需要根据服务的项目内容、项目名称、项目数量，投资额等内容以实际项目而定。</w:t>
            </w:r>
          </w:p>
          <w:p>
            <w:pPr>
              <w:spacing w:line="428" w:lineRule="exact"/>
              <w:rPr>
                <w:rFonts w:hint="eastAsia" w:hAnsi="宋体"/>
                <w:color w:val="auto"/>
                <w:highlight w:val="none"/>
              </w:rPr>
            </w:pPr>
            <w:r>
              <w:rPr>
                <w:rFonts w:hint="eastAsia" w:hAnsi="宋体"/>
                <w:color w:val="auto"/>
                <w:highlight w:val="none"/>
              </w:rPr>
              <w:t>二、服务要求</w:t>
            </w:r>
          </w:p>
          <w:p>
            <w:pPr>
              <w:spacing w:line="428" w:lineRule="exact"/>
              <w:rPr>
                <w:rFonts w:hint="eastAsia" w:hAnsi="宋体"/>
                <w:color w:val="auto"/>
                <w:highlight w:val="none"/>
              </w:rPr>
            </w:pPr>
            <w:r>
              <w:rPr>
                <w:rFonts w:hint="eastAsia" w:hAnsi="宋体"/>
                <w:color w:val="auto"/>
                <w:highlight w:val="none"/>
              </w:rPr>
              <w:t>1.采购人应急抢修项目，零星建设服务单位中标人不能无故拒绝维修，维修人员应在采购人通知后3小时内到达现场，其他维修项目，维修人员应在接到采购人通知后24小时到达现场。根据采购人的要求，在约定的时间内完成设计、编制预算清单、设计审核及修改工作，并向采购人提供相关合格资料。</w:t>
            </w:r>
          </w:p>
          <w:p>
            <w:pPr>
              <w:spacing w:line="428" w:lineRule="exact"/>
              <w:rPr>
                <w:rFonts w:hint="eastAsia" w:hAnsi="宋体"/>
                <w:color w:val="auto"/>
                <w:highlight w:val="none"/>
              </w:rPr>
            </w:pPr>
            <w:r>
              <w:rPr>
                <w:rFonts w:hint="eastAsia" w:hAnsi="宋体"/>
                <w:color w:val="auto"/>
                <w:highlight w:val="none"/>
              </w:rPr>
              <w:t>2.投标人的投标文件中必须对本次定点采购内容（即安装、维修、翻新、装饰等）提出对本项目的总体要求的理解及计划服务方案（包括拟投入的项目实施管理人员及及时人员、服务内容、组织分工、设备及完成的时间等）。</w:t>
            </w:r>
          </w:p>
          <w:p>
            <w:pPr>
              <w:spacing w:line="428" w:lineRule="exact"/>
              <w:rPr>
                <w:rFonts w:hint="eastAsia" w:hAnsi="宋体"/>
                <w:color w:val="auto"/>
                <w:highlight w:val="none"/>
              </w:rPr>
            </w:pPr>
            <w:r>
              <w:rPr>
                <w:rFonts w:hint="eastAsia" w:hAnsi="宋体"/>
                <w:color w:val="auto"/>
                <w:highlight w:val="none"/>
              </w:rPr>
              <w:t>3.实施项目接受采购人考核，采购人有权根据校内制定的相关考核办法：</w:t>
            </w:r>
          </w:p>
          <w:p>
            <w:pPr>
              <w:spacing w:line="428" w:lineRule="exact"/>
              <w:rPr>
                <w:rFonts w:hint="eastAsia" w:hAnsi="宋体"/>
                <w:color w:val="auto"/>
                <w:highlight w:val="none"/>
              </w:rPr>
            </w:pPr>
            <w:r>
              <w:rPr>
                <w:rFonts w:hint="eastAsia" w:hAnsi="宋体"/>
                <w:color w:val="auto"/>
                <w:highlight w:val="none"/>
              </w:rPr>
              <w:t>（1）评分退出机制（合同解除）：甲方统一制定标准，在乙方每完成一项单项施工后，根据乙方完成情况，对乙方的工作进行评分，总分累计3次低于75分的，甲方有权按合同约定解除其委托服务合同（考核表附后）。</w:t>
            </w:r>
          </w:p>
          <w:p>
            <w:pPr>
              <w:spacing w:line="428" w:lineRule="exact"/>
              <w:rPr>
                <w:rFonts w:hint="eastAsia" w:hAnsi="宋体"/>
                <w:color w:val="auto"/>
                <w:highlight w:val="none"/>
              </w:rPr>
            </w:pPr>
            <w:r>
              <w:rPr>
                <w:rFonts w:hint="eastAsia" w:hAnsi="宋体"/>
                <w:color w:val="auto"/>
                <w:highlight w:val="none"/>
              </w:rPr>
              <w:t>（2）处罚机制：甲方有权根据校内制定的相关考核办法（考核表附后），在乙方每完成一项单项施工后，根据乙方完成情况，对乙方的工作进行考核，乙方工作考核不合格的，每次扣罚5000元；工程组织管理不到位，不佩戴工作证上岗、不佩戴安全帽施工、高空作业时不穿挂安全绳锁等安全措施不到位的，每次扣罚200元(以上罚金从履约保证金中扣除，合同期满后扣除相应违约罚金后剩余部分一次性退回</w:t>
            </w:r>
            <w:r>
              <w:rPr>
                <w:rFonts w:hint="eastAsia" w:hAnsi="宋体"/>
                <w:color w:val="auto"/>
                <w:highlight w:val="none"/>
                <w:lang w:eastAsia="zh-CN"/>
              </w:rPr>
              <w:t>中标人</w:t>
            </w:r>
            <w:r>
              <w:rPr>
                <w:rFonts w:hint="eastAsia" w:hAnsi="宋体"/>
                <w:color w:val="auto"/>
                <w:highlight w:val="none"/>
              </w:rPr>
              <w:t>指定银行账户)。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960" w:type="dxa"/>
            <w:gridSpan w:val="5"/>
            <w:shd w:val="clear" w:color="auto" w:fill="auto"/>
          </w:tcPr>
          <w:p>
            <w:pPr>
              <w:spacing w:line="428" w:lineRule="exact"/>
              <w:rPr>
                <w:rFonts w:hAnsi="宋体"/>
                <w:color w:val="auto"/>
                <w:highlight w:val="none"/>
              </w:rPr>
            </w:pPr>
            <w:r>
              <w:rPr>
                <w:rFonts w:hint="eastAsia" w:ascii="宋体" w:hAnsi="宋体" w:cs="宋体"/>
                <w:b/>
                <w:bCs/>
                <w:color w:val="auto"/>
                <w:highlight w:val="none"/>
              </w:rPr>
              <w:t>▲</w:t>
            </w:r>
            <w:r>
              <w:rPr>
                <w:rFonts w:hint="eastAsia" w:hAnsi="宋体"/>
                <w:b/>
                <w:bCs/>
                <w:color w:val="auto"/>
                <w:highlight w:val="none"/>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Ansi="宋体"/>
                <w:b/>
                <w:bCs/>
                <w:color w:val="auto"/>
                <w:highlight w:val="none"/>
              </w:rPr>
            </w:pPr>
            <w:r>
              <w:rPr>
                <w:rFonts w:hint="eastAsia" w:hAnsi="宋体"/>
                <w:b/>
                <w:bCs/>
                <w:color w:val="auto"/>
                <w:highlight w:val="none"/>
              </w:rPr>
              <w:t>服务期限和地点</w:t>
            </w:r>
          </w:p>
        </w:tc>
        <w:tc>
          <w:tcPr>
            <w:tcW w:w="7746" w:type="dxa"/>
            <w:gridSpan w:val="3"/>
            <w:shd w:val="clear" w:color="auto" w:fill="auto"/>
          </w:tcPr>
          <w:p>
            <w:pPr>
              <w:spacing w:line="400" w:lineRule="exact"/>
              <w:rPr>
                <w:rFonts w:hint="eastAsia" w:hAnsi="宋体"/>
                <w:color w:val="auto"/>
                <w:highlight w:val="none"/>
              </w:rPr>
            </w:pPr>
            <w:r>
              <w:rPr>
                <w:rFonts w:hint="eastAsia" w:hAnsi="宋体"/>
                <w:color w:val="auto"/>
                <w:highlight w:val="none"/>
              </w:rPr>
              <w:t>1、服务期限： 自合同签订指定日期开始提供服务，服务期限一年</w:t>
            </w:r>
            <w:r>
              <w:rPr>
                <w:rFonts w:hint="eastAsia" w:ascii="宋体" w:hAnsi="宋体" w:cs="宋体"/>
                <w:color w:val="auto"/>
                <w:kern w:val="0"/>
                <w:szCs w:val="21"/>
                <w:highlight w:val="none"/>
              </w:rPr>
              <w:t>；对于在合同有效期内未完成维修工作并通过验收的项目，中标人应继续完成维修并通过验收。</w:t>
            </w:r>
          </w:p>
          <w:p>
            <w:pPr>
              <w:spacing w:line="400" w:lineRule="exact"/>
              <w:rPr>
                <w:rFonts w:hAnsi="宋体"/>
                <w:color w:val="auto"/>
                <w:highlight w:val="none"/>
              </w:rPr>
            </w:pPr>
            <w:r>
              <w:rPr>
                <w:rFonts w:hint="eastAsia" w:hAnsi="宋体"/>
                <w:color w:val="auto"/>
                <w:highlight w:val="none"/>
              </w:rPr>
              <w:t>2、服务地点： 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int="eastAsia" w:hAnsi="宋体"/>
                <w:b/>
                <w:bCs/>
                <w:color w:val="auto"/>
                <w:highlight w:val="none"/>
              </w:rPr>
            </w:pPr>
            <w:r>
              <w:rPr>
                <w:b/>
                <w:bCs/>
                <w:color w:val="auto"/>
                <w:spacing w:val="9"/>
                <w:highlight w:val="none"/>
              </w:rPr>
              <w:t>报价要求</w:t>
            </w:r>
          </w:p>
        </w:tc>
        <w:tc>
          <w:tcPr>
            <w:tcW w:w="7746" w:type="dxa"/>
            <w:gridSpan w:val="3"/>
            <w:shd w:val="clear" w:color="auto" w:fill="auto"/>
          </w:tcPr>
          <w:p>
            <w:pPr>
              <w:numPr>
                <w:ilvl w:val="-1"/>
                <w:numId w:val="0"/>
              </w:numPr>
              <w:spacing w:line="400" w:lineRule="exact"/>
              <w:rPr>
                <w:rFonts w:hint="eastAsia" w:hAnsi="宋体"/>
                <w:color w:val="auto"/>
                <w:highlight w:val="none"/>
              </w:rPr>
            </w:pPr>
            <w:r>
              <w:rPr>
                <w:rFonts w:hint="eastAsia" w:hAnsi="宋体"/>
                <w:color w:val="auto"/>
                <w:highlight w:val="none"/>
              </w:rPr>
              <w:t xml:space="preserve">报价方式：按价格优惠率报价（保留小数点后 2 位），0%＜投标报价价格优惠率≤100%。 </w:t>
            </w:r>
          </w:p>
          <w:p>
            <w:pPr>
              <w:spacing w:line="400" w:lineRule="exact"/>
              <w:rPr>
                <w:rFonts w:hint="eastAsia" w:hAnsi="宋体"/>
                <w:color w:val="auto"/>
                <w:highlight w:val="none"/>
              </w:rPr>
            </w:pPr>
            <w:r>
              <w:rPr>
                <w:rFonts w:hint="eastAsia" w:hAnsi="宋体"/>
                <w:color w:val="auto"/>
                <w:highlight w:val="none"/>
              </w:rPr>
              <w:t>（1）本项目采用价格优惠率报价，即结算价=各个零星建设按计费标准得出的造价×（1-价格优惠率），例如:某零星维修的造价为 100 万，结算价=100 万×（1-价格优惠率10%）=90 万元。</w:t>
            </w:r>
          </w:p>
          <w:p>
            <w:pPr>
              <w:spacing w:line="400" w:lineRule="exact"/>
              <w:rPr>
                <w:rFonts w:hint="eastAsia" w:hAnsi="宋体"/>
                <w:color w:val="auto"/>
                <w:highlight w:val="none"/>
              </w:rPr>
            </w:pPr>
            <w:r>
              <w:rPr>
                <w:rFonts w:hint="eastAsia" w:hAnsi="宋体"/>
                <w:color w:val="auto"/>
                <w:highlight w:val="none"/>
              </w:rPr>
              <w:t>（2）投标报价超过第二章《招标项目采购需求》列出的价格优惠率有效范围的投标无效；</w:t>
            </w:r>
          </w:p>
          <w:p>
            <w:pPr>
              <w:spacing w:line="400" w:lineRule="exact"/>
              <w:rPr>
                <w:rFonts w:hint="eastAsia" w:hAnsi="宋体"/>
                <w:color w:val="auto"/>
                <w:highlight w:val="none"/>
              </w:rPr>
            </w:pPr>
            <w:r>
              <w:rPr>
                <w:rFonts w:hint="eastAsia" w:hAnsi="宋体"/>
                <w:color w:val="auto"/>
                <w:highlight w:val="none"/>
              </w:rPr>
              <w:t>（3）服务期限内中标供应商的价格优惠率按投标时承诺的不变。</w:t>
            </w:r>
          </w:p>
          <w:p>
            <w:pPr>
              <w:spacing w:line="400" w:lineRule="exact"/>
              <w:rPr>
                <w:rFonts w:hint="eastAsia" w:hAnsi="宋体"/>
                <w:color w:val="auto"/>
                <w:highlight w:val="none"/>
              </w:rPr>
            </w:pPr>
            <w:r>
              <w:rPr>
                <w:rFonts w:hint="eastAsia" w:hAnsi="宋体"/>
                <w:color w:val="auto"/>
                <w:highlight w:val="none"/>
              </w:rPr>
              <w:t>2 、报价必须含以下部分，包括：</w:t>
            </w:r>
          </w:p>
          <w:p>
            <w:pPr>
              <w:spacing w:line="400" w:lineRule="exact"/>
              <w:rPr>
                <w:rFonts w:hint="eastAsia" w:hAnsi="宋体"/>
                <w:color w:val="auto"/>
                <w:highlight w:val="none"/>
              </w:rPr>
            </w:pPr>
            <w:r>
              <w:rPr>
                <w:rFonts w:hint="eastAsia" w:hAnsi="宋体"/>
                <w:color w:val="auto"/>
                <w:highlight w:val="none"/>
              </w:rPr>
              <w:t>（1）服务的价格；</w:t>
            </w:r>
          </w:p>
          <w:p>
            <w:pPr>
              <w:spacing w:line="400" w:lineRule="exact"/>
              <w:rPr>
                <w:rFonts w:hint="eastAsia" w:hAnsi="宋体"/>
                <w:color w:val="auto"/>
                <w:highlight w:val="none"/>
              </w:rPr>
            </w:pPr>
            <w:r>
              <w:rPr>
                <w:rFonts w:hint="eastAsia" w:hAnsi="宋体"/>
                <w:color w:val="auto"/>
                <w:highlight w:val="none"/>
              </w:rPr>
              <w:t>（2）必要的保险费用和各项税金；</w:t>
            </w:r>
          </w:p>
          <w:p>
            <w:pPr>
              <w:spacing w:line="400" w:lineRule="exact"/>
              <w:rPr>
                <w:rFonts w:hint="eastAsia" w:hAnsi="宋体"/>
                <w:color w:val="auto"/>
                <w:highlight w:val="none"/>
              </w:rPr>
            </w:pPr>
            <w:r>
              <w:rPr>
                <w:rFonts w:hint="eastAsia" w:hAnsi="宋体"/>
                <w:color w:val="auto"/>
                <w:highlight w:val="none"/>
              </w:rPr>
              <w:t xml:space="preserve">（3）其他：投标人在报价时所报的清单综合单价，指完成清单中一个规定计量子目所需的全 部费用，包括但不限于人工费及政策性人工费调整、材料费（材料损耗）、机械使用费、非 标产品模具加工费、包装运输费、赶工补偿费、样品费、调试费、综合管理费、合理利润、 税金、水电费、清洁卫生费、垃圾清运费、保险费、总包单位管理费以及投标人认为可能发生的风险费等直至完成工程交付标准所须的一切费用以及维保期间（养护期间）的全部费用。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int="eastAsia"/>
                <w:b/>
                <w:bCs/>
                <w:color w:val="auto"/>
                <w:spacing w:val="9"/>
                <w:highlight w:val="none"/>
              </w:rPr>
            </w:pPr>
            <w:r>
              <w:rPr>
                <w:rFonts w:hint="eastAsia"/>
                <w:b/>
                <w:bCs/>
                <w:color w:val="auto"/>
                <w:spacing w:val="9"/>
                <w:highlight w:val="none"/>
              </w:rPr>
              <w:t>质保期</w:t>
            </w:r>
          </w:p>
        </w:tc>
        <w:tc>
          <w:tcPr>
            <w:tcW w:w="7746" w:type="dxa"/>
            <w:gridSpan w:val="3"/>
            <w:shd w:val="clear" w:color="auto" w:fill="auto"/>
          </w:tcPr>
          <w:p>
            <w:pPr>
              <w:spacing w:line="400" w:lineRule="exact"/>
              <w:rPr>
                <w:rFonts w:hint="eastAsia" w:hAnsi="宋体"/>
                <w:color w:val="auto"/>
                <w:highlight w:val="none"/>
              </w:rPr>
            </w:pPr>
            <w:r>
              <w:rPr>
                <w:rFonts w:hint="eastAsia" w:hAnsi="宋体"/>
                <w:color w:val="auto"/>
                <w:highlight w:val="none"/>
              </w:rPr>
              <w:t>自整体项目验收合格并交付使用起2年，其中，屋面防水工程、有防水要求的卫生间、房间和外墙的防渗漏为5年，在质保期内中标人应安排相关人员随时处理质量或故障问题。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vAlign w:val="top"/>
          </w:tcPr>
          <w:p>
            <w:pPr>
              <w:spacing w:line="428" w:lineRule="exact"/>
              <w:rPr>
                <w:rFonts w:hint="eastAsia" w:ascii="Times New Roman" w:hAnsi="Times New Roman" w:eastAsia="宋体" w:cs="Times New Roman"/>
                <w:b/>
                <w:bCs/>
                <w:color w:val="auto"/>
                <w:spacing w:val="9"/>
                <w:kern w:val="2"/>
                <w:sz w:val="21"/>
                <w:szCs w:val="24"/>
                <w:highlight w:val="none"/>
                <w:lang w:val="en-US" w:eastAsia="zh-CN" w:bidi="ar-SA"/>
              </w:rPr>
            </w:pPr>
            <w:r>
              <w:rPr>
                <w:rFonts w:hint="eastAsia" w:hAnsi="宋体"/>
                <w:b/>
                <w:bCs/>
                <w:color w:val="auto"/>
                <w:highlight w:val="none"/>
                <w:lang w:val="en-US" w:eastAsia="zh-CN"/>
              </w:rPr>
              <w:t>验收标准</w:t>
            </w:r>
          </w:p>
        </w:tc>
        <w:tc>
          <w:tcPr>
            <w:tcW w:w="7746" w:type="dxa"/>
            <w:gridSpan w:val="3"/>
            <w:shd w:val="clear" w:color="auto" w:fill="auto"/>
            <w:vAlign w:val="top"/>
          </w:tcPr>
          <w:p>
            <w:pPr>
              <w:spacing w:line="400" w:lineRule="exact"/>
              <w:rPr>
                <w:rFonts w:hint="eastAsia" w:ascii="Times New Roman" w:hAnsi="宋体" w:eastAsia="宋体" w:cs="Times New Roman"/>
                <w:color w:val="auto"/>
                <w:kern w:val="2"/>
                <w:sz w:val="21"/>
                <w:szCs w:val="24"/>
                <w:highlight w:val="none"/>
                <w:lang w:val="en-US" w:eastAsia="zh-CN" w:bidi="ar-SA"/>
              </w:rPr>
            </w:pPr>
            <w:r>
              <w:rPr>
                <w:rFonts w:hint="eastAsia" w:hAnsi="宋体"/>
                <w:b w:val="0"/>
                <w:bCs w:val="0"/>
                <w:color w:val="auto"/>
                <w:highlight w:val="none"/>
                <w:lang w:val="en-US" w:eastAsia="zh-CN"/>
              </w:rPr>
              <w:t>每项具体工程的竣工验收以施工图、图纸会审记录、国家颁发的现行施工及验收规范和质量检验标准为依据。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int="default" w:eastAsia="宋体"/>
                <w:b/>
                <w:bCs/>
                <w:color w:val="auto"/>
                <w:spacing w:val="9"/>
                <w:highlight w:val="none"/>
                <w:lang w:val="en-US" w:eastAsia="zh-CN"/>
              </w:rPr>
            </w:pPr>
            <w:r>
              <w:rPr>
                <w:rFonts w:hint="eastAsia"/>
                <w:b/>
                <w:bCs/>
                <w:color w:val="auto"/>
                <w:spacing w:val="9"/>
                <w:highlight w:val="none"/>
                <w:lang w:val="en-US" w:eastAsia="zh-CN"/>
              </w:rPr>
              <w:t>工程验收</w:t>
            </w:r>
          </w:p>
        </w:tc>
        <w:tc>
          <w:tcPr>
            <w:tcW w:w="7746" w:type="dxa"/>
            <w:gridSpan w:val="3"/>
            <w:shd w:val="clear" w:color="auto" w:fill="auto"/>
          </w:tcPr>
          <w:p>
            <w:pPr>
              <w:spacing w:line="400" w:lineRule="exact"/>
              <w:rPr>
                <w:rFonts w:hint="eastAsia" w:hAnsi="宋体"/>
                <w:color w:val="auto"/>
                <w:highlight w:val="none"/>
              </w:rPr>
            </w:pPr>
            <w:r>
              <w:rPr>
                <w:rFonts w:hint="eastAsia" w:hAnsi="宋体"/>
                <w:color w:val="auto"/>
                <w:highlight w:val="none"/>
              </w:rPr>
              <w:t>1 、竣工验收条件</w:t>
            </w:r>
          </w:p>
          <w:p>
            <w:pPr>
              <w:spacing w:line="400" w:lineRule="exact"/>
              <w:rPr>
                <w:rFonts w:hint="eastAsia" w:hAnsi="宋体"/>
                <w:color w:val="auto"/>
                <w:highlight w:val="none"/>
              </w:rPr>
            </w:pPr>
            <w:r>
              <w:rPr>
                <w:rFonts w:hint="eastAsia" w:hAnsi="宋体"/>
                <w:color w:val="auto"/>
                <w:highlight w:val="none"/>
              </w:rPr>
              <w:t>工程具备以下条件的，中标人可以申请竣工验收：</w:t>
            </w:r>
          </w:p>
          <w:p>
            <w:pPr>
              <w:spacing w:line="400" w:lineRule="exact"/>
              <w:rPr>
                <w:rFonts w:hint="eastAsia" w:hAnsi="宋体"/>
                <w:color w:val="auto"/>
                <w:highlight w:val="none"/>
              </w:rPr>
            </w:pPr>
            <w:r>
              <w:rPr>
                <w:rFonts w:hint="eastAsia" w:hAnsi="宋体"/>
                <w:color w:val="auto"/>
                <w:highlight w:val="none"/>
              </w:rPr>
              <w:t>（1）除采购人同意的甩项工作和缺陷修补工作外，合同范围内的全部工程以及有关工作，包括合同要求的试验、试运行以及检验均已完成，并符合合同要求；</w:t>
            </w:r>
          </w:p>
          <w:p>
            <w:pPr>
              <w:spacing w:line="400" w:lineRule="exact"/>
              <w:rPr>
                <w:rFonts w:hint="eastAsia" w:hAnsi="宋体"/>
                <w:color w:val="auto"/>
                <w:highlight w:val="none"/>
              </w:rPr>
            </w:pPr>
            <w:r>
              <w:rPr>
                <w:rFonts w:hint="eastAsia" w:hAnsi="宋体"/>
                <w:color w:val="auto"/>
                <w:highlight w:val="none"/>
              </w:rPr>
              <w:t>（2）已按合同约定编制了甩项工作和缺陷修补工作清单以及相应的施工计划；</w:t>
            </w:r>
          </w:p>
          <w:p>
            <w:pPr>
              <w:spacing w:line="400" w:lineRule="exact"/>
              <w:rPr>
                <w:rFonts w:hint="eastAsia" w:hAnsi="宋体"/>
                <w:color w:val="auto"/>
                <w:highlight w:val="none"/>
              </w:rPr>
            </w:pPr>
            <w:r>
              <w:rPr>
                <w:rFonts w:hint="eastAsia" w:hAnsi="宋体"/>
                <w:color w:val="auto"/>
                <w:highlight w:val="none"/>
              </w:rPr>
              <w:t>（3）已按合同约定的内容和份数备齐竣工资料。</w:t>
            </w:r>
          </w:p>
          <w:p>
            <w:pPr>
              <w:spacing w:line="400" w:lineRule="exact"/>
              <w:rPr>
                <w:rFonts w:hint="eastAsia" w:hAnsi="宋体"/>
                <w:color w:val="auto"/>
                <w:highlight w:val="none"/>
              </w:rPr>
            </w:pPr>
            <w:r>
              <w:rPr>
                <w:rFonts w:hint="eastAsia" w:hAnsi="宋体"/>
                <w:color w:val="auto"/>
                <w:highlight w:val="none"/>
              </w:rPr>
              <w:t>2 、竣工验收程序</w:t>
            </w:r>
          </w:p>
          <w:p>
            <w:pPr>
              <w:spacing w:line="400" w:lineRule="exact"/>
              <w:rPr>
                <w:rFonts w:hint="eastAsia" w:hAnsi="宋体"/>
                <w:color w:val="auto"/>
                <w:highlight w:val="none"/>
              </w:rPr>
            </w:pPr>
            <w:r>
              <w:rPr>
                <w:rFonts w:hint="eastAsia" w:hAnsi="宋体"/>
                <w:color w:val="auto"/>
                <w:highlight w:val="none"/>
              </w:rPr>
              <w:t>除专用合同条款另有约定外，中标人申请竣工验收的，应当按照以下程序进行：</w:t>
            </w:r>
          </w:p>
          <w:p>
            <w:pPr>
              <w:spacing w:line="400" w:lineRule="exact"/>
              <w:rPr>
                <w:rFonts w:hint="eastAsia" w:hAnsi="宋体"/>
                <w:color w:val="auto"/>
                <w:highlight w:val="none"/>
              </w:rPr>
            </w:pPr>
            <w:r>
              <w:rPr>
                <w:rFonts w:hint="eastAsia" w:hAnsi="宋体"/>
                <w:color w:val="auto"/>
                <w:highlight w:val="none"/>
              </w:rPr>
              <w:t>（1）中标人向监理人报送竣工验收申请报告，监理人应在收到竣工验收申请报告后 14 天内 完成审查并报送采购人。监理人审查后认为尚不具备验收条件的，应通知中标人在竣工验收 前中标人还需完成的工作内容，中标人应在完成监理人通知的全部工作内容后，再次提交竣工验收申请报告。</w:t>
            </w:r>
          </w:p>
          <w:p>
            <w:pPr>
              <w:spacing w:line="400" w:lineRule="exact"/>
              <w:rPr>
                <w:rFonts w:hint="eastAsia" w:hAnsi="宋体"/>
                <w:color w:val="auto"/>
                <w:highlight w:val="none"/>
              </w:rPr>
            </w:pPr>
            <w:r>
              <w:rPr>
                <w:rFonts w:hint="eastAsia" w:hAnsi="宋体"/>
                <w:color w:val="auto"/>
                <w:highlight w:val="none"/>
              </w:rPr>
              <w:t>（2）监理人审查后认为已具备竣工验收条件的，应将竣工验收申请报告提交采购人，采购人 应在收到经监理人审核的竣工验收申请报告后 28 天内审批完毕并组织监理人、中标人、设计人等相关单位完成竣工验收。</w:t>
            </w:r>
          </w:p>
          <w:p>
            <w:pPr>
              <w:spacing w:line="400" w:lineRule="exact"/>
              <w:rPr>
                <w:rFonts w:hint="eastAsia" w:hAnsi="宋体"/>
                <w:color w:val="auto"/>
                <w:highlight w:val="none"/>
              </w:rPr>
            </w:pPr>
            <w:r>
              <w:rPr>
                <w:rFonts w:hint="eastAsia" w:hAnsi="宋体"/>
                <w:color w:val="auto"/>
                <w:highlight w:val="none"/>
              </w:rPr>
              <w:t xml:space="preserve">（3）竣工验收合格的，采购人应在验收合格后 14 天内向中标人签发工程接收证书。采购人 无正当理由逾期不颁发工程接收证书的，自验收合格后第 15 天起视为已颁发工程接收证书。 </w:t>
            </w:r>
          </w:p>
          <w:p>
            <w:pPr>
              <w:spacing w:line="400" w:lineRule="exact"/>
              <w:rPr>
                <w:rFonts w:hint="eastAsia" w:hAnsi="宋体"/>
                <w:color w:val="auto"/>
                <w:highlight w:val="none"/>
              </w:rPr>
            </w:pPr>
            <w:r>
              <w:rPr>
                <w:rFonts w:hint="eastAsia" w:hAnsi="宋体"/>
                <w:color w:val="auto"/>
                <w:highlight w:val="none"/>
              </w:rPr>
              <w:t>（4）竣工验收不合格的，监理人应按照验收意见发出指示，要求中标人对不合格工程返工、 修复或采取其他补救措施，由此增加的费用和（或）延误的工期由中标人承担。中标人在完 成不合格工程的返工、修复或采取其他补救措施后，应重新提交竣工验收申请报告，并按本项约定的程序重新进行验收。</w:t>
            </w:r>
          </w:p>
          <w:p>
            <w:pPr>
              <w:spacing w:line="400" w:lineRule="exact"/>
              <w:rPr>
                <w:rFonts w:hint="eastAsia" w:hAnsi="宋体"/>
                <w:color w:val="auto"/>
                <w:highlight w:val="none"/>
              </w:rPr>
            </w:pPr>
            <w:r>
              <w:rPr>
                <w:rFonts w:hint="eastAsia" w:hAnsi="宋体"/>
                <w:color w:val="auto"/>
                <w:highlight w:val="none"/>
              </w:rPr>
              <w:t>（5）工程未经验收或验收不合格，采购人擅自使用的，应在转移占有工程后 7 天内向中标人 颁发工程接收证书；采购人无正当理由逾期不颁发工程接收证书的， 自转移占有后第 15 天起视为已颁发工程接收证书。除专用合同条款另有约定外，采购人不按照本项约定组织竣工验收、颁发工程接收证书的， 每逾期一天，应以签约合同价为基数，按照中国人民银行发布的同期同类贷款基准利率支付违约金。</w:t>
            </w:r>
          </w:p>
          <w:p>
            <w:pPr>
              <w:spacing w:line="400" w:lineRule="exact"/>
              <w:rPr>
                <w:rFonts w:hint="eastAsia" w:hAnsi="宋体"/>
                <w:color w:val="auto"/>
                <w:highlight w:val="none"/>
              </w:rPr>
            </w:pPr>
            <w:r>
              <w:rPr>
                <w:rFonts w:hint="eastAsia" w:hAnsi="宋体"/>
                <w:color w:val="auto"/>
                <w:highlight w:val="none"/>
              </w:rPr>
              <w:t>3 、竣工日期</w:t>
            </w:r>
          </w:p>
          <w:p>
            <w:pPr>
              <w:spacing w:line="400" w:lineRule="exact"/>
              <w:rPr>
                <w:rFonts w:hint="eastAsia" w:hAnsi="宋体"/>
                <w:color w:val="auto"/>
                <w:highlight w:val="none"/>
              </w:rPr>
            </w:pPr>
            <w:r>
              <w:rPr>
                <w:rFonts w:hint="eastAsia" w:hAnsi="宋体"/>
                <w:color w:val="auto"/>
                <w:highlight w:val="none"/>
              </w:rPr>
              <w:t>工程经竣工验收合格的，以中标人提交竣工验收申请报告之日为实际竣工日期，并在工程接收证书中载明； 因采购人原因，未在监理人收到中标人提交的竣工验收申请报告 42 天内完成竣工验收，或完成竣工验收不予签发工程接收证书的，以提交竣工验收申请报告的日期为 实际竣工日期；工程未经竣工验收，采购人擅自使用的，以转移占有工程之日为实际竣工日期。</w:t>
            </w:r>
          </w:p>
          <w:p>
            <w:pPr>
              <w:spacing w:line="400" w:lineRule="exact"/>
              <w:rPr>
                <w:rFonts w:hint="eastAsia" w:hAnsi="宋体"/>
                <w:color w:val="auto"/>
                <w:highlight w:val="none"/>
              </w:rPr>
            </w:pPr>
            <w:r>
              <w:rPr>
                <w:rFonts w:hint="eastAsia" w:hAnsi="宋体"/>
                <w:color w:val="auto"/>
                <w:highlight w:val="none"/>
              </w:rPr>
              <w:t>4 、拒绝接收全部或部分工程</w:t>
            </w:r>
          </w:p>
          <w:p>
            <w:pPr>
              <w:spacing w:line="400" w:lineRule="exact"/>
              <w:rPr>
                <w:rFonts w:hint="eastAsia" w:hAnsi="宋体"/>
                <w:color w:val="auto"/>
                <w:highlight w:val="none"/>
              </w:rPr>
            </w:pPr>
            <w:r>
              <w:rPr>
                <w:rFonts w:hint="eastAsia" w:hAnsi="宋体"/>
                <w:color w:val="auto"/>
                <w:highlight w:val="none"/>
              </w:rPr>
              <w:t>对于竣工验收不合格的工程，中标人完成整改后，应当重新进行竣工验收，经重新组织验收仍不合格的且无法采取措施补救的，则采购人可以拒绝接收不合格工程，因不合格工程导致 其他工程不能正常使用的，中标人应采取措施确保相关工程的正常使用，由此增加的费用和（或）延误的工期由中标人承担。</w:t>
            </w:r>
          </w:p>
          <w:p>
            <w:pPr>
              <w:spacing w:line="400" w:lineRule="exact"/>
              <w:rPr>
                <w:rFonts w:hint="eastAsia" w:hAnsi="宋体"/>
                <w:color w:val="auto"/>
                <w:highlight w:val="none"/>
              </w:rPr>
            </w:pPr>
            <w:r>
              <w:rPr>
                <w:rFonts w:hint="eastAsia" w:hAnsi="宋体"/>
                <w:color w:val="auto"/>
                <w:highlight w:val="none"/>
              </w:rPr>
              <w:t>5 、移交、接收全部与部分工程</w:t>
            </w:r>
          </w:p>
          <w:p>
            <w:pPr>
              <w:spacing w:line="400" w:lineRule="exact"/>
              <w:rPr>
                <w:rFonts w:hint="eastAsia" w:hAnsi="宋体"/>
                <w:color w:val="auto"/>
                <w:highlight w:val="none"/>
              </w:rPr>
            </w:pPr>
            <w:r>
              <w:rPr>
                <w:rFonts w:hint="eastAsia" w:hAnsi="宋体"/>
                <w:color w:val="auto"/>
                <w:highlight w:val="none"/>
              </w:rPr>
              <w:t>除专用合同条款另有约定外，合同当事人应当在颁发工程接收证书后 7 天内完成工程的移交。 采购人无正当理由不接收工程的，采购人自应当接收工程之日起，承担工程照管、成品保护、 保管等与工程有关的各项费用，合同当事人可以在专用合同条款中另行约定采购人逾期接收工程的违约责任。</w:t>
            </w:r>
          </w:p>
          <w:p>
            <w:pPr>
              <w:spacing w:line="400" w:lineRule="exact"/>
              <w:rPr>
                <w:rFonts w:hint="eastAsia" w:hAnsi="宋体"/>
                <w:color w:val="auto"/>
                <w:highlight w:val="none"/>
              </w:rPr>
            </w:pPr>
            <w:r>
              <w:rPr>
                <w:rFonts w:hint="eastAsia" w:hAnsi="宋体"/>
                <w:color w:val="auto"/>
                <w:highlight w:val="none"/>
              </w:rPr>
              <w:t>中标人无正当理由不移交工程的，中标人应承担工程照管、成品保护、保管等与工程有关的 各项费用，合同当事人可以在专用合同条款中另行约定中标人无正当理由不移交工程的违约责任。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int="eastAsia"/>
                <w:b/>
                <w:bCs/>
                <w:color w:val="auto"/>
                <w:spacing w:val="9"/>
                <w:highlight w:val="none"/>
              </w:rPr>
            </w:pPr>
            <w:r>
              <w:rPr>
                <w:rFonts w:hint="eastAsia" w:hAnsi="宋体"/>
                <w:b/>
                <w:bCs/>
                <w:color w:val="auto"/>
                <w:highlight w:val="none"/>
              </w:rPr>
              <w:t>结算方式</w:t>
            </w:r>
          </w:p>
        </w:tc>
        <w:tc>
          <w:tcPr>
            <w:tcW w:w="7746" w:type="dxa"/>
            <w:gridSpan w:val="3"/>
            <w:shd w:val="clear" w:color="auto" w:fill="auto"/>
          </w:tcPr>
          <w:p>
            <w:pPr>
              <w:spacing w:line="400" w:lineRule="exact"/>
              <w:rPr>
                <w:rFonts w:hint="eastAsia" w:hAnsi="宋体"/>
                <w:color w:val="auto"/>
                <w:highlight w:val="none"/>
              </w:rPr>
            </w:pPr>
            <w:r>
              <w:rPr>
                <w:rFonts w:hint="eastAsia" w:hAnsi="宋体"/>
                <w:color w:val="auto"/>
                <w:highlight w:val="none"/>
              </w:rPr>
              <w:t>计费标准参照《建设工程工程量清单计价规范(GB50500-2013)》、《建设工程工程量清单计价规范(GB50500-2013)广西壮族自治区实施细则》、《建设工程工程量计算规范》（GB50854～50862-2013）、《建设工程工程量计算规范广西壮族自治区实施细则（修订本）（GB50854～50862-2013）》、2015年《广西壮族自治区安装工程消耗量定额》及配套费用定额、2016年《广西壮族自治区建设工程费用定额》（桂建标【2016】16号）、《自治区住房城乡建设厅关于调整建设工程计价增值税税率的通知》（桂建标[2019]12号）、《广西壮族自治区住房城乡建设厅关于调整建设工程定额人工费及有关费率的通知》（桂建标【2023】7号文）、《广西壮族自治区建筑装饰装修安装园林绿化工程费用定额》（最新版）、《广西壮族自治区市政工程消耗量及费用定额》（最新版）与建设工程有关的标准、规范、技术资料，材料价格参照《玉林市建设工程造价信息》或市场询价。</w:t>
            </w:r>
          </w:p>
          <w:p>
            <w:pPr>
              <w:spacing w:line="400" w:lineRule="exact"/>
              <w:rPr>
                <w:rFonts w:hint="eastAsia" w:hAnsi="宋体"/>
                <w:color w:val="auto"/>
                <w:highlight w:val="none"/>
              </w:rPr>
            </w:pPr>
            <w:r>
              <w:rPr>
                <w:rFonts w:hint="eastAsia" w:hAnsi="宋体"/>
                <w:color w:val="auto"/>
                <w:highlight w:val="none"/>
              </w:rPr>
              <w:t>以上文件所组工程造价*中标下浮系数。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Ansi="宋体"/>
                <w:b/>
                <w:bCs/>
                <w:color w:val="auto"/>
                <w:highlight w:val="none"/>
              </w:rPr>
            </w:pPr>
            <w:r>
              <w:rPr>
                <w:rFonts w:hint="eastAsia" w:hAnsi="宋体"/>
                <w:b/>
                <w:bCs/>
                <w:color w:val="auto"/>
                <w:highlight w:val="none"/>
              </w:rPr>
              <w:t>付款条件</w:t>
            </w:r>
          </w:p>
        </w:tc>
        <w:tc>
          <w:tcPr>
            <w:tcW w:w="7746" w:type="dxa"/>
            <w:gridSpan w:val="3"/>
            <w:shd w:val="clear" w:color="auto" w:fill="auto"/>
          </w:tcPr>
          <w:p>
            <w:pPr>
              <w:spacing w:line="400" w:lineRule="exact"/>
              <w:rPr>
                <w:rFonts w:hint="eastAsia" w:hAnsi="宋体"/>
                <w:color w:val="auto"/>
                <w:highlight w:val="none"/>
              </w:rPr>
            </w:pPr>
            <w:r>
              <w:rPr>
                <w:rFonts w:hint="eastAsia" w:hAnsi="宋体"/>
                <w:color w:val="auto"/>
                <w:highlight w:val="none"/>
              </w:rPr>
              <w:t>根据项目实际情况及工程预算金额，经双方协商是否支付预付款。预付款为经采购人审核后的项目预算总额的 30% ，双方签订合同后 7 天内，采购人预付项目预算总额的30%给</w:t>
            </w:r>
            <w:r>
              <w:rPr>
                <w:rFonts w:hint="eastAsia" w:hAnsi="宋体"/>
                <w:color w:val="auto"/>
                <w:highlight w:val="none"/>
                <w:lang w:eastAsia="zh-CN"/>
              </w:rPr>
              <w:t>中标人</w:t>
            </w:r>
            <w:r>
              <w:rPr>
                <w:rFonts w:hint="eastAsia" w:hAnsi="宋体"/>
                <w:color w:val="auto"/>
                <w:highlight w:val="none"/>
              </w:rPr>
              <w:t>作为本工程的施工备料款。预付款在项目工程进度款中一次性扣回。</w:t>
            </w:r>
          </w:p>
          <w:p>
            <w:pPr>
              <w:spacing w:line="400" w:lineRule="exact"/>
              <w:rPr>
                <w:rFonts w:hint="eastAsia" w:hAnsi="宋体"/>
                <w:color w:val="auto"/>
                <w:highlight w:val="none"/>
              </w:rPr>
            </w:pPr>
            <w:r>
              <w:rPr>
                <w:rFonts w:hint="eastAsia" w:hAnsi="宋体"/>
                <w:color w:val="auto"/>
                <w:highlight w:val="none"/>
              </w:rPr>
              <w:t>双方约定的工程款（进度款）支付的方式和时间：合同内工程进度款按实际完成工程量价款×（1-价格优惠率）的 80%支付；合同外新增工程量按实际完成工程量价款×（1-价格优惠率）的 60%支付进度款。工程竣工验收合格，工程结算经采购人审计部门审定后 7 个工作日内支付至结算总价的 97%，扣除结算总价的 3%作为质量保证金。保修期满，7 个工作日内无息退还保证金给中标人。</w:t>
            </w:r>
          </w:p>
          <w:p>
            <w:pPr>
              <w:spacing w:line="400" w:lineRule="exact"/>
              <w:rPr>
                <w:rFonts w:hint="eastAsia" w:hAnsi="宋体"/>
                <w:color w:val="auto"/>
                <w:highlight w:val="none"/>
              </w:rPr>
            </w:pPr>
            <w:r>
              <w:rPr>
                <w:rFonts w:hint="eastAsia" w:hAnsi="宋体"/>
                <w:color w:val="auto"/>
                <w:highlight w:val="none"/>
              </w:rPr>
              <w:t>采用银行转账，中标人需提供真实、有效、合法的正式发票，如提供假发票的，中标人除须向采购人补开合法发票外，须赔偿采购人发票票面金额一倍的违约金，且采购人有权终止合同，中标人不得提出异议，因终止合同而产生的一切损失由中标人承担。</w:t>
            </w:r>
          </w:p>
        </w:tc>
      </w:tr>
    </w:tbl>
    <w:p>
      <w:pPr>
        <w:spacing w:line="428" w:lineRule="exact"/>
        <w:ind w:left="119"/>
        <w:rPr>
          <w:rFonts w:hAnsi="宋体"/>
          <w:color w:val="auto"/>
          <w:highlight w:val="none"/>
        </w:rPr>
        <w:sectPr>
          <w:headerReference r:id="rId4" w:type="first"/>
          <w:footerReference r:id="rId6" w:type="first"/>
          <w:footerReference r:id="rId5" w:type="default"/>
          <w:pgSz w:w="11905" w:h="16838"/>
          <w:pgMar w:top="1134" w:right="1134" w:bottom="1134" w:left="1134" w:header="720" w:footer="720" w:gutter="0"/>
          <w:cols w:space="720" w:num="1"/>
          <w:docGrid w:type="lines" w:linePitch="331" w:charSpace="0"/>
        </w:sectPr>
      </w:pPr>
    </w:p>
    <w:p>
      <w:pPr>
        <w:spacing w:line="428" w:lineRule="exact"/>
        <w:ind w:left="119"/>
        <w:rPr>
          <w:rFonts w:hint="eastAsia" w:hAnsi="宋体"/>
          <w:b/>
          <w:bCs/>
          <w:color w:val="auto"/>
          <w:sz w:val="28"/>
          <w:szCs w:val="36"/>
          <w:highlight w:val="none"/>
        </w:rPr>
      </w:pPr>
      <w:r>
        <w:rPr>
          <w:rFonts w:hint="eastAsia" w:hAnsi="宋体"/>
          <w:b/>
          <w:bCs/>
          <w:color w:val="auto"/>
          <w:sz w:val="28"/>
          <w:szCs w:val="36"/>
          <w:highlight w:val="none"/>
        </w:rPr>
        <w:t>分标2：</w:t>
      </w:r>
    </w:p>
    <w:p>
      <w:pPr>
        <w:spacing w:line="428" w:lineRule="exact"/>
        <w:ind w:left="119"/>
        <w:rPr>
          <w:rFonts w:hint="eastAsia" w:hAnsi="宋体"/>
          <w:b/>
          <w:bCs/>
          <w:color w:val="auto"/>
          <w:sz w:val="28"/>
          <w:szCs w:val="36"/>
          <w:highlight w:val="none"/>
        </w:rPr>
      </w:pPr>
    </w:p>
    <w:tbl>
      <w:tblPr>
        <w:tblStyle w:val="38"/>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467"/>
        <w:gridCol w:w="544"/>
        <w:gridCol w:w="1012"/>
        <w:gridCol w:w="6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47" w:type="dxa"/>
            <w:shd w:val="clear" w:color="auto" w:fill="auto"/>
            <w:vAlign w:val="center"/>
          </w:tcPr>
          <w:p>
            <w:pPr>
              <w:spacing w:line="428" w:lineRule="exact"/>
              <w:jc w:val="center"/>
              <w:rPr>
                <w:rFonts w:hint="eastAsia" w:hAnsi="宋体"/>
                <w:color w:val="auto"/>
                <w:highlight w:val="none"/>
              </w:rPr>
            </w:pPr>
            <w:r>
              <w:rPr>
                <w:rFonts w:hint="eastAsia" w:hAnsi="宋体"/>
                <w:color w:val="auto"/>
                <w:highlight w:val="none"/>
              </w:rPr>
              <w:t>序号</w:t>
            </w:r>
          </w:p>
        </w:tc>
        <w:tc>
          <w:tcPr>
            <w:tcW w:w="1011" w:type="dxa"/>
            <w:gridSpan w:val="2"/>
            <w:shd w:val="clear" w:color="auto" w:fill="auto"/>
            <w:vAlign w:val="center"/>
          </w:tcPr>
          <w:p>
            <w:pPr>
              <w:spacing w:line="428" w:lineRule="exact"/>
              <w:jc w:val="center"/>
              <w:rPr>
                <w:rFonts w:hint="eastAsia" w:hAnsi="宋体"/>
                <w:color w:val="auto"/>
                <w:highlight w:val="none"/>
              </w:rPr>
            </w:pPr>
            <w:r>
              <w:rPr>
                <w:rFonts w:hint="eastAsia" w:hAnsi="宋体"/>
                <w:color w:val="auto"/>
                <w:highlight w:val="none"/>
              </w:rPr>
              <w:t>标的名称</w:t>
            </w:r>
          </w:p>
        </w:tc>
        <w:tc>
          <w:tcPr>
            <w:tcW w:w="1012" w:type="dxa"/>
            <w:shd w:val="clear" w:color="auto" w:fill="auto"/>
            <w:vAlign w:val="center"/>
          </w:tcPr>
          <w:p>
            <w:pPr>
              <w:spacing w:line="428" w:lineRule="exact"/>
              <w:jc w:val="center"/>
              <w:rPr>
                <w:rFonts w:hAnsi="宋体"/>
                <w:color w:val="auto"/>
                <w:highlight w:val="none"/>
              </w:rPr>
            </w:pPr>
            <w:r>
              <w:rPr>
                <w:rFonts w:hint="eastAsia" w:hAnsi="宋体"/>
                <w:color w:val="auto"/>
                <w:highlight w:val="none"/>
              </w:rPr>
              <w:t>数量及单位</w:t>
            </w:r>
          </w:p>
        </w:tc>
        <w:tc>
          <w:tcPr>
            <w:tcW w:w="6190" w:type="dxa"/>
            <w:shd w:val="clear" w:color="auto" w:fill="auto"/>
            <w:vAlign w:val="center"/>
          </w:tcPr>
          <w:p>
            <w:pPr>
              <w:spacing w:line="428" w:lineRule="exact"/>
              <w:jc w:val="center"/>
              <w:rPr>
                <w:rFonts w:hAnsi="宋体"/>
                <w:color w:val="auto"/>
                <w:highlight w:val="none"/>
              </w:rPr>
            </w:pPr>
            <w:r>
              <w:rPr>
                <w:rFonts w:hint="eastAsia" w:hAnsi="宋体"/>
                <w:color w:val="auto"/>
                <w:highlight w:val="none"/>
              </w:rPr>
              <w:t>技术及服务要求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47" w:type="dxa"/>
            <w:shd w:val="clear" w:color="auto" w:fill="auto"/>
          </w:tcPr>
          <w:p>
            <w:pPr>
              <w:spacing w:line="428" w:lineRule="exact"/>
              <w:jc w:val="center"/>
              <w:rPr>
                <w:rFonts w:hint="eastAsia" w:hAnsi="宋体"/>
                <w:color w:val="auto"/>
                <w:highlight w:val="none"/>
              </w:rPr>
            </w:pPr>
            <w:r>
              <w:rPr>
                <w:rFonts w:hint="eastAsia" w:hAnsi="宋体"/>
                <w:color w:val="auto"/>
                <w:highlight w:val="none"/>
              </w:rPr>
              <w:t>1</w:t>
            </w:r>
          </w:p>
        </w:tc>
        <w:tc>
          <w:tcPr>
            <w:tcW w:w="1011" w:type="dxa"/>
            <w:gridSpan w:val="2"/>
            <w:shd w:val="clear" w:color="auto" w:fill="auto"/>
          </w:tcPr>
          <w:p>
            <w:pPr>
              <w:spacing w:line="428" w:lineRule="exact"/>
              <w:rPr>
                <w:rFonts w:hAnsi="宋体"/>
                <w:color w:val="auto"/>
                <w:highlight w:val="none"/>
              </w:rPr>
            </w:pPr>
            <w:r>
              <w:rPr>
                <w:rFonts w:hint="eastAsia" w:ascii="宋体" w:hAnsi="宋体"/>
                <w:color w:val="auto"/>
                <w:szCs w:val="21"/>
                <w:highlight w:val="none"/>
              </w:rPr>
              <w:t>学生、教工生活用房及校园环境零星建设采购(100万以下工程项目)</w:t>
            </w:r>
          </w:p>
        </w:tc>
        <w:tc>
          <w:tcPr>
            <w:tcW w:w="1012" w:type="dxa"/>
            <w:shd w:val="clear" w:color="auto" w:fill="auto"/>
          </w:tcPr>
          <w:p>
            <w:pPr>
              <w:spacing w:line="428" w:lineRule="exact"/>
              <w:jc w:val="center"/>
              <w:rPr>
                <w:rFonts w:hAnsi="宋体"/>
                <w:color w:val="auto"/>
                <w:highlight w:val="none"/>
              </w:rPr>
            </w:pPr>
            <w:r>
              <w:rPr>
                <w:rFonts w:hint="eastAsia" w:hAnsi="宋体"/>
                <w:color w:val="auto"/>
                <w:highlight w:val="none"/>
              </w:rPr>
              <w:t>1项</w:t>
            </w:r>
          </w:p>
        </w:tc>
        <w:tc>
          <w:tcPr>
            <w:tcW w:w="6190" w:type="dxa"/>
            <w:shd w:val="clear" w:color="auto" w:fill="auto"/>
          </w:tcPr>
          <w:p>
            <w:pPr>
              <w:spacing w:line="428" w:lineRule="exact"/>
              <w:rPr>
                <w:rFonts w:hint="eastAsia" w:hAnsi="宋体"/>
                <w:color w:val="auto"/>
                <w:highlight w:val="none"/>
              </w:rPr>
            </w:pPr>
            <w:r>
              <w:rPr>
                <w:rFonts w:hint="eastAsia" w:hAnsi="宋体"/>
                <w:color w:val="auto"/>
                <w:highlight w:val="none"/>
              </w:rPr>
              <w:t>一、项目需求内容及说明：</w:t>
            </w:r>
          </w:p>
          <w:p>
            <w:pPr>
              <w:wordWrap w:val="0"/>
              <w:topLinePunct/>
              <w:snapToGrid w:val="0"/>
              <w:spacing w:line="400" w:lineRule="exact"/>
              <w:rPr>
                <w:rFonts w:hint="eastAsia"/>
                <w:color w:val="auto"/>
                <w:highlight w:val="none"/>
              </w:rPr>
            </w:pPr>
            <w:r>
              <w:rPr>
                <w:rFonts w:hint="eastAsia"/>
                <w:color w:val="auto"/>
                <w:highlight w:val="none"/>
              </w:rPr>
              <w:t>1.零星维修服务内容为根据采购人要求，负责玉林校区100万元以下零星维修项目，主要以市政工程维修服务、绿化工程维修服务为主。包含编制维修方案、图纸绘制，平面图及效果图绘制和维修项目的预算及清单编制，费用由供应商承担。维修内容包括但不限于：</w:t>
            </w:r>
          </w:p>
          <w:p>
            <w:pPr>
              <w:wordWrap w:val="0"/>
              <w:topLinePunct/>
              <w:snapToGrid w:val="0"/>
              <w:spacing w:line="400" w:lineRule="exact"/>
              <w:rPr>
                <w:rFonts w:hint="eastAsia"/>
                <w:color w:val="auto"/>
                <w:highlight w:val="none"/>
              </w:rPr>
            </w:pPr>
            <w:r>
              <w:rPr>
                <w:rFonts w:hint="eastAsia"/>
                <w:color w:val="auto"/>
                <w:highlight w:val="none"/>
              </w:rPr>
              <w:t>（1）市政工程：市政道路工程，管网工程，排水工程等；</w:t>
            </w:r>
          </w:p>
          <w:p>
            <w:pPr>
              <w:wordWrap w:val="0"/>
              <w:topLinePunct/>
              <w:snapToGrid w:val="0"/>
              <w:spacing w:line="400" w:lineRule="exact"/>
              <w:rPr>
                <w:rFonts w:hint="eastAsia"/>
                <w:color w:val="auto"/>
                <w:highlight w:val="none"/>
              </w:rPr>
            </w:pPr>
            <w:r>
              <w:rPr>
                <w:rFonts w:hint="eastAsia"/>
                <w:color w:val="auto"/>
                <w:highlight w:val="none"/>
              </w:rPr>
              <w:t>（2）园林工程：绿化工程，园林园桥工程，园林景观工程，节地与室外环境工程等；</w:t>
            </w:r>
          </w:p>
          <w:p>
            <w:pPr>
              <w:wordWrap w:val="0"/>
              <w:topLinePunct/>
              <w:snapToGrid w:val="0"/>
              <w:spacing w:line="400" w:lineRule="exact"/>
              <w:rPr>
                <w:rFonts w:hint="eastAsia"/>
                <w:color w:val="auto"/>
                <w:highlight w:val="none"/>
              </w:rPr>
            </w:pPr>
            <w:r>
              <w:rPr>
                <w:rFonts w:hint="eastAsia"/>
                <w:color w:val="auto"/>
                <w:highlight w:val="none"/>
              </w:rPr>
              <w:t>（3）拆除工程：人工拆除工程，机械拆除工程，爆破拆除工程，渣土场外运输工程等；</w:t>
            </w:r>
          </w:p>
          <w:p>
            <w:pPr>
              <w:wordWrap w:val="0"/>
              <w:topLinePunct/>
              <w:snapToGrid w:val="0"/>
              <w:spacing w:line="400" w:lineRule="exact"/>
              <w:rPr>
                <w:color w:val="auto"/>
                <w:highlight w:val="none"/>
              </w:rPr>
            </w:pPr>
            <w:r>
              <w:rPr>
                <w:rFonts w:hint="eastAsia"/>
                <w:color w:val="auto"/>
                <w:highlight w:val="none"/>
              </w:rPr>
              <w:t>（4）安装拆除工程：变配电及低压电器拆除，建筑智能化设备拆除，给排水、燃气工程拆除，通风空调工程拆除。</w:t>
            </w:r>
          </w:p>
          <w:p>
            <w:pPr>
              <w:wordWrap w:val="0"/>
              <w:topLinePunct/>
              <w:snapToGrid w:val="0"/>
              <w:spacing w:line="400" w:lineRule="exact"/>
              <w:rPr>
                <w:rFonts w:hint="eastAsia"/>
                <w:color w:val="auto"/>
                <w:highlight w:val="none"/>
              </w:rPr>
            </w:pPr>
            <w:r>
              <w:rPr>
                <w:rFonts w:hint="eastAsia"/>
                <w:color w:val="auto"/>
                <w:highlight w:val="none"/>
              </w:rPr>
              <w:t>（5）安装工程：机械设备安装工程，热力设备安装工程，静置设备与工艺金属结构制作安装工程，电气设备安装工程，建筑智能化工程，自动化控制仪表安装工程，通风空调工程，工业管道工程，给排水、燃气工程，通信设备工程，刷油、防腐蚀、绝热工程等；</w:t>
            </w:r>
          </w:p>
          <w:p>
            <w:pPr>
              <w:wordWrap w:val="0"/>
              <w:topLinePunct/>
              <w:snapToGrid w:val="0"/>
              <w:spacing w:line="400" w:lineRule="exact"/>
              <w:rPr>
                <w:rFonts w:hint="eastAsia"/>
                <w:color w:val="auto"/>
                <w:highlight w:val="none"/>
              </w:rPr>
            </w:pPr>
            <w:r>
              <w:rPr>
                <w:rFonts w:hint="eastAsia"/>
                <w:color w:val="auto"/>
                <w:highlight w:val="none"/>
              </w:rPr>
              <w:t>（6）建筑装饰装修工程：土（石）方工程，砌筑工程，混凝土及钢筋混凝土工程，木结构工程，金属结构工程，屋面及防水工程，保温、隔热及防腐工程，楼地面工程，墙、柱面工程，天棚工程，门窗工程，油漆、涂料、裱糊工程等。</w:t>
            </w:r>
          </w:p>
          <w:p>
            <w:pPr>
              <w:spacing w:line="428" w:lineRule="exact"/>
              <w:rPr>
                <w:rFonts w:hint="eastAsia" w:hAnsi="宋体"/>
                <w:color w:val="auto"/>
                <w:highlight w:val="none"/>
              </w:rPr>
            </w:pPr>
            <w:r>
              <w:rPr>
                <w:rFonts w:hint="eastAsia" w:hAnsi="宋体"/>
                <w:color w:val="auto"/>
                <w:highlight w:val="none"/>
              </w:rPr>
              <w:t>2.要求零星建设服务公司具备建筑工程施工总承包贰级（含以上级）资质或具备建筑装修装饰工程专业承包贰级（含以上级）资质或具备建筑机电安装工程专业承包贰级（含以上级）资质，</w:t>
            </w:r>
            <w:r>
              <w:rPr>
                <w:rFonts w:hint="eastAsia" w:ascii="宋体" w:hAnsi="宋体"/>
                <w:color w:val="auto"/>
                <w:szCs w:val="21"/>
                <w:highlight w:val="none"/>
              </w:rPr>
              <w:t>营业执照经营范围内包含环保工程、园林绿化施工工程、市政公用工程或其他可证明上述资质的材料为准</w:t>
            </w:r>
            <w:r>
              <w:rPr>
                <w:rFonts w:hint="eastAsia" w:hAnsi="宋体"/>
                <w:color w:val="auto"/>
                <w:highlight w:val="none"/>
              </w:rPr>
              <w:t>。有省级及以上建设行政主管部门颁发的安全生产许可证。在人员、设备、资金等方面具备相应的施工能力。</w:t>
            </w:r>
          </w:p>
          <w:p>
            <w:pPr>
              <w:spacing w:line="428" w:lineRule="exact"/>
              <w:rPr>
                <w:rFonts w:hint="eastAsia" w:hAnsi="宋体"/>
                <w:color w:val="auto"/>
                <w:highlight w:val="none"/>
              </w:rPr>
            </w:pPr>
            <w:r>
              <w:rPr>
                <w:rFonts w:hint="eastAsia" w:hAnsi="宋体"/>
                <w:color w:val="auto"/>
                <w:highlight w:val="none"/>
              </w:rPr>
              <w:t>3.需指定1名项目经理，项目经理须具有建筑工程贰级（含以上级）或机电工程贰级（含以上级）注册建造师执业资格，且不得随意变更，若变更需书面提出请求，经采购人同意后方可更换。</w:t>
            </w:r>
          </w:p>
          <w:p>
            <w:pPr>
              <w:spacing w:line="428" w:lineRule="exact"/>
              <w:rPr>
                <w:rFonts w:hint="eastAsia" w:hAnsi="宋体"/>
                <w:color w:val="auto"/>
                <w:highlight w:val="none"/>
              </w:rPr>
            </w:pPr>
            <w:r>
              <w:rPr>
                <w:rFonts w:hint="eastAsia" w:hAnsi="宋体"/>
                <w:color w:val="auto"/>
                <w:highlight w:val="none"/>
              </w:rPr>
              <w:t>4.投入的安全员必须取得建筑施工企业安全生产考核合格证。</w:t>
            </w:r>
          </w:p>
          <w:p>
            <w:pPr>
              <w:spacing w:line="428" w:lineRule="exact"/>
              <w:rPr>
                <w:rFonts w:hint="eastAsia" w:hAnsi="宋体"/>
                <w:color w:val="auto"/>
                <w:highlight w:val="none"/>
              </w:rPr>
            </w:pPr>
            <w:r>
              <w:rPr>
                <w:rFonts w:hint="eastAsia" w:hAnsi="宋体"/>
                <w:color w:val="auto"/>
                <w:highlight w:val="none"/>
              </w:rPr>
              <w:t>5.采购有效期：有效期为1年，即按照签订零星维修服务单位采购协议开始之日起1年。需要根据服务的项目内容、项目名称、项目数量，投资额等内容以实际项目而定。</w:t>
            </w:r>
          </w:p>
          <w:p>
            <w:pPr>
              <w:spacing w:line="428" w:lineRule="exact"/>
              <w:rPr>
                <w:rFonts w:hint="eastAsia" w:hAnsi="宋体"/>
                <w:color w:val="auto"/>
                <w:highlight w:val="none"/>
              </w:rPr>
            </w:pPr>
            <w:r>
              <w:rPr>
                <w:rFonts w:hint="eastAsia" w:hAnsi="宋体"/>
                <w:color w:val="auto"/>
                <w:highlight w:val="none"/>
              </w:rPr>
              <w:t>二、服务要求</w:t>
            </w:r>
          </w:p>
          <w:p>
            <w:pPr>
              <w:spacing w:line="428" w:lineRule="exact"/>
              <w:rPr>
                <w:rFonts w:hint="eastAsia" w:hAnsi="宋体"/>
                <w:color w:val="auto"/>
                <w:highlight w:val="none"/>
              </w:rPr>
            </w:pPr>
            <w:r>
              <w:rPr>
                <w:rFonts w:hint="eastAsia" w:hAnsi="宋体"/>
                <w:color w:val="auto"/>
                <w:highlight w:val="none"/>
              </w:rPr>
              <w:t>1.采购人应急抢修项目，零星维修服务单位中标人不能无故拒绝维修，维修人员应在采购人通知后3小时内到达现场，其他维修项目，维修人员应在接到采购人通知后24小时到达现场。根据采购人的要求，在约定的时间内完成设计、编制预算清单、设计审核及修改工作，并向采购人提供相关合格资料。</w:t>
            </w:r>
          </w:p>
          <w:p>
            <w:pPr>
              <w:spacing w:line="428" w:lineRule="exact"/>
              <w:rPr>
                <w:rFonts w:hint="eastAsia" w:hAnsi="宋体"/>
                <w:color w:val="auto"/>
                <w:highlight w:val="none"/>
              </w:rPr>
            </w:pPr>
            <w:r>
              <w:rPr>
                <w:rFonts w:hint="eastAsia" w:hAnsi="宋体"/>
                <w:color w:val="auto"/>
                <w:highlight w:val="none"/>
              </w:rPr>
              <w:t>2.投标人的投标文件中必须对本次定点采购内容（即安装、维修、翻新、装饰等）提出对本项目的总体要求的理解及计划服务方案（包括拟投入的项目实施管理人员及及时人员、服务内容、组织分工、设备及完成的时间等）。</w:t>
            </w:r>
          </w:p>
          <w:p>
            <w:pPr>
              <w:spacing w:line="428" w:lineRule="exact"/>
              <w:rPr>
                <w:rFonts w:hint="eastAsia" w:hAnsi="宋体"/>
                <w:color w:val="auto"/>
                <w:highlight w:val="none"/>
              </w:rPr>
            </w:pPr>
            <w:r>
              <w:rPr>
                <w:rFonts w:hint="eastAsia" w:hAnsi="宋体"/>
                <w:color w:val="auto"/>
                <w:highlight w:val="none"/>
              </w:rPr>
              <w:t>3.实施项目接受采购人考核，采购人有权根据校内制定的相关考核办法：</w:t>
            </w:r>
          </w:p>
          <w:p>
            <w:pPr>
              <w:spacing w:line="428" w:lineRule="exact"/>
              <w:rPr>
                <w:rFonts w:hint="eastAsia" w:hAnsi="宋体"/>
                <w:color w:val="auto"/>
                <w:highlight w:val="none"/>
              </w:rPr>
            </w:pPr>
            <w:r>
              <w:rPr>
                <w:rFonts w:hint="eastAsia" w:hAnsi="宋体"/>
                <w:color w:val="auto"/>
                <w:highlight w:val="none"/>
              </w:rPr>
              <w:t>（1）评分退出机制（合同解除）：甲方统一制定标准，在乙方每完成一项单项施工后，根据乙方完成情况，对乙方的工作进行评分，总分累计3次低于75分的，甲方有权按合同约定解除其委托服务合同（考核表附后）。</w:t>
            </w:r>
          </w:p>
          <w:p>
            <w:pPr>
              <w:spacing w:line="428" w:lineRule="exact"/>
              <w:rPr>
                <w:rFonts w:hint="eastAsia" w:hAnsi="宋体"/>
                <w:color w:val="auto"/>
                <w:highlight w:val="none"/>
              </w:rPr>
            </w:pPr>
            <w:r>
              <w:rPr>
                <w:rFonts w:hint="eastAsia" w:hAnsi="宋体"/>
                <w:color w:val="auto"/>
                <w:highlight w:val="none"/>
              </w:rPr>
              <w:t>（2）处罚机制：甲方有权根据校内制定的相关考核办法（考核表附后），在乙方每完成一项单项施工后，根据乙方完成情况，对乙方的工作进行考核，乙方工作考核不合格的，每次扣罚5000元；工程组织管理不到位，不佩戴工作证上岗、不佩戴安全帽施工、高空作业时不穿挂安全绳锁等安全措施不到位的，每次扣罚200元(以上罚金从履约保证金中扣除，合同期满后扣除相应违约罚金后剩余部分一次性退回</w:t>
            </w:r>
            <w:r>
              <w:rPr>
                <w:rFonts w:hint="eastAsia" w:hAnsi="宋体"/>
                <w:color w:val="auto"/>
                <w:highlight w:val="none"/>
                <w:lang w:eastAsia="zh-CN"/>
              </w:rPr>
              <w:t>中标人</w:t>
            </w:r>
            <w:r>
              <w:rPr>
                <w:rFonts w:hint="eastAsia" w:hAnsi="宋体"/>
                <w:color w:val="auto"/>
                <w:highlight w:val="none"/>
              </w:rPr>
              <w:t>指定银行账户)。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960" w:type="dxa"/>
            <w:gridSpan w:val="5"/>
            <w:shd w:val="clear" w:color="auto" w:fill="auto"/>
          </w:tcPr>
          <w:p>
            <w:pPr>
              <w:spacing w:line="428" w:lineRule="exact"/>
              <w:rPr>
                <w:rFonts w:hAnsi="宋体"/>
                <w:color w:val="auto"/>
                <w:highlight w:val="none"/>
              </w:rPr>
            </w:pPr>
            <w:r>
              <w:rPr>
                <w:rFonts w:hint="eastAsia" w:ascii="宋体" w:hAnsi="宋体" w:cs="宋体"/>
                <w:b/>
                <w:bCs/>
                <w:color w:val="auto"/>
                <w:highlight w:val="none"/>
              </w:rPr>
              <w:t>▲</w:t>
            </w:r>
            <w:r>
              <w:rPr>
                <w:rFonts w:hint="eastAsia" w:hAnsi="宋体"/>
                <w:b/>
                <w:bCs/>
                <w:color w:val="auto"/>
                <w:highlight w:val="none"/>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Ansi="宋体"/>
                <w:b/>
                <w:bCs/>
                <w:color w:val="auto"/>
                <w:highlight w:val="none"/>
              </w:rPr>
            </w:pPr>
            <w:r>
              <w:rPr>
                <w:rFonts w:hint="eastAsia" w:hAnsi="宋体"/>
                <w:b/>
                <w:bCs/>
                <w:color w:val="auto"/>
                <w:highlight w:val="none"/>
              </w:rPr>
              <w:t>服务期限和地点</w:t>
            </w:r>
          </w:p>
        </w:tc>
        <w:tc>
          <w:tcPr>
            <w:tcW w:w="7746" w:type="dxa"/>
            <w:gridSpan w:val="3"/>
            <w:shd w:val="clear" w:color="auto" w:fill="auto"/>
          </w:tcPr>
          <w:p>
            <w:pPr>
              <w:spacing w:line="400" w:lineRule="exact"/>
              <w:rPr>
                <w:rFonts w:hint="eastAsia" w:hAnsi="宋体"/>
                <w:color w:val="auto"/>
                <w:highlight w:val="none"/>
              </w:rPr>
            </w:pPr>
            <w:r>
              <w:rPr>
                <w:rFonts w:hint="eastAsia" w:hAnsi="宋体"/>
                <w:color w:val="auto"/>
                <w:highlight w:val="none"/>
              </w:rPr>
              <w:t>1、服务期限： 自合同签订指定日期开始提供服务，服务期限一年</w:t>
            </w:r>
            <w:r>
              <w:rPr>
                <w:rFonts w:hint="eastAsia" w:ascii="宋体" w:hAnsi="宋体" w:cs="宋体"/>
                <w:color w:val="auto"/>
                <w:kern w:val="0"/>
                <w:szCs w:val="21"/>
                <w:highlight w:val="none"/>
              </w:rPr>
              <w:t>；对于在合同有效期内未完成维修工作并通过验收的项目，中标人应继续完成维修并通过验收。</w:t>
            </w:r>
          </w:p>
          <w:p>
            <w:pPr>
              <w:spacing w:line="400" w:lineRule="exact"/>
              <w:rPr>
                <w:rFonts w:hAnsi="宋体"/>
                <w:color w:val="auto"/>
                <w:highlight w:val="none"/>
              </w:rPr>
            </w:pPr>
            <w:r>
              <w:rPr>
                <w:rFonts w:hint="eastAsia" w:hAnsi="宋体"/>
                <w:color w:val="auto"/>
                <w:highlight w:val="none"/>
              </w:rPr>
              <w:t>2、服务地点： 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int="eastAsia" w:hAnsi="宋体"/>
                <w:b/>
                <w:bCs/>
                <w:color w:val="auto"/>
                <w:highlight w:val="none"/>
              </w:rPr>
            </w:pPr>
            <w:r>
              <w:rPr>
                <w:b/>
                <w:bCs/>
                <w:color w:val="auto"/>
                <w:spacing w:val="9"/>
                <w:highlight w:val="none"/>
              </w:rPr>
              <w:t>报价要求</w:t>
            </w:r>
          </w:p>
        </w:tc>
        <w:tc>
          <w:tcPr>
            <w:tcW w:w="7746" w:type="dxa"/>
            <w:gridSpan w:val="3"/>
            <w:shd w:val="clear" w:color="auto" w:fill="auto"/>
          </w:tcPr>
          <w:p>
            <w:pPr>
              <w:numPr>
                <w:ilvl w:val="-1"/>
                <w:numId w:val="0"/>
              </w:numPr>
              <w:spacing w:line="400" w:lineRule="exact"/>
              <w:rPr>
                <w:rFonts w:hint="eastAsia" w:hAnsi="宋体"/>
                <w:color w:val="auto"/>
                <w:highlight w:val="none"/>
              </w:rPr>
            </w:pPr>
            <w:r>
              <w:rPr>
                <w:rFonts w:hint="eastAsia" w:hAnsi="宋体"/>
                <w:color w:val="auto"/>
                <w:highlight w:val="none"/>
              </w:rPr>
              <w:t xml:space="preserve">报价方式：按价格优惠率报价（保留小数点后 2 位），0%＜投标报价价格优惠率≤100%。 </w:t>
            </w:r>
          </w:p>
          <w:p>
            <w:pPr>
              <w:spacing w:line="400" w:lineRule="exact"/>
              <w:rPr>
                <w:rFonts w:hint="eastAsia" w:hAnsi="宋体"/>
                <w:color w:val="auto"/>
                <w:highlight w:val="none"/>
              </w:rPr>
            </w:pPr>
            <w:r>
              <w:rPr>
                <w:rFonts w:hint="eastAsia" w:hAnsi="宋体"/>
                <w:color w:val="auto"/>
                <w:highlight w:val="none"/>
              </w:rPr>
              <w:t>（1）本项目采用价格优惠率报价，即结算价=各个零星建设按计费标准得出的造价×（1-价格优惠率），例如:某零星维修的造价为 100 万，结算价=100 万×（1-价格优惠率10%）=90 万元。</w:t>
            </w:r>
          </w:p>
          <w:p>
            <w:pPr>
              <w:spacing w:line="400" w:lineRule="exact"/>
              <w:rPr>
                <w:rFonts w:hint="eastAsia" w:hAnsi="宋体"/>
                <w:color w:val="auto"/>
                <w:highlight w:val="none"/>
              </w:rPr>
            </w:pPr>
            <w:r>
              <w:rPr>
                <w:rFonts w:hint="eastAsia" w:hAnsi="宋体"/>
                <w:color w:val="auto"/>
                <w:highlight w:val="none"/>
              </w:rPr>
              <w:t>（2）投标报价超过第二章《招标项目采购需求》列出的价格优惠率有效范围的投标无效；</w:t>
            </w:r>
          </w:p>
          <w:p>
            <w:pPr>
              <w:spacing w:line="400" w:lineRule="exact"/>
              <w:rPr>
                <w:rFonts w:hint="eastAsia" w:hAnsi="宋体"/>
                <w:color w:val="auto"/>
                <w:highlight w:val="none"/>
              </w:rPr>
            </w:pPr>
            <w:r>
              <w:rPr>
                <w:rFonts w:hint="eastAsia" w:hAnsi="宋体"/>
                <w:color w:val="auto"/>
                <w:highlight w:val="none"/>
              </w:rPr>
              <w:t>（3）服务期限内中标供应商的价格优惠率按投标时承诺的不变。</w:t>
            </w:r>
          </w:p>
          <w:p>
            <w:pPr>
              <w:spacing w:line="400" w:lineRule="exact"/>
              <w:rPr>
                <w:rFonts w:hint="eastAsia" w:hAnsi="宋体"/>
                <w:color w:val="auto"/>
                <w:highlight w:val="none"/>
              </w:rPr>
            </w:pPr>
            <w:r>
              <w:rPr>
                <w:rFonts w:hint="eastAsia" w:hAnsi="宋体"/>
                <w:color w:val="auto"/>
                <w:highlight w:val="none"/>
              </w:rPr>
              <w:t>2 、报价必须含以下部分，包括：</w:t>
            </w:r>
          </w:p>
          <w:p>
            <w:pPr>
              <w:spacing w:line="400" w:lineRule="exact"/>
              <w:rPr>
                <w:rFonts w:hint="eastAsia" w:hAnsi="宋体"/>
                <w:color w:val="auto"/>
                <w:highlight w:val="none"/>
              </w:rPr>
            </w:pPr>
            <w:r>
              <w:rPr>
                <w:rFonts w:hint="eastAsia" w:hAnsi="宋体"/>
                <w:color w:val="auto"/>
                <w:highlight w:val="none"/>
              </w:rPr>
              <w:t>（1）服务的价格；</w:t>
            </w:r>
          </w:p>
          <w:p>
            <w:pPr>
              <w:spacing w:line="400" w:lineRule="exact"/>
              <w:rPr>
                <w:rFonts w:hint="eastAsia" w:hAnsi="宋体"/>
                <w:color w:val="auto"/>
                <w:highlight w:val="none"/>
              </w:rPr>
            </w:pPr>
            <w:r>
              <w:rPr>
                <w:rFonts w:hint="eastAsia" w:hAnsi="宋体"/>
                <w:color w:val="auto"/>
                <w:highlight w:val="none"/>
              </w:rPr>
              <w:t>（2）必要的保险费用和各项税金；</w:t>
            </w:r>
          </w:p>
          <w:p>
            <w:pPr>
              <w:spacing w:line="400" w:lineRule="exact"/>
              <w:rPr>
                <w:rFonts w:hint="eastAsia" w:hAnsi="宋体"/>
                <w:color w:val="auto"/>
                <w:highlight w:val="none"/>
              </w:rPr>
            </w:pPr>
            <w:r>
              <w:rPr>
                <w:rFonts w:hint="eastAsia" w:hAnsi="宋体"/>
                <w:color w:val="auto"/>
                <w:highlight w:val="none"/>
              </w:rPr>
              <w:t xml:space="preserve">（3）其他：投标人在报价时所报的清单综合单价，指完成清单中一个规定计量子目所需的全 部费用，包括但不限于人工费及政策性人工费调整、材料费（材料损耗）、机械使用费、非标产品模具加工费、包装运输费、赶工补偿费、样品费、调试费、综合管理费、合理利润、 税金、水电费、清洁卫生费、垃圾清运费、保险费、总包单位管理费以及投标人认为可能发生的风险费等直至完成工程交付标准所须的一切费用以及维保期间（养护期间）的全部费用。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int="eastAsia"/>
                <w:b/>
                <w:bCs/>
                <w:color w:val="auto"/>
                <w:spacing w:val="9"/>
                <w:highlight w:val="none"/>
              </w:rPr>
            </w:pPr>
            <w:r>
              <w:rPr>
                <w:rFonts w:hint="eastAsia"/>
                <w:b/>
                <w:bCs/>
                <w:color w:val="auto"/>
                <w:spacing w:val="9"/>
                <w:highlight w:val="none"/>
              </w:rPr>
              <w:t>质保期</w:t>
            </w:r>
          </w:p>
        </w:tc>
        <w:tc>
          <w:tcPr>
            <w:tcW w:w="7746" w:type="dxa"/>
            <w:gridSpan w:val="3"/>
            <w:shd w:val="clear" w:color="auto" w:fill="auto"/>
          </w:tcPr>
          <w:p>
            <w:pPr>
              <w:spacing w:line="400" w:lineRule="exact"/>
              <w:rPr>
                <w:rFonts w:hint="eastAsia" w:hAnsi="宋体"/>
                <w:color w:val="auto"/>
                <w:highlight w:val="none"/>
              </w:rPr>
            </w:pPr>
            <w:r>
              <w:rPr>
                <w:rFonts w:hint="eastAsia" w:hAnsi="宋体"/>
                <w:color w:val="auto"/>
                <w:highlight w:val="none"/>
              </w:rPr>
              <w:t>自整体项目验收合格并交付使用起2年，其中，屋面防水工程、有防水要求的卫生间、房间和外墙的防渗漏为5年，在质保期内中标人应安排相关人员随时处理质量或故障问题。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int="eastAsia"/>
                <w:b/>
                <w:bCs/>
                <w:color w:val="auto"/>
                <w:spacing w:val="9"/>
                <w:highlight w:val="none"/>
              </w:rPr>
            </w:pPr>
            <w:r>
              <w:rPr>
                <w:rFonts w:hint="eastAsia" w:hAnsi="宋体"/>
                <w:b/>
                <w:bCs/>
                <w:color w:val="auto"/>
                <w:highlight w:val="none"/>
                <w:lang w:val="en-US" w:eastAsia="zh-CN"/>
              </w:rPr>
              <w:t>验收标准</w:t>
            </w:r>
          </w:p>
        </w:tc>
        <w:tc>
          <w:tcPr>
            <w:tcW w:w="7746" w:type="dxa"/>
            <w:gridSpan w:val="3"/>
            <w:shd w:val="clear" w:color="auto" w:fill="auto"/>
          </w:tcPr>
          <w:p>
            <w:pPr>
              <w:spacing w:line="400" w:lineRule="exact"/>
              <w:rPr>
                <w:rFonts w:hint="eastAsia" w:hAnsi="宋体"/>
                <w:color w:val="auto"/>
                <w:highlight w:val="none"/>
              </w:rPr>
            </w:pPr>
            <w:r>
              <w:rPr>
                <w:rFonts w:hint="eastAsia" w:hAnsi="宋体"/>
                <w:b w:val="0"/>
                <w:bCs w:val="0"/>
                <w:color w:val="auto"/>
                <w:highlight w:val="none"/>
                <w:lang w:val="en-US" w:eastAsia="zh-CN"/>
              </w:rPr>
              <w:t>每项具体工程的竣工验收以施工图、图纸会审记录、国家颁发的现行施工及验收规范和质量检验标准为依据。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b/>
                <w:bCs/>
                <w:color w:val="auto"/>
                <w:spacing w:val="9"/>
                <w:highlight w:val="none"/>
              </w:rPr>
            </w:pPr>
            <w:r>
              <w:rPr>
                <w:rFonts w:hint="eastAsia"/>
                <w:b/>
                <w:bCs/>
                <w:color w:val="auto"/>
                <w:spacing w:val="9"/>
                <w:highlight w:val="none"/>
                <w:lang w:val="en-US" w:eastAsia="zh-CN"/>
              </w:rPr>
              <w:t>工程</w:t>
            </w:r>
            <w:r>
              <w:rPr>
                <w:rFonts w:hint="eastAsia"/>
                <w:b/>
                <w:bCs/>
                <w:color w:val="auto"/>
                <w:spacing w:val="9"/>
                <w:highlight w:val="none"/>
              </w:rPr>
              <w:t>验收</w:t>
            </w:r>
          </w:p>
        </w:tc>
        <w:tc>
          <w:tcPr>
            <w:tcW w:w="7746" w:type="dxa"/>
            <w:gridSpan w:val="3"/>
            <w:shd w:val="clear" w:color="auto" w:fill="auto"/>
          </w:tcPr>
          <w:p>
            <w:pPr>
              <w:spacing w:line="400" w:lineRule="exact"/>
              <w:rPr>
                <w:rFonts w:hint="eastAsia" w:hAnsi="宋体"/>
                <w:color w:val="auto"/>
                <w:highlight w:val="none"/>
              </w:rPr>
            </w:pPr>
            <w:r>
              <w:rPr>
                <w:rFonts w:hint="eastAsia" w:hAnsi="宋体"/>
                <w:color w:val="auto"/>
                <w:highlight w:val="none"/>
              </w:rPr>
              <w:t>1 、竣工验收条件</w:t>
            </w:r>
          </w:p>
          <w:p>
            <w:pPr>
              <w:spacing w:line="400" w:lineRule="exact"/>
              <w:rPr>
                <w:rFonts w:hint="eastAsia" w:hAnsi="宋体"/>
                <w:color w:val="auto"/>
                <w:highlight w:val="none"/>
              </w:rPr>
            </w:pPr>
            <w:r>
              <w:rPr>
                <w:rFonts w:hint="eastAsia" w:hAnsi="宋体"/>
                <w:color w:val="auto"/>
                <w:highlight w:val="none"/>
              </w:rPr>
              <w:t>工程具备以下条件的，中标人可以申请竣工验收：</w:t>
            </w:r>
          </w:p>
          <w:p>
            <w:pPr>
              <w:spacing w:line="400" w:lineRule="exact"/>
              <w:rPr>
                <w:rFonts w:hint="eastAsia" w:hAnsi="宋体"/>
                <w:color w:val="auto"/>
                <w:highlight w:val="none"/>
              </w:rPr>
            </w:pPr>
            <w:r>
              <w:rPr>
                <w:rFonts w:hint="eastAsia" w:hAnsi="宋体"/>
                <w:color w:val="auto"/>
                <w:highlight w:val="none"/>
              </w:rPr>
              <w:t>（1）除采购人同意的甩项工作和缺陷修补工作外，合同范围内的全部工程以及有关工作，包括合同要求的试验、试运行以及检验均已完成，并符合合同要求；</w:t>
            </w:r>
          </w:p>
          <w:p>
            <w:pPr>
              <w:spacing w:line="400" w:lineRule="exact"/>
              <w:rPr>
                <w:rFonts w:hint="eastAsia" w:hAnsi="宋体"/>
                <w:color w:val="auto"/>
                <w:highlight w:val="none"/>
              </w:rPr>
            </w:pPr>
            <w:r>
              <w:rPr>
                <w:rFonts w:hint="eastAsia" w:hAnsi="宋体"/>
                <w:color w:val="auto"/>
                <w:highlight w:val="none"/>
              </w:rPr>
              <w:t>（2）已按合同约定编制了甩项工作和缺陷修补工作清单以及相应的施工计划；</w:t>
            </w:r>
          </w:p>
          <w:p>
            <w:pPr>
              <w:spacing w:line="400" w:lineRule="exact"/>
              <w:rPr>
                <w:rFonts w:hint="eastAsia" w:hAnsi="宋体"/>
                <w:color w:val="auto"/>
                <w:highlight w:val="none"/>
              </w:rPr>
            </w:pPr>
            <w:r>
              <w:rPr>
                <w:rFonts w:hint="eastAsia" w:hAnsi="宋体"/>
                <w:color w:val="auto"/>
                <w:highlight w:val="none"/>
              </w:rPr>
              <w:t>（3）已按合同约定的内容和份数备齐竣工资料。</w:t>
            </w:r>
          </w:p>
          <w:p>
            <w:pPr>
              <w:spacing w:line="400" w:lineRule="exact"/>
              <w:rPr>
                <w:rFonts w:hint="eastAsia" w:hAnsi="宋体"/>
                <w:color w:val="auto"/>
                <w:highlight w:val="none"/>
              </w:rPr>
            </w:pPr>
            <w:r>
              <w:rPr>
                <w:rFonts w:hint="eastAsia" w:hAnsi="宋体"/>
                <w:color w:val="auto"/>
                <w:highlight w:val="none"/>
              </w:rPr>
              <w:t>2 、竣工验收程序</w:t>
            </w:r>
          </w:p>
          <w:p>
            <w:pPr>
              <w:spacing w:line="400" w:lineRule="exact"/>
              <w:rPr>
                <w:rFonts w:hint="eastAsia" w:hAnsi="宋体"/>
                <w:color w:val="auto"/>
                <w:highlight w:val="none"/>
              </w:rPr>
            </w:pPr>
            <w:r>
              <w:rPr>
                <w:rFonts w:hint="eastAsia" w:hAnsi="宋体"/>
                <w:color w:val="auto"/>
                <w:highlight w:val="none"/>
              </w:rPr>
              <w:t>除专用合同条款另有约定外，中标人申请竣工验收的，应当按照以下程序进行：</w:t>
            </w:r>
          </w:p>
          <w:p>
            <w:pPr>
              <w:spacing w:line="400" w:lineRule="exact"/>
              <w:rPr>
                <w:rFonts w:hint="eastAsia" w:hAnsi="宋体"/>
                <w:color w:val="auto"/>
                <w:highlight w:val="none"/>
              </w:rPr>
            </w:pPr>
            <w:r>
              <w:rPr>
                <w:rFonts w:hint="eastAsia" w:hAnsi="宋体"/>
                <w:color w:val="auto"/>
                <w:highlight w:val="none"/>
              </w:rPr>
              <w:t>（1）中标人向监理人报送竣工验收申请报告，监理人应在收到竣工验收申请报告后 14 天内 完成审查并报送采购人。监理人审查后认为尚不具备验收条件的，应通知中标人在竣工验收 前中标人还需完成的工作内容，中标人应在完成监理人通知的全部工作内容后，再次提交竣工验收申请报告。</w:t>
            </w:r>
          </w:p>
          <w:p>
            <w:pPr>
              <w:spacing w:line="400" w:lineRule="exact"/>
              <w:rPr>
                <w:rFonts w:hint="eastAsia" w:hAnsi="宋体"/>
                <w:color w:val="auto"/>
                <w:highlight w:val="none"/>
              </w:rPr>
            </w:pPr>
            <w:r>
              <w:rPr>
                <w:rFonts w:hint="eastAsia" w:hAnsi="宋体"/>
                <w:color w:val="auto"/>
                <w:highlight w:val="none"/>
              </w:rPr>
              <w:t>（2）监理人审查后认为已具备竣工验收条件的，应将竣工验收申请报告提交采购人，采购人 应在收到经监理人审核的竣工验收申请报告后 28 天内审批完毕并组织监理人、中标人、设计人等相关单位完成竣工验收。</w:t>
            </w:r>
          </w:p>
          <w:p>
            <w:pPr>
              <w:spacing w:line="400" w:lineRule="exact"/>
              <w:rPr>
                <w:rFonts w:hint="eastAsia" w:hAnsi="宋体"/>
                <w:color w:val="auto"/>
                <w:highlight w:val="none"/>
              </w:rPr>
            </w:pPr>
            <w:r>
              <w:rPr>
                <w:rFonts w:hint="eastAsia" w:hAnsi="宋体"/>
                <w:color w:val="auto"/>
                <w:highlight w:val="none"/>
              </w:rPr>
              <w:t xml:space="preserve">（3）竣工验收合格的，采购人应在验收合格后 14 天内向中标人签发工程接收证书。采购人 无正当理由逾期不颁发工程接收证书的，自验收合格后第 15 天起视为已颁发工程接收证书。 </w:t>
            </w:r>
          </w:p>
          <w:p>
            <w:pPr>
              <w:spacing w:line="400" w:lineRule="exact"/>
              <w:rPr>
                <w:rFonts w:hint="eastAsia" w:hAnsi="宋体"/>
                <w:color w:val="auto"/>
                <w:highlight w:val="none"/>
              </w:rPr>
            </w:pPr>
            <w:r>
              <w:rPr>
                <w:rFonts w:hint="eastAsia" w:hAnsi="宋体"/>
                <w:color w:val="auto"/>
                <w:highlight w:val="none"/>
              </w:rPr>
              <w:t>（4）竣工验收不合格的，监理人应按照验收意见发出指示，要求中标人对不合格工程返工、 修复或采取其他补救措施，由此增加的费用和（或）延误的工期由中标人承担。中标人在完 成不合格工程的返工、修复或采取其他补救措施后，应重新提交竣工验收申请报告，并按本项约定的程序重新进行验收。</w:t>
            </w:r>
          </w:p>
          <w:p>
            <w:pPr>
              <w:spacing w:line="400" w:lineRule="exact"/>
              <w:rPr>
                <w:rFonts w:hint="eastAsia" w:hAnsi="宋体"/>
                <w:color w:val="auto"/>
                <w:highlight w:val="none"/>
              </w:rPr>
            </w:pPr>
            <w:r>
              <w:rPr>
                <w:rFonts w:hint="eastAsia" w:hAnsi="宋体"/>
                <w:color w:val="auto"/>
                <w:highlight w:val="none"/>
              </w:rPr>
              <w:t>（5）工程未经验收或验收不合格，采购人擅自使用的，应在转移占有工程后 7 天内向中标人 颁发工程接收证书；采购人无正当理由逾期不颁发工程接收证书的， 自转移占有后第 15 天起视为已颁发工程接收证书。除专用合同条款另有约定外，采购人不按照本项约定组织竣工验收、颁发工程接收证书的， 每逾期一天，应以签约合同价为基数，按照中国人民银行发布的同期同类贷款基准利率支付违约金。</w:t>
            </w:r>
          </w:p>
          <w:p>
            <w:pPr>
              <w:spacing w:line="400" w:lineRule="exact"/>
              <w:rPr>
                <w:rFonts w:hint="eastAsia" w:hAnsi="宋体"/>
                <w:color w:val="auto"/>
                <w:highlight w:val="none"/>
              </w:rPr>
            </w:pPr>
            <w:r>
              <w:rPr>
                <w:rFonts w:hint="eastAsia" w:hAnsi="宋体"/>
                <w:color w:val="auto"/>
                <w:highlight w:val="none"/>
              </w:rPr>
              <w:t>3 、竣工日期</w:t>
            </w:r>
          </w:p>
          <w:p>
            <w:pPr>
              <w:spacing w:line="400" w:lineRule="exact"/>
              <w:rPr>
                <w:rFonts w:hint="eastAsia" w:hAnsi="宋体"/>
                <w:color w:val="auto"/>
                <w:highlight w:val="none"/>
              </w:rPr>
            </w:pPr>
            <w:r>
              <w:rPr>
                <w:rFonts w:hint="eastAsia" w:hAnsi="宋体"/>
                <w:color w:val="auto"/>
                <w:highlight w:val="none"/>
              </w:rPr>
              <w:t>工程经竣工验收合格的，以中标人提交竣工验收申请报告之日为实际竣工日期，并在工程接收证书中载明； 因采购人原因，未在监理人收到中标人提交的竣工验收申请报告 42 天内完成竣工验收，或完成竣工验收不予签发工程接收证书的，以提交竣工验收申请报告的日期为 实际竣工日期；工程未经竣工验收，采购人擅自使用的，以转移占有工程之日为实际竣工日期。</w:t>
            </w:r>
          </w:p>
          <w:p>
            <w:pPr>
              <w:spacing w:line="400" w:lineRule="exact"/>
              <w:rPr>
                <w:rFonts w:hint="eastAsia" w:hAnsi="宋体"/>
                <w:color w:val="auto"/>
                <w:highlight w:val="none"/>
              </w:rPr>
            </w:pPr>
            <w:r>
              <w:rPr>
                <w:rFonts w:hint="eastAsia" w:hAnsi="宋体"/>
                <w:color w:val="auto"/>
                <w:highlight w:val="none"/>
              </w:rPr>
              <w:t>4 、拒绝接收全部或部分工程</w:t>
            </w:r>
          </w:p>
          <w:p>
            <w:pPr>
              <w:spacing w:line="400" w:lineRule="exact"/>
              <w:rPr>
                <w:rFonts w:hint="eastAsia" w:hAnsi="宋体"/>
                <w:color w:val="auto"/>
                <w:highlight w:val="none"/>
              </w:rPr>
            </w:pPr>
            <w:r>
              <w:rPr>
                <w:rFonts w:hint="eastAsia" w:hAnsi="宋体"/>
                <w:color w:val="auto"/>
                <w:highlight w:val="none"/>
              </w:rPr>
              <w:t>对于竣工验收不合格的工程，中标人完成整改后，应当重新进行竣工验收，经重新组织验收仍不合格的且无法采取措施补救的，则采购人可以拒绝接收不合格工程，因不合格工程导致 其他工程不能正常使用的，中标人应采取措施确保相关工程的正常使用，由此增加的费用和（或）延误的工期由中标人承担。</w:t>
            </w:r>
          </w:p>
          <w:p>
            <w:pPr>
              <w:spacing w:line="400" w:lineRule="exact"/>
              <w:rPr>
                <w:rFonts w:hint="eastAsia" w:hAnsi="宋体"/>
                <w:color w:val="auto"/>
                <w:highlight w:val="none"/>
              </w:rPr>
            </w:pPr>
            <w:r>
              <w:rPr>
                <w:rFonts w:hint="eastAsia" w:hAnsi="宋体"/>
                <w:color w:val="auto"/>
                <w:highlight w:val="none"/>
              </w:rPr>
              <w:t>5 、移交、接收全部与部分工程</w:t>
            </w:r>
          </w:p>
          <w:p>
            <w:pPr>
              <w:spacing w:line="400" w:lineRule="exact"/>
              <w:rPr>
                <w:rFonts w:hint="eastAsia" w:hAnsi="宋体"/>
                <w:color w:val="auto"/>
                <w:highlight w:val="none"/>
              </w:rPr>
            </w:pPr>
            <w:r>
              <w:rPr>
                <w:rFonts w:hint="eastAsia" w:hAnsi="宋体"/>
                <w:color w:val="auto"/>
                <w:highlight w:val="none"/>
              </w:rPr>
              <w:t>除专用合同条款另有约定外，合同当事人应当在颁发工程接收证书后 7 天内完成工程的移交。 采购人无正当理由不接收工程的，采购人自应当接收工程之日起，承担工程照管、成品保护、 保管等与工程有关的各项费用，合同当事人可以在专用合同条款中另行约定采购人逾期接收工程的违约责任。</w:t>
            </w:r>
          </w:p>
          <w:p>
            <w:pPr>
              <w:spacing w:line="400" w:lineRule="exact"/>
              <w:rPr>
                <w:rFonts w:hint="eastAsia" w:hAnsi="宋体"/>
                <w:color w:val="auto"/>
                <w:highlight w:val="none"/>
              </w:rPr>
            </w:pPr>
            <w:r>
              <w:rPr>
                <w:rFonts w:hint="eastAsia" w:hAnsi="宋体"/>
                <w:color w:val="auto"/>
                <w:highlight w:val="none"/>
              </w:rPr>
              <w:t>中标人无正当理由不移交工程的，中标人应承担工程照管、成品保护、保管等与工程有关的 各项费用，合同当事人可以在专用合同条款中另行约定中标人无正当理由不移交工程的违约责任。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int="eastAsia"/>
                <w:b/>
                <w:bCs/>
                <w:color w:val="auto"/>
                <w:spacing w:val="9"/>
                <w:highlight w:val="none"/>
              </w:rPr>
            </w:pPr>
            <w:r>
              <w:rPr>
                <w:rFonts w:hint="eastAsia" w:hAnsi="宋体"/>
                <w:b/>
                <w:bCs/>
                <w:color w:val="auto"/>
                <w:highlight w:val="none"/>
              </w:rPr>
              <w:t>结算方式</w:t>
            </w:r>
          </w:p>
        </w:tc>
        <w:tc>
          <w:tcPr>
            <w:tcW w:w="7746" w:type="dxa"/>
            <w:gridSpan w:val="3"/>
            <w:shd w:val="clear" w:color="auto" w:fill="auto"/>
          </w:tcPr>
          <w:p>
            <w:pPr>
              <w:spacing w:line="400" w:lineRule="exact"/>
              <w:rPr>
                <w:rFonts w:hint="eastAsia" w:hAnsi="宋体"/>
                <w:color w:val="auto"/>
                <w:highlight w:val="none"/>
              </w:rPr>
            </w:pPr>
            <w:r>
              <w:rPr>
                <w:rFonts w:hint="eastAsia" w:hAnsi="宋体"/>
                <w:color w:val="auto"/>
                <w:highlight w:val="none"/>
              </w:rPr>
              <w:t>计费标准参照《建设工程工程量清单计价规范(GB50500-2013)》、《建设工程工程量清单计价规范(GB50500-2013)广西壮族自治区实施细则》、《建设工程工程量计算规范》（GB50854～50862-2013）、《建设工程工程量计算规范广西壮族自治区实施细则（修订本）（GB50854～50862-2013）》、2015年《广西壮族自治区安装工程消耗量定额》及配套费用定额、2016年《广西壮族自治区建设工程费用定额》（桂建标【2016】16号）、《自治区住房城乡建设厅关于调整建设工程计价增值税税率的通知》（桂建标[2019]12号）、《广西壮族自治区住房城乡建设厅关于调整建设工程定额人工费及有关费率的通知》（桂建标【2023】7号文）、《广西壮族自治区建筑装饰装修安装园林绿化工程费用定额》（最新版）、《广西壮族自治区市政工程消耗量及费用定额》（最新版）与建设工程有关的标准、规范、技术资料，材料价格参照《玉林市建设工程造价信息》或市场询价。</w:t>
            </w:r>
          </w:p>
          <w:p>
            <w:pPr>
              <w:spacing w:line="400" w:lineRule="exact"/>
              <w:rPr>
                <w:rFonts w:hint="eastAsia" w:hAnsi="宋体"/>
                <w:color w:val="auto"/>
                <w:highlight w:val="none"/>
              </w:rPr>
            </w:pPr>
            <w:r>
              <w:rPr>
                <w:rFonts w:hint="eastAsia" w:hAnsi="宋体"/>
                <w:color w:val="auto"/>
                <w:highlight w:val="none"/>
              </w:rPr>
              <w:t>以上文件所组工程造价*中标下浮系数。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4" w:type="dxa"/>
            <w:gridSpan w:val="2"/>
            <w:shd w:val="clear" w:color="auto" w:fill="auto"/>
          </w:tcPr>
          <w:p>
            <w:pPr>
              <w:spacing w:line="428" w:lineRule="exact"/>
              <w:rPr>
                <w:rFonts w:hAnsi="宋体"/>
                <w:b/>
                <w:bCs/>
                <w:color w:val="auto"/>
                <w:highlight w:val="none"/>
              </w:rPr>
            </w:pPr>
            <w:r>
              <w:rPr>
                <w:rFonts w:hint="eastAsia" w:hAnsi="宋体"/>
                <w:b/>
                <w:bCs/>
                <w:color w:val="auto"/>
                <w:highlight w:val="none"/>
              </w:rPr>
              <w:t>付款条件</w:t>
            </w:r>
          </w:p>
        </w:tc>
        <w:tc>
          <w:tcPr>
            <w:tcW w:w="7746" w:type="dxa"/>
            <w:gridSpan w:val="3"/>
            <w:shd w:val="clear" w:color="auto" w:fill="auto"/>
          </w:tcPr>
          <w:p>
            <w:pPr>
              <w:spacing w:line="400" w:lineRule="exact"/>
              <w:rPr>
                <w:rFonts w:hint="eastAsia" w:hAnsi="宋体"/>
                <w:color w:val="auto"/>
                <w:highlight w:val="none"/>
              </w:rPr>
            </w:pPr>
            <w:r>
              <w:rPr>
                <w:rFonts w:hint="eastAsia" w:hAnsi="宋体"/>
                <w:color w:val="auto"/>
                <w:highlight w:val="none"/>
              </w:rPr>
              <w:t>根据项目实际情况及工程预算金额，经双方协商是否支付预付款。预付款为经采购人审核后的项目预算总额的 30% ，双方签订合同后 7 天内，采购人预付项目预算总额的30%给</w:t>
            </w:r>
            <w:r>
              <w:rPr>
                <w:rFonts w:hint="eastAsia" w:hAnsi="宋体"/>
                <w:color w:val="auto"/>
                <w:highlight w:val="none"/>
                <w:lang w:eastAsia="zh-CN"/>
              </w:rPr>
              <w:t>中标人</w:t>
            </w:r>
            <w:r>
              <w:rPr>
                <w:rFonts w:hint="eastAsia" w:hAnsi="宋体"/>
                <w:color w:val="auto"/>
                <w:highlight w:val="none"/>
              </w:rPr>
              <w:t>作为本工程的施工备料款。预付款在项目工程进度款中一次性扣回。</w:t>
            </w:r>
          </w:p>
          <w:p>
            <w:pPr>
              <w:spacing w:line="400" w:lineRule="exact"/>
              <w:rPr>
                <w:rFonts w:hint="eastAsia" w:hAnsi="宋体"/>
                <w:color w:val="auto"/>
                <w:highlight w:val="none"/>
              </w:rPr>
            </w:pPr>
            <w:r>
              <w:rPr>
                <w:rFonts w:hint="eastAsia" w:hAnsi="宋体"/>
                <w:color w:val="auto"/>
                <w:highlight w:val="none"/>
              </w:rPr>
              <w:t>双方约定的工程款（进度款）支付的方式和时间：合同内工程进度款按实际完成工程量价款×（1-价格优惠率）的 80%支付；合同外新增工程量按实际完成工程量价款×（1-价格优惠率）的 60%支付进度款。工程竣工验收合格，工程结算经采购人审计部门审定后 7 个工作日内支付至结算总价的 97%，扣除结算总价的 3%作为质量保证金。保修期满，7 个工作日内无息退还保证金给中标人。</w:t>
            </w:r>
          </w:p>
          <w:p>
            <w:pPr>
              <w:spacing w:line="400" w:lineRule="exact"/>
              <w:rPr>
                <w:rFonts w:hint="eastAsia" w:hAnsi="宋体"/>
                <w:color w:val="auto"/>
                <w:highlight w:val="none"/>
              </w:rPr>
            </w:pPr>
            <w:r>
              <w:rPr>
                <w:rFonts w:hint="eastAsia" w:hAnsi="宋体"/>
                <w:color w:val="auto"/>
                <w:highlight w:val="none"/>
              </w:rPr>
              <w:t>采用银行转账，中标人需提供真实、有效、合法的正式发票，如提供假发票的，中标人除须向采购人补开合法发票外，须赔偿采购人发票票面金额一倍的违约金，且采购人有权终止合同，中标人不得提出异议，因终止合同而产生的一切损失由中标人承担。</w:t>
            </w:r>
          </w:p>
        </w:tc>
      </w:tr>
    </w:tbl>
    <w:p>
      <w:pPr>
        <w:spacing w:line="428" w:lineRule="exact"/>
        <w:ind w:left="119"/>
        <w:rPr>
          <w:rFonts w:hint="eastAsia" w:hAnsi="宋体"/>
          <w:b/>
          <w:bCs/>
          <w:color w:val="auto"/>
          <w:sz w:val="28"/>
          <w:szCs w:val="36"/>
          <w:highlight w:val="none"/>
        </w:rPr>
        <w:sectPr>
          <w:pgSz w:w="11905" w:h="16838"/>
          <w:pgMar w:top="1134" w:right="1134" w:bottom="1134" w:left="1134" w:header="720" w:footer="720" w:gutter="0"/>
          <w:cols w:space="720" w:num="1"/>
          <w:docGrid w:type="lines" w:linePitch="331" w:charSpace="0"/>
        </w:sectPr>
      </w:pPr>
    </w:p>
    <w:p>
      <w:pPr>
        <w:spacing w:line="428" w:lineRule="exact"/>
        <w:ind w:left="119"/>
        <w:rPr>
          <w:rFonts w:ascii="Arial Unicode MS" w:hAnsi="Arial Unicode MS" w:eastAsia="Arial Unicode MS" w:cs="Arial Unicode MS"/>
          <w:color w:val="auto"/>
          <w:sz w:val="32"/>
          <w:szCs w:val="32"/>
          <w:highlight w:val="none"/>
        </w:rPr>
      </w:pPr>
      <w:r>
        <w:rPr>
          <w:rFonts w:hAnsi="宋体"/>
          <w:color w:val="auto"/>
          <w:highlight w:val="none"/>
        </w:rPr>
        <w:t xml:space="preserve"> </w:t>
      </w:r>
      <w:r>
        <w:rPr>
          <w:rFonts w:hint="eastAsia" w:ascii="Arial Unicode MS" w:hAnsi="Arial Unicode MS" w:eastAsia="Arial Unicode MS" w:cs="Arial Unicode MS"/>
          <w:color w:val="auto"/>
          <w:sz w:val="32"/>
          <w:szCs w:val="32"/>
          <w:highlight w:val="none"/>
        </w:rPr>
        <w:t>附件1：</w:t>
      </w:r>
    </w:p>
    <w:p>
      <w:pPr>
        <w:spacing w:before="7"/>
        <w:rPr>
          <w:rFonts w:hint="eastAsia" w:ascii="Arial Unicode MS" w:hAnsi="Arial Unicode MS" w:eastAsia="Arial Unicode MS" w:cs="Arial Unicode MS"/>
          <w:color w:val="auto"/>
          <w:sz w:val="17"/>
          <w:szCs w:val="17"/>
          <w:highlight w:val="none"/>
        </w:rPr>
      </w:pPr>
    </w:p>
    <w:p>
      <w:pPr>
        <w:spacing w:line="528" w:lineRule="exact"/>
        <w:ind w:left="1871"/>
        <w:rPr>
          <w:rFonts w:hint="eastAsia" w:ascii="Arial Unicode MS" w:hAnsi="Arial Unicode MS" w:eastAsia="Arial Unicode MS" w:cs="Arial Unicode MS"/>
          <w:color w:val="auto"/>
          <w:sz w:val="20"/>
          <w:szCs w:val="20"/>
          <w:highlight w:val="none"/>
        </w:rPr>
      </w:pPr>
      <w:r>
        <w:rPr>
          <w:rFonts w:hint="eastAsia" w:ascii="Arial Unicode MS" w:hAnsi="Arial Unicode MS" w:eastAsia="Arial Unicode MS" w:cs="Arial Unicode MS"/>
          <w:color w:val="auto"/>
          <w:sz w:val="40"/>
          <w:szCs w:val="40"/>
          <w:highlight w:val="none"/>
        </w:rPr>
        <w:t>节能产品政府采购品目清单</w:t>
      </w:r>
    </w:p>
    <w:tbl>
      <w:tblPr>
        <w:tblStyle w:val="38"/>
        <w:tblpPr w:leftFromText="180" w:rightFromText="180" w:vertAnchor="text" w:horzAnchor="page" w:tblpX="962" w:tblpY="1721"/>
        <w:tblOverlap w:val="never"/>
        <w:tblW w:w="9890" w:type="dxa"/>
        <w:tblInd w:w="0" w:type="dxa"/>
        <w:tblLayout w:type="autofit"/>
        <w:tblCellMar>
          <w:top w:w="0" w:type="dxa"/>
          <w:left w:w="108" w:type="dxa"/>
          <w:bottom w:w="0" w:type="dxa"/>
          <w:right w:w="108" w:type="dxa"/>
        </w:tblCellMar>
      </w:tblPr>
      <w:tblGrid>
        <w:gridCol w:w="720"/>
        <w:gridCol w:w="1357"/>
        <w:gridCol w:w="1639"/>
        <w:gridCol w:w="1612"/>
        <w:gridCol w:w="4562"/>
      </w:tblGrid>
      <w:tr>
        <w:tblPrEx>
          <w:tblCellMar>
            <w:top w:w="0" w:type="dxa"/>
            <w:left w:w="108" w:type="dxa"/>
            <w:bottom w:w="0" w:type="dxa"/>
            <w:right w:w="108" w:type="dxa"/>
          </w:tblCellMar>
        </w:tblPrEx>
        <w:trPr>
          <w:trHeight w:val="555" w:hRule="atLeast"/>
        </w:trPr>
        <w:tc>
          <w:tcPr>
            <w:tcW w:w="720" w:type="dxa"/>
            <w:tcBorders>
              <w:top w:val="single" w:color="000000" w:sz="8" w:space="0"/>
              <w:left w:val="single" w:color="000000" w:sz="8" w:space="0"/>
              <w:bottom w:val="single" w:color="000000" w:sz="8" w:space="0"/>
              <w:right w:val="single" w:color="000000" w:sz="8" w:space="0"/>
            </w:tcBorders>
            <w:noWrap w:val="0"/>
            <w:vAlign w:val="top"/>
          </w:tcPr>
          <w:p>
            <w:pPr>
              <w:widowControl/>
              <w:shd w:val="clear" w:color="auto" w:fill="auto"/>
              <w:jc w:val="center"/>
              <w:rPr>
                <w:rFonts w:hint="eastAsia" w:ascii="宋体" w:hAnsi="宋体" w:eastAsia="宋体" w:cs="宋体"/>
                <w:b/>
                <w:bCs/>
                <w:color w:val="auto"/>
                <w:kern w:val="0"/>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品目序号</w:t>
            </w:r>
          </w:p>
        </w:tc>
        <w:tc>
          <w:tcPr>
            <w:tcW w:w="4608" w:type="dxa"/>
            <w:gridSpan w:val="3"/>
            <w:tcBorders>
              <w:top w:val="single" w:color="000000" w:sz="8" w:space="0"/>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b/>
                <w:bCs/>
                <w:color w:val="auto"/>
                <w:kern w:val="0"/>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名称</w:t>
            </w:r>
          </w:p>
        </w:tc>
        <w:tc>
          <w:tcPr>
            <w:tcW w:w="4562" w:type="dxa"/>
            <w:tcBorders>
              <w:top w:val="single" w:color="000000" w:sz="8" w:space="0"/>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b/>
                <w:bCs/>
                <w:color w:val="auto"/>
                <w:kern w:val="0"/>
                <w:sz w:val="22"/>
                <w:szCs w:val="22"/>
                <w:highlight w:val="none"/>
                <w:shd w:val="clear" w:color="auto" w:fill="auto"/>
              </w:rPr>
            </w:pPr>
            <w:r>
              <w:rPr>
                <w:rFonts w:hint="eastAsia" w:ascii="宋体" w:hAnsi="宋体" w:eastAsia="宋体" w:cs="宋体"/>
                <w:b/>
                <w:bCs/>
                <w:color w:val="auto"/>
                <w:kern w:val="0"/>
                <w:sz w:val="22"/>
                <w:szCs w:val="22"/>
                <w:highlight w:val="none"/>
                <w:shd w:val="clear" w:color="auto" w:fill="auto"/>
              </w:rPr>
              <w:t>依据的标准</w:t>
            </w:r>
          </w:p>
        </w:tc>
      </w:tr>
      <w:tr>
        <w:tblPrEx>
          <w:tblCellMar>
            <w:top w:w="0" w:type="dxa"/>
            <w:left w:w="108" w:type="dxa"/>
            <w:bottom w:w="0" w:type="dxa"/>
            <w:right w:w="108" w:type="dxa"/>
          </w:tblCellMar>
        </w:tblPrEx>
        <w:trPr>
          <w:trHeight w:val="495" w:hRule="atLeast"/>
        </w:trPr>
        <w:tc>
          <w:tcPr>
            <w:tcW w:w="720"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1</w:t>
            </w:r>
          </w:p>
        </w:tc>
        <w:tc>
          <w:tcPr>
            <w:tcW w:w="1357"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A020101计算机设备</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★A02010104台式计算机</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《微型计算机能效限定值及能效等级》（GB28380）</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★A02010105便携式计算机</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《微型计算机能效限定值及能效等级》（GB28380）</w:t>
            </w:r>
          </w:p>
        </w:tc>
      </w:tr>
      <w:tr>
        <w:tblPrEx>
          <w:tblCellMar>
            <w:top w:w="0" w:type="dxa"/>
            <w:left w:w="108" w:type="dxa"/>
            <w:bottom w:w="0" w:type="dxa"/>
            <w:right w:w="108" w:type="dxa"/>
          </w:tblCellMar>
        </w:tblPrEx>
        <w:trPr>
          <w:trHeight w:val="73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★A02010107平板式微型计算机</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《微型计算机能效限定值及能效等级》（GB28380）</w:t>
            </w:r>
          </w:p>
        </w:tc>
      </w:tr>
      <w:tr>
        <w:tblPrEx>
          <w:tblCellMar>
            <w:top w:w="0" w:type="dxa"/>
            <w:left w:w="108" w:type="dxa"/>
            <w:bottom w:w="0" w:type="dxa"/>
            <w:right w:w="108" w:type="dxa"/>
          </w:tblCellMar>
        </w:tblPrEx>
        <w:trPr>
          <w:trHeight w:val="495" w:hRule="atLeast"/>
        </w:trPr>
        <w:tc>
          <w:tcPr>
            <w:tcW w:w="720"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2</w:t>
            </w:r>
          </w:p>
        </w:tc>
        <w:tc>
          <w:tcPr>
            <w:tcW w:w="1357"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A020106输入输出设备</w:t>
            </w:r>
          </w:p>
        </w:tc>
        <w:tc>
          <w:tcPr>
            <w:tcW w:w="1639"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A02010601打印设备</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A0201060101喷墨打印机</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★A0201060102激光打印机</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★A0201060104针式打印机</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A02010604显示设备</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★A0201060401液晶显示器</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《计算机显示器能效限定值及能效等级》（GB21520）</w:t>
            </w:r>
          </w:p>
        </w:tc>
      </w:tr>
      <w:tr>
        <w:tblPrEx>
          <w:tblCellMar>
            <w:top w:w="0" w:type="dxa"/>
            <w:left w:w="108" w:type="dxa"/>
            <w:bottom w:w="0" w:type="dxa"/>
            <w:right w:w="108" w:type="dxa"/>
          </w:tblCellMar>
        </w:tblPrEx>
        <w:trPr>
          <w:trHeight w:val="97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A02010609图形图像输入设备</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A0201060901扫描仪</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lang w:eastAsia="zh-CN"/>
              </w:rPr>
            </w:pPr>
            <w:r>
              <w:rPr>
                <w:rFonts w:hint="eastAsia" w:ascii="宋体" w:hAnsi="宋体" w:eastAsia="宋体" w:cs="宋体"/>
                <w:color w:val="auto"/>
                <w:kern w:val="0"/>
                <w:sz w:val="20"/>
                <w:szCs w:val="20"/>
                <w:highlight w:val="none"/>
                <w:shd w:val="clear" w:color="auto" w:fill="auto"/>
              </w:rPr>
              <w:t>参照《复印机、打印机和传真机能效限定值及能效等级》（GB21521中打印速度为15页/分的针式打印机相关要求中打印速度为15页/分的针式打印机相关要求</w:t>
            </w:r>
            <w:r>
              <w:rPr>
                <w:rFonts w:hint="eastAsia" w:ascii="宋体" w:hAnsi="宋体" w:eastAsia="宋体" w:cs="宋体"/>
                <w:color w:val="auto"/>
                <w:kern w:val="0"/>
                <w:sz w:val="20"/>
                <w:szCs w:val="20"/>
                <w:highlight w:val="none"/>
                <w:shd w:val="clear" w:color="auto" w:fill="auto"/>
                <w:lang w:eastAsia="zh-CN"/>
              </w:rPr>
              <w:t>）</w:t>
            </w:r>
          </w:p>
        </w:tc>
      </w:tr>
      <w:tr>
        <w:tblPrEx>
          <w:tblCellMar>
            <w:top w:w="0" w:type="dxa"/>
            <w:left w:w="108" w:type="dxa"/>
            <w:bottom w:w="0" w:type="dxa"/>
            <w:right w:w="108" w:type="dxa"/>
          </w:tblCellMar>
        </w:tblPrEx>
        <w:trPr>
          <w:trHeight w:val="495" w:hRule="atLeast"/>
        </w:trPr>
        <w:tc>
          <w:tcPr>
            <w:tcW w:w="720" w:type="dxa"/>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3</w:t>
            </w:r>
          </w:p>
        </w:tc>
        <w:tc>
          <w:tcPr>
            <w:tcW w:w="1357"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A020202投影仪</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《投影机能效限定值及能效等级》（GB32028）</w:t>
            </w:r>
          </w:p>
        </w:tc>
      </w:tr>
      <w:tr>
        <w:tblPrEx>
          <w:tblCellMar>
            <w:top w:w="0" w:type="dxa"/>
            <w:left w:w="108" w:type="dxa"/>
            <w:bottom w:w="0" w:type="dxa"/>
            <w:right w:w="108" w:type="dxa"/>
          </w:tblCellMar>
        </w:tblPrEx>
        <w:trPr>
          <w:trHeight w:val="495" w:hRule="atLeast"/>
        </w:trPr>
        <w:tc>
          <w:tcPr>
            <w:tcW w:w="720" w:type="dxa"/>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4</w:t>
            </w:r>
          </w:p>
        </w:tc>
        <w:tc>
          <w:tcPr>
            <w:tcW w:w="1357"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A020204多功能一体机</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720" w:type="dxa"/>
            <w:tcBorders>
              <w:top w:val="nil"/>
              <w:left w:val="single" w:color="000000" w:sz="8" w:space="0"/>
              <w:bottom w:val="single" w:color="auto" w:sz="4"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5</w:t>
            </w:r>
          </w:p>
        </w:tc>
        <w:tc>
          <w:tcPr>
            <w:tcW w:w="1357" w:type="dxa"/>
            <w:tcBorders>
              <w:top w:val="nil"/>
              <w:left w:val="nil"/>
              <w:bottom w:val="single" w:color="auto" w:sz="4"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A020519泵</w:t>
            </w:r>
          </w:p>
        </w:tc>
        <w:tc>
          <w:tcPr>
            <w:tcW w:w="1639" w:type="dxa"/>
            <w:tcBorders>
              <w:top w:val="nil"/>
              <w:left w:val="nil"/>
              <w:bottom w:val="single" w:color="auto" w:sz="4"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A02051901离心泵</w:t>
            </w:r>
          </w:p>
        </w:tc>
        <w:tc>
          <w:tcPr>
            <w:tcW w:w="1612" w:type="dxa"/>
            <w:tcBorders>
              <w:top w:val="nil"/>
              <w:left w:val="nil"/>
              <w:bottom w:val="single" w:color="auto" w:sz="4"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auto" w:sz="4"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《清水离心泵能效限定值及节能评价值》（GB19762）</w:t>
            </w:r>
          </w:p>
        </w:tc>
      </w:tr>
      <w:tr>
        <w:tblPrEx>
          <w:tblCellMar>
            <w:top w:w="0" w:type="dxa"/>
            <w:left w:w="108" w:type="dxa"/>
            <w:bottom w:w="0" w:type="dxa"/>
            <w:right w:w="108" w:type="dxa"/>
          </w:tblCellMar>
        </w:tblPrEx>
        <w:trPr>
          <w:trHeight w:val="735" w:hRule="atLeast"/>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6</w:t>
            </w:r>
          </w:p>
        </w:tc>
        <w:tc>
          <w:tcPr>
            <w:tcW w:w="13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A020523制冷空调设备</w:t>
            </w:r>
          </w:p>
        </w:tc>
        <w:tc>
          <w:tcPr>
            <w:tcW w:w="16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★A02052301制冷压缩机</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冷水机组</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《冷水机组能效限定值及能效等级》（GB19577），《低环境温度空气源热泵（冷水）机组能效限定值及能效等级》（GB37480）</w:t>
            </w:r>
          </w:p>
        </w:tc>
      </w:tr>
      <w:tr>
        <w:tblPrEx>
          <w:tblCellMar>
            <w:top w:w="0" w:type="dxa"/>
            <w:left w:w="108" w:type="dxa"/>
            <w:bottom w:w="0" w:type="dxa"/>
            <w:right w:w="108" w:type="dxa"/>
          </w:tblCellMar>
        </w:tblPrEx>
        <w:trPr>
          <w:trHeight w:val="495"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水源热泵机组</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《水（地）源热泵机组能效限定值及能效等级》（GB30721）</w:t>
            </w:r>
          </w:p>
        </w:tc>
      </w:tr>
      <w:tr>
        <w:tblPrEx>
          <w:tblCellMar>
            <w:top w:w="0" w:type="dxa"/>
            <w:left w:w="108" w:type="dxa"/>
            <w:bottom w:w="0" w:type="dxa"/>
            <w:right w:w="108" w:type="dxa"/>
          </w:tblCellMar>
        </w:tblPrEx>
        <w:trPr>
          <w:trHeight w:val="495"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溴化锂吸收式冷水机组</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《溴化锂吸收式冷水机组能效限定值及能效等级》（GB29540）</w:t>
            </w:r>
          </w:p>
        </w:tc>
      </w:tr>
      <w:tr>
        <w:tblPrEx>
          <w:tblCellMar>
            <w:top w:w="0" w:type="dxa"/>
            <w:left w:w="108" w:type="dxa"/>
            <w:bottom w:w="0" w:type="dxa"/>
            <w:right w:w="108" w:type="dxa"/>
          </w:tblCellMar>
        </w:tblPrEx>
        <w:trPr>
          <w:trHeight w:val="735"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★A02052305空调机组</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多联式空调（热泵）机组(制冷量&gt;14000W)</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单元式空气调节机(制冷量&gt;14000W</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《单元式空气调节机能效限定值及能效等级》（GB19576）《风管送风式空调机组能效限定值及能效等级》（GB37479）</w:t>
            </w:r>
          </w:p>
        </w:tc>
      </w:tr>
      <w:tr>
        <w:tblPrEx>
          <w:tblCellMar>
            <w:top w:w="0" w:type="dxa"/>
            <w:left w:w="108" w:type="dxa"/>
            <w:bottom w:w="0" w:type="dxa"/>
            <w:right w:w="108" w:type="dxa"/>
          </w:tblCellMar>
        </w:tblPrEx>
        <w:trPr>
          <w:trHeight w:val="764"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★A02052309专用制冷、空调设备</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机房空调</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《单元式空气调节机能效限定值及能效等级》（GB19576）</w:t>
            </w:r>
          </w:p>
        </w:tc>
      </w:tr>
      <w:tr>
        <w:tblPrEx>
          <w:tblCellMar>
            <w:top w:w="0" w:type="dxa"/>
            <w:left w:w="108" w:type="dxa"/>
            <w:bottom w:w="0" w:type="dxa"/>
            <w:right w:w="108" w:type="dxa"/>
          </w:tblCellMar>
        </w:tblPrEx>
        <w:trPr>
          <w:trHeight w:val="735"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A02052399其他制冷空调设备</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冷却塔</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《机械通风冷却塔第1部分：中小型开式冷却塔》（GB/T7190.1）；《机械通风冷却塔第2部分：大型开式冷却塔》（GB/T7190.2）</w:t>
            </w:r>
          </w:p>
        </w:tc>
      </w:tr>
      <w:tr>
        <w:tblPrEx>
          <w:tblCellMar>
            <w:top w:w="0" w:type="dxa"/>
            <w:left w:w="108" w:type="dxa"/>
            <w:bottom w:w="0" w:type="dxa"/>
            <w:right w:w="108" w:type="dxa"/>
          </w:tblCellMar>
        </w:tblPrEx>
        <w:trPr>
          <w:trHeight w:val="495" w:hRule="atLeast"/>
        </w:trPr>
        <w:tc>
          <w:tcPr>
            <w:tcW w:w="720" w:type="dxa"/>
            <w:tcBorders>
              <w:top w:val="single" w:color="auto" w:sz="4" w:space="0"/>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7</w:t>
            </w:r>
          </w:p>
        </w:tc>
        <w:tc>
          <w:tcPr>
            <w:tcW w:w="1357" w:type="dxa"/>
            <w:tcBorders>
              <w:top w:val="single" w:color="auto" w:sz="4" w:space="0"/>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A020601电机</w:t>
            </w:r>
          </w:p>
        </w:tc>
        <w:tc>
          <w:tcPr>
            <w:tcW w:w="1639" w:type="dxa"/>
            <w:tcBorders>
              <w:top w:val="single" w:color="auto" w:sz="4" w:space="0"/>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1612" w:type="dxa"/>
            <w:tcBorders>
              <w:top w:val="single" w:color="auto" w:sz="4" w:space="0"/>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single" w:color="auto" w:sz="4" w:space="0"/>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《中小型三相异步电动机能效限定值及能效等级》（GB18613）</w:t>
            </w:r>
          </w:p>
        </w:tc>
      </w:tr>
      <w:tr>
        <w:tblPrEx>
          <w:tblCellMar>
            <w:top w:w="0" w:type="dxa"/>
            <w:left w:w="108" w:type="dxa"/>
            <w:bottom w:w="0" w:type="dxa"/>
            <w:right w:w="108" w:type="dxa"/>
          </w:tblCellMar>
        </w:tblPrEx>
        <w:trPr>
          <w:trHeight w:val="495" w:hRule="atLeast"/>
        </w:trPr>
        <w:tc>
          <w:tcPr>
            <w:tcW w:w="720" w:type="dxa"/>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8</w:t>
            </w:r>
          </w:p>
        </w:tc>
        <w:tc>
          <w:tcPr>
            <w:tcW w:w="1357"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A020602变压器</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配电变压器</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《三相配电变压器能效限定值及能效等级》（GB20052）</w:t>
            </w:r>
          </w:p>
        </w:tc>
      </w:tr>
      <w:tr>
        <w:tblPrEx>
          <w:tblCellMar>
            <w:top w:w="0" w:type="dxa"/>
            <w:left w:w="108" w:type="dxa"/>
            <w:bottom w:w="0" w:type="dxa"/>
            <w:right w:w="108" w:type="dxa"/>
          </w:tblCellMar>
        </w:tblPrEx>
        <w:trPr>
          <w:trHeight w:val="495" w:hRule="atLeast"/>
        </w:trPr>
        <w:tc>
          <w:tcPr>
            <w:tcW w:w="720" w:type="dxa"/>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9</w:t>
            </w:r>
          </w:p>
        </w:tc>
        <w:tc>
          <w:tcPr>
            <w:tcW w:w="1357"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★A020609镇流器</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管型荧光灯镇流器</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《管形荧光灯镇流器能效限定值及能效等级》（GB17896）</w:t>
            </w:r>
          </w:p>
        </w:tc>
      </w:tr>
      <w:tr>
        <w:tblPrEx>
          <w:tblCellMar>
            <w:top w:w="0" w:type="dxa"/>
            <w:left w:w="108" w:type="dxa"/>
            <w:bottom w:w="0" w:type="dxa"/>
            <w:right w:w="108" w:type="dxa"/>
          </w:tblCellMar>
        </w:tblPrEx>
        <w:trPr>
          <w:trHeight w:val="495" w:hRule="atLeast"/>
        </w:trPr>
        <w:tc>
          <w:tcPr>
            <w:tcW w:w="720"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10</w:t>
            </w:r>
          </w:p>
        </w:tc>
        <w:tc>
          <w:tcPr>
            <w:tcW w:w="1357"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A020618生活用电器</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A0206180101电冰箱</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《家用电冰箱耗电量限定值及能效等级》（GB 12021.2）</w:t>
            </w:r>
          </w:p>
        </w:tc>
      </w:tr>
      <w:tr>
        <w:tblPrEx>
          <w:tblCellMar>
            <w:top w:w="0" w:type="dxa"/>
            <w:left w:w="108" w:type="dxa"/>
            <w:bottom w:w="0" w:type="dxa"/>
            <w:right w:w="108" w:type="dxa"/>
          </w:tblCellMar>
        </w:tblPrEx>
        <w:trPr>
          <w:trHeight w:val="97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★A0206180203空调机</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房间空气调节器</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《转速可控型房间空气调节器能效限定值及能效等级》（GB21455-2013），待2019年修订发布后，按《房间空气调节器能效限定值及能效等级》（GB21455-2019</w:t>
            </w:r>
            <w:r>
              <w:rPr>
                <w:rFonts w:hint="eastAsia" w:ascii="宋体" w:hAnsi="宋体" w:eastAsia="宋体" w:cs="宋体"/>
                <w:color w:val="auto"/>
                <w:kern w:val="0"/>
                <w:sz w:val="20"/>
                <w:szCs w:val="20"/>
                <w:highlight w:val="none"/>
                <w:shd w:val="clear" w:color="auto" w:fill="auto"/>
                <w:lang w:eastAsia="zh-CN"/>
              </w:rPr>
              <w:t>）</w:t>
            </w:r>
            <w:r>
              <w:rPr>
                <w:rFonts w:hint="eastAsia" w:ascii="宋体" w:hAnsi="宋体" w:eastAsia="宋体" w:cs="宋体"/>
                <w:color w:val="auto"/>
                <w:kern w:val="0"/>
                <w:sz w:val="20"/>
                <w:szCs w:val="20"/>
                <w:highlight w:val="none"/>
                <w:shd w:val="clear" w:color="auto" w:fill="auto"/>
              </w:rPr>
              <w:t>实施。</w:t>
            </w:r>
          </w:p>
        </w:tc>
      </w:tr>
      <w:tr>
        <w:tblPrEx>
          <w:tblCellMar>
            <w:top w:w="0" w:type="dxa"/>
            <w:left w:w="108" w:type="dxa"/>
            <w:bottom w:w="0" w:type="dxa"/>
            <w:right w:w="108" w:type="dxa"/>
          </w:tblCellMar>
        </w:tblPrEx>
        <w:trPr>
          <w:trHeight w:val="73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多联式空调（热泵）机组（制冷量≤ 14000W）</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单元式空气调节机(制冷量≤14000W)</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《单元式空气调节机能效限定值及能源效率等级》（GB19576）《风管送风式空调机组能效限定值及能效等级》（GB37479）</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A0206180301洗衣机</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《电动洗衣机能效水效限定值及等级》（GB12021.4）</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A02061808热水器</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★电热水器</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《储水式电热水器能效限定值及能效等级》（GB21519）</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燃气热水器</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《家用燃气快速热水器和燃气采暖热水炉能效限定值及能效等级》（GB20665）</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热泵热水器</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《热泵热水机（器）能效限定值及能效等级》（GB29541）</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auto" w:sz="4"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auto" w:sz="4"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vMerge w:val="continue"/>
            <w:tcBorders>
              <w:top w:val="nil"/>
              <w:left w:val="single" w:color="000000" w:sz="8" w:space="0"/>
              <w:bottom w:val="single" w:color="auto" w:sz="4"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12" w:type="dxa"/>
            <w:tcBorders>
              <w:top w:val="nil"/>
              <w:left w:val="nil"/>
              <w:bottom w:val="single" w:color="auto" w:sz="4"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太阳能热水系统</w:t>
            </w:r>
          </w:p>
        </w:tc>
        <w:tc>
          <w:tcPr>
            <w:tcW w:w="4562" w:type="dxa"/>
            <w:tcBorders>
              <w:top w:val="nil"/>
              <w:left w:val="nil"/>
              <w:bottom w:val="single" w:color="auto" w:sz="4"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《家用太阳能热水系统能效限定值及能效等级》（GB26969）</w:t>
            </w:r>
          </w:p>
        </w:tc>
      </w:tr>
      <w:tr>
        <w:tblPrEx>
          <w:tblCellMar>
            <w:top w:w="0" w:type="dxa"/>
            <w:left w:w="108" w:type="dxa"/>
            <w:bottom w:w="0" w:type="dxa"/>
            <w:right w:w="108" w:type="dxa"/>
          </w:tblCellMar>
        </w:tblPrEx>
        <w:trPr>
          <w:trHeight w:val="812" w:hRule="atLeast"/>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11</w:t>
            </w:r>
          </w:p>
        </w:tc>
        <w:tc>
          <w:tcPr>
            <w:tcW w:w="13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A020619照明设备</w:t>
            </w:r>
          </w:p>
        </w:tc>
        <w:tc>
          <w:tcPr>
            <w:tcW w:w="163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★普通照明用双端荧光灯</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《普通照明用双端荧光灯能效限定值及能效等级》（GB19043）</w:t>
            </w:r>
          </w:p>
        </w:tc>
      </w:tr>
      <w:tr>
        <w:tblPrEx>
          <w:tblCellMar>
            <w:top w:w="0" w:type="dxa"/>
            <w:left w:w="108" w:type="dxa"/>
            <w:bottom w:w="0" w:type="dxa"/>
            <w:right w:w="108" w:type="dxa"/>
          </w:tblCellMar>
        </w:tblPrEx>
        <w:trPr>
          <w:trHeight w:val="812"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LED道路/隧道照明产品</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《道路和隧道照明用LED灯具能效限定值及能效等级》（GB37478）</w:t>
            </w:r>
          </w:p>
        </w:tc>
      </w:tr>
      <w:tr>
        <w:tblPrEx>
          <w:tblCellMar>
            <w:top w:w="0" w:type="dxa"/>
            <w:left w:w="108" w:type="dxa"/>
            <w:bottom w:w="0" w:type="dxa"/>
            <w:right w:w="108" w:type="dxa"/>
          </w:tblCellMar>
        </w:tblPrEx>
        <w:trPr>
          <w:trHeight w:val="495"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LED筒灯</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《室内照明用LED产品能效限定值及能效等级》（GB30255）</w:t>
            </w:r>
          </w:p>
        </w:tc>
      </w:tr>
      <w:tr>
        <w:tblPrEx>
          <w:tblCellMar>
            <w:top w:w="0" w:type="dxa"/>
            <w:left w:w="108" w:type="dxa"/>
            <w:bottom w:w="0" w:type="dxa"/>
            <w:right w:w="108" w:type="dxa"/>
          </w:tblCellMar>
        </w:tblPrEx>
        <w:trPr>
          <w:trHeight w:val="385"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普通照明用非定向自镇流LED灯</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《室内照明用LED产品能效限定值及能效等级》（GB30255）</w:t>
            </w:r>
          </w:p>
        </w:tc>
      </w:tr>
      <w:tr>
        <w:tblPrEx>
          <w:tblCellMar>
            <w:top w:w="0" w:type="dxa"/>
            <w:left w:w="108" w:type="dxa"/>
            <w:bottom w:w="0" w:type="dxa"/>
            <w:right w:w="108" w:type="dxa"/>
          </w:tblCellMar>
        </w:tblPrEx>
        <w:trPr>
          <w:trHeight w:val="73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12</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★A020910电视设备</w:t>
            </w:r>
          </w:p>
        </w:tc>
        <w:tc>
          <w:tcPr>
            <w:tcW w:w="163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A02091001普通电视设备（电视机）</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《平板电视能效限定值及能效等级》（GB24850）</w:t>
            </w:r>
          </w:p>
        </w:tc>
      </w:tr>
      <w:tr>
        <w:tblPrEx>
          <w:tblCellMar>
            <w:top w:w="0" w:type="dxa"/>
            <w:left w:w="108" w:type="dxa"/>
            <w:bottom w:w="0" w:type="dxa"/>
            <w:right w:w="108" w:type="dxa"/>
          </w:tblCellMar>
        </w:tblPrEx>
        <w:trPr>
          <w:trHeight w:val="975" w:hRule="atLeast"/>
        </w:trPr>
        <w:tc>
          <w:tcPr>
            <w:tcW w:w="720" w:type="dxa"/>
            <w:tcBorders>
              <w:top w:val="single" w:color="auto" w:sz="4" w:space="0"/>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13</w:t>
            </w:r>
          </w:p>
        </w:tc>
        <w:tc>
          <w:tcPr>
            <w:tcW w:w="1357" w:type="dxa"/>
            <w:tcBorders>
              <w:top w:val="single" w:color="auto" w:sz="4" w:space="0"/>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★A020911视频设备</w:t>
            </w:r>
          </w:p>
        </w:tc>
        <w:tc>
          <w:tcPr>
            <w:tcW w:w="1639" w:type="dxa"/>
            <w:tcBorders>
              <w:top w:val="single" w:color="auto" w:sz="4" w:space="0"/>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A02091107视频监控设备</w:t>
            </w:r>
          </w:p>
        </w:tc>
        <w:tc>
          <w:tcPr>
            <w:tcW w:w="1612" w:type="dxa"/>
            <w:tcBorders>
              <w:top w:val="single" w:color="auto" w:sz="4" w:space="0"/>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监视器</w:t>
            </w:r>
          </w:p>
        </w:tc>
        <w:tc>
          <w:tcPr>
            <w:tcW w:w="4562" w:type="dxa"/>
            <w:tcBorders>
              <w:top w:val="single" w:color="auto" w:sz="4" w:space="0"/>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以射频信号为主要信号输入的监视器应符合《平板电视能效限定值及能效等级》（GB24850），以数字信号为主要信号输入的监视器应符合《计算机显示器能效限定值及能效等级》（GB21520）</w:t>
            </w:r>
          </w:p>
        </w:tc>
      </w:tr>
      <w:tr>
        <w:tblPrEx>
          <w:tblCellMar>
            <w:top w:w="0" w:type="dxa"/>
            <w:left w:w="108" w:type="dxa"/>
            <w:bottom w:w="0" w:type="dxa"/>
            <w:right w:w="108" w:type="dxa"/>
          </w:tblCellMar>
        </w:tblPrEx>
        <w:trPr>
          <w:trHeight w:val="495" w:hRule="atLeast"/>
        </w:trPr>
        <w:tc>
          <w:tcPr>
            <w:tcW w:w="720" w:type="dxa"/>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14</w:t>
            </w:r>
          </w:p>
        </w:tc>
        <w:tc>
          <w:tcPr>
            <w:tcW w:w="1357"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A031210饮食炊事机械</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商用燃气灶具</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《商用燃气灶具能效限定值及能效等级》（GB30531）</w:t>
            </w:r>
          </w:p>
        </w:tc>
      </w:tr>
      <w:tr>
        <w:tblPrEx>
          <w:tblCellMar>
            <w:top w:w="0" w:type="dxa"/>
            <w:left w:w="108" w:type="dxa"/>
            <w:bottom w:w="0" w:type="dxa"/>
            <w:right w:w="108" w:type="dxa"/>
          </w:tblCellMar>
        </w:tblPrEx>
        <w:trPr>
          <w:trHeight w:val="466" w:hRule="atLeast"/>
        </w:trPr>
        <w:tc>
          <w:tcPr>
            <w:tcW w:w="720"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15</w:t>
            </w:r>
          </w:p>
        </w:tc>
        <w:tc>
          <w:tcPr>
            <w:tcW w:w="1357" w:type="dxa"/>
            <w:vMerge w:val="restart"/>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★A060805便器</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坐便器</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《坐便器水效限定值及水效等级》（GB25502）</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蹲便器</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《蹲便器用水效率限定值及用水效率等级》（GB30717）</w:t>
            </w:r>
          </w:p>
        </w:tc>
      </w:tr>
      <w:tr>
        <w:tblPrEx>
          <w:tblCellMar>
            <w:top w:w="0" w:type="dxa"/>
            <w:left w:w="108" w:type="dxa"/>
            <w:bottom w:w="0" w:type="dxa"/>
            <w:right w:w="108" w:type="dxa"/>
          </w:tblCellMar>
        </w:tblPrEx>
        <w:trPr>
          <w:trHeight w:val="495" w:hRule="atLeast"/>
        </w:trPr>
        <w:tc>
          <w:tcPr>
            <w:tcW w:w="720"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357" w:type="dxa"/>
            <w:vMerge w:val="continue"/>
            <w:tcBorders>
              <w:top w:val="nil"/>
              <w:left w:val="single" w:color="000000" w:sz="8" w:space="0"/>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小便器</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《小便器用水效率限定值及用水效率等级》（GB28377）</w:t>
            </w:r>
          </w:p>
        </w:tc>
      </w:tr>
      <w:tr>
        <w:tblPrEx>
          <w:tblCellMar>
            <w:top w:w="0" w:type="dxa"/>
            <w:left w:w="108" w:type="dxa"/>
            <w:bottom w:w="0" w:type="dxa"/>
            <w:right w:w="108" w:type="dxa"/>
          </w:tblCellMar>
        </w:tblPrEx>
        <w:trPr>
          <w:trHeight w:val="495" w:hRule="atLeast"/>
        </w:trPr>
        <w:tc>
          <w:tcPr>
            <w:tcW w:w="720" w:type="dxa"/>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16</w:t>
            </w:r>
          </w:p>
        </w:tc>
        <w:tc>
          <w:tcPr>
            <w:tcW w:w="1357"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★A060806水嘴</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《水嘴用水效率限定值及用水效率等级》（GB 25501）</w:t>
            </w:r>
          </w:p>
        </w:tc>
      </w:tr>
      <w:tr>
        <w:tblPrEx>
          <w:tblCellMar>
            <w:top w:w="0" w:type="dxa"/>
            <w:left w:w="108" w:type="dxa"/>
            <w:bottom w:w="0" w:type="dxa"/>
            <w:right w:w="108" w:type="dxa"/>
          </w:tblCellMar>
        </w:tblPrEx>
        <w:trPr>
          <w:trHeight w:val="495" w:hRule="atLeast"/>
        </w:trPr>
        <w:tc>
          <w:tcPr>
            <w:tcW w:w="720" w:type="dxa"/>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17</w:t>
            </w:r>
          </w:p>
        </w:tc>
        <w:tc>
          <w:tcPr>
            <w:tcW w:w="1357"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A060807便器冲洗阀</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《便器冲洗阀用水效率限定值及用水效率等级》（GB28379）</w:t>
            </w:r>
          </w:p>
        </w:tc>
      </w:tr>
      <w:tr>
        <w:tblPrEx>
          <w:tblCellMar>
            <w:top w:w="0" w:type="dxa"/>
            <w:left w:w="108" w:type="dxa"/>
            <w:bottom w:w="0" w:type="dxa"/>
            <w:right w:w="108" w:type="dxa"/>
          </w:tblCellMar>
        </w:tblPrEx>
        <w:trPr>
          <w:trHeight w:val="495" w:hRule="atLeast"/>
        </w:trPr>
        <w:tc>
          <w:tcPr>
            <w:tcW w:w="720" w:type="dxa"/>
            <w:tcBorders>
              <w:top w:val="nil"/>
              <w:left w:val="single" w:color="000000" w:sz="8" w:space="0"/>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18</w:t>
            </w:r>
          </w:p>
        </w:tc>
        <w:tc>
          <w:tcPr>
            <w:tcW w:w="1357"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A060810淋浴器</w:t>
            </w:r>
          </w:p>
        </w:tc>
        <w:tc>
          <w:tcPr>
            <w:tcW w:w="1639"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1612" w:type="dxa"/>
            <w:tcBorders>
              <w:top w:val="nil"/>
              <w:left w:val="nil"/>
              <w:bottom w:val="single" w:color="000000" w:sz="8" w:space="0"/>
              <w:right w:val="single" w:color="000000" w:sz="8" w:space="0"/>
            </w:tcBorders>
            <w:noWrap w:val="0"/>
            <w:vAlign w:val="center"/>
          </w:tcPr>
          <w:p>
            <w:pPr>
              <w:widowControl/>
              <w:shd w:val="clear" w:color="auto" w:fill="auto"/>
              <w:jc w:val="center"/>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　</w:t>
            </w:r>
          </w:p>
        </w:tc>
        <w:tc>
          <w:tcPr>
            <w:tcW w:w="4562" w:type="dxa"/>
            <w:tcBorders>
              <w:top w:val="nil"/>
              <w:left w:val="nil"/>
              <w:bottom w:val="single" w:color="000000" w:sz="8" w:space="0"/>
              <w:right w:val="single" w:color="000000" w:sz="8" w:space="0"/>
            </w:tcBorders>
            <w:noWrap w:val="0"/>
            <w:vAlign w:val="center"/>
          </w:tcPr>
          <w:p>
            <w:pPr>
              <w:widowControl/>
              <w:shd w:val="clear" w:color="auto" w:fill="auto"/>
              <w:jc w:val="left"/>
              <w:rPr>
                <w:rFonts w:hint="eastAsia" w:ascii="宋体" w:hAnsi="宋体" w:eastAsia="宋体" w:cs="宋体"/>
                <w:color w:val="auto"/>
                <w:kern w:val="0"/>
                <w:sz w:val="20"/>
                <w:szCs w:val="20"/>
                <w:highlight w:val="none"/>
                <w:shd w:val="clear" w:color="auto" w:fill="auto"/>
              </w:rPr>
            </w:pPr>
            <w:r>
              <w:rPr>
                <w:rFonts w:hint="eastAsia" w:ascii="宋体" w:hAnsi="宋体" w:eastAsia="宋体" w:cs="宋体"/>
                <w:color w:val="auto"/>
                <w:kern w:val="0"/>
                <w:sz w:val="20"/>
                <w:szCs w:val="20"/>
                <w:highlight w:val="none"/>
                <w:shd w:val="clear" w:color="auto" w:fill="auto"/>
              </w:rPr>
              <w:t>《淋浴器用水效率限定值及用水效率等级》（GB28378）</w:t>
            </w:r>
          </w:p>
        </w:tc>
      </w:tr>
    </w:tbl>
    <w:p>
      <w:pPr>
        <w:pStyle w:val="2"/>
        <w:shd w:val="clear" w:color="auto" w:fill="auto"/>
        <w:spacing w:line="360" w:lineRule="auto"/>
        <w:rPr>
          <w:rFonts w:hint="eastAsia" w:ascii="宋体" w:hAnsi="宋体" w:eastAsia="宋体" w:cs="宋体"/>
          <w:color w:val="auto"/>
          <w:szCs w:val="21"/>
          <w:highlight w:val="none"/>
          <w:shd w:val="clear" w:color="auto" w:fill="auto"/>
        </w:rPr>
      </w:pPr>
      <w:r>
        <w:rPr>
          <w:rFonts w:hint="eastAsia" w:ascii="宋体" w:hAnsi="宋体" w:eastAsia="宋体" w:cs="宋体"/>
          <w:color w:val="auto"/>
          <w:spacing w:val="-3"/>
          <w:szCs w:val="21"/>
          <w:highlight w:val="none"/>
          <w:shd w:val="clear" w:color="auto" w:fill="auto"/>
        </w:rPr>
        <w:t>注：1.节能产品认证应依据相关国家标准的最新版本，依据国家标准中二级能效（水效）</w:t>
      </w:r>
      <w:r>
        <w:rPr>
          <w:rFonts w:hint="eastAsia" w:ascii="宋体" w:hAnsi="宋体" w:eastAsia="宋体" w:cs="宋体"/>
          <w:color w:val="auto"/>
          <w:szCs w:val="21"/>
          <w:highlight w:val="none"/>
          <w:shd w:val="clear" w:color="auto" w:fill="auto"/>
        </w:rPr>
        <w:t>指标。</w:t>
      </w:r>
    </w:p>
    <w:p>
      <w:pPr>
        <w:shd w:val="clear" w:color="auto" w:fill="auto"/>
        <w:spacing w:line="528" w:lineRule="exact"/>
        <w:jc w:val="left"/>
        <w:rPr>
          <w:rFonts w:hint="eastAsia" w:ascii="宋体" w:hAnsi="宋体" w:eastAsia="宋体" w:cs="宋体"/>
          <w:color w:val="auto"/>
          <w:sz w:val="28"/>
          <w:szCs w:val="28"/>
          <w:highlight w:val="none"/>
          <w:shd w:val="clear" w:color="auto" w:fill="auto"/>
        </w:rPr>
      </w:pPr>
      <w:r>
        <w:rPr>
          <w:rFonts w:hint="eastAsia" w:ascii="宋体" w:hAnsi="宋体" w:eastAsia="宋体" w:cs="宋体"/>
          <w:color w:val="auto"/>
          <w:highlight w:val="none"/>
          <w:shd w:val="clear" w:color="auto" w:fill="auto"/>
        </w:rPr>
        <w:t xml:space="preserve">   </w:t>
      </w:r>
      <w:r>
        <w:rPr>
          <w:rFonts w:hint="eastAsia" w:ascii="宋体" w:hAnsi="宋体" w:eastAsia="宋体" w:cs="宋体"/>
          <w:color w:val="auto"/>
          <w:spacing w:val="-3"/>
          <w:kern w:val="0"/>
          <w:sz w:val="24"/>
          <w:szCs w:val="21"/>
          <w:highlight w:val="none"/>
          <w:shd w:val="clear" w:color="auto" w:fill="auto"/>
        </w:rPr>
        <w:t xml:space="preserve"> 2.以“★”标注的为政府强制采购产品。</w:t>
      </w:r>
    </w:p>
    <w:p>
      <w:pPr>
        <w:pStyle w:val="21"/>
        <w:jc w:val="left"/>
        <w:rPr>
          <w:rFonts w:hint="eastAsia" w:ascii="Arial Unicode MS" w:hAnsi="Arial Unicode MS" w:eastAsia="Arial Unicode MS" w:cs="Arial Unicode MS"/>
          <w:color w:val="auto"/>
          <w:sz w:val="32"/>
          <w:szCs w:val="32"/>
          <w:highlight w:val="none"/>
        </w:rPr>
      </w:pPr>
      <w:r>
        <w:rPr>
          <w:rFonts w:hAnsi="宋体"/>
          <w:color w:val="auto"/>
          <w:highlight w:val="none"/>
        </w:rPr>
        <w:br w:type="page"/>
      </w:r>
      <w:r>
        <w:rPr>
          <w:rFonts w:hint="eastAsia" w:ascii="Arial Unicode MS" w:hAnsi="Arial Unicode MS" w:eastAsia="Arial Unicode MS" w:cs="Arial Unicode MS"/>
          <w:color w:val="auto"/>
          <w:sz w:val="32"/>
          <w:szCs w:val="32"/>
          <w:highlight w:val="none"/>
        </w:rPr>
        <w:t>附件2：</w:t>
      </w:r>
    </w:p>
    <w:p>
      <w:pPr>
        <w:spacing w:line="528" w:lineRule="exact"/>
        <w:ind w:left="1871"/>
        <w:rPr>
          <w:rFonts w:hint="eastAsia"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中小微企业划型标准</w:t>
      </w:r>
    </w:p>
    <w:tbl>
      <w:tblPr>
        <w:tblStyle w:val="38"/>
        <w:tblW w:w="7983" w:type="dxa"/>
        <w:tblInd w:w="250" w:type="dxa"/>
        <w:tblLayout w:type="fixed"/>
        <w:tblCellMar>
          <w:top w:w="0" w:type="dxa"/>
          <w:left w:w="108" w:type="dxa"/>
          <w:bottom w:w="0" w:type="dxa"/>
          <w:right w:w="108" w:type="dxa"/>
        </w:tblCellMar>
      </w:tblPr>
      <w:tblGrid>
        <w:gridCol w:w="1701"/>
        <w:gridCol w:w="1384"/>
        <w:gridCol w:w="913"/>
        <w:gridCol w:w="1620"/>
        <w:gridCol w:w="1440"/>
        <w:gridCol w:w="92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行业名称</w:t>
            </w:r>
          </w:p>
        </w:tc>
        <w:tc>
          <w:tcPr>
            <w:tcW w:w="1384"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指标名称</w:t>
            </w:r>
          </w:p>
        </w:tc>
        <w:tc>
          <w:tcPr>
            <w:tcW w:w="913"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计量单位</w:t>
            </w:r>
          </w:p>
        </w:tc>
        <w:tc>
          <w:tcPr>
            <w:tcW w:w="162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中型</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小型</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农、林、牧、渔</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工业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建筑业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6000≤Y＜80000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300≤Y＜6000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300≤Z＜5000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批发业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5≤X＜20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零售业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10≤X＜50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交通运输业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200≤Y＜3000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仓储业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邮政业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住宿业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餐饮业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信息传输业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软件和信息技术服务业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房地产开发经营</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1000≤Y＜200000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物业管理</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租赁和商务服务业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8000≤Z＜120000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100≤Z＜8000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其他未列明行业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bl>
    <w:p>
      <w:pPr>
        <w:spacing w:line="360" w:lineRule="auto"/>
        <w:ind w:firstLine="525" w:firstLineChars="250"/>
        <w:rPr>
          <w:rFonts w:ascii="仿宋_GB2312" w:hAnsi="仿宋" w:eastAsia="仿宋_GB2312"/>
          <w:color w:val="auto"/>
          <w:szCs w:val="21"/>
          <w:highlight w:val="none"/>
        </w:rPr>
      </w:pPr>
      <w:r>
        <w:rPr>
          <w:rFonts w:hint="eastAsia" w:ascii="仿宋_GB2312" w:hAnsi="仿宋" w:eastAsia="仿宋_GB2312"/>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pStyle w:val="21"/>
        <w:jc w:val="center"/>
        <w:outlineLvl w:val="0"/>
        <w:rPr>
          <w:rFonts w:hAnsi="宋体"/>
          <w:color w:val="auto"/>
          <w:highlight w:val="none"/>
        </w:rPr>
        <w:sectPr>
          <w:pgSz w:w="11905" w:h="16838"/>
          <w:pgMar w:top="1134" w:right="1134" w:bottom="1134" w:left="1134" w:header="720" w:footer="720" w:gutter="0"/>
          <w:cols w:space="720" w:num="1"/>
          <w:docGrid w:type="lines" w:linePitch="331" w:charSpace="0"/>
        </w:sectPr>
      </w:pPr>
    </w:p>
    <w:p>
      <w:pPr>
        <w:pStyle w:val="21"/>
        <w:jc w:val="center"/>
        <w:outlineLvl w:val="0"/>
        <w:rPr>
          <w:rFonts w:hint="eastAsia" w:hAnsi="宋体"/>
          <w:b/>
          <w:color w:val="auto"/>
          <w:sz w:val="36"/>
          <w:szCs w:val="36"/>
          <w:highlight w:val="none"/>
        </w:rPr>
      </w:pPr>
      <w:bookmarkStart w:id="44" w:name="_Toc30015"/>
      <w:bookmarkStart w:id="45" w:name="_Toc19906"/>
      <w:bookmarkStart w:id="46" w:name="_Toc532545044"/>
      <w:bookmarkStart w:id="47" w:name="_Toc19268"/>
      <w:bookmarkStart w:id="48" w:name="_Toc80092992"/>
      <w:r>
        <w:rPr>
          <w:rFonts w:hint="eastAsia" w:ascii="Times New Roman" w:hAnsi="Times New Roman"/>
          <w:b/>
          <w:color w:val="auto"/>
          <w:sz w:val="36"/>
          <w:highlight w:val="none"/>
        </w:rPr>
        <w:t>第三章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投标人须知</w:t>
      </w:r>
      <w:bookmarkEnd w:id="44"/>
      <w:bookmarkEnd w:id="45"/>
      <w:bookmarkEnd w:id="46"/>
      <w:bookmarkEnd w:id="47"/>
      <w:bookmarkEnd w:id="48"/>
    </w:p>
    <w:p>
      <w:pPr>
        <w:pStyle w:val="21"/>
        <w:spacing w:line="720" w:lineRule="auto"/>
        <w:jc w:val="center"/>
        <w:outlineLvl w:val="1"/>
        <w:rPr>
          <w:rFonts w:hint="eastAsia" w:ascii="Times New Roman" w:hAnsi="Times New Roman"/>
          <w:b/>
          <w:color w:val="auto"/>
          <w:sz w:val="30"/>
          <w:szCs w:val="30"/>
          <w:highlight w:val="none"/>
        </w:rPr>
      </w:pPr>
      <w:bookmarkStart w:id="49" w:name="_Toc1260"/>
      <w:bookmarkStart w:id="50" w:name="_Toc24262"/>
      <w:bookmarkStart w:id="51" w:name="_Toc6244"/>
      <w:bookmarkStart w:id="52" w:name="_Toc80092993"/>
      <w:r>
        <w:rPr>
          <w:rFonts w:hint="eastAsia" w:ascii="Times New Roman" w:hAnsi="Times New Roman"/>
          <w:b/>
          <w:color w:val="auto"/>
          <w:sz w:val="30"/>
          <w:szCs w:val="30"/>
          <w:highlight w:val="none"/>
        </w:rPr>
        <w:t>第一节 投标人须知前附表</w:t>
      </w:r>
      <w:bookmarkEnd w:id="49"/>
      <w:bookmarkEnd w:id="50"/>
      <w:bookmarkEnd w:id="51"/>
      <w:bookmarkEnd w:id="52"/>
    </w:p>
    <w:tbl>
      <w:tblPr>
        <w:tblStyle w:val="38"/>
        <w:tblW w:w="10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2325"/>
        <w:gridCol w:w="70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条款号</w:t>
            </w:r>
          </w:p>
        </w:tc>
        <w:tc>
          <w:tcPr>
            <w:tcW w:w="232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项目内容</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6.1</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bookmarkStart w:id="53" w:name="_9.2"/>
            <w:bookmarkEnd w:id="53"/>
            <w:bookmarkStart w:id="54" w:name="_8.1"/>
            <w:bookmarkEnd w:id="54"/>
            <w:bookmarkStart w:id="55" w:name="_5"/>
            <w:bookmarkEnd w:id="55"/>
            <w:r>
              <w:rPr>
                <w:rFonts w:hint="eastAsia" w:ascii="宋体" w:hAnsi="宋体"/>
                <w:color w:val="auto"/>
                <w:szCs w:val="21"/>
                <w:highlight w:val="none"/>
              </w:rPr>
              <w:t>是否接受联合体投标</w:t>
            </w:r>
          </w:p>
        </w:tc>
        <w:tc>
          <w:tcPr>
            <w:tcW w:w="7065" w:type="dxa"/>
            <w:tcBorders>
              <w:top w:val="single" w:color="auto" w:sz="4" w:space="0"/>
              <w:left w:val="single" w:color="auto" w:sz="4" w:space="0"/>
              <w:bottom w:val="single" w:color="auto" w:sz="4" w:space="0"/>
              <w:right w:val="single" w:color="auto" w:sz="4" w:space="0"/>
            </w:tcBorders>
            <w:vAlign w:val="center"/>
          </w:tcPr>
          <w:p>
            <w:pPr>
              <w:pStyle w:val="15"/>
              <w:spacing w:line="380" w:lineRule="exact"/>
              <w:rPr>
                <w:rFonts w:hint="eastAsia" w:ascii="宋体" w:hAnsi="宋体"/>
                <w:color w:val="auto"/>
                <w:szCs w:val="21"/>
                <w:highlight w:val="none"/>
              </w:rPr>
            </w:pPr>
            <w:bookmarkStart w:id="56" w:name="PO_3000001866_PM007"/>
            <w:r>
              <w:rPr>
                <w:rFonts w:ascii="宋体" w:hAnsi="宋体"/>
                <w:color w:val="auto"/>
                <w:szCs w:val="21"/>
                <w:highlight w:val="none"/>
              </w:rPr>
              <w:t>不允许联合体投标</w:t>
            </w:r>
            <w:bookmarkEnd w:id="56"/>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ascii="宋体" w:hAnsi="宋体"/>
                <w:color w:val="auto"/>
                <w:szCs w:val="21"/>
                <w:highlight w:val="none"/>
              </w:rPr>
              <w:t>6.2</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联合体投标要求</w:t>
            </w:r>
          </w:p>
        </w:tc>
        <w:tc>
          <w:tcPr>
            <w:tcW w:w="7065" w:type="dxa"/>
            <w:tcBorders>
              <w:top w:val="single" w:color="auto" w:sz="4" w:space="0"/>
              <w:left w:val="single" w:color="auto" w:sz="4" w:space="0"/>
              <w:bottom w:val="single" w:color="auto" w:sz="4" w:space="0"/>
              <w:right w:val="single" w:color="auto" w:sz="4" w:space="0"/>
            </w:tcBorders>
            <w:vAlign w:val="center"/>
          </w:tcPr>
          <w:p>
            <w:pPr>
              <w:pStyle w:val="15"/>
              <w:spacing w:line="380" w:lineRule="exact"/>
              <w:rPr>
                <w:rFonts w:hint="eastAsia" w:ascii="宋体" w:hAnsi="宋体"/>
                <w:color w:val="auto"/>
                <w:szCs w:val="21"/>
                <w:highlight w:val="none"/>
              </w:rPr>
            </w:pPr>
            <w:r>
              <w:rPr>
                <w:rFonts w:hint="eastAsia" w:ascii="宋体" w:hAnsi="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7.2</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是否允许转包/分包</w:t>
            </w:r>
          </w:p>
        </w:tc>
        <w:tc>
          <w:tcPr>
            <w:tcW w:w="7065" w:type="dxa"/>
            <w:tcBorders>
              <w:top w:val="single" w:color="auto" w:sz="4" w:space="0"/>
              <w:left w:val="single" w:color="auto" w:sz="4" w:space="0"/>
              <w:bottom w:val="single" w:color="auto" w:sz="4" w:space="0"/>
              <w:right w:val="single" w:color="auto" w:sz="4" w:space="0"/>
            </w:tcBorders>
            <w:vAlign w:val="center"/>
          </w:tcPr>
          <w:p>
            <w:pPr>
              <w:pStyle w:val="15"/>
              <w:spacing w:line="380" w:lineRule="exact"/>
              <w:rPr>
                <w:rFonts w:hint="eastAsia" w:ascii="宋体" w:hAnsi="宋体"/>
                <w:color w:val="auto"/>
                <w:szCs w:val="21"/>
                <w:highlight w:val="none"/>
              </w:rPr>
            </w:pPr>
            <w:r>
              <w:rPr>
                <w:rFonts w:hint="eastAsia" w:ascii="宋体" w:hAnsi="宋体"/>
                <w:color w:val="auto"/>
                <w:szCs w:val="21"/>
                <w:highlight w:val="none"/>
              </w:rPr>
              <w:t>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r>
              <w:rPr>
                <w:rFonts w:hint="eastAsia" w:ascii="宋体" w:hAnsi="宋体"/>
                <w:color w:val="auto"/>
                <w:szCs w:val="21"/>
                <w:highlight w:val="none"/>
              </w:rPr>
              <w:t>4</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媒体发布渠道</w:t>
            </w:r>
          </w:p>
        </w:tc>
        <w:tc>
          <w:tcPr>
            <w:tcW w:w="7065" w:type="dxa"/>
            <w:tcBorders>
              <w:top w:val="single" w:color="auto" w:sz="4" w:space="0"/>
              <w:left w:val="single" w:color="auto" w:sz="4" w:space="0"/>
              <w:bottom w:val="single" w:color="auto" w:sz="4" w:space="0"/>
              <w:right w:val="single" w:color="auto" w:sz="4" w:space="0"/>
            </w:tcBorders>
            <w:vAlign w:val="center"/>
          </w:tcPr>
          <w:p>
            <w:pPr>
              <w:rPr>
                <w:rFonts w:hint="eastAsia"/>
                <w:color w:val="auto"/>
                <w:sz w:val="28"/>
                <w:szCs w:val="18"/>
                <w:highlight w:val="none"/>
              </w:rPr>
            </w:pPr>
            <w:r>
              <w:rPr>
                <w:rFonts w:hint="eastAsia" w:ascii="宋体" w:hAnsi="宋体" w:cs="宋体"/>
                <w:color w:val="auto"/>
                <w:szCs w:val="21"/>
                <w:highlight w:val="none"/>
              </w:rPr>
              <w:t>与本项目相关的政府采购业务澄清、更正及与之相关的事项将在采购公告中“</w:t>
            </w:r>
            <w:r>
              <w:rPr>
                <w:rFonts w:hint="eastAsia" w:ascii="宋体" w:hAnsi="宋体"/>
                <w:color w:val="auto"/>
                <w:szCs w:val="21"/>
                <w:highlight w:val="none"/>
              </w:rPr>
              <w:t>六、其他补充事宜”中网上查询地址</w:t>
            </w:r>
            <w:r>
              <w:rPr>
                <w:rFonts w:hint="eastAsia" w:ascii="宋体" w:hAnsi="宋体" w:cs="宋体"/>
                <w:color w:val="auto"/>
                <w:szCs w:val="21"/>
                <w:highlight w:val="none"/>
              </w:rPr>
              <w:t>上发布</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11.6</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是否组织标前答疑会</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不组织召开开标前答疑会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left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13.1</w:t>
            </w:r>
          </w:p>
        </w:tc>
        <w:tc>
          <w:tcPr>
            <w:tcW w:w="232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eastAsia" w:ascii="宋体" w:hAnsi="宋体" w:cs="Courier New"/>
                <w:color w:val="auto"/>
                <w:szCs w:val="21"/>
                <w:highlight w:val="none"/>
              </w:rPr>
            </w:pPr>
            <w:bookmarkStart w:id="57" w:name="_13.2"/>
            <w:bookmarkEnd w:id="57"/>
            <w:r>
              <w:rPr>
                <w:rFonts w:hint="eastAsia" w:ascii="宋体" w:hAnsi="宋体" w:cs="Courier New"/>
                <w:color w:val="auto"/>
                <w:szCs w:val="21"/>
                <w:highlight w:val="none"/>
              </w:rPr>
              <w:t>资格证明文件组成</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1、投标人为法人或者其他组织的，提供营业执照等证明文件</w:t>
            </w:r>
            <w:r>
              <w:rPr>
                <w:rFonts w:hint="eastAsia" w:ascii="宋体" w:hAnsi="宋体" w:cs="宋体"/>
                <w:color w:val="auto"/>
                <w:szCs w:val="21"/>
                <w:highlight w:val="none"/>
              </w:rPr>
              <w:t>（如营业执照或者事业单位法人证书或者</w:t>
            </w:r>
            <w:r>
              <w:rPr>
                <w:rStyle w:val="72"/>
                <w:color w:val="auto"/>
                <w:sz w:val="21"/>
                <w:szCs w:val="21"/>
                <w:highlight w:val="none"/>
              </w:rPr>
              <w:t>执业许可证</w:t>
            </w:r>
            <w:r>
              <w:rPr>
                <w:rFonts w:hint="eastAsia" w:ascii="宋体" w:hAnsi="宋体" w:cs="宋体"/>
                <w:color w:val="auto"/>
                <w:szCs w:val="21"/>
                <w:highlight w:val="none"/>
              </w:rPr>
              <w:t>等）</w:t>
            </w:r>
            <w:r>
              <w:rPr>
                <w:rFonts w:hint="eastAsia" w:ascii="宋体" w:hAnsi="宋体"/>
                <w:color w:val="auto"/>
                <w:szCs w:val="21"/>
                <w:highlight w:val="none"/>
              </w:rPr>
              <w:t>，投标人为自然人的，提供身份证</w:t>
            </w:r>
            <w:r>
              <w:rPr>
                <w:rFonts w:hint="eastAsia" w:ascii="宋体" w:hAnsi="宋体" w:cs="宋体"/>
                <w:color w:val="auto"/>
                <w:szCs w:val="21"/>
                <w:highlight w:val="none"/>
              </w:rPr>
              <w:t>复印件</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jc w:val="left"/>
              <w:rPr>
                <w:rFonts w:hint="eastAsia" w:ascii="宋体" w:hAnsi="宋体"/>
                <w:color w:val="auto"/>
                <w:szCs w:val="21"/>
                <w:highlight w:val="none"/>
              </w:rPr>
            </w:pPr>
            <w:r>
              <w:rPr>
                <w:rFonts w:hint="eastAsia" w:ascii="宋体" w:hAnsi="宋体" w:cs="宋体"/>
                <w:color w:val="auto"/>
                <w:szCs w:val="21"/>
                <w:highlight w:val="none"/>
              </w:rPr>
              <w:t>2、投标人依法缴纳税收的相关材料（投标文件提交截止之日前半年内投标人连续3个月）的依法缴纳税收的凭据复印件；依</w:t>
            </w:r>
            <w:r>
              <w:rPr>
                <w:rFonts w:hint="eastAsia" w:ascii="宋体" w:hAnsi="宋体"/>
                <w:color w:val="auto"/>
                <w:szCs w:val="21"/>
                <w:highlight w:val="none"/>
              </w:rPr>
              <w:t>法免税的供应商，必须提供相应文件证明其依法免税。</w:t>
            </w:r>
            <w:r>
              <w:rPr>
                <w:rFonts w:hint="eastAsia" w:ascii="宋体" w:hAnsi="宋体" w:cs="宋体"/>
                <w:color w:val="auto"/>
                <w:szCs w:val="21"/>
                <w:highlight w:val="none"/>
              </w:rPr>
              <w:t>从取得营业执照时间起到投标文件提交截止时间为止不足要求月数的，只需提供从取得营业执照起的依法缴纳税收</w:t>
            </w:r>
            <w:r>
              <w:rPr>
                <w:rFonts w:hint="eastAsia" w:ascii="宋体" w:hAnsi="宋体"/>
                <w:color w:val="auto"/>
                <w:szCs w:val="21"/>
                <w:highlight w:val="none"/>
              </w:rPr>
              <w:t>相应证明文件</w:t>
            </w:r>
            <w:r>
              <w:rPr>
                <w:rFonts w:hint="eastAsia" w:ascii="宋体" w:hAnsi="宋体" w:cs="宋体"/>
                <w:color w:val="auto"/>
                <w:szCs w:val="21"/>
                <w:highlight w:val="none"/>
              </w:rPr>
              <w:t>）</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jc w:val="left"/>
              <w:rPr>
                <w:rFonts w:hint="eastAsia" w:ascii="宋体" w:hAnsi="宋体"/>
                <w:color w:val="auto"/>
                <w:szCs w:val="21"/>
                <w:highlight w:val="none"/>
              </w:rPr>
            </w:pPr>
            <w:r>
              <w:rPr>
                <w:rFonts w:hint="eastAsia" w:ascii="宋体" w:hAnsi="宋体" w:cs="宋体"/>
                <w:color w:val="auto"/>
                <w:szCs w:val="21"/>
                <w:highlight w:val="none"/>
              </w:rPr>
              <w:t>3、投标人依法缴纳社会保障资金的相关材料（投标文件提交截止之日前半年内投标人连续3个月）的依法缴纳社会保障资金的缴费凭证（专用收据或者社会保险缴纳清单）复印件；</w:t>
            </w:r>
            <w:r>
              <w:rPr>
                <w:rFonts w:hint="eastAsia" w:ascii="宋体" w:hAnsi="宋体"/>
                <w:color w:val="auto"/>
                <w:szCs w:val="21"/>
                <w:highlight w:val="none"/>
              </w:rPr>
              <w:t>依法不需要缴纳社会保障资金的供应商，必须提供相应文件证明不需要缴纳社会保障资金。</w:t>
            </w:r>
            <w:r>
              <w:rPr>
                <w:rFonts w:hint="eastAsia" w:ascii="宋体" w:hAnsi="宋体" w:cs="宋体"/>
                <w:color w:val="auto"/>
                <w:szCs w:val="21"/>
                <w:highlight w:val="none"/>
              </w:rPr>
              <w:t>从取得营业执照时间起到投标文件提交截止时间为止不足要求月数的只需提供从取得营业执照起的依法缴纳社会保障资金的</w:t>
            </w:r>
            <w:r>
              <w:rPr>
                <w:rFonts w:hint="eastAsia" w:ascii="宋体" w:hAnsi="宋体"/>
                <w:color w:val="auto"/>
                <w:szCs w:val="21"/>
                <w:highlight w:val="none"/>
              </w:rPr>
              <w:t>相应证明文件</w:t>
            </w:r>
            <w:r>
              <w:rPr>
                <w:rFonts w:hint="eastAsia" w:ascii="宋体" w:hAnsi="宋体" w:cs="宋体"/>
                <w:color w:val="auto"/>
                <w:szCs w:val="21"/>
                <w:highlight w:val="none"/>
              </w:rPr>
              <w:t>]</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jc w:val="left"/>
              <w:rPr>
                <w:rFonts w:hint="eastAsia" w:ascii="宋体" w:hAnsi="宋体" w:cs="宋体"/>
                <w:color w:val="auto"/>
                <w:szCs w:val="21"/>
                <w:highlight w:val="none"/>
              </w:rPr>
            </w:pPr>
            <w:r>
              <w:rPr>
                <w:rFonts w:hint="eastAsia" w:ascii="宋体" w:hAnsi="宋体" w:cs="宋体"/>
                <w:color w:val="auto"/>
                <w:szCs w:val="21"/>
                <w:highlight w:val="none"/>
              </w:rPr>
              <w:t>4、投标人财务状况报告（2021年度财务报表复印件或者银行出具的资信证明；投标人属于成立时间在规定年度之后的法人或其他组织，需提供成立之日起至投标截止时间前半年内连续3个月的月报表或银行出具的资信证明；资信证明应在有效期内，未注明有效期的，银行出具时间至投标截止时间不超过一年）；</w:t>
            </w:r>
            <w:r>
              <w:rPr>
                <w:rFonts w:hint="eastAsia" w:ascii="宋体" w:hAnsi="宋体" w:cs="宋体"/>
                <w:b/>
                <w:bCs/>
                <w:color w:val="auto"/>
                <w:szCs w:val="21"/>
                <w:highlight w:val="none"/>
              </w:rPr>
              <w:t>（除自然人外必须提供，否则按无效投标处理）</w:t>
            </w:r>
          </w:p>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5、投标人直接控股、管理关系信息表；（</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1"/>
              </w:num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投标资格声明；（</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numPr>
                <w:ilvl w:val="0"/>
                <w:numId w:val="1"/>
              </w:num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投标保证金缴纳证明；（</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jc w:val="left"/>
              <w:rPr>
                <w:rFonts w:hint="eastAsia" w:ascii="宋体" w:hAnsi="宋体" w:cs="宋体"/>
                <w:color w:val="auto"/>
                <w:szCs w:val="21"/>
                <w:highlight w:val="none"/>
              </w:rPr>
            </w:pPr>
            <w:r>
              <w:rPr>
                <w:rFonts w:hint="eastAsia" w:ascii="宋体" w:hAnsi="宋体" w:cs="宋体"/>
                <w:color w:val="auto"/>
                <w:szCs w:val="21"/>
                <w:highlight w:val="none"/>
              </w:rPr>
              <w:t>8、投标人应为中/小/微企业或监狱企业或残疾人福利性单位，证明材料提供中小企业声明函或对应要求的资格证明资料（格式附后）；</w:t>
            </w:r>
            <w:r>
              <w:rPr>
                <w:rFonts w:hint="eastAsia" w:ascii="宋体" w:hAnsi="宋体" w:cs="宋体"/>
                <w:b/>
                <w:bCs/>
                <w:color w:val="auto"/>
                <w:szCs w:val="21"/>
                <w:highlight w:val="none"/>
              </w:rPr>
              <w:t>（必须提供，否则作无效投标处理）</w:t>
            </w:r>
          </w:p>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9、分标1（</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（1）具备建筑工程施工总承包贰级（含以上级）资质或具备建筑装修装饰工程专业承包贰级（含以上级）资质或具备建筑机电安装工程专业承包贰级（含以上级）资质</w:t>
            </w:r>
            <w:r>
              <w:rPr>
                <w:rFonts w:hint="eastAsia" w:hAnsi="宋体"/>
                <w:color w:val="auto"/>
                <w:highlight w:val="none"/>
              </w:rPr>
              <w:t>，</w:t>
            </w:r>
            <w:r>
              <w:rPr>
                <w:rFonts w:hint="eastAsia" w:ascii="宋体" w:hAnsi="宋体"/>
                <w:color w:val="auto"/>
                <w:szCs w:val="21"/>
                <w:highlight w:val="none"/>
              </w:rPr>
              <w:t>营业执照经营范围内包含消防设施工程、电子与智能化工程或其他可证明上述资质的材料为准。有省级及以上建设行政主管部门颁发的安全生产许可证。在人员、设备、资金等方面具备相应的施工能力。</w:t>
            </w:r>
          </w:p>
          <w:p>
            <w:pPr>
              <w:snapToGrid w:val="0"/>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（2）需指定1名项目经理，项目经理须具有建筑工程贰级（含以上级）或机电工程贰级（含以上级）注册建造师执业资格，且不得随意变更，若变更需书面提出请求，经采购人同意后方可更换。</w:t>
            </w:r>
          </w:p>
          <w:p>
            <w:pPr>
              <w:snapToGrid w:val="0"/>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（3）投入的安全员必须取得建筑施工企业安全生产考核合格证。</w:t>
            </w:r>
          </w:p>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分标2（</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具备建筑工程施工总承包贰级（含以上级）资质或具备建筑装修装饰工程专业承包贰级（含以上级）资质或具备建筑机电安装工程专业承包贰级（含以上级）资质，营业执照经营范围内包含环保工程、园林绿化施工工程、市政公用工程或其他可证明上述资质的材料为准。有省级及以上建设行政主管部门颁发的安全生产许可证。在人员、设备、资金等方面具备相应的施工能力。</w:t>
            </w:r>
          </w:p>
          <w:p>
            <w:pPr>
              <w:snapToGrid w:val="0"/>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（2）需指定1名项目经理，项目经理须具有建筑工程贰级（含以上级）或机电工程贰级（含以上级）注册建造师执业资格，且不得随意变更，若变更需书面提出请求，经采购人同意后方可更换。</w:t>
            </w:r>
          </w:p>
          <w:p>
            <w:pPr>
              <w:snapToGrid w:val="0"/>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（3）投入的安全员必须取得建筑施工企业安全生产考核合格证。</w:t>
            </w:r>
          </w:p>
          <w:p>
            <w:pPr>
              <w:snapToGrid w:val="0"/>
              <w:spacing w:line="380" w:lineRule="exact"/>
              <w:jc w:val="left"/>
              <w:rPr>
                <w:rFonts w:hint="eastAsia" w:ascii="宋体" w:hAnsi="宋体" w:cs="宋体"/>
                <w:color w:val="auto"/>
                <w:szCs w:val="21"/>
                <w:highlight w:val="none"/>
              </w:rPr>
            </w:pPr>
            <w:r>
              <w:rPr>
                <w:rFonts w:hint="eastAsia" w:ascii="宋体" w:hAnsi="宋体" w:cs="宋体"/>
                <w:color w:val="auto"/>
                <w:szCs w:val="21"/>
                <w:highlight w:val="none"/>
              </w:rPr>
              <w:t>10、除招标文件规定必须提供以外，投标人认为需要提供的其他证明材料。（如有请提供）</w:t>
            </w:r>
          </w:p>
          <w:p>
            <w:pPr>
              <w:snapToGrid w:val="0"/>
              <w:spacing w:line="380" w:lineRule="exact"/>
              <w:jc w:val="left"/>
              <w:rPr>
                <w:rFonts w:hint="eastAsia" w:ascii="宋体" w:hAnsi="宋体" w:cs="Courier New"/>
                <w:b/>
                <w:color w:val="auto"/>
                <w:szCs w:val="21"/>
                <w:highlight w:val="none"/>
              </w:rPr>
            </w:pPr>
            <w:r>
              <w:rPr>
                <w:rFonts w:hint="eastAsia" w:ascii="宋体" w:hAnsi="宋体"/>
                <w:b/>
                <w:bCs/>
                <w:color w:val="auto"/>
                <w:szCs w:val="21"/>
                <w:highlight w:val="none"/>
              </w:rPr>
              <w:t>注：1.</w:t>
            </w:r>
            <w:r>
              <w:rPr>
                <w:rFonts w:hint="eastAsia" w:ascii="宋体" w:hAnsi="宋体"/>
                <w:color w:val="auto"/>
                <w:szCs w:val="21"/>
                <w:highlight w:val="none"/>
              </w:rPr>
              <w:t xml:space="preserve"> </w:t>
            </w:r>
            <w:r>
              <w:rPr>
                <w:rFonts w:hint="eastAsia" w:ascii="宋体" w:hAnsi="宋体"/>
                <w:b/>
                <w:bCs/>
                <w:color w:val="auto"/>
                <w:szCs w:val="21"/>
                <w:highlight w:val="none"/>
              </w:rPr>
              <w:t>以上标明“必须提供”的材料</w:t>
            </w:r>
            <w:r>
              <w:rPr>
                <w:rFonts w:hint="eastAsia" w:ascii="宋体" w:hAnsi="宋体" w:cs="宋体"/>
                <w:b/>
                <w:color w:val="auto"/>
                <w:szCs w:val="21"/>
                <w:highlight w:val="none"/>
              </w:rPr>
              <w:t>属于复印件的扫描件的</w:t>
            </w:r>
            <w:r>
              <w:rPr>
                <w:rFonts w:hint="eastAsia" w:ascii="宋体" w:hAnsi="宋体"/>
                <w:b/>
                <w:bCs/>
                <w:color w:val="auto"/>
                <w:szCs w:val="21"/>
                <w:highlight w:val="none"/>
              </w:rPr>
              <w:t>，必须加盖投标人电子公章，否则</w:t>
            </w:r>
            <w:r>
              <w:rPr>
                <w:rFonts w:hint="eastAsia" w:ascii="宋体" w:hAnsi="宋体" w:cs="Courier New"/>
                <w:b/>
                <w:color w:val="auto"/>
                <w:szCs w:val="21"/>
                <w:highlight w:val="none"/>
              </w:rPr>
              <w:t>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left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eastAsia" w:ascii="宋体" w:hAnsi="宋体" w:cs="Courier New"/>
                <w:color w:val="auto"/>
                <w:szCs w:val="21"/>
                <w:highlight w:val="none"/>
              </w:rPr>
            </w:pPr>
            <w:bookmarkStart w:id="58" w:name="_13.3"/>
            <w:bookmarkEnd w:id="58"/>
            <w:r>
              <w:rPr>
                <w:rFonts w:hint="eastAsia" w:ascii="宋体" w:hAnsi="宋体" w:cs="Courier New"/>
                <w:color w:val="auto"/>
                <w:szCs w:val="21"/>
                <w:highlight w:val="none"/>
              </w:rPr>
              <w:t>商务文件组成</w:t>
            </w:r>
          </w:p>
          <w:p>
            <w:pPr>
              <w:spacing w:line="380" w:lineRule="exact"/>
              <w:rPr>
                <w:rFonts w:hint="eastAsia" w:ascii="宋体" w:hAnsi="宋体"/>
                <w:color w:val="auto"/>
                <w:szCs w:val="21"/>
                <w:highlight w:val="none"/>
              </w:rPr>
            </w:pP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1、无串通投标行为的承诺函；（</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jc w:val="left"/>
              <w:rPr>
                <w:rFonts w:ascii="宋体" w:hAnsi="宋体"/>
                <w:color w:val="auto"/>
                <w:szCs w:val="21"/>
                <w:highlight w:val="none"/>
              </w:rPr>
            </w:pPr>
            <w:r>
              <w:rPr>
                <w:rFonts w:hint="eastAsia" w:ascii="宋体" w:hAnsi="宋体"/>
                <w:color w:val="auto"/>
                <w:szCs w:val="21"/>
                <w:highlight w:val="none"/>
              </w:rPr>
              <w:t>2、法定代表人身份证明及法定代表人有效身份证正反面复印件；（</w:t>
            </w:r>
            <w:r>
              <w:rPr>
                <w:rFonts w:hint="eastAsia" w:ascii="宋体" w:hAnsi="宋体" w:cs="宋体"/>
                <w:b/>
                <w:bCs/>
                <w:color w:val="auto"/>
                <w:szCs w:val="21"/>
                <w:highlight w:val="none"/>
              </w:rPr>
              <w:t>除自然人投标外</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jc w:val="left"/>
              <w:rPr>
                <w:rFonts w:ascii="宋体" w:hAnsi="宋体"/>
                <w:color w:val="auto"/>
                <w:szCs w:val="21"/>
                <w:highlight w:val="none"/>
              </w:rPr>
            </w:pPr>
            <w:r>
              <w:rPr>
                <w:rFonts w:hint="eastAsia" w:ascii="宋体" w:hAnsi="宋体"/>
                <w:color w:val="auto"/>
                <w:szCs w:val="21"/>
                <w:highlight w:val="none"/>
              </w:rPr>
              <w:t>3、法定代表人授权委托书及委托代理人有效身份证正反面复印件；（</w:t>
            </w:r>
            <w:r>
              <w:rPr>
                <w:rFonts w:hint="eastAsia" w:ascii="宋体" w:hAnsi="宋体"/>
                <w:b/>
                <w:color w:val="auto"/>
                <w:szCs w:val="21"/>
                <w:highlight w:val="none"/>
              </w:rPr>
              <w:t>委托时必须提供，否则作无效投标处理</w:t>
            </w:r>
            <w:r>
              <w:rPr>
                <w:rFonts w:hint="eastAsia" w:ascii="宋体" w:hAnsi="宋体"/>
                <w:color w:val="auto"/>
                <w:szCs w:val="21"/>
                <w:highlight w:val="none"/>
              </w:rPr>
              <w:t>）</w:t>
            </w:r>
          </w:p>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4、商务条款偏离表；（</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jc w:val="left"/>
              <w:rPr>
                <w:color w:val="auto"/>
                <w:highlight w:val="none"/>
              </w:rPr>
            </w:pPr>
            <w:r>
              <w:rPr>
                <w:rFonts w:hint="eastAsia"/>
                <w:color w:val="auto"/>
                <w:highlight w:val="none"/>
              </w:rPr>
              <w:t>5、服务承诺；</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6、投标人情况介绍；（如有请提供）</w:t>
            </w:r>
          </w:p>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7、除招标文件规定必须提供以外，投标人认为需要提供的其他证明材料。（投标人根据“第二章 采购需求”及“第四章 评标方法及评标标准”提供有关证明材料）。</w:t>
            </w:r>
          </w:p>
          <w:p>
            <w:pPr>
              <w:snapToGrid w:val="0"/>
              <w:spacing w:line="380" w:lineRule="exact"/>
              <w:jc w:val="left"/>
              <w:rPr>
                <w:rFonts w:hint="eastAsia" w:ascii="宋体" w:hAnsi="宋体"/>
                <w:b/>
                <w:bCs/>
                <w:color w:val="auto"/>
                <w:szCs w:val="21"/>
                <w:highlight w:val="none"/>
              </w:rPr>
            </w:pPr>
            <w:r>
              <w:rPr>
                <w:rFonts w:hint="eastAsia" w:ascii="宋体" w:hAnsi="宋体"/>
                <w:b/>
                <w:bCs/>
                <w:color w:val="auto"/>
                <w:szCs w:val="21"/>
                <w:highlight w:val="none"/>
              </w:rPr>
              <w:t>注： 1.法定代表人授权委托书必须由法定代表人及委托代理人签字，并加盖投标人公章，否则作无效投标处理。</w:t>
            </w:r>
          </w:p>
          <w:p>
            <w:pPr>
              <w:snapToGrid w:val="0"/>
              <w:spacing w:line="380" w:lineRule="exact"/>
              <w:ind w:firstLine="422" w:firstLineChars="200"/>
              <w:jc w:val="left"/>
              <w:rPr>
                <w:rFonts w:hint="eastAsia" w:ascii="宋体" w:hAnsi="宋体" w:cs="Courier New"/>
                <w:b/>
                <w:color w:val="auto"/>
                <w:szCs w:val="21"/>
                <w:highlight w:val="none"/>
              </w:rPr>
            </w:pPr>
            <w:r>
              <w:rPr>
                <w:rFonts w:hint="eastAsia" w:ascii="宋体" w:hAnsi="宋体"/>
                <w:b/>
                <w:bCs/>
                <w:color w:val="auto"/>
                <w:szCs w:val="21"/>
                <w:highlight w:val="none"/>
              </w:rPr>
              <w:t>2.</w:t>
            </w:r>
            <w:r>
              <w:rPr>
                <w:rFonts w:hint="eastAsia" w:ascii="宋体" w:hAnsi="宋体"/>
                <w:color w:val="auto"/>
                <w:szCs w:val="21"/>
                <w:highlight w:val="none"/>
              </w:rPr>
              <w:t xml:space="preserve"> </w:t>
            </w:r>
            <w:r>
              <w:rPr>
                <w:rFonts w:hint="eastAsia" w:ascii="宋体" w:hAnsi="宋体"/>
                <w:b/>
                <w:bCs/>
                <w:color w:val="auto"/>
                <w:szCs w:val="21"/>
                <w:highlight w:val="none"/>
              </w:rPr>
              <w:t>以上标明“必须提供”的材料</w:t>
            </w:r>
            <w:r>
              <w:rPr>
                <w:rFonts w:hint="eastAsia" w:ascii="宋体" w:hAnsi="宋体" w:cs="宋体"/>
                <w:b/>
                <w:color w:val="auto"/>
                <w:szCs w:val="21"/>
                <w:highlight w:val="none"/>
              </w:rPr>
              <w:t>属于复印件的扫描件的</w:t>
            </w:r>
            <w:r>
              <w:rPr>
                <w:rFonts w:hint="eastAsia" w:ascii="宋体" w:hAnsi="宋体"/>
                <w:b/>
                <w:bCs/>
                <w:color w:val="auto"/>
                <w:szCs w:val="21"/>
                <w:highlight w:val="none"/>
              </w:rPr>
              <w:t>，必须加盖投标人电子公章，否则</w:t>
            </w:r>
            <w:r>
              <w:rPr>
                <w:rFonts w:hint="eastAsia" w:ascii="宋体" w:hAnsi="宋体" w:cs="Courier New"/>
                <w:b/>
                <w:color w:val="auto"/>
                <w:szCs w:val="21"/>
                <w:highlight w:val="none"/>
              </w:rPr>
              <w:t>作无效投标处理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vMerge w:val="restart"/>
            <w:tcBorders>
              <w:left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eastAsia" w:ascii="宋体" w:hAnsi="宋体" w:cs="Courier New"/>
                <w:color w:val="auto"/>
                <w:szCs w:val="21"/>
                <w:highlight w:val="none"/>
              </w:rPr>
            </w:pPr>
            <w:bookmarkStart w:id="59" w:name="_13.4"/>
            <w:bookmarkEnd w:id="59"/>
            <w:r>
              <w:rPr>
                <w:rFonts w:hint="eastAsia" w:ascii="宋体" w:hAnsi="宋体" w:cs="Courier New"/>
                <w:color w:val="auto"/>
                <w:szCs w:val="21"/>
                <w:highlight w:val="none"/>
              </w:rPr>
              <w:t>技术文件组成</w:t>
            </w:r>
          </w:p>
          <w:p>
            <w:pPr>
              <w:spacing w:line="380" w:lineRule="exact"/>
              <w:rPr>
                <w:rFonts w:hint="eastAsia" w:ascii="宋体" w:hAnsi="宋体"/>
                <w:color w:val="auto"/>
                <w:szCs w:val="21"/>
                <w:highlight w:val="none"/>
              </w:rPr>
            </w:pP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、服务需求、技术需求偏离表；（</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jc w:val="left"/>
              <w:rPr>
                <w:rFonts w:ascii="宋体" w:hAnsi="宋体"/>
                <w:color w:val="auto"/>
                <w:szCs w:val="21"/>
                <w:highlight w:val="none"/>
              </w:rPr>
            </w:pPr>
            <w:r>
              <w:rPr>
                <w:rFonts w:hint="eastAsia" w:ascii="宋体" w:hAnsi="宋体"/>
                <w:color w:val="auto"/>
                <w:szCs w:val="21"/>
                <w:highlight w:val="none"/>
              </w:rPr>
              <w:t>2、项目服务</w:t>
            </w:r>
            <w:r>
              <w:rPr>
                <w:rFonts w:hint="eastAsia" w:ascii="宋体" w:hAnsi="宋体"/>
                <w:bCs/>
                <w:color w:val="auto"/>
                <w:szCs w:val="21"/>
                <w:highlight w:val="none"/>
              </w:rPr>
              <w:t>方案</w:t>
            </w:r>
            <w:r>
              <w:rPr>
                <w:rFonts w:hint="eastAsia" w:ascii="宋体" w:hAnsi="宋体"/>
                <w:color w:val="auto"/>
                <w:szCs w:val="21"/>
                <w:highlight w:val="none"/>
              </w:rPr>
              <w:t>；（</w:t>
            </w:r>
            <w:r>
              <w:rPr>
                <w:rFonts w:hint="eastAsia" w:ascii="宋体" w:hAnsi="宋体"/>
                <w:b/>
                <w:color w:val="auto"/>
                <w:szCs w:val="21"/>
                <w:highlight w:val="none"/>
              </w:rPr>
              <w:t>必须提供，否则作无效投标处理</w:t>
            </w:r>
            <w:r>
              <w:rPr>
                <w:rFonts w:hint="eastAsia" w:ascii="宋体" w:hAnsi="宋体"/>
                <w:color w:val="auto"/>
                <w:szCs w:val="21"/>
                <w:highlight w:val="none"/>
              </w:rPr>
              <w:t>）</w:t>
            </w:r>
          </w:p>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3.对应采购需求的服务需求、商务条款提供的其他文件资料；（如有请提供）</w:t>
            </w:r>
          </w:p>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4.投标人认为需要提供的其他有关资料。</w:t>
            </w:r>
          </w:p>
          <w:p>
            <w:pPr>
              <w:snapToGrid w:val="0"/>
              <w:spacing w:line="380" w:lineRule="exact"/>
              <w:jc w:val="left"/>
              <w:rPr>
                <w:rFonts w:hint="eastAsia" w:ascii="宋体" w:hAnsi="宋体"/>
                <w:b/>
                <w:bCs/>
                <w:color w:val="auto"/>
                <w:szCs w:val="21"/>
                <w:highlight w:val="none"/>
              </w:rPr>
            </w:pPr>
            <w:r>
              <w:rPr>
                <w:rFonts w:hint="eastAsia" w:ascii="宋体" w:hAnsi="宋体"/>
                <w:b/>
                <w:bCs/>
                <w:color w:val="auto"/>
                <w:szCs w:val="21"/>
                <w:highlight w:val="none"/>
              </w:rPr>
              <w:t>注：以上标明“必须提供”的材料</w:t>
            </w:r>
            <w:r>
              <w:rPr>
                <w:rFonts w:hint="eastAsia" w:ascii="宋体" w:hAnsi="宋体" w:cs="宋体"/>
                <w:b/>
                <w:color w:val="auto"/>
                <w:szCs w:val="21"/>
                <w:highlight w:val="none"/>
              </w:rPr>
              <w:t>属于复印件的扫描件的</w:t>
            </w:r>
            <w:r>
              <w:rPr>
                <w:rFonts w:hint="eastAsia" w:ascii="宋体" w:hAnsi="宋体"/>
                <w:b/>
                <w:bCs/>
                <w:color w:val="auto"/>
                <w:szCs w:val="21"/>
                <w:highlight w:val="none"/>
              </w:rPr>
              <w:t>，必须加盖投标人电子公章，否则</w:t>
            </w:r>
            <w:r>
              <w:rPr>
                <w:rFonts w:hint="eastAsia" w:ascii="宋体" w:hAnsi="宋体" w:cs="Courier New"/>
                <w:b/>
                <w:color w:val="auto"/>
                <w:szCs w:val="21"/>
                <w:highlight w:val="none"/>
              </w:rPr>
              <w:t>作无效投标处理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vMerge w:val="continue"/>
            <w:tcBorders>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hint="eastAsia" w:ascii="宋体" w:hAnsi="宋体" w:cs="Courier New"/>
                <w:color w:val="auto"/>
                <w:szCs w:val="21"/>
                <w:highlight w:val="none"/>
              </w:rPr>
            </w:pPr>
            <w:r>
              <w:rPr>
                <w:rFonts w:hint="eastAsia" w:ascii="宋体" w:hAnsi="宋体" w:cs="Courier New"/>
                <w:color w:val="auto"/>
                <w:szCs w:val="21"/>
                <w:highlight w:val="none"/>
              </w:rPr>
              <w:t>报价文件</w:t>
            </w:r>
            <w:r>
              <w:rPr>
                <w:rFonts w:hint="eastAsia" w:ascii="宋体" w:hAnsi="宋体"/>
                <w:color w:val="auto"/>
                <w:szCs w:val="21"/>
                <w:highlight w:val="none"/>
              </w:rPr>
              <w:t>组成</w:t>
            </w:r>
          </w:p>
        </w:tc>
        <w:tc>
          <w:tcPr>
            <w:tcW w:w="7065" w:type="dxa"/>
            <w:tcBorders>
              <w:top w:val="single" w:color="auto" w:sz="4" w:space="0"/>
              <w:left w:val="single" w:color="auto" w:sz="4" w:space="0"/>
              <w:bottom w:val="single" w:color="auto" w:sz="4" w:space="0"/>
              <w:right w:val="single" w:color="auto" w:sz="4" w:space="0"/>
            </w:tcBorders>
            <w:vAlign w:val="center"/>
          </w:tcPr>
          <w:p>
            <w:pPr>
              <w:tabs>
                <w:tab w:val="left" w:pos="459"/>
              </w:tabs>
              <w:snapToGrid w:val="0"/>
              <w:spacing w:line="380" w:lineRule="exact"/>
              <w:jc w:val="left"/>
              <w:rPr>
                <w:rFonts w:hint="eastAsia"/>
                <w:color w:val="auto"/>
                <w:highlight w:val="none"/>
              </w:rPr>
            </w:pPr>
            <w:r>
              <w:rPr>
                <w:rFonts w:hint="eastAsia"/>
                <w:color w:val="auto"/>
                <w:highlight w:val="none"/>
              </w:rPr>
              <w:t>1、投标函；</w:t>
            </w:r>
            <w:r>
              <w:rPr>
                <w:rFonts w:hint="eastAsia"/>
                <w:b/>
                <w:bCs/>
                <w:color w:val="auto"/>
                <w:highlight w:val="none"/>
              </w:rPr>
              <w:t>（必须提供，否则作无效投标处理）</w:t>
            </w:r>
          </w:p>
          <w:p>
            <w:pPr>
              <w:tabs>
                <w:tab w:val="left" w:pos="459"/>
              </w:tabs>
              <w:snapToGrid w:val="0"/>
              <w:spacing w:line="380" w:lineRule="exact"/>
              <w:jc w:val="left"/>
              <w:rPr>
                <w:rFonts w:hint="eastAsia"/>
                <w:b/>
                <w:bCs/>
                <w:color w:val="auto"/>
                <w:highlight w:val="none"/>
              </w:rPr>
            </w:pPr>
            <w:r>
              <w:rPr>
                <w:rFonts w:hint="eastAsia"/>
                <w:color w:val="auto"/>
                <w:highlight w:val="none"/>
              </w:rPr>
              <w:t>2、开标一览表；</w:t>
            </w:r>
            <w:r>
              <w:rPr>
                <w:rFonts w:hint="eastAsia"/>
                <w:b/>
                <w:bCs/>
                <w:color w:val="auto"/>
                <w:highlight w:val="none"/>
              </w:rPr>
              <w:t>（必须提供，否则作无效投标处理）</w:t>
            </w:r>
          </w:p>
          <w:p>
            <w:pPr>
              <w:tabs>
                <w:tab w:val="left" w:pos="459"/>
              </w:tabs>
              <w:snapToGrid w:val="0"/>
              <w:spacing w:line="380" w:lineRule="exact"/>
              <w:jc w:val="left"/>
              <w:rPr>
                <w:rFonts w:hint="eastAsia"/>
                <w:color w:val="auto"/>
                <w:highlight w:val="none"/>
              </w:rPr>
            </w:pPr>
            <w:r>
              <w:rPr>
                <w:rFonts w:hint="eastAsia"/>
                <w:color w:val="auto"/>
                <w:highlight w:val="none"/>
              </w:rPr>
              <w:t>3、投标人针对报价需要说明的其他文件和说明。（如有请提供）</w:t>
            </w:r>
          </w:p>
          <w:p>
            <w:pPr>
              <w:tabs>
                <w:tab w:val="left" w:pos="459"/>
              </w:tabs>
              <w:snapToGrid w:val="0"/>
              <w:spacing w:line="380" w:lineRule="exact"/>
              <w:jc w:val="left"/>
              <w:rPr>
                <w:rFonts w:hint="eastAsia"/>
                <w:color w:val="auto"/>
                <w:highlight w:val="none"/>
              </w:rPr>
            </w:pPr>
            <w:r>
              <w:rPr>
                <w:rFonts w:hint="eastAsia"/>
                <w:color w:val="auto"/>
                <w:highlight w:val="none"/>
              </w:rPr>
              <w:t>注：以上标明“必须提供”的材料属于复印件的扫描件的，必须加盖投标人电子公章，否则作无效投标处理。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16.2</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bookmarkStart w:id="60" w:name="_16.2"/>
            <w:bookmarkEnd w:id="60"/>
            <w:r>
              <w:rPr>
                <w:rFonts w:hint="eastAsia" w:ascii="宋体" w:hAnsi="宋体"/>
                <w:color w:val="auto"/>
                <w:szCs w:val="21"/>
                <w:highlight w:val="none"/>
              </w:rPr>
              <w:t>投标报价要求</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b/>
                <w:color w:val="auto"/>
                <w:szCs w:val="21"/>
                <w:highlight w:val="none"/>
              </w:rPr>
            </w:pPr>
            <w:r>
              <w:rPr>
                <w:rFonts w:hint="eastAsia" w:ascii="宋体" w:hAnsi="宋体"/>
                <w:color w:val="auto"/>
                <w:szCs w:val="21"/>
                <w:highlight w:val="none"/>
              </w:rPr>
              <w:t>投标报价是履行合同的最终价格，</w:t>
            </w:r>
            <w:r>
              <w:rPr>
                <w:rFonts w:hint="eastAsia" w:ascii="宋体" w:hAnsi="宋体" w:cs="宋体"/>
                <w:color w:val="auto"/>
                <w:szCs w:val="21"/>
                <w:highlight w:val="none"/>
              </w:rPr>
              <w:t>必须包含满足本次投标全部采购需求所应提供的服务，以及伴随的货物和工程（如有）的价格；包含投标服务、货物、工程的成本、运输（含保险）、安装（如有）、调试、检验、技术服务、培训、税费等所有费用。（采购需求另有约定的，从其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17.</w:t>
            </w:r>
            <w:r>
              <w:rPr>
                <w:rFonts w:ascii="宋体" w:hAnsi="宋体"/>
                <w:color w:val="auto"/>
                <w:szCs w:val="21"/>
                <w:highlight w:val="none"/>
              </w:rPr>
              <w:t>2</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bookmarkStart w:id="61" w:name="_17.1"/>
            <w:bookmarkEnd w:id="61"/>
            <w:r>
              <w:rPr>
                <w:rFonts w:hint="eastAsia" w:ascii="宋体" w:hAnsi="宋体"/>
                <w:color w:val="auto"/>
                <w:szCs w:val="21"/>
                <w:highlight w:val="none"/>
              </w:rPr>
              <w:t>投标有效期</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自投标截止之日起</w:t>
            </w:r>
            <w:r>
              <w:rPr>
                <w:rFonts w:hint="eastAsia" w:ascii="宋体" w:hAnsi="宋体"/>
                <w:color w:val="auto"/>
                <w:szCs w:val="21"/>
                <w:highlight w:val="none"/>
                <w:u w:val="single"/>
              </w:rPr>
              <w:t>90</w:t>
            </w:r>
            <w:r>
              <w:rPr>
                <w:rFonts w:hint="eastAsia" w:ascii="宋体" w:hAns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18</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bookmarkStart w:id="62" w:name="_18"/>
            <w:bookmarkEnd w:id="62"/>
            <w:r>
              <w:rPr>
                <w:rFonts w:hint="eastAsia" w:ascii="宋体" w:hAnsi="宋体"/>
                <w:color w:val="auto"/>
                <w:szCs w:val="21"/>
                <w:highlight w:val="none"/>
              </w:rPr>
              <w:t>投标保证金金额</w:t>
            </w:r>
          </w:p>
        </w:tc>
        <w:tc>
          <w:tcPr>
            <w:tcW w:w="706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☑本项目收取投标保证金，具体规定如下：</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投标保证金</w:t>
            </w:r>
            <w:r>
              <w:rPr>
                <w:rFonts w:hint="eastAsia" w:ascii="宋体" w:hAnsi="宋体" w:cs="宋体"/>
                <w:color w:val="auto"/>
                <w:kern w:val="0"/>
                <w:szCs w:val="21"/>
                <w:highlight w:val="none"/>
              </w:rPr>
              <w:t>分标1：贰万元整（¥20000.00）；分标2：贰万元整（¥20000.00）</w:t>
            </w:r>
            <w:r>
              <w:rPr>
                <w:rFonts w:hint="eastAsia" w:ascii="宋体" w:hAnsi="宋体"/>
                <w:color w:val="auto"/>
                <w:szCs w:val="21"/>
                <w:highlight w:val="none"/>
              </w:rPr>
              <w:t>。</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投标保证金的交纳方式：投标人应于投标截止时间前将投标保证金从投标人账户以支票、汇票、本票或者银行、保险机构出具的保函等非现金形式交至以下账户。（投标人转账时，须在银行转账底单上备注项目标识如“【项目编号：</w:t>
            </w:r>
            <w:r>
              <w:rPr>
                <w:rFonts w:hint="eastAsia" w:ascii="宋体" w:hAnsi="宋体"/>
                <w:color w:val="auto"/>
                <w:szCs w:val="21"/>
                <w:highlight w:val="none"/>
                <w:lang w:eastAsia="zh-CN"/>
              </w:rPr>
              <w:t>GXZC2024-G3-000144-JGJD</w:t>
            </w:r>
            <w:r>
              <w:rPr>
                <w:rFonts w:hint="eastAsia" w:ascii="宋体" w:hAnsi="宋体"/>
                <w:color w:val="auto"/>
                <w:szCs w:val="21"/>
                <w:highlight w:val="none"/>
              </w:rPr>
              <w:t>-分标</w:t>
            </w:r>
            <w:r>
              <w:rPr>
                <w:rFonts w:hint="eastAsia" w:ascii="宋体" w:hAnsi="宋体"/>
                <w:color w:val="auto"/>
                <w:szCs w:val="21"/>
                <w:highlight w:val="none"/>
                <w:lang w:val="en-US" w:eastAsia="zh-CN"/>
              </w:rPr>
              <w:t>1、</w:t>
            </w:r>
            <w:r>
              <w:rPr>
                <w:rFonts w:hint="eastAsia" w:ascii="宋体" w:hAnsi="宋体"/>
                <w:color w:val="auto"/>
                <w:szCs w:val="21"/>
                <w:highlight w:val="none"/>
              </w:rPr>
              <w:t>分标</w:t>
            </w:r>
            <w:r>
              <w:rPr>
                <w:rFonts w:hint="eastAsia" w:ascii="宋体" w:hAnsi="宋体"/>
                <w:color w:val="auto"/>
                <w:szCs w:val="21"/>
                <w:highlight w:val="none"/>
                <w:lang w:val="en-US" w:eastAsia="zh-CN"/>
              </w:rPr>
              <w:t>2</w:t>
            </w:r>
            <w:r>
              <w:rPr>
                <w:rFonts w:hint="eastAsia" w:ascii="宋体" w:hAnsi="宋体"/>
                <w:color w:val="auto"/>
                <w:szCs w:val="21"/>
                <w:highlight w:val="none"/>
              </w:rPr>
              <w:t>】投标保证金”，时间以银行确认的到达专用账户时间为准。）。</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相关要求：</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1、投标保证金采用银行转账交纳方式的，在投标截止时间前交至采购代理机构指定账户并且到账，投标人应将银行转账底单的复印件作为投标保证金提交凭证，放置于商务技术文件中，否则投标无效。</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 xml:space="preserve">2、投标保证金采用支票、汇票、本票或者金融、担保机构出具的保函交纳方式的，投标人应将支票、汇票、本票或者金融、担保机构出具的保函的复印件作为投标保证金提交凭证，放置于商务技术文件中，否则投标无效。保函原件由投标人于提交投标文件截止时间前1个小时递交到采购人或者采购代理机构，由采购人或者采购代理机构向投标人出具回执，并妥善保管。 </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3、投标保证金指定帐户：</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 xml:space="preserve">开户名称： 广西建设工程机电设备招标中心有限公司 </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开户银行： 招商银行南宁分行营业部</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账    号： 7719  0142  3310  201；</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 xml:space="preserve">备注： </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1、投标保证金在投标截止时间后提交的，或者不按规定交纳方式交纳的，或者未足额交纳的（包含保函额度不足的），视为无效投标保证金。</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2、投标人采用现钞方式或者从个人账户（自然人投标除外）转出的投标保证金，视为无效投标保证金。</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3、支票、汇票或者本票出现无效或者背书情形的，视为无效投标保证金。</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4、保函有效期低于投标有效期的，视为无效投标保证金。</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5、采用金融、担保机构出具保函的，必须为无条件保函，否则视为无效投标保证金。</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6.政采云平台暂未支持电子保函功能，故本项目暂不接受电子保函形式的保证金。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19.1</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投标文件编制要求</w:t>
            </w:r>
          </w:p>
        </w:tc>
        <w:tc>
          <w:tcPr>
            <w:tcW w:w="706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b/>
                <w:color w:val="auto"/>
                <w:szCs w:val="21"/>
                <w:highlight w:val="none"/>
                <w:u w:val="single"/>
              </w:rPr>
            </w:pPr>
            <w:r>
              <w:rPr>
                <w:rFonts w:hint="eastAsia" w:hAnsi="宋体"/>
                <w:color w:val="auto"/>
                <w:szCs w:val="21"/>
                <w:highlight w:val="none"/>
              </w:rPr>
              <w:t>投标文件应按报价文件、资格证明文件、商务文件、技术文件分别编制，报价文件、资格证明文件分别生产电子文件，商务文件和技术文件按顺序合并生成电子文件。</w:t>
            </w:r>
            <w:r>
              <w:rPr>
                <w:rFonts w:hint="eastAsia" w:ascii="宋体" w:hAnsi="宋体"/>
                <w:b/>
                <w:color w:val="auto"/>
                <w:szCs w:val="21"/>
                <w:highlight w:val="none"/>
                <w:u w:val="single"/>
              </w:rPr>
              <w:t>电子版投标文件制作方式见招标公告附件。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备份投标文件</w:t>
            </w:r>
          </w:p>
        </w:tc>
        <w:tc>
          <w:tcPr>
            <w:tcW w:w="706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本项目不接受备份投标文件。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50" w:type="dxa"/>
            <w:vMerge w:val="restart"/>
            <w:tcBorders>
              <w:top w:val="single" w:color="auto" w:sz="4" w:space="0"/>
              <w:left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21.1</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bookmarkStart w:id="63" w:name="_21.1"/>
            <w:bookmarkEnd w:id="63"/>
            <w:r>
              <w:rPr>
                <w:rFonts w:hint="eastAsia" w:ascii="宋体" w:hAnsi="宋体"/>
                <w:color w:val="auto"/>
                <w:szCs w:val="21"/>
                <w:highlight w:val="none"/>
              </w:rPr>
              <w:t>投标截止时间</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u w:val="single"/>
              </w:rPr>
            </w:pPr>
            <w:r>
              <w:rPr>
                <w:rFonts w:hint="eastAsia" w:ascii="宋体" w:hAnsi="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50" w:type="dxa"/>
            <w:vMerge w:val="continue"/>
            <w:tcBorders>
              <w:left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投标文件提交起止时间</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50" w:type="dxa"/>
            <w:vMerge w:val="continue"/>
            <w:tcBorders>
              <w:left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投标地点</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850" w:type="dxa"/>
            <w:vMerge w:val="continue"/>
            <w:tcBorders>
              <w:left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投标人递交投标样品截止时间及地点</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bCs/>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23</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bookmarkStart w:id="64" w:name="_23"/>
            <w:bookmarkEnd w:id="64"/>
            <w:r>
              <w:rPr>
                <w:rFonts w:hint="eastAsia" w:ascii="宋体" w:hAnsi="宋体"/>
                <w:color w:val="auto"/>
                <w:szCs w:val="21"/>
                <w:highlight w:val="none"/>
              </w:rPr>
              <w:t>开标时间、地点</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 w:hRule="atLeast"/>
        </w:trPr>
        <w:tc>
          <w:tcPr>
            <w:tcW w:w="850" w:type="dxa"/>
            <w:vMerge w:val="restart"/>
            <w:tcBorders>
              <w:top w:val="single" w:color="auto" w:sz="4" w:space="0"/>
              <w:left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25.3（2）</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bookmarkStart w:id="65" w:name="_25.3"/>
            <w:bookmarkEnd w:id="65"/>
            <w:r>
              <w:rPr>
                <w:rFonts w:hint="eastAsia" w:ascii="宋体" w:hAnsi="宋体"/>
                <w:color w:val="auto"/>
                <w:szCs w:val="21"/>
                <w:highlight w:val="none"/>
              </w:rPr>
              <w:t>投标人信用查询渠道</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采购人或者采购代理机构在资格审查结束前，对投标人进行信用查询。</w:t>
            </w:r>
          </w:p>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查询渠道：“信用中国”网站(www.creditchina.gov.cn) 、中国政府采购网(www.ccgp.gov.cn)。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850" w:type="dxa"/>
            <w:vMerge w:val="continue"/>
            <w:tcBorders>
              <w:left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信用查询截止时点</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资格审查结束前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850" w:type="dxa"/>
            <w:vMerge w:val="continue"/>
            <w:tcBorders>
              <w:left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查询记录和证据留存方式</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在查询网站中直接打印查询记录，打印材料作为评审资料保存。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50" w:type="dxa"/>
            <w:vMerge w:val="continue"/>
            <w:tcBorders>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信用信息使用规则</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Pr>
                <w:rFonts w:hint="eastAsia"/>
                <w:color w:val="auto"/>
                <w:sz w:val="22"/>
                <w:szCs w:val="22"/>
                <w:highlight w:val="none"/>
              </w:rPr>
              <w:t>应当拒绝其参与政府采购活动</w:t>
            </w:r>
            <w:r>
              <w:rPr>
                <w:rFonts w:hint="eastAsia" w:ascii="宋体" w:hAnsi="宋体"/>
                <w:color w:val="auto"/>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ascii="宋体" w:hAnsi="宋体"/>
                <w:color w:val="auto"/>
                <w:szCs w:val="21"/>
                <w:highlight w:val="none"/>
              </w:rPr>
              <w:t>29.1</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bookmarkStart w:id="66" w:name="_28.3"/>
            <w:bookmarkEnd w:id="66"/>
            <w:bookmarkStart w:id="67" w:name="_26"/>
            <w:bookmarkEnd w:id="67"/>
            <w:r>
              <w:rPr>
                <w:rFonts w:hint="eastAsia" w:ascii="宋体" w:hAnsi="宋体"/>
                <w:color w:val="auto"/>
                <w:szCs w:val="21"/>
                <w:highlight w:val="none"/>
              </w:rPr>
              <w:t>评标方法</w:t>
            </w:r>
          </w:p>
        </w:tc>
        <w:tc>
          <w:tcPr>
            <w:tcW w:w="7065" w:type="dxa"/>
            <w:tcBorders>
              <w:top w:val="single" w:color="auto" w:sz="4" w:space="0"/>
              <w:left w:val="single" w:color="auto" w:sz="4" w:space="0"/>
              <w:bottom w:val="single" w:color="auto" w:sz="4" w:space="0"/>
              <w:right w:val="single" w:color="auto" w:sz="4" w:space="0"/>
            </w:tcBorders>
            <w:vAlign w:val="center"/>
          </w:tcPr>
          <w:p>
            <w:pPr>
              <w:rPr>
                <w:rFonts w:hint="eastAsia"/>
                <w:color w:val="auto"/>
                <w:highlight w:val="none"/>
              </w:rPr>
            </w:pPr>
            <w:r>
              <w:rPr>
                <w:rFonts w:hint="eastAsia" w:ascii="MS Mincho" w:hAnsi="MS Mincho" w:eastAsia="MS Mincho" w:cs="MS Mincho"/>
                <w:color w:val="auto"/>
                <w:highlight w:val="none"/>
              </w:rPr>
              <w:t>☑</w:t>
            </w:r>
            <w:r>
              <w:rPr>
                <w:rFonts w:hint="eastAsia" w:ascii="宋体" w:hAnsi="宋体"/>
                <w:color w:val="auto"/>
                <w:szCs w:val="21"/>
                <w:highlight w:val="none"/>
              </w:rPr>
              <w:t>综合评分法</w:t>
            </w:r>
          </w:p>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850" w:type="dxa"/>
            <w:tcBorders>
              <w:top w:val="single" w:color="auto" w:sz="4" w:space="0"/>
              <w:left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29</w:t>
            </w:r>
            <w:r>
              <w:rPr>
                <w:rFonts w:ascii="宋体" w:hAnsi="宋体"/>
                <w:color w:val="auto"/>
                <w:szCs w:val="21"/>
                <w:highlight w:val="none"/>
              </w:rPr>
              <w:t>.2</w:t>
            </w:r>
          </w:p>
        </w:tc>
        <w:tc>
          <w:tcPr>
            <w:tcW w:w="2325" w:type="dxa"/>
            <w:tcBorders>
              <w:top w:val="single" w:color="auto" w:sz="4" w:space="0"/>
              <w:left w:val="single" w:color="auto" w:sz="4" w:space="0"/>
              <w:right w:val="single" w:color="auto" w:sz="4" w:space="0"/>
            </w:tcBorders>
            <w:vAlign w:val="center"/>
          </w:tcPr>
          <w:p>
            <w:pPr>
              <w:snapToGrid w:val="0"/>
              <w:spacing w:line="380" w:lineRule="exact"/>
              <w:rPr>
                <w:rFonts w:hint="eastAsia"/>
                <w:color w:val="auto"/>
                <w:sz w:val="22"/>
                <w:szCs w:val="22"/>
                <w:highlight w:val="none"/>
              </w:rPr>
            </w:pPr>
            <w:bookmarkStart w:id="68" w:name="_29.2.2（2）"/>
            <w:bookmarkEnd w:id="68"/>
            <w:r>
              <w:rPr>
                <w:rFonts w:hint="eastAsia"/>
                <w:color w:val="auto"/>
                <w:sz w:val="22"/>
                <w:szCs w:val="22"/>
                <w:highlight w:val="none"/>
              </w:rPr>
              <w:t>允许负偏离项</w:t>
            </w:r>
          </w:p>
        </w:tc>
        <w:tc>
          <w:tcPr>
            <w:tcW w:w="7065" w:type="dxa"/>
            <w:tcBorders>
              <w:top w:val="single" w:color="auto" w:sz="4" w:space="0"/>
              <w:left w:val="single" w:color="auto" w:sz="4" w:space="0"/>
              <w:right w:val="single" w:color="auto" w:sz="4" w:space="0"/>
            </w:tcBorders>
            <w:vAlign w:val="center"/>
          </w:tcPr>
          <w:p>
            <w:pPr>
              <w:snapToGrid w:val="0"/>
              <w:spacing w:line="380" w:lineRule="exact"/>
              <w:rPr>
                <w:rFonts w:hint="eastAsia"/>
                <w:color w:val="auto"/>
                <w:sz w:val="22"/>
                <w:szCs w:val="22"/>
                <w:highlight w:val="none"/>
              </w:rPr>
            </w:pPr>
            <w:r>
              <w:rPr>
                <w:rFonts w:hint="eastAsia"/>
                <w:color w:val="auto"/>
                <w:sz w:val="22"/>
                <w:szCs w:val="22"/>
                <w:highlight w:val="none"/>
              </w:rPr>
              <w:t>商务条款评审中允许负偏离的条款数为 0 项。</w:t>
            </w:r>
          </w:p>
          <w:p>
            <w:pPr>
              <w:snapToGrid w:val="0"/>
              <w:spacing w:line="380" w:lineRule="exact"/>
              <w:rPr>
                <w:rFonts w:hint="eastAsia"/>
                <w:color w:val="auto"/>
                <w:sz w:val="22"/>
                <w:szCs w:val="22"/>
                <w:highlight w:val="none"/>
              </w:rPr>
            </w:pPr>
            <w:r>
              <w:rPr>
                <w:rFonts w:hint="eastAsia"/>
                <w:color w:val="auto"/>
                <w:sz w:val="22"/>
                <w:szCs w:val="22"/>
                <w:highlight w:val="none"/>
              </w:rPr>
              <w:t>技术需求评审中允许负偏离的条款数为</w:t>
            </w:r>
            <w:r>
              <w:rPr>
                <w:rFonts w:hint="eastAsia"/>
                <w:color w:val="auto"/>
                <w:sz w:val="22"/>
                <w:szCs w:val="22"/>
                <w:highlight w:val="none"/>
                <w:u w:val="single"/>
              </w:rPr>
              <w:t xml:space="preserve"> 0</w:t>
            </w:r>
            <w:r>
              <w:rPr>
                <w:rFonts w:hint="eastAsia"/>
                <w:color w:val="auto"/>
                <w:sz w:val="22"/>
                <w:szCs w:val="22"/>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30</w:t>
            </w:r>
            <w:r>
              <w:rPr>
                <w:rFonts w:ascii="宋体" w:hAnsi="宋体"/>
                <w:color w:val="auto"/>
                <w:szCs w:val="21"/>
                <w:highlight w:val="none"/>
              </w:rPr>
              <w:t>.1</w:t>
            </w:r>
          </w:p>
        </w:tc>
        <w:tc>
          <w:tcPr>
            <w:tcW w:w="232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 xml:space="preserve">确定中标人时，出现中标候选人分数并列的情形，确定中标人方式 </w:t>
            </w:r>
          </w:p>
        </w:tc>
        <w:tc>
          <w:tcPr>
            <w:tcW w:w="706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 xml:space="preserve">□采用最低评标价法的，投标文件满足招标文件全部实质性要求且投标报价最低的投标人为排名第一的中标候选人； </w:t>
            </w:r>
          </w:p>
          <w:p>
            <w:pPr>
              <w:rPr>
                <w:rFonts w:hint="eastAsia"/>
                <w:color w:val="auto"/>
                <w:highlight w:val="none"/>
              </w:rPr>
            </w:pPr>
            <w:r>
              <w:rPr>
                <w:rFonts w:hint="eastAsia" w:ascii="MS Mincho" w:hAnsi="MS Mincho" w:eastAsia="MS Mincho" w:cs="MS Mincho"/>
                <w:color w:val="auto"/>
                <w:highlight w:val="none"/>
              </w:rPr>
              <w:t>☑</w:t>
            </w:r>
            <w:r>
              <w:rPr>
                <w:rFonts w:hint="eastAsia" w:ascii="宋体" w:hAnsi="宋体"/>
                <w:color w:val="auto"/>
                <w:szCs w:val="21"/>
                <w:highlight w:val="none"/>
              </w:rPr>
              <w:t>采用综合评分法的，投标文件满足招标文件全部实质性要求，且按照技术评审得分最高的投标人为排名第一的中标候选人。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35</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bookmarkStart w:id="69" w:name="_39.1"/>
            <w:bookmarkEnd w:id="69"/>
            <w:r>
              <w:rPr>
                <w:rFonts w:hint="eastAsia" w:ascii="宋体" w:hAnsi="宋体"/>
                <w:color w:val="auto"/>
                <w:szCs w:val="21"/>
                <w:highlight w:val="none"/>
              </w:rPr>
              <w:t>履约保证金金额</w:t>
            </w:r>
          </w:p>
        </w:tc>
        <w:tc>
          <w:tcPr>
            <w:tcW w:w="7065" w:type="dxa"/>
            <w:tcBorders>
              <w:top w:val="single" w:color="auto" w:sz="4" w:space="0"/>
              <w:left w:val="single" w:color="auto" w:sz="4" w:space="0"/>
              <w:bottom w:val="single" w:color="auto" w:sz="4" w:space="0"/>
              <w:right w:val="single" w:color="auto" w:sz="4" w:space="0"/>
            </w:tcBorders>
            <w:vAlign w:val="bottom"/>
          </w:tcPr>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履约保证金金额：不收取。</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履约保证金递交方式：银行转账、支票、汇票、本票或者金融、担保机构出具的保函等非现金方式。</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履约保证金退还时间：合同期满且</w:t>
            </w:r>
            <w:r>
              <w:rPr>
                <w:rFonts w:hint="eastAsia" w:ascii="宋体" w:hAnsi="宋体"/>
                <w:color w:val="auto"/>
                <w:szCs w:val="21"/>
                <w:highlight w:val="none"/>
                <w:lang w:eastAsia="zh-CN"/>
              </w:rPr>
              <w:t>中标人</w:t>
            </w:r>
            <w:r>
              <w:rPr>
                <w:rFonts w:hint="eastAsia" w:ascii="宋体" w:hAnsi="宋体"/>
                <w:color w:val="auto"/>
                <w:szCs w:val="21"/>
                <w:highlight w:val="none"/>
              </w:rPr>
              <w:t>在服务期间无违约情况下；履约保证金由采购人一次性退回</w:t>
            </w:r>
            <w:r>
              <w:rPr>
                <w:rFonts w:hint="eastAsia" w:ascii="宋体" w:hAnsi="宋体"/>
                <w:color w:val="auto"/>
                <w:szCs w:val="21"/>
                <w:highlight w:val="none"/>
                <w:lang w:eastAsia="zh-CN"/>
              </w:rPr>
              <w:t>中标人</w:t>
            </w:r>
            <w:r>
              <w:rPr>
                <w:rFonts w:hint="eastAsia" w:ascii="宋体" w:hAnsi="宋体"/>
                <w:color w:val="auto"/>
                <w:szCs w:val="21"/>
                <w:highlight w:val="none"/>
              </w:rPr>
              <w:t>指定银行账户。如</w:t>
            </w:r>
            <w:r>
              <w:rPr>
                <w:rFonts w:hint="eastAsia" w:ascii="宋体" w:hAnsi="宋体"/>
                <w:color w:val="auto"/>
                <w:szCs w:val="21"/>
                <w:highlight w:val="none"/>
                <w:lang w:eastAsia="zh-CN"/>
              </w:rPr>
              <w:t>中标人</w:t>
            </w:r>
            <w:r>
              <w:rPr>
                <w:rFonts w:hint="eastAsia" w:ascii="宋体" w:hAnsi="宋体"/>
                <w:color w:val="auto"/>
                <w:szCs w:val="21"/>
                <w:highlight w:val="none"/>
              </w:rPr>
              <w:t>不按双方签订的合同规定履约的，则扣除相应的罚金后剩余部分一次性退回</w:t>
            </w:r>
            <w:r>
              <w:rPr>
                <w:rFonts w:hint="eastAsia" w:ascii="宋体" w:hAnsi="宋体"/>
                <w:color w:val="auto"/>
                <w:szCs w:val="21"/>
                <w:highlight w:val="none"/>
                <w:lang w:eastAsia="zh-CN"/>
              </w:rPr>
              <w:t>中标人</w:t>
            </w:r>
            <w:r>
              <w:rPr>
                <w:rFonts w:hint="eastAsia" w:ascii="宋体" w:hAnsi="宋体"/>
                <w:color w:val="auto"/>
                <w:szCs w:val="21"/>
                <w:highlight w:val="none"/>
              </w:rPr>
              <w:t>指定银行账户。</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履约保证金指定账户：</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户名：广西医科大学</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账号：622357485287</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开户银行：中行南宁市医科大支行（上级支行：中行南宁市青秀支行）</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行联号：104611010332</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备注：</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1 、根据桂财规〔2022〕8 号 广西壮族自治区财政厅关于规范政府采购货物和服务项目 保证金管理的通知规定，鼓励采购人在与中小微企业签订政府采购合同时，减少或免于收取履约保证金，有必要收取履约保证金的，收取的履约保证金不得超过政府采购合同金额的5%。</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2 、履约保证金不足额缴纳的（包含保函额度不足的），或者不按规定提交方式提交的， 或者保函有效期低于合同履行期限（即合同中规定的当事人履行自己的义务，如交付标的物、价款或者报酬，履行劳务、完成工作的时间界限）的，不予签订合同。</w:t>
            </w:r>
          </w:p>
          <w:p>
            <w:pPr>
              <w:autoSpaceDE w:val="0"/>
              <w:autoSpaceDN w:val="0"/>
              <w:snapToGrid w:val="0"/>
              <w:spacing w:line="380" w:lineRule="exact"/>
              <w:jc w:val="left"/>
              <w:textAlignment w:val="bottom"/>
              <w:rPr>
                <w:rFonts w:hint="eastAsia" w:ascii="宋体" w:hAnsi="宋体"/>
                <w:color w:val="auto"/>
                <w:szCs w:val="21"/>
                <w:highlight w:val="none"/>
              </w:rPr>
            </w:pPr>
            <w:r>
              <w:rPr>
                <w:rFonts w:hint="eastAsia" w:ascii="宋体" w:hAnsi="宋体"/>
                <w:color w:val="auto"/>
                <w:szCs w:val="21"/>
                <w:highlight w:val="none"/>
              </w:rPr>
              <w:t>3 、采用金融、担保机构出具的保函的，必须为无条件保函，否则不予签订合同。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36.1</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bookmarkStart w:id="70" w:name="_40.1"/>
            <w:bookmarkEnd w:id="70"/>
            <w:r>
              <w:rPr>
                <w:rFonts w:hint="eastAsia" w:ascii="宋体" w:hAnsi="宋体"/>
                <w:color w:val="auto"/>
                <w:szCs w:val="21"/>
                <w:highlight w:val="none"/>
              </w:rPr>
              <w:t>签订电子合同携带的材料</w:t>
            </w:r>
          </w:p>
        </w:tc>
        <w:tc>
          <w:tcPr>
            <w:tcW w:w="706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80" w:lineRule="exact"/>
              <w:textAlignment w:val="bottom"/>
              <w:rPr>
                <w:rFonts w:hint="eastAsia" w:ascii="宋体" w:hAnsi="宋体"/>
                <w:color w:val="auto"/>
                <w:szCs w:val="21"/>
                <w:highlight w:val="none"/>
              </w:rPr>
            </w:pPr>
            <w:r>
              <w:rPr>
                <w:rFonts w:hint="eastAsia" w:ascii="宋体" w:hAnsi="宋体"/>
                <w:color w:val="auto"/>
                <w:szCs w:val="21"/>
                <w:highlight w:val="none"/>
              </w:rPr>
              <w:t>电子采购合同需要供应商通过有效CA证书进行电子签名与签章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850" w:type="dxa"/>
            <w:vMerge w:val="restart"/>
            <w:tcBorders>
              <w:top w:val="single" w:color="auto" w:sz="4" w:space="0"/>
              <w:left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8.2</w:t>
            </w:r>
            <w:r>
              <w:rPr>
                <w:rFonts w:hint="eastAsia" w:ascii="宋体" w:hAnsi="宋体"/>
                <w:color w:val="auto"/>
                <w:szCs w:val="21"/>
                <w:highlight w:val="none"/>
              </w:rPr>
              <w:t>.1</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接收质疑函方式</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以书面形式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850" w:type="dxa"/>
            <w:vMerge w:val="continue"/>
            <w:tcBorders>
              <w:left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质疑联系部门及联系方式</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bookmarkStart w:id="71" w:name="PO_3000001866_PM031_3"/>
            <w:r>
              <w:rPr>
                <w:rFonts w:hint="eastAsia" w:ascii="宋体" w:hAnsi="宋体"/>
                <w:color w:val="auto"/>
                <w:szCs w:val="21"/>
                <w:highlight w:val="none"/>
              </w:rPr>
              <w:t>广西建设工程机电设备招标中心有限公司</w:t>
            </w:r>
            <w:bookmarkEnd w:id="71"/>
            <w:r>
              <w:rPr>
                <w:rFonts w:hint="eastAsia" w:ascii="宋体" w:hAnsi="宋体"/>
                <w:color w:val="auto"/>
                <w:szCs w:val="21"/>
                <w:highlight w:val="none"/>
              </w:rPr>
              <w:t>；</w:t>
            </w:r>
          </w:p>
          <w:p>
            <w:pPr>
              <w:snapToGrid w:val="0"/>
              <w:spacing w:line="380" w:lineRule="exact"/>
              <w:rPr>
                <w:rFonts w:hint="eastAsia" w:ascii="宋体" w:hAnsi="宋体"/>
                <w:color w:val="auto"/>
                <w:szCs w:val="21"/>
                <w:highlight w:val="none"/>
              </w:rPr>
            </w:pPr>
            <w:r>
              <w:rPr>
                <w:rFonts w:ascii="宋体" w:hAnsi="宋体"/>
                <w:color w:val="auto"/>
                <w:szCs w:val="21"/>
                <w:highlight w:val="none"/>
              </w:rPr>
              <w:t>联系电话</w:t>
            </w:r>
            <w:r>
              <w:rPr>
                <w:rFonts w:hint="eastAsia" w:ascii="宋体" w:hAnsi="宋体"/>
                <w:color w:val="auto"/>
                <w:szCs w:val="21"/>
                <w:highlight w:val="none"/>
              </w:rPr>
              <w:t>：0771-2869912，</w:t>
            </w:r>
          </w:p>
          <w:p>
            <w:pPr>
              <w:snapToGrid w:val="0"/>
              <w:spacing w:line="380" w:lineRule="exact"/>
              <w:rPr>
                <w:rFonts w:ascii="宋体" w:hAnsi="宋体"/>
                <w:color w:val="auto"/>
                <w:szCs w:val="21"/>
                <w:highlight w:val="none"/>
              </w:rPr>
            </w:pPr>
            <w:r>
              <w:rPr>
                <w:rFonts w:ascii="宋体" w:hAnsi="宋体"/>
                <w:color w:val="auto"/>
                <w:szCs w:val="21"/>
                <w:highlight w:val="none"/>
              </w:rPr>
              <w:t>通讯地址</w:t>
            </w:r>
            <w:r>
              <w:rPr>
                <w:rFonts w:hint="eastAsia" w:ascii="宋体" w:hAnsi="宋体" w:cs="Helvetica"/>
                <w:color w:val="auto"/>
                <w:szCs w:val="21"/>
                <w:highlight w:val="none"/>
              </w:rPr>
              <w:t>：</w:t>
            </w:r>
            <w:r>
              <w:rPr>
                <w:rFonts w:hint="eastAsia" w:ascii="宋体" w:hAnsi="宋体"/>
                <w:color w:val="auto"/>
                <w:szCs w:val="21"/>
                <w:highlight w:val="none"/>
              </w:rPr>
              <w:t>南宁市良庆区凯旋路15号绿地中心5号楼610室。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850" w:type="dxa"/>
            <w:vMerge w:val="continue"/>
            <w:tcBorders>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hAnsi="宋体"/>
                <w:color w:val="auto"/>
                <w:highlight w:val="none"/>
              </w:rPr>
              <w:t>现场提交质疑办理业务时间</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hAnsi="宋体"/>
                <w:color w:val="auto"/>
                <w:highlight w:val="none"/>
              </w:rPr>
              <w:t>质疑期内每个工作日</w:t>
            </w:r>
            <w:r>
              <w:rPr>
                <w:rFonts w:hint="eastAsia" w:hAnsi="宋体"/>
                <w:color w:val="auto"/>
                <w:highlight w:val="none"/>
                <w:u w:val="single"/>
              </w:rPr>
              <w:t>8</w:t>
            </w:r>
            <w:r>
              <w:rPr>
                <w:rFonts w:hint="eastAsia" w:hAnsi="宋体"/>
                <w:color w:val="auto"/>
                <w:highlight w:val="none"/>
              </w:rPr>
              <w:t>时</w:t>
            </w:r>
            <w:r>
              <w:rPr>
                <w:rFonts w:hint="eastAsia" w:hAnsi="宋体"/>
                <w:color w:val="auto"/>
                <w:highlight w:val="none"/>
                <w:u w:val="single"/>
              </w:rPr>
              <w:t>30</w:t>
            </w:r>
            <w:r>
              <w:rPr>
                <w:rFonts w:hint="eastAsia" w:hAnsi="宋体"/>
                <w:color w:val="auto"/>
                <w:highlight w:val="none"/>
              </w:rPr>
              <w:t>分到</w:t>
            </w:r>
            <w:r>
              <w:rPr>
                <w:rFonts w:hint="eastAsia" w:hAnsi="宋体"/>
                <w:color w:val="auto"/>
                <w:highlight w:val="none"/>
                <w:u w:val="single"/>
              </w:rPr>
              <w:t xml:space="preserve">12 </w:t>
            </w:r>
            <w:r>
              <w:rPr>
                <w:rFonts w:hint="eastAsia" w:hAnsi="宋体"/>
                <w:color w:val="auto"/>
                <w:highlight w:val="none"/>
              </w:rPr>
              <w:t>时</w:t>
            </w:r>
            <w:r>
              <w:rPr>
                <w:rFonts w:hint="eastAsia" w:hAnsi="宋体"/>
                <w:color w:val="auto"/>
                <w:highlight w:val="none"/>
                <w:u w:val="single"/>
              </w:rPr>
              <w:t xml:space="preserve"> 00</w:t>
            </w:r>
            <w:r>
              <w:rPr>
                <w:rFonts w:hint="eastAsia" w:hAnsi="宋体"/>
                <w:color w:val="auto"/>
                <w:highlight w:val="none"/>
              </w:rPr>
              <w:t>分，</w:t>
            </w:r>
            <w:r>
              <w:rPr>
                <w:rFonts w:hint="eastAsia" w:hAnsi="宋体"/>
                <w:color w:val="auto"/>
                <w:highlight w:val="none"/>
                <w:u w:val="single"/>
              </w:rPr>
              <w:t xml:space="preserve">15 </w:t>
            </w:r>
            <w:r>
              <w:rPr>
                <w:rFonts w:hint="eastAsia" w:hAnsi="宋体"/>
                <w:color w:val="auto"/>
                <w:highlight w:val="none"/>
              </w:rPr>
              <w:t>时</w:t>
            </w:r>
            <w:r>
              <w:rPr>
                <w:rFonts w:hint="eastAsia" w:hAnsi="宋体"/>
                <w:color w:val="auto"/>
                <w:highlight w:val="none"/>
                <w:u w:val="single"/>
              </w:rPr>
              <w:t>00</w:t>
            </w:r>
            <w:r>
              <w:rPr>
                <w:rFonts w:hint="eastAsia" w:hAnsi="宋体"/>
                <w:color w:val="auto"/>
                <w:highlight w:val="none"/>
              </w:rPr>
              <w:t>分到</w:t>
            </w:r>
            <w:r>
              <w:rPr>
                <w:rFonts w:hint="eastAsia" w:hAnsi="宋体"/>
                <w:color w:val="auto"/>
                <w:highlight w:val="none"/>
                <w:u w:val="single"/>
              </w:rPr>
              <w:t>18</w:t>
            </w:r>
            <w:r>
              <w:rPr>
                <w:rFonts w:hint="eastAsia" w:hAnsi="宋体"/>
                <w:color w:val="auto"/>
                <w:highlight w:val="none"/>
              </w:rPr>
              <w:t>时</w:t>
            </w:r>
            <w:r>
              <w:rPr>
                <w:rFonts w:hint="eastAsia" w:hAnsi="宋体"/>
                <w:color w:val="auto"/>
                <w:highlight w:val="none"/>
                <w:u w:val="single"/>
              </w:rPr>
              <w:t>00</w:t>
            </w:r>
            <w:r>
              <w:rPr>
                <w:rFonts w:hint="eastAsia" w:hAnsi="宋体"/>
                <w:color w:val="auto"/>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850" w:type="dxa"/>
            <w:tcBorders>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38.3.1</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hAnsi="宋体"/>
                <w:color w:val="auto"/>
                <w:highlight w:val="none"/>
              </w:rPr>
            </w:pPr>
            <w:r>
              <w:rPr>
                <w:rFonts w:hint="eastAsia" w:hAnsi="宋体"/>
                <w:color w:val="auto"/>
                <w:highlight w:val="none"/>
              </w:rPr>
              <w:t>投诉受理方式</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hAnsi="宋体"/>
                <w:color w:val="auto"/>
                <w:highlight w:val="none"/>
              </w:rPr>
            </w:pPr>
            <w:r>
              <w:rPr>
                <w:rFonts w:hint="eastAsia" w:hAnsi="宋体"/>
                <w:color w:val="auto"/>
                <w:highlight w:val="none"/>
              </w:rPr>
              <w:t>1、受理方式：纸质方式受理，投诉书正、副本（经过质疑的事项才可投诉）。</w:t>
            </w:r>
          </w:p>
          <w:p>
            <w:pPr>
              <w:snapToGrid w:val="0"/>
              <w:spacing w:line="380" w:lineRule="exact"/>
              <w:rPr>
                <w:rFonts w:hint="eastAsia" w:hAnsi="宋体"/>
                <w:color w:val="auto"/>
                <w:highlight w:val="none"/>
              </w:rPr>
            </w:pPr>
            <w:r>
              <w:rPr>
                <w:rFonts w:hint="eastAsia" w:hAnsi="宋体"/>
                <w:color w:val="auto"/>
                <w:highlight w:val="none"/>
              </w:rPr>
              <w:t>2、邮寄地址：</w:t>
            </w:r>
          </w:p>
          <w:p>
            <w:pPr>
              <w:snapToGrid w:val="0"/>
              <w:spacing w:line="380" w:lineRule="exact"/>
              <w:rPr>
                <w:rFonts w:ascii="宋体" w:hAnsi="宋体"/>
                <w:color w:val="auto"/>
                <w:highlight w:val="none"/>
              </w:rPr>
            </w:pPr>
            <w:r>
              <w:rPr>
                <w:rFonts w:hint="eastAsia" w:ascii="宋体" w:hAnsi="宋体"/>
                <w:color w:val="auto"/>
                <w:highlight w:val="none"/>
              </w:rPr>
              <w:t>名称：广西壮族自治区财政厅政府采购监督管理处</w:t>
            </w:r>
          </w:p>
          <w:p>
            <w:pPr>
              <w:snapToGrid w:val="0"/>
              <w:spacing w:line="380" w:lineRule="exact"/>
              <w:rPr>
                <w:rFonts w:hint="eastAsia" w:ascii="宋体" w:hAnsi="宋体"/>
                <w:color w:val="auto"/>
                <w:highlight w:val="none"/>
              </w:rPr>
            </w:pPr>
            <w:r>
              <w:rPr>
                <w:rFonts w:hint="eastAsia" w:ascii="宋体" w:hAnsi="宋体"/>
                <w:color w:val="auto"/>
                <w:highlight w:val="none"/>
              </w:rPr>
              <w:t>地址：南宁市桃源路69号  </w:t>
            </w:r>
          </w:p>
          <w:p>
            <w:pPr>
              <w:snapToGrid w:val="0"/>
              <w:spacing w:line="380" w:lineRule="exact"/>
              <w:rPr>
                <w:rFonts w:hint="eastAsia"/>
                <w:color w:val="auto"/>
                <w:highlight w:val="none"/>
              </w:rPr>
            </w:pPr>
            <w:r>
              <w:rPr>
                <w:rFonts w:hint="eastAsia" w:ascii="宋体" w:hAnsi="宋体"/>
                <w:color w:val="auto"/>
                <w:highlight w:val="none"/>
              </w:rPr>
              <w:t>联系电话： 0771-5331544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850" w:type="dxa"/>
            <w:vMerge w:val="restart"/>
            <w:tcBorders>
              <w:top w:val="single" w:color="auto" w:sz="4" w:space="0"/>
              <w:left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ascii="宋体" w:hAnsi="宋体"/>
                <w:color w:val="auto"/>
                <w:szCs w:val="21"/>
                <w:highlight w:val="none"/>
              </w:rPr>
              <w:t>40</w:t>
            </w: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bookmarkStart w:id="72" w:name="_41"/>
            <w:bookmarkEnd w:id="72"/>
            <w:bookmarkStart w:id="73" w:name="_42"/>
            <w:bookmarkEnd w:id="73"/>
            <w:r>
              <w:rPr>
                <w:rFonts w:hint="eastAsia" w:hAnsi="宋体" w:cs="宋体"/>
                <w:color w:val="auto"/>
                <w:highlight w:val="none"/>
              </w:rPr>
              <w:t>采购代理费支付方式</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hAnsi="宋体" w:cs="宋体"/>
                <w:color w:val="auto"/>
                <w:highlight w:val="none"/>
              </w:rPr>
            </w:pPr>
            <w:r>
              <w:rPr>
                <w:rFonts w:hint="eastAsia" w:ascii="宋体" w:hAnsi="宋体"/>
                <w:color w:val="auto"/>
                <w:highlight w:val="none"/>
              </w:rPr>
              <w:t>本项目代理服务费由中标人领取中标通知书前，一次性向采购代理机构支付。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8" w:hRule="atLeast"/>
        </w:trPr>
        <w:tc>
          <w:tcPr>
            <w:tcW w:w="850" w:type="dxa"/>
            <w:vMerge w:val="continue"/>
            <w:tcBorders>
              <w:left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hAnsi="宋体" w:cs="宋体"/>
                <w:color w:val="auto"/>
                <w:highlight w:val="none"/>
              </w:rPr>
              <w:t>采购代理费收取标准</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hAnsi="宋体" w:cs="宋体"/>
                <w:color w:val="auto"/>
                <w:highlight w:val="none"/>
                <w:u w:val="single"/>
              </w:rPr>
            </w:pPr>
            <w:r>
              <w:rPr>
                <w:rFonts w:hint="eastAsia" w:ascii="宋体" w:hAnsi="宋体"/>
                <w:color w:val="auto"/>
                <w:highlight w:val="none"/>
              </w:rPr>
              <w:t>☑以分标（☑成交金额/</w:t>
            </w:r>
            <w:r>
              <w:rPr>
                <w:rFonts w:hint="eastAsia" w:ascii="宋体" w:hAnsi="宋体"/>
                <w:color w:val="auto"/>
                <w:highlight w:val="none"/>
              </w:rPr>
              <w:sym w:font="Wingdings 2" w:char="00A3"/>
            </w:r>
            <w:r>
              <w:rPr>
                <w:rFonts w:hint="eastAsia" w:ascii="宋体" w:hAnsi="宋体"/>
                <w:color w:val="auto"/>
                <w:highlight w:val="none"/>
              </w:rPr>
              <w:t>采购预算/□暂定成交金额/□其他）为计费额，按照国家发展计划委员会文件《计价格〔2002〕1980号》规定的收费计算标准（□货物类/☑服务类/□工程类）采用差额定率累进法计算出收费基准价格，采购代理收费以（☑收费基准价格/□收费基准价格下浮20%/□收费基准价格上浮%）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850" w:type="dxa"/>
            <w:vMerge w:val="continue"/>
            <w:tcBorders>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p>
        </w:tc>
        <w:tc>
          <w:tcPr>
            <w:tcW w:w="232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olor w:val="auto"/>
                <w:szCs w:val="21"/>
                <w:highlight w:val="none"/>
              </w:rPr>
            </w:pPr>
            <w:r>
              <w:rPr>
                <w:rFonts w:hint="eastAsia" w:hAnsi="宋体" w:cs="宋体"/>
                <w:color w:val="auto"/>
                <w:highlight w:val="none"/>
              </w:rPr>
              <w:t>代理服务费收款账户信息</w:t>
            </w:r>
          </w:p>
        </w:tc>
        <w:tc>
          <w:tcPr>
            <w:tcW w:w="7065" w:type="dxa"/>
            <w:tcBorders>
              <w:top w:val="single" w:color="auto" w:sz="4" w:space="0"/>
              <w:left w:val="single" w:color="auto" w:sz="4" w:space="0"/>
              <w:bottom w:val="single" w:color="auto" w:sz="4" w:space="0"/>
              <w:right w:val="single" w:color="auto" w:sz="4" w:space="0"/>
            </w:tcBorders>
            <w:vAlign w:val="center"/>
          </w:tcPr>
          <w:p>
            <w:pPr>
              <w:pStyle w:val="21"/>
              <w:snapToGrid w:val="0"/>
              <w:spacing w:line="380" w:lineRule="exact"/>
              <w:rPr>
                <w:rFonts w:hAnsi="宋体"/>
                <w:color w:val="auto"/>
                <w:highlight w:val="none"/>
              </w:rPr>
            </w:pPr>
            <w:r>
              <w:rPr>
                <w:rFonts w:hint="eastAsia" w:hAnsi="宋体"/>
                <w:color w:val="auto"/>
                <w:highlight w:val="none"/>
              </w:rPr>
              <w:t>账户名称：广西建设工程机电设备招标中心有限公司</w:t>
            </w:r>
          </w:p>
          <w:p>
            <w:pPr>
              <w:pStyle w:val="21"/>
              <w:snapToGrid w:val="0"/>
              <w:spacing w:line="380" w:lineRule="exact"/>
              <w:rPr>
                <w:rFonts w:hint="eastAsia" w:hAnsi="宋体"/>
                <w:color w:val="auto"/>
                <w:highlight w:val="none"/>
              </w:rPr>
            </w:pPr>
            <w:r>
              <w:rPr>
                <w:rFonts w:hint="eastAsia" w:hAnsi="宋体"/>
                <w:color w:val="auto"/>
                <w:highlight w:val="none"/>
              </w:rPr>
              <w:t>开户银行：招商银行南宁分行营业部</w:t>
            </w:r>
          </w:p>
          <w:p>
            <w:pPr>
              <w:pStyle w:val="21"/>
              <w:snapToGrid w:val="0"/>
              <w:spacing w:line="380" w:lineRule="exact"/>
              <w:rPr>
                <w:rFonts w:hint="eastAsia" w:hAnsi="宋体"/>
                <w:color w:val="auto"/>
                <w:highlight w:val="none"/>
              </w:rPr>
            </w:pPr>
            <w:r>
              <w:rPr>
                <w:rFonts w:hint="eastAsia" w:hAnsi="宋体"/>
                <w:color w:val="auto"/>
                <w:highlight w:val="none"/>
              </w:rPr>
              <w:t>银行账号：7719 0142 3310 201</w:t>
            </w:r>
          </w:p>
          <w:p>
            <w:pPr>
              <w:rPr>
                <w:rFonts w:hint="eastAsia"/>
                <w:color w:val="auto"/>
                <w:highlight w:val="none"/>
              </w:rPr>
            </w:pPr>
            <w:r>
              <w:rPr>
                <w:rFonts w:hint="eastAsia" w:ascii="宋体" w:hAnsi="宋体"/>
                <w:color w:val="auto"/>
                <w:highlight w:val="none"/>
              </w:rPr>
              <w:t>开户行行号：</w:t>
            </w:r>
            <w:r>
              <w:rPr>
                <w:rFonts w:hint="eastAsia" w:ascii="宋体" w:hAnsi="宋体"/>
                <w:color w:val="auto"/>
                <w:szCs w:val="20"/>
                <w:highlight w:val="none"/>
              </w:rPr>
              <w:t>308611000032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1</w:t>
            </w:r>
            <w:r>
              <w:rPr>
                <w:rFonts w:ascii="宋体" w:hAnsi="宋体"/>
                <w:color w:val="auto"/>
                <w:szCs w:val="21"/>
                <w:highlight w:val="none"/>
              </w:rPr>
              <w:t>.1</w:t>
            </w:r>
          </w:p>
        </w:tc>
        <w:tc>
          <w:tcPr>
            <w:tcW w:w="232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解释</w:t>
            </w:r>
          </w:p>
        </w:tc>
        <w:tc>
          <w:tcPr>
            <w:tcW w:w="706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b/>
                <w:color w:val="auto"/>
                <w:szCs w:val="21"/>
                <w:highlight w:val="none"/>
              </w:rPr>
            </w:pPr>
            <w:r>
              <w:rPr>
                <w:rFonts w:hint="eastAsia" w:ascii="宋体" w:hAnsi="宋体"/>
                <w:b/>
                <w:color w:val="auto"/>
                <w:szCs w:val="21"/>
                <w:highlight w:val="none"/>
              </w:rPr>
              <w:t>解释权：</w:t>
            </w:r>
            <w:r>
              <w:rPr>
                <w:rFonts w:ascii="宋体" w:hAnsi="宋体"/>
                <w:color w:val="auto"/>
                <w:szCs w:val="21"/>
                <w:highlight w:val="none"/>
              </w:rPr>
              <w:t>构成本招标文件的各个组成文件应互为解释，互为说明；除招标文件中有特别规定外，仅适用于招标投标阶段的规定，按</w:t>
            </w:r>
            <w:r>
              <w:rPr>
                <w:rFonts w:hint="eastAsia" w:ascii="宋体" w:hAnsi="宋体"/>
                <w:color w:val="auto"/>
                <w:szCs w:val="21"/>
                <w:highlight w:val="none"/>
              </w:rPr>
              <w:t>更正公告（澄清公告）</w:t>
            </w:r>
            <w:r>
              <w:rPr>
                <w:rFonts w:ascii="宋体" w:hAnsi="宋体"/>
                <w:color w:val="auto"/>
                <w:szCs w:val="21"/>
                <w:highlight w:val="none"/>
              </w:rPr>
              <w:t>、招标公告、</w:t>
            </w:r>
            <w:r>
              <w:rPr>
                <w:rFonts w:hint="eastAsia" w:ascii="宋体" w:hAnsi="宋体"/>
                <w:color w:val="auto"/>
                <w:szCs w:val="21"/>
                <w:highlight w:val="none"/>
              </w:rPr>
              <w:t>采购需求、</w:t>
            </w:r>
            <w:r>
              <w:rPr>
                <w:rFonts w:ascii="宋体" w:hAnsi="宋体"/>
                <w:color w:val="auto"/>
                <w:szCs w:val="21"/>
                <w:highlight w:val="none"/>
              </w:rPr>
              <w:t>投标人须知、</w:t>
            </w:r>
            <w:r>
              <w:rPr>
                <w:rFonts w:hint="eastAsia" w:ascii="宋体" w:hAnsi="宋体"/>
                <w:color w:val="auto"/>
                <w:szCs w:val="21"/>
                <w:highlight w:val="none"/>
              </w:rPr>
              <w:t>评标方法及评标标准</w:t>
            </w:r>
            <w:r>
              <w:rPr>
                <w:rFonts w:ascii="宋体" w:hAnsi="宋体"/>
                <w:color w:val="auto"/>
                <w:szCs w:val="21"/>
                <w:highlight w:val="none"/>
              </w:rPr>
              <w:t>、</w:t>
            </w:r>
            <w:r>
              <w:rPr>
                <w:rFonts w:hint="eastAsia" w:ascii="宋体" w:hAnsi="宋体"/>
                <w:color w:val="auto"/>
                <w:szCs w:val="21"/>
                <w:highlight w:val="none"/>
              </w:rPr>
              <w:t>拟签订的合同文本、</w:t>
            </w:r>
            <w:r>
              <w:rPr>
                <w:rFonts w:ascii="宋体" w:hAnsi="宋体"/>
                <w:color w:val="auto"/>
                <w:szCs w:val="21"/>
                <w:highlight w:val="none"/>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auto"/>
                <w:szCs w:val="21"/>
                <w:highlight w:val="none"/>
              </w:rPr>
              <w:t>更正公告（澄清公告）</w:t>
            </w:r>
            <w:r>
              <w:rPr>
                <w:rFonts w:ascii="宋体" w:hAnsi="宋体"/>
                <w:color w:val="auto"/>
                <w:szCs w:val="21"/>
                <w:highlight w:val="none"/>
              </w:rPr>
              <w:t>与同步更新的招标文件不一致时以</w:t>
            </w:r>
            <w:r>
              <w:rPr>
                <w:rFonts w:hint="eastAsia" w:ascii="宋体" w:hAnsi="宋体"/>
                <w:color w:val="auto"/>
                <w:szCs w:val="21"/>
                <w:highlight w:val="none"/>
              </w:rPr>
              <w:t>更正公告（澄清公告）</w:t>
            </w:r>
            <w:r>
              <w:rPr>
                <w:rFonts w:ascii="宋体" w:hAnsi="宋体"/>
                <w:color w:val="auto"/>
                <w:szCs w:val="21"/>
                <w:highlight w:val="none"/>
              </w:rPr>
              <w:t>为准。按本款前述规定仍不能形成结论的</w:t>
            </w:r>
            <w:r>
              <w:rPr>
                <w:rFonts w:ascii="宋体" w:hAnsi="宋体"/>
                <w:b/>
                <w:color w:val="auto"/>
                <w:szCs w:val="21"/>
                <w:highlight w:val="none"/>
              </w:rPr>
              <w:t>，由</w:t>
            </w:r>
            <w:r>
              <w:rPr>
                <w:rFonts w:hint="eastAsia" w:ascii="宋体" w:hAnsi="宋体"/>
                <w:b/>
                <w:color w:val="auto"/>
                <w:szCs w:val="21"/>
                <w:highlight w:val="none"/>
              </w:rPr>
              <w:t>采购</w:t>
            </w:r>
            <w:r>
              <w:rPr>
                <w:rFonts w:ascii="宋体" w:hAnsi="宋体"/>
                <w:b/>
                <w:color w:val="auto"/>
                <w:szCs w:val="21"/>
                <w:highlight w:val="none"/>
              </w:rPr>
              <w:t>人</w:t>
            </w:r>
            <w:r>
              <w:rPr>
                <w:rFonts w:hint="eastAsia" w:ascii="宋体" w:hAnsi="宋体"/>
                <w:b/>
                <w:color w:val="auto"/>
                <w:szCs w:val="21"/>
                <w:highlight w:val="none"/>
              </w:rPr>
              <w:t>或者采购代理机构</w:t>
            </w:r>
            <w:r>
              <w:rPr>
                <w:rFonts w:ascii="宋体" w:hAnsi="宋体"/>
                <w:b/>
                <w:color w:val="auto"/>
                <w:szCs w:val="21"/>
                <w:highlight w:val="none"/>
              </w:rPr>
              <w:t>负责解释。</w:t>
            </w:r>
          </w:p>
          <w:p>
            <w:pPr>
              <w:snapToGrid w:val="0"/>
              <w:spacing w:line="380" w:lineRule="exact"/>
              <w:rPr>
                <w:rFonts w:hint="eastAsia" w:ascii="宋体" w:hAnsi="宋体"/>
                <w:color w:val="auto"/>
                <w:szCs w:val="21"/>
                <w:highlight w:val="none"/>
              </w:rPr>
            </w:pPr>
            <w:r>
              <w:rPr>
                <w:rFonts w:hint="eastAsia" w:ascii="宋体" w:hAnsi="宋体"/>
                <w:b/>
                <w:color w:val="auto"/>
                <w:szCs w:val="21"/>
                <w:highlight w:val="none"/>
              </w:rPr>
              <w:t>法律责任：</w:t>
            </w:r>
            <w:r>
              <w:rPr>
                <w:rFonts w:hint="eastAsia" w:ascii="宋体" w:hAnsi="宋体"/>
                <w:color w:val="auto"/>
                <w:szCs w:val="21"/>
                <w:highlight w:val="none"/>
              </w:rPr>
              <w:t>本采购文件根据《中华人民共和国政府采购法》、《中华人民共和国民法典》；《中华人民共和国政府采购法实施条例》、《政府采购非招标采购方式管理办法》等有关法律、法规编制，参与本项目的各政府采购当事人依法享有上述法律法规所赋予的权利与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1</w:t>
            </w:r>
            <w:r>
              <w:rPr>
                <w:rFonts w:ascii="宋体" w:hAnsi="宋体"/>
                <w:color w:val="auto"/>
                <w:szCs w:val="21"/>
                <w:highlight w:val="none"/>
              </w:rPr>
              <w:t>.2</w:t>
            </w:r>
          </w:p>
        </w:tc>
        <w:tc>
          <w:tcPr>
            <w:tcW w:w="232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其他释义</w:t>
            </w:r>
          </w:p>
        </w:tc>
        <w:tc>
          <w:tcPr>
            <w:tcW w:w="7065" w:type="dxa"/>
            <w:tcBorders>
              <w:top w:val="single" w:color="auto" w:sz="4" w:space="0"/>
              <w:left w:val="single" w:color="auto" w:sz="4" w:space="0"/>
              <w:bottom w:val="single" w:color="auto" w:sz="4" w:space="0"/>
              <w:right w:val="single" w:color="auto" w:sz="4" w:space="0"/>
            </w:tcBorders>
            <w:vAlign w:val="center"/>
          </w:tcPr>
          <w:p>
            <w:pPr>
              <w:pStyle w:val="21"/>
              <w:snapToGrid w:val="0"/>
              <w:spacing w:line="380" w:lineRule="exact"/>
              <w:rPr>
                <w:rFonts w:hint="eastAsia" w:hAnsi="宋体" w:cs="宋体"/>
                <w:color w:val="auto"/>
                <w:highlight w:val="none"/>
              </w:rPr>
            </w:pPr>
            <w:r>
              <w:rPr>
                <w:rFonts w:hint="eastAsia" w:hAnsi="宋体" w:cs="宋体"/>
                <w:color w:val="auto"/>
                <w:highlight w:val="none"/>
              </w:rPr>
              <w:t>1.本招标文件中描述投标人的“公章”是指根据我国对公章的管理规定，用投标人法定主体行为名称制作的印章，除本招标文件有特殊规定外，投标人的财务章、部门章、工会章、合同章、投标专用章、业务专用章及银行的转账章、现金收讫章、现金付讫章等其他形式印章均不能代替公章。</w:t>
            </w:r>
          </w:p>
          <w:p>
            <w:pPr>
              <w:pStyle w:val="21"/>
              <w:snapToGrid w:val="0"/>
              <w:spacing w:line="380" w:lineRule="exact"/>
              <w:rPr>
                <w:rFonts w:hint="eastAsia" w:hAnsi="宋体" w:cs="宋体"/>
                <w:color w:val="auto"/>
                <w:highlight w:val="none"/>
              </w:rPr>
            </w:pPr>
            <w:r>
              <w:rPr>
                <w:rFonts w:hint="eastAsia" w:hAnsi="宋体" w:cs="宋体"/>
                <w:color w:val="auto"/>
                <w:highlight w:val="none"/>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pPr>
              <w:pStyle w:val="21"/>
              <w:snapToGrid w:val="0"/>
              <w:spacing w:line="380" w:lineRule="exact"/>
              <w:rPr>
                <w:rFonts w:hint="eastAsia" w:hAnsi="宋体" w:cs="宋体"/>
                <w:color w:val="auto"/>
                <w:highlight w:val="none"/>
              </w:rPr>
            </w:pPr>
            <w:r>
              <w:rPr>
                <w:rFonts w:hint="eastAsia" w:hAnsi="宋体" w:cs="宋体"/>
                <w:color w:val="auto"/>
                <w:highlight w:val="none"/>
              </w:rPr>
              <w:t>3.本招标文件中描述投标人的“签字”是指投标人的法定代表人或者委托代理人亲自在文件规定签署处亲笔写上个人的名字的行为，私章、签字章、印鉴、影印等其他形式均不能代替亲笔签字。</w:t>
            </w:r>
          </w:p>
          <w:p>
            <w:pPr>
              <w:pStyle w:val="21"/>
              <w:snapToGrid w:val="0"/>
              <w:spacing w:line="380" w:lineRule="exact"/>
              <w:rPr>
                <w:rFonts w:hint="eastAsia" w:hAnsi="宋体" w:cs="宋体"/>
                <w:color w:val="auto"/>
                <w:highlight w:val="none"/>
              </w:rPr>
            </w:pPr>
            <w:r>
              <w:rPr>
                <w:rFonts w:hint="eastAsia" w:hAnsi="宋体" w:cs="宋体"/>
                <w:color w:val="auto"/>
                <w:highlight w:val="none"/>
              </w:rPr>
              <w:t>4.自然人投标的，招标文件规定盖公章处由自然人摁手指指印。</w:t>
            </w:r>
          </w:p>
          <w:p>
            <w:pPr>
              <w:spacing w:line="380" w:lineRule="exact"/>
              <w:jc w:val="left"/>
              <w:rPr>
                <w:rFonts w:hint="eastAsia" w:ascii="宋体" w:hAnsi="宋体"/>
                <w:color w:val="auto"/>
                <w:szCs w:val="21"/>
                <w:highlight w:val="none"/>
              </w:rPr>
            </w:pPr>
            <w:r>
              <w:rPr>
                <w:rFonts w:hint="eastAsia" w:ascii="宋体" w:hAnsi="宋体" w:cs="宋体"/>
                <w:color w:val="auto"/>
                <w:szCs w:val="21"/>
                <w:highlight w:val="none"/>
              </w:rPr>
              <w:t>5.本招标文件所称的“以上”“以下”“以内”“届满”，包括本数；所称的“不满”“超过”“以外”，不包括本数。</w:t>
            </w:r>
          </w:p>
        </w:tc>
      </w:tr>
    </w:tbl>
    <w:p>
      <w:pPr>
        <w:pStyle w:val="4"/>
        <w:rPr>
          <w:color w:val="auto"/>
          <w:highlight w:val="none"/>
        </w:rPr>
        <w:sectPr>
          <w:pgSz w:w="11905" w:h="16838"/>
          <w:pgMar w:top="1134" w:right="1134" w:bottom="1134" w:left="1134" w:header="720" w:footer="720" w:gutter="0"/>
          <w:cols w:space="720" w:num="1"/>
          <w:docGrid w:type="lines" w:linePitch="331" w:charSpace="0"/>
        </w:sectPr>
      </w:pPr>
    </w:p>
    <w:p>
      <w:pPr>
        <w:rPr>
          <w:rFonts w:hint="eastAsia"/>
          <w:color w:val="auto"/>
          <w:highlight w:val="none"/>
        </w:rPr>
      </w:pPr>
    </w:p>
    <w:p>
      <w:pPr>
        <w:pStyle w:val="4"/>
        <w:jc w:val="center"/>
        <w:rPr>
          <w:rFonts w:hint="eastAsia"/>
          <w:color w:val="auto"/>
          <w:highlight w:val="none"/>
        </w:rPr>
      </w:pPr>
      <w:bookmarkStart w:id="74" w:name="_Toc80092994"/>
      <w:bookmarkStart w:id="75" w:name="_Toc30274"/>
      <w:bookmarkStart w:id="76" w:name="_Toc7882"/>
      <w:bookmarkStart w:id="77" w:name="_Toc24786"/>
      <w:r>
        <w:rPr>
          <w:rFonts w:hint="eastAsia"/>
          <w:color w:val="auto"/>
          <w:highlight w:val="none"/>
        </w:rPr>
        <w:t>第二节 投标人须知正文</w:t>
      </w:r>
      <w:bookmarkEnd w:id="74"/>
      <w:bookmarkEnd w:id="75"/>
      <w:bookmarkEnd w:id="76"/>
      <w:bookmarkEnd w:id="77"/>
    </w:p>
    <w:p>
      <w:pPr>
        <w:pStyle w:val="5"/>
        <w:keepNext w:val="0"/>
        <w:keepLines w:val="0"/>
        <w:spacing w:line="400" w:lineRule="exact"/>
        <w:jc w:val="center"/>
        <w:rPr>
          <w:rFonts w:hint="eastAsia"/>
          <w:color w:val="auto"/>
          <w:highlight w:val="none"/>
        </w:rPr>
      </w:pPr>
      <w:bookmarkStart w:id="78" w:name="_Toc18084"/>
      <w:bookmarkStart w:id="79" w:name="_Toc80092995"/>
      <w:bookmarkStart w:id="80" w:name="_Toc8457"/>
      <w:bookmarkStart w:id="81" w:name="_Toc20213"/>
      <w:r>
        <w:rPr>
          <w:rFonts w:hint="eastAsia"/>
          <w:color w:val="auto"/>
          <w:highlight w:val="none"/>
        </w:rPr>
        <w:t>一、总  则</w:t>
      </w:r>
      <w:bookmarkEnd w:id="78"/>
      <w:bookmarkEnd w:id="79"/>
      <w:bookmarkEnd w:id="80"/>
      <w:bookmarkEnd w:id="81"/>
    </w:p>
    <w:p>
      <w:pPr>
        <w:spacing w:line="360" w:lineRule="auto"/>
        <w:ind w:firstLine="480" w:firstLineChars="200"/>
        <w:rPr>
          <w:rFonts w:hint="eastAsia" w:ascii="黑体" w:hAnsi="黑体" w:eastAsia="黑体"/>
          <w:color w:val="auto"/>
          <w:sz w:val="24"/>
          <w:highlight w:val="none"/>
        </w:rPr>
      </w:pPr>
      <w:bookmarkStart w:id="82" w:name="_Toc254970527"/>
      <w:bookmarkStart w:id="83" w:name="_Toc254970668"/>
      <w:r>
        <w:rPr>
          <w:rFonts w:hint="eastAsia" w:ascii="黑体" w:hAnsi="黑体" w:eastAsia="黑体"/>
          <w:color w:val="auto"/>
          <w:sz w:val="24"/>
          <w:highlight w:val="none"/>
        </w:rPr>
        <w:t>1.适用范围</w:t>
      </w:r>
      <w:bookmarkEnd w:id="82"/>
      <w:bookmarkEnd w:id="83"/>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spacing w:line="360" w:lineRule="auto"/>
        <w:ind w:firstLine="480" w:firstLineChars="200"/>
        <w:rPr>
          <w:rFonts w:hint="eastAsia" w:ascii="黑体" w:hAnsi="黑体" w:eastAsia="黑体"/>
          <w:color w:val="auto"/>
          <w:sz w:val="24"/>
          <w:highlight w:val="none"/>
        </w:rPr>
      </w:pPr>
      <w:bookmarkStart w:id="84" w:name="_Toc254970528"/>
      <w:bookmarkStart w:id="85" w:name="_Toc254970669"/>
      <w:r>
        <w:rPr>
          <w:rFonts w:hint="eastAsia" w:ascii="黑体" w:hAnsi="黑体" w:eastAsia="黑体"/>
          <w:color w:val="auto"/>
          <w:sz w:val="24"/>
          <w:highlight w:val="none"/>
        </w:rPr>
        <w:t>2.定义</w:t>
      </w:r>
      <w:bookmarkEnd w:id="84"/>
      <w:bookmarkEnd w:id="85"/>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2.1“采购人”是指依法进行政府采购的国家机关、事业单位、团体组织。</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2.2“采购代理机构” 指政府采购集中采购机构和集中采购机构以外的采购代理机构。</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2.3“供应商”是指向采购人提供货物、工程或者服务的法人、其他组织或者自然人。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2.4“投标人”是指响应招标、参加投标竞争的法人、非法人组织或者自然人。</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2.5“服务”是指除货物和工程以外的其他政府采购对象。</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6</w:t>
      </w:r>
      <w:r>
        <w:rPr>
          <w:rFonts w:hint="eastAsia" w:ascii="宋体" w:hAnsi="宋体"/>
          <w:b/>
          <w:color w:val="auto"/>
          <w:szCs w:val="21"/>
          <w:highlight w:val="none"/>
        </w:rPr>
        <w:t>“书面形式”是指合同书、信件和数据电文（包括电报、电传、传真、短信、电子数据交换和电子邮件）等可以有形地表现所载内容的形式。</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7</w:t>
      </w:r>
      <w:r>
        <w:rPr>
          <w:rFonts w:hint="eastAsia" w:ascii="宋体" w:hAnsi="宋体"/>
          <w:b/>
          <w:color w:val="auto"/>
          <w:szCs w:val="21"/>
          <w:highlight w:val="none"/>
        </w:rPr>
        <w:t>“实质性要求”是指招标文件中已经指明不满足则投标无效的条款，或者不能负偏离的条款，或者采购需求中带“</w:t>
      </w:r>
      <w:r>
        <w:rPr>
          <w:rFonts w:hint="eastAsia" w:ascii="宋体" w:hAnsi="宋体"/>
          <w:b/>
          <w:bCs/>
          <w:color w:val="auto"/>
          <w:szCs w:val="21"/>
          <w:highlight w:val="none"/>
        </w:rPr>
        <w:t>▲</w:t>
      </w:r>
      <w:r>
        <w:rPr>
          <w:rFonts w:hint="eastAsia" w:ascii="宋体" w:hAnsi="宋体"/>
          <w:b/>
          <w:color w:val="auto"/>
          <w:szCs w:val="21"/>
          <w:highlight w:val="none"/>
        </w:rPr>
        <w:t>”的条款。</w:t>
      </w:r>
    </w:p>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8</w:t>
      </w:r>
      <w:r>
        <w:rPr>
          <w:rFonts w:hint="eastAsia" w:ascii="宋体" w:hAnsi="宋体" w:cs="宋体"/>
          <w:color w:val="auto"/>
          <w:szCs w:val="21"/>
          <w:highlight w:val="none"/>
        </w:rPr>
        <w:t>“正偏离”，是指投标文件对招标文件“采购需求”中有关条款作出的响应优于条款要求并有利于采购人的情形。</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2.9</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0</w:t>
      </w:r>
      <w:r>
        <w:rPr>
          <w:rFonts w:hint="eastAsia" w:ascii="宋体" w:hAnsi="宋体" w:cs="宋体"/>
          <w:color w:val="auto"/>
          <w:szCs w:val="21"/>
          <w:highlight w:val="none"/>
        </w:rPr>
        <w:t>“允许负偏离的条款”是指采购需求中的不属于“实质性要求”的条款。</w:t>
      </w:r>
      <w:bookmarkStart w:id="86" w:name="_Toc254970670"/>
      <w:bookmarkStart w:id="87" w:name="_Toc254970529"/>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3.</w:t>
      </w:r>
      <w:bookmarkEnd w:id="86"/>
      <w:bookmarkEnd w:id="87"/>
      <w:r>
        <w:rPr>
          <w:rFonts w:hint="eastAsia" w:ascii="黑体" w:hAnsi="黑体" w:eastAsia="黑体"/>
          <w:color w:val="auto"/>
          <w:sz w:val="24"/>
          <w:highlight w:val="none"/>
        </w:rPr>
        <w:t>投标人的资格要求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投标人的资格要求详见“招标公告”。</w:t>
      </w:r>
    </w:p>
    <w:p>
      <w:pPr>
        <w:spacing w:line="360" w:lineRule="auto"/>
        <w:ind w:firstLine="480" w:firstLineChars="200"/>
        <w:rPr>
          <w:rFonts w:hint="eastAsia" w:ascii="黑体" w:hAnsi="黑体" w:eastAsia="黑体"/>
          <w:color w:val="auto"/>
          <w:sz w:val="24"/>
          <w:highlight w:val="none"/>
        </w:rPr>
      </w:pPr>
      <w:bookmarkStart w:id="88" w:name="_Toc254970530"/>
      <w:bookmarkStart w:id="89" w:name="_Toc254970671"/>
      <w:r>
        <w:rPr>
          <w:rFonts w:hint="eastAsia" w:ascii="黑体" w:hAnsi="黑体" w:eastAsia="黑体"/>
          <w:color w:val="auto"/>
          <w:sz w:val="24"/>
          <w:highlight w:val="none"/>
        </w:rPr>
        <w:t>4.投标委托</w:t>
      </w:r>
      <w:bookmarkEnd w:id="88"/>
      <w:bookmarkEnd w:id="89"/>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投标人代表参加投标活动过程中必须携带个人有效身份证件。如投标人代表不是法定代表人，须持有法定代表人授权委托书（正本用原件，副本用复印件，按第六章要求格式填写）。</w:t>
      </w:r>
    </w:p>
    <w:p>
      <w:pPr>
        <w:spacing w:line="360" w:lineRule="auto"/>
        <w:ind w:firstLine="480" w:firstLineChars="200"/>
        <w:rPr>
          <w:rFonts w:hint="eastAsia" w:ascii="黑体" w:hAnsi="黑体" w:eastAsia="黑体"/>
          <w:color w:val="auto"/>
          <w:sz w:val="24"/>
          <w:highlight w:val="none"/>
        </w:rPr>
      </w:pPr>
      <w:bookmarkStart w:id="90" w:name="_5.投标费用"/>
      <w:bookmarkEnd w:id="90"/>
      <w:bookmarkStart w:id="91" w:name="_Toc254970672"/>
      <w:bookmarkStart w:id="92" w:name="_Toc254970531"/>
      <w:r>
        <w:rPr>
          <w:rFonts w:hint="eastAsia" w:ascii="黑体" w:hAnsi="黑体" w:eastAsia="黑体"/>
          <w:color w:val="auto"/>
          <w:sz w:val="24"/>
          <w:highlight w:val="none"/>
        </w:rPr>
        <w:t>5.投标费用</w:t>
      </w:r>
      <w:bookmarkEnd w:id="91"/>
      <w:bookmarkEnd w:id="92"/>
    </w:p>
    <w:p>
      <w:pPr>
        <w:spacing w:line="360" w:lineRule="auto"/>
        <w:ind w:firstLine="420" w:firstLineChars="200"/>
        <w:rPr>
          <w:rFonts w:hint="eastAsia"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投标费用：投标人应承担参与本次采购活动有关的所有费用，包括但不限于勘查现场、编制投标文件、参加澄清说明、签订合同等，不论投标结果如何，均应自行承担。</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6.联合体投标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6.1本项目是否接受联合体投标，详见“投标人须知前附表”。</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6.2如接受联合体投标，联合体投标要求详见“投标人须知前附表”。</w:t>
      </w:r>
    </w:p>
    <w:p>
      <w:pPr>
        <w:spacing w:line="360" w:lineRule="auto"/>
        <w:ind w:firstLine="420" w:firstLineChars="200"/>
        <w:rPr>
          <w:rFonts w:hint="eastAsia" w:ascii="Helvetica Neue"/>
          <w:color w:val="auto"/>
          <w:sz w:val="24"/>
          <w:highlight w:val="none"/>
          <w:shd w:val="clear" w:color="auto" w:fill="FFFFFF"/>
        </w:rPr>
      </w:pPr>
      <w:r>
        <w:rPr>
          <w:rFonts w:hint="eastAsia" w:ascii="宋体" w:hAnsi="宋体"/>
          <w:bCs/>
          <w:color w:val="auto"/>
          <w:szCs w:val="21"/>
          <w:highlight w:val="none"/>
        </w:rPr>
        <w:t>6.3根据《政府采购促进中小企业发展管理办法》（财库[2020]46号）</w:t>
      </w:r>
      <w:r>
        <w:rPr>
          <w:rFonts w:ascii="宋体" w:hAnsi="宋体"/>
          <w:bCs/>
          <w:color w:val="auto"/>
          <w:szCs w:val="21"/>
          <w:highlight w:val="none"/>
        </w:rPr>
        <w:t>第九条</w:t>
      </w:r>
      <w:r>
        <w:rPr>
          <w:rFonts w:hint="eastAsia" w:ascii="宋体" w:hAnsi="宋体"/>
          <w:bCs/>
          <w:color w:val="auto"/>
          <w:szCs w:val="21"/>
          <w:highlight w:val="none"/>
        </w:rPr>
        <w:t>规定，</w:t>
      </w:r>
      <w:r>
        <w:rPr>
          <w:rFonts w:ascii="宋体" w:hAnsi="宋体"/>
          <w:bCs/>
          <w:color w:val="auto"/>
          <w:szCs w:val="21"/>
          <w:highlight w:val="none"/>
        </w:rPr>
        <w:t>接受大中型企业与小微企业组成联合体的采购项目，对于联合协议约定小微企业的合同份额占到合同总金额 30%以上的，采购人、采购代理机构应当对联合体的报价给予</w:t>
      </w:r>
      <w:r>
        <w:rPr>
          <w:rFonts w:hint="eastAsia" w:ascii="宋体" w:hAnsi="宋体"/>
          <w:bCs/>
          <w:color w:val="auto"/>
          <w:szCs w:val="21"/>
          <w:highlight w:val="none"/>
        </w:rPr>
        <w:t>4%</w:t>
      </w:r>
      <w:r>
        <w:rPr>
          <w:rFonts w:hint="eastAsia" w:ascii="宋体" w:hAnsi="宋体" w:cs="宋体"/>
          <w:bCs/>
          <w:color w:val="auto"/>
          <w:szCs w:val="21"/>
          <w:highlight w:val="none"/>
        </w:rPr>
        <w:t>（范围为4%-6%）的扣除</w:t>
      </w:r>
      <w:r>
        <w:rPr>
          <w:rFonts w:ascii="宋体" w:hAnsi="宋体"/>
          <w:bCs/>
          <w:color w:val="auto"/>
          <w:szCs w:val="21"/>
          <w:highlight w:val="none"/>
        </w:rPr>
        <w:t>，用扣除后的价格参加评审。组成联合体的小微企业与联合体内其他企业、分包企业之间存在直接控股、管理关系的，不享受价格扣除优惠政策。</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 xml:space="preserve">7.转包与分包             </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7.</w:t>
      </w:r>
      <w:r>
        <w:rPr>
          <w:rFonts w:ascii="宋体" w:hAnsi="宋体"/>
          <w:b/>
          <w:color w:val="auto"/>
          <w:szCs w:val="21"/>
          <w:highlight w:val="none"/>
        </w:rPr>
        <w:t>1</w:t>
      </w:r>
      <w:r>
        <w:rPr>
          <w:rFonts w:hint="eastAsia" w:ascii="宋体" w:hAnsi="宋体"/>
          <w:b/>
          <w:color w:val="auto"/>
          <w:szCs w:val="21"/>
          <w:highlight w:val="none"/>
        </w:rPr>
        <w:t>本项目是否允许分包详见“投标人须知前附表”，本项目不允许违法分包。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7.</w:t>
      </w:r>
      <w:r>
        <w:rPr>
          <w:rFonts w:ascii="宋体" w:hAnsi="宋体"/>
          <w:bCs/>
          <w:color w:val="auto"/>
          <w:szCs w:val="21"/>
          <w:highlight w:val="none"/>
        </w:rPr>
        <w:t>2</w:t>
      </w:r>
      <w:r>
        <w:rPr>
          <w:rFonts w:hint="eastAsia" w:ascii="宋体" w:hAnsi="宋体"/>
          <w:bCs/>
          <w:color w:val="auto"/>
          <w:szCs w:val="21"/>
          <w:highlight w:val="none"/>
        </w:rPr>
        <w:t>根据《政府采购促进中小企业发展管理办法》（财库[2020]46号）</w:t>
      </w:r>
      <w:r>
        <w:rPr>
          <w:rFonts w:ascii="宋体" w:hAnsi="宋体"/>
          <w:bCs/>
          <w:color w:val="auto"/>
          <w:szCs w:val="21"/>
          <w:highlight w:val="none"/>
        </w:rPr>
        <w:t>第九条</w:t>
      </w:r>
      <w:r>
        <w:rPr>
          <w:rFonts w:hint="eastAsia" w:ascii="宋体" w:hAnsi="宋体"/>
          <w:bCs/>
          <w:color w:val="auto"/>
          <w:szCs w:val="21"/>
          <w:highlight w:val="none"/>
        </w:rPr>
        <w:t>规定，</w:t>
      </w:r>
      <w:r>
        <w:rPr>
          <w:rFonts w:ascii="宋体" w:hAnsi="宋体"/>
          <w:bCs/>
          <w:color w:val="auto"/>
          <w:szCs w:val="21"/>
          <w:highlight w:val="none"/>
        </w:rPr>
        <w:t>允许大中型企业向一家或者多家小微企业分包的采购项目，对于分包意向协议约定小微企业的合同份额占到合同总金额 30%以上的，采购人、采购代理机构应当对大中型企业的报价给予</w:t>
      </w:r>
      <w:r>
        <w:rPr>
          <w:rFonts w:hint="eastAsia" w:ascii="宋体" w:hAnsi="宋体"/>
          <w:bCs/>
          <w:color w:val="auto"/>
          <w:szCs w:val="21"/>
          <w:highlight w:val="none"/>
        </w:rPr>
        <w:t>4%（范围为4%-6%）</w:t>
      </w:r>
      <w:r>
        <w:rPr>
          <w:rFonts w:ascii="宋体" w:hAnsi="宋体"/>
          <w:bCs/>
          <w:color w:val="auto"/>
          <w:szCs w:val="21"/>
          <w:highlight w:val="none"/>
        </w:rPr>
        <w:t>的扣除，用扣除后的价格参加评审。接受分包的小微企业与分包企业之间存在直接控股、管理关系的，不享受价格扣除优惠政策。</w:t>
      </w:r>
    </w:p>
    <w:p>
      <w:pPr>
        <w:spacing w:line="360" w:lineRule="auto"/>
        <w:ind w:firstLine="480" w:firstLineChars="200"/>
        <w:rPr>
          <w:rFonts w:hint="eastAsia" w:ascii="黑体" w:hAnsi="黑体" w:eastAsia="黑体"/>
          <w:color w:val="auto"/>
          <w:sz w:val="24"/>
          <w:highlight w:val="none"/>
        </w:rPr>
      </w:pPr>
      <w:bookmarkStart w:id="93" w:name="_Toc254970673"/>
      <w:bookmarkStart w:id="94" w:name="_Toc254970532"/>
      <w:r>
        <w:rPr>
          <w:rFonts w:hint="eastAsia" w:ascii="黑体" w:hAnsi="黑体" w:eastAsia="黑体"/>
          <w:color w:val="auto"/>
          <w:sz w:val="24"/>
          <w:highlight w:val="none"/>
        </w:rPr>
        <w:t>8.特别说明：</w:t>
      </w:r>
      <w:bookmarkEnd w:id="93"/>
      <w:bookmarkEnd w:id="94"/>
      <w:bookmarkStart w:id="95" w:name="_8.1提供相同品牌产品且通过资格审查、符合性审查的不同投标人参加同一合"/>
      <w:bookmarkEnd w:id="95"/>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8.</w:t>
      </w:r>
      <w:r>
        <w:rPr>
          <w:rFonts w:ascii="宋体" w:hAnsi="宋体"/>
          <w:b/>
          <w:color w:val="auto"/>
          <w:szCs w:val="21"/>
          <w:highlight w:val="none"/>
        </w:rPr>
        <w:t>1</w:t>
      </w:r>
      <w:r>
        <w:rPr>
          <w:rFonts w:hint="eastAsia" w:ascii="宋体" w:hAnsi="宋体"/>
          <w:b/>
          <w:color w:val="auto"/>
          <w:szCs w:val="21"/>
          <w:highlight w:val="none"/>
        </w:rPr>
        <w:t>如果本招标文件要求投标人提供资格、信誉、荣誉、业绩与企业认证等材料的，则投标人所提供的以上材料必须为投标人所拥有。</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8.</w:t>
      </w:r>
      <w:r>
        <w:rPr>
          <w:rFonts w:ascii="宋体" w:hAnsi="宋体"/>
          <w:b/>
          <w:color w:val="auto"/>
          <w:szCs w:val="21"/>
          <w:highlight w:val="none"/>
        </w:rPr>
        <w:t>2</w:t>
      </w:r>
      <w:r>
        <w:rPr>
          <w:rFonts w:hint="eastAsia" w:ascii="宋体" w:hAnsi="宋体"/>
          <w:b/>
          <w:color w:val="auto"/>
          <w:szCs w:val="21"/>
          <w:highlight w:val="none"/>
        </w:rPr>
        <w:t>投标人应仔细阅读招标文件的所有内容，按照招标文件的要求提交投标文件，并对所提供的全部资料的真实性承担法律责任。</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8.</w:t>
      </w:r>
      <w:r>
        <w:rPr>
          <w:rFonts w:ascii="宋体" w:hAnsi="宋体"/>
          <w:b/>
          <w:color w:val="auto"/>
          <w:szCs w:val="21"/>
          <w:highlight w:val="none"/>
        </w:rPr>
        <w:t>3</w:t>
      </w:r>
      <w:r>
        <w:rPr>
          <w:rFonts w:hint="eastAsia" w:ascii="宋体" w:hAnsi="宋体"/>
          <w:b/>
          <w:color w:val="auto"/>
          <w:szCs w:val="21"/>
          <w:highlight w:val="none"/>
        </w:rPr>
        <w:t>投标人在投标活动中提供任何虚假材料，将报监管部门查处；中标后发现的，中标人须依照《中华人民共和国消费者权益保护法》规定赔偿采购人，且民事赔偿并不免除违法投标人的行政与刑事责任。</w:t>
      </w:r>
    </w:p>
    <w:p>
      <w:pPr>
        <w:spacing w:line="360" w:lineRule="auto"/>
        <w:ind w:firstLine="480" w:firstLine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9</w:t>
      </w:r>
      <w:r>
        <w:rPr>
          <w:rFonts w:ascii="宋体" w:hAnsi="宋体"/>
          <w:b/>
          <w:color w:val="auto"/>
          <w:szCs w:val="21"/>
          <w:highlight w:val="none"/>
        </w:rPr>
        <w:t>.1在政府采购活动中，采购人员及相关人员与</w:t>
      </w:r>
      <w:r>
        <w:rPr>
          <w:rFonts w:hint="eastAsia" w:ascii="宋体" w:hAnsi="宋体"/>
          <w:b/>
          <w:color w:val="auto"/>
          <w:szCs w:val="21"/>
          <w:highlight w:val="none"/>
        </w:rPr>
        <w:t>供应商</w:t>
      </w:r>
      <w:r>
        <w:rPr>
          <w:rFonts w:ascii="宋体" w:hAnsi="宋体"/>
          <w:b/>
          <w:color w:val="auto"/>
          <w:szCs w:val="21"/>
          <w:highlight w:val="none"/>
        </w:rPr>
        <w:t>有下列利害关系之一的，应当回避：</w:t>
      </w:r>
    </w:p>
    <w:p>
      <w:pPr>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1</w:t>
      </w:r>
      <w:r>
        <w:rPr>
          <w:rFonts w:hAnsi="宋体"/>
          <w:color w:val="auto"/>
          <w:highlight w:val="none"/>
        </w:rPr>
        <w:t>）参加采购活动前3年内与</w:t>
      </w:r>
      <w:r>
        <w:rPr>
          <w:rFonts w:hint="eastAsia" w:hAnsi="宋体"/>
          <w:color w:val="auto"/>
          <w:highlight w:val="none"/>
        </w:rPr>
        <w:t>供应商</w:t>
      </w:r>
      <w:r>
        <w:rPr>
          <w:rFonts w:hAnsi="宋体"/>
          <w:color w:val="auto"/>
          <w:highlight w:val="none"/>
        </w:rPr>
        <w:t>存在劳动关系；</w:t>
      </w:r>
    </w:p>
    <w:p>
      <w:pPr>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2</w:t>
      </w:r>
      <w:r>
        <w:rPr>
          <w:rFonts w:hAnsi="宋体"/>
          <w:color w:val="auto"/>
          <w:highlight w:val="none"/>
        </w:rPr>
        <w:t>）参加采购活动前3年内担任</w:t>
      </w:r>
      <w:r>
        <w:rPr>
          <w:rFonts w:hint="eastAsia" w:hAnsi="宋体"/>
          <w:color w:val="auto"/>
          <w:highlight w:val="none"/>
        </w:rPr>
        <w:t>供应商</w:t>
      </w:r>
      <w:r>
        <w:rPr>
          <w:rFonts w:hAnsi="宋体"/>
          <w:color w:val="auto"/>
          <w:highlight w:val="none"/>
        </w:rPr>
        <w:t>的董事、监事；</w:t>
      </w:r>
    </w:p>
    <w:p>
      <w:pPr>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3</w:t>
      </w:r>
      <w:r>
        <w:rPr>
          <w:rFonts w:hAnsi="宋体"/>
          <w:color w:val="auto"/>
          <w:highlight w:val="none"/>
        </w:rPr>
        <w:t>）参加采购活动前3年内是</w:t>
      </w:r>
      <w:r>
        <w:rPr>
          <w:rFonts w:hint="eastAsia" w:hAnsi="宋体"/>
          <w:color w:val="auto"/>
          <w:highlight w:val="none"/>
        </w:rPr>
        <w:t>供应商</w:t>
      </w:r>
      <w:r>
        <w:rPr>
          <w:rFonts w:hAnsi="宋体"/>
          <w:color w:val="auto"/>
          <w:highlight w:val="none"/>
        </w:rPr>
        <w:t>的控股股东或者实际控制人；</w:t>
      </w:r>
    </w:p>
    <w:p>
      <w:pPr>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4</w:t>
      </w:r>
      <w:r>
        <w:rPr>
          <w:rFonts w:hAnsi="宋体"/>
          <w:color w:val="auto"/>
          <w:highlight w:val="none"/>
        </w:rPr>
        <w:t>）与</w:t>
      </w:r>
      <w:r>
        <w:rPr>
          <w:rFonts w:hint="eastAsia" w:hAnsi="宋体"/>
          <w:color w:val="auto"/>
          <w:highlight w:val="none"/>
        </w:rPr>
        <w:t>供应商</w:t>
      </w:r>
      <w:r>
        <w:rPr>
          <w:rFonts w:hAnsi="宋体"/>
          <w:color w:val="auto"/>
          <w:highlight w:val="none"/>
        </w:rPr>
        <w:t>的法定代表人或者负责人有夫妻、直系血亲、三代以内旁系血亲或者近姻亲关系；</w:t>
      </w:r>
    </w:p>
    <w:p>
      <w:pPr>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5</w:t>
      </w:r>
      <w:r>
        <w:rPr>
          <w:rFonts w:hAnsi="宋体"/>
          <w:color w:val="auto"/>
          <w:highlight w:val="none"/>
        </w:rPr>
        <w:t>）与</w:t>
      </w:r>
      <w:r>
        <w:rPr>
          <w:rFonts w:hint="eastAsia" w:hAnsi="宋体"/>
          <w:color w:val="auto"/>
          <w:highlight w:val="none"/>
        </w:rPr>
        <w:t>供应商</w:t>
      </w:r>
      <w:r>
        <w:rPr>
          <w:rFonts w:hAnsi="宋体"/>
          <w:color w:val="auto"/>
          <w:highlight w:val="none"/>
        </w:rPr>
        <w:t>有其他可能影响政府采购活动公平、公正进行的关系。</w:t>
      </w:r>
    </w:p>
    <w:p>
      <w:pPr>
        <w:spacing w:line="360" w:lineRule="auto"/>
        <w:ind w:firstLine="420" w:firstLineChars="200"/>
        <w:rPr>
          <w:rFonts w:hint="eastAsia" w:hAnsi="宋体"/>
          <w:color w:val="auto"/>
          <w:highlight w:val="none"/>
        </w:rPr>
      </w:pPr>
      <w:r>
        <w:rPr>
          <w:rFonts w:hint="eastAsia" w:hAnsi="宋体"/>
          <w:color w:val="auto"/>
          <w:highlight w:val="none"/>
        </w:rPr>
        <w:t>供应商</w:t>
      </w:r>
      <w:r>
        <w:rPr>
          <w:rFonts w:hAnsi="宋体"/>
          <w:color w:val="auto"/>
          <w:highlight w:val="none"/>
        </w:rPr>
        <w:t>认为采购人员及相关人员与其他</w:t>
      </w:r>
      <w:r>
        <w:rPr>
          <w:rFonts w:hint="eastAsia" w:hAnsi="宋体"/>
          <w:color w:val="auto"/>
          <w:highlight w:val="none"/>
        </w:rPr>
        <w:t>供应商</w:t>
      </w:r>
      <w:r>
        <w:rPr>
          <w:rFonts w:hAnsi="宋体"/>
          <w:color w:val="auto"/>
          <w:highlight w:val="none"/>
        </w:rPr>
        <w:t>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9.2</w:t>
      </w:r>
      <w:r>
        <w:rPr>
          <w:rFonts w:hint="eastAsia" w:ascii="宋体" w:hAnsi="宋体"/>
          <w:color w:val="auto"/>
          <w:szCs w:val="21"/>
          <w:highlight w:val="none"/>
        </w:rPr>
        <w:t>有下列情形之一的视为投标人相互串通投标，投标文件将被视为无效：</w:t>
      </w:r>
    </w:p>
    <w:p>
      <w:pPr>
        <w:spacing w:line="360" w:lineRule="auto"/>
        <w:ind w:firstLine="422" w:firstLineChars="200"/>
        <w:rPr>
          <w:rFonts w:hint="eastAsia" w:hAnsi="宋体"/>
          <w:b/>
          <w:color w:val="auto"/>
          <w:highlight w:val="none"/>
        </w:rPr>
      </w:pPr>
      <w:r>
        <w:rPr>
          <w:rFonts w:hint="eastAsia" w:hAnsi="宋体"/>
          <w:b/>
          <w:color w:val="auto"/>
          <w:highlight w:val="none"/>
        </w:rPr>
        <w:t>（1）不同投标人的投标文件由同一单位或者个人编制；或者不同投标人报名的IP地址一致的；</w:t>
      </w:r>
    </w:p>
    <w:p>
      <w:pPr>
        <w:spacing w:line="360" w:lineRule="auto"/>
        <w:ind w:firstLine="422" w:firstLineChars="200"/>
        <w:rPr>
          <w:rFonts w:hint="eastAsia" w:hAnsi="宋体"/>
          <w:b/>
          <w:color w:val="auto"/>
          <w:highlight w:val="none"/>
        </w:rPr>
      </w:pPr>
      <w:r>
        <w:rPr>
          <w:rFonts w:hint="eastAsia" w:hAnsi="宋体"/>
          <w:b/>
          <w:color w:val="auto"/>
          <w:highlight w:val="none"/>
        </w:rPr>
        <w:t>（2）不同投标人委托同一单位或者个人办理投标事宜；</w:t>
      </w:r>
    </w:p>
    <w:p>
      <w:pPr>
        <w:spacing w:line="360" w:lineRule="auto"/>
        <w:ind w:firstLine="422" w:firstLineChars="200"/>
        <w:rPr>
          <w:rFonts w:hint="eastAsia" w:hAnsi="宋体"/>
          <w:b/>
          <w:color w:val="auto"/>
          <w:highlight w:val="none"/>
        </w:rPr>
      </w:pPr>
      <w:r>
        <w:rPr>
          <w:rFonts w:hint="eastAsia" w:hAnsi="宋体"/>
          <w:b/>
          <w:color w:val="auto"/>
          <w:highlight w:val="none"/>
        </w:rPr>
        <w:t>（3）不同的投标人的投标文件载明的项目管理员为同一个人；</w:t>
      </w:r>
    </w:p>
    <w:p>
      <w:pPr>
        <w:spacing w:line="360" w:lineRule="auto"/>
        <w:ind w:firstLine="422" w:firstLineChars="200"/>
        <w:rPr>
          <w:rFonts w:hint="eastAsia" w:hAnsi="宋体"/>
          <w:b/>
          <w:color w:val="auto"/>
          <w:highlight w:val="none"/>
        </w:rPr>
      </w:pPr>
      <w:r>
        <w:rPr>
          <w:rFonts w:hint="eastAsia" w:hAnsi="宋体"/>
          <w:b/>
          <w:color w:val="auto"/>
          <w:highlight w:val="none"/>
        </w:rPr>
        <w:t>（4）不同投标人的电子或纸质投标文件异常一致或者投标报价呈规律性差异；</w:t>
      </w:r>
    </w:p>
    <w:p>
      <w:pPr>
        <w:spacing w:line="360" w:lineRule="auto"/>
        <w:ind w:firstLine="422" w:firstLineChars="200"/>
        <w:rPr>
          <w:rFonts w:hint="eastAsia" w:hAnsi="宋体"/>
          <w:b/>
          <w:color w:val="auto"/>
          <w:highlight w:val="none"/>
        </w:rPr>
      </w:pPr>
      <w:r>
        <w:rPr>
          <w:rFonts w:hint="eastAsia" w:hAnsi="宋体"/>
          <w:b/>
          <w:color w:val="auto"/>
          <w:highlight w:val="none"/>
        </w:rPr>
        <w:t>（5）不同投标人的纸质投标文件相互混装；</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9.3</w:t>
      </w:r>
      <w:r>
        <w:rPr>
          <w:rFonts w:hint="eastAsia" w:ascii="宋体" w:hAnsi="宋体"/>
          <w:color w:val="auto"/>
          <w:szCs w:val="21"/>
          <w:highlight w:val="none"/>
        </w:rPr>
        <w:t>供应商有下列情形之一的，属于恶意串通行为，将报同级监督管理部门：</w:t>
      </w:r>
    </w:p>
    <w:p>
      <w:pPr>
        <w:spacing w:line="360" w:lineRule="auto"/>
        <w:ind w:firstLine="420" w:firstLineChars="200"/>
        <w:rPr>
          <w:rFonts w:hint="eastAsia" w:hAnsi="宋体"/>
          <w:color w:val="auto"/>
          <w:highlight w:val="none"/>
        </w:rPr>
      </w:pPr>
      <w:r>
        <w:rPr>
          <w:rFonts w:hint="eastAsia" w:hAnsi="宋体"/>
          <w:color w:val="auto"/>
          <w:highlight w:val="none"/>
        </w:rPr>
        <w:t>（1）供应商直接或者间接从采购人或者采购代理机构处获得其他供应商的相关信息并修改其投标文件或者投标文件；</w:t>
      </w:r>
    </w:p>
    <w:p>
      <w:pPr>
        <w:spacing w:line="360" w:lineRule="auto"/>
        <w:ind w:firstLine="420" w:firstLineChars="200"/>
        <w:rPr>
          <w:rFonts w:hint="eastAsia" w:hAnsi="宋体"/>
          <w:color w:val="auto"/>
          <w:highlight w:val="none"/>
        </w:rPr>
      </w:pPr>
      <w:r>
        <w:rPr>
          <w:rFonts w:hint="eastAsia" w:hAnsi="宋体"/>
          <w:color w:val="auto"/>
          <w:highlight w:val="none"/>
        </w:rPr>
        <w:t>（2）供应商按照采购人或者采购代理机构的授意撤换、修改投标文件或者投标文件；</w:t>
      </w:r>
    </w:p>
    <w:p>
      <w:pPr>
        <w:spacing w:line="360" w:lineRule="auto"/>
        <w:ind w:firstLine="420" w:firstLineChars="200"/>
        <w:rPr>
          <w:rFonts w:hint="eastAsia" w:hAnsi="宋体"/>
          <w:color w:val="auto"/>
          <w:highlight w:val="none"/>
        </w:rPr>
      </w:pPr>
      <w:r>
        <w:rPr>
          <w:rFonts w:hint="eastAsia" w:hAnsi="宋体"/>
          <w:color w:val="auto"/>
          <w:highlight w:val="none"/>
        </w:rPr>
        <w:t>（3）供应商之间协商报价、技术方案等投标文件或者投标文件的实质性内容；</w:t>
      </w:r>
    </w:p>
    <w:p>
      <w:pPr>
        <w:spacing w:line="360" w:lineRule="auto"/>
        <w:ind w:firstLine="420" w:firstLineChars="200"/>
        <w:rPr>
          <w:rFonts w:hint="eastAsia" w:hAnsi="宋体"/>
          <w:color w:val="auto"/>
          <w:highlight w:val="none"/>
        </w:rPr>
      </w:pPr>
      <w:r>
        <w:rPr>
          <w:rFonts w:hint="eastAsia" w:hAnsi="宋体"/>
          <w:color w:val="auto"/>
          <w:highlight w:val="none"/>
        </w:rPr>
        <w:t>（4）属于同一集团、协会、商会等组织成员的供应商按照该组织要求协同参加政府采购活动；</w:t>
      </w:r>
    </w:p>
    <w:p>
      <w:pPr>
        <w:spacing w:line="360" w:lineRule="auto"/>
        <w:ind w:firstLine="420" w:firstLineChars="200"/>
        <w:rPr>
          <w:rFonts w:hint="eastAsia" w:hAnsi="宋体"/>
          <w:color w:val="auto"/>
          <w:highlight w:val="none"/>
        </w:rPr>
      </w:pPr>
      <w:r>
        <w:rPr>
          <w:rFonts w:hint="eastAsia" w:hAnsi="宋体"/>
          <w:color w:val="auto"/>
          <w:highlight w:val="none"/>
        </w:rPr>
        <w:t>（5）供应商之间事先约定一致抬高或者压低投标报价，或者在招标项目中事先约定轮流以高价位或者低价位中标，或者事先约定由某一特定供应商中标，然后再参加投标；</w:t>
      </w:r>
    </w:p>
    <w:p>
      <w:pPr>
        <w:spacing w:line="360" w:lineRule="auto"/>
        <w:ind w:firstLine="420" w:firstLineChars="200"/>
        <w:rPr>
          <w:rFonts w:hint="eastAsia" w:hAnsi="宋体"/>
          <w:color w:val="auto"/>
          <w:highlight w:val="none"/>
        </w:rPr>
      </w:pPr>
      <w:r>
        <w:rPr>
          <w:rFonts w:hint="eastAsia" w:hAnsi="宋体"/>
          <w:color w:val="auto"/>
          <w:highlight w:val="none"/>
        </w:rPr>
        <w:t>（6）供应商之间商定部分供应商放弃参加政府采购活动或者放弃中标；</w:t>
      </w:r>
    </w:p>
    <w:p>
      <w:pPr>
        <w:spacing w:line="360" w:lineRule="auto"/>
        <w:ind w:firstLine="420" w:firstLineChars="200"/>
        <w:rPr>
          <w:rFonts w:hAnsi="宋体"/>
          <w:color w:val="auto"/>
          <w:highlight w:val="none"/>
        </w:rPr>
      </w:pPr>
      <w:r>
        <w:rPr>
          <w:rFonts w:hint="eastAsia" w:hAnsi="宋体"/>
          <w:color w:val="auto"/>
          <w:highlight w:val="none"/>
        </w:rPr>
        <w:t>（7）供应商与采购人或者采购代理机构之间、供应商相互之间，为谋求特定供应商中标或者排斥其他供应商的其他串通行为。</w:t>
      </w:r>
    </w:p>
    <w:p>
      <w:pPr>
        <w:pStyle w:val="21"/>
        <w:snapToGrid w:val="0"/>
        <w:spacing w:line="360" w:lineRule="auto"/>
        <w:ind w:left="2" w:leftChars="1" w:firstLine="422" w:firstLineChars="200"/>
        <w:rPr>
          <w:rFonts w:hint="eastAsia" w:hAnsi="宋体"/>
          <w:b/>
          <w:color w:val="auto"/>
          <w:highlight w:val="none"/>
        </w:rPr>
      </w:pPr>
    </w:p>
    <w:p>
      <w:pPr>
        <w:pStyle w:val="5"/>
        <w:keepNext w:val="0"/>
        <w:keepLines w:val="0"/>
        <w:spacing w:line="400" w:lineRule="exact"/>
        <w:jc w:val="center"/>
        <w:rPr>
          <w:rFonts w:hint="eastAsia"/>
          <w:color w:val="auto"/>
          <w:highlight w:val="none"/>
        </w:rPr>
      </w:pPr>
      <w:bookmarkStart w:id="96" w:name="_Toc80092996"/>
      <w:bookmarkStart w:id="97" w:name="_Toc254970675"/>
      <w:bookmarkStart w:id="98" w:name="_Toc254970534"/>
      <w:bookmarkStart w:id="99" w:name="_Toc27430"/>
      <w:bookmarkStart w:id="100" w:name="_Toc26588"/>
      <w:bookmarkStart w:id="101" w:name="_Toc28559"/>
      <w:r>
        <w:rPr>
          <w:rFonts w:hint="eastAsia"/>
          <w:color w:val="auto"/>
          <w:highlight w:val="none"/>
        </w:rPr>
        <w:t>二、招标文件</w:t>
      </w:r>
      <w:bookmarkEnd w:id="96"/>
      <w:bookmarkEnd w:id="97"/>
      <w:bookmarkEnd w:id="98"/>
      <w:bookmarkEnd w:id="99"/>
      <w:bookmarkEnd w:id="100"/>
      <w:bookmarkEnd w:id="101"/>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10.招标文件的组成</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第一章 招标公告；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第二章 采购需求；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第三章 投标人须知；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第四章 评标方法及评标标准；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第五章 拟签订的合同文本；</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第六章 投标文件格式；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第七章 质疑、投诉材料格式</w:t>
      </w:r>
    </w:p>
    <w:p>
      <w:pPr>
        <w:spacing w:line="360" w:lineRule="auto"/>
        <w:ind w:firstLine="420" w:firstLineChars="200"/>
        <w:rPr>
          <w:rFonts w:hint="eastAsia" w:hAnsi="宋体"/>
          <w:color w:val="auto"/>
          <w:highlight w:val="none"/>
        </w:rPr>
      </w:pPr>
      <w:r>
        <w:rPr>
          <w:rFonts w:hint="eastAsia" w:hAnsi="宋体"/>
          <w:color w:val="auto"/>
          <w:highlight w:val="none"/>
        </w:rPr>
        <w:t>根据本章第11.1项的规定对公开招标文件所做的澄清、修改，构成招标文件的组成部分。当公开招标文件与招标文件的澄清和修改就同一内容的表述不一致时，</w:t>
      </w:r>
      <w:r>
        <w:rPr>
          <w:rFonts w:hint="eastAsia"/>
          <w:color w:val="auto"/>
          <w:highlight w:val="none"/>
        </w:rPr>
        <w:t>以最后澄清或修改公告为准。</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spacing w:line="360" w:lineRule="auto"/>
        <w:ind w:firstLine="420" w:firstLineChars="200"/>
        <w:rPr>
          <w:rFonts w:hint="eastAsia" w:hAnsi="宋体"/>
          <w:color w:val="auto"/>
          <w:highlight w:val="none"/>
        </w:rPr>
      </w:pPr>
      <w:r>
        <w:rPr>
          <w:rFonts w:hint="eastAsia" w:hAnsi="宋体"/>
          <w:color w:val="auto"/>
          <w:highlight w:val="none"/>
        </w:rPr>
        <w:t>11.2 投标人应认真审阅本公开招标文件，如有疑问，或发现其中有误或有要求不合理的，应在投标人须知前附表规定的</w:t>
      </w:r>
      <w:r>
        <w:rPr>
          <w:rFonts w:hint="eastAsia" w:cs="宋体"/>
          <w:color w:val="auto"/>
          <w:kern w:val="0"/>
          <w:szCs w:val="21"/>
          <w:highlight w:val="none"/>
        </w:rPr>
        <w:t>投标截止时间</w:t>
      </w:r>
      <w:r>
        <w:rPr>
          <w:rFonts w:hint="eastAsia" w:hAnsi="宋体"/>
          <w:color w:val="auto"/>
          <w:highlight w:val="none"/>
        </w:rPr>
        <w:t>前以书面形式要求采购人或采购代理机构对招标文件予以澄清；否则，由此产生的后果由投标人自行负责。</w:t>
      </w:r>
    </w:p>
    <w:p>
      <w:pPr>
        <w:spacing w:line="360" w:lineRule="auto"/>
        <w:ind w:firstLine="420" w:firstLineChars="200"/>
        <w:rPr>
          <w:rFonts w:hint="eastAsia"/>
          <w:color w:val="auto"/>
          <w:highlight w:val="none"/>
        </w:rPr>
      </w:pPr>
      <w:r>
        <w:rPr>
          <w:rFonts w:hint="eastAsia" w:hAnsi="宋体"/>
          <w:color w:val="auto"/>
          <w:highlight w:val="none"/>
        </w:rPr>
        <w:t>11.3 采购人或者采购代理机构可以对已发出的招标文件进行必要的澄清或者修改。澄清或者修改的内容可能影响投标文件编制的，采购人或者采购代理机构应当在投标截止时间至少15日前，以书面形式通知(在“</w:t>
      </w:r>
      <w:r>
        <w:rPr>
          <w:rFonts w:hAnsi="宋体"/>
          <w:color w:val="auto"/>
          <w:szCs w:val="21"/>
          <w:highlight w:val="none"/>
        </w:rPr>
        <w:t>投标人须知前附表”</w:t>
      </w:r>
      <w:r>
        <w:rPr>
          <w:rFonts w:hint="eastAsia" w:hAnsi="宋体"/>
          <w:color w:val="auto"/>
          <w:highlight w:val="none"/>
        </w:rPr>
        <w:t>规定的政府采购信息发布媒体上发布更正公告及平台短信通知)所有获取招标文件的潜在投标人；不足15日的，采购人或者采购代理机构应当顺延提交投标文件的截止时间。发出的澄清或者修改不影响投标文件编制的也应在截标前3日发出。</w:t>
      </w:r>
    </w:p>
    <w:p>
      <w:pPr>
        <w:spacing w:line="360" w:lineRule="auto"/>
        <w:ind w:firstLine="420" w:firstLineChars="200"/>
        <w:rPr>
          <w:rFonts w:hint="eastAsia"/>
          <w:color w:val="auto"/>
          <w:highlight w:val="none"/>
        </w:rPr>
      </w:pPr>
      <w:r>
        <w:rPr>
          <w:rFonts w:hint="eastAsia" w:hAnsi="宋体"/>
          <w:color w:val="auto"/>
          <w:highlight w:val="none"/>
        </w:rPr>
        <w:t xml:space="preserve">11.4 </w:t>
      </w:r>
      <w:r>
        <w:rPr>
          <w:rFonts w:hint="eastAsia"/>
          <w:color w:val="auto"/>
          <w:highlight w:val="none"/>
        </w:rPr>
        <w:t>采购人和采购代理机构可以视采购具体情况，变更投标截止时间和开标时间，将变更时间将在</w:t>
      </w:r>
      <w:r>
        <w:rPr>
          <w:rFonts w:hint="eastAsia" w:hAnsi="宋体"/>
          <w:color w:val="auto"/>
          <w:highlight w:val="none"/>
        </w:rPr>
        <w:t>“</w:t>
      </w:r>
      <w:r>
        <w:rPr>
          <w:rFonts w:hAnsi="宋体"/>
          <w:color w:val="auto"/>
          <w:szCs w:val="21"/>
          <w:highlight w:val="none"/>
        </w:rPr>
        <w:t>投标人须知前附表”</w:t>
      </w:r>
      <w:r>
        <w:rPr>
          <w:rFonts w:hint="eastAsia" w:cs="宋体"/>
          <w:color w:val="auto"/>
          <w:kern w:val="0"/>
          <w:szCs w:val="21"/>
          <w:highlight w:val="none"/>
        </w:rPr>
        <w:t>规定的政府采购信息发布媒体上</w:t>
      </w:r>
      <w:r>
        <w:rPr>
          <w:rFonts w:hint="eastAsia"/>
          <w:color w:val="auto"/>
          <w:highlight w:val="none"/>
        </w:rPr>
        <w:t>发布更正公告。</w:t>
      </w:r>
    </w:p>
    <w:p>
      <w:pPr>
        <w:spacing w:line="360" w:lineRule="auto"/>
        <w:ind w:firstLine="420" w:firstLineChars="200"/>
        <w:rPr>
          <w:rFonts w:hint="eastAsia" w:hAnsi="宋体"/>
          <w:color w:val="auto"/>
          <w:highlight w:val="none"/>
        </w:rPr>
      </w:pPr>
      <w:r>
        <w:rPr>
          <w:rFonts w:hint="eastAsia" w:hAnsi="宋体"/>
          <w:color w:val="auto"/>
          <w:highlight w:val="none"/>
        </w:rPr>
        <w:t>1</w:t>
      </w:r>
      <w:r>
        <w:rPr>
          <w:rFonts w:hAnsi="宋体"/>
          <w:color w:val="auto"/>
          <w:highlight w:val="none"/>
        </w:rPr>
        <w:t>1.</w:t>
      </w:r>
      <w:bookmarkStart w:id="102" w:name="_Hlk53134511"/>
      <w:r>
        <w:rPr>
          <w:rFonts w:hint="eastAsia" w:hAnsi="宋体"/>
          <w:color w:val="auto"/>
          <w:highlight w:val="none"/>
        </w:rPr>
        <w:t>5采购人或者采购代理机构可以在招标文件提供期限截止后，组织已获取招标文件的潜在投标人现场考察或者召开开标前答疑会，具体详见“投标人须知前附表”。</w:t>
      </w:r>
    </w:p>
    <w:bookmarkEnd w:id="102"/>
    <w:p>
      <w:pPr>
        <w:pStyle w:val="5"/>
        <w:keepNext w:val="0"/>
        <w:keepLines w:val="0"/>
        <w:spacing w:line="400" w:lineRule="exact"/>
        <w:jc w:val="center"/>
        <w:rPr>
          <w:rFonts w:hint="eastAsia"/>
          <w:color w:val="auto"/>
          <w:highlight w:val="none"/>
        </w:rPr>
      </w:pPr>
      <w:bookmarkStart w:id="103" w:name="_Toc20700"/>
      <w:bookmarkStart w:id="104" w:name="_Toc254970535"/>
      <w:bookmarkStart w:id="105" w:name="_Toc9908"/>
      <w:bookmarkStart w:id="106" w:name="_Toc254970676"/>
      <w:bookmarkStart w:id="107" w:name="_Toc80092997"/>
      <w:bookmarkStart w:id="108" w:name="_Toc29399"/>
      <w:r>
        <w:rPr>
          <w:rFonts w:hint="eastAsia"/>
          <w:color w:val="auto"/>
          <w:highlight w:val="none"/>
        </w:rPr>
        <w:t>三、投标文件的编制</w:t>
      </w:r>
      <w:bookmarkEnd w:id="103"/>
      <w:bookmarkEnd w:id="104"/>
      <w:bookmarkEnd w:id="105"/>
      <w:bookmarkEnd w:id="106"/>
      <w:bookmarkEnd w:id="107"/>
      <w:bookmarkEnd w:id="108"/>
    </w:p>
    <w:p>
      <w:pPr>
        <w:spacing w:line="360" w:lineRule="auto"/>
        <w:ind w:firstLine="480" w:firstLineChars="200"/>
        <w:rPr>
          <w:rFonts w:hint="eastAsia" w:ascii="黑体" w:hAnsi="黑体" w:eastAsia="黑体"/>
          <w:color w:val="auto"/>
          <w:sz w:val="24"/>
          <w:highlight w:val="none"/>
        </w:rPr>
      </w:pPr>
      <w:bookmarkStart w:id="109" w:name="_Toc254970677"/>
      <w:bookmarkStart w:id="110" w:name="_Toc254970536"/>
      <w:r>
        <w:rPr>
          <w:rFonts w:hint="eastAsia" w:ascii="黑体" w:hAnsi="黑体" w:eastAsia="黑体"/>
          <w:color w:val="auto"/>
          <w:sz w:val="24"/>
          <w:highlight w:val="none"/>
        </w:rPr>
        <w:t>12.投标文件的编制原则</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12.1</w:t>
      </w:r>
      <w:r>
        <w:rPr>
          <w:rFonts w:ascii="宋体" w:hAnsi="宋体"/>
          <w:color w:val="auto"/>
          <w:szCs w:val="21"/>
          <w:highlight w:val="none"/>
        </w:rPr>
        <w:t>投标人必须按照招标文件的要求编制投标文件。投标文件必须对招标文件提出的要求和条件作出明确响应。</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12.2投标人应根据自身实际情况如实响应招标文件，不得仅将招标文件内容简单复制粘贴作为投标响应，还应当提供相关证明材料，否则将作无效响应处理（定制采购项目不适用本条款）。对于重要技术条款或技术参数应当在投标文件中提供技术支持资料，技术支持资料以招标文件中规定的形式为准，否则将视为无效技术支持资料。</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13.投标文件的组成</w:t>
      </w:r>
      <w:bookmarkEnd w:id="109"/>
      <w:bookmarkEnd w:id="110"/>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3.1</w:t>
      </w:r>
      <w:r>
        <w:rPr>
          <w:rFonts w:hint="eastAsia" w:ascii="宋体" w:hAnsi="宋体"/>
          <w:color w:val="auto"/>
          <w:szCs w:val="21"/>
          <w:highlight w:val="none"/>
        </w:rPr>
        <w:t>投标文件由报价文件、资格证明文件、商务文件、技术文件四部分组成。</w:t>
      </w:r>
    </w:p>
    <w:p>
      <w:pPr>
        <w:spacing w:line="360" w:lineRule="auto"/>
        <w:ind w:firstLine="420" w:firstLineChars="200"/>
        <w:rPr>
          <w:rFonts w:hint="eastAsia" w:ascii="宋体" w:hAnsi="宋体"/>
          <w:bCs/>
          <w:color w:val="auto"/>
          <w:szCs w:val="21"/>
          <w:highlight w:val="none"/>
        </w:rPr>
      </w:pPr>
      <w:bookmarkStart w:id="111" w:name="_13.1报价文件:_具体材料见“投标人须知前附表”。"/>
      <w:bookmarkEnd w:id="111"/>
      <w:bookmarkStart w:id="112" w:name="_13.2资格证明文件：具体材料见“投标人须知前附表”。"/>
      <w:bookmarkEnd w:id="112"/>
      <w:r>
        <w:rPr>
          <w:rFonts w:hint="eastAsia" w:ascii="宋体" w:hAnsi="宋体"/>
          <w:bCs/>
          <w:color w:val="auto"/>
          <w:szCs w:val="21"/>
          <w:highlight w:val="none"/>
        </w:rPr>
        <w:t>（1）资格证明文件：</w:t>
      </w:r>
      <w:r>
        <w:rPr>
          <w:rFonts w:ascii="宋体" w:hAnsi="宋体"/>
          <w:bCs/>
          <w:color w:val="auto"/>
          <w:szCs w:val="21"/>
          <w:highlight w:val="none"/>
        </w:rPr>
        <w:t>具体材料见“投标人须知前附表”</w:t>
      </w:r>
      <w:r>
        <w:rPr>
          <w:rFonts w:hint="eastAsia" w:ascii="宋体" w:hAnsi="宋体"/>
          <w:bCs/>
          <w:color w:val="auto"/>
          <w:szCs w:val="21"/>
          <w:highlight w:val="none"/>
        </w:rPr>
        <w:t>。</w:t>
      </w:r>
    </w:p>
    <w:p>
      <w:pPr>
        <w:spacing w:line="360" w:lineRule="auto"/>
        <w:ind w:firstLine="420" w:firstLineChars="200"/>
        <w:rPr>
          <w:rFonts w:hint="eastAsia" w:ascii="宋体" w:hAnsi="宋体"/>
          <w:bCs/>
          <w:color w:val="auto"/>
          <w:szCs w:val="21"/>
          <w:highlight w:val="none"/>
        </w:rPr>
      </w:pPr>
      <w:bookmarkStart w:id="113" w:name="_13.3商务文件:_具体材料见“投标人须知前附表”。"/>
      <w:bookmarkEnd w:id="113"/>
      <w:r>
        <w:rPr>
          <w:rFonts w:hint="eastAsia" w:ascii="宋体" w:hAnsi="宋体"/>
          <w:bCs/>
          <w:color w:val="auto"/>
          <w:szCs w:val="21"/>
          <w:highlight w:val="none"/>
        </w:rPr>
        <w:t>（2）商务文件：</w:t>
      </w:r>
      <w:r>
        <w:rPr>
          <w:rFonts w:ascii="宋体" w:hAnsi="宋体"/>
          <w:bCs/>
          <w:color w:val="auto"/>
          <w:szCs w:val="21"/>
          <w:highlight w:val="none"/>
        </w:rPr>
        <w:t>具体材料见“投标人须知前附表”</w:t>
      </w:r>
      <w:r>
        <w:rPr>
          <w:rFonts w:hint="eastAsia" w:ascii="宋体" w:hAnsi="宋体"/>
          <w:bCs/>
          <w:color w:val="auto"/>
          <w:szCs w:val="21"/>
          <w:highlight w:val="none"/>
        </w:rPr>
        <w:t>。</w:t>
      </w:r>
    </w:p>
    <w:p>
      <w:pPr>
        <w:spacing w:line="360" w:lineRule="auto"/>
        <w:ind w:firstLine="420" w:firstLineChars="200"/>
        <w:rPr>
          <w:rFonts w:hint="eastAsia" w:ascii="宋体" w:hAnsi="宋体"/>
          <w:bCs/>
          <w:color w:val="auto"/>
          <w:szCs w:val="21"/>
          <w:highlight w:val="none"/>
        </w:rPr>
      </w:pPr>
      <w:bookmarkStart w:id="114" w:name="_13.4技术文件：具体材料见“投标人须知前附表”。"/>
      <w:bookmarkEnd w:id="114"/>
      <w:r>
        <w:rPr>
          <w:rFonts w:hint="eastAsia" w:ascii="宋体" w:hAnsi="宋体"/>
          <w:bCs/>
          <w:color w:val="auto"/>
          <w:szCs w:val="21"/>
          <w:highlight w:val="none"/>
        </w:rPr>
        <w:t>（3）技术文件：</w:t>
      </w:r>
      <w:r>
        <w:rPr>
          <w:rFonts w:ascii="宋体" w:hAnsi="宋体"/>
          <w:bCs/>
          <w:color w:val="auto"/>
          <w:szCs w:val="21"/>
          <w:highlight w:val="none"/>
        </w:rPr>
        <w:t>具体材料见“投标人须知前附表”</w:t>
      </w:r>
      <w:r>
        <w:rPr>
          <w:rFonts w:hint="eastAsia" w:ascii="宋体" w:hAnsi="宋体"/>
          <w:bCs/>
          <w:color w:val="auto"/>
          <w:szCs w:val="21"/>
          <w:highlight w:val="none"/>
        </w:rPr>
        <w:t xml:space="preserve">。 </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（4）报价文件：</w:t>
      </w:r>
      <w:r>
        <w:rPr>
          <w:rFonts w:ascii="宋体" w:hAnsi="宋体"/>
          <w:bCs/>
          <w:color w:val="auto"/>
          <w:szCs w:val="21"/>
          <w:highlight w:val="none"/>
        </w:rPr>
        <w:t xml:space="preserve"> 具体材料见“投标人须知前附表”</w:t>
      </w:r>
      <w:r>
        <w:rPr>
          <w:rFonts w:hint="eastAsia" w:ascii="宋体" w:hAnsi="宋体"/>
          <w:bCs/>
          <w:color w:val="auto"/>
          <w:szCs w:val="21"/>
          <w:highlight w:val="none"/>
        </w:rPr>
        <w:t>。</w:t>
      </w:r>
    </w:p>
    <w:p>
      <w:pPr>
        <w:spacing w:line="360" w:lineRule="auto"/>
        <w:ind w:firstLine="420" w:firstLineChars="200"/>
        <w:rPr>
          <w:rFonts w:hint="eastAsia" w:ascii="宋体" w:hAnsi="宋体"/>
          <w:bCs/>
          <w:color w:val="auto"/>
          <w:szCs w:val="21"/>
          <w:highlight w:val="none"/>
        </w:rPr>
      </w:pPr>
      <w:bookmarkStart w:id="115" w:name="_13.5投标文件电子版：具体材料见“投标人须知前附表”。"/>
      <w:bookmarkEnd w:id="115"/>
      <w:r>
        <w:rPr>
          <w:rFonts w:hint="eastAsia" w:ascii="宋体" w:hAnsi="宋体"/>
          <w:bCs/>
          <w:color w:val="auto"/>
          <w:szCs w:val="21"/>
          <w:highlight w:val="none"/>
        </w:rPr>
        <w:t>13.</w:t>
      </w:r>
      <w:r>
        <w:rPr>
          <w:rFonts w:ascii="宋体" w:hAnsi="宋体"/>
          <w:bCs/>
          <w:color w:val="auto"/>
          <w:szCs w:val="21"/>
          <w:highlight w:val="none"/>
        </w:rPr>
        <w:t>2</w:t>
      </w:r>
      <w:r>
        <w:rPr>
          <w:rFonts w:hint="eastAsia" w:ascii="宋体" w:hAnsi="宋体"/>
          <w:bCs/>
          <w:color w:val="auto"/>
          <w:szCs w:val="21"/>
          <w:highlight w:val="none"/>
        </w:rPr>
        <w:t>投标文件电子版：</w:t>
      </w:r>
      <w:r>
        <w:rPr>
          <w:rFonts w:ascii="宋体" w:hAnsi="宋体"/>
          <w:bCs/>
          <w:color w:val="auto"/>
          <w:szCs w:val="21"/>
          <w:highlight w:val="none"/>
        </w:rPr>
        <w:t>具体</w:t>
      </w:r>
      <w:r>
        <w:rPr>
          <w:rFonts w:hint="eastAsia" w:ascii="宋体" w:hAnsi="宋体"/>
          <w:bCs/>
          <w:color w:val="auto"/>
          <w:szCs w:val="21"/>
          <w:highlight w:val="none"/>
        </w:rPr>
        <w:t>要求</w:t>
      </w:r>
      <w:r>
        <w:rPr>
          <w:rFonts w:ascii="宋体" w:hAnsi="宋体"/>
          <w:bCs/>
          <w:color w:val="auto"/>
          <w:szCs w:val="21"/>
          <w:highlight w:val="none"/>
        </w:rPr>
        <w:t>见</w:t>
      </w:r>
      <w:r>
        <w:rPr>
          <w:rFonts w:hint="eastAsia" w:ascii="宋体" w:hAnsi="宋体"/>
          <w:bCs/>
          <w:color w:val="auto"/>
          <w:szCs w:val="21"/>
          <w:highlight w:val="none"/>
        </w:rPr>
        <w:t>本节19.投标文件编制。</w:t>
      </w:r>
    </w:p>
    <w:p>
      <w:pPr>
        <w:spacing w:line="360" w:lineRule="auto"/>
        <w:ind w:firstLine="480" w:firstLineChars="200"/>
        <w:rPr>
          <w:rFonts w:hint="eastAsia" w:ascii="黑体" w:hAnsi="黑体" w:eastAsia="黑体"/>
          <w:color w:val="auto"/>
          <w:sz w:val="24"/>
          <w:highlight w:val="none"/>
        </w:rPr>
      </w:pPr>
      <w:bookmarkStart w:id="116" w:name="_Toc254970537"/>
      <w:bookmarkStart w:id="117" w:name="_Toc254970678"/>
      <w:r>
        <w:rPr>
          <w:rFonts w:hint="eastAsia" w:ascii="黑体" w:hAnsi="黑体" w:eastAsia="黑体"/>
          <w:color w:val="auto"/>
          <w:sz w:val="24"/>
          <w:highlight w:val="none"/>
        </w:rPr>
        <w:t>14.投标文件的语言及计量</w:t>
      </w:r>
      <w:bookmarkEnd w:id="116"/>
      <w:bookmarkEnd w:id="117"/>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14.1语言文字</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14.2投标计量单位</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招标文件已有明确规定的，使用招标文件规定的计量单位；招标文件没有规定的，应采用中华人民共和国法定计量单位，货币种类为人民币，否则视同未响应。</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15.投标的风险</w:t>
      </w:r>
    </w:p>
    <w:p>
      <w:pPr>
        <w:spacing w:line="360" w:lineRule="auto"/>
        <w:ind w:firstLine="420" w:firstLineChars="200"/>
        <w:rPr>
          <w:rFonts w:hint="eastAsia" w:hAnsi="宋体"/>
          <w:b/>
          <w:bCs/>
          <w:color w:val="auto"/>
          <w:highlight w:val="none"/>
        </w:rPr>
      </w:pPr>
      <w:r>
        <w:rPr>
          <w:rFonts w:hint="eastAsia" w:hAnsi="宋体"/>
          <w:color w:val="auto"/>
          <w:highlight w:val="none"/>
        </w:rPr>
        <w:t>投标文件分为资格文件、商务和技术文件、报价文件三部分。各投标人在编制投标文件时请按照招标文件规定的格式进行，混乱的编排导致投标文件被误读或评标委员会查找不到有效文件是投标人的风险。▲</w:t>
      </w:r>
      <w:r>
        <w:rPr>
          <w:rFonts w:hint="eastAsia" w:hAnsi="宋体"/>
          <w:b/>
          <w:bCs/>
          <w:color w:val="auto"/>
          <w:highlight w:val="none"/>
        </w:rPr>
        <w:t>投标文件未按规定的格式编制的、没有按照招标文件要求提供全部资料、没有对招标文件作出实质性响应，投标无效；</w:t>
      </w:r>
    </w:p>
    <w:p>
      <w:pPr>
        <w:spacing w:line="360" w:lineRule="auto"/>
        <w:ind w:firstLine="480" w:firstLineChars="200"/>
        <w:rPr>
          <w:rFonts w:hint="eastAsia" w:ascii="黑体" w:hAnsi="黑体" w:eastAsia="黑体"/>
          <w:color w:val="auto"/>
          <w:sz w:val="24"/>
          <w:highlight w:val="none"/>
        </w:rPr>
      </w:pPr>
      <w:bookmarkStart w:id="118" w:name="_Toc254970538"/>
      <w:bookmarkStart w:id="119" w:name="_Toc254970679"/>
      <w:r>
        <w:rPr>
          <w:rFonts w:hint="eastAsia" w:ascii="黑体" w:hAnsi="黑体" w:eastAsia="黑体"/>
          <w:color w:val="auto"/>
          <w:sz w:val="24"/>
          <w:highlight w:val="none"/>
        </w:rPr>
        <w:t>16.投标报价</w:t>
      </w:r>
      <w:bookmarkEnd w:id="118"/>
      <w:bookmarkEnd w:id="119"/>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16.1投标报价应</w:t>
      </w:r>
      <w:r>
        <w:rPr>
          <w:rFonts w:hint="eastAsia" w:ascii="宋体" w:hAnsi="宋体"/>
          <w:bCs/>
          <w:color w:val="auto"/>
          <w:szCs w:val="20"/>
          <w:highlight w:val="none"/>
        </w:rPr>
        <w:t>按“第六章　投标文件格式”中“开标一览表”格式填写。</w:t>
      </w:r>
    </w:p>
    <w:p>
      <w:pPr>
        <w:spacing w:line="360" w:lineRule="auto"/>
        <w:ind w:firstLine="420" w:firstLineChars="200"/>
        <w:rPr>
          <w:rFonts w:hint="eastAsia" w:ascii="宋体" w:hAnsi="宋体"/>
          <w:bCs/>
          <w:color w:val="auto"/>
          <w:szCs w:val="21"/>
          <w:highlight w:val="none"/>
        </w:rPr>
      </w:pPr>
      <w:bookmarkStart w:id="120" w:name="_16.2投标报价具体定义见投标人须知前附表。"/>
      <w:bookmarkEnd w:id="120"/>
      <w:r>
        <w:rPr>
          <w:rFonts w:hint="eastAsia" w:ascii="宋体" w:hAnsi="宋体"/>
          <w:bCs/>
          <w:color w:val="auto"/>
          <w:szCs w:val="21"/>
          <w:highlight w:val="none"/>
        </w:rPr>
        <w:t>16.2投标报价具体包括内容详见“投标人须知前附表”。</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16.3投标人必须就所投每个分标的全部内容分别作完整唯一总价报价，不得存在漏项报价；投标人必须就所投分标的单项内容作唯一报价。</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17.投标有效期</w:t>
      </w:r>
    </w:p>
    <w:p>
      <w:pPr>
        <w:spacing w:line="360" w:lineRule="auto"/>
        <w:ind w:firstLine="420" w:firstLineChars="200"/>
        <w:rPr>
          <w:rFonts w:hint="eastAsia" w:ascii="宋体" w:hAnsi="宋体"/>
          <w:bCs/>
          <w:color w:val="auto"/>
          <w:szCs w:val="21"/>
          <w:highlight w:val="none"/>
        </w:rPr>
      </w:pPr>
      <w:bookmarkStart w:id="121" w:name="_17.1投标有效期应按“投标人须知中的前附表”规定的期限。"/>
      <w:bookmarkEnd w:id="121"/>
      <w:r>
        <w:rPr>
          <w:rFonts w:hint="eastAsia" w:ascii="宋体" w:hAnsi="宋体"/>
          <w:bCs/>
          <w:color w:val="auto"/>
          <w:szCs w:val="21"/>
          <w:highlight w:val="none"/>
        </w:rPr>
        <w:t>17.1投标有效期是指为保证采购人有足够的时间在开标后完成评标、定标、合同签订等工作而要求投标人提交的投标文件在一定时间内保持有效的期限。</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17.2</w:t>
      </w:r>
      <w:bookmarkStart w:id="122" w:name="_Toc254970681"/>
      <w:bookmarkStart w:id="123" w:name="_Toc254970540"/>
      <w:r>
        <w:rPr>
          <w:rFonts w:hint="eastAsia" w:ascii="宋体" w:hAnsi="宋体"/>
          <w:bCs/>
          <w:color w:val="auto"/>
          <w:szCs w:val="21"/>
          <w:highlight w:val="none"/>
        </w:rPr>
        <w:t xml:space="preserve"> 投标有效期应按规定的期限作出承诺，具体详见“投标人须知前附表”。</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17.3投标人的投标文件在投标有效期内均保持有效。</w:t>
      </w:r>
      <w:bookmarkEnd w:id="122"/>
      <w:bookmarkEnd w:id="123"/>
    </w:p>
    <w:p>
      <w:pPr>
        <w:spacing w:line="360" w:lineRule="auto"/>
        <w:ind w:firstLine="480" w:firstLineChars="200"/>
        <w:rPr>
          <w:rFonts w:hint="eastAsia" w:ascii="黑体" w:hAnsi="黑体" w:eastAsia="黑体"/>
          <w:color w:val="auto"/>
          <w:sz w:val="24"/>
          <w:highlight w:val="none"/>
        </w:rPr>
      </w:pPr>
      <w:bookmarkStart w:id="124" w:name="_18.投标保证金"/>
      <w:bookmarkEnd w:id="124"/>
      <w:bookmarkStart w:id="125" w:name="_Toc254970682"/>
      <w:bookmarkStart w:id="126" w:name="_Toc254970541"/>
      <w:r>
        <w:rPr>
          <w:rFonts w:hint="eastAsia" w:ascii="黑体" w:hAnsi="黑体" w:eastAsia="黑体"/>
          <w:color w:val="auto"/>
          <w:sz w:val="24"/>
          <w:highlight w:val="none"/>
        </w:rPr>
        <w:t>18.投标保证金</w:t>
      </w:r>
      <w:bookmarkEnd w:id="125"/>
      <w:bookmarkEnd w:id="126"/>
    </w:p>
    <w:p>
      <w:pPr>
        <w:pStyle w:val="7"/>
        <w:keepNext w:val="0"/>
        <w:keepLines w:val="0"/>
        <w:spacing w:before="0" w:after="0" w:line="360" w:lineRule="auto"/>
        <w:ind w:left="420" w:leftChars="200"/>
        <w:rPr>
          <w:rFonts w:ascii="宋体" w:hAnsi="宋体"/>
          <w:b w:val="0"/>
          <w:color w:val="auto"/>
          <w:sz w:val="21"/>
          <w:szCs w:val="21"/>
          <w:highlight w:val="none"/>
        </w:rPr>
      </w:pPr>
      <w:bookmarkStart w:id="127" w:name="_Toc254970683"/>
      <w:bookmarkStart w:id="128" w:name="_Toc254970542"/>
      <w:r>
        <w:rPr>
          <w:rFonts w:hint="eastAsia" w:ascii="宋体" w:hAnsi="宋体"/>
          <w:b w:val="0"/>
          <w:color w:val="auto"/>
          <w:sz w:val="21"/>
          <w:szCs w:val="21"/>
          <w:highlight w:val="none"/>
        </w:rPr>
        <w:t>18.1投标人须按“投标人须知前附表” 的规定提交投标保证金。</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18.2投标保证金的退还</w:t>
      </w:r>
    </w:p>
    <w:p>
      <w:pPr>
        <w:pStyle w:val="7"/>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未中标人的投标保证金自中标通知书发出之日起4个工作日内退还；中标人的投标保证金自政府采购合同签订之日起4个工作日内退还。 </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18.3除逾期退还投标保证金和终止招标的情形以外，投标保证金不计息。</w:t>
      </w:r>
    </w:p>
    <w:p>
      <w:pPr>
        <w:pStyle w:val="7"/>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（1）投标人在投标有效期内撤销投标文件的；</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（2）未按规定提交履约保证金的；</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（3）投标人在投标过程中弄虚作假，提供虚假材料的；</w:t>
      </w:r>
    </w:p>
    <w:p>
      <w:pPr>
        <w:snapToGrid w:val="0"/>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（4）中标人无正当理由不与采购人签订合同的；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（5）投标人出现本章第9.2、9.3情形的；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s="宋体"/>
          <w:color w:val="auto"/>
          <w:szCs w:val="21"/>
          <w:highlight w:val="none"/>
        </w:rPr>
        <w:t>法律法规规定的其他情形</w:t>
      </w:r>
      <w:r>
        <w:rPr>
          <w:rFonts w:hint="eastAsia" w:ascii="宋体" w:hAnsi="宋体"/>
          <w:color w:val="auto"/>
          <w:szCs w:val="21"/>
          <w:highlight w:val="none"/>
        </w:rPr>
        <w:t>。</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19.投标文件的</w:t>
      </w:r>
      <w:bookmarkEnd w:id="127"/>
      <w:bookmarkEnd w:id="128"/>
      <w:r>
        <w:rPr>
          <w:rFonts w:hint="eastAsia" w:ascii="黑体" w:hAnsi="黑体" w:eastAsia="黑体"/>
          <w:color w:val="auto"/>
          <w:sz w:val="24"/>
          <w:highlight w:val="none"/>
        </w:rPr>
        <w:t>编制</w:t>
      </w:r>
    </w:p>
    <w:p>
      <w:pPr>
        <w:spacing w:line="360" w:lineRule="auto"/>
        <w:ind w:firstLine="422" w:firstLineChars="200"/>
        <w:rPr>
          <w:rFonts w:hint="eastAsia" w:hAnsi="宋体"/>
          <w:color w:val="auto"/>
          <w:szCs w:val="21"/>
          <w:highlight w:val="none"/>
        </w:rPr>
      </w:pPr>
      <w:r>
        <w:rPr>
          <w:rFonts w:hint="eastAsia" w:ascii="宋体" w:hAnsi="宋体"/>
          <w:b/>
          <w:color w:val="auto"/>
          <w:szCs w:val="21"/>
          <w:highlight w:val="none"/>
        </w:rPr>
        <w:t xml:space="preserve"> </w:t>
      </w:r>
      <w:r>
        <w:rPr>
          <w:rFonts w:hint="eastAsia" w:hAnsi="宋体"/>
          <w:color w:val="auto"/>
          <w:szCs w:val="21"/>
          <w:highlight w:val="none"/>
        </w:rPr>
        <w:t>19.1投标文件编制要求详见“投标人须知前附表”。投标人应按本招标文件规定的格式和顺序编制、装订投标文件并标注页码，投标文件内容不完整、编排混乱导致投标文件被误读、漏读或者查找不到相关内容的，由此引发的后果由投标人承担。</w:t>
      </w:r>
      <w:bookmarkStart w:id="129" w:name="_19.2投标文件应按报价文件、资格证明文件、商务文件、技术文件分别编制"/>
      <w:bookmarkEnd w:id="129"/>
      <w:r>
        <w:rPr>
          <w:rFonts w:hint="eastAsia" w:hAnsi="宋体"/>
          <w:color w:val="auto"/>
          <w:szCs w:val="21"/>
          <w:highlight w:val="none"/>
        </w:rPr>
        <w:t xml:space="preserve"> </w:t>
      </w:r>
    </w:p>
    <w:p>
      <w:pPr>
        <w:pStyle w:val="75"/>
        <w:snapToGrid w:val="0"/>
        <w:spacing w:before="0"/>
        <w:ind w:firstLine="420"/>
        <w:rPr>
          <w:rFonts w:hint="eastAsia" w:hAnsi="宋体"/>
          <w:color w:val="auto"/>
          <w:sz w:val="21"/>
          <w:szCs w:val="21"/>
          <w:highlight w:val="none"/>
        </w:rPr>
      </w:pPr>
      <w:r>
        <w:rPr>
          <w:rFonts w:hAnsi="宋体"/>
          <w:color w:val="auto"/>
          <w:sz w:val="21"/>
          <w:szCs w:val="21"/>
          <w:highlight w:val="none"/>
        </w:rPr>
        <w:t>19</w:t>
      </w:r>
      <w:r>
        <w:rPr>
          <w:rFonts w:hint="eastAsia" w:hAnsi="宋体"/>
          <w:color w:val="auto"/>
          <w:sz w:val="21"/>
          <w:szCs w:val="21"/>
          <w:highlight w:val="none"/>
        </w:rPr>
        <w:t>.2投标文件按照招标文件第六章格式要求在规定位置进行签署、盖章。投标人的投标文件未按照招标文件要求签署、盖章的，</w:t>
      </w:r>
      <w:r>
        <w:rPr>
          <w:rFonts w:hint="eastAsia" w:hAnsi="宋体"/>
          <w:b/>
          <w:color w:val="auto"/>
          <w:sz w:val="21"/>
          <w:szCs w:val="21"/>
          <w:highlight w:val="none"/>
        </w:rPr>
        <w:t>其投标无效。</w:t>
      </w:r>
      <w:r>
        <w:rPr>
          <w:rFonts w:hint="eastAsia" w:hAnsi="宋体"/>
          <w:color w:val="auto"/>
          <w:sz w:val="21"/>
          <w:szCs w:val="21"/>
          <w:highlight w:val="none"/>
        </w:rPr>
        <w:t>骑缝盖公章不视为在规定位置盖章。</w:t>
      </w:r>
    </w:p>
    <w:p>
      <w:pPr>
        <w:pStyle w:val="75"/>
        <w:snapToGrid w:val="0"/>
        <w:spacing w:before="0"/>
        <w:ind w:left="420" w:leftChars="200" w:firstLine="0" w:firstLineChars="0"/>
        <w:rPr>
          <w:rFonts w:hint="eastAsia" w:hAnsi="宋体"/>
          <w:color w:val="auto"/>
          <w:sz w:val="21"/>
          <w:szCs w:val="21"/>
          <w:highlight w:val="none"/>
        </w:rPr>
      </w:pPr>
      <w:r>
        <w:rPr>
          <w:rFonts w:hAnsi="宋体"/>
          <w:color w:val="auto"/>
          <w:sz w:val="21"/>
          <w:szCs w:val="21"/>
          <w:highlight w:val="none"/>
        </w:rPr>
        <w:t>19.</w:t>
      </w:r>
      <w:r>
        <w:rPr>
          <w:rFonts w:hint="eastAsia" w:hAnsi="宋体"/>
          <w:color w:val="auto"/>
          <w:sz w:val="21"/>
          <w:szCs w:val="21"/>
          <w:highlight w:val="none"/>
        </w:rPr>
        <w:t>3为确保网上操作合法、有效和安全，投标人应当在投标截止时间前完成在“政采云”平台的身份认证，确保在电子投标过程中能够对相关数据电文进行加密和使用电子签名。</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19.4投标文件中标注的投标人名称应与主体资格证明（如营业执照、事业单位法人证书、执业许可证、自然人身份证等）及公章一致，</w:t>
      </w:r>
      <w:r>
        <w:rPr>
          <w:rFonts w:hint="eastAsia" w:ascii="宋体" w:hAnsi="宋体"/>
          <w:color w:val="auto"/>
          <w:szCs w:val="21"/>
          <w:highlight w:val="none"/>
        </w:rPr>
        <w:t>否则作无效投标处理</w:t>
      </w:r>
      <w:r>
        <w:rPr>
          <w:rFonts w:hint="eastAsia" w:ascii="宋体" w:hAnsi="宋体"/>
          <w:b/>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hAnsi="宋体"/>
          <w:color w:val="auto"/>
          <w:szCs w:val="21"/>
          <w:highlight w:val="none"/>
        </w:rPr>
        <w:t xml:space="preserve"> 19.5投标文件应避免涂改、行间插字或者删除，</w:t>
      </w:r>
      <w:r>
        <w:rPr>
          <w:rFonts w:hint="eastAsia" w:ascii="宋体" w:hAnsi="宋体" w:cs="宋体"/>
          <w:b/>
          <w:color w:val="auto"/>
          <w:szCs w:val="21"/>
          <w:highlight w:val="none"/>
        </w:rPr>
        <w:t>否则其投标无效。</w:t>
      </w:r>
    </w:p>
    <w:p>
      <w:pPr>
        <w:spacing w:line="360" w:lineRule="auto"/>
        <w:ind w:firstLine="525" w:firstLineChars="250"/>
        <w:rPr>
          <w:rFonts w:hint="eastAsia" w:hAnsi="宋体"/>
          <w:color w:val="auto"/>
          <w:highlight w:val="none"/>
        </w:rPr>
      </w:pPr>
      <w:r>
        <w:rPr>
          <w:rFonts w:hint="eastAsia" w:hAnsi="宋体"/>
          <w:color w:val="auto"/>
          <w:highlight w:val="none"/>
        </w:rPr>
        <w:t>19.6 对招标文件的实质性要求和条件作出响应是指投标人必须对招标文件中标注为实质性要求和条件的</w:t>
      </w:r>
      <w:r>
        <w:rPr>
          <w:rFonts w:hint="eastAsia"/>
          <w:color w:val="auto"/>
          <w:szCs w:val="21"/>
          <w:highlight w:val="none"/>
        </w:rPr>
        <w:t>服务内容及要求</w:t>
      </w:r>
      <w:r>
        <w:rPr>
          <w:rFonts w:hint="eastAsia" w:hAnsi="宋体"/>
          <w:color w:val="auto"/>
          <w:highlight w:val="none"/>
        </w:rPr>
        <w:t>、商务条款及其它内容</w:t>
      </w:r>
      <w:r>
        <w:rPr>
          <w:rFonts w:hint="eastAsia"/>
          <w:b/>
          <w:color w:val="auto"/>
          <w:highlight w:val="none"/>
        </w:rPr>
        <w:t>作出满足或者优于原要求和条件的承诺</w:t>
      </w:r>
      <w:r>
        <w:rPr>
          <w:rFonts w:hint="eastAsia"/>
          <w:color w:val="auto"/>
          <w:highlight w:val="none"/>
        </w:rPr>
        <w:t>。</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19.7本项目为广西壮族自治区全流程电子化项目，异常情况见“第二节 投标人须知正文”中“四、24.2开标程序。</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20.备份投标文件</w:t>
      </w:r>
    </w:p>
    <w:p>
      <w:pPr>
        <w:spacing w:line="360" w:lineRule="auto"/>
        <w:ind w:firstLine="420" w:firstLineChars="200"/>
        <w:rPr>
          <w:rFonts w:hint="eastAsia" w:ascii="黑体" w:hAnsi="黑体" w:eastAsia="黑体"/>
          <w:color w:val="auto"/>
          <w:sz w:val="24"/>
          <w:highlight w:val="none"/>
        </w:rPr>
      </w:pPr>
      <w:r>
        <w:rPr>
          <w:rFonts w:hint="eastAsia" w:hAnsi="宋体"/>
          <w:bCs/>
          <w:color w:val="auto"/>
          <w:szCs w:val="21"/>
          <w:highlight w:val="none"/>
        </w:rPr>
        <w:t>详见在“投标人须知前附表”。</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21.投标文件的提交</w:t>
      </w:r>
    </w:p>
    <w:p>
      <w:pPr>
        <w:spacing w:line="360" w:lineRule="auto"/>
        <w:ind w:firstLine="420" w:firstLineChars="200"/>
        <w:rPr>
          <w:rFonts w:hint="eastAsia" w:hAnsi="宋体"/>
          <w:b/>
          <w:color w:val="auto"/>
          <w:highlight w:val="none"/>
        </w:rPr>
      </w:pPr>
      <w:bookmarkStart w:id="130" w:name="_21.1投标人必须在“投标人须知中的前附表”规定的投标文件接收时间和投"/>
      <w:bookmarkEnd w:id="130"/>
      <w:r>
        <w:rPr>
          <w:rFonts w:hint="eastAsia" w:hAnsi="宋体"/>
          <w:bCs/>
          <w:color w:val="auto"/>
          <w:szCs w:val="21"/>
          <w:highlight w:val="none"/>
        </w:rPr>
        <w:t>21.1投标人必须在“投标人须知前附表”规定的投标文件接收时间和投标地点提交电子版投标文件。电子投标文件应在制作完成后，</w:t>
      </w:r>
      <w:r>
        <w:rPr>
          <w:rFonts w:hAnsi="宋体"/>
          <w:bCs/>
          <w:color w:val="auto"/>
          <w:szCs w:val="21"/>
          <w:highlight w:val="none"/>
        </w:rPr>
        <w:t>在投标截止时间前</w:t>
      </w:r>
      <w:r>
        <w:rPr>
          <w:rFonts w:hint="eastAsia" w:hAnsi="宋体"/>
          <w:bCs/>
          <w:color w:val="auto"/>
          <w:szCs w:val="21"/>
          <w:highlight w:val="none"/>
        </w:rPr>
        <w:t xml:space="preserve">通过有效数字证书（CA认证锁）进行电子签章、加密，然后通过网络将加密的电子投标文件递交至“南宁市政采云平台”。 </w:t>
      </w:r>
      <w:r>
        <w:rPr>
          <w:rFonts w:hint="eastAsia" w:hAnsi="宋体"/>
          <w:b/>
          <w:color w:val="auto"/>
          <w:highlight w:val="none"/>
        </w:rPr>
        <w:t xml:space="preserve"> </w:t>
      </w:r>
    </w:p>
    <w:p>
      <w:pPr>
        <w:spacing w:line="360" w:lineRule="auto"/>
        <w:ind w:firstLine="422" w:firstLineChars="200"/>
        <w:rPr>
          <w:rFonts w:hint="eastAsia" w:ascii="宋体" w:hAnsi="宋体"/>
          <w:b/>
          <w:color w:val="auto"/>
          <w:szCs w:val="20"/>
          <w:highlight w:val="none"/>
        </w:rPr>
      </w:pPr>
      <w:r>
        <w:rPr>
          <w:rFonts w:hint="eastAsia" w:ascii="宋体" w:hAnsi="宋体"/>
          <w:b/>
          <w:color w:val="auto"/>
          <w:szCs w:val="21"/>
          <w:highlight w:val="none"/>
        </w:rPr>
        <w:t>21.</w:t>
      </w:r>
      <w:r>
        <w:rPr>
          <w:rFonts w:ascii="宋体" w:hAnsi="宋体"/>
          <w:b/>
          <w:color w:val="auto"/>
          <w:szCs w:val="21"/>
          <w:highlight w:val="none"/>
        </w:rPr>
        <w:t>2</w:t>
      </w:r>
      <w:r>
        <w:rPr>
          <w:rFonts w:hint="eastAsia" w:ascii="宋体" w:hAnsi="宋体"/>
          <w:b/>
          <w:color w:val="auto"/>
          <w:szCs w:val="21"/>
          <w:highlight w:val="none"/>
        </w:rPr>
        <w:t>未在规定时间内提交或者未按照招标文件要求密封或者标记的电子投标文件，“政采云”平台将拒收。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3</w:t>
      </w:r>
      <w:r>
        <w:rPr>
          <w:rFonts w:hint="eastAsia" w:ascii="宋体" w:hAnsi="宋体"/>
          <w:color w:val="auto"/>
          <w:szCs w:val="21"/>
          <w:highlight w:val="none"/>
        </w:rPr>
        <w:t>电子版投标文件提交方式见“招标公告”中“四、提交投标文件截止时间、开标时间和地点”</w:t>
      </w:r>
      <w:r>
        <w:rPr>
          <w:rFonts w:hint="eastAsia" w:ascii="宋体" w:hAnsi="宋体"/>
          <w:b/>
          <w:color w:val="auto"/>
          <w:szCs w:val="21"/>
          <w:highlight w:val="none"/>
        </w:rPr>
        <w:t xml:space="preserve"> 。</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22. 投标文件的补充、修改、撤回与退回</w:t>
      </w:r>
      <w:bookmarkStart w:id="131" w:name="_Toc254970684"/>
      <w:bookmarkStart w:id="132" w:name="_Toc254970543"/>
    </w:p>
    <w:p>
      <w:pPr>
        <w:spacing w:line="360" w:lineRule="auto"/>
        <w:ind w:firstLine="420" w:firstLineChars="200"/>
        <w:rPr>
          <w:rFonts w:hint="eastAsia" w:ascii="黑体" w:hAnsi="黑体" w:eastAsia="黑体"/>
          <w:color w:val="auto"/>
          <w:sz w:val="24"/>
          <w:highlight w:val="none"/>
        </w:rPr>
      </w:pPr>
      <w:r>
        <w:rPr>
          <w:rFonts w:ascii="宋体" w:hAnsi="宋体" w:cs="宋体"/>
          <w:color w:val="auto"/>
          <w:szCs w:val="21"/>
          <w:highlight w:val="none"/>
        </w:rPr>
        <w:t>22</w:t>
      </w:r>
      <w:r>
        <w:rPr>
          <w:rFonts w:hint="eastAsia" w:ascii="宋体" w:hAnsi="宋体" w:cs="宋体"/>
          <w:color w:val="auto"/>
          <w:szCs w:val="21"/>
          <w:highlight w:val="none"/>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政采云”平台将拒收。（补充、修改或者撤回方式见公告附件“电子投标文件制作与投送教程”）</w:t>
      </w:r>
    </w:p>
    <w:p>
      <w:pPr>
        <w:pStyle w:val="75"/>
        <w:spacing w:before="0"/>
        <w:ind w:firstLine="420"/>
        <w:rPr>
          <w:rFonts w:hint="eastAsia" w:ascii="宋体" w:hAnsi="宋体" w:cs="宋体"/>
          <w:color w:val="auto"/>
          <w:sz w:val="21"/>
          <w:szCs w:val="21"/>
          <w:highlight w:val="none"/>
        </w:rPr>
      </w:pPr>
      <w:r>
        <w:rPr>
          <w:rFonts w:ascii="宋体" w:hAnsi="宋体" w:cs="宋体"/>
          <w:color w:val="auto"/>
          <w:sz w:val="21"/>
          <w:szCs w:val="21"/>
          <w:highlight w:val="none"/>
        </w:rPr>
        <w:t>22.</w:t>
      </w:r>
      <w:r>
        <w:rPr>
          <w:rFonts w:hint="eastAsia" w:ascii="宋体" w:hAnsi="宋体" w:cs="宋体"/>
          <w:color w:val="auto"/>
          <w:sz w:val="21"/>
          <w:szCs w:val="21"/>
          <w:highlight w:val="none"/>
        </w:rPr>
        <w:t>2“政采云”平台收到投标文件，将妥善保存并即时向供应商发出确认回执通知。在投标截止时间前，除供应商补充、修改或者撤回投标文件外，任何单位和个人不得解密或提取投标文件。</w:t>
      </w:r>
    </w:p>
    <w:bookmarkEnd w:id="131"/>
    <w:bookmarkEnd w:id="132"/>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w:t>
      </w:r>
      <w:r>
        <w:rPr>
          <w:rFonts w:ascii="宋体" w:hAnsi="宋体" w:cs="宋体"/>
          <w:color w:val="auto"/>
          <w:szCs w:val="21"/>
          <w:highlight w:val="none"/>
        </w:rPr>
        <w:t>3</w:t>
      </w:r>
      <w:r>
        <w:rPr>
          <w:rFonts w:hint="eastAsia" w:ascii="宋体" w:hAnsi="宋体" w:cs="宋体"/>
          <w:color w:val="auto"/>
          <w:szCs w:val="21"/>
          <w:highlight w:val="none"/>
        </w:rPr>
        <w:t>在投标截止时间止提交电子版投标文件的投标人不足3家时，电子版投标文件由代理机构在“政采云”平台操作退回，除此之外采购人和采购代理机构对已提交的投标文件概不退回。</w:t>
      </w:r>
    </w:p>
    <w:p>
      <w:pPr>
        <w:pStyle w:val="17"/>
        <w:snapToGrid w:val="0"/>
        <w:spacing w:line="400" w:lineRule="exact"/>
        <w:ind w:firstLine="739"/>
        <w:rPr>
          <w:rFonts w:hint="eastAsia" w:hAnsi="宋体"/>
          <w:snapToGrid w:val="0"/>
          <w:color w:val="auto"/>
          <w:sz w:val="21"/>
          <w:szCs w:val="21"/>
          <w:highlight w:val="none"/>
        </w:rPr>
      </w:pPr>
    </w:p>
    <w:p>
      <w:pPr>
        <w:pStyle w:val="5"/>
        <w:keepNext w:val="0"/>
        <w:keepLines w:val="0"/>
        <w:spacing w:line="400" w:lineRule="exact"/>
        <w:jc w:val="center"/>
        <w:rPr>
          <w:rFonts w:hint="eastAsia"/>
          <w:color w:val="auto"/>
          <w:highlight w:val="none"/>
        </w:rPr>
      </w:pPr>
      <w:bookmarkStart w:id="133" w:name="_Toc254970544"/>
      <w:bookmarkStart w:id="134" w:name="_Toc80092998"/>
      <w:bookmarkStart w:id="135" w:name="_Toc254970685"/>
      <w:bookmarkStart w:id="136" w:name="_Toc5949"/>
      <w:bookmarkStart w:id="137" w:name="_Toc21699"/>
      <w:bookmarkStart w:id="138" w:name="_Toc16645"/>
      <w:r>
        <w:rPr>
          <w:rFonts w:hint="eastAsia"/>
          <w:color w:val="auto"/>
          <w:highlight w:val="none"/>
        </w:rPr>
        <w:t>四、开    标</w:t>
      </w:r>
      <w:bookmarkEnd w:id="133"/>
      <w:bookmarkEnd w:id="134"/>
      <w:bookmarkEnd w:id="135"/>
      <w:bookmarkEnd w:id="136"/>
      <w:bookmarkEnd w:id="137"/>
      <w:bookmarkEnd w:id="138"/>
    </w:p>
    <w:p>
      <w:pPr>
        <w:spacing w:line="360" w:lineRule="auto"/>
        <w:ind w:firstLine="480" w:firstLineChars="200"/>
        <w:rPr>
          <w:rFonts w:hint="eastAsia" w:ascii="黑体" w:hAnsi="黑体" w:eastAsia="黑体"/>
          <w:color w:val="auto"/>
          <w:sz w:val="24"/>
          <w:highlight w:val="none"/>
        </w:rPr>
      </w:pPr>
      <w:bookmarkStart w:id="139" w:name="_23.开标时间和地点"/>
      <w:bookmarkEnd w:id="139"/>
      <w:r>
        <w:rPr>
          <w:rFonts w:hint="eastAsia" w:ascii="黑体" w:hAnsi="黑体" w:eastAsia="黑体"/>
          <w:color w:val="auto"/>
          <w:sz w:val="24"/>
          <w:highlight w:val="none"/>
        </w:rPr>
        <w:t>23.开标时间和地点</w:t>
      </w:r>
    </w:p>
    <w:p>
      <w:pPr>
        <w:spacing w:line="360" w:lineRule="auto"/>
        <w:ind w:firstLine="420" w:firstLineChars="200"/>
        <w:rPr>
          <w:rFonts w:hint="eastAsia" w:hAnsi="宋体"/>
          <w:bCs/>
          <w:color w:val="auto"/>
          <w:highlight w:val="none"/>
        </w:rPr>
      </w:pPr>
      <w:r>
        <w:rPr>
          <w:rFonts w:hint="eastAsia" w:hAnsi="宋体"/>
          <w:bCs/>
          <w:color w:val="auto"/>
          <w:highlight w:val="none"/>
        </w:rPr>
        <w:t>23.1开标时间及地点详见“投标人须知前附表”</w:t>
      </w:r>
    </w:p>
    <w:p>
      <w:pPr>
        <w:spacing w:line="360" w:lineRule="auto"/>
        <w:ind w:firstLine="420" w:firstLineChars="200"/>
        <w:rPr>
          <w:rFonts w:hint="eastAsia"/>
          <w:color w:val="auto"/>
          <w:highlight w:val="none"/>
        </w:rPr>
      </w:pPr>
      <w:r>
        <w:rPr>
          <w:rFonts w:hint="eastAsia" w:hAnsi="宋体"/>
          <w:color w:val="auto"/>
          <w:highlight w:val="none"/>
        </w:rPr>
        <w:t>23.2如</w:t>
      </w:r>
      <w:r>
        <w:rPr>
          <w:rFonts w:hint="eastAsia" w:hAnsi="宋体"/>
          <w:bCs/>
          <w:color w:val="auto"/>
          <w:highlight w:val="none"/>
        </w:rPr>
        <w:t>投标人成功解密投标文件，但未在“政采云”电子开标大厅参加开标的，视同认可开标过程和结果，</w:t>
      </w:r>
      <w:r>
        <w:rPr>
          <w:rFonts w:hint="eastAsia" w:hAnsi="宋体"/>
          <w:color w:val="auto"/>
          <w:highlight w:val="none"/>
        </w:rPr>
        <w:t xml:space="preserve">由此产生的后果由投标人自行负责。 </w:t>
      </w:r>
      <w:r>
        <w:rPr>
          <w:rFonts w:hint="eastAsia"/>
          <w:color w:val="auto"/>
          <w:highlight w:val="none"/>
        </w:rPr>
        <w:t>投标人不足3家的，不得开标。</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24.开标程序</w:t>
      </w:r>
    </w:p>
    <w:p>
      <w:pPr>
        <w:autoSpaceDE w:val="0"/>
        <w:autoSpaceDN w:val="0"/>
        <w:adjustRightInd w:val="0"/>
        <w:spacing w:line="440" w:lineRule="exact"/>
        <w:ind w:firstLine="420" w:firstLineChars="200"/>
        <w:rPr>
          <w:rFonts w:ascii="宋体" w:hAnsi="宋体"/>
          <w:color w:val="auto"/>
          <w:kern w:val="0"/>
          <w:szCs w:val="21"/>
          <w:highlight w:val="none"/>
        </w:rPr>
      </w:pPr>
      <w:r>
        <w:rPr>
          <w:rFonts w:hint="eastAsia" w:ascii="宋体" w:hAnsi="宋体"/>
          <w:bCs/>
          <w:color w:val="auto"/>
          <w:szCs w:val="21"/>
          <w:highlight w:val="none"/>
        </w:rPr>
        <w:t>24.1</w:t>
      </w:r>
      <w:r>
        <w:rPr>
          <w:rFonts w:hint="eastAsia" w:ascii="宋体" w:hAnsi="宋体"/>
          <w:color w:val="auto"/>
          <w:kern w:val="0"/>
          <w:szCs w:val="21"/>
          <w:highlight w:val="none"/>
        </w:rPr>
        <w:t>开标形式：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color w:val="auto"/>
          <w:szCs w:val="21"/>
          <w:highlight w:val="none"/>
        </w:rPr>
        <w:t>（1）</w:t>
      </w:r>
      <w:r>
        <w:rPr>
          <w:rFonts w:hint="eastAsia" w:ascii="宋体" w:hAnsi="宋体"/>
          <w:bCs/>
          <w:color w:val="auto"/>
          <w:szCs w:val="21"/>
          <w:highlight w:val="none"/>
        </w:rPr>
        <w:t>开标的准备工作由采购代理机构负责落实，采购代理机构必须基于“政采云”平台选取评审专家，如采购代理机构未按规定选取专家的，视为本次开评标无效，应当重新采购；</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（2）采购代理机构将按照招标文件规定的时间通过“政采云”平台组织线上开标活动、开启投标文件，所有供应商均应当准时在线参加。投标人</w:t>
      </w:r>
      <w:r>
        <w:rPr>
          <w:rFonts w:ascii="宋体" w:hAnsi="宋体"/>
          <w:bCs/>
          <w:color w:val="auto"/>
          <w:szCs w:val="21"/>
          <w:highlight w:val="none"/>
        </w:rPr>
        <w:t>如不</w:t>
      </w:r>
      <w:r>
        <w:rPr>
          <w:rFonts w:hint="eastAsia" w:ascii="宋体" w:hAnsi="宋体"/>
          <w:bCs/>
          <w:color w:val="auto"/>
          <w:szCs w:val="21"/>
          <w:highlight w:val="none"/>
        </w:rPr>
        <w:t>参加</w:t>
      </w:r>
      <w:r>
        <w:rPr>
          <w:rFonts w:ascii="宋体" w:hAnsi="宋体"/>
          <w:bCs/>
          <w:color w:val="auto"/>
          <w:szCs w:val="21"/>
          <w:highlight w:val="none"/>
        </w:rPr>
        <w:t>开标大会的，</w:t>
      </w:r>
      <w:r>
        <w:rPr>
          <w:rFonts w:hint="eastAsia" w:ascii="宋体" w:hAnsi="宋体"/>
          <w:bCs/>
          <w:color w:val="auto"/>
          <w:szCs w:val="21"/>
          <w:highlight w:val="none"/>
        </w:rPr>
        <w:t>视同认可开标结果，</w:t>
      </w:r>
      <w:r>
        <w:rPr>
          <w:rFonts w:ascii="宋体" w:hAnsi="宋体"/>
          <w:bCs/>
          <w:color w:val="auto"/>
          <w:szCs w:val="21"/>
          <w:highlight w:val="none"/>
        </w:rPr>
        <w:t>事后不得对采购相关人员、开标过程和开标结果提出异议</w:t>
      </w:r>
      <w:r>
        <w:rPr>
          <w:rFonts w:hint="eastAsia" w:ascii="宋体" w:hAnsi="宋体"/>
          <w:bCs/>
          <w:color w:val="auto"/>
          <w:szCs w:val="21"/>
          <w:highlight w:val="none"/>
        </w:rPr>
        <w:t>，同时投标人因未在线参加开标而导致投标文件无法按时解密等一切后果由投标人自己承担。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24.2</w:t>
      </w:r>
      <w:r>
        <w:rPr>
          <w:rFonts w:ascii="宋体" w:hAnsi="宋体"/>
          <w:bCs/>
          <w:color w:val="auto"/>
          <w:szCs w:val="21"/>
          <w:highlight w:val="none"/>
        </w:rPr>
        <w:t>开</w:t>
      </w:r>
      <w:r>
        <w:rPr>
          <w:rFonts w:hint="eastAsia" w:ascii="宋体" w:hAnsi="宋体"/>
          <w:bCs/>
          <w:color w:val="auto"/>
          <w:szCs w:val="21"/>
          <w:highlight w:val="none"/>
        </w:rPr>
        <w:t>标</w:t>
      </w:r>
      <w:r>
        <w:rPr>
          <w:rFonts w:ascii="宋体" w:hAnsi="宋体"/>
          <w:bCs/>
          <w:color w:val="auto"/>
          <w:szCs w:val="21"/>
          <w:highlight w:val="none"/>
        </w:rPr>
        <w:t>程序：</w:t>
      </w:r>
    </w:p>
    <w:p>
      <w:pPr>
        <w:pStyle w:val="21"/>
        <w:snapToGrid w:val="0"/>
        <w:spacing w:line="440" w:lineRule="exact"/>
        <w:ind w:firstLine="422" w:firstLineChars="200"/>
        <w:rPr>
          <w:rFonts w:hint="eastAsia" w:hAnsi="宋体"/>
          <w:color w:val="auto"/>
          <w:szCs w:val="21"/>
          <w:highlight w:val="none"/>
        </w:rPr>
      </w:pPr>
      <w:r>
        <w:rPr>
          <w:rFonts w:hint="eastAsia" w:hAnsi="宋体"/>
          <w:b/>
          <w:color w:val="auto"/>
          <w:szCs w:val="21"/>
          <w:highlight w:val="none"/>
        </w:rPr>
        <w:t>（1）解密电子投标文件。</w:t>
      </w:r>
      <w:r>
        <w:rPr>
          <w:rFonts w:hint="eastAsia" w:hAnsi="宋体" w:cs="仿宋_GB2312"/>
          <w:b/>
          <w:color w:val="auto"/>
          <w:szCs w:val="21"/>
          <w:highlight w:val="none"/>
        </w:rPr>
        <w:t>“</w:t>
      </w:r>
      <w:r>
        <w:rPr>
          <w:rFonts w:hint="eastAsia" w:hAnsi="宋体" w:cs="仿宋_GB2312"/>
          <w:color w:val="auto"/>
          <w:szCs w:val="21"/>
          <w:highlight w:val="none"/>
        </w:rPr>
        <w:t>政采云”平台按开标时间自动提取所有投标文件。采购代理机构依托“政采云”平台</w:t>
      </w:r>
      <w:r>
        <w:rPr>
          <w:rFonts w:hint="eastAsia" w:hAnsi="宋体"/>
          <w:color w:val="auto"/>
          <w:szCs w:val="21"/>
          <w:highlight w:val="none"/>
        </w:rPr>
        <w:t>向各投标人发出电子加密投标文件【开始解密】通知，由投标人按招标文件规定的时间内自行进行投标文件解密。投标人的法定代表人或其委托代理人</w:t>
      </w:r>
      <w:r>
        <w:rPr>
          <w:rFonts w:hint="eastAsia" w:hAnsi="宋体"/>
          <w:b/>
          <w:color w:val="auto"/>
          <w:szCs w:val="21"/>
          <w:highlight w:val="none"/>
        </w:rPr>
        <w:t>须携带加密时所用的CA锁准时登录到“政采云”平台电子开标大厅签到并对电子投标文件解密</w:t>
      </w:r>
      <w:r>
        <w:rPr>
          <w:rFonts w:hint="eastAsia" w:hAnsi="宋体"/>
          <w:color w:val="auto"/>
          <w:szCs w:val="21"/>
          <w:highlight w:val="none"/>
        </w:rPr>
        <w:t>。开标后5分钟投标人还未进行解密的，代理机构要通知投标人。通知后，</w:t>
      </w:r>
      <w:r>
        <w:rPr>
          <w:rFonts w:hint="eastAsia" w:hAnsi="宋体" w:cs="仿宋_GB2312"/>
          <w:color w:val="auto"/>
          <w:szCs w:val="21"/>
          <w:highlight w:val="none"/>
        </w:rPr>
        <w:t>投标文件仍未按时解密，</w:t>
      </w:r>
      <w:r>
        <w:rPr>
          <w:rFonts w:hint="eastAsia" w:hAnsi="宋体"/>
          <w:color w:val="auto"/>
          <w:szCs w:val="21"/>
          <w:highlight w:val="none"/>
        </w:rPr>
        <w:t>或者投标人没预留联系方式或预留联系方式无效，导致代理机构无法联系到投标人进行解密的，</w:t>
      </w:r>
      <w:r>
        <w:rPr>
          <w:rFonts w:hint="eastAsia" w:hAnsi="宋体"/>
          <w:b/>
          <w:color w:val="auto"/>
          <w:szCs w:val="21"/>
          <w:highlight w:val="none"/>
        </w:rPr>
        <w:t>均视为无效投标。</w:t>
      </w:r>
    </w:p>
    <w:p>
      <w:pPr>
        <w:pStyle w:val="21"/>
        <w:snapToGrid w:val="0"/>
        <w:spacing w:line="440" w:lineRule="exact"/>
        <w:ind w:firstLine="420" w:firstLineChars="200"/>
        <w:rPr>
          <w:rFonts w:hint="eastAsia" w:hAnsi="宋体"/>
          <w:color w:val="auto"/>
          <w:szCs w:val="21"/>
          <w:highlight w:val="none"/>
        </w:rPr>
      </w:pPr>
      <w:r>
        <w:rPr>
          <w:rFonts w:hint="eastAsia" w:hAnsi="宋体"/>
          <w:color w:val="auto"/>
          <w:szCs w:val="21"/>
          <w:highlight w:val="none"/>
        </w:rPr>
        <w:t>（解密</w:t>
      </w:r>
      <w:r>
        <w:rPr>
          <w:rFonts w:hint="eastAsia" w:hAnsi="宋体"/>
          <w:bCs/>
          <w:color w:val="auto"/>
          <w:szCs w:val="21"/>
          <w:highlight w:val="none"/>
        </w:rPr>
        <w:t>异常情况处理：详见本章</w:t>
      </w:r>
      <w:r>
        <w:rPr>
          <w:rFonts w:hint="eastAsia" w:hAnsi="宋体"/>
          <w:color w:val="auto"/>
          <w:highlight w:val="none"/>
        </w:rPr>
        <w:t>29.3 电子交易活动的中止。</w:t>
      </w:r>
      <w:r>
        <w:rPr>
          <w:rFonts w:hint="eastAsia"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b/>
          <w:color w:val="auto"/>
          <w:szCs w:val="21"/>
          <w:highlight w:val="none"/>
        </w:rPr>
        <w:t>电子唱标。</w:t>
      </w:r>
      <w:r>
        <w:rPr>
          <w:rFonts w:hint="eastAsia" w:ascii="宋体" w:hAnsi="宋体"/>
          <w:color w:val="auto"/>
          <w:szCs w:val="21"/>
          <w:highlight w:val="none"/>
        </w:rPr>
        <w:t>投标文件解密结束，各投标供应商报价均在“政采云”平台远程不见面开标大厅展示；</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b/>
          <w:color w:val="auto"/>
          <w:szCs w:val="21"/>
          <w:highlight w:val="none"/>
        </w:rPr>
        <w:t>签署电子《政府采购活动现场确认声明书》。</w:t>
      </w:r>
      <w:r>
        <w:rPr>
          <w:rFonts w:hint="eastAsia" w:ascii="宋体" w:hAnsi="宋体"/>
          <w:color w:val="auto"/>
          <w:szCs w:val="21"/>
          <w:highlight w:val="none"/>
        </w:rPr>
        <w:t>通过邮件形式在远程不见面开标大厅发送各投标人签署电子《政府采购活动现场确认声明书》。</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（4）开标过程由采购代理机构如实记录，并电子留痕，由参加电子开标的各投标人代表对电子开标记录在开标记录公布后15分钟内进行当场校核及勘误，并线上确认，未确认的视同认可开标结果。</w:t>
      </w:r>
    </w:p>
    <w:p>
      <w:pPr>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（6）开标结束。</w:t>
      </w:r>
    </w:p>
    <w:p>
      <w:pPr>
        <w:pStyle w:val="21"/>
        <w:snapToGrid w:val="0"/>
        <w:spacing w:line="440" w:lineRule="exact"/>
        <w:ind w:firstLine="422" w:firstLineChars="200"/>
        <w:rPr>
          <w:rFonts w:hAnsi="宋体"/>
          <w:color w:val="auto"/>
          <w:szCs w:val="21"/>
          <w:highlight w:val="none"/>
        </w:rPr>
      </w:pPr>
      <w:r>
        <w:rPr>
          <w:rFonts w:hint="eastAsia" w:hAnsi="宋体"/>
          <w:b/>
          <w:bCs/>
          <w:color w:val="auto"/>
          <w:szCs w:val="21"/>
          <w:highlight w:val="none"/>
        </w:rPr>
        <w:t>特别说明：</w:t>
      </w:r>
      <w:r>
        <w:rPr>
          <w:rFonts w:hint="eastAsia" w:hAnsi="宋体"/>
          <w:color w:val="auto"/>
          <w:szCs w:val="21"/>
          <w:highlight w:val="none"/>
        </w:rPr>
        <w:t>如遇“政采云”平台电子化开标或评审程序调整的，按调整后执行。</w:t>
      </w:r>
    </w:p>
    <w:p>
      <w:pPr>
        <w:pStyle w:val="21"/>
        <w:snapToGrid w:val="0"/>
        <w:spacing w:line="400" w:lineRule="exact"/>
        <w:ind w:left="689" w:leftChars="228" w:hanging="210" w:hangingChars="100"/>
        <w:rPr>
          <w:rFonts w:hint="eastAsia" w:hAnsi="宋体"/>
          <w:color w:val="auto"/>
          <w:highlight w:val="none"/>
        </w:rPr>
      </w:pPr>
    </w:p>
    <w:p>
      <w:pPr>
        <w:pStyle w:val="5"/>
        <w:keepNext w:val="0"/>
        <w:keepLines w:val="0"/>
        <w:spacing w:line="400" w:lineRule="exact"/>
        <w:jc w:val="center"/>
        <w:rPr>
          <w:rFonts w:hint="eastAsia"/>
          <w:color w:val="auto"/>
          <w:highlight w:val="none"/>
        </w:rPr>
      </w:pPr>
      <w:bookmarkStart w:id="140" w:name="_Toc80092999"/>
      <w:bookmarkStart w:id="141" w:name="_Toc23185"/>
      <w:bookmarkStart w:id="142" w:name="_Toc31505"/>
      <w:bookmarkStart w:id="143" w:name="_Toc18924"/>
      <w:r>
        <w:rPr>
          <w:rFonts w:hint="eastAsia"/>
          <w:color w:val="auto"/>
          <w:highlight w:val="none"/>
        </w:rPr>
        <w:t>五、资格审查</w:t>
      </w:r>
      <w:bookmarkEnd w:id="140"/>
      <w:bookmarkEnd w:id="141"/>
      <w:bookmarkEnd w:id="142"/>
      <w:bookmarkEnd w:id="143"/>
    </w:p>
    <w:p>
      <w:pPr>
        <w:pStyle w:val="7"/>
        <w:keepNext w:val="0"/>
        <w:keepLines w:val="0"/>
        <w:spacing w:before="0" w:after="0" w:line="360" w:lineRule="auto"/>
        <w:ind w:firstLine="482" w:firstLineChars="200"/>
        <w:rPr>
          <w:rFonts w:hint="eastAsia" w:ascii="黑体" w:hAnsi="黑体" w:eastAsia="黑体"/>
          <w:color w:val="auto"/>
          <w:sz w:val="24"/>
          <w:highlight w:val="none"/>
        </w:rPr>
      </w:pPr>
      <w:r>
        <w:rPr>
          <w:rFonts w:hint="eastAsia" w:ascii="黑体" w:hAnsi="黑体" w:eastAsia="黑体"/>
          <w:color w:val="auto"/>
          <w:sz w:val="24"/>
          <w:highlight w:val="none"/>
        </w:rPr>
        <w:t>25.资格审查</w:t>
      </w:r>
    </w:p>
    <w:p>
      <w:pPr>
        <w:spacing w:line="360" w:lineRule="auto"/>
        <w:ind w:firstLine="422" w:firstLineChars="200"/>
        <w:rPr>
          <w:rFonts w:hint="eastAsia" w:ascii="宋体" w:hAnsi="宋体"/>
          <w:b/>
          <w:bCs/>
          <w:color w:val="auto"/>
          <w:szCs w:val="20"/>
          <w:highlight w:val="none"/>
        </w:rPr>
      </w:pPr>
      <w:r>
        <w:rPr>
          <w:rFonts w:hint="eastAsia" w:ascii="宋体" w:hAnsi="宋体"/>
          <w:b/>
          <w:bCs/>
          <w:color w:val="auto"/>
          <w:szCs w:val="20"/>
          <w:highlight w:val="none"/>
        </w:rPr>
        <w:t xml:space="preserve"> 25.1</w:t>
      </w:r>
      <w:r>
        <w:rPr>
          <w:rFonts w:ascii="宋体" w:hAnsi="宋体"/>
          <w:b/>
          <w:bCs/>
          <w:color w:val="auto"/>
          <w:szCs w:val="20"/>
          <w:highlight w:val="none"/>
        </w:rPr>
        <w:t>开标结束后，</w:t>
      </w:r>
      <w:r>
        <w:rPr>
          <w:rFonts w:hint="eastAsia" w:ascii="宋体" w:hAnsi="宋体"/>
          <w:b/>
          <w:bCs/>
          <w:color w:val="auto"/>
          <w:szCs w:val="20"/>
          <w:highlight w:val="none"/>
        </w:rPr>
        <w:t>采购人或采购机构</w:t>
      </w:r>
      <w:r>
        <w:rPr>
          <w:rFonts w:ascii="宋体" w:hAnsi="宋体"/>
          <w:b/>
          <w:bCs/>
          <w:color w:val="auto"/>
          <w:szCs w:val="20"/>
          <w:highlight w:val="none"/>
        </w:rPr>
        <w:t>依法</w:t>
      </w:r>
      <w:r>
        <w:rPr>
          <w:rFonts w:hint="eastAsia" w:ascii="宋体" w:hAnsi="宋体"/>
          <w:b/>
          <w:bCs/>
          <w:color w:val="auto"/>
          <w:szCs w:val="20"/>
          <w:highlight w:val="none"/>
        </w:rPr>
        <w:t>通过电子投标文件</w:t>
      </w:r>
      <w:r>
        <w:rPr>
          <w:rFonts w:ascii="宋体" w:hAnsi="宋体"/>
          <w:b/>
          <w:bCs/>
          <w:color w:val="auto"/>
          <w:szCs w:val="20"/>
          <w:highlight w:val="none"/>
        </w:rPr>
        <w:t>对投标人的资格进行</w:t>
      </w:r>
      <w:r>
        <w:rPr>
          <w:rFonts w:hint="eastAsia" w:ascii="宋体" w:hAnsi="宋体"/>
          <w:b/>
          <w:bCs/>
          <w:color w:val="auto"/>
          <w:szCs w:val="20"/>
          <w:highlight w:val="none"/>
        </w:rPr>
        <w:t>线上</w:t>
      </w:r>
      <w:r>
        <w:rPr>
          <w:rFonts w:ascii="宋体" w:hAnsi="宋体"/>
          <w:b/>
          <w:bCs/>
          <w:color w:val="auto"/>
          <w:szCs w:val="20"/>
          <w:highlight w:val="none"/>
        </w:rPr>
        <w:t>审查。</w:t>
      </w:r>
    </w:p>
    <w:p>
      <w:pPr>
        <w:spacing w:line="360" w:lineRule="auto"/>
        <w:ind w:firstLine="422" w:firstLineChars="200"/>
        <w:rPr>
          <w:rFonts w:hint="eastAsia" w:ascii="宋体" w:hAnsi="宋体"/>
          <w:b/>
          <w:bCs/>
          <w:color w:val="auto"/>
          <w:szCs w:val="20"/>
          <w:highlight w:val="none"/>
        </w:rPr>
      </w:pPr>
      <w:r>
        <w:rPr>
          <w:rFonts w:hint="eastAsia" w:ascii="宋体" w:hAnsi="宋体"/>
          <w:b/>
          <w:bCs/>
          <w:color w:val="auto"/>
          <w:szCs w:val="20"/>
          <w:highlight w:val="none"/>
        </w:rPr>
        <w:t xml:space="preserve"> 25.2采购人或采购机构依据法律法规和招标文件的规定，对投标人的基本资格条件、特定资格条件进行审查。</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25.3资格审查标准为本“招标文件”中“投标人须知前附表”13.1点载明对投标人资格要求的条件。本项目资格审查采用合格制，凡符合招标文件规定的投标人资格要求的投标人均通过资格审查。</w:t>
      </w:r>
    </w:p>
    <w:p>
      <w:pPr>
        <w:spacing w:line="360" w:lineRule="auto"/>
        <w:ind w:firstLine="422" w:firstLineChars="200"/>
        <w:rPr>
          <w:rFonts w:hint="eastAsia" w:ascii="宋体" w:hAnsi="宋体"/>
          <w:b/>
          <w:bCs/>
          <w:color w:val="auto"/>
          <w:szCs w:val="20"/>
          <w:highlight w:val="none"/>
        </w:rPr>
      </w:pPr>
      <w:bookmarkStart w:id="144" w:name="_25.3_投标人有下列情形之一的，资格审查不通过而导致其投标无效："/>
      <w:bookmarkEnd w:id="144"/>
      <w:r>
        <w:rPr>
          <w:rFonts w:hint="eastAsia" w:ascii="宋体" w:hAnsi="宋体"/>
          <w:b/>
          <w:bCs/>
          <w:color w:val="auto"/>
          <w:szCs w:val="20"/>
          <w:highlight w:val="none"/>
        </w:rPr>
        <w:t>25.4投标人有下列情形之一的，资格审查不通过，作无效投标处理：</w:t>
      </w:r>
    </w:p>
    <w:p>
      <w:pPr>
        <w:spacing w:line="360" w:lineRule="auto"/>
        <w:ind w:firstLine="420" w:firstLineChars="200"/>
        <w:rPr>
          <w:rFonts w:hint="eastAsia" w:hAnsi="宋体"/>
          <w:color w:val="auto"/>
          <w:highlight w:val="none"/>
        </w:rPr>
      </w:pPr>
      <w:r>
        <w:rPr>
          <w:rFonts w:hint="eastAsia" w:hAnsi="宋体"/>
          <w:color w:val="auto"/>
          <w:highlight w:val="none"/>
        </w:rPr>
        <w:t>（1）不具备招标文件中规定的资格要求的；（注：其中信用查询规则见“投标人须知前附表”，“政采云”平台已与“信用中国”平台做接口，审查专家可直接在线查询）</w:t>
      </w:r>
    </w:p>
    <w:p>
      <w:pPr>
        <w:spacing w:line="360" w:lineRule="auto"/>
        <w:ind w:firstLine="420" w:firstLineChars="200"/>
        <w:rPr>
          <w:rFonts w:hint="eastAsia" w:hAnsi="宋体"/>
          <w:color w:val="auto"/>
          <w:highlight w:val="none"/>
        </w:rPr>
      </w:pPr>
      <w:r>
        <w:rPr>
          <w:rFonts w:hint="eastAsia" w:hAnsi="宋体"/>
          <w:color w:val="auto"/>
          <w:highlight w:val="none"/>
        </w:rPr>
        <w:t>（2）投标文件未提供任一项“投标人须知前附表”资格证明文件规定的“必须提供”的文件资料的；</w:t>
      </w:r>
    </w:p>
    <w:p>
      <w:pPr>
        <w:spacing w:line="360" w:lineRule="auto"/>
        <w:ind w:firstLine="420" w:firstLineChars="200"/>
        <w:rPr>
          <w:rFonts w:hint="eastAsia" w:hAnsi="宋体"/>
          <w:color w:val="auto"/>
          <w:highlight w:val="none"/>
        </w:rPr>
      </w:pPr>
      <w:r>
        <w:rPr>
          <w:rFonts w:hint="eastAsia" w:hAnsi="宋体"/>
          <w:color w:val="auto"/>
          <w:highlight w:val="none"/>
        </w:rPr>
        <w:t>（3）投标文件提供的资格证明文件出现任一项不符合“投标人须知前附表”资格证明文件规定的“必须提供”的文件资料要求或者无效的。</w:t>
      </w:r>
    </w:p>
    <w:p>
      <w:pPr>
        <w:pStyle w:val="7"/>
        <w:keepNext w:val="0"/>
        <w:keepLines w:val="0"/>
        <w:spacing w:before="0" w:after="0" w:line="360" w:lineRule="auto"/>
        <w:ind w:firstLine="420" w:firstLineChars="200"/>
        <w:rPr>
          <w:rFonts w:hint="eastAsia" w:ascii="宋体" w:hAnsi="宋体"/>
          <w:b w:val="0"/>
          <w:bCs w:val="0"/>
          <w:color w:val="auto"/>
          <w:sz w:val="21"/>
          <w:szCs w:val="20"/>
          <w:highlight w:val="none"/>
        </w:rPr>
      </w:pPr>
      <w:r>
        <w:rPr>
          <w:rFonts w:hint="eastAsia" w:ascii="宋体" w:hAnsi="宋体"/>
          <w:b w:val="0"/>
          <w:bCs w:val="0"/>
          <w:color w:val="auto"/>
          <w:sz w:val="21"/>
          <w:szCs w:val="20"/>
          <w:highlight w:val="none"/>
        </w:rPr>
        <w:t>25.5资格审查的</w:t>
      </w:r>
      <w:r>
        <w:rPr>
          <w:rFonts w:ascii="宋体" w:hAnsi="宋体"/>
          <w:b w:val="0"/>
          <w:bCs w:val="0"/>
          <w:color w:val="auto"/>
          <w:sz w:val="21"/>
          <w:szCs w:val="20"/>
          <w:highlight w:val="none"/>
        </w:rPr>
        <w:t>合格投标人不足3家的，不得评标。</w:t>
      </w:r>
    </w:p>
    <w:p>
      <w:pPr>
        <w:pStyle w:val="5"/>
        <w:keepNext w:val="0"/>
        <w:keepLines w:val="0"/>
        <w:spacing w:line="360" w:lineRule="auto"/>
        <w:jc w:val="center"/>
        <w:rPr>
          <w:rFonts w:hint="eastAsia"/>
          <w:color w:val="auto"/>
          <w:highlight w:val="none"/>
        </w:rPr>
      </w:pPr>
      <w:bookmarkStart w:id="145" w:name="_Toc8738"/>
      <w:bookmarkStart w:id="146" w:name="_Toc27106"/>
      <w:bookmarkStart w:id="147" w:name="_Toc80093000"/>
      <w:bookmarkStart w:id="148" w:name="_Toc4692"/>
      <w:r>
        <w:rPr>
          <w:rFonts w:hint="eastAsia"/>
          <w:color w:val="auto"/>
          <w:highlight w:val="none"/>
        </w:rPr>
        <w:t>六、评   标</w:t>
      </w:r>
      <w:bookmarkEnd w:id="145"/>
      <w:bookmarkEnd w:id="146"/>
      <w:bookmarkEnd w:id="147"/>
      <w:bookmarkEnd w:id="148"/>
    </w:p>
    <w:p>
      <w:pPr>
        <w:spacing w:line="360" w:lineRule="auto"/>
        <w:ind w:firstLine="480" w:firstLineChars="200"/>
        <w:rPr>
          <w:rFonts w:hint="eastAsia" w:ascii="黑体" w:hAnsi="黑体" w:eastAsia="黑体"/>
          <w:color w:val="auto"/>
          <w:sz w:val="24"/>
          <w:highlight w:val="none"/>
        </w:rPr>
      </w:pPr>
      <w:bookmarkStart w:id="149" w:name="_26.组建评标委员会"/>
      <w:bookmarkEnd w:id="149"/>
      <w:r>
        <w:rPr>
          <w:rFonts w:hint="eastAsia" w:ascii="黑体" w:hAnsi="黑体" w:eastAsia="黑体"/>
          <w:color w:val="auto"/>
          <w:sz w:val="24"/>
          <w:highlight w:val="none"/>
        </w:rPr>
        <w:t>26.组建评标委员会</w:t>
      </w:r>
    </w:p>
    <w:p>
      <w:pPr>
        <w:spacing w:line="360" w:lineRule="auto"/>
        <w:ind w:firstLine="420" w:firstLineChars="200"/>
        <w:rPr>
          <w:rFonts w:hint="eastAsia" w:hAnsi="宋体"/>
          <w:color w:val="auto"/>
          <w:highlight w:val="none"/>
        </w:rPr>
      </w:pPr>
      <w:r>
        <w:rPr>
          <w:rFonts w:hint="eastAsia" w:hAnsi="宋体"/>
          <w:color w:val="auto"/>
          <w:highlight w:val="none"/>
        </w:rPr>
        <w:t>评标委员会由采购人代表和评审专家组成，人数为5人以上单数，其中评审专家不得少于成员总数的三分之二。</w:t>
      </w:r>
    </w:p>
    <w:p>
      <w:pPr>
        <w:spacing w:line="360" w:lineRule="auto"/>
        <w:ind w:firstLine="420" w:firstLineChars="200"/>
        <w:rPr>
          <w:rFonts w:hint="eastAsia" w:hAnsi="宋体"/>
          <w:color w:val="auto"/>
          <w:highlight w:val="none"/>
        </w:rPr>
      </w:pPr>
      <w:r>
        <w:rPr>
          <w:rFonts w:hint="eastAsia" w:hAnsi="宋体"/>
          <w:color w:val="auto"/>
          <w:highlight w:val="none"/>
        </w:rPr>
        <w:t>参加过采购项目前期咨询论证的专家，不得参加该采购项目的评审活动。</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27.评标的依据</w:t>
      </w:r>
    </w:p>
    <w:p>
      <w:pPr>
        <w:spacing w:line="360" w:lineRule="auto"/>
        <w:ind w:firstLine="420" w:firstLineChars="200"/>
        <w:rPr>
          <w:rFonts w:hint="eastAsia" w:hAnsi="宋体"/>
          <w:color w:val="auto"/>
          <w:highlight w:val="none"/>
        </w:rPr>
      </w:pPr>
      <w:r>
        <w:rPr>
          <w:rFonts w:hint="eastAsia" w:hAnsi="宋体"/>
          <w:color w:val="auto"/>
          <w:highlight w:val="none"/>
        </w:rPr>
        <w:t>评标委员会以招标文件为依据对投标文件进行评审，</w:t>
      </w:r>
      <w:r>
        <w:rPr>
          <w:rFonts w:hint="eastAsia" w:hAnsi="宋体" w:cs="宋体"/>
          <w:color w:val="auto"/>
          <w:highlight w:val="none"/>
        </w:rPr>
        <w:t>“第四章 评标方法和评标标准”</w:t>
      </w:r>
      <w:r>
        <w:rPr>
          <w:rFonts w:hAnsi="宋体"/>
          <w:color w:val="auto"/>
          <w:highlight w:val="none"/>
        </w:rPr>
        <w:t>没有规定的方法、评审因素和标准，不作为评标依据。</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28.评标原则</w:t>
      </w:r>
    </w:p>
    <w:p>
      <w:pPr>
        <w:spacing w:line="360" w:lineRule="auto"/>
        <w:ind w:firstLine="420" w:firstLineChars="200"/>
        <w:rPr>
          <w:rFonts w:hint="eastAsia" w:hAnsi="宋体"/>
          <w:color w:val="auto"/>
          <w:highlight w:val="none"/>
        </w:rPr>
      </w:pPr>
      <w:r>
        <w:rPr>
          <w:rFonts w:hint="eastAsia" w:hAnsi="宋体"/>
          <w:color w:val="auto"/>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spacing w:line="360" w:lineRule="auto"/>
        <w:ind w:firstLine="420" w:firstLineChars="200"/>
        <w:rPr>
          <w:rFonts w:hint="eastAsia" w:hAnsi="宋体"/>
          <w:color w:val="auto"/>
          <w:highlight w:val="none"/>
        </w:rPr>
      </w:pPr>
      <w:r>
        <w:rPr>
          <w:rFonts w:hint="eastAsia" w:hAnsi="宋体"/>
          <w:color w:val="auto"/>
          <w:highlight w:val="none"/>
        </w:rPr>
        <w:t>28.2评委表决。在评标过程中出现法律法规和招标文件均没有明确规定的情形时，由评标委员会现场协商解决，协商不一致的，由全体评委投票表决，以得票率二分之一以上专家的意见为准并由采购代理机构作记录。</w:t>
      </w:r>
      <w:bookmarkStart w:id="150" w:name="_28.3评标方法。本项目将按须知前附表规定的评标办法进行评标，具体评标"/>
      <w:bookmarkEnd w:id="150"/>
    </w:p>
    <w:p>
      <w:pPr>
        <w:spacing w:line="360" w:lineRule="auto"/>
        <w:ind w:firstLine="420" w:firstLineChars="200"/>
        <w:rPr>
          <w:rFonts w:hAnsi="宋体"/>
          <w:color w:val="auto"/>
          <w:highlight w:val="none"/>
        </w:rPr>
      </w:pPr>
      <w:r>
        <w:rPr>
          <w:rFonts w:hint="eastAsia" w:hAnsi="宋体"/>
          <w:color w:val="auto"/>
          <w:highlight w:val="none"/>
        </w:rPr>
        <w:t>28.</w:t>
      </w:r>
      <w:r>
        <w:rPr>
          <w:rFonts w:hAnsi="宋体"/>
          <w:color w:val="auto"/>
          <w:highlight w:val="none"/>
        </w:rPr>
        <w:t>3</w:t>
      </w:r>
      <w:r>
        <w:rPr>
          <w:rFonts w:hint="eastAsia" w:hAnsi="宋体"/>
          <w:color w:val="auto"/>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spacing w:line="360" w:lineRule="auto"/>
        <w:ind w:firstLine="420" w:firstLineChars="200"/>
        <w:rPr>
          <w:rFonts w:hint="eastAsia" w:hAnsi="宋体"/>
          <w:color w:val="auto"/>
          <w:highlight w:val="none"/>
        </w:rPr>
      </w:pPr>
      <w:r>
        <w:rPr>
          <w:rFonts w:hint="eastAsia" w:hAnsi="宋体"/>
          <w:color w:val="auto"/>
          <w:highlight w:val="none"/>
        </w:rPr>
        <w:t>2</w:t>
      </w:r>
      <w:r>
        <w:rPr>
          <w:rFonts w:hAnsi="宋体"/>
          <w:color w:val="auto"/>
          <w:highlight w:val="none"/>
        </w:rPr>
        <w:t>8.4</w:t>
      </w:r>
      <w:r>
        <w:rPr>
          <w:rFonts w:hint="eastAsia" w:hAnsi="宋体"/>
          <w:color w:val="auto"/>
          <w:highlight w:val="none"/>
        </w:rPr>
        <w:t>评标过程的监控。本项目电子评标过程实行网上留痕、全程录音、录像监控，投标人在评标过程中所进行的试图影响评标结果的不公正活动，可能导致其投标按无效处理。</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29.评标方法及评标标准</w:t>
      </w:r>
    </w:p>
    <w:p>
      <w:pPr>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9.1</w:t>
      </w:r>
      <w:r>
        <w:rPr>
          <w:rFonts w:hint="eastAsia" w:hAnsi="宋体"/>
          <w:color w:val="auto"/>
          <w:highlight w:val="none"/>
        </w:rPr>
        <w:t>本项目的评标方法详见“投标人须知前附表”。</w:t>
      </w:r>
    </w:p>
    <w:p>
      <w:pPr>
        <w:spacing w:line="360" w:lineRule="auto"/>
        <w:ind w:firstLine="420" w:firstLineChars="200"/>
        <w:rPr>
          <w:rFonts w:hint="eastAsia" w:hAnsi="宋体"/>
          <w:color w:val="auto"/>
          <w:highlight w:val="none"/>
        </w:rPr>
      </w:pPr>
      <w:r>
        <w:rPr>
          <w:rFonts w:hint="eastAsia" w:hAnsi="宋体"/>
          <w:color w:val="auto"/>
          <w:highlight w:val="none"/>
        </w:rPr>
        <w:t>2</w:t>
      </w:r>
      <w:r>
        <w:rPr>
          <w:rFonts w:hAnsi="宋体"/>
          <w:color w:val="auto"/>
          <w:highlight w:val="none"/>
        </w:rPr>
        <w:t>9.2</w:t>
      </w:r>
      <w:r>
        <w:rPr>
          <w:rFonts w:hAnsi="宋体" w:cs="宋体"/>
          <w:color w:val="auto"/>
          <w:highlight w:val="none"/>
        </w:rPr>
        <w:t xml:space="preserve"> </w:t>
      </w:r>
      <w:r>
        <w:rPr>
          <w:rFonts w:hAnsi="宋体"/>
          <w:color w:val="auto"/>
          <w:highlight w:val="none"/>
        </w:rPr>
        <w:t>评标委员会按照</w:t>
      </w:r>
      <w:r>
        <w:rPr>
          <w:rFonts w:hint="eastAsia" w:hAnsi="宋体" w:cs="宋体"/>
          <w:b/>
          <w:color w:val="auto"/>
          <w:highlight w:val="none"/>
        </w:rPr>
        <w:t>“第四章 评标方法和评标标准”</w:t>
      </w:r>
      <w:r>
        <w:rPr>
          <w:rFonts w:hAnsi="宋体"/>
          <w:color w:val="auto"/>
          <w:highlight w:val="none"/>
        </w:rPr>
        <w:t>规定的方法、评审因素、标准和程序对投标文件进行评审。</w:t>
      </w:r>
    </w:p>
    <w:p>
      <w:pPr>
        <w:spacing w:line="360" w:lineRule="auto"/>
        <w:ind w:firstLine="420" w:firstLineChars="200"/>
        <w:rPr>
          <w:rFonts w:hint="eastAsia" w:hAnsi="宋体"/>
          <w:color w:val="auto"/>
          <w:highlight w:val="none"/>
        </w:rPr>
      </w:pPr>
      <w:r>
        <w:rPr>
          <w:rFonts w:hint="eastAsia" w:hAnsi="宋体"/>
          <w:color w:val="auto"/>
          <w:highlight w:val="none"/>
        </w:rPr>
        <w:t>29.3 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hint="eastAsia" w:hAnsi="宋体"/>
          <w:color w:val="auto"/>
          <w:highlight w:val="none"/>
        </w:rPr>
      </w:pPr>
      <w:r>
        <w:rPr>
          <w:rFonts w:hint="eastAsia" w:hAnsi="宋体"/>
          <w:color w:val="auto"/>
          <w:highlight w:val="none"/>
        </w:rPr>
        <w:t xml:space="preserve">（1）电子交易平台发生故障而无法登录访问的； </w:t>
      </w:r>
    </w:p>
    <w:p>
      <w:pPr>
        <w:spacing w:line="360" w:lineRule="auto"/>
        <w:ind w:firstLine="420" w:firstLineChars="200"/>
        <w:rPr>
          <w:rFonts w:hint="eastAsia" w:hAnsi="宋体"/>
          <w:color w:val="auto"/>
          <w:highlight w:val="none"/>
        </w:rPr>
      </w:pPr>
      <w:r>
        <w:rPr>
          <w:rFonts w:hint="eastAsia" w:hAnsi="宋体"/>
          <w:color w:val="auto"/>
          <w:highlight w:val="none"/>
        </w:rPr>
        <w:t>（2）电子交易平台应用或数据库出现错误，不能进行正常操作的；</w:t>
      </w:r>
    </w:p>
    <w:p>
      <w:pPr>
        <w:spacing w:line="360" w:lineRule="auto"/>
        <w:ind w:firstLine="420" w:firstLineChars="200"/>
        <w:rPr>
          <w:rFonts w:hint="eastAsia" w:hAnsi="宋体"/>
          <w:color w:val="auto"/>
          <w:highlight w:val="none"/>
        </w:rPr>
      </w:pPr>
      <w:r>
        <w:rPr>
          <w:rFonts w:hint="eastAsia" w:hAnsi="宋体"/>
          <w:color w:val="auto"/>
          <w:highlight w:val="none"/>
        </w:rPr>
        <w:t>（3）电子交易平台发现严重安全漏洞，有潜在泄密危险的；</w:t>
      </w:r>
    </w:p>
    <w:p>
      <w:pPr>
        <w:spacing w:line="360" w:lineRule="auto"/>
        <w:ind w:firstLine="420" w:firstLineChars="200"/>
        <w:rPr>
          <w:rFonts w:hint="eastAsia" w:hAnsi="宋体"/>
          <w:color w:val="auto"/>
          <w:highlight w:val="none"/>
        </w:rPr>
      </w:pPr>
      <w:r>
        <w:rPr>
          <w:rFonts w:hint="eastAsia" w:hAnsi="宋体"/>
          <w:color w:val="auto"/>
          <w:highlight w:val="none"/>
        </w:rPr>
        <w:t xml:space="preserve">（4）病毒发作导致不能进行正常操作的； </w:t>
      </w:r>
    </w:p>
    <w:p>
      <w:pPr>
        <w:spacing w:line="360" w:lineRule="auto"/>
        <w:ind w:firstLine="420" w:firstLineChars="200"/>
        <w:rPr>
          <w:rFonts w:hint="eastAsia" w:hAnsi="宋体"/>
          <w:color w:val="auto"/>
          <w:highlight w:val="none"/>
        </w:rPr>
      </w:pPr>
      <w:r>
        <w:rPr>
          <w:rFonts w:hint="eastAsia" w:hAnsi="宋体"/>
          <w:color w:val="auto"/>
          <w:highlight w:val="none"/>
        </w:rPr>
        <w:t>（4）其他无法保证电子交易的公平、公正和安全的情况。</w:t>
      </w:r>
    </w:p>
    <w:p>
      <w:pPr>
        <w:spacing w:line="360" w:lineRule="auto"/>
        <w:ind w:firstLine="420" w:firstLineChars="200"/>
        <w:rPr>
          <w:rFonts w:hint="eastAsia" w:hAnsi="宋体"/>
          <w:color w:val="auto"/>
          <w:highlight w:val="none"/>
        </w:rPr>
      </w:pPr>
      <w:r>
        <w:rPr>
          <w:rFonts w:hint="eastAsia" w:hAnsi="宋体"/>
          <w:color w:val="auto"/>
          <w:highlight w:val="none"/>
        </w:rPr>
        <w:t>29.4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21"/>
        <w:snapToGrid w:val="0"/>
        <w:spacing w:line="400" w:lineRule="exact"/>
        <w:ind w:firstLine="420" w:firstLineChars="200"/>
        <w:rPr>
          <w:rFonts w:hint="eastAsia" w:hAnsi="宋体"/>
          <w:color w:val="auto"/>
          <w:highlight w:val="none"/>
        </w:rPr>
      </w:pPr>
    </w:p>
    <w:p>
      <w:pPr>
        <w:pStyle w:val="5"/>
        <w:keepNext w:val="0"/>
        <w:keepLines w:val="0"/>
        <w:spacing w:line="400" w:lineRule="exact"/>
        <w:jc w:val="center"/>
        <w:rPr>
          <w:rFonts w:hint="eastAsia"/>
          <w:color w:val="auto"/>
          <w:highlight w:val="none"/>
        </w:rPr>
      </w:pPr>
      <w:bookmarkStart w:id="151" w:name="_Toc254970687"/>
      <w:bookmarkStart w:id="152" w:name="_Toc254970546"/>
      <w:bookmarkStart w:id="153" w:name="_Toc7361"/>
      <w:bookmarkStart w:id="154" w:name="_Toc80093001"/>
      <w:bookmarkStart w:id="155" w:name="_Toc12147"/>
      <w:bookmarkStart w:id="156" w:name="_Toc495"/>
      <w:r>
        <w:rPr>
          <w:rFonts w:hint="eastAsia"/>
          <w:color w:val="auto"/>
          <w:highlight w:val="none"/>
        </w:rPr>
        <w:t>七、</w:t>
      </w:r>
      <w:bookmarkEnd w:id="151"/>
      <w:bookmarkEnd w:id="152"/>
      <w:r>
        <w:rPr>
          <w:rFonts w:hint="eastAsia"/>
          <w:color w:val="auto"/>
          <w:highlight w:val="none"/>
        </w:rPr>
        <w:t>中标和合同</w:t>
      </w:r>
      <w:bookmarkEnd w:id="153"/>
      <w:bookmarkEnd w:id="154"/>
      <w:bookmarkEnd w:id="155"/>
      <w:bookmarkEnd w:id="156"/>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30.确定中标人</w:t>
      </w:r>
    </w:p>
    <w:p>
      <w:pPr>
        <w:spacing w:line="360" w:lineRule="auto"/>
        <w:ind w:firstLine="422" w:firstLineChars="200"/>
        <w:rPr>
          <w:rFonts w:ascii="宋体" w:hAnsi="宋体" w:cs="Courier New"/>
          <w:b/>
          <w:bCs/>
          <w:color w:val="auto"/>
          <w:szCs w:val="21"/>
          <w:highlight w:val="none"/>
        </w:rPr>
      </w:pPr>
      <w:r>
        <w:rPr>
          <w:rFonts w:ascii="宋体" w:hAnsi="宋体" w:cs="Courier New"/>
          <w:b/>
          <w:bCs/>
          <w:color w:val="auto"/>
          <w:szCs w:val="21"/>
          <w:highlight w:val="none"/>
        </w:rPr>
        <w:t>30.1</w:t>
      </w:r>
      <w:r>
        <w:rPr>
          <w:rFonts w:hint="eastAsia" w:ascii="宋体" w:hAnsi="宋体" w:cs="Courier New"/>
          <w:b/>
          <w:bCs/>
          <w:color w:val="auto"/>
          <w:szCs w:val="21"/>
          <w:highlight w:val="none"/>
        </w:rPr>
        <w:t>本项目授权评标委员会直接按第四章“评标方法及标准”的规定排列中标候选人顺序，并依照次序确定中标人。</w:t>
      </w:r>
    </w:p>
    <w:p>
      <w:pPr>
        <w:spacing w:line="360" w:lineRule="auto"/>
        <w:ind w:firstLine="420" w:firstLineChars="200"/>
        <w:rPr>
          <w:rFonts w:hint="eastAsia" w:ascii="宋体" w:hAnsi="宋体" w:cs="Courier New"/>
          <w:color w:val="auto"/>
          <w:szCs w:val="21"/>
          <w:highlight w:val="none"/>
        </w:rPr>
      </w:pPr>
      <w:r>
        <w:rPr>
          <w:rFonts w:ascii="宋体" w:hAnsi="宋体" w:cs="Courier New"/>
          <w:color w:val="auto"/>
          <w:szCs w:val="21"/>
          <w:highlight w:val="none"/>
        </w:rPr>
        <w:t>30.2</w:t>
      </w:r>
      <w:r>
        <w:rPr>
          <w:rFonts w:hint="eastAsia" w:ascii="宋体" w:hAnsi="宋体" w:cs="Courier New"/>
          <w:color w:val="auto"/>
          <w:szCs w:val="21"/>
          <w:highlight w:val="none"/>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line="360" w:lineRule="auto"/>
        <w:ind w:firstLine="420" w:firstLineChars="200"/>
        <w:rPr>
          <w:rFonts w:hint="eastAsia" w:ascii="宋体" w:hAnsi="宋体" w:cs="Courier New"/>
          <w:color w:val="auto"/>
          <w:szCs w:val="21"/>
          <w:highlight w:val="none"/>
        </w:rPr>
      </w:pPr>
      <w:r>
        <w:rPr>
          <w:rFonts w:ascii="宋体" w:hAnsi="宋体" w:cs="Courier New"/>
          <w:color w:val="auto"/>
          <w:szCs w:val="21"/>
          <w:highlight w:val="none"/>
        </w:rPr>
        <w:t>30.3</w:t>
      </w:r>
      <w:r>
        <w:rPr>
          <w:rFonts w:hint="eastAsia" w:ascii="宋体" w:hAnsi="宋体" w:cs="Courier New"/>
          <w:color w:val="auto"/>
          <w:szCs w:val="21"/>
          <w:highlight w:val="none"/>
        </w:rPr>
        <w:t>中标供应商无正当理由拒签合同的，根据《中华人民共和国政府采购法》第七十七条第一款规定处理。</w:t>
      </w:r>
    </w:p>
    <w:p>
      <w:pPr>
        <w:spacing w:line="360" w:lineRule="auto"/>
        <w:ind w:firstLine="420" w:firstLineChars="200"/>
        <w:rPr>
          <w:rFonts w:hint="eastAsia" w:ascii="宋体" w:hAnsi="宋体" w:cs="Courier New"/>
          <w:color w:val="auto"/>
          <w:szCs w:val="21"/>
          <w:highlight w:val="none"/>
        </w:rPr>
      </w:pPr>
      <w:r>
        <w:rPr>
          <w:rFonts w:hint="eastAsia" w:ascii="宋体" w:hAnsi="宋体" w:cs="Courier New"/>
          <w:color w:val="auto"/>
          <w:szCs w:val="21"/>
          <w:highlight w:val="none"/>
        </w:rPr>
        <w:t>30.4根据《中华人民共和国民法典》</w:t>
      </w:r>
      <w:r>
        <w:rPr>
          <w:color w:val="auto"/>
          <w:sz w:val="19"/>
          <w:szCs w:val="19"/>
          <w:highlight w:val="none"/>
        </w:rPr>
        <w:t>第五百六十三条</w:t>
      </w:r>
      <w:r>
        <w:rPr>
          <w:rFonts w:hint="eastAsia" w:ascii="宋体" w:hAnsi="宋体" w:cs="Courier New"/>
          <w:color w:val="auto"/>
          <w:szCs w:val="21"/>
          <w:highlight w:val="none"/>
        </w:rPr>
        <w:t>，因不可抗力致使不能实现合同目的的，当事人可以解除合同。</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spacing w:line="360" w:lineRule="auto"/>
        <w:ind w:firstLine="420" w:firstLineChars="200"/>
        <w:rPr>
          <w:rFonts w:hint="eastAsia" w:hAnsi="宋体" w:cs="宋体"/>
          <w:color w:val="auto"/>
          <w:highlight w:val="none"/>
        </w:rPr>
      </w:pPr>
      <w:r>
        <w:rPr>
          <w:rFonts w:hint="eastAsia" w:hAnsi="宋体"/>
          <w:color w:val="auto"/>
          <w:szCs w:val="21"/>
          <w:highlight w:val="none"/>
        </w:rPr>
        <w:t>3</w:t>
      </w:r>
      <w:r>
        <w:rPr>
          <w:rFonts w:hAnsi="宋体"/>
          <w:color w:val="auto"/>
          <w:szCs w:val="21"/>
          <w:highlight w:val="none"/>
        </w:rPr>
        <w:t>1.1</w:t>
      </w:r>
      <w:r>
        <w:rPr>
          <w:rFonts w:hint="eastAsia" w:hAnsi="宋体" w:cs="宋体"/>
          <w:color w:val="auto"/>
          <w:highlight w:val="none"/>
        </w:rPr>
        <w:t>在中标供应商</w:t>
      </w:r>
      <w:r>
        <w:rPr>
          <w:rFonts w:hint="eastAsia" w:hAnsi="宋体" w:cs="Arial"/>
          <w:color w:val="auto"/>
          <w:highlight w:val="none"/>
        </w:rPr>
        <w:t>确定之日起</w:t>
      </w:r>
      <w:r>
        <w:rPr>
          <w:rFonts w:hint="eastAsia" w:hAnsi="宋体" w:cs="宋体"/>
          <w:color w:val="auto"/>
          <w:highlight w:val="none"/>
        </w:rPr>
        <w:t>2个工作日内，由采购代理机构</w:t>
      </w:r>
      <w:r>
        <w:rPr>
          <w:rFonts w:hint="eastAsia" w:hAnsi="宋体"/>
          <w:b/>
          <w:color w:val="auto"/>
          <w:szCs w:val="21"/>
          <w:highlight w:val="none"/>
        </w:rPr>
        <w:t>在招标公告发布媒体上</w:t>
      </w:r>
      <w:r>
        <w:rPr>
          <w:rFonts w:hint="eastAsia" w:hAnsi="宋体" w:cs="宋体"/>
          <w:color w:val="auto"/>
          <w:highlight w:val="none"/>
        </w:rPr>
        <w:t>发布中标结果公告，中标结果公告期限为1个工作日，发布中标结果公告的同时向中标供应商发出中标通知书。</w:t>
      </w:r>
      <w:r>
        <w:rPr>
          <w:rFonts w:hint="eastAsia" w:hAnsi="宋体"/>
          <w:b/>
          <w:color w:val="auto"/>
          <w:szCs w:val="21"/>
          <w:highlight w:val="none"/>
        </w:rPr>
        <w:t>采购代理机构发出中标通知书前，应当对中标人信用进行核实，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hAnsi="宋体"/>
          <w:color w:val="auto"/>
          <w:szCs w:val="21"/>
          <w:highlight w:val="none"/>
        </w:rPr>
        <w:t>排名第二的中标候选人因前款规定的同样原因被取消中标资格的，</w:t>
      </w:r>
      <w:r>
        <w:rPr>
          <w:rFonts w:hint="eastAsia" w:hAnsi="宋体" w:cs="Courier New"/>
          <w:color w:val="auto"/>
          <w:szCs w:val="21"/>
          <w:highlight w:val="none"/>
        </w:rPr>
        <w:t>授权的评标委员会</w:t>
      </w:r>
      <w:r>
        <w:rPr>
          <w:rFonts w:hint="eastAsia" w:hAnsi="宋体"/>
          <w:color w:val="auto"/>
          <w:szCs w:val="21"/>
          <w:highlight w:val="none"/>
        </w:rPr>
        <w:t>可以确定排名第三的中标候选人为中标人，以此类推。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以上信息查询记录及相关证据与采购文件一并保存。</w:t>
      </w:r>
    </w:p>
    <w:p>
      <w:pPr>
        <w:spacing w:line="360" w:lineRule="auto"/>
        <w:ind w:firstLine="420" w:firstLineChars="200"/>
        <w:rPr>
          <w:rFonts w:hint="eastAsia" w:ascii="宋体" w:hAnsi="宋体" w:cs="Courier New"/>
          <w:color w:val="auto"/>
          <w:szCs w:val="21"/>
          <w:highlight w:val="none"/>
        </w:rPr>
      </w:pPr>
      <w:r>
        <w:rPr>
          <w:rFonts w:hint="eastAsia" w:ascii="宋体" w:hAnsi="宋体" w:cs="Courier New"/>
          <w:color w:val="auto"/>
          <w:szCs w:val="21"/>
          <w:highlight w:val="none"/>
        </w:rPr>
        <w:t>31.2中小企业在政府采购活动过程中，请根据企业的真实情况出具《中小企业声明函》。依法享受中小企业优惠政策的，采购人或者采购代理机构在公告中标结果时，同时公告其《中小企业声明函》，接受社会监督。</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32.1在发布中标公告的同时，采购代理机构向中标人通过“政采云”平台发出电子中标通知书。</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32.2对未通过资格审查的投标人，采购人或采购机构应当告知其未通过的原因；采用综合评分办法评审的，采购人或采购机构还应当告知未中标人本人的评审得分与排序。</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33. 无义务解释未中标原因</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采购代理机构无义务向未中标的投标人解释未中标原因和退还投标文件。</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34.合同授予标准</w:t>
      </w:r>
    </w:p>
    <w:p>
      <w:pPr>
        <w:spacing w:line="360" w:lineRule="auto"/>
        <w:ind w:firstLine="420" w:firstLineChars="200"/>
        <w:rPr>
          <w:rFonts w:hint="eastAsia"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合同将授予被确定实质上响应招标文件要求，具备履行合同能力的中标人（招标文件另有约定多名中标人的除外）。</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35.履约保证金</w:t>
      </w:r>
    </w:p>
    <w:p>
      <w:pPr>
        <w:spacing w:line="360" w:lineRule="auto"/>
        <w:ind w:firstLine="420" w:firstLineChars="200"/>
        <w:rPr>
          <w:rFonts w:hint="eastAsia" w:ascii="宋体" w:hAnsi="宋体" w:cs="仿宋_GB2312"/>
          <w:color w:val="auto"/>
          <w:szCs w:val="21"/>
          <w:highlight w:val="none"/>
        </w:rPr>
      </w:pPr>
      <w:bookmarkStart w:id="157" w:name="_39.1中标人须于签订合同前按本须知前附表规定的金额转账或电汇到指定账"/>
      <w:bookmarkEnd w:id="157"/>
      <w:r>
        <w:rPr>
          <w:rFonts w:hint="eastAsia" w:ascii="宋体" w:hAnsi="宋体" w:cs="仿宋_GB2312"/>
          <w:color w:val="auto"/>
          <w:szCs w:val="21"/>
          <w:highlight w:val="none"/>
        </w:rPr>
        <w:t>见“投标人须知前附表”。</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36.签订合同</w:t>
      </w:r>
    </w:p>
    <w:p>
      <w:pPr>
        <w:pStyle w:val="75"/>
        <w:snapToGrid w:val="0"/>
        <w:spacing w:before="0"/>
        <w:ind w:firstLine="422"/>
        <w:rPr>
          <w:rFonts w:hint="eastAsia" w:ascii="宋体" w:hAnsi="宋体"/>
          <w:color w:val="auto"/>
          <w:kern w:val="0"/>
          <w:sz w:val="21"/>
          <w:szCs w:val="21"/>
          <w:highlight w:val="none"/>
          <w:lang w:val="zh-CN"/>
        </w:rPr>
      </w:pPr>
      <w:bookmarkStart w:id="158" w:name="_40.1投标人接到中标通知书后，按须知前附表规定向采购人出示相关资格证"/>
      <w:bookmarkEnd w:id="158"/>
      <w:r>
        <w:rPr>
          <w:rFonts w:hint="eastAsia" w:ascii="宋体" w:hAnsi="宋体"/>
          <w:b/>
          <w:color w:val="auto"/>
          <w:sz w:val="21"/>
          <w:szCs w:val="21"/>
          <w:highlight w:val="none"/>
        </w:rPr>
        <w:t xml:space="preserve"> 36.1中标人领取电子中标通知书后，</w:t>
      </w:r>
      <w:r>
        <w:rPr>
          <w:rFonts w:hint="eastAsia" w:ascii="宋体" w:hAnsi="宋体"/>
          <w:color w:val="auto"/>
          <w:kern w:val="0"/>
          <w:sz w:val="21"/>
          <w:szCs w:val="21"/>
          <w:highlight w:val="none"/>
          <w:lang w:val="zh-CN"/>
        </w:rPr>
        <w:t>按规定的日期、时间、地点，由法定代表人或其授权代表与采购人代表签订电子采购合同。如中标人为联合体的，由联合体成员各方法定代表人或其授权代表与采购人代表签订合同，签订携带资料详见“投标人须知前附表”。</w:t>
      </w:r>
    </w:p>
    <w:p>
      <w:pPr>
        <w:pStyle w:val="75"/>
        <w:snapToGrid w:val="0"/>
        <w:spacing w:before="0"/>
        <w:ind w:firstLine="420"/>
        <w:rPr>
          <w:rFonts w:hint="eastAsia" w:ascii="宋体" w:hAnsi="宋体"/>
          <w:color w:val="auto"/>
          <w:kern w:val="0"/>
          <w:sz w:val="21"/>
          <w:szCs w:val="21"/>
          <w:highlight w:val="none"/>
          <w:lang w:val="zh-CN"/>
        </w:rPr>
      </w:pPr>
      <w:r>
        <w:rPr>
          <w:rFonts w:hint="eastAsia" w:ascii="宋体" w:hAnsi="宋体"/>
          <w:color w:val="auto"/>
          <w:kern w:val="0"/>
          <w:sz w:val="21"/>
          <w:szCs w:val="21"/>
          <w:highlight w:val="none"/>
          <w:lang w:val="zh-CN"/>
        </w:rPr>
        <w:t>36.2</w:t>
      </w:r>
      <w:r>
        <w:rPr>
          <w:rFonts w:ascii="宋体" w:hAnsi="宋体" w:cs="仿宋_GB2312"/>
          <w:color w:val="auto"/>
          <w:sz w:val="21"/>
          <w:szCs w:val="21"/>
          <w:highlight w:val="none"/>
        </w:rPr>
        <w:t>采购合同由采购人与中标供应商根据</w:t>
      </w:r>
      <w:r>
        <w:rPr>
          <w:rFonts w:hint="eastAsia" w:ascii="宋体" w:hAnsi="宋体" w:cs="仿宋_GB2312"/>
          <w:color w:val="auto"/>
          <w:sz w:val="21"/>
          <w:szCs w:val="21"/>
          <w:highlight w:val="none"/>
        </w:rPr>
        <w:t>招标文件、投标文件等内容通过政府采购电子交易平台在线签订，自动备案。</w:t>
      </w:r>
    </w:p>
    <w:p>
      <w:pPr>
        <w:pStyle w:val="75"/>
        <w:snapToGrid w:val="0"/>
        <w:spacing w:before="0"/>
        <w:ind w:firstLine="420"/>
        <w:rPr>
          <w:rFonts w:hint="eastAsia" w:ascii="宋体" w:hAnsi="宋体" w:cs="仿宋_GB2312"/>
          <w:color w:val="auto"/>
          <w:sz w:val="21"/>
          <w:szCs w:val="21"/>
          <w:highlight w:val="none"/>
        </w:rPr>
      </w:pPr>
      <w:r>
        <w:rPr>
          <w:rFonts w:hint="eastAsia" w:ascii="宋体" w:hAnsi="宋体"/>
          <w:color w:val="auto"/>
          <w:sz w:val="21"/>
          <w:szCs w:val="21"/>
          <w:highlight w:val="none"/>
        </w:rPr>
        <w:t>36.3签订合同时间：按中标通知书规定的时间与采购人签订合同（最长不能超过25日）。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36.4中标人拒绝与采购人签订合同的，采购人可以按照评审报告推荐的中标候选人名单排序，确定下一候选人为中标人，也可以重新开展政府采购活动。如采购人无正当理由拒签合同的，给中标供应商造成损失的，中标供应商可追究采购人承担相应的法律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36.5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36.6采购人或中标供应商不得单方面向合同另一方提出任何招标文件没有约定的条件或不合理的要求，作为签订合同的条件；也不得协商另行订立背离招标文件和合同实质性内容的协议。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36.7</w:t>
      </w:r>
      <w:r>
        <w:rPr>
          <w:rFonts w:hint="eastAsia" w:ascii="宋体" w:hAnsi="宋体" w:cs="仿宋_GB2312"/>
          <w:color w:val="auto"/>
          <w:szCs w:val="21"/>
          <w:highlight w:val="none"/>
        </w:rPr>
        <w:t>如签订合同并生效后，供应商无故拒绝或延期，除按照合同条款处理外，将承担相应的法律责任。</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36.8采购人需追加与合同标的相同的货物或者服务的，在不改变原合同条款且已报财政部门批准落实资金的前提下，可从原中标供应商处添购， 所签订的补充添置合同的采购资金总额不超过原采购合同金额的10%。</w:t>
      </w:r>
    </w:p>
    <w:p>
      <w:pPr>
        <w:spacing w:line="360" w:lineRule="auto"/>
        <w:ind w:firstLine="480" w:firstLineChars="200"/>
        <w:rPr>
          <w:rFonts w:hint="eastAsia" w:ascii="黑体" w:hAnsi="黑体" w:eastAsia="黑体"/>
          <w:color w:val="auto"/>
          <w:sz w:val="24"/>
          <w:highlight w:val="none"/>
        </w:rPr>
      </w:pPr>
      <w:bookmarkStart w:id="159" w:name="_41.政府采购合同公告"/>
      <w:bookmarkEnd w:id="159"/>
      <w:r>
        <w:rPr>
          <w:rFonts w:hint="eastAsia" w:ascii="黑体" w:hAnsi="黑体" w:eastAsia="黑体"/>
          <w:color w:val="auto"/>
          <w:sz w:val="24"/>
          <w:highlight w:val="none"/>
        </w:rPr>
        <w:t>37.政府采购合同公告</w:t>
      </w:r>
    </w:p>
    <w:p>
      <w:pPr>
        <w:spacing w:line="360" w:lineRule="auto"/>
        <w:ind w:firstLine="420" w:firstLineChars="200"/>
        <w:rPr>
          <w:rFonts w:hint="eastAsia" w:ascii="宋体" w:hAnsi="宋体"/>
          <w:color w:val="auto"/>
          <w:highlight w:val="none"/>
        </w:rPr>
      </w:pPr>
      <w:r>
        <w:rPr>
          <w:rFonts w:hint="eastAsia" w:hAnsi="宋体"/>
          <w:color w:val="auto"/>
          <w:highlight w:val="none"/>
        </w:rPr>
        <w:t>采购人或者受托采购代理机构应当自政府采购合同签订之日起2个工作日内，将政府采购合同</w:t>
      </w:r>
      <w:r>
        <w:rPr>
          <w:rFonts w:hint="eastAsia" w:ascii="宋体" w:hAnsi="宋体"/>
          <w:bCs/>
          <w:color w:val="auto"/>
          <w:highlight w:val="none"/>
        </w:rPr>
        <w:t>在以下媒体上发布</w:t>
      </w:r>
      <w:r>
        <w:rPr>
          <w:rFonts w:hint="eastAsia" w:ascii="宋体" w:hAnsi="宋体" w:cs="宋体"/>
          <w:color w:val="auto"/>
          <w:kern w:val="0"/>
          <w:szCs w:val="21"/>
          <w:highlight w:val="none"/>
        </w:rPr>
        <w:t xml:space="preserve"> “广西政府采购网”（http://zfcg.gxzf.gov.cn）</w:t>
      </w:r>
      <w:r>
        <w:rPr>
          <w:rFonts w:hint="eastAsia" w:hAnsi="宋体"/>
          <w:color w:val="auto"/>
          <w:highlight w:val="none"/>
        </w:rPr>
        <w:t>上公告，</w:t>
      </w:r>
      <w:r>
        <w:rPr>
          <w:rFonts w:hAnsi="宋体"/>
          <w:color w:val="auto"/>
          <w:highlight w:val="none"/>
        </w:rPr>
        <w:t>但政府采购合同中涉及国家秘密、商业秘密的内容除外。</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8.</w:t>
      </w:r>
      <w:r>
        <w:rPr>
          <w:rFonts w:hint="eastAsia" w:ascii="黑体" w:hAnsi="黑体" w:eastAsia="黑体"/>
          <w:color w:val="auto"/>
          <w:sz w:val="24"/>
          <w:highlight w:val="none"/>
        </w:rPr>
        <w:t xml:space="preserve"> 询问、质疑和投诉</w:t>
      </w:r>
    </w:p>
    <w:p>
      <w:pPr>
        <w:spacing w:line="360" w:lineRule="auto"/>
        <w:ind w:firstLine="422" w:firstLineChars="200"/>
        <w:rPr>
          <w:rFonts w:hint="eastAsia" w:hAnsi="宋体"/>
          <w:b/>
          <w:color w:val="auto"/>
          <w:szCs w:val="21"/>
          <w:highlight w:val="none"/>
        </w:rPr>
      </w:pPr>
      <w:r>
        <w:rPr>
          <w:rFonts w:hAnsi="宋体"/>
          <w:b/>
          <w:color w:val="auto"/>
          <w:szCs w:val="21"/>
          <w:highlight w:val="none"/>
        </w:rPr>
        <w:t>38.1</w:t>
      </w:r>
      <w:r>
        <w:rPr>
          <w:rFonts w:hint="eastAsia" w:hAnsi="宋体"/>
          <w:b/>
          <w:color w:val="auto"/>
          <w:szCs w:val="21"/>
          <w:highlight w:val="none"/>
        </w:rPr>
        <w:t>询问</w:t>
      </w:r>
    </w:p>
    <w:p>
      <w:pPr>
        <w:spacing w:line="360" w:lineRule="auto"/>
        <w:ind w:firstLine="420" w:firstLineChars="200"/>
        <w:rPr>
          <w:rFonts w:hint="eastAsia" w:hAnsi="宋体"/>
          <w:bCs/>
          <w:color w:val="auto"/>
          <w:szCs w:val="21"/>
          <w:highlight w:val="none"/>
        </w:rPr>
      </w:pPr>
      <w:r>
        <w:rPr>
          <w:rFonts w:hAnsi="宋体"/>
          <w:bCs/>
          <w:color w:val="auto"/>
          <w:szCs w:val="21"/>
          <w:highlight w:val="none"/>
        </w:rPr>
        <w:t>38.1</w:t>
      </w:r>
      <w:r>
        <w:rPr>
          <w:rFonts w:hint="eastAsia" w:hAnsi="宋体"/>
          <w:bCs/>
          <w:color w:val="auto"/>
          <w:szCs w:val="21"/>
          <w:highlight w:val="none"/>
        </w:rPr>
        <w:t>.1供应商在开标前对政府采购活动事项有疑问的，可以向采购人或采购代理机构项目负责人提出询问。</w:t>
      </w:r>
    </w:p>
    <w:p>
      <w:pPr>
        <w:spacing w:line="360" w:lineRule="auto"/>
        <w:ind w:firstLine="420" w:firstLineChars="200"/>
        <w:rPr>
          <w:rFonts w:hAnsi="宋体"/>
          <w:bCs/>
          <w:color w:val="auto"/>
          <w:szCs w:val="21"/>
          <w:highlight w:val="none"/>
        </w:rPr>
      </w:pPr>
      <w:r>
        <w:rPr>
          <w:rFonts w:hAnsi="宋体"/>
          <w:bCs/>
          <w:color w:val="auto"/>
          <w:szCs w:val="21"/>
          <w:highlight w:val="none"/>
        </w:rPr>
        <w:t>38.1</w:t>
      </w:r>
      <w:r>
        <w:rPr>
          <w:rFonts w:hint="eastAsia" w:hAnsi="宋体"/>
          <w:bCs/>
          <w:color w:val="auto"/>
          <w:szCs w:val="21"/>
          <w:highlight w:val="none"/>
        </w:rPr>
        <w:t>.2采购人或采购人委托的采购代理机构自受理询问之日起3个工作日内对供应商依法提出的询问作出答复，</w:t>
      </w:r>
      <w:r>
        <w:rPr>
          <w:rFonts w:hint="eastAsia"/>
          <w:color w:val="auto"/>
          <w:highlight w:val="none"/>
        </w:rPr>
        <w:t>但答复内容不得涉及商业秘密</w:t>
      </w:r>
      <w:r>
        <w:rPr>
          <w:rFonts w:hint="eastAsia" w:hAnsi="宋体"/>
          <w:bCs/>
          <w:color w:val="auto"/>
          <w:szCs w:val="21"/>
          <w:highlight w:val="none"/>
        </w:rPr>
        <w:t>。</w:t>
      </w:r>
    </w:p>
    <w:p>
      <w:pPr>
        <w:spacing w:line="360" w:lineRule="auto"/>
        <w:ind w:firstLine="420" w:firstLineChars="200"/>
        <w:rPr>
          <w:rFonts w:hint="eastAsia" w:hAnsi="宋体"/>
          <w:bCs/>
          <w:color w:val="auto"/>
          <w:szCs w:val="21"/>
          <w:highlight w:val="none"/>
        </w:rPr>
      </w:pPr>
      <w:r>
        <w:rPr>
          <w:rFonts w:hAnsi="宋体"/>
          <w:bCs/>
          <w:color w:val="auto"/>
          <w:szCs w:val="21"/>
          <w:highlight w:val="none"/>
        </w:rPr>
        <w:t xml:space="preserve">38.1.3 </w:t>
      </w:r>
      <w:r>
        <w:rPr>
          <w:rFonts w:hint="eastAsia" w:hAnsi="宋体"/>
          <w:bCs/>
          <w:color w:val="auto"/>
          <w:szCs w:val="21"/>
          <w:highlight w:val="none"/>
        </w:rPr>
        <w:t>询问事项可能影响中标、成交结果的，采购人应当暂停签订合同，已经签订合同的，应当中止履行合同。</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 xml:space="preserve"> </w:t>
      </w:r>
      <w:r>
        <w:rPr>
          <w:rFonts w:ascii="宋体" w:hAnsi="宋体"/>
          <w:color w:val="auto"/>
          <w:szCs w:val="21"/>
          <w:highlight w:val="none"/>
        </w:rPr>
        <w:t>38</w:t>
      </w: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质疑</w:t>
      </w:r>
    </w:p>
    <w:p>
      <w:pPr>
        <w:spacing w:line="360" w:lineRule="auto"/>
        <w:ind w:firstLine="420" w:firstLineChars="200"/>
        <w:rPr>
          <w:rFonts w:hint="eastAsia" w:ascii="宋体" w:hAnsi="宋体"/>
          <w:b/>
          <w:color w:val="auto"/>
          <w:szCs w:val="21"/>
          <w:highlight w:val="none"/>
        </w:rPr>
      </w:pPr>
      <w:r>
        <w:rPr>
          <w:rFonts w:hint="eastAsia" w:ascii="宋体" w:hAnsi="宋体"/>
          <w:color w:val="auto"/>
          <w:szCs w:val="21"/>
          <w:highlight w:val="none"/>
        </w:rPr>
        <w:t>38.2.1</w:t>
      </w:r>
      <w:r>
        <w:rPr>
          <w:rFonts w:hint="eastAsia" w:ascii="宋体" w:hAnsi="宋体"/>
          <w:b/>
          <w:color w:val="auto"/>
          <w:szCs w:val="21"/>
          <w:highlight w:val="none"/>
        </w:rPr>
        <w:t xml:space="preserve">供应商认为招标文件、采购过程或者中标结果使自己的合法权益受到损害的，必须在知道或者应知其权益受到损害之日起7个工作日内，以书面形式向采购人、采购代理机构提出质疑，质疑有效期结束后，采购人或采购代理机构不再受理该项目质疑。采购人、采购代理机构接收质疑函的方式、联系部门、联系电话和通讯地址等信息详见“投标人须知前附表”。具体质疑起算时间及处理方式如下： </w:t>
      </w:r>
    </w:p>
    <w:p>
      <w:pPr>
        <w:spacing w:line="360" w:lineRule="auto"/>
        <w:ind w:firstLine="420" w:firstLineChars="200"/>
        <w:rPr>
          <w:rFonts w:hint="eastAsia" w:hAnsi="宋体"/>
          <w:bCs/>
          <w:color w:val="auto"/>
          <w:highlight w:val="none"/>
        </w:rPr>
      </w:pPr>
      <w:r>
        <w:rPr>
          <w:rFonts w:hint="eastAsia" w:hAnsi="宋体"/>
          <w:bCs/>
          <w:color w:val="auto"/>
          <w:highlight w:val="none"/>
        </w:rPr>
        <w:t>（1）潜在供应商依法获取公开招标文件后，认为采购文件使自己的权益受到损害的，应当在公开招标文件公告期限届满之日起7个工作日内提出质疑。</w:t>
      </w:r>
      <w:r>
        <w:rPr>
          <w:rFonts w:hint="eastAsia"/>
          <w:color w:val="auto"/>
          <w:highlight w:val="none"/>
        </w:rPr>
        <w:t>委托代理协议无特殊约定的，</w:t>
      </w:r>
      <w:r>
        <w:rPr>
          <w:rFonts w:hint="eastAsia" w:hAnsi="宋体"/>
          <w:bCs/>
          <w:color w:val="auto"/>
          <w:highlight w:val="none"/>
        </w:rPr>
        <w:t>对公开招标文件中采购需求（含资格要求、采购预算和评分办法）的质疑由采购人受理并负责答复；对公开招标文件中的采购执行程序的质疑由采购代理机构受理并负责答复。</w:t>
      </w:r>
    </w:p>
    <w:p>
      <w:pPr>
        <w:spacing w:line="360" w:lineRule="auto"/>
        <w:ind w:firstLine="420" w:firstLineChars="200"/>
        <w:rPr>
          <w:rFonts w:hint="eastAsia" w:hAnsi="宋体"/>
          <w:bCs/>
          <w:color w:val="auto"/>
          <w:highlight w:val="none"/>
        </w:rPr>
      </w:pPr>
      <w:r>
        <w:rPr>
          <w:rFonts w:hint="eastAsia" w:hAnsi="宋体"/>
          <w:bCs/>
          <w:color w:val="auto"/>
          <w:highlight w:val="none"/>
        </w:rPr>
        <w:t>（2）供应商认为采购过程使自己的权益受到损害的，应当在各采购程序环节结束之日起7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pPr>
        <w:spacing w:line="360" w:lineRule="auto"/>
        <w:ind w:firstLine="420" w:firstLineChars="200"/>
        <w:rPr>
          <w:rFonts w:hint="eastAsia" w:hAnsi="宋体"/>
          <w:bCs/>
          <w:color w:val="auto"/>
          <w:highlight w:val="none"/>
        </w:rPr>
      </w:pPr>
      <w:r>
        <w:rPr>
          <w:rFonts w:hint="eastAsia" w:hAnsi="宋体"/>
          <w:bCs/>
          <w:color w:val="auto"/>
          <w:highlight w:val="none"/>
        </w:rPr>
        <w:t>（3）供应商认为中标或者成交结果使自己的权益受到损害的，应当在中标或者成交结果公告期限届满之日起7个工作日内提出质疑，由采购人受理并负责答复。</w:t>
      </w:r>
    </w:p>
    <w:p>
      <w:pPr>
        <w:spacing w:line="360" w:lineRule="auto"/>
        <w:ind w:firstLine="422" w:firstLineChars="200"/>
        <w:rPr>
          <w:rFonts w:hint="eastAsia" w:hAnsi="宋体"/>
          <w:bCs/>
          <w:color w:val="auto"/>
          <w:szCs w:val="21"/>
          <w:highlight w:val="none"/>
        </w:rPr>
      </w:pPr>
      <w:r>
        <w:rPr>
          <w:rFonts w:hint="eastAsia" w:hAnsi="宋体"/>
          <w:b/>
          <w:bCs/>
          <w:color w:val="auto"/>
          <w:szCs w:val="21"/>
          <w:highlight w:val="none"/>
        </w:rPr>
        <w:t>38.2.2</w:t>
      </w:r>
      <w:r>
        <w:rPr>
          <w:rFonts w:hint="eastAsia" w:hAnsi="宋体"/>
          <w:bCs/>
          <w:color w:val="auto"/>
          <w:szCs w:val="21"/>
          <w:highlight w:val="none"/>
        </w:rPr>
        <w:t>供应商质疑实行实名制，其质疑应当有具体的质疑事项及事实根据，质疑应当坚持依法依规、诚实信用原则，不得进行虚假、恶意质疑。</w:t>
      </w:r>
    </w:p>
    <w:p>
      <w:pPr>
        <w:spacing w:line="360" w:lineRule="auto"/>
        <w:ind w:firstLine="422" w:firstLineChars="200"/>
        <w:rPr>
          <w:rFonts w:hint="eastAsia" w:hAnsi="宋体"/>
          <w:bCs/>
          <w:color w:val="auto"/>
          <w:highlight w:val="none"/>
        </w:rPr>
      </w:pPr>
      <w:r>
        <w:rPr>
          <w:rFonts w:hint="eastAsia" w:hAnsi="宋体"/>
          <w:b/>
          <w:bCs/>
          <w:color w:val="auto"/>
          <w:highlight w:val="none"/>
        </w:rPr>
        <w:t>38.2.3</w:t>
      </w:r>
      <w:r>
        <w:rPr>
          <w:rFonts w:hint="eastAsia" w:hAnsi="宋体"/>
          <w:bCs/>
          <w:color w:val="auto"/>
          <w:highlight w:val="none"/>
        </w:rPr>
        <w:t xml:space="preserve"> 质疑供应商可以委托代理人办理质疑事务。委托代理人应熟悉相关业务情况。代理人办理质疑事务时，除提交质疑书外，还应当提交质疑供应商的授权委托书和委托代理人身份证明复印件</w:t>
      </w:r>
      <w:r>
        <w:rPr>
          <w:rFonts w:hint="eastAsia" w:hAnsi="宋体"/>
          <w:color w:val="auto"/>
          <w:highlight w:val="none"/>
        </w:rPr>
        <w:t>。</w:t>
      </w:r>
    </w:p>
    <w:p>
      <w:pPr>
        <w:spacing w:line="360" w:lineRule="auto"/>
        <w:ind w:firstLine="422" w:firstLineChars="200"/>
        <w:rPr>
          <w:rFonts w:hint="eastAsia" w:hAnsi="宋体"/>
          <w:b/>
          <w:bCs/>
          <w:color w:val="auto"/>
          <w:highlight w:val="none"/>
        </w:rPr>
      </w:pPr>
      <w:r>
        <w:rPr>
          <w:rFonts w:hint="eastAsia" w:hAnsi="宋体"/>
          <w:b/>
          <w:bCs/>
          <w:color w:val="auto"/>
          <w:highlight w:val="none"/>
        </w:rPr>
        <w:t>38.2.4 质疑供应商提起质疑应当符合下列条件：</w:t>
      </w:r>
    </w:p>
    <w:p>
      <w:pPr>
        <w:spacing w:line="360" w:lineRule="auto"/>
        <w:ind w:firstLine="420" w:firstLineChars="200"/>
        <w:rPr>
          <w:rFonts w:hint="eastAsia" w:hAnsi="宋体"/>
          <w:bCs/>
          <w:color w:val="auto"/>
          <w:highlight w:val="none"/>
        </w:rPr>
      </w:pPr>
      <w:r>
        <w:rPr>
          <w:rFonts w:hint="eastAsia" w:hAnsi="宋体"/>
          <w:bCs/>
          <w:color w:val="auto"/>
          <w:highlight w:val="none"/>
        </w:rPr>
        <w:t>（1）质疑供应商是参与所质疑</w:t>
      </w:r>
      <w:r>
        <w:rPr>
          <w:rFonts w:hint="eastAsia" w:hAnsi="宋体"/>
          <w:bCs/>
          <w:color w:val="auto"/>
          <w:szCs w:val="21"/>
          <w:highlight w:val="none"/>
        </w:rPr>
        <w:t>项目</w:t>
      </w:r>
      <w:r>
        <w:rPr>
          <w:rFonts w:hint="eastAsia" w:hAnsi="宋体"/>
          <w:bCs/>
          <w:color w:val="auto"/>
          <w:highlight w:val="none"/>
        </w:rPr>
        <w:t>采购活动的供应商（潜在供应商已依法获取可之一的采购文件的，可以对该采购文件质疑）；</w:t>
      </w:r>
    </w:p>
    <w:p>
      <w:pPr>
        <w:spacing w:line="360" w:lineRule="auto"/>
        <w:ind w:firstLine="420" w:firstLineChars="200"/>
        <w:rPr>
          <w:rFonts w:hint="eastAsia" w:hAnsi="宋体"/>
          <w:bCs/>
          <w:color w:val="auto"/>
          <w:highlight w:val="none"/>
        </w:rPr>
      </w:pPr>
      <w:r>
        <w:rPr>
          <w:rFonts w:hint="eastAsia" w:hAnsi="宋体"/>
          <w:bCs/>
          <w:color w:val="auto"/>
          <w:highlight w:val="none"/>
        </w:rPr>
        <w:t>（2）质疑函内容符合本章第38.2.5项的规定；</w:t>
      </w:r>
    </w:p>
    <w:p>
      <w:pPr>
        <w:spacing w:line="360" w:lineRule="auto"/>
        <w:ind w:firstLine="420" w:firstLineChars="200"/>
        <w:rPr>
          <w:rFonts w:hint="eastAsia" w:hAnsi="宋体"/>
          <w:bCs/>
          <w:color w:val="auto"/>
          <w:highlight w:val="none"/>
        </w:rPr>
      </w:pPr>
      <w:r>
        <w:rPr>
          <w:rFonts w:hint="eastAsia" w:hAnsi="宋体"/>
          <w:bCs/>
          <w:color w:val="auto"/>
          <w:highlight w:val="none"/>
        </w:rPr>
        <w:t>（3）在质疑有效期限内提起质疑；</w:t>
      </w:r>
    </w:p>
    <w:p>
      <w:pPr>
        <w:spacing w:line="360" w:lineRule="auto"/>
        <w:ind w:firstLine="420" w:firstLineChars="200"/>
        <w:rPr>
          <w:rFonts w:hint="eastAsia" w:hAnsi="宋体"/>
          <w:bCs/>
          <w:color w:val="auto"/>
          <w:highlight w:val="none"/>
        </w:rPr>
      </w:pPr>
      <w:r>
        <w:rPr>
          <w:rFonts w:hint="eastAsia" w:hAnsi="宋体"/>
          <w:bCs/>
          <w:color w:val="auto"/>
          <w:highlight w:val="none"/>
        </w:rPr>
        <w:t>（4）属于所质疑的采购人或采购人委托的采购代理机构组织的采购活动；</w:t>
      </w:r>
    </w:p>
    <w:p>
      <w:pPr>
        <w:spacing w:line="360" w:lineRule="auto"/>
        <w:ind w:firstLine="420" w:firstLineChars="200"/>
        <w:rPr>
          <w:rFonts w:hint="eastAsia" w:hAnsi="宋体"/>
          <w:bCs/>
          <w:color w:val="auto"/>
          <w:highlight w:val="none"/>
        </w:rPr>
      </w:pPr>
      <w:r>
        <w:rPr>
          <w:rFonts w:hint="eastAsia" w:hAnsi="宋体"/>
          <w:bCs/>
          <w:color w:val="auto"/>
          <w:highlight w:val="none"/>
        </w:rPr>
        <w:t xml:space="preserve">（5）同一质疑事项未经采购人或采购人委托的采购代理机构质疑处理； </w:t>
      </w:r>
    </w:p>
    <w:p>
      <w:pPr>
        <w:spacing w:line="360" w:lineRule="auto"/>
        <w:ind w:firstLine="420" w:firstLineChars="200"/>
        <w:rPr>
          <w:rFonts w:hint="eastAsia" w:hAnsi="宋体"/>
          <w:bCs/>
          <w:color w:val="auto"/>
          <w:highlight w:val="none"/>
        </w:rPr>
      </w:pPr>
      <w:r>
        <w:rPr>
          <w:rFonts w:hint="eastAsia" w:hAnsi="宋体"/>
          <w:bCs/>
          <w:color w:val="auto"/>
          <w:highlight w:val="none"/>
        </w:rPr>
        <w:t>（6）供应商对同一采购程序环节的质疑应当在质疑有效期内一次性提出；</w:t>
      </w:r>
    </w:p>
    <w:p>
      <w:pPr>
        <w:spacing w:line="360" w:lineRule="auto"/>
        <w:ind w:firstLine="420" w:firstLineChars="200"/>
        <w:rPr>
          <w:rFonts w:hint="eastAsia" w:hAnsi="宋体"/>
          <w:bCs/>
          <w:color w:val="auto"/>
          <w:highlight w:val="none"/>
        </w:rPr>
      </w:pPr>
      <w:r>
        <w:rPr>
          <w:rFonts w:hint="eastAsia" w:hAnsi="宋体"/>
          <w:bCs/>
          <w:color w:val="auto"/>
          <w:highlight w:val="none"/>
        </w:rPr>
        <w:t>（7）供应商提交质疑应当提交必要的证明材料，证明材料应以合法手段取得；</w:t>
      </w:r>
    </w:p>
    <w:p>
      <w:pPr>
        <w:spacing w:line="360" w:lineRule="auto"/>
        <w:ind w:firstLine="420" w:firstLineChars="200"/>
        <w:rPr>
          <w:rFonts w:hint="eastAsia"/>
          <w:color w:val="auto"/>
          <w:highlight w:val="none"/>
        </w:rPr>
      </w:pPr>
      <w:r>
        <w:rPr>
          <w:rFonts w:hint="eastAsia" w:hAnsi="宋体"/>
          <w:bCs/>
          <w:color w:val="auto"/>
          <w:highlight w:val="none"/>
        </w:rPr>
        <w:t>（8）财政部门规定的其他条件。</w:t>
      </w:r>
    </w:p>
    <w:p>
      <w:pPr>
        <w:spacing w:line="360" w:lineRule="auto"/>
        <w:ind w:firstLine="420" w:firstLineChars="200"/>
        <w:rPr>
          <w:rFonts w:ascii="宋体" w:hAnsi="宋体"/>
          <w:b/>
          <w:color w:val="auto"/>
          <w:szCs w:val="21"/>
          <w:highlight w:val="none"/>
        </w:rPr>
      </w:pPr>
      <w:bookmarkStart w:id="160" w:name="_9.2质疑、投诉应当采用书面形式，质疑函、投诉书均应明确阐述招标文件、"/>
      <w:bookmarkEnd w:id="160"/>
      <w:r>
        <w:rPr>
          <w:rFonts w:hint="eastAsia" w:ascii="宋体" w:hAnsi="宋体"/>
          <w:color w:val="auto"/>
          <w:szCs w:val="21"/>
          <w:highlight w:val="none"/>
        </w:rPr>
        <w:t xml:space="preserve"> </w:t>
      </w:r>
      <w:r>
        <w:rPr>
          <w:rFonts w:ascii="宋体" w:hAnsi="宋体"/>
          <w:color w:val="auto"/>
          <w:szCs w:val="21"/>
          <w:highlight w:val="none"/>
        </w:rPr>
        <w:t>38</w:t>
      </w:r>
      <w:r>
        <w:rPr>
          <w:rFonts w:hint="eastAsia" w:ascii="宋体" w:hAnsi="宋体"/>
          <w:color w:val="auto"/>
          <w:szCs w:val="21"/>
          <w:highlight w:val="none"/>
        </w:rPr>
        <w:t xml:space="preserve">.2.5 </w:t>
      </w:r>
      <w:r>
        <w:rPr>
          <w:rFonts w:hAnsi="宋体"/>
          <w:bCs/>
          <w:color w:val="auto"/>
          <w:highlight w:val="none"/>
        </w:rPr>
        <w:t>供应商提出质疑应当提交质疑函和必要的证明材料</w:t>
      </w:r>
      <w:r>
        <w:rPr>
          <w:rFonts w:hint="eastAsia" w:hAnsi="宋体"/>
          <w:bCs/>
          <w:color w:val="auto"/>
          <w:highlight w:val="none"/>
        </w:rPr>
        <w:t>，</w:t>
      </w:r>
      <w:r>
        <w:rPr>
          <w:rFonts w:hAnsi="宋体"/>
          <w:bCs/>
          <w:color w:val="auto"/>
          <w:highlight w:val="none"/>
        </w:rPr>
        <w:t>针对同一采购程序环节的质疑</w:t>
      </w:r>
      <w:r>
        <w:rPr>
          <w:rFonts w:hint="eastAsia" w:hAnsi="宋体"/>
          <w:bCs/>
          <w:color w:val="auto"/>
          <w:highlight w:val="none"/>
        </w:rPr>
        <w:t>必须</w:t>
      </w:r>
      <w:r>
        <w:rPr>
          <w:rFonts w:hAnsi="宋体"/>
          <w:bCs/>
          <w:color w:val="auto"/>
          <w:highlight w:val="none"/>
        </w:rPr>
        <w:t>在法定质疑期内一次性提出。质疑函应当包括下列内容</w:t>
      </w:r>
      <w:r>
        <w:rPr>
          <w:rFonts w:hint="eastAsia" w:hAnsi="宋体"/>
          <w:bCs/>
          <w:color w:val="auto"/>
          <w:highlight w:val="none"/>
        </w:rPr>
        <w:t>（质疑函格式后附）</w:t>
      </w:r>
      <w:r>
        <w:rPr>
          <w:rFonts w:hAnsi="宋体"/>
          <w:bCs/>
          <w:color w:val="auto"/>
          <w:highlight w:val="none"/>
        </w:rPr>
        <w:t>：</w:t>
      </w:r>
    </w:p>
    <w:p>
      <w:pPr>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1</w:t>
      </w:r>
      <w:r>
        <w:rPr>
          <w:rFonts w:hAnsi="宋体"/>
          <w:bCs/>
          <w:color w:val="auto"/>
          <w:highlight w:val="none"/>
        </w:rPr>
        <w:t>）供应商的姓名或者名称、地址、邮编、联系人及联系电话；</w:t>
      </w:r>
    </w:p>
    <w:p>
      <w:pPr>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2</w:t>
      </w:r>
      <w:r>
        <w:rPr>
          <w:rFonts w:hAnsi="宋体"/>
          <w:bCs/>
          <w:color w:val="auto"/>
          <w:highlight w:val="none"/>
        </w:rPr>
        <w:t>）质疑项目的名称、编号；</w:t>
      </w:r>
    </w:p>
    <w:p>
      <w:pPr>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3</w:t>
      </w:r>
      <w:r>
        <w:rPr>
          <w:rFonts w:hAnsi="宋体"/>
          <w:bCs/>
          <w:color w:val="auto"/>
          <w:highlight w:val="none"/>
        </w:rPr>
        <w:t>）具体、明确的质疑事项和与质疑事项相关的请求；</w:t>
      </w:r>
    </w:p>
    <w:p>
      <w:pPr>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4</w:t>
      </w:r>
      <w:r>
        <w:rPr>
          <w:rFonts w:hAnsi="宋体"/>
          <w:bCs/>
          <w:color w:val="auto"/>
          <w:highlight w:val="none"/>
        </w:rPr>
        <w:t>）事实依据</w:t>
      </w:r>
      <w:r>
        <w:rPr>
          <w:rFonts w:hint="eastAsia" w:hAnsi="宋体"/>
          <w:bCs/>
          <w:color w:val="auto"/>
          <w:highlight w:val="none"/>
        </w:rPr>
        <w:t>（列明权益受到损害的事实和理由）</w:t>
      </w:r>
      <w:r>
        <w:rPr>
          <w:rFonts w:hAnsi="宋体"/>
          <w:bCs/>
          <w:color w:val="auto"/>
          <w:highlight w:val="none"/>
        </w:rPr>
        <w:t>；</w:t>
      </w:r>
    </w:p>
    <w:p>
      <w:pPr>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5</w:t>
      </w:r>
      <w:r>
        <w:rPr>
          <w:rFonts w:hAnsi="宋体"/>
          <w:bCs/>
          <w:color w:val="auto"/>
          <w:highlight w:val="none"/>
        </w:rPr>
        <w:t>）必要的法律依据；</w:t>
      </w:r>
    </w:p>
    <w:p>
      <w:pPr>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6</w:t>
      </w:r>
      <w:r>
        <w:rPr>
          <w:rFonts w:hAnsi="宋体"/>
          <w:bCs/>
          <w:color w:val="auto"/>
          <w:highlight w:val="none"/>
        </w:rPr>
        <w:t>）提出质疑的日期。</w:t>
      </w:r>
    </w:p>
    <w:p>
      <w:pPr>
        <w:spacing w:line="360" w:lineRule="auto"/>
        <w:ind w:firstLine="420" w:firstLineChars="200"/>
        <w:rPr>
          <w:rFonts w:hint="eastAsia" w:hAnsi="宋体"/>
          <w:bCs/>
          <w:color w:val="auto"/>
          <w:highlight w:val="none"/>
        </w:rPr>
      </w:pPr>
      <w:r>
        <w:rPr>
          <w:rFonts w:hAnsi="宋体"/>
          <w:bCs/>
          <w:color w:val="auto"/>
          <w:highlight w:val="none"/>
        </w:rPr>
        <w:t>供应商为自然人的，应当由本人签字；供应商为法人或者其他组织的，应当由法定代表人、主要负责人，或者其委托代理人签字或者盖章，并加盖公章</w:t>
      </w:r>
      <w:r>
        <w:rPr>
          <w:rFonts w:hint="eastAsia" w:hAnsi="宋体"/>
          <w:bCs/>
          <w:color w:val="auto"/>
          <w:highlight w:val="none"/>
        </w:rPr>
        <w:t>。</w:t>
      </w:r>
    </w:p>
    <w:p>
      <w:pPr>
        <w:spacing w:line="360" w:lineRule="auto"/>
        <w:ind w:firstLine="422" w:firstLineChars="200"/>
        <w:rPr>
          <w:rFonts w:hint="eastAsia" w:ascii="宋体" w:hAnsi="宋体"/>
          <w:b/>
          <w:color w:val="auto"/>
          <w:szCs w:val="20"/>
          <w:highlight w:val="none"/>
        </w:rPr>
      </w:pPr>
      <w:r>
        <w:rPr>
          <w:rFonts w:hint="eastAsia" w:ascii="宋体" w:hAnsi="宋体"/>
          <w:b/>
          <w:color w:val="auto"/>
          <w:szCs w:val="20"/>
          <w:highlight w:val="none"/>
        </w:rPr>
        <w:t>38.2.6采购人或采购人委托的采购代理机构在收到质疑函后7个工作日内作出答复，并以书面形式通知质疑供应商及其他有关供应商。对不符合质疑条件的质疑，答复不予受理，并说明理由；对符合质疑条件的质疑，对质疑事项作出答复</w:t>
      </w:r>
    </w:p>
    <w:p>
      <w:pPr>
        <w:spacing w:line="360" w:lineRule="auto"/>
        <w:ind w:firstLine="420" w:firstLineChars="200"/>
        <w:rPr>
          <w:rFonts w:hint="eastAsia" w:ascii="宋体" w:hAnsi="宋体"/>
          <w:bCs/>
          <w:color w:val="auto"/>
          <w:szCs w:val="21"/>
          <w:highlight w:val="none"/>
        </w:rPr>
      </w:pPr>
      <w:r>
        <w:rPr>
          <w:rFonts w:ascii="宋体" w:hAnsi="宋体"/>
          <w:color w:val="auto"/>
          <w:szCs w:val="21"/>
          <w:highlight w:val="none"/>
        </w:rPr>
        <w:t>3</w:t>
      </w:r>
      <w:r>
        <w:rPr>
          <w:rFonts w:ascii="宋体" w:hAnsi="宋体"/>
          <w:bCs/>
          <w:color w:val="auto"/>
          <w:szCs w:val="21"/>
          <w:highlight w:val="none"/>
        </w:rPr>
        <w:t>8.</w:t>
      </w:r>
      <w:r>
        <w:rPr>
          <w:rFonts w:hint="eastAsia" w:ascii="宋体" w:hAnsi="宋体"/>
          <w:bCs/>
          <w:color w:val="auto"/>
          <w:szCs w:val="21"/>
          <w:highlight w:val="none"/>
        </w:rPr>
        <w:t>2.7采购人、采购代理机构认为供应商质疑不成立，或者成立但未对中标结果构成影响的，继续开展采购活动；认为供应商质疑成立且影响或者可能影响中标结果的，按照下列情况处理：</w:t>
      </w:r>
    </w:p>
    <w:p>
      <w:pPr>
        <w:spacing w:line="360" w:lineRule="auto"/>
        <w:ind w:firstLine="420" w:firstLineChars="200"/>
        <w:rPr>
          <w:rFonts w:hint="eastAsia" w:hAnsi="宋体"/>
          <w:bCs/>
          <w:color w:val="auto"/>
          <w:highlight w:val="none"/>
        </w:rPr>
      </w:pPr>
      <w:r>
        <w:rPr>
          <w:rFonts w:hint="eastAsia" w:hAnsi="宋体"/>
          <w:bCs/>
          <w:color w:val="auto"/>
          <w:highlight w:val="none"/>
        </w:rPr>
        <w:t>　　（一）对招标文件提出的质疑，依法通过澄清或者修改可以继续开展采购活动的，澄清或者修改招标文件后继续开展采购活动；否则应当修改招标文件后重新开展采购活动。</w:t>
      </w:r>
    </w:p>
    <w:p>
      <w:pPr>
        <w:spacing w:line="360" w:lineRule="auto"/>
        <w:ind w:firstLine="420" w:firstLineChars="200"/>
        <w:rPr>
          <w:rFonts w:hint="eastAsia" w:hAnsi="宋体"/>
          <w:bCs/>
          <w:color w:val="auto"/>
          <w:highlight w:val="none"/>
        </w:rPr>
      </w:pPr>
      <w:r>
        <w:rPr>
          <w:rFonts w:hint="eastAsia" w:hAnsi="宋体"/>
          <w:bCs/>
          <w:color w:val="auto"/>
          <w:highlight w:val="none"/>
        </w:rPr>
        <w:t>　　（二）对采购过程、中标结果提出的质疑，合格供应商符合法定数量时，可以从合格的中标候选人中另行确定中标供应商的，应当依法另行确定中标供应商；否则应当重新开展采购活动。</w:t>
      </w:r>
    </w:p>
    <w:p>
      <w:pPr>
        <w:spacing w:line="360" w:lineRule="auto"/>
        <w:ind w:firstLine="420" w:firstLineChars="200"/>
        <w:rPr>
          <w:rFonts w:hAnsi="宋体"/>
          <w:bCs/>
          <w:color w:val="auto"/>
          <w:highlight w:val="none"/>
        </w:rPr>
      </w:pPr>
      <w:r>
        <w:rPr>
          <w:rFonts w:hint="eastAsia" w:hAnsi="宋体"/>
          <w:bCs/>
          <w:color w:val="auto"/>
          <w:highlight w:val="none"/>
        </w:rPr>
        <w:t>质疑答复导致中标结果改变的，采购人或者采购代理机构应当将有关情况书面报告本级财政部门。</w:t>
      </w:r>
    </w:p>
    <w:p>
      <w:pPr>
        <w:spacing w:line="360" w:lineRule="auto"/>
        <w:ind w:firstLine="422" w:firstLineChars="200"/>
        <w:rPr>
          <w:rFonts w:hint="eastAsia" w:hAnsi="宋体"/>
          <w:b/>
          <w:color w:val="auto"/>
          <w:highlight w:val="none"/>
        </w:rPr>
      </w:pPr>
      <w:r>
        <w:rPr>
          <w:rFonts w:hAnsi="宋体"/>
          <w:b/>
          <w:color w:val="auto"/>
          <w:highlight w:val="none"/>
        </w:rPr>
        <w:t>38</w:t>
      </w:r>
      <w:r>
        <w:rPr>
          <w:rFonts w:hint="eastAsia" w:hAnsi="宋体"/>
          <w:b/>
          <w:color w:val="auto"/>
          <w:highlight w:val="none"/>
        </w:rPr>
        <w:t>.3投诉</w:t>
      </w:r>
    </w:p>
    <w:p>
      <w:pPr>
        <w:spacing w:line="360" w:lineRule="auto"/>
        <w:ind w:firstLine="422" w:firstLineChars="200"/>
        <w:rPr>
          <w:rFonts w:hint="eastAsia" w:hAnsi="宋体"/>
          <w:bCs/>
          <w:color w:val="auto"/>
          <w:highlight w:val="none"/>
        </w:rPr>
      </w:pPr>
      <w:r>
        <w:rPr>
          <w:rFonts w:hAnsi="宋体"/>
          <w:b/>
          <w:color w:val="auto"/>
          <w:highlight w:val="none"/>
        </w:rPr>
        <w:t>38</w:t>
      </w:r>
      <w:r>
        <w:rPr>
          <w:rFonts w:hint="eastAsia" w:hAnsi="宋体"/>
          <w:b/>
          <w:color w:val="auto"/>
          <w:highlight w:val="none"/>
        </w:rPr>
        <w:t>.3</w:t>
      </w:r>
      <w:r>
        <w:rPr>
          <w:rFonts w:hint="eastAsia" w:hAnsi="宋体"/>
          <w:bCs/>
          <w:color w:val="auto"/>
          <w:highlight w:val="none"/>
        </w:rPr>
        <w:t>.</w:t>
      </w:r>
      <w:r>
        <w:rPr>
          <w:rFonts w:hint="eastAsia" w:hAnsi="宋体"/>
          <w:b/>
          <w:bCs/>
          <w:color w:val="auto"/>
          <w:highlight w:val="none"/>
        </w:rPr>
        <w:t xml:space="preserve">1 </w:t>
      </w:r>
      <w:r>
        <w:rPr>
          <w:rFonts w:hint="eastAsia" w:hAnsi="宋体"/>
          <w:bCs/>
          <w:color w:val="auto"/>
          <w:highlight w:val="none"/>
        </w:rPr>
        <w:t xml:space="preserve"> 供应商认为采购文件、采购过程、中标和成交结果使自己的合法权益受到损害的，应当首先依法向采购人或采购人委托的</w:t>
      </w:r>
      <w:r>
        <w:rPr>
          <w:rFonts w:hint="eastAsia" w:hAnsi="宋体"/>
          <w:color w:val="auto"/>
          <w:highlight w:val="none"/>
        </w:rPr>
        <w:t>采购代理机构</w:t>
      </w:r>
      <w:r>
        <w:rPr>
          <w:rFonts w:hint="eastAsia" w:hAnsi="宋体"/>
          <w:bCs/>
          <w:color w:val="auto"/>
          <w:highlight w:val="none"/>
        </w:rPr>
        <w:t>提出质疑。对采购人、</w:t>
      </w:r>
      <w:r>
        <w:rPr>
          <w:rFonts w:hint="eastAsia" w:hAnsi="宋体"/>
          <w:color w:val="auto"/>
          <w:highlight w:val="none"/>
        </w:rPr>
        <w:t>采购代理机构</w:t>
      </w:r>
      <w:r>
        <w:rPr>
          <w:rFonts w:hint="eastAsia" w:hAnsi="宋体"/>
          <w:bCs/>
          <w:color w:val="auto"/>
          <w:highlight w:val="none"/>
        </w:rPr>
        <w:t>的答复不满意，或者采购人、</w:t>
      </w:r>
      <w:r>
        <w:rPr>
          <w:rFonts w:hint="eastAsia" w:hAnsi="宋体"/>
          <w:color w:val="auto"/>
          <w:highlight w:val="none"/>
        </w:rPr>
        <w:t>采购代理机构</w:t>
      </w:r>
      <w:r>
        <w:rPr>
          <w:rFonts w:hint="eastAsia" w:hAnsi="宋体"/>
          <w:bCs/>
          <w:color w:val="auto"/>
          <w:highlight w:val="none"/>
        </w:rPr>
        <w:t>未在规定期限内做出答复的，供应商可以在答复期满后15个工作日内向广西壮族自治区财政厅政府采购监督管理处提起投诉，投诉方式见“投标人须知前附表”。</w:t>
      </w:r>
    </w:p>
    <w:p>
      <w:pPr>
        <w:spacing w:line="360" w:lineRule="auto"/>
        <w:ind w:firstLine="422" w:firstLineChars="200"/>
        <w:rPr>
          <w:rFonts w:hint="eastAsia" w:hAnsi="宋体"/>
          <w:bCs/>
          <w:color w:val="auto"/>
          <w:highlight w:val="none"/>
        </w:rPr>
      </w:pPr>
      <w:r>
        <w:rPr>
          <w:rFonts w:hAnsi="宋体"/>
          <w:b/>
          <w:color w:val="auto"/>
          <w:highlight w:val="none"/>
        </w:rPr>
        <w:t>38</w:t>
      </w:r>
      <w:r>
        <w:rPr>
          <w:rFonts w:hint="eastAsia" w:hAnsi="宋体"/>
          <w:b/>
          <w:color w:val="auto"/>
          <w:highlight w:val="none"/>
        </w:rPr>
        <w:t>.3</w:t>
      </w:r>
      <w:r>
        <w:rPr>
          <w:rFonts w:hint="eastAsia"/>
          <w:b/>
          <w:color w:val="auto"/>
          <w:highlight w:val="none"/>
        </w:rPr>
        <w:t xml:space="preserve">.2 </w:t>
      </w:r>
      <w:r>
        <w:rPr>
          <w:rFonts w:hint="eastAsia"/>
          <w:color w:val="auto"/>
          <w:highlight w:val="none"/>
        </w:rPr>
        <w:t xml:space="preserve"> 投诉人投诉时，应当提交投诉书，并按照被投诉采购人、</w:t>
      </w:r>
      <w:r>
        <w:rPr>
          <w:rFonts w:hint="eastAsia" w:hAnsi="宋体"/>
          <w:color w:val="auto"/>
          <w:highlight w:val="none"/>
        </w:rPr>
        <w:t>采购代理机构</w:t>
      </w:r>
      <w:r>
        <w:rPr>
          <w:rFonts w:hint="eastAsia"/>
          <w:color w:val="auto"/>
          <w:highlight w:val="none"/>
        </w:rPr>
        <w:t>和与投诉事项有关的供应商数量提供投诉书的副本。投诉书</w:t>
      </w:r>
      <w:r>
        <w:rPr>
          <w:rFonts w:hint="eastAsia"/>
          <w:color w:val="auto"/>
          <w:szCs w:val="21"/>
          <w:highlight w:val="none"/>
        </w:rPr>
        <w:t>应当包括下列主要内容</w:t>
      </w:r>
      <w:r>
        <w:rPr>
          <w:rFonts w:hint="eastAsia"/>
          <w:color w:val="auto"/>
          <w:highlight w:val="none"/>
        </w:rPr>
        <w:t>（如材料中有外文资料应同时附上对应的中文译本）</w:t>
      </w:r>
      <w:r>
        <w:rPr>
          <w:rFonts w:hint="eastAsia" w:hAnsi="宋体"/>
          <w:bCs/>
          <w:color w:val="auto"/>
          <w:highlight w:val="none"/>
        </w:rPr>
        <w:t>（投诉书格式后附）</w:t>
      </w:r>
      <w:r>
        <w:rPr>
          <w:rFonts w:hint="eastAsia"/>
          <w:color w:val="auto"/>
          <w:szCs w:val="21"/>
          <w:highlight w:val="none"/>
        </w:rPr>
        <w:t>：</w:t>
      </w:r>
    </w:p>
    <w:p>
      <w:pPr>
        <w:spacing w:line="360" w:lineRule="auto"/>
        <w:ind w:firstLine="420" w:firstLineChars="200"/>
        <w:rPr>
          <w:rFonts w:hint="eastAsia"/>
          <w:color w:val="auto"/>
          <w:highlight w:val="none"/>
        </w:rPr>
      </w:pPr>
      <w:r>
        <w:rPr>
          <w:rFonts w:hint="eastAsia" w:hAnsi="宋体"/>
          <w:color w:val="auto"/>
          <w:highlight w:val="none"/>
        </w:rPr>
        <w:t xml:space="preserve">（1）投诉人和被投诉人的名称、地址、邮编、联系人及联系电话等； </w:t>
      </w:r>
    </w:p>
    <w:p>
      <w:pPr>
        <w:spacing w:line="360" w:lineRule="auto"/>
        <w:ind w:firstLine="420" w:firstLineChars="200"/>
        <w:rPr>
          <w:rFonts w:hint="eastAsia"/>
          <w:color w:val="auto"/>
          <w:highlight w:val="none"/>
        </w:rPr>
      </w:pPr>
      <w:r>
        <w:rPr>
          <w:rFonts w:hint="eastAsia" w:hAnsi="宋体"/>
          <w:color w:val="auto"/>
          <w:highlight w:val="none"/>
        </w:rPr>
        <w:t>（2）质疑和质疑答复情况及相关证明材料；</w:t>
      </w:r>
      <w:r>
        <w:rPr>
          <w:rFonts w:hint="eastAsia"/>
          <w:color w:val="auto"/>
          <w:highlight w:val="none"/>
        </w:rPr>
        <w:t xml:space="preserve"> </w:t>
      </w:r>
    </w:p>
    <w:p>
      <w:pPr>
        <w:spacing w:line="360" w:lineRule="auto"/>
        <w:ind w:firstLine="420" w:firstLineChars="200"/>
        <w:rPr>
          <w:rFonts w:hint="eastAsia" w:hAnsi="宋体"/>
          <w:color w:val="auto"/>
          <w:highlight w:val="none"/>
        </w:rPr>
      </w:pPr>
      <w:r>
        <w:rPr>
          <w:rFonts w:hint="eastAsia" w:hAnsi="宋体"/>
          <w:color w:val="auto"/>
          <w:highlight w:val="none"/>
        </w:rPr>
        <w:t>（3）具体、明确的投诉事项和与投诉事项相关的投诉请求；</w:t>
      </w:r>
    </w:p>
    <w:p>
      <w:pPr>
        <w:spacing w:line="360" w:lineRule="auto"/>
        <w:ind w:firstLine="420" w:firstLineChars="200"/>
        <w:rPr>
          <w:rFonts w:hint="eastAsia" w:hAnsi="宋体"/>
          <w:color w:val="auto"/>
          <w:highlight w:val="none"/>
        </w:rPr>
      </w:pPr>
      <w:r>
        <w:rPr>
          <w:rFonts w:hint="eastAsia" w:hAnsi="宋体"/>
          <w:color w:val="auto"/>
          <w:highlight w:val="none"/>
        </w:rPr>
        <w:t>（4）事实依据；</w:t>
      </w:r>
    </w:p>
    <w:p>
      <w:pPr>
        <w:spacing w:line="360" w:lineRule="auto"/>
        <w:ind w:firstLine="420" w:firstLineChars="200"/>
        <w:rPr>
          <w:rFonts w:hint="eastAsia"/>
          <w:color w:val="auto"/>
          <w:highlight w:val="none"/>
        </w:rPr>
      </w:pPr>
      <w:r>
        <w:rPr>
          <w:rFonts w:hint="eastAsia" w:hAnsi="宋体"/>
          <w:color w:val="auto"/>
          <w:highlight w:val="none"/>
        </w:rPr>
        <w:t>（5）法律依据；</w:t>
      </w:r>
    </w:p>
    <w:p>
      <w:pPr>
        <w:spacing w:line="360" w:lineRule="auto"/>
        <w:ind w:firstLine="420" w:firstLineChars="200"/>
        <w:rPr>
          <w:rFonts w:hint="eastAsia" w:hAnsi="宋体"/>
          <w:color w:val="auto"/>
          <w:highlight w:val="none"/>
        </w:rPr>
      </w:pPr>
      <w:r>
        <w:rPr>
          <w:rFonts w:hint="eastAsia" w:hAnsi="宋体"/>
          <w:color w:val="auto"/>
          <w:highlight w:val="none"/>
        </w:rPr>
        <w:t>（6）提起投诉的日期。</w:t>
      </w:r>
    </w:p>
    <w:p>
      <w:pPr>
        <w:spacing w:line="360" w:lineRule="auto"/>
        <w:ind w:firstLine="420" w:firstLineChars="200"/>
        <w:rPr>
          <w:rFonts w:hint="eastAsia" w:hAnsi="宋体"/>
          <w:color w:val="auto"/>
          <w:highlight w:val="none"/>
        </w:rPr>
      </w:pPr>
      <w:r>
        <w:rPr>
          <w:rFonts w:hint="eastAsia" w:hAnsi="宋体"/>
          <w:color w:val="auto"/>
          <w:highlight w:val="none"/>
        </w:rPr>
        <w:t>（7）附件材料：营业执照副本内页复印件（要求证件有效并清晰反映企业法人经营范围；近期连续三个月依法缴纳税收和在职职工社会保障资金证明材料（复印件）。</w:t>
      </w:r>
      <w:r>
        <w:rPr>
          <w:rFonts w:hint="eastAsia" w:hAnsi="宋体"/>
          <w:color w:val="auto"/>
          <w:highlight w:val="none"/>
        </w:rPr>
        <w:tab/>
      </w:r>
    </w:p>
    <w:p>
      <w:pPr>
        <w:spacing w:line="360" w:lineRule="auto"/>
        <w:ind w:firstLine="422" w:firstLineChars="200"/>
        <w:rPr>
          <w:rFonts w:hint="eastAsia" w:hAnsi="宋体"/>
          <w:bCs/>
          <w:color w:val="auto"/>
          <w:highlight w:val="none"/>
        </w:rPr>
      </w:pPr>
      <w:r>
        <w:rPr>
          <w:rFonts w:hAnsi="宋体"/>
          <w:b/>
          <w:color w:val="auto"/>
          <w:highlight w:val="none"/>
        </w:rPr>
        <w:t>38</w:t>
      </w:r>
      <w:r>
        <w:rPr>
          <w:rFonts w:hint="eastAsia" w:hAnsi="宋体"/>
          <w:b/>
          <w:color w:val="auto"/>
          <w:highlight w:val="none"/>
        </w:rPr>
        <w:t>.3</w:t>
      </w:r>
      <w:r>
        <w:rPr>
          <w:rFonts w:hint="eastAsia"/>
          <w:b/>
          <w:color w:val="auto"/>
          <w:highlight w:val="none"/>
        </w:rPr>
        <w:t xml:space="preserve">.3  </w:t>
      </w:r>
      <w:r>
        <w:rPr>
          <w:rFonts w:hint="eastAsia"/>
          <w:color w:val="auto"/>
          <w:highlight w:val="none"/>
        </w:rPr>
        <w:t>投诉人可以委托代理人办理投诉事务。</w:t>
      </w:r>
      <w:r>
        <w:rPr>
          <w:rFonts w:hint="eastAsia" w:hAnsi="宋体"/>
          <w:bCs/>
          <w:color w:val="auto"/>
          <w:highlight w:val="none"/>
        </w:rPr>
        <w:t>委托代理人应熟悉相关业务情况。</w:t>
      </w:r>
      <w:r>
        <w:rPr>
          <w:rFonts w:hint="eastAsia"/>
          <w:color w:val="auto"/>
          <w:highlight w:val="none"/>
        </w:rPr>
        <w:t>代理人办理投诉事务时，除提交投诉书外，还应当提交投诉人的授权委托书和</w:t>
      </w:r>
      <w:r>
        <w:rPr>
          <w:rFonts w:hint="eastAsia" w:hAnsi="宋体"/>
          <w:color w:val="auto"/>
          <w:highlight w:val="none"/>
        </w:rPr>
        <w:t>委托代理人身份证明复印件。</w:t>
      </w:r>
    </w:p>
    <w:p>
      <w:pPr>
        <w:spacing w:line="360" w:lineRule="auto"/>
        <w:ind w:firstLine="422" w:firstLineChars="200"/>
        <w:rPr>
          <w:rFonts w:hint="eastAsia" w:hAnsi="宋体"/>
          <w:color w:val="auto"/>
          <w:highlight w:val="none"/>
        </w:rPr>
      </w:pPr>
      <w:r>
        <w:rPr>
          <w:rFonts w:hAnsi="宋体"/>
          <w:b/>
          <w:color w:val="auto"/>
          <w:highlight w:val="none"/>
        </w:rPr>
        <w:t>38</w:t>
      </w:r>
      <w:r>
        <w:rPr>
          <w:rFonts w:hint="eastAsia" w:hAnsi="宋体"/>
          <w:b/>
          <w:color w:val="auto"/>
          <w:highlight w:val="none"/>
        </w:rPr>
        <w:t>.3</w:t>
      </w:r>
      <w:r>
        <w:rPr>
          <w:rFonts w:hint="eastAsia"/>
          <w:b/>
          <w:color w:val="auto"/>
          <w:highlight w:val="none"/>
        </w:rPr>
        <w:t>.4</w:t>
      </w:r>
      <w:r>
        <w:rPr>
          <w:rFonts w:hint="eastAsia"/>
          <w:color w:val="auto"/>
          <w:highlight w:val="none"/>
        </w:rPr>
        <w:t xml:space="preserve">  投诉人提起投诉应当符合下列条件：</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（1）投诉人是参与所投诉政府采购活动的供应商；</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（2）提起投诉前已依法进行质疑；</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（3）投诉书内容符合本章第38.3.2项的规定；</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（4）在投诉有效期限内提起投诉；</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（5）属于</w:t>
      </w:r>
      <w:r>
        <w:rPr>
          <w:rFonts w:hint="eastAsia" w:hAnsi="宋体" w:cs="宋体"/>
          <w:color w:val="auto"/>
          <w:kern w:val="0"/>
          <w:szCs w:val="21"/>
          <w:highlight w:val="none"/>
        </w:rPr>
        <w:t>广西壮族自治区财政厅政府采购监督管理处</w:t>
      </w:r>
      <w:r>
        <w:rPr>
          <w:rFonts w:hint="eastAsia" w:ascii="宋体" w:hAnsi="宋体"/>
          <w:color w:val="auto"/>
          <w:highlight w:val="none"/>
        </w:rPr>
        <w:t>管辖；</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（6）同一投诉事项未经</w:t>
      </w:r>
      <w:r>
        <w:rPr>
          <w:rFonts w:hint="eastAsia" w:hAnsi="宋体" w:cs="宋体"/>
          <w:color w:val="auto"/>
          <w:kern w:val="0"/>
          <w:szCs w:val="21"/>
          <w:highlight w:val="none"/>
        </w:rPr>
        <w:t>广西壮族自治区财政厅政府采购监督管理处</w:t>
      </w:r>
      <w:r>
        <w:rPr>
          <w:rFonts w:hint="eastAsia" w:ascii="宋体" w:hAnsi="宋体"/>
          <w:color w:val="auto"/>
          <w:highlight w:val="none"/>
        </w:rPr>
        <w:t>投诉处理；</w:t>
      </w:r>
    </w:p>
    <w:p>
      <w:pPr>
        <w:spacing w:line="360" w:lineRule="auto"/>
        <w:ind w:firstLine="420" w:firstLineChars="200"/>
        <w:rPr>
          <w:rFonts w:hint="eastAsia" w:ascii="宋体"/>
          <w:color w:val="auto"/>
          <w:highlight w:val="none"/>
        </w:rPr>
      </w:pPr>
      <w:r>
        <w:rPr>
          <w:rFonts w:hint="eastAsia" w:ascii="宋体"/>
          <w:color w:val="auto"/>
          <w:highlight w:val="none"/>
        </w:rPr>
        <w:t>（7）国务院财政部门规定的其他条件。</w:t>
      </w:r>
    </w:p>
    <w:p>
      <w:pPr>
        <w:spacing w:line="360" w:lineRule="auto"/>
        <w:ind w:firstLine="422" w:firstLineChars="200"/>
        <w:rPr>
          <w:rFonts w:hint="eastAsia"/>
          <w:color w:val="auto"/>
          <w:highlight w:val="none"/>
        </w:rPr>
      </w:pPr>
      <w:r>
        <w:rPr>
          <w:rFonts w:hAnsi="宋体"/>
          <w:b/>
          <w:color w:val="auto"/>
          <w:highlight w:val="none"/>
        </w:rPr>
        <w:t>38</w:t>
      </w:r>
      <w:r>
        <w:rPr>
          <w:rFonts w:hint="eastAsia" w:hAnsi="宋体"/>
          <w:b/>
          <w:color w:val="auto"/>
          <w:highlight w:val="none"/>
        </w:rPr>
        <w:t>.3</w:t>
      </w:r>
      <w:r>
        <w:rPr>
          <w:rFonts w:hint="eastAsia" w:ascii="宋体"/>
          <w:b/>
          <w:color w:val="auto"/>
          <w:highlight w:val="none"/>
        </w:rPr>
        <w:t>.5</w:t>
      </w:r>
      <w:r>
        <w:rPr>
          <w:rFonts w:hint="eastAsia" w:ascii="宋体"/>
          <w:color w:val="auto"/>
          <w:highlight w:val="none"/>
        </w:rPr>
        <w:t xml:space="preserve">  </w:t>
      </w:r>
      <w:r>
        <w:rPr>
          <w:rFonts w:hint="eastAsia" w:hAnsi="宋体" w:cs="宋体"/>
          <w:color w:val="auto"/>
          <w:kern w:val="0"/>
          <w:szCs w:val="21"/>
          <w:highlight w:val="none"/>
        </w:rPr>
        <w:t>广西壮族自治区财政厅政府采购监督管理处</w:t>
      </w:r>
      <w:r>
        <w:rPr>
          <w:rFonts w:hint="eastAsia"/>
          <w:color w:val="auto"/>
          <w:highlight w:val="none"/>
        </w:rPr>
        <w:t>自受理投诉之日起</w:t>
      </w:r>
      <w:r>
        <w:rPr>
          <w:color w:val="auto"/>
          <w:highlight w:val="none"/>
        </w:rPr>
        <w:t>30</w:t>
      </w:r>
      <w:r>
        <w:rPr>
          <w:rFonts w:hint="eastAsia"/>
          <w:color w:val="auto"/>
          <w:highlight w:val="none"/>
        </w:rPr>
        <w:t>个工作日内，对投诉事项作出处理决定，并以书面形式通知投诉人、被投诉人及其他与投诉处理结果有利害关系的政府采购当</w:t>
      </w:r>
      <w:r>
        <w:rPr>
          <w:rFonts w:hint="eastAsia" w:ascii="宋体"/>
          <w:color w:val="auto"/>
          <w:highlight w:val="none"/>
        </w:rPr>
        <w:t>事人</w:t>
      </w:r>
      <w:r>
        <w:rPr>
          <w:rFonts w:hint="eastAsia"/>
          <w:color w:val="auto"/>
          <w:highlight w:val="none"/>
        </w:rPr>
        <w:t>。并将投诉结果在</w:t>
      </w:r>
      <w:r>
        <w:rPr>
          <w:rFonts w:hint="eastAsia" w:ascii="宋体" w:hAnsi="宋体" w:cs="宋体"/>
          <w:color w:val="auto"/>
          <w:kern w:val="0"/>
          <w:szCs w:val="21"/>
          <w:highlight w:val="none"/>
        </w:rPr>
        <w:t>“广西政府采购网”（http://zfcg.gxzf.gov.cn）</w:t>
      </w:r>
      <w:r>
        <w:rPr>
          <w:rFonts w:hint="eastAsia"/>
          <w:color w:val="auto"/>
          <w:highlight w:val="none"/>
        </w:rPr>
        <w:t>发布。</w:t>
      </w:r>
    </w:p>
    <w:p>
      <w:pPr>
        <w:spacing w:line="360" w:lineRule="auto"/>
        <w:ind w:firstLine="422" w:firstLineChars="200"/>
        <w:rPr>
          <w:rFonts w:hint="eastAsia" w:ascii="宋体"/>
          <w:color w:val="auto"/>
          <w:highlight w:val="none"/>
        </w:rPr>
      </w:pPr>
      <w:r>
        <w:rPr>
          <w:rFonts w:hAnsi="宋体"/>
          <w:b/>
          <w:color w:val="auto"/>
          <w:highlight w:val="none"/>
        </w:rPr>
        <w:t>38</w:t>
      </w:r>
      <w:r>
        <w:rPr>
          <w:rFonts w:hint="eastAsia" w:hAnsi="宋体"/>
          <w:b/>
          <w:color w:val="auto"/>
          <w:highlight w:val="none"/>
        </w:rPr>
        <w:t>.3</w:t>
      </w:r>
      <w:r>
        <w:rPr>
          <w:rFonts w:hint="eastAsia" w:ascii="宋体"/>
          <w:b/>
          <w:color w:val="auto"/>
          <w:highlight w:val="none"/>
        </w:rPr>
        <w:t>.6</w:t>
      </w:r>
      <w:r>
        <w:rPr>
          <w:rFonts w:hint="eastAsia" w:ascii="宋体"/>
          <w:color w:val="auto"/>
          <w:highlight w:val="none"/>
        </w:rPr>
        <w:t xml:space="preserve">  </w:t>
      </w:r>
      <w:r>
        <w:rPr>
          <w:rFonts w:hint="eastAsia" w:hAnsi="宋体" w:cs="宋体"/>
          <w:color w:val="auto"/>
          <w:kern w:val="0"/>
          <w:szCs w:val="21"/>
          <w:highlight w:val="none"/>
        </w:rPr>
        <w:t>广西壮族自治区财政厅政府采购监督管理处</w:t>
      </w:r>
      <w:r>
        <w:rPr>
          <w:rFonts w:hint="eastAsia" w:ascii="宋体"/>
          <w:color w:val="auto"/>
          <w:highlight w:val="none"/>
        </w:rPr>
        <w:t>在处理投诉事项期间，可以视具体情况暂停采购活动。</w:t>
      </w:r>
    </w:p>
    <w:p>
      <w:pPr>
        <w:spacing w:before="120" w:line="320" w:lineRule="atLeast"/>
        <w:ind w:firstLine="422" w:firstLineChars="200"/>
        <w:rPr>
          <w:rFonts w:hint="eastAsia"/>
          <w:color w:val="auto"/>
          <w:szCs w:val="21"/>
          <w:highlight w:val="none"/>
        </w:rPr>
      </w:pPr>
      <w:r>
        <w:rPr>
          <w:rFonts w:hAnsi="宋体"/>
          <w:b/>
          <w:color w:val="auto"/>
          <w:highlight w:val="none"/>
        </w:rPr>
        <w:t>38</w:t>
      </w:r>
      <w:r>
        <w:rPr>
          <w:rFonts w:hint="eastAsia" w:hAnsi="宋体"/>
          <w:b/>
          <w:color w:val="auto"/>
          <w:highlight w:val="none"/>
        </w:rPr>
        <w:t>.3</w:t>
      </w:r>
      <w:r>
        <w:rPr>
          <w:rFonts w:hint="eastAsia" w:ascii="宋体"/>
          <w:b/>
          <w:color w:val="auto"/>
          <w:highlight w:val="none"/>
        </w:rPr>
        <w:t xml:space="preserve">.7 </w:t>
      </w:r>
      <w:r>
        <w:rPr>
          <w:rFonts w:hint="eastAsia"/>
          <w:color w:val="auto"/>
          <w:szCs w:val="21"/>
          <w:highlight w:val="none"/>
        </w:rPr>
        <w:t>供应商应明确知悉投诉可能产生的后果并承担相应的责任：</w:t>
      </w:r>
    </w:p>
    <w:p>
      <w:pPr>
        <w:spacing w:before="120" w:line="320" w:lineRule="atLeast"/>
        <w:ind w:firstLine="420" w:firstLineChars="200"/>
        <w:rPr>
          <w:rFonts w:hint="eastAsia"/>
          <w:color w:val="auto"/>
          <w:szCs w:val="21"/>
          <w:highlight w:val="none"/>
        </w:rPr>
      </w:pPr>
      <w:r>
        <w:rPr>
          <w:rFonts w:hint="eastAsia"/>
          <w:color w:val="auto"/>
          <w:szCs w:val="21"/>
          <w:highlight w:val="none"/>
        </w:rPr>
        <w:t>按照《政府采购质疑和投诉办法》（中华人民共和国财政部令第94号）第三十七条：投诉人在全国范围12个月内三次以上投诉查无实据的，由财政部门列入不良行为记录名单。</w:t>
      </w:r>
    </w:p>
    <w:p>
      <w:pPr>
        <w:spacing w:before="120" w:line="320" w:lineRule="atLeast"/>
        <w:ind w:firstLine="420" w:firstLineChars="200"/>
        <w:rPr>
          <w:rFonts w:hint="eastAsia"/>
          <w:color w:val="auto"/>
          <w:szCs w:val="21"/>
          <w:highlight w:val="none"/>
        </w:rPr>
      </w:pPr>
      <w:r>
        <w:rPr>
          <w:rFonts w:hint="eastAsia"/>
          <w:color w:val="auto"/>
          <w:szCs w:val="21"/>
          <w:highlight w:val="none"/>
        </w:rPr>
        <w:t>投诉人有下列行为之一的，属于虚假、恶意投诉，由财政部门列入不良行为记录名单，禁止其1至3年内参加政府采购活动：</w:t>
      </w:r>
    </w:p>
    <w:p>
      <w:pPr>
        <w:spacing w:before="120" w:line="320" w:lineRule="atLeast"/>
        <w:ind w:firstLine="420" w:firstLineChars="200"/>
        <w:rPr>
          <w:rFonts w:hint="eastAsia"/>
          <w:color w:val="auto"/>
          <w:szCs w:val="21"/>
          <w:highlight w:val="none"/>
        </w:rPr>
      </w:pPr>
      <w:r>
        <w:rPr>
          <w:rFonts w:hint="eastAsia"/>
          <w:color w:val="auto"/>
          <w:szCs w:val="21"/>
          <w:highlight w:val="none"/>
        </w:rPr>
        <w:t>（一）捏造事实；</w:t>
      </w:r>
    </w:p>
    <w:p>
      <w:pPr>
        <w:spacing w:before="120" w:line="320" w:lineRule="atLeast"/>
        <w:ind w:firstLine="420" w:firstLineChars="200"/>
        <w:rPr>
          <w:rFonts w:hint="eastAsia"/>
          <w:color w:val="auto"/>
          <w:szCs w:val="21"/>
          <w:highlight w:val="none"/>
        </w:rPr>
      </w:pPr>
      <w:r>
        <w:rPr>
          <w:rFonts w:hint="eastAsia"/>
          <w:color w:val="auto"/>
          <w:szCs w:val="21"/>
          <w:highlight w:val="none"/>
        </w:rPr>
        <w:t>（二）提供虚假材料；</w:t>
      </w:r>
    </w:p>
    <w:p>
      <w:pPr>
        <w:spacing w:before="120" w:line="320" w:lineRule="atLeast"/>
        <w:ind w:firstLine="420" w:firstLineChars="200"/>
        <w:rPr>
          <w:rFonts w:hint="eastAsia"/>
          <w:color w:val="auto"/>
          <w:szCs w:val="21"/>
          <w:highlight w:val="none"/>
        </w:rPr>
      </w:pPr>
      <w:r>
        <w:rPr>
          <w:rFonts w:hint="eastAsia"/>
          <w:color w:val="auto"/>
          <w:szCs w:val="21"/>
          <w:highlight w:val="none"/>
        </w:rPr>
        <w:t>（三）以非法手段取得证明材料。证据来源的合法性存在明显疑问，投诉人无法证明其取得方式合法的，视为以非法手段取得证明材料。</w:t>
      </w:r>
    </w:p>
    <w:p>
      <w:pPr>
        <w:spacing w:line="360" w:lineRule="auto"/>
        <w:ind w:firstLine="420" w:firstLineChars="200"/>
        <w:rPr>
          <w:rFonts w:hint="eastAsia" w:ascii="宋体"/>
          <w:color w:val="auto"/>
          <w:highlight w:val="none"/>
        </w:rPr>
      </w:pPr>
    </w:p>
    <w:p>
      <w:pPr>
        <w:snapToGrid w:val="0"/>
        <w:spacing w:line="360" w:lineRule="auto"/>
        <w:ind w:left="120" w:leftChars="57" w:firstLine="482" w:firstLineChars="150"/>
        <w:jc w:val="center"/>
        <w:rPr>
          <w:rFonts w:hint="eastAsia"/>
          <w:b/>
          <w:bCs/>
          <w:color w:val="auto"/>
          <w:sz w:val="32"/>
          <w:szCs w:val="32"/>
          <w:highlight w:val="none"/>
        </w:rPr>
      </w:pPr>
      <w:r>
        <w:rPr>
          <w:rFonts w:hint="eastAsia"/>
          <w:b/>
          <w:bCs/>
          <w:color w:val="auto"/>
          <w:sz w:val="32"/>
          <w:szCs w:val="32"/>
          <w:highlight w:val="none"/>
        </w:rPr>
        <w:t>八、验收</w:t>
      </w:r>
    </w:p>
    <w:p>
      <w:pPr>
        <w:spacing w:line="360" w:lineRule="auto"/>
        <w:ind w:firstLine="422" w:firstLineChars="200"/>
        <w:rPr>
          <w:rFonts w:hint="eastAsia" w:hAnsi="宋体"/>
          <w:b/>
          <w:color w:val="auto"/>
          <w:highlight w:val="none"/>
        </w:rPr>
      </w:pPr>
      <w:r>
        <w:rPr>
          <w:rFonts w:hint="eastAsia" w:hAnsi="宋体"/>
          <w:b/>
          <w:color w:val="auto"/>
          <w:highlight w:val="none"/>
        </w:rPr>
        <w:t>39.验收</w:t>
      </w:r>
    </w:p>
    <w:p>
      <w:pPr>
        <w:tabs>
          <w:tab w:val="left" w:pos="0"/>
        </w:tabs>
        <w:spacing w:line="360" w:lineRule="auto"/>
        <w:ind w:firstLine="480"/>
        <w:rPr>
          <w:rFonts w:hint="eastAsia" w:hAnsi="宋体"/>
          <w:color w:val="auto"/>
          <w:highlight w:val="none"/>
        </w:rPr>
      </w:pPr>
      <w:r>
        <w:rPr>
          <w:rFonts w:hint="eastAsia" w:hAnsi="宋体"/>
          <w:color w:val="auto"/>
          <w:highlight w:val="none"/>
        </w:rPr>
        <w:t>39.1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hAnsi="宋体"/>
          <w:color w:val="auto"/>
          <w:highlight w:val="none"/>
        </w:rPr>
      </w:pPr>
      <w:r>
        <w:rPr>
          <w:rFonts w:hint="eastAsia" w:hAnsi="宋体"/>
          <w:color w:val="auto"/>
          <w:highlight w:val="none"/>
        </w:rPr>
        <w:t>39.2采购人可以邀请参加本项目的其他投标人或者第三方机构参与验收。参与验收的投标人或者第三方机构的意见作为验收书的参考资料一并存档。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hAnsi="宋体"/>
          <w:color w:val="auto"/>
          <w:highlight w:val="none"/>
        </w:rPr>
      </w:pPr>
      <w:r>
        <w:rPr>
          <w:rFonts w:hint="eastAsia" w:hAnsi="宋体"/>
          <w:color w:val="auto"/>
          <w:highlight w:val="none"/>
        </w:rPr>
        <w:t>39.3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hAnsi="宋体"/>
          <w:color w:val="auto"/>
          <w:highlight w:val="none"/>
        </w:rPr>
      </w:pPr>
      <w:r>
        <w:rPr>
          <w:rFonts w:hint="eastAsia" w:hAnsi="宋体"/>
          <w:color w:val="auto"/>
          <w:highlight w:val="none"/>
        </w:rPr>
        <w:t>39.4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1"/>
        <w:snapToGrid w:val="0"/>
        <w:spacing w:line="400" w:lineRule="exact"/>
        <w:rPr>
          <w:rFonts w:hint="eastAsia" w:hAnsi="宋体"/>
          <w:color w:val="auto"/>
          <w:highlight w:val="none"/>
        </w:rPr>
      </w:pPr>
    </w:p>
    <w:p>
      <w:pPr>
        <w:pStyle w:val="5"/>
        <w:keepNext w:val="0"/>
        <w:keepLines w:val="0"/>
        <w:spacing w:line="360" w:lineRule="auto"/>
        <w:jc w:val="center"/>
        <w:rPr>
          <w:rFonts w:hint="eastAsia"/>
          <w:color w:val="auto"/>
          <w:highlight w:val="none"/>
        </w:rPr>
      </w:pPr>
      <w:bookmarkStart w:id="161" w:name="_八、其他事项"/>
      <w:bookmarkEnd w:id="161"/>
      <w:bookmarkStart w:id="162" w:name="_Toc17191"/>
      <w:bookmarkStart w:id="163" w:name="_Toc20258"/>
      <w:bookmarkStart w:id="164" w:name="_Toc23065"/>
      <w:bookmarkStart w:id="165" w:name="_Toc80093002"/>
      <w:r>
        <w:rPr>
          <w:rFonts w:hint="eastAsia"/>
          <w:color w:val="auto"/>
          <w:highlight w:val="none"/>
        </w:rPr>
        <w:t>九、其他事项</w:t>
      </w:r>
      <w:bookmarkEnd w:id="162"/>
      <w:bookmarkEnd w:id="163"/>
      <w:bookmarkEnd w:id="164"/>
      <w:bookmarkEnd w:id="165"/>
    </w:p>
    <w:p>
      <w:pPr>
        <w:spacing w:line="360" w:lineRule="auto"/>
        <w:ind w:firstLine="480" w:firstLineChars="200"/>
        <w:rPr>
          <w:rFonts w:hint="eastAsia" w:ascii="黑体" w:hAnsi="黑体" w:eastAsia="黑体"/>
          <w:color w:val="auto"/>
          <w:sz w:val="24"/>
          <w:highlight w:val="none"/>
        </w:rPr>
      </w:pPr>
      <w:bookmarkStart w:id="166" w:name="_42.代理服务费"/>
      <w:bookmarkEnd w:id="166"/>
      <w:r>
        <w:rPr>
          <w:rFonts w:hint="eastAsia" w:ascii="黑体" w:hAnsi="黑体" w:eastAsia="黑体"/>
          <w:color w:val="auto"/>
          <w:sz w:val="24"/>
          <w:highlight w:val="none"/>
        </w:rPr>
        <w:t>40.代理服务费</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代理服务收费标准及缴费账户详见“投标人须知前附表”。</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41</w:t>
      </w:r>
      <w:r>
        <w:rPr>
          <w:rFonts w:ascii="黑体" w:hAnsi="黑体" w:eastAsia="黑体"/>
          <w:color w:val="auto"/>
          <w:sz w:val="24"/>
          <w:highlight w:val="none"/>
        </w:rPr>
        <w:t>. 需要补充的其他内容</w:t>
      </w:r>
    </w:p>
    <w:p>
      <w:pPr>
        <w:spacing w:line="360" w:lineRule="auto"/>
        <w:ind w:firstLine="420" w:firstLineChars="200"/>
        <w:rPr>
          <w:rFonts w:hAnsi="宋体"/>
          <w:color w:val="auto"/>
          <w:highlight w:val="none"/>
        </w:rPr>
      </w:pPr>
      <w:r>
        <w:rPr>
          <w:rFonts w:hAnsi="宋体"/>
          <w:color w:val="auto"/>
          <w:highlight w:val="none"/>
        </w:rPr>
        <w:t>4</w:t>
      </w:r>
      <w:r>
        <w:rPr>
          <w:rFonts w:hint="eastAsia" w:hAnsi="宋体"/>
          <w:color w:val="auto"/>
          <w:highlight w:val="none"/>
        </w:rPr>
        <w:t>1</w:t>
      </w:r>
      <w:r>
        <w:rPr>
          <w:rFonts w:hAnsi="宋体"/>
          <w:color w:val="auto"/>
          <w:highlight w:val="none"/>
        </w:rPr>
        <w:t>.1</w:t>
      </w:r>
      <w:r>
        <w:rPr>
          <w:rFonts w:hint="eastAsia" w:hAnsi="宋体" w:cs="宋体"/>
          <w:color w:val="auto"/>
          <w:highlight w:val="none"/>
        </w:rPr>
        <w:t>本招标文件解释规则详见</w:t>
      </w:r>
      <w:r>
        <w:rPr>
          <w:rFonts w:hint="eastAsia" w:hAnsi="宋体"/>
          <w:color w:val="auto"/>
          <w:highlight w:val="none"/>
        </w:rPr>
        <w:t>“投标人须知前附表”。</w:t>
      </w:r>
    </w:p>
    <w:p>
      <w:pPr>
        <w:spacing w:line="360" w:lineRule="auto"/>
        <w:ind w:firstLine="420" w:firstLineChars="200"/>
        <w:rPr>
          <w:rFonts w:hAnsi="宋体"/>
          <w:color w:val="auto"/>
          <w:highlight w:val="none"/>
        </w:rPr>
      </w:pPr>
      <w:r>
        <w:rPr>
          <w:rFonts w:hAnsi="宋体" w:cs="宋体"/>
          <w:color w:val="auto"/>
          <w:highlight w:val="none"/>
        </w:rPr>
        <w:t>4</w:t>
      </w:r>
      <w:r>
        <w:rPr>
          <w:rFonts w:hint="eastAsia" w:hAnsi="宋体" w:cs="宋体"/>
          <w:color w:val="auto"/>
          <w:highlight w:val="none"/>
        </w:rPr>
        <w:t>1</w:t>
      </w:r>
      <w:r>
        <w:rPr>
          <w:rFonts w:hAnsi="宋体" w:cs="宋体"/>
          <w:color w:val="auto"/>
          <w:highlight w:val="none"/>
        </w:rPr>
        <w:t>.2</w:t>
      </w:r>
      <w:r>
        <w:rPr>
          <w:rFonts w:hint="eastAsia" w:hAnsi="宋体" w:cs="宋体"/>
          <w:color w:val="auto"/>
          <w:highlight w:val="none"/>
        </w:rPr>
        <w:t xml:space="preserve"> </w:t>
      </w:r>
      <w:r>
        <w:rPr>
          <w:rFonts w:hint="eastAsia" w:hAnsi="宋体"/>
          <w:color w:val="auto"/>
          <w:highlight w:val="none"/>
        </w:rPr>
        <w:t>其他事项详见“投标人须知前附表”。</w:t>
      </w:r>
    </w:p>
    <w:p>
      <w:pPr>
        <w:spacing w:line="360" w:lineRule="auto"/>
        <w:ind w:firstLine="420" w:firstLineChars="200"/>
        <w:rPr>
          <w:rFonts w:hint="eastAsia" w:hAnsi="宋体"/>
          <w:color w:val="auto"/>
          <w:highlight w:val="none"/>
        </w:rPr>
      </w:pPr>
      <w:r>
        <w:rPr>
          <w:rFonts w:hAnsi="宋体"/>
          <w:color w:val="auto"/>
          <w:highlight w:val="none"/>
        </w:rPr>
        <w:t>4</w:t>
      </w:r>
      <w:r>
        <w:rPr>
          <w:rFonts w:hint="eastAsia" w:hAnsi="宋体"/>
          <w:color w:val="auto"/>
          <w:highlight w:val="none"/>
        </w:rPr>
        <w:t>1</w:t>
      </w:r>
      <w:r>
        <w:rPr>
          <w:rFonts w:hAnsi="宋体"/>
          <w:color w:val="auto"/>
          <w:highlight w:val="none"/>
        </w:rPr>
        <w:t>.3</w:t>
      </w:r>
      <w:r>
        <w:rPr>
          <w:rFonts w:hint="eastAsia" w:hAnsi="宋体"/>
          <w:color w:val="auto"/>
          <w:highlight w:val="none"/>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服务的人员为中小企业依照《中华人民共和国劳动合同法》订立劳动合同的从业人员，</w:t>
      </w:r>
      <w:r>
        <w:rPr>
          <w:rFonts w:hint="eastAsia"/>
          <w:color w:val="auto"/>
          <w:highlight w:val="none"/>
        </w:rPr>
        <w:t>不对其中涉及的货物的制造商和工程承建商作出要求的，</w:t>
      </w:r>
      <w:r>
        <w:rPr>
          <w:rFonts w:hint="eastAsia" w:hAnsi="宋体"/>
          <w:color w:val="auto"/>
          <w:highlight w:val="none"/>
        </w:rPr>
        <w:t>享受本文件规定的中小企业扶持政策。</w:t>
      </w:r>
    </w:p>
    <w:p>
      <w:pPr>
        <w:spacing w:line="360" w:lineRule="auto"/>
        <w:ind w:firstLine="420" w:firstLineChars="200"/>
        <w:rPr>
          <w:rFonts w:hint="eastAsia" w:hAnsi="宋体"/>
          <w:color w:val="auto"/>
          <w:highlight w:val="none"/>
        </w:rPr>
      </w:pPr>
      <w:r>
        <w:rPr>
          <w:rFonts w:hint="eastAsia" w:hAnsi="宋体"/>
          <w:color w:val="auto"/>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hAnsi="宋体"/>
          <w:color w:val="auto"/>
          <w:highlight w:val="none"/>
        </w:rPr>
      </w:pPr>
      <w:r>
        <w:rPr>
          <w:rFonts w:hint="eastAsia" w:hAnsi="宋体"/>
          <w:color w:val="auto"/>
          <w:highlight w:val="none"/>
        </w:rPr>
        <w:t>依据本文件规定享受扶持政策获得政府采购合同的，小微企业不得将合同分包给大中型企业，中型企业不得将合同分包给大型企业。</w:t>
      </w:r>
    </w:p>
    <w:p>
      <w:pPr>
        <w:spacing w:line="360" w:lineRule="auto"/>
        <w:ind w:firstLine="420" w:firstLineChars="200"/>
        <w:jc w:val="left"/>
        <w:rPr>
          <w:rFonts w:hint="eastAsia" w:hAnsi="宋体"/>
          <w:color w:val="auto"/>
          <w:highlight w:val="none"/>
        </w:rPr>
      </w:pPr>
      <w:r>
        <w:rPr>
          <w:rFonts w:hint="eastAsia" w:hAnsi="宋体"/>
          <w:color w:val="auto"/>
          <w:highlight w:val="none"/>
        </w:rPr>
        <w:br w:type="page"/>
      </w:r>
      <w:bookmarkStart w:id="167" w:name="_Toc532545043"/>
    </w:p>
    <w:p>
      <w:pPr>
        <w:pStyle w:val="21"/>
        <w:jc w:val="center"/>
        <w:outlineLvl w:val="0"/>
        <w:rPr>
          <w:rFonts w:ascii="Times New Roman" w:hAnsi="Times New Roman"/>
          <w:b/>
          <w:color w:val="auto"/>
          <w:sz w:val="36"/>
          <w:highlight w:val="none"/>
        </w:rPr>
      </w:pPr>
      <w:bookmarkStart w:id="168" w:name="_Toc6235"/>
      <w:bookmarkStart w:id="169" w:name="_Toc15414"/>
      <w:bookmarkStart w:id="170" w:name="_Toc24069"/>
      <w:bookmarkStart w:id="171" w:name="_Toc80093003"/>
      <w:r>
        <w:rPr>
          <w:rFonts w:hint="eastAsia" w:ascii="Times New Roman" w:hAnsi="Times New Roman"/>
          <w:b/>
          <w:color w:val="auto"/>
          <w:sz w:val="36"/>
          <w:highlight w:val="none"/>
        </w:rPr>
        <w:t>第四章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评标方法</w:t>
      </w:r>
      <w:bookmarkEnd w:id="167"/>
      <w:r>
        <w:rPr>
          <w:rFonts w:hint="eastAsia" w:ascii="Times New Roman" w:hAnsi="Times New Roman"/>
          <w:b/>
          <w:color w:val="auto"/>
          <w:sz w:val="36"/>
          <w:highlight w:val="none"/>
        </w:rPr>
        <w:t>及评分标准</w:t>
      </w:r>
      <w:bookmarkEnd w:id="168"/>
      <w:bookmarkEnd w:id="169"/>
      <w:bookmarkEnd w:id="170"/>
      <w:bookmarkEnd w:id="171"/>
    </w:p>
    <w:p>
      <w:pPr>
        <w:pStyle w:val="21"/>
        <w:jc w:val="center"/>
        <w:outlineLvl w:val="1"/>
        <w:rPr>
          <w:rFonts w:hint="eastAsia" w:ascii="Times New Roman" w:hAnsi="Times New Roman"/>
          <w:b/>
          <w:bCs/>
          <w:color w:val="auto"/>
          <w:sz w:val="32"/>
          <w:szCs w:val="32"/>
          <w:highlight w:val="none"/>
        </w:rPr>
      </w:pPr>
      <w:bookmarkStart w:id="172" w:name="_Toc16874"/>
      <w:bookmarkStart w:id="173" w:name="_Toc80093004"/>
      <w:bookmarkStart w:id="174" w:name="_Toc5704"/>
      <w:bookmarkStart w:id="175" w:name="_Toc26503"/>
      <w:r>
        <w:rPr>
          <w:rFonts w:hint="eastAsia" w:ascii="Times New Roman" w:hAnsi="Times New Roman"/>
          <w:b/>
          <w:bCs/>
          <w:color w:val="auto"/>
          <w:sz w:val="32"/>
          <w:szCs w:val="32"/>
          <w:highlight w:val="none"/>
        </w:rPr>
        <w:t>第一节 评标方法</w:t>
      </w:r>
      <w:bookmarkEnd w:id="172"/>
      <w:bookmarkEnd w:id="173"/>
      <w:bookmarkEnd w:id="174"/>
      <w:bookmarkEnd w:id="175"/>
    </w:p>
    <w:p>
      <w:pPr>
        <w:pStyle w:val="21"/>
        <w:tabs>
          <w:tab w:val="left" w:pos="2472"/>
        </w:tabs>
        <w:spacing w:line="460" w:lineRule="exact"/>
        <w:ind w:firstLine="420" w:firstLineChars="200"/>
        <w:rPr>
          <w:rFonts w:hint="eastAsia"/>
          <w:color w:val="auto"/>
          <w:szCs w:val="21"/>
          <w:highlight w:val="none"/>
        </w:rPr>
      </w:pPr>
      <w:r>
        <w:rPr>
          <w:rFonts w:hint="eastAsia" w:hAnsi="宋体" w:cs="宋体"/>
          <w:color w:val="auto"/>
          <w:szCs w:val="21"/>
          <w:highlight w:val="none"/>
        </w:rPr>
        <w:t>本项目采用</w:t>
      </w:r>
      <w:r>
        <w:rPr>
          <w:rFonts w:hint="eastAsia" w:hAnsi="宋体" w:cs="宋体"/>
          <w:color w:val="auto"/>
          <w:szCs w:val="21"/>
          <w:highlight w:val="none"/>
          <w:u w:val="single"/>
        </w:rPr>
        <w:t xml:space="preserve"> 以下勾选的方式</w:t>
      </w:r>
      <w:r>
        <w:rPr>
          <w:rFonts w:hint="eastAsia" w:hAnsi="宋体" w:cs="宋体"/>
          <w:color w:val="auto"/>
          <w:szCs w:val="21"/>
          <w:highlight w:val="none"/>
        </w:rPr>
        <w:t>进行评审。</w:t>
      </w:r>
    </w:p>
    <w:p>
      <w:pPr>
        <w:pStyle w:val="21"/>
        <w:spacing w:line="360" w:lineRule="auto"/>
        <w:ind w:firstLine="420"/>
        <w:rPr>
          <w:rFonts w:hAnsi="宋体"/>
          <w:color w:val="auto"/>
          <w:highlight w:val="none"/>
        </w:rPr>
      </w:pPr>
      <w:r>
        <w:rPr>
          <w:rFonts w:hint="eastAsia" w:hAnsi="宋体"/>
          <w:color w:val="auto"/>
          <w:szCs w:val="21"/>
          <w:highlight w:val="none"/>
        </w:rPr>
        <w:t>□最低评标价法，是指投标文件满足招标文件</w:t>
      </w:r>
      <w:r>
        <w:rPr>
          <w:rFonts w:hint="eastAsia" w:hAnsi="宋体"/>
          <w:color w:val="auto"/>
          <w:highlight w:val="none"/>
        </w:rPr>
        <w:t>全部实质性要求，且投标报价最低的投标人为中标候选人的评标方法。</w:t>
      </w:r>
    </w:p>
    <w:p>
      <w:pPr>
        <w:ind w:firstLine="315" w:firstLineChars="150"/>
        <w:rPr>
          <w:color w:val="auto"/>
          <w:highlight w:val="none"/>
        </w:rPr>
      </w:pPr>
      <w:r>
        <w:rPr>
          <w:rFonts w:hint="eastAsia" w:ascii="MS Mincho" w:hAnsi="MS Mincho" w:eastAsia="MS Mincho" w:cs="MS Mincho"/>
          <w:color w:val="auto"/>
          <w:highlight w:val="none"/>
        </w:rPr>
        <w:t>☑</w:t>
      </w:r>
      <w:r>
        <w:rPr>
          <w:rFonts w:hint="eastAsia" w:hAnsi="宋体"/>
          <w:color w:val="auto"/>
          <w:highlight w:val="none"/>
        </w:rPr>
        <w:t>综合评分法，</w:t>
      </w:r>
      <w:r>
        <w:rPr>
          <w:rFonts w:hint="eastAsia" w:ascii="宋体" w:hAnsi="宋体"/>
          <w:color w:val="auto"/>
          <w:szCs w:val="20"/>
          <w:highlight w:val="none"/>
        </w:rPr>
        <w:t>是指投标文件满足招标文件全部实质性要求，且按照评审因素的量化指标评审得分最高的投标人为中标候选人的评标方法。</w:t>
      </w:r>
    </w:p>
    <w:p>
      <w:pPr>
        <w:pStyle w:val="21"/>
        <w:spacing w:line="360" w:lineRule="auto"/>
        <w:ind w:firstLine="420"/>
        <w:rPr>
          <w:rFonts w:hAnsi="宋体"/>
          <w:color w:val="auto"/>
          <w:highlight w:val="none"/>
        </w:rPr>
      </w:pPr>
    </w:p>
    <w:p>
      <w:pPr>
        <w:pStyle w:val="21"/>
        <w:tabs>
          <w:tab w:val="left" w:pos="2472"/>
        </w:tabs>
        <w:spacing w:line="460" w:lineRule="exact"/>
        <w:jc w:val="center"/>
        <w:outlineLvl w:val="1"/>
        <w:rPr>
          <w:rFonts w:hint="eastAsia" w:ascii="Times New Roman" w:hAnsi="Times New Roman"/>
          <w:b/>
          <w:bCs/>
          <w:color w:val="auto"/>
          <w:sz w:val="32"/>
          <w:szCs w:val="32"/>
          <w:highlight w:val="none"/>
        </w:rPr>
      </w:pPr>
      <w:bookmarkStart w:id="176" w:name="_Toc80093005"/>
      <w:bookmarkStart w:id="177" w:name="_Toc2964"/>
      <w:bookmarkStart w:id="178" w:name="_Toc5486"/>
      <w:bookmarkStart w:id="179" w:name="_Toc20570"/>
      <w:r>
        <w:rPr>
          <w:rFonts w:hint="eastAsia" w:ascii="Times New Roman" w:hAnsi="Times New Roman"/>
          <w:b/>
          <w:bCs/>
          <w:color w:val="auto"/>
          <w:sz w:val="32"/>
          <w:szCs w:val="32"/>
          <w:highlight w:val="none"/>
        </w:rPr>
        <w:t>第二节 评标程序</w:t>
      </w:r>
      <w:bookmarkEnd w:id="176"/>
      <w:bookmarkEnd w:id="177"/>
      <w:bookmarkEnd w:id="178"/>
      <w:bookmarkEnd w:id="179"/>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1.符合性审查</w:t>
      </w:r>
    </w:p>
    <w:p>
      <w:pPr>
        <w:spacing w:line="360" w:lineRule="auto"/>
        <w:ind w:firstLine="420" w:firstLineChars="200"/>
        <w:rPr>
          <w:rFonts w:hint="eastAsia" w:hAnsi="宋体"/>
          <w:color w:val="auto"/>
          <w:highlight w:val="none"/>
        </w:rPr>
      </w:pPr>
      <w:r>
        <w:rPr>
          <w:rFonts w:hint="eastAsia" w:hAnsi="宋体"/>
          <w:color w:val="auto"/>
          <w:highlight w:val="none"/>
        </w:rPr>
        <w:t>评标委员会应当对符合资格的投标人的投标文件进行投标报价、商务、技术等实质性内容符合性审查，以确定其是否满足招标文件的实质性要求。</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w:t>
      </w:r>
      <w:r>
        <w:rPr>
          <w:rFonts w:ascii="宋体" w:hAnsi="宋体"/>
          <w:b/>
          <w:color w:val="auto"/>
          <w:szCs w:val="21"/>
          <w:highlight w:val="none"/>
        </w:rPr>
        <w:t>.</w:t>
      </w:r>
      <w:r>
        <w:rPr>
          <w:rFonts w:hint="eastAsia" w:ascii="宋体" w:hAnsi="宋体"/>
          <w:b/>
          <w:color w:val="auto"/>
          <w:szCs w:val="21"/>
          <w:highlight w:val="none"/>
        </w:rPr>
        <w:t>符合性审查不通过而导致投标无效的情形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投标人的投标文件中存在对招标文件的任何实质性要求和条件的负偏离，将被视为投标无效。</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2.1在报价评审时，如发现下列情形之一的，将被视为投标无效：</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（1）投标文件未提供“投标人须知前附表”第13.1条规定中“必须提供”的文件资料的;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（2）未采用人民币报价或者未按照招标文件标明的币种报价的；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（3）报价超出招标文件规定最高限价，或者超出采购预算金额（包括分项预算）的；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投标人未就所投分标进行报价或者存在漏项报价；投标人未就所投分标的单项内容作唯一报价；投标人未就所投分标的全部内容作唯一总价报价；存在有选择、有条件报价的（招标文件允许有备选方案或者其他约定的除外）；</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（5）修正后的报价，投标人不确认的；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（6）投标人属于本章第</w:t>
      </w:r>
      <w:r>
        <w:rPr>
          <w:rFonts w:ascii="宋体" w:hAnsi="宋体"/>
          <w:color w:val="auto"/>
          <w:szCs w:val="21"/>
          <w:highlight w:val="none"/>
        </w:rPr>
        <w:t>5</w:t>
      </w:r>
      <w:r>
        <w:rPr>
          <w:rFonts w:hint="eastAsia" w:ascii="宋体" w:hAnsi="宋体"/>
          <w:color w:val="auto"/>
          <w:szCs w:val="21"/>
          <w:highlight w:val="none"/>
        </w:rPr>
        <w:t>条第（2）项情形的。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2.2在商务评审时，如发现下列情形之一的，将被视为投标无效：</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（1）投标文件未按招标文件要求签署、盖章的；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（2）委托代理人未能出具有效身份证明或者出具的身份证明与授权委托书中的信息不符的；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（3）投标文件未提供“投标人须知前附表”第13.</w:t>
      </w:r>
      <w:r>
        <w:rPr>
          <w:rFonts w:ascii="宋体" w:hAnsi="宋体"/>
          <w:color w:val="auto"/>
          <w:szCs w:val="21"/>
          <w:highlight w:val="none"/>
        </w:rPr>
        <w:t>1</w:t>
      </w:r>
      <w:r>
        <w:rPr>
          <w:rFonts w:hint="eastAsia" w:ascii="宋体" w:hAnsi="宋体"/>
          <w:color w:val="auto"/>
          <w:szCs w:val="21"/>
          <w:highlight w:val="none"/>
        </w:rPr>
        <w:t>条规定中“必须提供”或者“委托时必须提供”的文件资料的;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（4）投标有效期、项目完成时间（交货时间、服务完成时间或者服务期等）、质保期、售后服务等招标文件中标“▲”的商务条款发生负偏离的；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（5）商务条款评审允许负偏离的条款数超过“投标人须知前附表”规定项数的。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（6）投标文件的实质性内容未使用中文表述、使用计量单位不符合招标文件要求的；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（7）投标文件中的文件资料因填写不齐全或者内容虚假或者出现其他情形而导致被评标委员会认定无效的；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（8）投标文件含有采购人不能接受的附加条件的；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（9）未响应招标文件实质性要求的；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（10）属于投标人须知正文第</w:t>
      </w:r>
      <w:r>
        <w:rPr>
          <w:rFonts w:ascii="宋体" w:hAnsi="宋体"/>
          <w:color w:val="auto"/>
          <w:szCs w:val="21"/>
          <w:highlight w:val="none"/>
        </w:rPr>
        <w:t>9.2</w:t>
      </w:r>
      <w:r>
        <w:rPr>
          <w:rFonts w:hint="eastAsia" w:ascii="宋体" w:hAnsi="宋体"/>
          <w:color w:val="auto"/>
          <w:szCs w:val="21"/>
          <w:highlight w:val="none"/>
        </w:rPr>
        <w:t>条情形的；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（11）法律、法规和招标文件规定的其他无效情形。</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2.3在技术评审时，如发现下列情形之一的，将被视为投标无效：</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（1）不满足招标文件要求的服务内容、技术要求、安全、质量标准，或者与招标文件中标“▲”的技术需求发生负偏离的；</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（2）技术需求评审允许负偏离的条款数超过“投标人须知前附表”规定项数的；</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（3）投标文件未提供“投标人须知前附表”第13.</w:t>
      </w:r>
      <w:r>
        <w:rPr>
          <w:rFonts w:hAnsi="宋体"/>
          <w:color w:val="auto"/>
          <w:szCs w:val="21"/>
          <w:highlight w:val="none"/>
        </w:rPr>
        <w:t>1</w:t>
      </w:r>
      <w:r>
        <w:rPr>
          <w:rFonts w:hint="eastAsia" w:hAnsi="宋体"/>
          <w:color w:val="auto"/>
          <w:szCs w:val="21"/>
          <w:highlight w:val="none"/>
        </w:rPr>
        <w:t>条规定中“必须提供”的文件资料的;</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（4）虚假投标，或者出现其他情形而导致被评标委员会认定无效的；</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（5）投标技术方案不明确，招标文件未允许但存在一个或者一个以上备选（替代）投标方案的。</w:t>
      </w:r>
    </w:p>
    <w:p>
      <w:p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3</w:t>
      </w:r>
      <w:r>
        <w:rPr>
          <w:rFonts w:ascii="宋体" w:hAnsi="宋体"/>
          <w:b/>
          <w:color w:val="auto"/>
          <w:szCs w:val="21"/>
          <w:highlight w:val="none"/>
        </w:rPr>
        <w:t>.</w:t>
      </w:r>
      <w:r>
        <w:rPr>
          <w:rFonts w:hint="eastAsia" w:ascii="宋体" w:hAnsi="宋体"/>
          <w:b/>
          <w:color w:val="auto"/>
          <w:szCs w:val="21"/>
          <w:highlight w:val="none"/>
        </w:rPr>
        <w:t>澄清补正、说明或者补正</w:t>
      </w:r>
    </w:p>
    <w:p>
      <w:pPr>
        <w:spacing w:line="360" w:lineRule="auto"/>
        <w:ind w:firstLine="420" w:firstLineChars="200"/>
        <w:rPr>
          <w:rFonts w:hint="eastAsia"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单位公章后在线上传至评标委员会。投标人的澄清、说明或者补正不得超出投标文件的范围或者改变投标文件的实质性内容。投标人未在规定时间内进行澄清、说明或者补正的，按无效投标处理。</w:t>
      </w:r>
    </w:p>
    <w:p>
      <w:pPr>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2" w:firstLineChars="200"/>
        <w:rPr>
          <w:rFonts w:hint="eastAsia" w:ascii="宋体" w:hAnsi="宋体"/>
          <w:b/>
          <w:color w:val="auto"/>
          <w:szCs w:val="21"/>
          <w:highlight w:val="none"/>
        </w:rPr>
      </w:pPr>
      <w:r>
        <w:rPr>
          <w:rFonts w:ascii="宋体" w:hAnsi="宋体"/>
          <w:b/>
          <w:color w:val="auto"/>
          <w:szCs w:val="21"/>
          <w:highlight w:val="none"/>
        </w:rPr>
        <w:t>4.</w:t>
      </w:r>
      <w:r>
        <w:rPr>
          <w:rFonts w:hint="eastAsia" w:ascii="宋体" w:hAnsi="宋体"/>
          <w:b/>
          <w:color w:val="auto"/>
          <w:szCs w:val="21"/>
          <w:highlight w:val="none"/>
        </w:rPr>
        <w:t>投标文件修正</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 xml:space="preserve">.1投标文件报价出现前后不一致的，按照下列规定修正： </w:t>
      </w:r>
    </w:p>
    <w:p>
      <w:pPr>
        <w:spacing w:line="360" w:lineRule="auto"/>
        <w:ind w:firstLine="420" w:firstLineChars="200"/>
        <w:rPr>
          <w:rFonts w:hAnsi="宋体"/>
          <w:color w:val="auto"/>
          <w:highlight w:val="none"/>
        </w:rPr>
      </w:pPr>
      <w:r>
        <w:rPr>
          <w:rFonts w:hint="eastAsia" w:hAnsi="宋体"/>
          <w:color w:val="auto"/>
          <w:highlight w:val="none"/>
        </w:rPr>
        <w:t>（1）报价文件中“开标一览表”内容与投标文件中相应内容不一致的，以“开标一览表”为准；</w:t>
      </w:r>
    </w:p>
    <w:p>
      <w:pPr>
        <w:spacing w:line="360" w:lineRule="auto"/>
        <w:ind w:firstLine="420" w:firstLineChars="200"/>
        <w:rPr>
          <w:rFonts w:hAnsi="宋体"/>
          <w:color w:val="auto"/>
          <w:highlight w:val="none"/>
        </w:rPr>
      </w:pPr>
      <w:r>
        <w:rPr>
          <w:rFonts w:hint="eastAsia" w:hAnsi="宋体"/>
          <w:color w:val="auto"/>
          <w:highlight w:val="none"/>
        </w:rPr>
        <w:t>（2）大写金额和小写金额不一致的，以大写金额为准；</w:t>
      </w:r>
    </w:p>
    <w:p>
      <w:pPr>
        <w:spacing w:line="360" w:lineRule="auto"/>
        <w:ind w:firstLine="420" w:firstLineChars="20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spacing w:line="360" w:lineRule="auto"/>
        <w:ind w:firstLine="420" w:firstLineChars="200"/>
        <w:rPr>
          <w:rFonts w:hAnsi="宋体"/>
          <w:color w:val="auto"/>
          <w:highlight w:val="none"/>
        </w:rPr>
      </w:pPr>
      <w:r>
        <w:rPr>
          <w:rFonts w:hint="eastAsia" w:hAnsi="宋体"/>
          <w:color w:val="auto"/>
          <w:highlight w:val="none"/>
        </w:rPr>
        <w:t>（4）总价金额与按单价汇总金额不一致的，以单价金额计算结果为准。</w:t>
      </w:r>
    </w:p>
    <w:p>
      <w:pPr>
        <w:spacing w:line="360" w:lineRule="auto"/>
        <w:ind w:firstLine="420" w:firstLineChars="200"/>
        <w:rPr>
          <w:rFonts w:hint="eastAsia" w:hAnsi="宋体"/>
          <w:color w:val="auto"/>
          <w:highlight w:val="none"/>
        </w:rPr>
      </w:pPr>
      <w:r>
        <w:rPr>
          <w:rFonts w:hint="eastAsia" w:hAnsi="宋体"/>
          <w:color w:val="auto"/>
          <w:highlight w:val="none"/>
        </w:rPr>
        <w:t>同时出现两种以上不一致的，按照以上（1）-（4）规定的顺序修正。修正后的报价经投标人确认后产生约束力，投标人不确认的，其投标无效。</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.2经投标人确认修正后的报价若超过采购预算金额或者最高限价，投标人的投标文件作无效投标处理。</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比较与评价</w:t>
      </w:r>
    </w:p>
    <w:p>
      <w:pPr>
        <w:spacing w:line="360" w:lineRule="auto"/>
        <w:ind w:firstLine="420" w:firstLineChars="200"/>
        <w:rPr>
          <w:rFonts w:hint="eastAsia" w:hAnsi="宋体"/>
          <w:color w:val="auto"/>
          <w:highlight w:val="none"/>
        </w:rPr>
      </w:pPr>
      <w:r>
        <w:rPr>
          <w:rFonts w:hint="eastAsia" w:hAnsi="宋体"/>
          <w:color w:val="auto"/>
          <w:highlight w:val="none"/>
        </w:rPr>
        <w:t>（1）评标委员会按照招标文件中规定的评标方法和评标标准，对符合性审查合格的投标文件进行商务和技术评估，综合比较与评价。</w:t>
      </w:r>
    </w:p>
    <w:p>
      <w:pPr>
        <w:spacing w:line="360" w:lineRule="auto"/>
        <w:ind w:firstLine="420" w:firstLineChars="200"/>
        <w:rPr>
          <w:rFonts w:hint="eastAsia" w:hAnsi="宋体"/>
          <w:color w:val="auto"/>
          <w:highlight w:val="none"/>
        </w:rPr>
      </w:pPr>
      <w:r>
        <w:rPr>
          <w:rFonts w:hint="eastAsia" w:hAnsi="宋体"/>
          <w:color w:val="auto"/>
          <w:highlight w:val="none"/>
        </w:rPr>
        <w:t>（2）评标委员会独立对每个投标人的投标文件进行评价，并汇总每个投标人的得分。</w:t>
      </w:r>
    </w:p>
    <w:p>
      <w:pPr>
        <w:spacing w:line="360" w:lineRule="auto"/>
        <w:ind w:firstLine="420" w:firstLineChars="200"/>
        <w:rPr>
          <w:rFonts w:hint="eastAsia" w:hAnsi="宋体"/>
          <w:color w:val="auto"/>
          <w:highlight w:val="none"/>
        </w:rPr>
      </w:pPr>
      <w:r>
        <w:rPr>
          <w:rFonts w:hint="eastAsia" w:hAnsi="宋体"/>
          <w:color w:val="auto"/>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pPr>
        <w:spacing w:line="360" w:lineRule="auto"/>
        <w:ind w:firstLine="420" w:firstLineChars="200"/>
        <w:rPr>
          <w:rFonts w:hint="eastAsia" w:hAnsi="宋体"/>
          <w:color w:val="auto"/>
          <w:highlight w:val="none"/>
        </w:rPr>
      </w:pPr>
      <w:r>
        <w:rPr>
          <w:rFonts w:hint="eastAsia" w:hAnsi="宋体"/>
          <w:color w:val="auto"/>
          <w:highlight w:val="none"/>
        </w:rPr>
        <w:t>（3）评标委员会按照招标文件中规定的评标方法和标准计算各投标人的报价得分。在计算过程中，不得去掉最高报价或者最低报价。</w:t>
      </w:r>
    </w:p>
    <w:p>
      <w:pPr>
        <w:spacing w:line="360" w:lineRule="auto"/>
        <w:ind w:firstLine="420" w:firstLineChars="200"/>
        <w:rPr>
          <w:rFonts w:hint="eastAsia" w:hAnsi="宋体"/>
          <w:color w:val="auto"/>
          <w:highlight w:val="none"/>
        </w:rPr>
      </w:pPr>
      <w:r>
        <w:rPr>
          <w:rFonts w:hint="eastAsia" w:hAnsi="宋体"/>
          <w:color w:val="auto"/>
          <w:highlight w:val="none"/>
        </w:rPr>
        <w:t>（4）各投标人的得分为所有评委的有效评分的算术平均数。</w:t>
      </w:r>
    </w:p>
    <w:p>
      <w:pPr>
        <w:spacing w:line="360" w:lineRule="auto"/>
        <w:ind w:firstLine="420" w:firstLineChars="200"/>
        <w:rPr>
          <w:rFonts w:hint="eastAsia" w:hAnsi="宋体"/>
          <w:color w:val="auto"/>
          <w:highlight w:val="none"/>
        </w:rPr>
      </w:pPr>
      <w:r>
        <w:rPr>
          <w:rFonts w:hint="eastAsia" w:hAnsi="宋体"/>
          <w:color w:val="auto"/>
          <w:highlight w:val="none"/>
        </w:rPr>
        <w:t>（5）评标委员会按照招标文件中的规定推荐中标候选人。</w:t>
      </w:r>
    </w:p>
    <w:p>
      <w:pPr>
        <w:spacing w:line="360" w:lineRule="auto"/>
        <w:ind w:firstLine="420" w:firstLineChars="200"/>
        <w:rPr>
          <w:rFonts w:hint="eastAsia" w:hAnsi="宋体"/>
          <w:color w:val="auto"/>
          <w:highlight w:val="none"/>
        </w:rPr>
      </w:pPr>
      <w:r>
        <w:rPr>
          <w:rFonts w:hint="eastAsia" w:hAnsi="宋体"/>
          <w:color w:val="auto"/>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pPr>
        <w:spacing w:line="360" w:lineRule="auto"/>
        <w:ind w:firstLine="420" w:firstLineChars="200"/>
        <w:rPr>
          <w:rFonts w:hint="eastAsia" w:hAnsi="宋体"/>
          <w:color w:val="auto"/>
          <w:highlight w:val="none"/>
        </w:rPr>
      </w:pPr>
    </w:p>
    <w:p>
      <w:pPr>
        <w:spacing w:line="360" w:lineRule="auto"/>
        <w:ind w:firstLine="420" w:firstLineChars="200"/>
        <w:rPr>
          <w:rFonts w:hint="eastAsia" w:hAnsi="宋体"/>
          <w:color w:val="auto"/>
          <w:highlight w:val="none"/>
        </w:rPr>
      </w:pPr>
    </w:p>
    <w:p>
      <w:pPr>
        <w:pStyle w:val="4"/>
        <w:spacing w:before="0" w:after="0"/>
        <w:jc w:val="center"/>
        <w:rPr>
          <w:rFonts w:hint="eastAsia"/>
          <w:b w:val="0"/>
          <w:color w:val="auto"/>
          <w:sz w:val="30"/>
          <w:szCs w:val="30"/>
          <w:highlight w:val="none"/>
        </w:rPr>
      </w:pPr>
      <w:bookmarkStart w:id="180" w:name="_Toc80093006"/>
      <w:r>
        <w:rPr>
          <w:rFonts w:hint="eastAsia"/>
          <w:b w:val="0"/>
          <w:color w:val="auto"/>
          <w:sz w:val="30"/>
          <w:szCs w:val="30"/>
          <w:highlight w:val="none"/>
        </w:rPr>
        <w:br w:type="page"/>
      </w:r>
      <w:bookmarkStart w:id="181" w:name="_Toc21223"/>
      <w:bookmarkStart w:id="182" w:name="_Toc20031"/>
      <w:bookmarkStart w:id="183" w:name="_Toc1851"/>
      <w:r>
        <w:rPr>
          <w:rFonts w:hint="eastAsia"/>
          <w:b w:val="0"/>
          <w:color w:val="auto"/>
          <w:sz w:val="30"/>
          <w:szCs w:val="30"/>
          <w:highlight w:val="none"/>
        </w:rPr>
        <w:t>第三节 评分标准</w:t>
      </w:r>
      <w:bookmarkEnd w:id="180"/>
      <w:bookmarkEnd w:id="181"/>
      <w:bookmarkEnd w:id="182"/>
      <w:bookmarkEnd w:id="183"/>
    </w:p>
    <w:p>
      <w:pPr>
        <w:pStyle w:val="21"/>
        <w:jc w:val="center"/>
        <w:rPr>
          <w:rFonts w:ascii="Times New Roman" w:hAnsi="Times New Roman"/>
          <w:b/>
          <w:color w:val="auto"/>
          <w:sz w:val="28"/>
          <w:szCs w:val="28"/>
          <w:highlight w:val="none"/>
        </w:rPr>
      </w:pPr>
      <w:r>
        <w:rPr>
          <w:rFonts w:hint="eastAsia" w:hAnsi="宋体"/>
          <w:b/>
          <w:color w:val="auto"/>
          <w:sz w:val="28"/>
          <w:szCs w:val="28"/>
          <w:highlight w:val="none"/>
        </w:rPr>
        <w:t>综合评分法</w:t>
      </w:r>
    </w:p>
    <w:p>
      <w:pPr>
        <w:spacing w:line="460" w:lineRule="atLeast"/>
        <w:ind w:firstLine="420" w:firstLineChars="200"/>
        <w:rPr>
          <w:rFonts w:hint="eastAsia" w:ascii="宋体" w:hAnsi="宋体"/>
          <w:color w:val="auto"/>
          <w:szCs w:val="21"/>
          <w:highlight w:val="none"/>
        </w:rPr>
      </w:pPr>
      <w:r>
        <w:rPr>
          <w:rFonts w:hint="eastAsia" w:ascii="宋体" w:hAnsi="宋体"/>
          <w:color w:val="auto"/>
          <w:highlight w:val="none"/>
        </w:rPr>
        <w:t xml:space="preserve">评标委员会以招标文件为依据，对投标文件进行评审，对投标人的投标报价、技术文件及商务文件等三部分内容打分。      </w:t>
      </w:r>
    </w:p>
    <w:p>
      <w:pPr>
        <w:spacing w:line="460" w:lineRule="atLeast"/>
        <w:ind w:firstLine="420" w:firstLineChars="200"/>
        <w:rPr>
          <w:rFonts w:hint="eastAsia" w:ascii="宋体" w:hAnsi="宋体"/>
          <w:color w:val="auto"/>
          <w:highlight w:val="none"/>
        </w:rPr>
      </w:pPr>
      <w:r>
        <w:rPr>
          <w:rFonts w:hint="eastAsia" w:ascii="宋体" w:hAnsi="宋体"/>
          <w:color w:val="auto"/>
          <w:highlight w:val="none"/>
        </w:rPr>
        <w:t>评分细则：综合评分法（按四舍五入取至百分位）</w:t>
      </w:r>
    </w:p>
    <w:tbl>
      <w:tblPr>
        <w:tblStyle w:val="38"/>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949"/>
        <w:gridCol w:w="1119"/>
        <w:gridCol w:w="7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61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
                <w:color w:val="auto"/>
                <w:kern w:val="0"/>
                <w:szCs w:val="21"/>
                <w:highlight w:val="none"/>
              </w:rPr>
            </w:pPr>
            <w:bookmarkStart w:id="184" w:name="_Toc80093007"/>
            <w:r>
              <w:rPr>
                <w:rFonts w:hint="eastAsia" w:ascii="宋体" w:hAnsi="宋体" w:cs="宋体"/>
                <w:b/>
                <w:color w:val="auto"/>
                <w:szCs w:val="21"/>
                <w:highlight w:val="none"/>
              </w:rPr>
              <w:t>序号</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评分类型</w:t>
            </w:r>
          </w:p>
        </w:tc>
        <w:tc>
          <w:tcPr>
            <w:tcW w:w="7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价格分</w:t>
            </w:r>
          </w:p>
          <w:p>
            <w:pPr>
              <w:adjustRightInd w:val="0"/>
              <w:snapToGrid w:val="0"/>
              <w:spacing w:line="300" w:lineRule="auto"/>
              <w:jc w:val="center"/>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（满分20分）</w:t>
            </w:r>
          </w:p>
        </w:tc>
        <w:tc>
          <w:tcPr>
            <w:tcW w:w="1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投标报价</w:t>
            </w:r>
          </w:p>
        </w:tc>
        <w:tc>
          <w:tcPr>
            <w:tcW w:w="74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bCs/>
                <w:color w:val="auto"/>
                <w:spacing w:val="-2"/>
                <w:szCs w:val="21"/>
                <w:highlight w:val="none"/>
              </w:rPr>
            </w:pPr>
            <w:r>
              <w:rPr>
                <w:rFonts w:hint="eastAsia" w:ascii="宋体" w:hAnsi="宋体" w:cs="宋体"/>
                <w:bCs/>
                <w:color w:val="auto"/>
                <w:spacing w:val="-2"/>
                <w:szCs w:val="21"/>
                <w:highlight w:val="none"/>
              </w:rPr>
              <w:t>（1）评标报价为投标人的投标报价，评标报价只是 作为评标时使用。最终中标人的中标金额等于投标报价。</w:t>
            </w:r>
          </w:p>
          <w:p>
            <w:pPr>
              <w:spacing w:line="360" w:lineRule="auto"/>
              <w:rPr>
                <w:rFonts w:hint="eastAsia" w:ascii="宋体" w:hAnsi="宋体" w:cs="宋体"/>
                <w:bCs/>
                <w:color w:val="auto"/>
                <w:spacing w:val="-2"/>
                <w:szCs w:val="21"/>
                <w:highlight w:val="none"/>
              </w:rPr>
            </w:pPr>
            <w:r>
              <w:rPr>
                <w:rFonts w:hint="eastAsia" w:ascii="宋体" w:hAnsi="宋体" w:cs="宋体"/>
                <w:bCs/>
                <w:color w:val="auto"/>
                <w:spacing w:val="-2"/>
                <w:szCs w:val="21"/>
                <w:highlight w:val="none"/>
              </w:rPr>
              <w:t>（2）价格分计算公式：</w:t>
            </w:r>
          </w:p>
          <w:p>
            <w:pPr>
              <w:spacing w:line="360" w:lineRule="auto"/>
              <w:rPr>
                <w:rFonts w:hint="eastAsia" w:ascii="宋体" w:hAnsi="宋体" w:cs="宋体"/>
                <w:bCs/>
                <w:color w:val="auto"/>
                <w:szCs w:val="21"/>
                <w:highlight w:val="none"/>
              </w:rPr>
            </w:pPr>
            <w:r>
              <w:rPr>
                <w:rFonts w:hint="eastAsia" w:ascii="宋体" w:hAnsi="宋体" w:cs="宋体"/>
                <w:bCs/>
                <w:color w:val="auto"/>
                <w:spacing w:val="-2"/>
                <w:szCs w:val="21"/>
                <w:highlight w:val="none"/>
              </w:rPr>
              <w:t>价格分=（1-投标人最大价格优惠率报价）／（1-某投标人价格优惠率报价）×20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w:t>
            </w:r>
          </w:p>
        </w:tc>
        <w:tc>
          <w:tcPr>
            <w:tcW w:w="94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Cs/>
                <w:color w:val="auto"/>
                <w:highlight w:val="none"/>
              </w:rPr>
            </w:pPr>
            <w:r>
              <w:rPr>
                <w:rFonts w:hint="eastAsia" w:ascii="宋体" w:hAnsi="宋体" w:cs="宋体"/>
                <w:bCs/>
                <w:color w:val="auto"/>
                <w:highlight w:val="none"/>
              </w:rPr>
              <w:t>技术分</w:t>
            </w:r>
          </w:p>
          <w:p>
            <w:pPr>
              <w:adjustRightInd w:val="0"/>
              <w:snapToGrid w:val="0"/>
              <w:spacing w:line="300" w:lineRule="auto"/>
              <w:jc w:val="center"/>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（满分65分）</w:t>
            </w:r>
          </w:p>
          <w:p>
            <w:pPr>
              <w:adjustRightInd w:val="0"/>
              <w:snapToGrid w:val="0"/>
              <w:spacing w:line="300" w:lineRule="auto"/>
              <w:ind w:left="-105" w:leftChars="-50" w:right="-105" w:rightChars="-50"/>
              <w:jc w:val="center"/>
              <w:textAlignment w:val="baseline"/>
              <w:rPr>
                <w:rFonts w:hint="eastAsia" w:ascii="宋体" w:hAnsi="宋体" w:cs="宋体"/>
                <w:bCs/>
                <w:color w:val="auto"/>
                <w:spacing w:val="-18"/>
                <w:szCs w:val="21"/>
                <w:highlight w:val="none"/>
              </w:rPr>
            </w:pPr>
          </w:p>
        </w:tc>
        <w:tc>
          <w:tcPr>
            <w:tcW w:w="111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项目现状、需求 及问题分析方</w:t>
            </w:r>
          </w:p>
          <w:p>
            <w:pPr>
              <w:snapToGrid w:val="0"/>
              <w:spacing w:line="300" w:lineRule="auto"/>
              <w:jc w:val="center"/>
              <w:rPr>
                <w:rFonts w:hint="eastAsia" w:ascii="宋体" w:hAnsi="宋体" w:cs="宋体"/>
                <w:bCs/>
                <w:color w:val="auto"/>
                <w:szCs w:val="21"/>
                <w:highlight w:val="none"/>
              </w:rPr>
            </w:pPr>
            <w:r>
              <w:rPr>
                <w:rFonts w:hint="eastAsia" w:ascii="宋体" w:hAnsi="宋体" w:cs="宋体"/>
                <w:color w:val="auto"/>
                <w:szCs w:val="21"/>
                <w:highlight w:val="none"/>
              </w:rPr>
              <w:t>案（满分 15 分）</w:t>
            </w:r>
          </w:p>
        </w:tc>
        <w:tc>
          <w:tcPr>
            <w:tcW w:w="7473" w:type="dxa"/>
            <w:tcBorders>
              <w:top w:val="single" w:color="auto" w:sz="4" w:space="0"/>
              <w:left w:val="single" w:color="auto" w:sz="4" w:space="0"/>
              <w:bottom w:val="single" w:color="auto" w:sz="4" w:space="0"/>
              <w:right w:val="single" w:color="auto" w:sz="4" w:space="0"/>
            </w:tcBorders>
            <w:vAlign w:val="center"/>
          </w:tcPr>
          <w:p>
            <w:pPr>
              <w:pStyle w:val="21"/>
              <w:snapToGrid w:val="0"/>
              <w:spacing w:line="300" w:lineRule="auto"/>
              <w:rPr>
                <w:rFonts w:hint="eastAsia" w:hAnsi="宋体" w:cs="宋体"/>
                <w:bCs/>
                <w:color w:val="auto"/>
                <w:spacing w:val="-2"/>
                <w:szCs w:val="21"/>
                <w:highlight w:val="none"/>
              </w:rPr>
            </w:pPr>
            <w:r>
              <w:rPr>
                <w:rFonts w:hint="eastAsia" w:hAnsi="宋体" w:cs="宋体"/>
                <w:bCs/>
                <w:color w:val="auto"/>
                <w:spacing w:val="-2"/>
                <w:szCs w:val="21"/>
                <w:highlight w:val="none"/>
              </w:rPr>
              <w:t>由评委根据各投标人方案中对项目现状、需求、问题分析内容进行综合评价，并独立打分。（没有相关内容，或不符合最低入档条件的按不入档处理并计0分）</w:t>
            </w:r>
          </w:p>
          <w:p>
            <w:pPr>
              <w:pStyle w:val="21"/>
              <w:snapToGrid w:val="0"/>
              <w:spacing w:line="300" w:lineRule="auto"/>
              <w:rPr>
                <w:rFonts w:hint="eastAsia" w:hAnsi="宋体" w:cs="宋体"/>
                <w:bCs/>
                <w:color w:val="auto"/>
                <w:spacing w:val="-2"/>
                <w:szCs w:val="21"/>
                <w:highlight w:val="none"/>
              </w:rPr>
            </w:pPr>
            <w:r>
              <w:rPr>
                <w:rFonts w:hint="eastAsia" w:hAnsi="宋体" w:cs="宋体"/>
                <w:bCs/>
                <w:color w:val="auto"/>
                <w:spacing w:val="-2"/>
                <w:szCs w:val="21"/>
                <w:highlight w:val="none"/>
              </w:rPr>
              <w:t>一档（5分）：方案基本完整，对用户现状及需求理解基本符合要求。</w:t>
            </w:r>
          </w:p>
          <w:p>
            <w:pPr>
              <w:pStyle w:val="21"/>
              <w:snapToGrid w:val="0"/>
              <w:spacing w:line="300" w:lineRule="auto"/>
              <w:rPr>
                <w:rFonts w:hint="eastAsia" w:hAnsi="宋体" w:cs="宋体"/>
                <w:bCs/>
                <w:color w:val="auto"/>
                <w:spacing w:val="-2"/>
                <w:szCs w:val="21"/>
                <w:highlight w:val="none"/>
              </w:rPr>
            </w:pPr>
            <w:r>
              <w:rPr>
                <w:rFonts w:hint="eastAsia" w:hAnsi="宋体" w:cs="宋体"/>
                <w:bCs/>
                <w:color w:val="auto"/>
                <w:spacing w:val="-2"/>
                <w:szCs w:val="21"/>
                <w:highlight w:val="none"/>
              </w:rPr>
              <w:t>二档（10分）：方案比较完整清晰，对用户现状及需求、问题理解较充分。</w:t>
            </w:r>
          </w:p>
          <w:p>
            <w:pPr>
              <w:pStyle w:val="21"/>
              <w:snapToGrid w:val="0"/>
              <w:spacing w:line="300" w:lineRule="auto"/>
              <w:rPr>
                <w:rFonts w:hint="eastAsia" w:hAnsi="宋体" w:cs="宋体"/>
                <w:bCs/>
                <w:color w:val="auto"/>
                <w:szCs w:val="21"/>
                <w:highlight w:val="none"/>
              </w:rPr>
            </w:pPr>
            <w:r>
              <w:rPr>
                <w:rFonts w:hint="eastAsia" w:hAnsi="宋体" w:cs="宋体"/>
                <w:bCs/>
                <w:color w:val="auto"/>
                <w:spacing w:val="-2"/>
                <w:szCs w:val="21"/>
                <w:highlight w:val="none"/>
              </w:rPr>
              <w:t>三档（15分） ：方案完整清晰，透彻理解用户现状及需求，抓住用户问题重点、分析到位。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宋体" w:hAnsi="宋体" w:cs="宋体"/>
                <w:bCs/>
                <w:color w:val="auto"/>
                <w:szCs w:val="21"/>
                <w:highlight w:val="none"/>
              </w:rPr>
            </w:pPr>
          </w:p>
        </w:tc>
        <w:tc>
          <w:tcPr>
            <w:tcW w:w="94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宋体" w:hAnsi="宋体" w:cs="宋体"/>
                <w:bCs/>
                <w:color w:val="auto"/>
                <w:spacing w:val="-18"/>
                <w:szCs w:val="21"/>
                <w:highlight w:val="none"/>
              </w:rPr>
            </w:pPr>
          </w:p>
        </w:tc>
        <w:tc>
          <w:tcPr>
            <w:tcW w:w="111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spacing w:line="300" w:lineRule="auto"/>
              <w:jc w:val="center"/>
              <w:rPr>
                <w:rFonts w:hint="eastAsia" w:ascii="宋体" w:hAnsi="宋体" w:cs="宋体"/>
                <w:bCs/>
                <w:color w:val="auto"/>
                <w:szCs w:val="21"/>
                <w:highlight w:val="none"/>
              </w:rPr>
            </w:pPr>
            <w:r>
              <w:rPr>
                <w:rFonts w:hint="eastAsia" w:ascii="宋体" w:hAnsi="宋体" w:cs="宋体"/>
                <w:bCs/>
                <w:color w:val="auto"/>
                <w:highlight w:val="none"/>
              </w:rPr>
              <w:t>项目实施方案分（23分）</w:t>
            </w:r>
          </w:p>
        </w:tc>
        <w:tc>
          <w:tcPr>
            <w:tcW w:w="7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textAlignment w:val="baseline"/>
              <w:rPr>
                <w:rFonts w:hint="eastAsia" w:ascii="宋体" w:hAnsi="宋体" w:cs="宋体"/>
                <w:color w:val="auto"/>
                <w:szCs w:val="20"/>
                <w:highlight w:val="none"/>
              </w:rPr>
            </w:pPr>
            <w:r>
              <w:rPr>
                <w:rFonts w:hint="eastAsia" w:ascii="宋体" w:hAnsi="宋体" w:cs="宋体"/>
                <w:color w:val="auto"/>
                <w:szCs w:val="20"/>
                <w:highlight w:val="none"/>
              </w:rPr>
              <w:t>一档（8分）：投标人的项目实施方案进度安排、相关保障措施能力、对各项关键工作安排、对本项目的风险预见、风险应对措施、项目管理方案、组织机构安排及分工与职责安排等描述单一，各投标人横向比对无优势。</w:t>
            </w:r>
          </w:p>
          <w:p>
            <w:pPr>
              <w:adjustRightInd w:val="0"/>
              <w:snapToGrid w:val="0"/>
              <w:spacing w:line="300" w:lineRule="auto"/>
              <w:textAlignment w:val="baseline"/>
              <w:rPr>
                <w:rFonts w:hint="eastAsia" w:ascii="宋体" w:hAnsi="宋体" w:cs="宋体"/>
                <w:color w:val="auto"/>
                <w:szCs w:val="20"/>
                <w:highlight w:val="none"/>
              </w:rPr>
            </w:pPr>
            <w:r>
              <w:rPr>
                <w:rFonts w:hint="eastAsia" w:ascii="宋体" w:hAnsi="宋体" w:cs="宋体"/>
                <w:color w:val="auto"/>
                <w:szCs w:val="20"/>
                <w:highlight w:val="none"/>
              </w:rPr>
              <w:t>二档（15分）：投标人的项目实施方案进度安排合理较好，且有相关保障措施；对各项关键工作安排较合理；对本项目的风险预见、风险应对措施较好；项目管理方案比较完整,组织机构比较合理，人员及专业配备有保障，分工与职责比较明确，质量保障措施较完善、可行，安全保障措施较合理，具有一定的针对性，工期进度安排合理，符合项目实际需求。在与其他投标人的横向比对中较为优秀。</w:t>
            </w:r>
          </w:p>
          <w:p>
            <w:pPr>
              <w:adjustRightInd w:val="0"/>
              <w:snapToGrid w:val="0"/>
              <w:spacing w:line="300" w:lineRule="auto"/>
              <w:textAlignment w:val="baseline"/>
              <w:rPr>
                <w:rFonts w:hint="eastAsia" w:ascii="宋体" w:hAnsi="宋体" w:eastAsia="宋体" w:cs="宋体"/>
                <w:bCs/>
                <w:color w:val="auto"/>
                <w:spacing w:val="-2"/>
                <w:szCs w:val="21"/>
                <w:highlight w:val="none"/>
                <w:lang w:eastAsia="zh-CN"/>
              </w:rPr>
            </w:pPr>
            <w:r>
              <w:rPr>
                <w:rFonts w:hint="eastAsia" w:ascii="宋体" w:hAnsi="宋体" w:cs="宋体"/>
                <w:color w:val="auto"/>
                <w:szCs w:val="20"/>
                <w:highlight w:val="none"/>
              </w:rPr>
              <w:t>三档（23分）：投标人的项目实施方案进度安排合理，且相关保障措施到位；对各项关键工作安排合理；对本项目的风险预见、风险应对措施完备，有完善的项目于解决方案；项目管理方案完整,组织机构合理，人员及专业配备有保障，分工与职责明确；质量保障措施较完善、可行，安全保障措施较合理，具有一定的针对性，工期进度安排合理，符合项目实际需求，项目方案贴近本项目实际执行内容与要求，横向比对中最为详细、贴切且完整</w:t>
            </w:r>
            <w:r>
              <w:rPr>
                <w:rFonts w:hint="eastAsia" w:ascii="宋体" w:hAnsi="宋体" w:cs="宋体"/>
                <w:color w:val="auto"/>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宋体" w:hAnsi="宋体" w:cs="宋体"/>
                <w:bCs/>
                <w:color w:val="auto"/>
                <w:szCs w:val="21"/>
                <w:highlight w:val="none"/>
              </w:rPr>
            </w:pPr>
          </w:p>
        </w:tc>
        <w:tc>
          <w:tcPr>
            <w:tcW w:w="94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宋体" w:hAnsi="宋体" w:cs="宋体"/>
                <w:bCs/>
                <w:color w:val="auto"/>
                <w:spacing w:val="-18"/>
                <w:szCs w:val="21"/>
                <w:highlight w:val="none"/>
              </w:rPr>
            </w:pPr>
          </w:p>
        </w:tc>
        <w:tc>
          <w:tcPr>
            <w:tcW w:w="111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spacing w:line="300" w:lineRule="auto"/>
              <w:jc w:val="center"/>
              <w:rPr>
                <w:rFonts w:hint="eastAsia" w:ascii="宋体" w:hAnsi="宋体" w:cs="宋体"/>
                <w:bCs/>
                <w:color w:val="auto"/>
                <w:szCs w:val="21"/>
                <w:highlight w:val="none"/>
              </w:rPr>
            </w:pPr>
            <w:r>
              <w:rPr>
                <w:rFonts w:hint="eastAsia" w:ascii="宋体" w:hAnsi="宋体" w:cs="宋体"/>
                <w:bCs/>
                <w:color w:val="auto"/>
                <w:szCs w:val="21"/>
                <w:highlight w:val="none"/>
              </w:rPr>
              <w:t>服务承诺分（15分）</w:t>
            </w:r>
          </w:p>
        </w:tc>
        <w:tc>
          <w:tcPr>
            <w:tcW w:w="7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评标委员会根据各投标人提供的针对本项目的服务承诺（技术支持、响应时间、后续服务等）进行综合评价，并进行独立打分。（没有相关内容，或不符合最低入档条件的按不入档处理并计 0 分）</w:t>
            </w:r>
          </w:p>
          <w:p>
            <w:pPr>
              <w:adjustRightInd w:val="0"/>
              <w:snapToGrid w:val="0"/>
              <w:spacing w:line="30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一档（5分）：仅满足招标文件最低要求；</w:t>
            </w:r>
          </w:p>
          <w:p>
            <w:pPr>
              <w:adjustRightInd w:val="0"/>
              <w:snapToGrid w:val="0"/>
              <w:spacing w:line="30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二档（10分）：服务承诺良好，完全满足招标文件要求，并提供有简单的保证措施及应急预案措施，提供质 保期内响应服务的联系人和联系电话等方面的情况。售后服务明确响应时间、达到现场时间及一般问题排除时间。</w:t>
            </w:r>
          </w:p>
          <w:p>
            <w:pPr>
              <w:adjustRightInd w:val="0"/>
              <w:snapToGrid w:val="0"/>
              <w:spacing w:line="30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三档（15分）：服务承诺详细，表达充分，完全满足招标文件要求，并提供有详细的保证措施及应急预案措施，提供质保期内响应服务的联系人和联系电话等方 面的情况。售后服务明确响应时间、达到现场时间及一般问题排除时间且提供免费保修期外维修或服务方案其他应急预案优于招标文件要求等其他优惠条件的。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宋体" w:hAnsi="宋体" w:cs="宋体"/>
                <w:bCs/>
                <w:color w:val="auto"/>
                <w:szCs w:val="21"/>
                <w:highlight w:val="none"/>
              </w:rPr>
            </w:pPr>
          </w:p>
        </w:tc>
        <w:tc>
          <w:tcPr>
            <w:tcW w:w="94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宋体" w:hAnsi="宋体" w:cs="宋体"/>
                <w:bCs/>
                <w:color w:val="auto"/>
                <w:spacing w:val="-18"/>
                <w:szCs w:val="21"/>
                <w:highlight w:val="none"/>
              </w:rPr>
            </w:pPr>
          </w:p>
        </w:tc>
        <w:tc>
          <w:tcPr>
            <w:tcW w:w="111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spacing w:line="300" w:lineRule="auto"/>
              <w:jc w:val="center"/>
              <w:rPr>
                <w:rFonts w:ascii="宋体" w:hAnsi="宋体" w:cs="宋体"/>
                <w:bCs/>
                <w:color w:val="auto"/>
                <w:szCs w:val="21"/>
                <w:highlight w:val="none"/>
              </w:rPr>
            </w:pPr>
            <w:r>
              <w:rPr>
                <w:rFonts w:hint="eastAsia" w:ascii="宋体" w:hAnsi="宋体" w:cs="宋体"/>
                <w:bCs/>
                <w:color w:val="auto"/>
                <w:szCs w:val="21"/>
                <w:highlight w:val="none"/>
              </w:rPr>
              <w:t>人员配置分（12分）</w:t>
            </w:r>
          </w:p>
        </w:tc>
        <w:tc>
          <w:tcPr>
            <w:tcW w:w="7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一档（4分）：拟投入本项目的班子人员仅满足采购需求的基本要求，各岗位专业配套基本齐全，具备相关岗位证书，具有相应岗位资格证书；</w:t>
            </w:r>
          </w:p>
          <w:p>
            <w:pPr>
              <w:adjustRightInd w:val="0"/>
              <w:snapToGrid w:val="0"/>
              <w:spacing w:line="30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二档（8 分）：拟投入本项目的班子人员齐备、各岗位专业配套齐全，具备相关岗位证书，具有相应岗位资格证书，班子人员达 6 人，且中级职称人员达 2 人；</w:t>
            </w:r>
          </w:p>
          <w:p>
            <w:pPr>
              <w:adjustRightInd w:val="0"/>
              <w:snapToGrid w:val="0"/>
              <w:spacing w:line="30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三档（12分）：拟投入本项目的班子人员齐备、各岗位专业配套齐全，具备相关岗位证书，具有相应岗位资格证书，班子人员达 8 人（含）以上，且中级职称人员达 4 人。</w:t>
            </w:r>
          </w:p>
          <w:p>
            <w:pPr>
              <w:adjustRightInd w:val="0"/>
              <w:snapToGrid w:val="0"/>
              <w:spacing w:line="300" w:lineRule="auto"/>
              <w:jc w:val="left"/>
              <w:rPr>
                <w:rFonts w:hint="eastAsia" w:ascii="宋体" w:hAnsi="宋体" w:cs="宋体"/>
                <w:bCs/>
                <w:color w:val="auto"/>
                <w:szCs w:val="21"/>
                <w:highlight w:val="none"/>
              </w:rPr>
            </w:pPr>
            <w:r>
              <w:rPr>
                <w:rFonts w:hint="eastAsia" w:ascii="宋体" w:hAnsi="宋体" w:cs="宋体"/>
                <w:bCs/>
                <w:color w:val="auto"/>
                <w:szCs w:val="21"/>
                <w:highlight w:val="none"/>
              </w:rPr>
              <w:t>注：投标人未提供或提供的内容不符合采购需求的，在一档计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商务分（满分15分）</w:t>
            </w:r>
          </w:p>
        </w:tc>
        <w:tc>
          <w:tcPr>
            <w:tcW w:w="1119" w:type="dxa"/>
            <w:tcBorders>
              <w:top w:val="single" w:color="auto" w:sz="4" w:space="0"/>
              <w:left w:val="single" w:color="auto" w:sz="4" w:space="0"/>
              <w:right w:val="single" w:color="auto" w:sz="4" w:space="0"/>
            </w:tcBorders>
            <w:vAlign w:val="center"/>
          </w:tcPr>
          <w:p>
            <w:pPr>
              <w:adjustRightInd w:val="0"/>
              <w:snapToGrid w:val="0"/>
              <w:spacing w:line="300" w:lineRule="auto"/>
              <w:jc w:val="center"/>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业绩分（15分）</w:t>
            </w:r>
          </w:p>
        </w:tc>
        <w:tc>
          <w:tcPr>
            <w:tcW w:w="7473" w:type="dxa"/>
            <w:tcBorders>
              <w:top w:val="single" w:color="auto" w:sz="4" w:space="0"/>
              <w:left w:val="single" w:color="auto" w:sz="4" w:space="0"/>
              <w:bottom w:val="single" w:color="auto" w:sz="4" w:space="0"/>
              <w:right w:val="single" w:color="auto" w:sz="4" w:space="0"/>
            </w:tcBorders>
            <w:vAlign w:val="center"/>
          </w:tcPr>
          <w:p>
            <w:pPr>
              <w:pStyle w:val="21"/>
              <w:snapToGrid w:val="0"/>
              <w:spacing w:line="300" w:lineRule="auto"/>
              <w:jc w:val="left"/>
              <w:rPr>
                <w:rFonts w:hint="eastAsia"/>
                <w:color w:val="auto"/>
                <w:szCs w:val="21"/>
                <w:highlight w:val="none"/>
              </w:rPr>
            </w:pPr>
            <w:r>
              <w:rPr>
                <w:rFonts w:hint="eastAsia"/>
                <w:color w:val="auto"/>
                <w:szCs w:val="21"/>
                <w:highlight w:val="none"/>
              </w:rPr>
              <w:t>投标人 2018 年1月1日以来完成过类似项目，每提供一个得3分，满分 15 分。</w:t>
            </w:r>
          </w:p>
          <w:p>
            <w:pPr>
              <w:pStyle w:val="21"/>
              <w:snapToGrid w:val="0"/>
              <w:spacing w:line="300" w:lineRule="auto"/>
              <w:jc w:val="left"/>
              <w:rPr>
                <w:rFonts w:hint="eastAsia" w:hAnsi="宋体" w:cs="宋体"/>
                <w:bCs/>
                <w:color w:val="auto"/>
                <w:szCs w:val="21"/>
                <w:highlight w:val="none"/>
              </w:rPr>
            </w:pPr>
            <w:r>
              <w:rPr>
                <w:rFonts w:hint="eastAsia"/>
                <w:color w:val="auto"/>
                <w:szCs w:val="21"/>
                <w:highlight w:val="none"/>
              </w:rPr>
              <w:t>（提供加盖公章的合同、中标（成交）通知书复印件 及竣工验收意见书或项目已完成证明，合同内容能清晰反映服务名称、种类；同一个项目不重复计分</w:t>
            </w:r>
            <w:r>
              <w:rPr>
                <w:rFonts w:hint="eastAsia"/>
                <w:color w:val="auto"/>
                <w:szCs w:val="21"/>
                <w:highlight w:val="none"/>
                <w:lang w:eastAsia="zh-CN"/>
              </w:rPr>
              <w:t>）</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20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hint="eastAsia" w:ascii="宋体" w:hAnsi="宋体" w:cs="宋体"/>
                <w:bCs/>
                <w:color w:val="auto"/>
                <w:szCs w:val="20"/>
                <w:highlight w:val="none"/>
              </w:rPr>
            </w:pPr>
            <w:r>
              <w:rPr>
                <w:rFonts w:hint="eastAsia" w:ascii="宋体" w:hAnsi="宋体" w:cs="宋体"/>
                <w:b/>
                <w:color w:val="auto"/>
                <w:szCs w:val="20"/>
                <w:highlight w:val="none"/>
              </w:rPr>
              <w:t>总得分=1+2+3                                                         总分值：100分</w:t>
            </w:r>
          </w:p>
        </w:tc>
      </w:tr>
    </w:tbl>
    <w:p>
      <w:pPr>
        <w:spacing w:before="120" w:line="320" w:lineRule="atLeast"/>
        <w:ind w:firstLine="420" w:firstLineChars="200"/>
        <w:rPr>
          <w:rFonts w:hint="eastAsia"/>
          <w:color w:val="auto"/>
          <w:highlight w:val="none"/>
        </w:rPr>
      </w:pPr>
    </w:p>
    <w:p>
      <w:pPr>
        <w:pStyle w:val="4"/>
        <w:jc w:val="center"/>
        <w:rPr>
          <w:rFonts w:hint="eastAsia"/>
          <w:b w:val="0"/>
          <w:color w:val="auto"/>
          <w:sz w:val="30"/>
          <w:szCs w:val="30"/>
          <w:highlight w:val="none"/>
        </w:rPr>
      </w:pPr>
      <w:r>
        <w:rPr>
          <w:rFonts w:hint="eastAsia"/>
          <w:b w:val="0"/>
          <w:color w:val="auto"/>
          <w:sz w:val="30"/>
          <w:szCs w:val="30"/>
          <w:highlight w:val="none"/>
        </w:rPr>
        <w:br w:type="page"/>
      </w:r>
      <w:bookmarkStart w:id="185" w:name="_Toc27124"/>
      <w:bookmarkStart w:id="186" w:name="_Toc361"/>
      <w:bookmarkStart w:id="187" w:name="_Toc28406"/>
      <w:r>
        <w:rPr>
          <w:rFonts w:hint="eastAsia"/>
          <w:b w:val="0"/>
          <w:color w:val="auto"/>
          <w:sz w:val="30"/>
          <w:szCs w:val="30"/>
          <w:highlight w:val="none"/>
        </w:rPr>
        <w:t>第四节 中标候选人推荐原则</w:t>
      </w:r>
      <w:bookmarkEnd w:id="184"/>
      <w:bookmarkEnd w:id="185"/>
      <w:bookmarkEnd w:id="186"/>
      <w:bookmarkEnd w:id="187"/>
    </w:p>
    <w:p>
      <w:pPr>
        <w:pStyle w:val="21"/>
        <w:numPr>
          <w:ilvl w:val="0"/>
          <w:numId w:val="2"/>
        </w:numPr>
        <w:spacing w:line="360" w:lineRule="auto"/>
        <w:contextualSpacing/>
        <w:rPr>
          <w:rFonts w:hint="eastAsia" w:hAnsi="宋体"/>
          <w:b/>
          <w:bCs/>
          <w:color w:val="auto"/>
          <w:sz w:val="24"/>
          <w:szCs w:val="24"/>
          <w:highlight w:val="none"/>
        </w:rPr>
      </w:pPr>
      <w:r>
        <w:rPr>
          <w:rFonts w:hint="eastAsia" w:hAnsi="宋体"/>
          <w:b/>
          <w:bCs/>
          <w:color w:val="auto"/>
          <w:sz w:val="24"/>
          <w:szCs w:val="24"/>
          <w:highlight w:val="none"/>
        </w:rPr>
        <w:t>综合评分法</w:t>
      </w:r>
    </w:p>
    <w:p>
      <w:pPr>
        <w:pStyle w:val="21"/>
        <w:spacing w:line="360" w:lineRule="auto"/>
        <w:ind w:firstLine="420" w:firstLineChars="200"/>
        <w:contextualSpacing/>
        <w:rPr>
          <w:rFonts w:hint="eastAsia" w:hAnsi="宋体"/>
          <w:color w:val="auto"/>
          <w:highlight w:val="none"/>
        </w:rPr>
      </w:pPr>
      <w:r>
        <w:rPr>
          <w:rFonts w:hint="eastAsia" w:hAnsi="宋体"/>
          <w:color w:val="auto"/>
          <w:highlight w:val="none"/>
        </w:rPr>
        <w:t>评标委员会将根据总得分由高到低排列次序并推荐中标候选人。总得分相同的按照技术评审得分最高的投标人为排名第一的中标候选人。</w:t>
      </w:r>
    </w:p>
    <w:p>
      <w:pPr>
        <w:pStyle w:val="21"/>
        <w:spacing w:line="360" w:lineRule="auto"/>
        <w:ind w:firstLine="482" w:firstLineChars="200"/>
        <w:contextualSpacing/>
        <w:rPr>
          <w:rFonts w:hint="eastAsia" w:hAnsi="宋体"/>
          <w:color w:val="auto"/>
          <w:highlight w:val="none"/>
        </w:rPr>
      </w:pPr>
      <w:r>
        <w:rPr>
          <w:rFonts w:hint="eastAsia" w:hAnsi="宋体"/>
          <w:b/>
          <w:bCs/>
          <w:color w:val="auto"/>
          <w:sz w:val="24"/>
          <w:szCs w:val="24"/>
          <w:highlight w:val="none"/>
        </w:rPr>
        <w:t>（二）最低评标报价法</w:t>
      </w:r>
    </w:p>
    <w:p>
      <w:pPr>
        <w:pStyle w:val="21"/>
        <w:tabs>
          <w:tab w:val="left" w:pos="2472"/>
        </w:tabs>
        <w:spacing w:line="480" w:lineRule="exact"/>
        <w:ind w:firstLine="420" w:firstLineChars="200"/>
        <w:rPr>
          <w:rFonts w:hint="eastAsia"/>
          <w:color w:val="auto"/>
          <w:highlight w:val="none"/>
        </w:rPr>
      </w:pPr>
      <w:r>
        <w:rPr>
          <w:rFonts w:hint="eastAsia" w:hAnsi="宋体"/>
          <w:color w:val="auto"/>
          <w:highlight w:val="none"/>
        </w:rPr>
        <w:t>评标委员会将按照有效报价从低到高排序并推荐中标候选人。</w:t>
      </w:r>
      <w:r>
        <w:rPr>
          <w:rFonts w:hint="eastAsia"/>
          <w:color w:val="auto"/>
          <w:highlight w:val="none"/>
        </w:rPr>
        <w:t>投标报价相同的并列，投标文件满足招标文件全部实质性要求且投标报价最低的投标人为排名第一的中标候选人；评标价相同且前述指标均相同时，由评标委员会各成员对评标价相同的供应商，当场投票表决，得票多者优先，并依照次序确定</w:t>
      </w:r>
      <w:r>
        <w:rPr>
          <w:color w:val="auto"/>
          <w:highlight w:val="none"/>
        </w:rPr>
        <w:t>1</w:t>
      </w:r>
      <w:r>
        <w:rPr>
          <w:rFonts w:hint="eastAsia"/>
          <w:color w:val="auto"/>
          <w:highlight w:val="none"/>
        </w:rPr>
        <w:t>家中标供应商。</w:t>
      </w:r>
    </w:p>
    <w:p>
      <w:pPr>
        <w:pStyle w:val="4"/>
        <w:spacing w:before="0" w:after="0" w:line="360" w:lineRule="auto"/>
        <w:ind w:firstLine="600" w:firstLineChars="200"/>
        <w:jc w:val="center"/>
        <w:rPr>
          <w:rFonts w:hint="eastAsia"/>
          <w:b w:val="0"/>
          <w:color w:val="auto"/>
          <w:sz w:val="30"/>
          <w:szCs w:val="30"/>
          <w:highlight w:val="none"/>
        </w:rPr>
      </w:pPr>
      <w:bookmarkStart w:id="188" w:name="_Toc80093008"/>
      <w:bookmarkStart w:id="189" w:name="_Toc30125"/>
      <w:bookmarkStart w:id="190" w:name="_Toc8075"/>
      <w:bookmarkStart w:id="191" w:name="_Toc14806"/>
      <w:r>
        <w:rPr>
          <w:rFonts w:hint="eastAsia"/>
          <w:b w:val="0"/>
          <w:color w:val="auto"/>
          <w:sz w:val="30"/>
          <w:szCs w:val="30"/>
          <w:highlight w:val="none"/>
        </w:rPr>
        <w:t>第五节 评标报告</w:t>
      </w:r>
      <w:bookmarkEnd w:id="188"/>
      <w:bookmarkEnd w:id="189"/>
      <w:bookmarkEnd w:id="190"/>
      <w:bookmarkEnd w:id="191"/>
    </w:p>
    <w:p>
      <w:pPr>
        <w:pStyle w:val="75"/>
        <w:spacing w:before="0"/>
        <w:ind w:firstLine="482"/>
        <w:rPr>
          <w:rFonts w:hint="eastAsia" w:ascii="宋体" w:hAnsi="宋体"/>
          <w:b/>
          <w:bCs/>
          <w:color w:val="auto"/>
          <w:szCs w:val="24"/>
          <w:highlight w:val="none"/>
        </w:rPr>
      </w:pPr>
      <w:r>
        <w:rPr>
          <w:rFonts w:hint="eastAsia" w:ascii="宋体" w:hAnsi="宋体"/>
          <w:b/>
          <w:bCs/>
          <w:color w:val="auto"/>
          <w:szCs w:val="24"/>
          <w:highlight w:val="none"/>
        </w:rPr>
        <w:t>（一）评标报告与推荐中标候选人</w:t>
      </w:r>
    </w:p>
    <w:p>
      <w:pPr>
        <w:pStyle w:val="21"/>
        <w:tabs>
          <w:tab w:val="left" w:pos="2472"/>
        </w:tabs>
        <w:spacing w:line="360" w:lineRule="auto"/>
        <w:ind w:firstLine="420" w:firstLineChars="200"/>
        <w:rPr>
          <w:rFonts w:hint="eastAsia" w:hAnsi="宋体"/>
          <w:color w:val="auto"/>
          <w:highlight w:val="none"/>
        </w:rPr>
      </w:pPr>
      <w:r>
        <w:rPr>
          <w:rFonts w:hint="eastAsia" w:hAnsi="宋体"/>
          <w:color w:val="auto"/>
          <w:highlight w:val="none"/>
        </w:rPr>
        <w:t>评标委员会根据原始评标记录和评标结果编写评标报告，并通过电子交易平台向采购人、采购代理机构提交。</w:t>
      </w:r>
    </w:p>
    <w:p>
      <w:pPr>
        <w:widowControl/>
        <w:spacing w:line="360" w:lineRule="auto"/>
        <w:ind w:firstLine="482" w:firstLineChars="200"/>
        <w:jc w:val="left"/>
        <w:rPr>
          <w:rFonts w:hint="eastAsia" w:ascii="宋体" w:hAnsi="宋体"/>
          <w:b/>
          <w:bCs/>
          <w:color w:val="auto"/>
          <w:sz w:val="24"/>
          <w:highlight w:val="none"/>
        </w:rPr>
      </w:pPr>
      <w:r>
        <w:rPr>
          <w:rFonts w:hint="eastAsia" w:ascii="宋体" w:hAnsi="宋体"/>
          <w:b/>
          <w:bCs/>
          <w:color w:val="auto"/>
          <w:sz w:val="24"/>
          <w:highlight w:val="none"/>
        </w:rPr>
        <w:t>（二）评标争议事项处理</w:t>
      </w:r>
    </w:p>
    <w:p>
      <w:pPr>
        <w:pStyle w:val="21"/>
        <w:tabs>
          <w:tab w:val="left" w:pos="2472"/>
        </w:tabs>
        <w:spacing w:line="360" w:lineRule="auto"/>
        <w:ind w:firstLine="420" w:firstLineChars="200"/>
        <w:rPr>
          <w:rFonts w:hint="eastAsia" w:hAnsi="宋体"/>
          <w:color w:val="auto"/>
          <w:highlight w:val="none"/>
        </w:rPr>
      </w:pPr>
      <w:r>
        <w:rPr>
          <w:rFonts w:hint="eastAsia" w:hAnsi="宋体"/>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pStyle w:val="21"/>
        <w:tabs>
          <w:tab w:val="left" w:pos="2472"/>
        </w:tabs>
        <w:spacing w:line="460" w:lineRule="exact"/>
        <w:rPr>
          <w:rFonts w:hint="eastAsia" w:ascii="Times New Roman" w:hAnsi="Times New Roman"/>
          <w:b/>
          <w:color w:val="auto"/>
          <w:sz w:val="36"/>
          <w:highlight w:val="none"/>
        </w:rPr>
        <w:sectPr>
          <w:pgSz w:w="11905" w:h="16838"/>
          <w:pgMar w:top="1134" w:right="1134" w:bottom="1134" w:left="1134" w:header="720" w:footer="720" w:gutter="0"/>
          <w:cols w:space="720" w:num="1"/>
          <w:docGrid w:type="lines" w:linePitch="331" w:charSpace="0"/>
        </w:sect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outlineLvl w:val="0"/>
        <w:rPr>
          <w:rFonts w:ascii="Times New Roman" w:hAnsi="Times New Roman"/>
          <w:b/>
          <w:color w:val="auto"/>
          <w:sz w:val="36"/>
          <w:highlight w:val="none"/>
        </w:rPr>
      </w:pPr>
      <w:bookmarkStart w:id="192" w:name="_Toc26290"/>
      <w:bookmarkStart w:id="193" w:name="_Toc22546"/>
      <w:bookmarkStart w:id="194" w:name="_Toc9134"/>
      <w:bookmarkStart w:id="195" w:name="_Toc80093009"/>
      <w:r>
        <w:rPr>
          <w:rFonts w:hint="eastAsia" w:ascii="Times New Roman" w:hAnsi="Times New Roman"/>
          <w:b/>
          <w:color w:val="auto"/>
          <w:sz w:val="36"/>
          <w:highlight w:val="none"/>
        </w:rPr>
        <w:t>第五章 拟签订的合同文本</w:t>
      </w:r>
      <w:bookmarkEnd w:id="192"/>
      <w:bookmarkEnd w:id="193"/>
      <w:bookmarkEnd w:id="194"/>
      <w:bookmarkEnd w:id="195"/>
    </w:p>
    <w:p>
      <w:pPr>
        <w:adjustRightInd w:val="0"/>
        <w:ind w:right="17"/>
        <w:jc w:val="center"/>
        <w:outlineLvl w:val="1"/>
        <w:rPr>
          <w:b/>
          <w:color w:val="auto"/>
          <w:sz w:val="52"/>
          <w:highlight w:val="none"/>
        </w:rPr>
      </w:pPr>
      <w:r>
        <w:rPr>
          <w:color w:val="auto"/>
          <w:highlight w:val="none"/>
        </w:rPr>
        <w:br w:type="page"/>
      </w:r>
      <w:bookmarkStart w:id="196" w:name="_Toc199"/>
      <w:bookmarkStart w:id="197" w:name="_Toc15510"/>
      <w:bookmarkStart w:id="198" w:name="_Toc30628"/>
      <w:bookmarkStart w:id="199" w:name="_Toc11101"/>
      <w:r>
        <w:rPr>
          <w:b/>
          <w:color w:val="auto"/>
          <w:sz w:val="52"/>
          <w:highlight w:val="none"/>
        </w:rPr>
        <w:t>政府采购合同</w:t>
      </w:r>
      <w:bookmarkEnd w:id="196"/>
      <w:bookmarkEnd w:id="197"/>
      <w:bookmarkEnd w:id="198"/>
      <w:bookmarkEnd w:id="199"/>
    </w:p>
    <w:p>
      <w:pPr>
        <w:adjustRightInd w:val="0"/>
        <w:jc w:val="center"/>
        <w:rPr>
          <w:color w:val="auto"/>
          <w:highlight w:val="none"/>
        </w:rPr>
      </w:pPr>
    </w:p>
    <w:p>
      <w:pPr>
        <w:adjustRightInd w:val="0"/>
        <w:jc w:val="center"/>
        <w:rPr>
          <w:color w:val="auto"/>
          <w:highlight w:val="none"/>
        </w:rPr>
      </w:pPr>
    </w:p>
    <w:p>
      <w:pPr>
        <w:adjustRightInd w:val="0"/>
        <w:jc w:val="center"/>
        <w:rPr>
          <w:color w:val="auto"/>
          <w:highlight w:val="none"/>
        </w:rPr>
      </w:pPr>
    </w:p>
    <w:p>
      <w:pPr>
        <w:tabs>
          <w:tab w:val="left" w:pos="7103"/>
        </w:tabs>
        <w:autoSpaceDE w:val="0"/>
        <w:autoSpaceDN w:val="0"/>
        <w:adjustRightInd w:val="0"/>
        <w:ind w:left="921"/>
        <w:jc w:val="left"/>
        <w:outlineLvl w:val="3"/>
        <w:rPr>
          <w:rFonts w:hAnsi="宋体" w:eastAsia="Times New Roman" w:cs="宋体"/>
          <w:b/>
          <w:bCs/>
          <w:color w:val="auto"/>
          <w:sz w:val="32"/>
          <w:szCs w:val="32"/>
          <w:highlight w:val="none"/>
          <w:lang w:val="zh-CN" w:bidi="zh-CN"/>
        </w:rPr>
      </w:pPr>
      <w:r>
        <w:rPr>
          <w:rFonts w:ascii="宋体" w:hAnsi="宋体" w:cs="宋体"/>
          <w:b/>
          <w:bCs/>
          <w:color w:val="auto"/>
          <w:w w:val="95"/>
          <w:sz w:val="32"/>
          <w:szCs w:val="32"/>
          <w:highlight w:val="none"/>
          <w:lang w:val="zh-CN" w:bidi="zh-CN"/>
        </w:rPr>
        <w:t>合同名称：</w:t>
      </w:r>
      <w:r>
        <w:rPr>
          <w:rFonts w:hAnsi="宋体" w:eastAsia="Times New Roman" w:cs="宋体"/>
          <w:b/>
          <w:bCs/>
          <w:color w:val="auto"/>
          <w:w w:val="99"/>
          <w:sz w:val="32"/>
          <w:szCs w:val="32"/>
          <w:highlight w:val="none"/>
          <w:u w:val="single"/>
          <w:lang w:val="zh-CN" w:bidi="zh-CN"/>
        </w:rPr>
        <w:t xml:space="preserve"> </w:t>
      </w:r>
      <w:r>
        <w:rPr>
          <w:rFonts w:hAnsi="宋体" w:eastAsia="Times New Roman" w:cs="宋体"/>
          <w:b/>
          <w:bCs/>
          <w:color w:val="auto"/>
          <w:sz w:val="32"/>
          <w:szCs w:val="32"/>
          <w:highlight w:val="none"/>
          <w:u w:val="single"/>
          <w:lang w:val="zh-CN" w:bidi="zh-CN"/>
        </w:rPr>
        <w:tab/>
      </w:r>
    </w:p>
    <w:p>
      <w:pPr>
        <w:autoSpaceDE w:val="0"/>
        <w:autoSpaceDN w:val="0"/>
        <w:adjustRightInd w:val="0"/>
        <w:rPr>
          <w:rFonts w:hAnsi="宋体" w:cs="宋体"/>
          <w:b/>
          <w:color w:val="auto"/>
          <w:sz w:val="20"/>
          <w:szCs w:val="21"/>
          <w:highlight w:val="none"/>
          <w:lang w:val="zh-CN" w:bidi="zh-CN"/>
        </w:rPr>
      </w:pPr>
    </w:p>
    <w:p>
      <w:pPr>
        <w:autoSpaceDE w:val="0"/>
        <w:autoSpaceDN w:val="0"/>
        <w:adjustRightInd w:val="0"/>
        <w:rPr>
          <w:rFonts w:hAnsi="宋体" w:cs="宋体"/>
          <w:b/>
          <w:color w:val="auto"/>
          <w:sz w:val="20"/>
          <w:szCs w:val="21"/>
          <w:highlight w:val="none"/>
          <w:lang w:val="zh-CN" w:bidi="zh-CN"/>
        </w:rPr>
      </w:pPr>
    </w:p>
    <w:p>
      <w:pPr>
        <w:autoSpaceDE w:val="0"/>
        <w:autoSpaceDN w:val="0"/>
        <w:adjustRightInd w:val="0"/>
        <w:rPr>
          <w:rFonts w:hAnsi="宋体" w:cs="宋体"/>
          <w:b/>
          <w:color w:val="auto"/>
          <w:sz w:val="27"/>
          <w:szCs w:val="21"/>
          <w:highlight w:val="none"/>
          <w:lang w:val="zh-CN" w:bidi="zh-CN"/>
        </w:rPr>
      </w:pPr>
    </w:p>
    <w:p>
      <w:pPr>
        <w:tabs>
          <w:tab w:val="left" w:pos="7103"/>
        </w:tabs>
        <w:autoSpaceDE w:val="0"/>
        <w:autoSpaceDN w:val="0"/>
        <w:adjustRightInd w:val="0"/>
        <w:ind w:left="921"/>
        <w:jc w:val="left"/>
        <w:outlineLvl w:val="3"/>
        <w:rPr>
          <w:rFonts w:hAnsi="宋体" w:eastAsia="Times New Roman" w:cs="宋体"/>
          <w:b/>
          <w:bCs/>
          <w:color w:val="auto"/>
          <w:sz w:val="32"/>
          <w:szCs w:val="32"/>
          <w:highlight w:val="none"/>
          <w:lang w:val="zh-CN" w:bidi="zh-CN"/>
        </w:rPr>
      </w:pPr>
      <w:r>
        <w:rPr>
          <w:rFonts w:ascii="宋体" w:hAnsi="宋体" w:cs="宋体"/>
          <w:b/>
          <w:bCs/>
          <w:color w:val="auto"/>
          <w:w w:val="95"/>
          <w:sz w:val="32"/>
          <w:szCs w:val="32"/>
          <w:highlight w:val="none"/>
          <w:lang w:val="zh-CN" w:bidi="zh-CN"/>
        </w:rPr>
        <w:t>合同编号：</w:t>
      </w:r>
      <w:r>
        <w:rPr>
          <w:rFonts w:hAnsi="宋体" w:eastAsia="Times New Roman" w:cs="宋体"/>
          <w:b/>
          <w:bCs/>
          <w:color w:val="auto"/>
          <w:w w:val="99"/>
          <w:sz w:val="32"/>
          <w:szCs w:val="32"/>
          <w:highlight w:val="none"/>
          <w:u w:val="single"/>
          <w:lang w:val="zh-CN" w:bidi="zh-CN"/>
        </w:rPr>
        <w:t xml:space="preserve"> </w:t>
      </w:r>
      <w:r>
        <w:rPr>
          <w:rFonts w:hAnsi="宋体" w:eastAsia="Times New Roman" w:cs="宋体"/>
          <w:b/>
          <w:bCs/>
          <w:color w:val="auto"/>
          <w:sz w:val="32"/>
          <w:szCs w:val="32"/>
          <w:highlight w:val="none"/>
          <w:u w:val="single"/>
          <w:lang w:val="zh-CN" w:bidi="zh-CN"/>
        </w:rPr>
        <w:tab/>
      </w:r>
    </w:p>
    <w:p>
      <w:pPr>
        <w:autoSpaceDE w:val="0"/>
        <w:autoSpaceDN w:val="0"/>
        <w:adjustRightInd w:val="0"/>
        <w:rPr>
          <w:rFonts w:hAnsi="宋体" w:cs="宋体"/>
          <w:b/>
          <w:color w:val="auto"/>
          <w:sz w:val="20"/>
          <w:szCs w:val="21"/>
          <w:highlight w:val="none"/>
          <w:lang w:val="zh-CN" w:bidi="zh-CN"/>
        </w:rPr>
      </w:pPr>
    </w:p>
    <w:p>
      <w:pPr>
        <w:autoSpaceDE w:val="0"/>
        <w:autoSpaceDN w:val="0"/>
        <w:adjustRightInd w:val="0"/>
        <w:rPr>
          <w:rFonts w:hAnsi="宋体" w:cs="宋体"/>
          <w:b/>
          <w:color w:val="auto"/>
          <w:sz w:val="20"/>
          <w:szCs w:val="21"/>
          <w:highlight w:val="none"/>
          <w:lang w:val="zh-CN" w:bidi="zh-CN"/>
        </w:rPr>
      </w:pPr>
    </w:p>
    <w:p>
      <w:pPr>
        <w:pStyle w:val="37"/>
        <w:rPr>
          <w:color w:val="auto"/>
          <w:highlight w:val="none"/>
          <w:lang w:val="zh-CN"/>
        </w:rPr>
      </w:pPr>
    </w:p>
    <w:p>
      <w:pPr>
        <w:pStyle w:val="37"/>
        <w:rPr>
          <w:color w:val="auto"/>
          <w:highlight w:val="none"/>
          <w:lang w:val="zh-CN"/>
        </w:rPr>
      </w:pPr>
    </w:p>
    <w:p>
      <w:pPr>
        <w:pStyle w:val="37"/>
        <w:rPr>
          <w:color w:val="auto"/>
          <w:highlight w:val="none"/>
          <w:lang w:val="zh-CN"/>
        </w:rPr>
      </w:pPr>
    </w:p>
    <w:p>
      <w:pPr>
        <w:autoSpaceDE w:val="0"/>
        <w:autoSpaceDN w:val="0"/>
        <w:adjustRightInd w:val="0"/>
        <w:rPr>
          <w:rFonts w:hAnsi="宋体" w:cs="宋体"/>
          <w:b/>
          <w:color w:val="auto"/>
          <w:sz w:val="20"/>
          <w:szCs w:val="21"/>
          <w:highlight w:val="none"/>
          <w:lang w:val="zh-CN" w:bidi="zh-CN"/>
        </w:rPr>
      </w:pPr>
    </w:p>
    <w:p>
      <w:pPr>
        <w:autoSpaceDE w:val="0"/>
        <w:autoSpaceDN w:val="0"/>
        <w:adjustRightInd w:val="0"/>
        <w:rPr>
          <w:rFonts w:hAnsi="宋体" w:cs="宋体"/>
          <w:b/>
          <w:color w:val="auto"/>
          <w:szCs w:val="21"/>
          <w:highlight w:val="none"/>
          <w:lang w:val="zh-CN" w:bidi="zh-CN"/>
        </w:rPr>
      </w:pPr>
    </w:p>
    <w:p>
      <w:pPr>
        <w:tabs>
          <w:tab w:val="left" w:pos="7103"/>
        </w:tabs>
        <w:autoSpaceDE w:val="0"/>
        <w:autoSpaceDN w:val="0"/>
        <w:adjustRightInd w:val="0"/>
        <w:ind w:left="921"/>
        <w:jc w:val="left"/>
        <w:outlineLvl w:val="3"/>
        <w:rPr>
          <w:rFonts w:hAnsi="宋体" w:eastAsia="Times New Roman" w:cs="宋体"/>
          <w:b/>
          <w:bCs/>
          <w:color w:val="auto"/>
          <w:sz w:val="32"/>
          <w:szCs w:val="32"/>
          <w:highlight w:val="none"/>
          <w:lang w:val="zh-CN" w:bidi="zh-CN"/>
        </w:rPr>
      </w:pPr>
      <w:r>
        <w:rPr>
          <w:rFonts w:ascii="宋体" w:hAnsi="宋体" w:cs="宋体"/>
          <w:b/>
          <w:bCs/>
          <w:color w:val="auto"/>
          <w:w w:val="95"/>
          <w:sz w:val="32"/>
          <w:szCs w:val="32"/>
          <w:highlight w:val="none"/>
          <w:lang w:val="zh-CN" w:bidi="zh-CN"/>
        </w:rPr>
        <w:t>采购单位（甲方）</w:t>
      </w:r>
      <w:r>
        <w:rPr>
          <w:rFonts w:hAnsi="宋体" w:eastAsia="Times New Roman" w:cs="宋体"/>
          <w:b/>
          <w:bCs/>
          <w:color w:val="auto"/>
          <w:w w:val="99"/>
          <w:sz w:val="32"/>
          <w:szCs w:val="32"/>
          <w:highlight w:val="none"/>
          <w:u w:val="single"/>
          <w:lang w:val="zh-CN" w:bidi="zh-CN"/>
        </w:rPr>
        <w:t xml:space="preserve"> </w:t>
      </w:r>
      <w:r>
        <w:rPr>
          <w:rFonts w:hAnsi="宋体" w:eastAsia="Times New Roman" w:cs="宋体"/>
          <w:b/>
          <w:bCs/>
          <w:color w:val="auto"/>
          <w:sz w:val="32"/>
          <w:szCs w:val="32"/>
          <w:highlight w:val="none"/>
          <w:u w:val="single"/>
          <w:lang w:val="zh-CN" w:bidi="zh-CN"/>
        </w:rPr>
        <w:tab/>
      </w:r>
    </w:p>
    <w:p>
      <w:pPr>
        <w:autoSpaceDE w:val="0"/>
        <w:autoSpaceDN w:val="0"/>
        <w:adjustRightInd w:val="0"/>
        <w:rPr>
          <w:rFonts w:hAnsi="宋体" w:cs="宋体"/>
          <w:b/>
          <w:color w:val="auto"/>
          <w:sz w:val="17"/>
          <w:szCs w:val="21"/>
          <w:highlight w:val="none"/>
          <w:lang w:val="zh-CN" w:bidi="zh-CN"/>
        </w:rPr>
      </w:pPr>
    </w:p>
    <w:p>
      <w:pPr>
        <w:tabs>
          <w:tab w:val="left" w:pos="7103"/>
        </w:tabs>
        <w:autoSpaceDE w:val="0"/>
        <w:autoSpaceDN w:val="0"/>
        <w:adjustRightInd w:val="0"/>
        <w:ind w:left="921"/>
        <w:jc w:val="left"/>
        <w:outlineLvl w:val="3"/>
        <w:rPr>
          <w:rFonts w:hAnsi="宋体" w:eastAsia="Times New Roman" w:cs="宋体"/>
          <w:b/>
          <w:bCs/>
          <w:color w:val="auto"/>
          <w:sz w:val="32"/>
          <w:szCs w:val="32"/>
          <w:highlight w:val="none"/>
          <w:lang w:val="zh-CN" w:bidi="zh-CN"/>
        </w:rPr>
      </w:pPr>
      <w:r>
        <w:rPr>
          <w:rFonts w:ascii="宋体" w:hAnsi="宋体" w:cs="宋体"/>
          <w:b/>
          <w:bCs/>
          <w:color w:val="auto"/>
          <w:sz w:val="32"/>
          <w:szCs w:val="32"/>
          <w:highlight w:val="none"/>
          <w:lang w:val="zh-CN" w:bidi="zh-CN"/>
        </w:rPr>
        <w:t>供</w:t>
      </w:r>
      <w:r>
        <w:rPr>
          <w:rFonts w:ascii="宋体" w:hAnsi="宋体" w:cs="宋体"/>
          <w:b/>
          <w:bCs/>
          <w:color w:val="auto"/>
          <w:spacing w:val="-6"/>
          <w:sz w:val="32"/>
          <w:szCs w:val="32"/>
          <w:highlight w:val="none"/>
          <w:lang w:val="zh-CN" w:bidi="zh-CN"/>
        </w:rPr>
        <w:t xml:space="preserve"> </w:t>
      </w:r>
      <w:r>
        <w:rPr>
          <w:rFonts w:ascii="宋体" w:hAnsi="宋体" w:cs="宋体"/>
          <w:b/>
          <w:bCs/>
          <w:color w:val="auto"/>
          <w:sz w:val="32"/>
          <w:szCs w:val="32"/>
          <w:highlight w:val="none"/>
          <w:lang w:val="zh-CN" w:bidi="zh-CN"/>
        </w:rPr>
        <w:t>应</w:t>
      </w:r>
      <w:r>
        <w:rPr>
          <w:rFonts w:ascii="宋体" w:hAnsi="宋体" w:cs="宋体"/>
          <w:b/>
          <w:bCs/>
          <w:color w:val="auto"/>
          <w:spacing w:val="-3"/>
          <w:sz w:val="32"/>
          <w:szCs w:val="32"/>
          <w:highlight w:val="none"/>
          <w:lang w:val="zh-CN" w:bidi="zh-CN"/>
        </w:rPr>
        <w:t xml:space="preserve"> </w:t>
      </w:r>
      <w:r>
        <w:rPr>
          <w:rFonts w:ascii="宋体" w:hAnsi="宋体" w:cs="宋体"/>
          <w:b/>
          <w:bCs/>
          <w:color w:val="auto"/>
          <w:sz w:val="32"/>
          <w:szCs w:val="32"/>
          <w:highlight w:val="none"/>
          <w:lang w:val="zh-CN" w:bidi="zh-CN"/>
        </w:rPr>
        <w:t>商（乙方</w:t>
      </w:r>
      <w:r>
        <w:rPr>
          <w:rFonts w:ascii="宋体" w:hAnsi="宋体" w:cs="宋体"/>
          <w:b/>
          <w:bCs/>
          <w:color w:val="auto"/>
          <w:spacing w:val="5"/>
          <w:sz w:val="32"/>
          <w:szCs w:val="32"/>
          <w:highlight w:val="none"/>
          <w:lang w:val="zh-CN" w:bidi="zh-CN"/>
        </w:rPr>
        <w:t>）</w:t>
      </w:r>
      <w:r>
        <w:rPr>
          <w:rFonts w:hAnsi="宋体" w:eastAsia="Times New Roman" w:cs="宋体"/>
          <w:b/>
          <w:bCs/>
          <w:color w:val="auto"/>
          <w:w w:val="99"/>
          <w:sz w:val="32"/>
          <w:szCs w:val="32"/>
          <w:highlight w:val="none"/>
          <w:u w:val="single"/>
          <w:lang w:val="zh-CN" w:bidi="zh-CN"/>
        </w:rPr>
        <w:t xml:space="preserve"> </w:t>
      </w:r>
      <w:r>
        <w:rPr>
          <w:rFonts w:hAnsi="宋体" w:eastAsia="Times New Roman" w:cs="宋体"/>
          <w:b/>
          <w:bCs/>
          <w:color w:val="auto"/>
          <w:sz w:val="32"/>
          <w:szCs w:val="32"/>
          <w:highlight w:val="none"/>
          <w:u w:val="single"/>
          <w:lang w:val="zh-CN" w:bidi="zh-CN"/>
        </w:rPr>
        <w:tab/>
      </w:r>
    </w:p>
    <w:p>
      <w:pPr>
        <w:autoSpaceDE w:val="0"/>
        <w:autoSpaceDN w:val="0"/>
        <w:adjustRightInd w:val="0"/>
        <w:rPr>
          <w:rFonts w:hAnsi="宋体" w:cs="宋体"/>
          <w:b/>
          <w:color w:val="auto"/>
          <w:sz w:val="20"/>
          <w:szCs w:val="21"/>
          <w:highlight w:val="none"/>
          <w:lang w:val="zh-CN" w:bidi="zh-CN"/>
        </w:rPr>
      </w:pPr>
    </w:p>
    <w:p>
      <w:pPr>
        <w:autoSpaceDE w:val="0"/>
        <w:autoSpaceDN w:val="0"/>
        <w:adjustRightInd w:val="0"/>
        <w:rPr>
          <w:rFonts w:hAnsi="宋体" w:cs="宋体"/>
          <w:b/>
          <w:color w:val="auto"/>
          <w:sz w:val="20"/>
          <w:szCs w:val="21"/>
          <w:highlight w:val="none"/>
          <w:lang w:val="zh-CN" w:bidi="zh-CN"/>
        </w:rPr>
      </w:pPr>
    </w:p>
    <w:p>
      <w:pPr>
        <w:autoSpaceDE w:val="0"/>
        <w:autoSpaceDN w:val="0"/>
        <w:adjustRightInd w:val="0"/>
        <w:rPr>
          <w:rFonts w:hAnsi="宋体" w:cs="宋体"/>
          <w:b/>
          <w:color w:val="auto"/>
          <w:sz w:val="20"/>
          <w:szCs w:val="21"/>
          <w:highlight w:val="none"/>
          <w:lang w:val="zh-CN" w:bidi="zh-CN"/>
        </w:rPr>
      </w:pPr>
    </w:p>
    <w:p>
      <w:pPr>
        <w:autoSpaceDE w:val="0"/>
        <w:autoSpaceDN w:val="0"/>
        <w:adjustRightInd w:val="0"/>
        <w:rPr>
          <w:rFonts w:hAnsi="宋体" w:cs="宋体"/>
          <w:b/>
          <w:color w:val="auto"/>
          <w:sz w:val="20"/>
          <w:szCs w:val="21"/>
          <w:highlight w:val="none"/>
          <w:lang w:val="zh-CN" w:bidi="zh-CN"/>
        </w:rPr>
      </w:pPr>
    </w:p>
    <w:p>
      <w:pPr>
        <w:autoSpaceDE w:val="0"/>
        <w:autoSpaceDN w:val="0"/>
        <w:adjustRightInd w:val="0"/>
        <w:rPr>
          <w:rFonts w:hAnsi="宋体" w:cs="宋体"/>
          <w:b/>
          <w:color w:val="auto"/>
          <w:sz w:val="20"/>
          <w:szCs w:val="21"/>
          <w:highlight w:val="none"/>
          <w:lang w:val="zh-CN" w:bidi="zh-CN"/>
        </w:rPr>
      </w:pPr>
    </w:p>
    <w:p>
      <w:pPr>
        <w:autoSpaceDE w:val="0"/>
        <w:autoSpaceDN w:val="0"/>
        <w:adjustRightInd w:val="0"/>
        <w:rPr>
          <w:rFonts w:hAnsi="宋体" w:cs="宋体"/>
          <w:b/>
          <w:color w:val="auto"/>
          <w:sz w:val="20"/>
          <w:szCs w:val="21"/>
          <w:highlight w:val="none"/>
          <w:lang w:val="zh-CN" w:bidi="zh-CN"/>
        </w:rPr>
      </w:pPr>
    </w:p>
    <w:p>
      <w:pPr>
        <w:autoSpaceDE w:val="0"/>
        <w:autoSpaceDN w:val="0"/>
        <w:adjustRightInd w:val="0"/>
        <w:rPr>
          <w:rFonts w:hAnsi="宋体" w:cs="宋体"/>
          <w:b/>
          <w:color w:val="auto"/>
          <w:sz w:val="20"/>
          <w:szCs w:val="21"/>
          <w:highlight w:val="none"/>
          <w:lang w:val="zh-CN" w:bidi="zh-CN"/>
        </w:rPr>
      </w:pPr>
    </w:p>
    <w:p>
      <w:pPr>
        <w:adjustRightInd w:val="0"/>
        <w:jc w:val="center"/>
        <w:rPr>
          <w:color w:val="auto"/>
          <w:highlight w:val="none"/>
        </w:rPr>
      </w:pPr>
    </w:p>
    <w:p>
      <w:pPr>
        <w:adjustRightInd w:val="0"/>
        <w:rPr>
          <w:color w:val="auto"/>
          <w:highlight w:val="none"/>
        </w:rPr>
      </w:pPr>
    </w:p>
    <w:p>
      <w:pPr>
        <w:adjustRightInd w:val="0"/>
        <w:rPr>
          <w:color w:val="auto"/>
          <w:highlight w:val="none"/>
        </w:rPr>
      </w:pPr>
    </w:p>
    <w:p>
      <w:pPr>
        <w:adjustRightInd w:val="0"/>
        <w:rPr>
          <w:color w:val="auto"/>
          <w:highlight w:val="none"/>
        </w:rPr>
        <w:sectPr>
          <w:footerReference r:id="rId7" w:type="default"/>
          <w:pgSz w:w="11905" w:h="16838"/>
          <w:pgMar w:top="1134" w:right="1134" w:bottom="1134" w:left="1134" w:header="720" w:footer="720" w:gutter="0"/>
          <w:cols w:space="720" w:num="1"/>
          <w:docGrid w:type="lines" w:linePitch="331" w:charSpace="0"/>
        </w:sectPr>
      </w:pPr>
    </w:p>
    <w:p>
      <w:pPr>
        <w:adjustRightInd w:val="0"/>
        <w:rPr>
          <w:color w:val="auto"/>
          <w:highlight w:val="none"/>
        </w:rPr>
      </w:pPr>
      <w:bookmarkStart w:id="200" w:name="第六章_投标文件格式"/>
      <w:bookmarkEnd w:id="200"/>
    </w:p>
    <w:p>
      <w:pPr>
        <w:adjustRightInd w:val="0"/>
        <w:jc w:val="center"/>
        <w:rPr>
          <w:rFonts w:ascii="宋体" w:hAnsi="宋体"/>
          <w:b/>
          <w:color w:val="auto"/>
          <w:sz w:val="44"/>
          <w:szCs w:val="44"/>
          <w:highlight w:val="none"/>
        </w:rPr>
      </w:pPr>
      <w:r>
        <w:rPr>
          <w:rFonts w:hint="eastAsia" w:ascii="宋体" w:hAnsi="宋体"/>
          <w:b/>
          <w:color w:val="auto"/>
          <w:sz w:val="44"/>
          <w:szCs w:val="44"/>
          <w:highlight w:val="none"/>
        </w:rPr>
        <w:t>广西医科大学玉林校区</w:t>
      </w:r>
    </w:p>
    <w:p>
      <w:pPr>
        <w:adjustRightInd w:val="0"/>
        <w:jc w:val="center"/>
        <w:rPr>
          <w:rFonts w:ascii="宋体" w:hAnsi="宋体"/>
          <w:b/>
          <w:color w:val="auto"/>
          <w:sz w:val="44"/>
          <w:szCs w:val="44"/>
          <w:highlight w:val="none"/>
        </w:rPr>
      </w:pPr>
      <w:r>
        <w:rPr>
          <w:rFonts w:hint="eastAsia" w:ascii="宋体" w:hAnsi="宋体"/>
          <w:b/>
          <w:color w:val="auto"/>
          <w:sz w:val="44"/>
          <w:szCs w:val="44"/>
          <w:highlight w:val="none"/>
        </w:rPr>
        <w:t>零星建设服务采购合同</w:t>
      </w:r>
    </w:p>
    <w:p>
      <w:pPr>
        <w:snapToGrid w:val="0"/>
        <w:spacing w:line="360" w:lineRule="exact"/>
        <w:ind w:right="480"/>
        <w:jc w:val="center"/>
        <w:rPr>
          <w:rFonts w:hint="eastAsia" w:ascii="宋体" w:hAnsi="宋体"/>
          <w:b/>
          <w:bCs/>
          <w:color w:val="auto"/>
          <w:highlight w:val="none"/>
        </w:rPr>
      </w:pPr>
      <w:bookmarkStart w:id="201" w:name="_Toc24742"/>
      <w:bookmarkStart w:id="202" w:name="_Toc22075"/>
      <w:r>
        <w:rPr>
          <w:bCs/>
          <w:color w:val="auto"/>
          <w:szCs w:val="21"/>
          <w:highlight w:val="none"/>
        </w:rPr>
        <w:t xml:space="preserve">                              </w:t>
      </w:r>
    </w:p>
    <w:p>
      <w:pPr>
        <w:snapToGrid w:val="0"/>
        <w:spacing w:line="360" w:lineRule="exact"/>
        <w:ind w:right="480"/>
        <w:jc w:val="center"/>
        <w:rPr>
          <w:rFonts w:hint="eastAsia" w:ascii="宋体" w:hAnsi="宋体"/>
          <w:bCs/>
          <w:color w:val="auto"/>
          <w:highlight w:val="none"/>
        </w:rPr>
      </w:pPr>
      <w:r>
        <w:rPr>
          <w:rFonts w:hint="eastAsia" w:ascii="宋体" w:hAnsi="宋体"/>
          <w:bCs/>
          <w:color w:val="auto"/>
          <w:highlight w:val="none"/>
        </w:rPr>
        <w:t xml:space="preserve">                                  合同编号：</w:t>
      </w:r>
    </w:p>
    <w:p>
      <w:pPr>
        <w:snapToGrid w:val="0"/>
        <w:spacing w:line="360" w:lineRule="exact"/>
        <w:ind w:firstLine="3685" w:firstLineChars="1748"/>
        <w:rPr>
          <w:rFonts w:hint="eastAsia" w:ascii="宋体" w:hAnsi="宋体"/>
          <w:b/>
          <w:color w:val="auto"/>
          <w:highlight w:val="none"/>
        </w:rPr>
      </w:pPr>
    </w:p>
    <w:p>
      <w:pPr>
        <w:keepNext w:val="0"/>
        <w:keepLines w:val="0"/>
        <w:pageBreakBefore w:val="0"/>
        <w:kinsoku/>
        <w:wordWrap/>
        <w:overflowPunct/>
        <w:topLinePunct w:val="0"/>
        <w:autoSpaceDE/>
        <w:autoSpaceDN/>
        <w:bidi w:val="0"/>
        <w:snapToGrid w:val="0"/>
        <w:spacing w:line="360" w:lineRule="exact"/>
        <w:ind w:right="0"/>
        <w:textAlignment w:val="auto"/>
        <w:rPr>
          <w:rFonts w:hint="eastAsia" w:ascii="宋体" w:hAnsi="宋体"/>
          <w:color w:val="auto"/>
          <w:highlight w:val="none"/>
          <w:u w:val="single"/>
        </w:rPr>
      </w:pPr>
      <w:r>
        <w:rPr>
          <w:rFonts w:hint="eastAsia" w:ascii="宋体" w:hAnsi="宋体"/>
          <w:color w:val="auto"/>
          <w:highlight w:val="none"/>
        </w:rPr>
        <w:t>采购单位（甲方）</w:t>
      </w:r>
      <w:r>
        <w:rPr>
          <w:rFonts w:hint="eastAsia" w:ascii="宋体" w:hAnsi="宋体"/>
          <w:color w:val="auto"/>
          <w:highlight w:val="none"/>
          <w:u w:val="single"/>
        </w:rPr>
        <w:t xml:space="preserve">                            </w:t>
      </w:r>
      <w:r>
        <w:rPr>
          <w:rFonts w:hint="eastAsia" w:ascii="宋体" w:hAnsi="宋体"/>
          <w:color w:val="auto"/>
          <w:spacing w:val="-20"/>
          <w:highlight w:val="none"/>
        </w:rPr>
        <w:t xml:space="preserve">  采 购 计 划 号</w:t>
      </w:r>
      <w:r>
        <w:rPr>
          <w:rFonts w:hint="eastAsia" w:ascii="宋体" w:hAnsi="宋体"/>
          <w:color w:val="auto"/>
          <w:highlight w:val="none"/>
          <w:u w:val="single"/>
        </w:rPr>
        <w:t xml:space="preserve">                           </w:t>
      </w:r>
    </w:p>
    <w:p>
      <w:pPr>
        <w:keepNext w:val="0"/>
        <w:keepLines w:val="0"/>
        <w:pageBreakBefore w:val="0"/>
        <w:kinsoku/>
        <w:wordWrap/>
        <w:overflowPunct/>
        <w:topLinePunct w:val="0"/>
        <w:autoSpaceDE/>
        <w:autoSpaceDN/>
        <w:bidi w:val="0"/>
        <w:snapToGrid w:val="0"/>
        <w:spacing w:line="360" w:lineRule="exact"/>
        <w:ind w:right="0"/>
        <w:textAlignment w:val="auto"/>
        <w:rPr>
          <w:rFonts w:hint="eastAsia" w:ascii="宋体" w:hAnsi="宋体"/>
          <w:color w:val="auto"/>
          <w:highlight w:val="none"/>
          <w:u w:val="single"/>
        </w:rPr>
      </w:pPr>
      <w:r>
        <w:rPr>
          <w:rFonts w:hint="eastAsia" w:ascii="宋体" w:hAnsi="宋体"/>
          <w:color w:val="auto"/>
          <w:highlight w:val="none"/>
        </w:rPr>
        <w:t>供 应 商（乙方）</w:t>
      </w:r>
      <w:r>
        <w:rPr>
          <w:rFonts w:hint="eastAsia" w:ascii="宋体" w:hAnsi="宋体"/>
          <w:color w:val="auto"/>
          <w:highlight w:val="none"/>
          <w:u w:val="single"/>
        </w:rPr>
        <w:t xml:space="preserve">                            </w:t>
      </w:r>
      <w:r>
        <w:rPr>
          <w:rFonts w:hint="eastAsia" w:ascii="宋体" w:hAnsi="宋体"/>
          <w:color w:val="auto"/>
          <w:highlight w:val="none"/>
        </w:rPr>
        <w:t xml:space="preserve"> 项目名称和编号</w:t>
      </w:r>
      <w:r>
        <w:rPr>
          <w:rFonts w:hint="eastAsia" w:ascii="宋体" w:hAnsi="宋体"/>
          <w:color w:val="auto"/>
          <w:highlight w:val="none"/>
          <w:u w:val="single"/>
        </w:rPr>
        <w:t xml:space="preserve">                        </w:t>
      </w:r>
    </w:p>
    <w:p>
      <w:pPr>
        <w:keepNext w:val="0"/>
        <w:keepLines w:val="0"/>
        <w:pageBreakBefore w:val="0"/>
        <w:kinsoku/>
        <w:wordWrap/>
        <w:overflowPunct/>
        <w:topLinePunct w:val="0"/>
        <w:autoSpaceDE/>
        <w:autoSpaceDN/>
        <w:bidi w:val="0"/>
        <w:snapToGrid w:val="0"/>
        <w:spacing w:line="360" w:lineRule="exact"/>
        <w:ind w:right="0"/>
        <w:textAlignment w:val="auto"/>
        <w:rPr>
          <w:rFonts w:hint="eastAsia" w:ascii="宋体" w:hAnsi="宋体"/>
          <w:color w:val="auto"/>
          <w:highlight w:val="none"/>
          <w:u w:val="single"/>
        </w:rPr>
      </w:pPr>
      <w:r>
        <w:rPr>
          <w:rFonts w:hint="eastAsia" w:ascii="宋体" w:hAnsi="宋体"/>
          <w:color w:val="auto"/>
          <w:highlight w:val="none"/>
        </w:rPr>
        <w:t xml:space="preserve">签  订  地  点  </w:t>
      </w:r>
      <w:r>
        <w:rPr>
          <w:rFonts w:hint="eastAsia" w:ascii="宋体" w:hAnsi="宋体"/>
          <w:color w:val="auto"/>
          <w:highlight w:val="none"/>
          <w:u w:val="single"/>
        </w:rPr>
        <w:t xml:space="preserve">                            </w:t>
      </w:r>
      <w:r>
        <w:rPr>
          <w:rFonts w:hint="eastAsia" w:ascii="宋体" w:hAnsi="宋体"/>
          <w:color w:val="auto"/>
          <w:highlight w:val="none"/>
        </w:rPr>
        <w:t xml:space="preserve">  签 订 时 间 </w:t>
      </w:r>
      <w:r>
        <w:rPr>
          <w:rFonts w:hint="eastAsia" w:ascii="宋体" w:hAnsi="宋体"/>
          <w:color w:val="auto"/>
          <w:highlight w:val="none"/>
          <w:u w:val="single"/>
        </w:rPr>
        <w:t xml:space="preserve">                         </w:t>
      </w:r>
    </w:p>
    <w:p>
      <w:pPr>
        <w:keepNext w:val="0"/>
        <w:keepLines w:val="0"/>
        <w:pageBreakBefore w:val="0"/>
        <w:kinsoku/>
        <w:wordWrap/>
        <w:overflowPunct/>
        <w:topLinePunct w:val="0"/>
        <w:autoSpaceDE/>
        <w:autoSpaceDN/>
        <w:bidi w:val="0"/>
        <w:snapToGrid w:val="0"/>
        <w:spacing w:line="400" w:lineRule="exact"/>
        <w:ind w:left="0" w:leftChars="0" w:right="0" w:firstLine="420" w:firstLineChars="200"/>
        <w:textAlignment w:val="auto"/>
        <w:rPr>
          <w:rFonts w:hint="eastAsia" w:ascii="宋体" w:hAnsi="宋体"/>
          <w:color w:val="auto"/>
          <w:highlight w:val="none"/>
        </w:rPr>
      </w:pPr>
    </w:p>
    <w:p>
      <w:pPr>
        <w:adjustRightInd w:val="0"/>
        <w:spacing w:line="360" w:lineRule="auto"/>
        <w:ind w:firstLine="480" w:firstLineChars="200"/>
        <w:rPr>
          <w:rFonts w:hint="eastAsia"/>
          <w:color w:val="auto"/>
          <w:sz w:val="24"/>
          <w:highlight w:val="none"/>
        </w:rPr>
      </w:pPr>
      <w:r>
        <w:rPr>
          <w:rFonts w:hint="eastAsia" w:ascii="宋体" w:hAnsi="宋体"/>
          <w:color w:val="auto"/>
          <w:sz w:val="24"/>
          <w:highlight w:val="none"/>
        </w:rPr>
        <w:t>依照《中华人民共和国政府采购法》《中华人民共和国民法典》等法律、行政法规等规范性文件的相关规定</w:t>
      </w:r>
      <w:r>
        <w:rPr>
          <w:rFonts w:hint="eastAsia" w:ascii="宋体" w:hAnsi="宋体"/>
          <w:color w:val="auto"/>
          <w:sz w:val="24"/>
          <w:highlight w:val="none"/>
          <w:lang w:eastAsia="zh-CN"/>
        </w:rPr>
        <w:t>，</w:t>
      </w:r>
      <w:r>
        <w:rPr>
          <w:rFonts w:hint="eastAsia" w:ascii="宋体" w:hAnsi="宋体"/>
          <w:color w:val="auto"/>
          <w:sz w:val="24"/>
          <w:highlight w:val="none"/>
        </w:rPr>
        <w:t>根据</w:t>
      </w:r>
      <w:r>
        <w:rPr>
          <w:rFonts w:hint="eastAsia" w:ascii="宋体" w:hAnsi="宋体"/>
          <w:color w:val="auto"/>
          <w:sz w:val="24"/>
          <w:highlight w:val="none"/>
          <w:lang w:eastAsia="zh-CN"/>
        </w:rPr>
        <w:t>广西医科大学玉林校区零星建设服务</w:t>
      </w:r>
      <w:r>
        <w:rPr>
          <w:rFonts w:hint="eastAsia" w:ascii="宋体" w:hAnsi="宋体"/>
          <w:color w:val="auto"/>
          <w:sz w:val="24"/>
          <w:highlight w:val="none"/>
        </w:rPr>
        <w:t>分标</w:t>
      </w:r>
      <w:r>
        <w:rPr>
          <w:rFonts w:hint="eastAsia" w:ascii="宋体" w:hAnsi="宋体"/>
          <w:color w:val="auto"/>
          <w:sz w:val="24"/>
          <w:highlight w:val="none"/>
          <w:u w:val="single"/>
        </w:rPr>
        <w:t xml:space="preserve">   </w:t>
      </w:r>
      <w:r>
        <w:rPr>
          <w:rFonts w:hint="eastAsia" w:ascii="宋体" w:hAnsi="宋体"/>
          <w:color w:val="auto"/>
          <w:sz w:val="24"/>
          <w:highlight w:val="none"/>
        </w:rPr>
        <w:t>采购文件的规定和乙方投标文件及相关承诺，甲、乙双方经协商一致，现就乙方为甲方提供</w:t>
      </w:r>
      <w:r>
        <w:rPr>
          <w:rFonts w:ascii="宋体" w:hAnsi="宋体"/>
          <w:color w:val="auto"/>
          <w:sz w:val="24"/>
          <w:highlight w:val="none"/>
          <w:u w:val="single"/>
        </w:rPr>
        <w:t xml:space="preserve">        </w:t>
      </w:r>
      <w:r>
        <w:rPr>
          <w:rFonts w:hint="eastAsia" w:ascii="宋体" w:hAnsi="宋体"/>
          <w:color w:val="auto"/>
          <w:sz w:val="24"/>
          <w:highlight w:val="none"/>
        </w:rPr>
        <w:t>维修服务相关事宜签订本合同。</w:t>
      </w:r>
    </w:p>
    <w:p>
      <w:pPr>
        <w:pStyle w:val="37"/>
        <w:adjustRightInd w:val="0"/>
        <w:spacing w:after="0" w:line="360" w:lineRule="auto"/>
        <w:ind w:left="0" w:leftChars="0" w:firstLine="466"/>
        <w:rPr>
          <w:b/>
          <w:color w:val="auto"/>
          <w:sz w:val="24"/>
          <w:highlight w:val="none"/>
        </w:rPr>
      </w:pPr>
    </w:p>
    <w:p>
      <w:pPr>
        <w:pStyle w:val="37"/>
        <w:adjustRightInd w:val="0"/>
        <w:spacing w:after="0" w:line="360" w:lineRule="auto"/>
        <w:ind w:left="0" w:leftChars="0" w:firstLine="466"/>
        <w:rPr>
          <w:b/>
          <w:color w:val="auto"/>
          <w:sz w:val="24"/>
          <w:highlight w:val="none"/>
        </w:rPr>
      </w:pPr>
      <w:r>
        <w:rPr>
          <w:rFonts w:hint="eastAsia"/>
          <w:b/>
          <w:color w:val="auto"/>
          <w:sz w:val="24"/>
          <w:highlight w:val="none"/>
        </w:rPr>
        <w:t>第一条 总则</w:t>
      </w:r>
    </w:p>
    <w:p>
      <w:pPr>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1.1</w:t>
      </w:r>
      <w:r>
        <w:rPr>
          <w:rFonts w:ascii="宋体" w:hAnsi="宋体"/>
          <w:b/>
          <w:color w:val="auto"/>
          <w:sz w:val="24"/>
          <w:highlight w:val="none"/>
        </w:rPr>
        <w:t xml:space="preserve"> </w:t>
      </w:r>
      <w:r>
        <w:rPr>
          <w:rFonts w:hint="eastAsia" w:ascii="宋体" w:hAnsi="宋体"/>
          <w:b/>
          <w:color w:val="auto"/>
          <w:sz w:val="24"/>
          <w:highlight w:val="none"/>
        </w:rPr>
        <w:t>词语定义与解释</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本合同中词语的定义与解释以《建设工程施工合同（示范文本）》（GF-2017-0201）第二部分通用条款第1</w:t>
      </w:r>
      <w:r>
        <w:rPr>
          <w:rFonts w:ascii="宋体" w:hAnsi="宋体"/>
          <w:color w:val="auto"/>
          <w:sz w:val="24"/>
          <w:highlight w:val="none"/>
        </w:rPr>
        <w:t>.1</w:t>
      </w:r>
      <w:r>
        <w:rPr>
          <w:rFonts w:hint="eastAsia" w:ascii="宋体" w:hAnsi="宋体"/>
          <w:color w:val="auto"/>
          <w:sz w:val="24"/>
          <w:highlight w:val="none"/>
        </w:rPr>
        <w:t>款中所列词语的定义与解释为准。</w:t>
      </w:r>
    </w:p>
    <w:p>
      <w:pPr>
        <w:pStyle w:val="37"/>
        <w:adjustRightInd w:val="0"/>
        <w:spacing w:after="0" w:line="360" w:lineRule="auto"/>
        <w:ind w:left="0" w:leftChars="0" w:firstLine="466"/>
        <w:rPr>
          <w:rFonts w:hint="eastAsia" w:ascii="宋体" w:hAnsi="宋体"/>
          <w:color w:val="auto"/>
          <w:sz w:val="24"/>
          <w:highlight w:val="none"/>
        </w:rPr>
      </w:pPr>
      <w:r>
        <w:rPr>
          <w:rFonts w:ascii="宋体" w:hAnsi="宋体"/>
          <w:b/>
          <w:color w:val="auto"/>
          <w:sz w:val="24"/>
          <w:highlight w:val="none"/>
        </w:rPr>
        <w:t xml:space="preserve">1.2 </w:t>
      </w:r>
      <w:r>
        <w:rPr>
          <w:rFonts w:hint="eastAsia" w:ascii="宋体" w:hAnsi="宋体"/>
          <w:b/>
          <w:color w:val="auto"/>
          <w:sz w:val="24"/>
          <w:highlight w:val="none"/>
        </w:rPr>
        <w:t>合同文件组成及优先顺序</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（1）补充协议（如有）；</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（2）采购文件中的项目采购需求及本合同条款；</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）中标通知书；</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）投标函及其附录；</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（5）技术标准和要求；</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（6）图纸；</w:t>
      </w:r>
    </w:p>
    <w:p>
      <w:pPr>
        <w:pStyle w:val="37"/>
        <w:adjustRightInd w:val="0"/>
        <w:spacing w:after="0" w:line="360" w:lineRule="auto"/>
        <w:ind w:left="0" w:leftChars="0" w:firstLine="480"/>
        <w:rPr>
          <w:rFonts w:hint="eastAsia" w:ascii="宋体" w:hAnsi="宋体"/>
          <w:color w:val="auto"/>
          <w:sz w:val="24"/>
          <w:highlight w:val="none"/>
        </w:rPr>
      </w:pPr>
      <w:r>
        <w:rPr>
          <w:rFonts w:hint="eastAsia" w:ascii="宋体" w:hAnsi="宋体"/>
          <w:color w:val="auto"/>
          <w:sz w:val="24"/>
          <w:highlight w:val="none"/>
        </w:rPr>
        <w:t>（7）其他合同文件。</w:t>
      </w:r>
    </w:p>
    <w:p>
      <w:pPr>
        <w:pStyle w:val="37"/>
        <w:adjustRightInd w:val="0"/>
        <w:spacing w:after="0" w:line="360" w:lineRule="auto"/>
        <w:ind w:left="0" w:leftChars="0" w:firstLine="460" w:firstLineChars="0"/>
        <w:rPr>
          <w:rFonts w:ascii="宋体" w:hAnsi="宋体"/>
          <w:color w:val="auto"/>
          <w:sz w:val="24"/>
          <w:highlight w:val="none"/>
        </w:rPr>
      </w:pPr>
      <w:r>
        <w:rPr>
          <w:rFonts w:hint="eastAsia" w:ascii="宋体" w:hAnsi="宋体"/>
          <w:color w:val="auto"/>
          <w:sz w:val="24"/>
          <w:highlight w:val="none"/>
        </w:rPr>
        <w:t>图纸与技术标准和要求之间有矛盾或者不一致的，以其中要求较严格的标准为准。甲、乙双方在本合同履行过程中的有关洽商、变更等书面协议或文件视为本合同文件的构成部分。</w:t>
      </w:r>
    </w:p>
    <w:p>
      <w:pPr>
        <w:adjustRightInd w:val="0"/>
        <w:spacing w:line="360" w:lineRule="auto"/>
        <w:ind w:firstLine="482" w:firstLineChars="200"/>
        <w:rPr>
          <w:rFonts w:hint="eastAsia" w:ascii="宋体" w:hAnsi="宋体"/>
          <w:b/>
          <w:color w:val="auto"/>
          <w:sz w:val="24"/>
          <w:highlight w:val="none"/>
        </w:rPr>
      </w:pPr>
      <w:r>
        <w:rPr>
          <w:rFonts w:ascii="宋体" w:hAnsi="宋体"/>
          <w:b/>
          <w:color w:val="auto"/>
          <w:sz w:val="24"/>
          <w:highlight w:val="none"/>
        </w:rPr>
        <w:t xml:space="preserve">1.3 </w:t>
      </w:r>
      <w:r>
        <w:rPr>
          <w:rFonts w:hint="eastAsia" w:ascii="宋体" w:hAnsi="宋体"/>
          <w:b/>
          <w:color w:val="auto"/>
          <w:sz w:val="24"/>
          <w:highlight w:val="none"/>
        </w:rPr>
        <w:t>保密条款</w:t>
      </w:r>
    </w:p>
    <w:p>
      <w:pPr>
        <w:adjustRightInd w:val="0"/>
        <w:spacing w:line="360" w:lineRule="auto"/>
        <w:ind w:firstLine="480" w:firstLineChars="200"/>
        <w:rPr>
          <w:rFonts w:hint="eastAsia" w:ascii="宋体" w:hAnsi="宋体"/>
          <w:color w:val="auto"/>
          <w:sz w:val="24"/>
          <w:highlight w:val="none"/>
        </w:rPr>
      </w:pPr>
      <w:r>
        <w:rPr>
          <w:rFonts w:ascii="宋体" w:hAnsi="宋体"/>
          <w:color w:val="auto"/>
          <w:sz w:val="24"/>
          <w:highlight w:val="none"/>
        </w:rPr>
        <w:t xml:space="preserve">1.3.1 </w:t>
      </w:r>
      <w:r>
        <w:rPr>
          <w:rFonts w:hint="eastAsia" w:ascii="宋体" w:hAnsi="宋体"/>
          <w:color w:val="auto"/>
          <w:sz w:val="24"/>
          <w:highlight w:val="none"/>
        </w:rPr>
        <w:t>甲、乙双方应对在本合同签订或履行过程中所接触的对方信息，包括但不限于知识产权、技术资料、技术诀窍、内部管理及其他相关信息，负有保密义务。</w:t>
      </w:r>
    </w:p>
    <w:p>
      <w:pPr>
        <w:adjustRightInd w:val="0"/>
        <w:spacing w:line="360" w:lineRule="auto"/>
        <w:ind w:firstLine="480" w:firstLineChars="200"/>
        <w:rPr>
          <w:rFonts w:hint="eastAsia" w:ascii="宋体" w:hAnsi="宋体"/>
          <w:color w:val="auto"/>
          <w:sz w:val="24"/>
          <w:highlight w:val="none"/>
        </w:rPr>
      </w:pPr>
      <w:r>
        <w:rPr>
          <w:rFonts w:ascii="宋体" w:hAnsi="宋体"/>
          <w:color w:val="auto"/>
          <w:sz w:val="24"/>
          <w:highlight w:val="none"/>
        </w:rPr>
        <w:t>1.3.</w:t>
      </w:r>
      <w:r>
        <w:rPr>
          <w:rFonts w:hint="eastAsia" w:ascii="宋体" w:hAnsi="宋体"/>
          <w:color w:val="auto"/>
          <w:sz w:val="24"/>
          <w:highlight w:val="none"/>
        </w:rPr>
        <w:t>2 乙方在使用甲方为乙方及其工作人员提供的数据、资料及甲方相关的业务和技术文档，包括方案设计细节、程序文件、数据结构，以及相关业务系统的文档时，应遵循以下规定：</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（1）应以审慎态度避免泄露、公开或传播甲方的信息；</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（2）未经甲方书面许可，不得对有关信息进行修改、补充、复制；</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（3）未经甲方书面许可，不得将信息以任何方式携带出甲方场所；</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（4）未经甲方书面许可，不得将信息透露给任何其他人；</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（5）甲方以书面形式提出的其他保密措施。</w:t>
      </w:r>
    </w:p>
    <w:p>
      <w:pPr>
        <w:adjustRightInd w:val="0"/>
        <w:spacing w:line="360" w:lineRule="auto"/>
        <w:ind w:firstLine="480" w:firstLineChars="200"/>
        <w:rPr>
          <w:rFonts w:hint="eastAsia" w:ascii="宋体" w:hAnsi="宋体"/>
          <w:color w:val="auto"/>
          <w:sz w:val="24"/>
          <w:highlight w:val="none"/>
        </w:rPr>
      </w:pPr>
      <w:r>
        <w:rPr>
          <w:rFonts w:ascii="宋体" w:hAnsi="宋体"/>
          <w:color w:val="auto"/>
          <w:sz w:val="24"/>
          <w:highlight w:val="none"/>
        </w:rPr>
        <w:t>1.3.</w:t>
      </w:r>
      <w:r>
        <w:rPr>
          <w:rFonts w:hint="eastAsia" w:ascii="宋体" w:hAnsi="宋体"/>
          <w:color w:val="auto"/>
          <w:sz w:val="24"/>
          <w:highlight w:val="none"/>
        </w:rPr>
        <w:t>3 保密期限不受合同有效期的限制，在合同有效期结束后，信息接受方仍应承担保密义务，直至该等信息成为公开信息。</w:t>
      </w:r>
    </w:p>
    <w:p>
      <w:pPr>
        <w:adjustRightInd w:val="0"/>
        <w:spacing w:line="360" w:lineRule="auto"/>
        <w:ind w:firstLine="480" w:firstLineChars="200"/>
        <w:rPr>
          <w:rFonts w:hint="eastAsia" w:ascii="宋体" w:hAnsi="宋体"/>
          <w:color w:val="auto"/>
          <w:sz w:val="24"/>
          <w:highlight w:val="none"/>
        </w:rPr>
      </w:pPr>
      <w:r>
        <w:rPr>
          <w:rFonts w:ascii="宋体" w:hAnsi="宋体"/>
          <w:color w:val="auto"/>
          <w:sz w:val="24"/>
          <w:highlight w:val="none"/>
        </w:rPr>
        <w:t>1.3.</w:t>
      </w:r>
      <w:r>
        <w:rPr>
          <w:rFonts w:hint="eastAsia" w:ascii="宋体" w:hAnsi="宋体"/>
          <w:color w:val="auto"/>
          <w:sz w:val="24"/>
          <w:highlight w:val="none"/>
        </w:rPr>
        <w:t>4 一方如出现泄密行为，泄密方应承担相关的法律责任，包括但是不限于对由此给对方造成的经济损失进行赔偿。</w:t>
      </w:r>
    </w:p>
    <w:p>
      <w:pPr>
        <w:adjustRightInd w:val="0"/>
        <w:spacing w:line="360" w:lineRule="auto"/>
        <w:ind w:firstLine="482" w:firstLineChars="200"/>
        <w:rPr>
          <w:rFonts w:hint="eastAsia" w:ascii="宋体" w:hAnsi="宋体"/>
          <w:b/>
          <w:color w:val="auto"/>
          <w:sz w:val="24"/>
          <w:highlight w:val="none"/>
        </w:rPr>
      </w:pPr>
      <w:r>
        <w:rPr>
          <w:rFonts w:ascii="宋体" w:hAnsi="宋体"/>
          <w:b/>
          <w:color w:val="auto"/>
          <w:sz w:val="24"/>
          <w:highlight w:val="none"/>
        </w:rPr>
        <w:t xml:space="preserve">1.4 </w:t>
      </w:r>
      <w:r>
        <w:rPr>
          <w:rFonts w:hint="eastAsia" w:ascii="宋体" w:hAnsi="宋体"/>
          <w:b/>
          <w:color w:val="auto"/>
          <w:sz w:val="24"/>
          <w:highlight w:val="none"/>
        </w:rPr>
        <w:t>不可抗力</w:t>
      </w:r>
    </w:p>
    <w:p>
      <w:pPr>
        <w:adjustRightInd w:val="0"/>
        <w:spacing w:line="360" w:lineRule="auto"/>
        <w:ind w:firstLine="480" w:firstLineChars="200"/>
        <w:rPr>
          <w:rFonts w:hint="eastAsia" w:ascii="宋体" w:hAnsi="宋体"/>
          <w:color w:val="auto"/>
          <w:sz w:val="24"/>
          <w:highlight w:val="none"/>
        </w:rPr>
      </w:pPr>
      <w:r>
        <w:rPr>
          <w:rFonts w:ascii="宋体" w:hAnsi="宋体"/>
          <w:color w:val="auto"/>
          <w:sz w:val="24"/>
          <w:highlight w:val="none"/>
        </w:rPr>
        <w:t>1.4</w:t>
      </w:r>
      <w:r>
        <w:rPr>
          <w:rFonts w:hint="eastAsia" w:ascii="宋体" w:hAnsi="宋体"/>
          <w:color w:val="auto"/>
          <w:sz w:val="24"/>
          <w:highlight w:val="none"/>
        </w:rPr>
        <w:t>.1 若合同双方因不可抗力而导致合同实施延误或合同无法实施，不应该承担误期赔偿或不能履行合同义务的责任。</w:t>
      </w:r>
    </w:p>
    <w:p>
      <w:pPr>
        <w:adjustRightInd w:val="0"/>
        <w:spacing w:line="360" w:lineRule="auto"/>
        <w:ind w:firstLine="480" w:firstLineChars="200"/>
        <w:rPr>
          <w:rFonts w:hint="eastAsia" w:ascii="宋体" w:hAnsi="宋体"/>
          <w:color w:val="auto"/>
          <w:sz w:val="24"/>
          <w:highlight w:val="none"/>
        </w:rPr>
      </w:pPr>
      <w:r>
        <w:rPr>
          <w:rFonts w:ascii="宋体" w:hAnsi="宋体"/>
          <w:color w:val="auto"/>
          <w:sz w:val="24"/>
          <w:highlight w:val="none"/>
        </w:rPr>
        <w:t>1.4</w:t>
      </w:r>
      <w:r>
        <w:rPr>
          <w:rFonts w:hint="eastAsia" w:ascii="宋体" w:hAnsi="宋体"/>
          <w:color w:val="auto"/>
          <w:sz w:val="24"/>
          <w:highlight w:val="none"/>
        </w:rPr>
        <w:t>.2 本条所述的“不可抗力”系指那些双方不可预见、不可避免、不可克服的客观情况，但不包括双方的违约或疏忽。这些事件包括但不限于：战争、严重火灾、洪水、台风、地震、疫情等。</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1.4</w:t>
      </w:r>
      <w:r>
        <w:rPr>
          <w:rFonts w:hint="eastAsia" w:ascii="宋体" w:hAnsi="宋体"/>
          <w:color w:val="auto"/>
          <w:sz w:val="24"/>
          <w:highlight w:val="none"/>
        </w:rPr>
        <w:t>.3 在不可抗力事件发生后，受不可抗力影响的一方应及时将不可抗力情况通知对方，在不可抗力事件结束后3日内以书面形式将不可抗力的情况和原因通知对方，并提供相应的证明文件。合同双方应尽可能继续履行合同义务，并积极寻求采取合理的措施履行不受不可抗力影响的其他事项，通过友好协商在合理的时间内达成进一步履行的协议。</w:t>
      </w:r>
    </w:p>
    <w:p>
      <w:pPr>
        <w:adjustRightInd w:val="0"/>
        <w:spacing w:line="360" w:lineRule="auto"/>
        <w:ind w:firstLine="482" w:firstLineChars="200"/>
        <w:rPr>
          <w:rFonts w:hint="eastAsia" w:ascii="宋体" w:hAnsi="宋体"/>
          <w:b/>
          <w:color w:val="auto"/>
          <w:sz w:val="24"/>
          <w:highlight w:val="none"/>
        </w:rPr>
      </w:pPr>
      <w:r>
        <w:rPr>
          <w:rFonts w:ascii="宋体" w:hAnsi="宋体"/>
          <w:b/>
          <w:color w:val="auto"/>
          <w:sz w:val="24"/>
          <w:highlight w:val="none"/>
        </w:rPr>
        <w:t xml:space="preserve">1.5 </w:t>
      </w:r>
      <w:r>
        <w:rPr>
          <w:rFonts w:hint="eastAsia" w:ascii="宋体" w:hAnsi="宋体"/>
          <w:b/>
          <w:color w:val="auto"/>
          <w:sz w:val="24"/>
          <w:highlight w:val="none"/>
        </w:rPr>
        <w:t>合同变更</w:t>
      </w:r>
    </w:p>
    <w:p>
      <w:pPr>
        <w:adjustRightInd w:val="0"/>
        <w:spacing w:line="360" w:lineRule="auto"/>
        <w:ind w:firstLine="480" w:firstLineChars="200"/>
        <w:rPr>
          <w:rFonts w:hint="eastAsia" w:ascii="宋体" w:hAnsi="宋体"/>
          <w:color w:val="auto"/>
          <w:sz w:val="24"/>
          <w:highlight w:val="none"/>
        </w:rPr>
      </w:pPr>
      <w:r>
        <w:rPr>
          <w:rFonts w:ascii="宋体" w:hAnsi="宋体"/>
          <w:color w:val="auto"/>
          <w:sz w:val="24"/>
          <w:highlight w:val="none"/>
        </w:rPr>
        <w:t>1.5</w:t>
      </w:r>
      <w:r>
        <w:rPr>
          <w:rFonts w:hint="eastAsia" w:ascii="宋体" w:hAnsi="宋体"/>
          <w:color w:val="auto"/>
          <w:sz w:val="24"/>
          <w:highlight w:val="none"/>
        </w:rPr>
        <w:t>.1</w:t>
      </w:r>
      <w:r>
        <w:rPr>
          <w:rFonts w:ascii="宋体" w:hAnsi="宋体"/>
          <w:color w:val="auto"/>
          <w:sz w:val="24"/>
          <w:highlight w:val="none"/>
        </w:rPr>
        <w:t xml:space="preserve"> </w:t>
      </w:r>
      <w:r>
        <w:rPr>
          <w:rFonts w:hint="eastAsia" w:ascii="宋体" w:hAnsi="宋体"/>
          <w:color w:val="auto"/>
          <w:sz w:val="24"/>
          <w:highlight w:val="none"/>
        </w:rPr>
        <w:t>甲、乙双方经协商后一致同意变更本合同条款的，双方应签署补充协议或其他书面文件对变更事宜予以确定。</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1.5</w:t>
      </w: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 xml:space="preserve"> 在具体工程中，甲方有权在工程预算价10%的范围内追加工程量，乙方不得拒绝。</w:t>
      </w:r>
    </w:p>
    <w:p>
      <w:pPr>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1</w:t>
      </w:r>
      <w:r>
        <w:rPr>
          <w:rFonts w:ascii="宋体" w:hAnsi="宋体"/>
          <w:b/>
          <w:color w:val="auto"/>
          <w:sz w:val="24"/>
          <w:highlight w:val="none"/>
        </w:rPr>
        <w:t xml:space="preserve">.6 </w:t>
      </w:r>
      <w:r>
        <w:rPr>
          <w:rFonts w:hint="eastAsia" w:ascii="宋体" w:hAnsi="宋体"/>
          <w:b/>
          <w:color w:val="auto"/>
          <w:sz w:val="24"/>
          <w:highlight w:val="none"/>
        </w:rPr>
        <w:t>双方的一般义务</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.6</w:t>
      </w:r>
      <w:r>
        <w:rPr>
          <w:rFonts w:hint="eastAsia" w:ascii="宋体" w:hAnsi="宋体"/>
          <w:color w:val="auto"/>
          <w:sz w:val="24"/>
          <w:highlight w:val="none"/>
        </w:rPr>
        <w:t>.1</w:t>
      </w:r>
      <w:r>
        <w:rPr>
          <w:rFonts w:hint="eastAsia" w:ascii="宋体" w:hAnsi="宋体"/>
          <w:b/>
          <w:color w:val="auto"/>
          <w:sz w:val="24"/>
          <w:highlight w:val="none"/>
        </w:rPr>
        <w:t xml:space="preserve"> </w:t>
      </w:r>
      <w:r>
        <w:rPr>
          <w:rFonts w:hint="eastAsia" w:ascii="宋体" w:hAnsi="宋体"/>
          <w:color w:val="auto"/>
          <w:sz w:val="24"/>
          <w:highlight w:val="none"/>
        </w:rPr>
        <w:t>甲方的一般义务</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（1）协助乙方清理施工场地、组织施工图纸会审。</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（2）提供施工所需的水、电设施。</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（3）在具体工程中指派代表监督检查工程质量、进度，验收隐蔽工程，验收乙方提供的装修材料品牌、质量级别、规格、型号，确认项目变更。</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（4）依约按时足额向乙方支付工程款。</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（5）组织工程竣工验收，按时办理竣工结算。</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.6</w:t>
      </w:r>
      <w:r>
        <w:rPr>
          <w:rFonts w:hint="eastAsia" w:ascii="宋体" w:hAnsi="宋体"/>
          <w:color w:val="auto"/>
          <w:sz w:val="24"/>
          <w:highlight w:val="none"/>
        </w:rPr>
        <w:t>.2</w:t>
      </w:r>
      <w:r>
        <w:rPr>
          <w:rFonts w:ascii="宋体" w:hAnsi="宋体"/>
          <w:color w:val="auto"/>
          <w:sz w:val="24"/>
          <w:highlight w:val="none"/>
        </w:rPr>
        <w:t xml:space="preserve"> </w:t>
      </w:r>
      <w:r>
        <w:rPr>
          <w:rFonts w:hint="eastAsia" w:ascii="宋体" w:hAnsi="宋体"/>
          <w:color w:val="auto"/>
          <w:sz w:val="24"/>
          <w:highlight w:val="none"/>
        </w:rPr>
        <w:t>乙方的一般义务</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（1）严格按照经甲方确认的维修方案、施工图纸和工程量清单施工，若须变更，必须严格执行变更程序。</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）严格执行施工规范、质量标准、安全操作规范、防火安全规范和环境保护规定。</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）按施工安全规范做好施工质量、安全管理，现场材料堆放整齐，道路畅通。</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）提出合理化建议，合理组织施工，保证工程连续、顺利进行。</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（5）乙方不得以工程变更、增改等须增加的工程款未确定为由拒绝或拖延施工、停工。</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）非经甲方同意，乙方不得擅自停工，由此造成的延期、返工等损失由乙方承担。</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（7）工程竣工后应清理场地，清洁程度达甲方要求。</w:t>
      </w:r>
    </w:p>
    <w:p>
      <w:pPr>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 xml:space="preserve">第二条 工程范围与维修方案 </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 xml:space="preserve">.1 </w:t>
      </w:r>
      <w:r>
        <w:rPr>
          <w:rFonts w:hint="eastAsia" w:ascii="宋体" w:hAnsi="宋体"/>
          <w:color w:val="auto"/>
          <w:sz w:val="24"/>
          <w:highlight w:val="none"/>
        </w:rPr>
        <w:t>根据甲方要求提供玉林校区范围内工程款在100万元以下的房屋建筑维修、房屋建筑装饰维修服务，包含编制维修方案、图纸绘制、平面图及效果图绘制和维修项目的预算及工程量清单编制（该等费用由乙方承担，甲方不另行支付）。维修项目的范围以采购需求为准，每一项具体工程的维修内容以甲方发出的派工单为准。</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 xml:space="preserve">.2 </w:t>
      </w:r>
      <w:r>
        <w:rPr>
          <w:rFonts w:hint="eastAsia" w:ascii="宋体" w:hAnsi="宋体"/>
          <w:color w:val="auto"/>
          <w:sz w:val="24"/>
          <w:highlight w:val="none"/>
        </w:rPr>
        <w:t>维修方案的内容至少应包含该工程的开工条件及工期天数，其他内容由甲方确定。甲方有权审查每项工程的维修方案、预算及工程量清单并要求乙方进行补充或修改，乙方应按照经甲方确认的维修方案进行维修。</w:t>
      </w:r>
    </w:p>
    <w:p>
      <w:pPr>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第三条 设计单位与监理单位</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 xml:space="preserve">.1 </w:t>
      </w:r>
      <w:r>
        <w:rPr>
          <w:rFonts w:hint="eastAsia" w:ascii="宋体" w:hAnsi="宋体"/>
          <w:color w:val="auto"/>
          <w:sz w:val="24"/>
          <w:highlight w:val="none"/>
        </w:rPr>
        <w:t>甲方可根据具体工程的客观情况委托设计单位进行工程设计及</w:t>
      </w:r>
      <w:r>
        <w:rPr>
          <w:rFonts w:ascii="宋体" w:hAnsi="宋体"/>
          <w:color w:val="auto"/>
          <w:sz w:val="24"/>
          <w:highlight w:val="none"/>
        </w:rPr>
        <w:t>/</w:t>
      </w:r>
      <w:r>
        <w:rPr>
          <w:rFonts w:hint="eastAsia" w:ascii="宋体" w:hAnsi="宋体"/>
          <w:color w:val="auto"/>
          <w:sz w:val="24"/>
          <w:highlight w:val="none"/>
        </w:rPr>
        <w:t>或委托监理单位提供监理服务，乙方应依照相关规定无条件配合甲方、设计单位与监理单位的工作并履行相关义务。</w:t>
      </w:r>
    </w:p>
    <w:p>
      <w:pPr>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第四条 工期</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4</w:t>
      </w:r>
      <w:r>
        <w:rPr>
          <w:rFonts w:ascii="宋体" w:hAnsi="宋体"/>
          <w:b/>
          <w:color w:val="auto"/>
          <w:sz w:val="24"/>
          <w:highlight w:val="none"/>
        </w:rPr>
        <w:t xml:space="preserve">.1 </w:t>
      </w:r>
      <w:r>
        <w:rPr>
          <w:rFonts w:hint="eastAsia" w:ascii="宋体" w:hAnsi="宋体"/>
          <w:b/>
          <w:color w:val="auto"/>
          <w:sz w:val="24"/>
          <w:highlight w:val="none"/>
        </w:rPr>
        <w:t>紧急维修工程</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出现</w:t>
      </w:r>
      <w:r>
        <w:rPr>
          <w:rFonts w:hint="eastAsia" w:ascii="宋体" w:hAnsi="宋体"/>
          <w:color w:val="auto"/>
          <w:sz w:val="24"/>
          <w:highlight w:val="none"/>
          <w:lang w:val="en-US" w:eastAsia="zh-CN"/>
        </w:rPr>
        <w:t>大面积停水停电停网等影响校园正常生活秩序或漏电、水管爆裂隐患以及</w:t>
      </w:r>
      <w:r>
        <w:rPr>
          <w:rFonts w:hint="eastAsia" w:ascii="宋体" w:hAnsi="宋体"/>
          <w:color w:val="auto"/>
          <w:sz w:val="24"/>
          <w:highlight w:val="none"/>
        </w:rPr>
        <w:t>其他急须维修（统称紧急维修工程）的情况时，乙方须在收到甲方通知后两小时内派员实地查看并编制维修方案及预算，且至迟应在甲方确认方案及预算之日的次日进场维修。若须维修的项目存在特别重大安全隐患的，经甲方工作人员同意后乙方亦可先行进场紧急抢修以最大程度排除隐患，此后向甲方补充提交维修方案、预算及工程量清单。</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4</w:t>
      </w:r>
      <w:r>
        <w:rPr>
          <w:rFonts w:ascii="宋体" w:hAnsi="宋体"/>
          <w:b/>
          <w:color w:val="auto"/>
          <w:sz w:val="24"/>
          <w:highlight w:val="none"/>
        </w:rPr>
        <w:t xml:space="preserve">.2 </w:t>
      </w:r>
      <w:r>
        <w:rPr>
          <w:rFonts w:hint="eastAsia" w:ascii="宋体" w:hAnsi="宋体"/>
          <w:b/>
          <w:color w:val="auto"/>
          <w:sz w:val="24"/>
          <w:highlight w:val="none"/>
        </w:rPr>
        <w:t>一般维修工程</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 xml:space="preserve">.2.1 </w:t>
      </w:r>
      <w:r>
        <w:rPr>
          <w:rFonts w:hint="eastAsia" w:ascii="宋体" w:hAnsi="宋体"/>
          <w:color w:val="auto"/>
          <w:sz w:val="24"/>
          <w:highlight w:val="none"/>
        </w:rPr>
        <w:t>乙方应在收到甲方就每一项具体工程发出的维修通知的下一个工作日内派员实地查看，并在实地查看后的下一个工作日内向甲方提交该工程的维修方案、预算及工程量清单。工程实际开工日期以满足开工条件后甲方向乙方发出的派工单（或监理单位发出的开工令，下同）中载明的开工日期为准。若乙方认为具体工程复杂、须延期提交维修方案及预算的，应向甲方书面报告，经甲方确认并同意后可相应延迟提交。</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4</w:t>
      </w:r>
      <w:r>
        <w:rPr>
          <w:rFonts w:ascii="宋体" w:hAnsi="宋体"/>
          <w:b/>
          <w:color w:val="auto"/>
          <w:sz w:val="24"/>
          <w:highlight w:val="none"/>
        </w:rPr>
        <w:t xml:space="preserve">.3 </w:t>
      </w:r>
      <w:r>
        <w:rPr>
          <w:rFonts w:hint="eastAsia" w:ascii="宋体" w:hAnsi="宋体"/>
          <w:b/>
          <w:color w:val="auto"/>
          <w:sz w:val="24"/>
          <w:highlight w:val="none"/>
        </w:rPr>
        <w:t>工期顺延</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在具体工程中出现以下情形之一的，该工程的工期相应顺延：</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（1）因甲方原因导致具体工程未能在派工单载明的开工日期开工的；</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（2）在维修过程中根据客观情况须变更设计方案、维修方案或增加工程量且经甲方同意的；</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（3）因天气情况、停电、停水或不可抗力、政府决定（命令）无法施工的。</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乙方进场后不得以甲方未付预付款或工程进度款为由停止施工，乙方有该等情形并导致逾期竣工的，应承担逾期竣工违约责任。</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第五条 设计方案及维修方案的变更</w:t>
      </w:r>
    </w:p>
    <w:p>
      <w:pPr>
        <w:pStyle w:val="37"/>
        <w:adjustRightInd w:val="0"/>
        <w:spacing w:after="0" w:line="360" w:lineRule="auto"/>
        <w:ind w:left="0" w:leftChars="0" w:firstLine="464"/>
        <w:rPr>
          <w:rFonts w:hint="eastAsia"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.1在具体工程中，若出现须变更设计方案及维修方案的，乙方应于下一个工作日内向甲方提交书面说明文件，经甲方确认并同意后方可按照变更后的方案施工并与甲方办理相应的变更签证手续。</w:t>
      </w:r>
    </w:p>
    <w:p>
      <w:pPr>
        <w:pStyle w:val="37"/>
        <w:adjustRightInd w:val="0"/>
        <w:spacing w:after="0" w:line="360" w:lineRule="auto"/>
        <w:ind w:left="0" w:leftChars="0" w:firstLine="464"/>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.2</w:t>
      </w:r>
      <w:r>
        <w:rPr>
          <w:rFonts w:ascii="宋体" w:hAnsi="宋体"/>
          <w:color w:val="auto"/>
          <w:sz w:val="24"/>
          <w:highlight w:val="none"/>
        </w:rPr>
        <w:t xml:space="preserve"> </w:t>
      </w:r>
      <w:r>
        <w:rPr>
          <w:rFonts w:hint="eastAsia" w:ascii="宋体" w:hAnsi="宋体"/>
          <w:color w:val="auto"/>
          <w:sz w:val="24"/>
          <w:highlight w:val="none"/>
        </w:rPr>
        <w:t>乙方未经甲方同意擅自变更设计方案及/或维修方案并进行施工的，或未与甲方办理相应变更签证手续的，甲方有权拒绝支付因该等变更而增加的工程款。</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第六条</w:t>
      </w:r>
      <w:r>
        <w:rPr>
          <w:rFonts w:hint="eastAsia" w:ascii="宋体" w:hAnsi="宋体"/>
          <w:b/>
          <w:color w:val="auto"/>
          <w:sz w:val="24"/>
          <w:highlight w:val="none"/>
        </w:rPr>
        <w:tab/>
      </w:r>
      <w:r>
        <w:rPr>
          <w:rFonts w:hint="eastAsia" w:ascii="宋体" w:hAnsi="宋体"/>
          <w:b/>
          <w:color w:val="auto"/>
          <w:sz w:val="24"/>
          <w:highlight w:val="none"/>
        </w:rPr>
        <w:t>材料设备供应</w:t>
      </w:r>
    </w:p>
    <w:p>
      <w:pPr>
        <w:pStyle w:val="37"/>
        <w:adjustRightInd w:val="0"/>
        <w:spacing w:after="0" w:line="360" w:lineRule="auto"/>
        <w:ind w:left="0" w:leftChars="0" w:firstLine="464"/>
        <w:rPr>
          <w:rFonts w:hint="eastAsia"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.1</w:t>
      </w:r>
      <w:r>
        <w:rPr>
          <w:rFonts w:ascii="宋体" w:hAnsi="宋体"/>
          <w:color w:val="auto"/>
          <w:sz w:val="24"/>
          <w:highlight w:val="none"/>
        </w:rPr>
        <w:t xml:space="preserve"> </w:t>
      </w:r>
      <w:r>
        <w:rPr>
          <w:rFonts w:hint="eastAsia" w:ascii="宋体" w:hAnsi="宋体"/>
          <w:color w:val="auto"/>
          <w:sz w:val="24"/>
          <w:highlight w:val="none"/>
        </w:rPr>
        <w:t>工程使用的建筑装饰材料，必须符合设计要求和国家规定的质量和环保要求，并附有出厂合格证和质量检测报告,严禁使用国家明令淘汰、禁用的产品。</w:t>
      </w:r>
    </w:p>
    <w:p>
      <w:pPr>
        <w:pStyle w:val="37"/>
        <w:adjustRightInd w:val="0"/>
        <w:spacing w:after="0" w:line="360" w:lineRule="auto"/>
        <w:ind w:left="0" w:leftChars="0" w:firstLine="464"/>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.2</w:t>
      </w:r>
      <w:r>
        <w:rPr>
          <w:rFonts w:ascii="宋体" w:hAnsi="宋体"/>
          <w:color w:val="auto"/>
          <w:sz w:val="24"/>
          <w:highlight w:val="none"/>
        </w:rPr>
        <w:t xml:space="preserve"> </w:t>
      </w:r>
      <w:r>
        <w:rPr>
          <w:rFonts w:hint="eastAsia" w:ascii="宋体" w:hAnsi="宋体"/>
          <w:color w:val="auto"/>
          <w:sz w:val="24"/>
          <w:highlight w:val="none"/>
        </w:rPr>
        <w:t>工程所需材料由乙方采购供应至维修地点，所供应的材料必须与工程预算及工程量清单中明确的品牌、规格、型号、等级一致，货到现场后由甲方工作人员进行清点确认。</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 xml:space="preserve">.3 </w:t>
      </w:r>
      <w:r>
        <w:rPr>
          <w:rFonts w:hint="eastAsia" w:ascii="宋体" w:hAnsi="宋体"/>
          <w:color w:val="auto"/>
          <w:sz w:val="24"/>
          <w:highlight w:val="none"/>
        </w:rPr>
        <w:t>材料设备应附有出厂合格证明。若相关材料依照相关规定须进行检测的，在甲方工作人员的见证下将材料现场取样送样检测。若甲方对材料设备的质量有异议，应送交甲方认可的第三方进行检验，检验费用由乙方垫付。若检验结果为合格，则检验费由甲方承担并随相应工程款一并支付；若检验结果为不合格，则乙方应更换材料并自行承担检验费用</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 xml:space="preserve">.4 </w:t>
      </w:r>
      <w:r>
        <w:rPr>
          <w:rFonts w:hint="eastAsia" w:ascii="宋体" w:hAnsi="宋体"/>
          <w:color w:val="auto"/>
          <w:sz w:val="24"/>
          <w:highlight w:val="none"/>
        </w:rPr>
        <w:t>若乙方使用不符合质量要求或与预算及工程量清单不符的材料，导致甲方遭受损失的，乙方应承担赔偿责任。</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第七条 现场管理及安全文明施工</w:t>
      </w:r>
    </w:p>
    <w:p>
      <w:pPr>
        <w:pStyle w:val="37"/>
        <w:adjustRightInd w:val="0"/>
        <w:spacing w:after="0" w:line="360" w:lineRule="auto"/>
        <w:ind w:left="0" w:leftChars="0" w:firstLine="464"/>
        <w:rPr>
          <w:rFonts w:hint="eastAsia"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.1 乙方严格执行相关政府建设行政主管部门施工现场管理规定，遵守甲方规定的施工时间，不得扰乱校园秩序及污染环境。</w:t>
      </w:r>
    </w:p>
    <w:p>
      <w:pPr>
        <w:pStyle w:val="37"/>
        <w:adjustRightInd w:val="0"/>
        <w:spacing w:after="0" w:line="360" w:lineRule="auto"/>
        <w:ind w:left="0" w:leftChars="0" w:firstLine="464"/>
        <w:rPr>
          <w:rFonts w:hint="eastAsia"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 xml:space="preserve"> 因乙方施工造成相邻居民住房的管道堵塞、渗漏、停水、停电</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停网</w:t>
      </w:r>
      <w:r>
        <w:rPr>
          <w:rFonts w:hint="eastAsia" w:ascii="宋体" w:hAnsi="宋体"/>
          <w:color w:val="auto"/>
          <w:sz w:val="24"/>
          <w:highlight w:val="none"/>
        </w:rPr>
        <w:t>等，由乙方承担相应修理和损失赔偿的责任。</w:t>
      </w:r>
    </w:p>
    <w:p>
      <w:pPr>
        <w:pStyle w:val="37"/>
        <w:adjustRightInd w:val="0"/>
        <w:spacing w:after="0" w:line="360" w:lineRule="auto"/>
        <w:ind w:left="0" w:leftChars="0" w:firstLine="464"/>
        <w:rPr>
          <w:rFonts w:hint="eastAsia"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.3乙方应保证室内上、下水管道畅通和卫生间的清洁。负责将施工垃圾装袋及时清运到甲方指定位置或者自行清运到政府指定的垃圾堆放场。</w:t>
      </w:r>
    </w:p>
    <w:p>
      <w:pPr>
        <w:pStyle w:val="37"/>
        <w:adjustRightInd w:val="0"/>
        <w:spacing w:after="0" w:line="360" w:lineRule="auto"/>
        <w:ind w:left="0" w:leftChars="0" w:firstLine="464"/>
        <w:rPr>
          <w:rFonts w:hint="eastAsia"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 xml:space="preserve">.4 </w:t>
      </w:r>
      <w:r>
        <w:rPr>
          <w:rFonts w:ascii="宋体" w:hAnsi="宋体"/>
          <w:color w:val="auto"/>
          <w:sz w:val="24"/>
          <w:highlight w:val="none"/>
        </w:rPr>
        <w:t xml:space="preserve"> </w:t>
      </w:r>
      <w:r>
        <w:rPr>
          <w:rFonts w:hint="eastAsia" w:ascii="宋体" w:hAnsi="宋体"/>
          <w:color w:val="auto"/>
          <w:sz w:val="24"/>
          <w:highlight w:val="none"/>
        </w:rPr>
        <w:t>乙方在施工期间应严格遵守《建筑安装工程安全技术规程》《建筑安装工人安全操作规程》《中华人民共和国消防条例》和其他相关的法规、规范。由于乙方在施工生产过程中违反有关安全操作规程、消防条例，导致发生安全或火灾事故，乙方应承担由此引发的一切损失。</w:t>
      </w:r>
    </w:p>
    <w:p>
      <w:pPr>
        <w:pStyle w:val="37"/>
        <w:adjustRightInd w:val="0"/>
        <w:spacing w:after="0" w:line="360" w:lineRule="auto"/>
        <w:ind w:left="0" w:leftChars="0" w:firstLine="464"/>
        <w:rPr>
          <w:rFonts w:hint="eastAsia" w:ascii="宋体" w:hAnsi="宋体"/>
          <w:color w:val="auto"/>
          <w:sz w:val="24"/>
          <w:highlight w:val="none"/>
        </w:rPr>
      </w:pPr>
      <w:r>
        <w:rPr>
          <w:rFonts w:ascii="宋体" w:hAnsi="宋体"/>
          <w:color w:val="auto"/>
          <w:sz w:val="24"/>
          <w:highlight w:val="none"/>
        </w:rPr>
        <w:t xml:space="preserve">7.5 </w:t>
      </w:r>
      <w:r>
        <w:rPr>
          <w:rFonts w:hint="eastAsia" w:ascii="宋体" w:hAnsi="宋体"/>
          <w:color w:val="auto"/>
          <w:sz w:val="24"/>
          <w:highlight w:val="none"/>
        </w:rPr>
        <w:t>乙方须执行现行的安全文明施工的相关规定。施工人员须按甲方的规定办理出入证，根据具体的情况在施工现场做好场地围蔽；施工现场不得住宿、生火做饭、抽烟；施工场地在非施工时间段内应予封闭、不得敞开。</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第八条 工程质量</w:t>
      </w:r>
    </w:p>
    <w:p>
      <w:pPr>
        <w:pStyle w:val="37"/>
        <w:adjustRightInd w:val="0"/>
        <w:spacing w:after="0" w:line="360" w:lineRule="auto"/>
        <w:ind w:left="0" w:leftChars="0" w:firstLine="464"/>
        <w:rPr>
          <w:rFonts w:hint="eastAsia" w:ascii="宋体" w:hAnsi="宋体"/>
          <w:color w:val="auto"/>
          <w:sz w:val="24"/>
          <w:highlight w:val="none"/>
        </w:rPr>
      </w:pPr>
      <w:r>
        <w:rPr>
          <w:rFonts w:ascii="宋体" w:hAnsi="宋体"/>
          <w:color w:val="auto"/>
          <w:sz w:val="24"/>
          <w:highlight w:val="none"/>
        </w:rPr>
        <w:t>8</w:t>
      </w:r>
      <w:r>
        <w:rPr>
          <w:rFonts w:hint="eastAsia" w:ascii="宋体" w:hAnsi="宋体"/>
          <w:color w:val="auto"/>
          <w:sz w:val="24"/>
          <w:highlight w:val="none"/>
        </w:rPr>
        <w:t>.1工程质量标准按国家现行施工及验收规范，达到合格工程验收标准。</w:t>
      </w:r>
    </w:p>
    <w:p>
      <w:pPr>
        <w:pStyle w:val="37"/>
        <w:adjustRightInd w:val="0"/>
        <w:spacing w:after="0" w:line="360" w:lineRule="auto"/>
        <w:ind w:left="0" w:leftChars="0" w:firstLine="464"/>
        <w:rPr>
          <w:rFonts w:hint="eastAsia" w:ascii="宋体" w:hAnsi="宋体"/>
          <w:color w:val="auto"/>
          <w:sz w:val="24"/>
          <w:highlight w:val="none"/>
        </w:rPr>
      </w:pPr>
      <w:r>
        <w:rPr>
          <w:rFonts w:ascii="宋体" w:hAnsi="宋体"/>
          <w:color w:val="auto"/>
          <w:sz w:val="24"/>
          <w:highlight w:val="none"/>
        </w:rPr>
        <w:t>8</w:t>
      </w:r>
      <w:r>
        <w:rPr>
          <w:rFonts w:hint="eastAsia" w:ascii="宋体" w:hAnsi="宋体"/>
          <w:color w:val="auto"/>
          <w:sz w:val="24"/>
          <w:highlight w:val="none"/>
        </w:rPr>
        <w:t>.2</w:t>
      </w:r>
      <w:r>
        <w:rPr>
          <w:rFonts w:ascii="宋体" w:hAnsi="宋体"/>
          <w:color w:val="auto"/>
          <w:sz w:val="24"/>
          <w:highlight w:val="none"/>
        </w:rPr>
        <w:t xml:space="preserve"> </w:t>
      </w:r>
      <w:r>
        <w:rPr>
          <w:rFonts w:hint="eastAsia" w:ascii="宋体" w:hAnsi="宋体"/>
          <w:color w:val="auto"/>
          <w:sz w:val="24"/>
          <w:highlight w:val="none"/>
          <w:lang w:val="en-US" w:eastAsia="zh-CN"/>
        </w:rPr>
        <w:t>工程涉及</w:t>
      </w:r>
      <w:r>
        <w:rPr>
          <w:rFonts w:hint="eastAsia" w:ascii="宋体" w:hAnsi="宋体"/>
          <w:color w:val="auto"/>
          <w:sz w:val="24"/>
          <w:highlight w:val="none"/>
        </w:rPr>
        <w:t>室内环境污染控制应严格执行GB 50325－2001《民用建筑工程室内环境污染控制规范》和GB/T 18883－2002《室内空气质量标准》等相关国家、行业和地方标准。</w:t>
      </w:r>
    </w:p>
    <w:p>
      <w:pPr>
        <w:pStyle w:val="37"/>
        <w:adjustRightInd w:val="0"/>
        <w:spacing w:after="0" w:line="360" w:lineRule="auto"/>
        <w:ind w:left="0" w:leftChars="0" w:firstLine="464"/>
        <w:rPr>
          <w:rFonts w:ascii="宋体" w:hAnsi="宋体"/>
          <w:color w:val="auto"/>
          <w:sz w:val="24"/>
          <w:highlight w:val="none"/>
        </w:rPr>
      </w:pPr>
      <w:r>
        <w:rPr>
          <w:rFonts w:ascii="宋体" w:hAnsi="宋体"/>
          <w:color w:val="auto"/>
          <w:sz w:val="24"/>
          <w:highlight w:val="none"/>
        </w:rPr>
        <w:t>8</w:t>
      </w: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对施工过程中存在质量问题，经甲方确认后应以书面或口头通知乙方，乙方在收到通知后及时采取有效措施整改完毕。若乙方拒不整改或逾期完成整改的，甲方有权自行采取相应补救措施，由此产生的费用甲方可直接从应付相应工程款中扣除；若乙方有该等情形导致甲方遭受损失的，甲方有权要求乙方赔偿直至解除本合同。</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第九条 工程验收</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9.1 验收标准</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每项具体工程的竣工验收以施工图、图纸会审记录、国家颁发的现行施工及验收规范和质量检验标准为依据。</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9.2竣工验收条件</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工程具备以下条件的，乙方可以申请竣工验收：</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9.2.1除甲方同意的甩项工作和缺陷修补工作外，合同范围内的全部工程以及有关工作，包括合同要求的试验、试运行以及检验均已完成，并符合合同要求；</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9.2.2已按合同约定编制了甩项工作和缺陷修补工作清单以及相应的施工计划；</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9.2.3已按合同约定的内容和份数备齐竣工资料。</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9.3竣工验收程序</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9.3.1工程具备竣工验收条件后，乙方向甲方报送竣工验收申请报告，甲方应在收到竣工验收申请报告后 14天内完成审查。甲方审查后认为尚不具备验收条件的，应通知乙方在竣工验收前乙方还需完成的工作内容，乙方应在完成甲方要求的全部工作内容后再次提交竣工验收申请报告。</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对于甲方委托监理的工程，乙方应向监理单位报送竣工验收申请报告，监理单位应在收到竣工验收申请报告后14日内完成审查并报送采购人。监理单位审查后认为尚不具备验收条件的，应通知乙方在竣工验收前乙方还需完成的工作内容，乙方应在完成监理单位通知的全部工作内容后，再次提交竣工验收申请报告。</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9.3.2甲方经审查后确认已具备竣工验收条件的，应书面通知乙方并在通知之日起1</w:t>
      </w:r>
      <w:r>
        <w:rPr>
          <w:rFonts w:ascii="宋体" w:hAnsi="宋体"/>
          <w:color w:val="auto"/>
          <w:sz w:val="24"/>
          <w:highlight w:val="none"/>
        </w:rPr>
        <w:t>4</w:t>
      </w:r>
      <w:r>
        <w:rPr>
          <w:rFonts w:hint="eastAsia" w:ascii="宋体" w:hAnsi="宋体"/>
          <w:color w:val="auto"/>
          <w:sz w:val="24"/>
          <w:highlight w:val="none"/>
        </w:rPr>
        <w:t>日内与乙方共同进行竣工验收。</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对于甲方委托监理的工程，监理单位审查后认为已具备竣工验收条件的，应将竣工验收申请报告提交甲方，甲方应在收到经监理单位审核的竣工验收申请报告后 28天内审批完毕并组织乙方、监理单位进行竣工验收。</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对于甲方委托设计的工程，设计单位应参与竣工验收。</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9.3.3</w:t>
      </w:r>
      <w:r>
        <w:rPr>
          <w:rFonts w:ascii="宋体" w:hAnsi="宋体"/>
          <w:color w:val="auto"/>
          <w:sz w:val="24"/>
          <w:highlight w:val="none"/>
        </w:rPr>
        <w:t xml:space="preserve"> 工程竣工验收合格</w:t>
      </w:r>
      <w:r>
        <w:rPr>
          <w:rFonts w:hint="eastAsia" w:ascii="宋体" w:hAnsi="宋体"/>
          <w:color w:val="auto"/>
          <w:sz w:val="24"/>
          <w:highlight w:val="none"/>
        </w:rPr>
        <w:t xml:space="preserve">的，甲方应在验收合格后 14 天内向乙方签发工程合格确认文件。 </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9.3.4</w:t>
      </w:r>
      <w:r>
        <w:rPr>
          <w:rFonts w:ascii="宋体" w:hAnsi="宋体"/>
          <w:color w:val="auto"/>
          <w:sz w:val="24"/>
          <w:highlight w:val="none"/>
        </w:rPr>
        <w:t xml:space="preserve"> 工程竣工验收</w:t>
      </w:r>
      <w:r>
        <w:rPr>
          <w:rFonts w:hint="eastAsia" w:ascii="宋体" w:hAnsi="宋体"/>
          <w:color w:val="auto"/>
          <w:sz w:val="24"/>
          <w:highlight w:val="none"/>
        </w:rPr>
        <w:t>不合格的，甲方（或监理单位，如有）有权要求乙方对不合格工程返工、 修复或采取其他补救措施，由此导致的费用增加及/或工期延误的责任由乙方承担。乙方完成不合格工程的返工、修复或采取其他补救措施后应重新提交竣工验收申请报告，并按本条约定的程序重新进行验收。</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9.3.5</w:t>
      </w:r>
      <w:r>
        <w:rPr>
          <w:rFonts w:ascii="宋体" w:hAnsi="宋体"/>
          <w:color w:val="auto"/>
          <w:sz w:val="24"/>
          <w:highlight w:val="none"/>
        </w:rPr>
        <w:t xml:space="preserve"> </w:t>
      </w:r>
      <w:r>
        <w:rPr>
          <w:rFonts w:hint="eastAsia" w:ascii="宋体" w:hAnsi="宋体"/>
          <w:color w:val="auto"/>
          <w:sz w:val="24"/>
          <w:highlight w:val="none"/>
        </w:rPr>
        <w:t>甲方擅自使用未经验收或验收不合格的工程的，视为工程验收合格。</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9.4竣工日期</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.4.1 工程竣工验收合格</w:t>
      </w:r>
      <w:r>
        <w:rPr>
          <w:rFonts w:hint="eastAsia" w:ascii="宋体" w:hAnsi="宋体"/>
          <w:color w:val="auto"/>
          <w:sz w:val="24"/>
          <w:highlight w:val="none"/>
        </w:rPr>
        <w:t>的，以乙方提交竣工验收申请报告之日为实际竣工日期，并在工程合格确认文件中载明。若因验收不合格而重新进行竣工验收的，实际竣工日期以确认合格之前一份提交最近一份竣工验收申请报告之日为准。</w:t>
      </w:r>
    </w:p>
    <w:p>
      <w:pPr>
        <w:pStyle w:val="37"/>
        <w:adjustRightInd w:val="0"/>
        <w:spacing w:after="0" w:line="360" w:lineRule="auto"/>
        <w:ind w:left="0" w:leftChars="0" w:firstLine="464"/>
        <w:rPr>
          <w:rFonts w:ascii="宋体" w:hAnsi="宋体"/>
          <w:color w:val="auto"/>
          <w:sz w:val="24"/>
          <w:highlight w:val="none"/>
        </w:rPr>
      </w:pPr>
      <w:r>
        <w:rPr>
          <w:rFonts w:ascii="宋体" w:hAnsi="宋体"/>
          <w:color w:val="auto"/>
          <w:sz w:val="24"/>
          <w:highlight w:val="none"/>
        </w:rPr>
        <w:t xml:space="preserve">9.4.2 </w:t>
      </w:r>
      <w:r>
        <w:rPr>
          <w:rFonts w:hint="eastAsia" w:ascii="宋体" w:hAnsi="宋体"/>
          <w:color w:val="auto"/>
          <w:sz w:val="24"/>
          <w:highlight w:val="none"/>
        </w:rPr>
        <w:t>因甲方原因未在收到乙方提交的竣工验收申请报告之日起42天内组织竣工验收，或虽已组织竣工验收但在验收结果为合格的情况下未签发工程合格确认文件的，以乙方提交竣工验收申请报告之日起的第4</w:t>
      </w:r>
      <w:r>
        <w:rPr>
          <w:rFonts w:ascii="宋体" w:hAnsi="宋体"/>
          <w:color w:val="auto"/>
          <w:sz w:val="24"/>
          <w:highlight w:val="none"/>
        </w:rPr>
        <w:t>3</w:t>
      </w:r>
      <w:r>
        <w:rPr>
          <w:rFonts w:hint="eastAsia" w:ascii="宋体" w:hAnsi="宋体"/>
          <w:color w:val="auto"/>
          <w:sz w:val="24"/>
          <w:highlight w:val="none"/>
        </w:rPr>
        <w:t>日为实际竣工日期。</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 xml:space="preserve">.4.3 </w:t>
      </w:r>
      <w:r>
        <w:rPr>
          <w:rFonts w:hint="eastAsia" w:ascii="宋体" w:hAnsi="宋体"/>
          <w:color w:val="auto"/>
          <w:sz w:val="24"/>
          <w:highlight w:val="none"/>
        </w:rPr>
        <w:t>甲方擅自使用未经验收或验收不合格的工程的，以开始使用之日为实际竣工日期。</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9.5拒绝接收全部或部分工程</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对于竣工验收不合格的工程，乙方完成整改后应当重新进行竣工验收，经重新组织验收仍不合格的且无法采取措施补救的，甲方有权拒绝接收；因不合格工程导致其他工程不能正常使用的，乙方应采取措施确保相关工程的正常使用，由此导致的费用增加及/或工期延误的责任由乙方承担。</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9.6移交、接收全部与部分工程</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对于须办理移交手续的工程，甲、乙双方应当在甲方签发工程合格确认文件之日起7日内完成工程的移交。甲方无正当理由不接收工程的，甲方自应当接收工程之日起承担工程照管、成品保护、 保管等与工程有关的各项费用，但甲方不须因此向乙方支付任何费用；乙方无正当理由不移交工程的，乙方应承担工程照管、成品保护、保管等与工程有关的各项费用。</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9.7 隐蔽工程验收。</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9.7.1 隐蔽工程在隐蔽前2天，由乙方准备好验收前的测试记录、图纸和照片并通知甲方到场验收。</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9.7.2 因施工图与现场不符的或其它因素无法按图施工而须变更施工图的，经甲方同意后，乙方应在不须按图施工的隐蔽工程部分隐蔽前2天备妥验收前的测试记录及依照变更后的、与现场相符的施工图和照片并通知甲方到场验收。</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若乙方未提供变更后的、与现场相符的施工图的，甲方有权以不具备隐蔽工程验收条件为由不予验收并责令乙方立即整改，乙方应在两日内整改完毕。乙方仍未及时整改致使工程无法按期竣工、工程质量、工程款结算（包括由此引起的结算依据不足）等不利后果由乙方承担。</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 xml:space="preserve">.7.3 </w:t>
      </w:r>
      <w:r>
        <w:rPr>
          <w:rFonts w:hint="eastAsia" w:ascii="宋体" w:hAnsi="宋体"/>
          <w:color w:val="auto"/>
          <w:sz w:val="24"/>
          <w:highlight w:val="none"/>
        </w:rPr>
        <w:t>甲方未按时到场验收的，乙方应先行催告甲方并给予甲方合理的到场时间。甲方经催告后仍未按时到场的，乙方另行可自检后隐蔽并如实填写隐蔽记录，该等记录具有作为工程结算依据的效力。</w:t>
      </w:r>
    </w:p>
    <w:p>
      <w:pPr>
        <w:pStyle w:val="37"/>
        <w:adjustRightInd w:val="0"/>
        <w:spacing w:after="0" w:line="360" w:lineRule="auto"/>
        <w:ind w:left="0" w:leftChars="0" w:firstLine="466"/>
        <w:rPr>
          <w:rFonts w:hint="eastAsia" w:ascii="宋体" w:hAnsi="宋体"/>
          <w:b/>
          <w:color w:val="auto"/>
          <w:sz w:val="24"/>
          <w:highlight w:val="none"/>
        </w:rPr>
      </w:pPr>
      <w:r>
        <w:rPr>
          <w:rFonts w:hint="eastAsia" w:ascii="宋体" w:hAnsi="宋体"/>
          <w:b/>
          <w:color w:val="auto"/>
          <w:sz w:val="24"/>
          <w:highlight w:val="none"/>
        </w:rPr>
        <w:t>9</w:t>
      </w:r>
      <w:r>
        <w:rPr>
          <w:rFonts w:ascii="宋体" w:hAnsi="宋体"/>
          <w:b/>
          <w:color w:val="auto"/>
          <w:sz w:val="24"/>
          <w:highlight w:val="none"/>
        </w:rPr>
        <w:t xml:space="preserve">.8 </w:t>
      </w:r>
      <w:r>
        <w:rPr>
          <w:rFonts w:hint="eastAsia" w:ascii="宋体" w:hAnsi="宋体"/>
          <w:b/>
          <w:color w:val="auto"/>
          <w:sz w:val="24"/>
          <w:highlight w:val="none"/>
        </w:rPr>
        <w:t>竣工资料</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乙方在甲方签发工程合格确认文件之日起内向甲方提供肆套纸质版竣工图及竣工资料及壹份光盘。</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 xml:space="preserve">第十条 </w:t>
      </w:r>
      <w:r>
        <w:rPr>
          <w:rFonts w:ascii="宋体" w:hAnsi="宋体"/>
          <w:b/>
          <w:color w:val="auto"/>
          <w:sz w:val="24"/>
          <w:highlight w:val="none"/>
        </w:rPr>
        <w:t>缺陷责任与保修</w:t>
      </w:r>
    </w:p>
    <w:p>
      <w:pPr>
        <w:pStyle w:val="37"/>
        <w:adjustRightInd w:val="0"/>
        <w:spacing w:after="0" w:line="360" w:lineRule="auto"/>
        <w:ind w:left="0" w:leftChars="0" w:firstLine="466"/>
        <w:rPr>
          <w:rFonts w:ascii="宋体" w:hAnsi="宋体"/>
          <w:b/>
          <w:color w:val="auto"/>
          <w:sz w:val="24"/>
          <w:highlight w:val="none"/>
        </w:rPr>
      </w:pPr>
      <w:bookmarkStart w:id="203" w:name="_Toc296346615"/>
      <w:bookmarkStart w:id="204" w:name="_Toc296503114"/>
      <w:r>
        <w:rPr>
          <w:rFonts w:ascii="宋体" w:hAnsi="宋体"/>
          <w:b/>
          <w:color w:val="auto"/>
          <w:sz w:val="24"/>
          <w:highlight w:val="none"/>
        </w:rPr>
        <w:t xml:space="preserve">10.1 </w:t>
      </w:r>
      <w:bookmarkStart w:id="205" w:name="_Toc351203599"/>
      <w:bookmarkStart w:id="206" w:name="_Toc337558816"/>
      <w:r>
        <w:rPr>
          <w:rFonts w:ascii="宋体" w:hAnsi="宋体"/>
          <w:b/>
          <w:color w:val="auto"/>
          <w:sz w:val="24"/>
          <w:highlight w:val="none"/>
        </w:rPr>
        <w:t>工程保修的原则</w:t>
      </w:r>
      <w:bookmarkEnd w:id="205"/>
    </w:p>
    <w:bookmarkEnd w:id="206"/>
    <w:p>
      <w:pPr>
        <w:pStyle w:val="37"/>
        <w:adjustRightInd w:val="0"/>
        <w:spacing w:after="0" w:line="360" w:lineRule="auto"/>
        <w:ind w:left="0" w:leftChars="0" w:firstLine="464"/>
        <w:rPr>
          <w:rFonts w:ascii="宋体" w:hAnsi="宋体"/>
          <w:color w:val="auto"/>
          <w:sz w:val="24"/>
          <w:highlight w:val="none"/>
        </w:rPr>
      </w:pPr>
      <w:r>
        <w:rPr>
          <w:rFonts w:ascii="宋体" w:hAnsi="宋体"/>
          <w:color w:val="auto"/>
          <w:sz w:val="24"/>
          <w:highlight w:val="none"/>
        </w:rPr>
        <w:t>在甲方</w:t>
      </w:r>
      <w:r>
        <w:rPr>
          <w:rFonts w:hint="eastAsia" w:ascii="宋体" w:hAnsi="宋体"/>
          <w:color w:val="auto"/>
          <w:sz w:val="24"/>
          <w:highlight w:val="none"/>
        </w:rPr>
        <w:t>签发工程合格确认文件</w:t>
      </w:r>
      <w:r>
        <w:rPr>
          <w:rFonts w:ascii="宋体" w:hAnsi="宋体"/>
          <w:color w:val="auto"/>
          <w:sz w:val="24"/>
          <w:highlight w:val="none"/>
        </w:rPr>
        <w:t>后，乙方应承担</w:t>
      </w:r>
      <w:r>
        <w:rPr>
          <w:rFonts w:hint="eastAsia" w:ascii="宋体" w:hAnsi="宋体"/>
          <w:color w:val="auto"/>
          <w:sz w:val="24"/>
          <w:highlight w:val="none"/>
        </w:rPr>
        <w:t>工程</w:t>
      </w:r>
      <w:r>
        <w:rPr>
          <w:rFonts w:ascii="宋体" w:hAnsi="宋体"/>
          <w:color w:val="auto"/>
          <w:sz w:val="24"/>
          <w:highlight w:val="none"/>
        </w:rPr>
        <w:t>因乙方原因产生的质量缺陷责任和保修义务。缺陷责任期届满，乙方仍应</w:t>
      </w:r>
      <w:r>
        <w:rPr>
          <w:rFonts w:hint="eastAsia" w:ascii="宋体" w:hAnsi="宋体"/>
          <w:color w:val="auto"/>
          <w:sz w:val="24"/>
          <w:highlight w:val="none"/>
        </w:rPr>
        <w:t>依照相关规定和本合同约定</w:t>
      </w:r>
      <w:r>
        <w:rPr>
          <w:rFonts w:ascii="宋体" w:hAnsi="宋体"/>
          <w:color w:val="auto"/>
          <w:sz w:val="24"/>
          <w:highlight w:val="none"/>
        </w:rPr>
        <w:t>承担保修义务。</w:t>
      </w:r>
    </w:p>
    <w:p>
      <w:pPr>
        <w:pStyle w:val="37"/>
        <w:adjustRightInd w:val="0"/>
        <w:spacing w:after="0" w:line="360" w:lineRule="auto"/>
        <w:ind w:left="0" w:leftChars="0" w:firstLine="466"/>
        <w:rPr>
          <w:rFonts w:ascii="宋体" w:hAnsi="宋体"/>
          <w:b/>
          <w:color w:val="auto"/>
          <w:sz w:val="24"/>
          <w:highlight w:val="none"/>
        </w:rPr>
      </w:pPr>
      <w:bookmarkStart w:id="207" w:name="_Toc351203600"/>
      <w:bookmarkStart w:id="208" w:name="_Toc337558817"/>
      <w:r>
        <w:rPr>
          <w:rFonts w:ascii="宋体" w:hAnsi="宋体"/>
          <w:b/>
          <w:color w:val="auto"/>
          <w:sz w:val="24"/>
          <w:highlight w:val="none"/>
        </w:rPr>
        <w:t>10.2 缺陷责任期</w:t>
      </w:r>
      <w:bookmarkEnd w:id="203"/>
      <w:bookmarkEnd w:id="204"/>
      <w:bookmarkEnd w:id="207"/>
    </w:p>
    <w:bookmarkEnd w:id="208"/>
    <w:p>
      <w:pPr>
        <w:pStyle w:val="37"/>
        <w:adjustRightInd w:val="0"/>
        <w:spacing w:after="0" w:line="360" w:lineRule="auto"/>
        <w:ind w:left="0" w:leftChars="0" w:firstLine="464"/>
        <w:rPr>
          <w:rFonts w:ascii="宋体" w:hAnsi="宋体"/>
          <w:color w:val="auto"/>
          <w:sz w:val="24"/>
          <w:highlight w:val="none"/>
        </w:rPr>
      </w:pPr>
      <w:r>
        <w:rPr>
          <w:rFonts w:ascii="宋体" w:hAnsi="宋体"/>
          <w:color w:val="auto"/>
          <w:sz w:val="24"/>
          <w:highlight w:val="none"/>
        </w:rPr>
        <w:t>10.2.1 缺陷责任期自</w:t>
      </w:r>
      <w:r>
        <w:rPr>
          <w:rFonts w:hint="eastAsia" w:ascii="宋体" w:hAnsi="宋体"/>
          <w:color w:val="auto"/>
          <w:sz w:val="24"/>
          <w:highlight w:val="none"/>
        </w:rPr>
        <w:t>工程实际竣工日期</w:t>
      </w:r>
      <w:r>
        <w:rPr>
          <w:rFonts w:ascii="宋体" w:hAnsi="宋体"/>
          <w:color w:val="auto"/>
          <w:sz w:val="24"/>
          <w:highlight w:val="none"/>
        </w:rPr>
        <w:t>起算24个月。</w:t>
      </w:r>
    </w:p>
    <w:p>
      <w:pPr>
        <w:pStyle w:val="37"/>
        <w:adjustRightInd w:val="0"/>
        <w:spacing w:after="0" w:line="360" w:lineRule="auto"/>
        <w:ind w:left="0" w:leftChars="0" w:firstLine="464"/>
        <w:rPr>
          <w:rFonts w:ascii="宋体" w:hAnsi="宋体"/>
          <w:color w:val="auto"/>
          <w:sz w:val="24"/>
          <w:highlight w:val="none"/>
        </w:rPr>
      </w:pPr>
      <w:r>
        <w:rPr>
          <w:rFonts w:ascii="宋体" w:hAnsi="宋体"/>
          <w:color w:val="auto"/>
          <w:sz w:val="24"/>
          <w:highlight w:val="none"/>
        </w:rPr>
        <w:t>单位工程先于全部工程进行验收，经验收合格并交付使用的，该单位工程缺陷责任期自单位工程验收合格之日起算。因甲方原因导致工程无法按合同约定期限进行竣工验收的，缺陷责任期自乙方提交竣工验收申请报告之日起开始计算；甲方未经竣工验收擅自使用工程的，缺陷责任期自工程转移占有之日起开始计算。</w:t>
      </w:r>
    </w:p>
    <w:p>
      <w:pPr>
        <w:pStyle w:val="37"/>
        <w:adjustRightInd w:val="0"/>
        <w:spacing w:after="0" w:line="360" w:lineRule="auto"/>
        <w:ind w:left="0" w:leftChars="0" w:firstLine="464"/>
        <w:rPr>
          <w:rFonts w:ascii="宋体" w:hAnsi="宋体"/>
          <w:color w:val="auto"/>
          <w:sz w:val="24"/>
          <w:highlight w:val="none"/>
        </w:rPr>
      </w:pPr>
      <w:r>
        <w:rPr>
          <w:rFonts w:ascii="宋体" w:hAnsi="宋体"/>
          <w:color w:val="auto"/>
          <w:sz w:val="24"/>
          <w:highlight w:val="none"/>
        </w:rPr>
        <w:t>10.2.2 工程竣工验收合格后，因乙方原因导致的缺陷或损坏致使工程、单位工程或某项主要设备不能按原定目的使用的，则甲方有权要求乙方延长缺陷责任期，并应在原缺陷责任期届满前发出延长通知，但缺陷责任期最长不能超过24个月。</w:t>
      </w:r>
    </w:p>
    <w:p>
      <w:pPr>
        <w:pStyle w:val="37"/>
        <w:adjustRightInd w:val="0"/>
        <w:spacing w:after="0" w:line="360" w:lineRule="auto"/>
        <w:ind w:left="0" w:leftChars="0" w:firstLine="464"/>
        <w:rPr>
          <w:rFonts w:ascii="宋体" w:hAnsi="宋体"/>
          <w:color w:val="auto"/>
          <w:sz w:val="24"/>
          <w:highlight w:val="none"/>
        </w:rPr>
      </w:pPr>
      <w:r>
        <w:rPr>
          <w:rFonts w:ascii="宋体" w:hAnsi="宋体"/>
          <w:color w:val="auto"/>
          <w:sz w:val="24"/>
          <w:highlight w:val="none"/>
        </w:rPr>
        <w:t>10.2.3 任何一项缺陷或损坏修复后，经检查证明其影响了工程或工程设备的使用性能，乙方应重新进行</w:t>
      </w:r>
      <w:r>
        <w:rPr>
          <w:rFonts w:hint="eastAsia" w:ascii="宋体" w:hAnsi="宋体"/>
          <w:color w:val="auto"/>
          <w:sz w:val="24"/>
          <w:highlight w:val="none"/>
        </w:rPr>
        <w:t>相应</w:t>
      </w:r>
      <w:r>
        <w:rPr>
          <w:rFonts w:ascii="宋体" w:hAnsi="宋体"/>
          <w:color w:val="auto"/>
          <w:sz w:val="24"/>
          <w:highlight w:val="none"/>
        </w:rPr>
        <w:t>的试验和试运行，试验和试运行的全部费用应由责任方承担。</w:t>
      </w:r>
    </w:p>
    <w:p>
      <w:pPr>
        <w:pStyle w:val="37"/>
        <w:adjustRightInd w:val="0"/>
        <w:spacing w:after="0" w:line="360" w:lineRule="auto"/>
        <w:ind w:left="0" w:leftChars="0" w:firstLine="464"/>
        <w:rPr>
          <w:rFonts w:ascii="宋体" w:hAnsi="宋体"/>
          <w:color w:val="auto"/>
          <w:sz w:val="24"/>
          <w:highlight w:val="none"/>
        </w:rPr>
      </w:pPr>
      <w:r>
        <w:rPr>
          <w:rFonts w:ascii="宋体" w:hAnsi="宋体"/>
          <w:color w:val="auto"/>
          <w:sz w:val="24"/>
          <w:highlight w:val="none"/>
        </w:rPr>
        <w:t>10.2.4，乙方应于缺陷责任期届满后7天内向甲方发出缺陷责任期</w:t>
      </w:r>
      <w:r>
        <w:rPr>
          <w:rFonts w:hint="eastAsia" w:ascii="宋体" w:hAnsi="宋体"/>
          <w:color w:val="auto"/>
          <w:sz w:val="24"/>
          <w:highlight w:val="none"/>
        </w:rPr>
        <w:t>届</w:t>
      </w:r>
      <w:r>
        <w:rPr>
          <w:rFonts w:ascii="宋体" w:hAnsi="宋体"/>
          <w:color w:val="auto"/>
          <w:sz w:val="24"/>
          <w:highlight w:val="none"/>
        </w:rPr>
        <w:t>满通知，甲方应在</w:t>
      </w:r>
      <w:r>
        <w:rPr>
          <w:rFonts w:hint="eastAsia" w:ascii="宋体" w:hAnsi="宋体"/>
          <w:color w:val="auto"/>
          <w:sz w:val="24"/>
          <w:highlight w:val="none"/>
        </w:rPr>
        <w:t>收</w:t>
      </w:r>
      <w:r>
        <w:rPr>
          <w:rFonts w:ascii="宋体" w:hAnsi="宋体"/>
          <w:color w:val="auto"/>
          <w:sz w:val="24"/>
          <w:highlight w:val="none"/>
        </w:rPr>
        <w:t>到缺陷责任期满通知后14天内核实乙方是否履行缺陷</w:t>
      </w:r>
      <w:r>
        <w:rPr>
          <w:rFonts w:hint="eastAsia" w:ascii="宋体" w:hAnsi="宋体"/>
          <w:color w:val="auto"/>
          <w:sz w:val="24"/>
          <w:highlight w:val="none"/>
        </w:rPr>
        <w:t>修复</w:t>
      </w:r>
      <w:r>
        <w:rPr>
          <w:rFonts w:ascii="宋体" w:hAnsi="宋体"/>
          <w:color w:val="auto"/>
          <w:sz w:val="24"/>
          <w:highlight w:val="none"/>
        </w:rPr>
        <w:t>义务，乙方未能履行缺陷</w:t>
      </w:r>
      <w:r>
        <w:rPr>
          <w:rFonts w:hint="eastAsia" w:ascii="宋体" w:hAnsi="宋体"/>
          <w:color w:val="auto"/>
          <w:sz w:val="24"/>
          <w:highlight w:val="none"/>
        </w:rPr>
        <w:t>修复</w:t>
      </w:r>
      <w:r>
        <w:rPr>
          <w:rFonts w:ascii="宋体" w:hAnsi="宋体"/>
          <w:color w:val="auto"/>
          <w:sz w:val="24"/>
          <w:highlight w:val="none"/>
        </w:rPr>
        <w:t>义务的，甲方有权扣除相应金额的维修费用。甲方应在</w:t>
      </w:r>
      <w:r>
        <w:rPr>
          <w:rFonts w:hint="eastAsia" w:ascii="宋体" w:hAnsi="宋体"/>
          <w:color w:val="auto"/>
          <w:sz w:val="24"/>
          <w:highlight w:val="none"/>
        </w:rPr>
        <w:t>收到</w:t>
      </w:r>
      <w:r>
        <w:rPr>
          <w:rFonts w:ascii="宋体" w:hAnsi="宋体"/>
          <w:color w:val="auto"/>
          <w:sz w:val="24"/>
          <w:highlight w:val="none"/>
        </w:rPr>
        <w:t>缺陷责任期</w:t>
      </w:r>
      <w:r>
        <w:rPr>
          <w:rFonts w:hint="eastAsia" w:ascii="宋体" w:hAnsi="宋体"/>
          <w:color w:val="auto"/>
          <w:sz w:val="24"/>
          <w:highlight w:val="none"/>
        </w:rPr>
        <w:t>届</w:t>
      </w:r>
      <w:r>
        <w:rPr>
          <w:rFonts w:ascii="宋体" w:hAnsi="宋体"/>
          <w:color w:val="auto"/>
          <w:sz w:val="24"/>
          <w:highlight w:val="none"/>
        </w:rPr>
        <w:t>满</w:t>
      </w:r>
      <w:r>
        <w:rPr>
          <w:rFonts w:hint="eastAsia" w:ascii="宋体" w:hAnsi="宋体"/>
          <w:color w:val="auto"/>
          <w:sz w:val="24"/>
          <w:highlight w:val="none"/>
        </w:rPr>
        <w:t>通知后</w:t>
      </w:r>
      <w:r>
        <w:rPr>
          <w:rFonts w:ascii="宋体" w:hAnsi="宋体"/>
          <w:color w:val="auto"/>
          <w:sz w:val="24"/>
          <w:highlight w:val="none"/>
        </w:rPr>
        <w:t>14天内，向乙方颁发缺陷责任期终止证</w:t>
      </w:r>
      <w:r>
        <w:rPr>
          <w:rFonts w:hint="eastAsia" w:ascii="宋体" w:hAnsi="宋体"/>
          <w:color w:val="auto"/>
          <w:sz w:val="24"/>
          <w:highlight w:val="none"/>
        </w:rPr>
        <w:t>书</w:t>
      </w:r>
      <w:r>
        <w:rPr>
          <w:rFonts w:ascii="宋体" w:hAnsi="宋体"/>
          <w:color w:val="auto"/>
          <w:sz w:val="24"/>
          <w:highlight w:val="none"/>
        </w:rPr>
        <w:t>。</w:t>
      </w:r>
    </w:p>
    <w:p>
      <w:pPr>
        <w:pStyle w:val="37"/>
        <w:adjustRightInd w:val="0"/>
        <w:spacing w:after="0" w:line="360" w:lineRule="auto"/>
        <w:ind w:left="0" w:leftChars="0" w:firstLine="466"/>
        <w:rPr>
          <w:rFonts w:ascii="宋体" w:hAnsi="宋体"/>
          <w:b/>
          <w:color w:val="auto"/>
          <w:sz w:val="24"/>
          <w:highlight w:val="none"/>
        </w:rPr>
      </w:pPr>
      <w:bookmarkStart w:id="209" w:name="_Toc337558818"/>
      <w:bookmarkStart w:id="210" w:name="_Toc351203601"/>
      <w:bookmarkStart w:id="211" w:name="_Toc296346616"/>
      <w:bookmarkStart w:id="212" w:name="_Toc296503115"/>
      <w:r>
        <w:rPr>
          <w:rFonts w:ascii="宋体" w:hAnsi="宋体"/>
          <w:b/>
          <w:color w:val="auto"/>
          <w:sz w:val="24"/>
          <w:highlight w:val="none"/>
        </w:rPr>
        <w:t>10.3</w:t>
      </w:r>
      <w:bookmarkEnd w:id="209"/>
      <w:bookmarkEnd w:id="210"/>
      <w:bookmarkStart w:id="213" w:name="_Toc351203602"/>
      <w:bookmarkStart w:id="214" w:name="_Toc337558819"/>
      <w:r>
        <w:rPr>
          <w:rFonts w:ascii="宋体" w:hAnsi="宋体"/>
          <w:b/>
          <w:color w:val="auto"/>
          <w:sz w:val="24"/>
          <w:highlight w:val="none"/>
        </w:rPr>
        <w:t xml:space="preserve"> 保修</w:t>
      </w:r>
      <w:bookmarkEnd w:id="213"/>
    </w:p>
    <w:bookmarkEnd w:id="211"/>
    <w:bookmarkEnd w:id="212"/>
    <w:bookmarkEnd w:id="214"/>
    <w:p>
      <w:pPr>
        <w:pStyle w:val="37"/>
        <w:adjustRightInd w:val="0"/>
        <w:spacing w:after="0" w:line="360" w:lineRule="auto"/>
        <w:ind w:left="0" w:leftChars="0" w:firstLine="464"/>
        <w:rPr>
          <w:rFonts w:hint="eastAsia" w:ascii="宋体" w:hAnsi="宋体" w:cs="宋体"/>
          <w:color w:val="auto"/>
          <w:sz w:val="24"/>
          <w:highlight w:val="none"/>
        </w:rPr>
      </w:pPr>
      <w:r>
        <w:rPr>
          <w:rFonts w:hint="eastAsia" w:ascii="宋体" w:hAnsi="宋体" w:cs="宋体"/>
          <w:color w:val="auto"/>
          <w:sz w:val="24"/>
          <w:highlight w:val="none"/>
        </w:rPr>
        <w:t>10.3.1保修责任</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highlight w:val="none"/>
        </w:rPr>
        <w:t xml:space="preserve">10.3.1.1 </w:t>
      </w:r>
      <w:r>
        <w:rPr>
          <w:rFonts w:hint="eastAsia" w:ascii="宋体" w:hAnsi="宋体" w:cs="宋体"/>
          <w:color w:val="auto"/>
          <w:sz w:val="24"/>
          <w:szCs w:val="24"/>
          <w:highlight w:val="none"/>
        </w:rPr>
        <w:t>质量保修期从工程实际竣工验收通过之日算起。分单项竣工验收的工程，按单项工程分别计算质量保修期。根据《建设工程质量管理条例》及有关规定，约定本工程的质量保修期如下：</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地基基础工程和主体结构工程为设计文件规定的该工程合理使用年限；</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土建工程为 2 年；</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房屋防水工程、有防水要求的卫生间、房间和外墙的防渗为 5 年；</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电气管线、给排水管道、设备安装[含电气（器）、通风、照明、消防、防雷等设备]工程为 2 年；</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装修工程为 2 年；</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供热及供冷系统为 2 个供暖期及供冷期。</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住宅小区内的给排水设施、道路等配套工程为 2 年。</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绿化工程为 1 年。</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市政工程为 1 年。</w:t>
      </w:r>
    </w:p>
    <w:p>
      <w:pPr>
        <w:pStyle w:val="37"/>
        <w:adjustRightInd w:val="0"/>
        <w:spacing w:after="0" w:line="360" w:lineRule="auto"/>
        <w:ind w:left="0" w:leftChars="0" w:firstLine="464"/>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其他项目保修期限在没有明文规定下，参照建设工程质量保修条例，双方协商为设计文件规定的该工程的合理使用年限内保修；</w:t>
      </w:r>
    </w:p>
    <w:p>
      <w:pPr>
        <w:pStyle w:val="37"/>
        <w:adjustRightInd w:val="0"/>
        <w:spacing w:after="0" w:line="360" w:lineRule="auto"/>
        <w:ind w:left="0" w:leftChars="0" w:firstLine="464"/>
        <w:rPr>
          <w:rFonts w:hint="eastAsia" w:ascii="宋体" w:hAnsi="宋体" w:cs="宋体"/>
          <w:color w:val="auto"/>
          <w:sz w:val="24"/>
          <w:highlight w:val="none"/>
        </w:rPr>
      </w:pPr>
      <w:r>
        <w:rPr>
          <w:rFonts w:hint="eastAsia" w:ascii="宋体" w:hAnsi="宋体" w:cs="宋体"/>
          <w:color w:val="auto"/>
          <w:sz w:val="24"/>
          <w:highlight w:val="none"/>
        </w:rPr>
        <w:t>10.3.1.2 甲方未经竣工验收擅自使用工程的，保修期自转移占有之日起算。</w:t>
      </w:r>
    </w:p>
    <w:p>
      <w:pPr>
        <w:adjustRightIn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10.3.1.3保修期内实行回访制度以保证质量跟踪，回访的内容主要是解决完工交付使用后的所做工程的维保和修复问题，保修期每季度进行1次回访，并出具经甲方使用部门盖章的回访记录交回甲方管理部门。乙方不能按时进行回访的，每次扣除质量保修金的10%作为违约金。</w:t>
      </w:r>
    </w:p>
    <w:p>
      <w:pPr>
        <w:pStyle w:val="37"/>
        <w:adjustRightInd w:val="0"/>
        <w:spacing w:after="0" w:line="360" w:lineRule="auto"/>
        <w:ind w:left="0" w:leftChars="0" w:firstLine="464"/>
        <w:rPr>
          <w:rFonts w:hint="eastAsia" w:ascii="宋体" w:hAnsi="宋体" w:cs="宋体"/>
          <w:color w:val="auto"/>
          <w:sz w:val="24"/>
          <w:highlight w:val="none"/>
        </w:rPr>
      </w:pPr>
      <w:r>
        <w:rPr>
          <w:rFonts w:hint="eastAsia" w:ascii="宋体" w:hAnsi="宋体" w:cs="宋体"/>
          <w:color w:val="auto"/>
          <w:sz w:val="24"/>
          <w:highlight w:val="none"/>
        </w:rPr>
        <w:t>10.3.2 修复费用</w:t>
      </w:r>
    </w:p>
    <w:p>
      <w:pPr>
        <w:pStyle w:val="37"/>
        <w:adjustRightInd w:val="0"/>
        <w:spacing w:after="0" w:line="360" w:lineRule="auto"/>
        <w:ind w:left="0" w:leftChars="0" w:firstLine="464"/>
        <w:rPr>
          <w:rFonts w:hint="eastAsia" w:ascii="宋体" w:hAnsi="宋体" w:cs="宋体"/>
          <w:color w:val="auto"/>
          <w:sz w:val="24"/>
          <w:highlight w:val="none"/>
        </w:rPr>
      </w:pPr>
      <w:r>
        <w:rPr>
          <w:rFonts w:hint="eastAsia" w:ascii="宋体" w:hAnsi="宋体" w:cs="宋体"/>
          <w:color w:val="auto"/>
          <w:sz w:val="24"/>
          <w:highlight w:val="none"/>
        </w:rPr>
        <w:t>保修期内，修复的费用按照以下约定处理：</w:t>
      </w:r>
    </w:p>
    <w:p>
      <w:pPr>
        <w:pStyle w:val="37"/>
        <w:adjustRightInd w:val="0"/>
        <w:spacing w:after="0" w:line="360" w:lineRule="auto"/>
        <w:ind w:left="0" w:leftChars="0" w:firstLine="464"/>
        <w:rPr>
          <w:rFonts w:hint="eastAsia" w:ascii="宋体" w:hAnsi="宋体" w:cs="宋体"/>
          <w:color w:val="auto"/>
          <w:sz w:val="24"/>
          <w:highlight w:val="none"/>
        </w:rPr>
      </w:pPr>
      <w:r>
        <w:rPr>
          <w:rFonts w:hint="eastAsia" w:ascii="宋体" w:hAnsi="宋体" w:cs="宋体"/>
          <w:color w:val="auto"/>
          <w:sz w:val="24"/>
          <w:highlight w:val="none"/>
        </w:rPr>
        <w:t>（1）保修期内，因乙方原因造成工程的缺陷、损坏，乙方应负责修复，并承担修复的费用以及因工程的缺陷、损坏造成的人身伤害和财产损失；</w:t>
      </w:r>
    </w:p>
    <w:p>
      <w:pPr>
        <w:pStyle w:val="37"/>
        <w:adjustRightInd w:val="0"/>
        <w:spacing w:after="0" w:line="360" w:lineRule="auto"/>
        <w:ind w:left="0" w:leftChars="0" w:firstLine="464"/>
        <w:rPr>
          <w:rFonts w:hint="eastAsia" w:ascii="宋体" w:hAnsi="宋体" w:cs="宋体"/>
          <w:color w:val="auto"/>
          <w:sz w:val="24"/>
          <w:highlight w:val="none"/>
        </w:rPr>
      </w:pPr>
      <w:r>
        <w:rPr>
          <w:rFonts w:hint="eastAsia" w:ascii="宋体" w:hAnsi="宋体" w:cs="宋体"/>
          <w:color w:val="auto"/>
          <w:sz w:val="24"/>
          <w:highlight w:val="none"/>
        </w:rPr>
        <w:t>（2）保修期内，因甲方使用不当造成工程的缺陷、损坏，可以委托乙方修复，但甲方应承担修复的费用，并支付乙方合理利润；</w:t>
      </w:r>
    </w:p>
    <w:p>
      <w:pPr>
        <w:pStyle w:val="37"/>
        <w:adjustRightInd w:val="0"/>
        <w:spacing w:after="0" w:line="360" w:lineRule="auto"/>
        <w:ind w:left="0" w:leftChars="0" w:firstLine="464"/>
        <w:rPr>
          <w:rFonts w:hint="eastAsia" w:ascii="宋体" w:hAnsi="宋体" w:cs="宋体"/>
          <w:color w:val="auto"/>
          <w:sz w:val="24"/>
          <w:highlight w:val="none"/>
        </w:rPr>
      </w:pPr>
      <w:r>
        <w:rPr>
          <w:rFonts w:hint="eastAsia" w:ascii="宋体" w:hAnsi="宋体" w:cs="宋体"/>
          <w:color w:val="auto"/>
          <w:sz w:val="24"/>
          <w:highlight w:val="none"/>
        </w:rPr>
        <w:t>（3）因其他原因造成工程的缺陷、损坏，可以委托乙方修复，甲方应承担修复的费用，并支付乙方合理的利润，因工程的缺陷、损坏造成的人身伤害和财产损失由责任方承担。</w:t>
      </w:r>
    </w:p>
    <w:p>
      <w:pPr>
        <w:pStyle w:val="37"/>
        <w:adjustRightInd w:val="0"/>
        <w:spacing w:after="0" w:line="360" w:lineRule="auto"/>
        <w:ind w:left="0" w:leftChars="0" w:firstLine="464"/>
        <w:rPr>
          <w:rFonts w:hint="eastAsia" w:ascii="宋体" w:hAnsi="宋体" w:cs="宋体"/>
          <w:color w:val="auto"/>
          <w:sz w:val="24"/>
          <w:highlight w:val="none"/>
        </w:rPr>
      </w:pPr>
      <w:r>
        <w:rPr>
          <w:rFonts w:hint="eastAsia" w:ascii="宋体" w:hAnsi="宋体" w:cs="宋体"/>
          <w:color w:val="auto"/>
          <w:sz w:val="24"/>
          <w:highlight w:val="none"/>
        </w:rPr>
        <w:t>10.3.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 xml:space="preserve"> 未能修复</w:t>
      </w:r>
    </w:p>
    <w:p>
      <w:pPr>
        <w:pStyle w:val="37"/>
        <w:adjustRightInd w:val="0"/>
        <w:spacing w:after="0" w:line="360" w:lineRule="auto"/>
        <w:ind w:left="0" w:leftChars="0" w:firstLine="464"/>
        <w:rPr>
          <w:rFonts w:hint="eastAsia" w:ascii="宋体" w:hAnsi="宋体" w:cs="宋体"/>
          <w:color w:val="auto"/>
          <w:sz w:val="24"/>
          <w:highlight w:val="none"/>
        </w:rPr>
      </w:pPr>
      <w:r>
        <w:rPr>
          <w:rFonts w:hint="eastAsia" w:ascii="宋体" w:hAnsi="宋体" w:cs="宋体"/>
          <w:color w:val="auto"/>
          <w:sz w:val="24"/>
          <w:highlight w:val="none"/>
        </w:rPr>
        <w:t>因乙方原因造成工程的缺陷或损坏，乙方拒绝维修或未能在合理期限内修复缺陷或损坏，且经甲方书面催告后仍未修复的，甲方有权自行修复或委托第三方修复，所需费用由乙方承担，甲方有权从质量保证金中扣除。但修复范围超出缺陷或损坏范围的，超出范围部分的修复费用由甲方承担。</w:t>
      </w:r>
    </w:p>
    <w:p>
      <w:pPr>
        <w:spacing w:line="420" w:lineRule="exact"/>
        <w:ind w:firstLine="360" w:firstLineChars="15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10.3.4 其他</w:t>
      </w:r>
    </w:p>
    <w:p>
      <w:pPr>
        <w:spacing w:line="42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（1）属于保修范围、内容项目，承包人应当在接到保修通知书之日起2日内派人修理。承包人不在约定期限内派人修理的，发包人可以委托他人修理，保修费用</w:t>
      </w:r>
      <w:r>
        <w:rPr>
          <w:rFonts w:hint="eastAsia" w:ascii="宋体" w:hAnsi="宋体" w:cs="宋体"/>
          <w:color w:val="auto"/>
          <w:sz w:val="24"/>
          <w:szCs w:val="24"/>
          <w:highlight w:val="none"/>
          <w:lang w:val="en-US" w:eastAsia="zh-CN"/>
        </w:rPr>
        <w:t>由乙方负责</w:t>
      </w:r>
      <w:r>
        <w:rPr>
          <w:rFonts w:hint="eastAsia" w:ascii="宋体" w:hAnsi="宋体" w:cs="宋体"/>
          <w:color w:val="auto"/>
          <w:sz w:val="24"/>
          <w:szCs w:val="24"/>
          <w:highlight w:val="none"/>
        </w:rPr>
        <w:t>。</w:t>
      </w:r>
    </w:p>
    <w:p>
      <w:pPr>
        <w:spacing w:line="42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（2）发生紧急抢修事故的，承包人在接到事故通知后，维修人员应在3小时内到达现场，其他维修项目，维修人员应在接到采购人通知后24小时到达现场。非承包人施工质量引起的事故，抢修费用由发包人承担。</w:t>
      </w:r>
    </w:p>
    <w:p>
      <w:pPr>
        <w:spacing w:line="42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3）在保修期内，如发生涉及结构安全的质量问题，发包人和承包人应当立即向当地建设行政主管部门报告，并采取安全防范措施；由原设计单位或者具有相应资质等级的设计单位提出保修方案，承包人负责实施保修。因承包人原因致使工程在合理使用期限内造成人身和财产损害的，承包人应承担损害赔偿责任。</w:t>
      </w:r>
    </w:p>
    <w:p>
      <w:pPr>
        <w:spacing w:line="42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（4）质量保修完成后，由发包人组织有关单位人员验收。</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1</w:t>
      </w:r>
      <w:r>
        <w:rPr>
          <w:rFonts w:ascii="宋体" w:hAnsi="宋体"/>
          <w:b/>
          <w:color w:val="auto"/>
          <w:sz w:val="24"/>
          <w:highlight w:val="none"/>
        </w:rPr>
        <w:t xml:space="preserve">0.4 </w:t>
      </w:r>
      <w:r>
        <w:rPr>
          <w:rFonts w:hint="eastAsia" w:ascii="宋体" w:hAnsi="宋体"/>
          <w:b/>
          <w:color w:val="auto"/>
          <w:sz w:val="24"/>
          <w:highlight w:val="none"/>
        </w:rPr>
        <w:t>质量保证金</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每项具体工程的质量保证金为该项工程结算价的3%</w:t>
      </w:r>
      <w:r>
        <w:rPr>
          <w:rFonts w:hint="eastAsia" w:ascii="宋体" w:hAnsi="宋体"/>
          <w:color w:val="auto"/>
          <w:sz w:val="24"/>
          <w:highlight w:val="none"/>
          <w:lang w:eastAsia="zh-CN"/>
        </w:rPr>
        <w:t>，</w:t>
      </w:r>
      <w:r>
        <w:rPr>
          <w:rFonts w:hint="eastAsia"/>
          <w:color w:val="auto"/>
          <w:szCs w:val="21"/>
          <w:highlight w:val="none"/>
        </w:rPr>
        <w:t>质量保</w:t>
      </w:r>
      <w:r>
        <w:rPr>
          <w:rFonts w:hint="eastAsia"/>
          <w:color w:val="auto"/>
          <w:szCs w:val="21"/>
          <w:highlight w:val="none"/>
          <w:lang w:val="en-US" w:eastAsia="zh-CN"/>
        </w:rPr>
        <w:t>证</w:t>
      </w:r>
      <w:r>
        <w:rPr>
          <w:rFonts w:hint="eastAsia"/>
          <w:color w:val="auto"/>
          <w:szCs w:val="21"/>
          <w:highlight w:val="none"/>
        </w:rPr>
        <w:t>金不计利息</w:t>
      </w:r>
      <w:r>
        <w:rPr>
          <w:rFonts w:hint="eastAsia" w:ascii="宋体" w:hAnsi="宋体"/>
          <w:color w:val="auto"/>
          <w:sz w:val="24"/>
          <w:highlight w:val="none"/>
        </w:rPr>
        <w:t>。</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第十一条 工程款及支付</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1</w:t>
      </w:r>
      <w:r>
        <w:rPr>
          <w:rFonts w:ascii="宋体" w:hAnsi="宋体"/>
          <w:b/>
          <w:color w:val="auto"/>
          <w:sz w:val="24"/>
          <w:highlight w:val="none"/>
        </w:rPr>
        <w:t xml:space="preserve">1.1 </w:t>
      </w:r>
      <w:r>
        <w:rPr>
          <w:rFonts w:hint="eastAsia" w:ascii="宋体" w:hAnsi="宋体"/>
          <w:b/>
          <w:color w:val="auto"/>
          <w:sz w:val="24"/>
          <w:highlight w:val="none"/>
        </w:rPr>
        <w:t>工程款计取标准</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 xml:space="preserve">1.1.1 </w:t>
      </w:r>
      <w:r>
        <w:rPr>
          <w:rFonts w:hint="eastAsia" w:ascii="宋体" w:hAnsi="宋体"/>
          <w:color w:val="auto"/>
          <w:sz w:val="24"/>
          <w:highlight w:val="none"/>
        </w:rPr>
        <w:t>乙方应依照下列文件编制工程造价预估价、工程预算及工程量清单：</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建设工程工程量清单计价规范(GB50500-2013)》、《建设工程工程量清单计价规范(GB50500-2013)广西壮族自治区实施细则》、《建设工程工程量计算规范》（GB50854～50862-2013）、《建设工程工程量计算规范广西壮族自治区实施细则（修订本）（GB50854～50862-2013）》、2015年《广西壮族自治区安装工程消耗量定额》及配套费用定额、2016年《广西壮族自治区建设工程费用定额》（桂建标【2016】16号）、《自治区住房城乡建设厅关于调整建设工程计价增值税税率的通知》（桂建标[2019]12号）、《广西壮族自治区住房城乡建设厅关于调整建设工程定额人工费及有关费率的通知》（桂建标【2023】7号文）、《广西壮族自治区建筑装饰装修安装园林绿化工程费用定额》（最新版）、《广西壮族自治区市政工程消耗量及费用定额》（最新版）与建设工程有关的标准、规范、技术资料；（2）当期《玉林市建设工程造价信息》。</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 xml:space="preserve">1.1.2 </w:t>
      </w:r>
      <w:r>
        <w:rPr>
          <w:rFonts w:hint="eastAsia" w:ascii="宋体" w:hAnsi="宋体"/>
          <w:color w:val="auto"/>
          <w:sz w:val="24"/>
          <w:highlight w:val="none"/>
        </w:rPr>
        <w:t>乙方向甲方报送的工程预算计算方式应为：</w:t>
      </w:r>
    </w:p>
    <w:p>
      <w:pPr>
        <w:pStyle w:val="37"/>
        <w:adjustRightInd w:val="0"/>
        <w:spacing w:after="0" w:line="360" w:lineRule="auto"/>
        <w:ind w:left="0" w:leftChars="0" w:firstLine="464"/>
        <w:jc w:val="center"/>
        <w:rPr>
          <w:rFonts w:ascii="宋体" w:hAnsi="宋体"/>
          <w:color w:val="auto"/>
          <w:sz w:val="24"/>
          <w:highlight w:val="none"/>
        </w:rPr>
      </w:pPr>
      <w:r>
        <w:rPr>
          <w:rFonts w:hint="eastAsia" w:ascii="宋体" w:hAnsi="宋体"/>
          <w:color w:val="auto"/>
          <w:sz w:val="24"/>
          <w:highlight w:val="none"/>
        </w:rPr>
        <w:t>按照上述文件计算所得工程造价预估价×（1</w:t>
      </w:r>
      <w:r>
        <w:rPr>
          <w:rFonts w:ascii="宋体" w:hAnsi="宋体"/>
          <w:color w:val="auto"/>
          <w:sz w:val="24"/>
          <w:highlight w:val="none"/>
        </w:rPr>
        <w:t>-</w:t>
      </w:r>
      <w:r>
        <w:rPr>
          <w:rFonts w:hint="eastAsia" w:ascii="宋体" w:hAnsi="宋体"/>
          <w:color w:val="auto"/>
          <w:sz w:val="24"/>
          <w:highlight w:val="none"/>
        </w:rPr>
        <w:t>中标优惠率）</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经甲方确认后的工程预算仅作为甲方支付预付款及工程进度款的依据，乙方不得主张以工程预算作为工程结算依据。</w:t>
      </w:r>
    </w:p>
    <w:p>
      <w:pPr>
        <w:pStyle w:val="37"/>
        <w:adjustRightInd w:val="0"/>
        <w:spacing w:after="0" w:line="360" w:lineRule="auto"/>
        <w:ind w:left="0" w:leftChars="0" w:firstLine="464"/>
        <w:rPr>
          <w:rFonts w:hint="eastAsia" w:ascii="宋体" w:hAnsi="宋体"/>
          <w:b/>
          <w:color w:val="auto"/>
          <w:sz w:val="24"/>
          <w:highlight w:val="none"/>
        </w:rPr>
      </w:pPr>
      <w:r>
        <w:rPr>
          <w:rFonts w:hint="eastAsia" w:ascii="宋体" w:hAnsi="宋体"/>
          <w:color w:val="auto"/>
          <w:sz w:val="24"/>
          <w:highlight w:val="none"/>
        </w:rPr>
        <w:t>1</w:t>
      </w:r>
      <w:r>
        <w:rPr>
          <w:rFonts w:ascii="宋体" w:hAnsi="宋体"/>
          <w:color w:val="auto"/>
          <w:sz w:val="24"/>
          <w:highlight w:val="none"/>
        </w:rPr>
        <w:t xml:space="preserve">1.1.3 </w:t>
      </w:r>
      <w:r>
        <w:rPr>
          <w:rFonts w:hint="eastAsia" w:ascii="宋体" w:hAnsi="宋体"/>
          <w:color w:val="auto"/>
          <w:sz w:val="24"/>
          <w:highlight w:val="none"/>
        </w:rPr>
        <w:t>若在具体工程中须新增（变更）施工内容或新增（变更）材料情形，但该工程的工程</w:t>
      </w:r>
      <w:r>
        <w:rPr>
          <w:rFonts w:hint="eastAsia" w:ascii="宋体" w:hAnsi="宋体"/>
          <w:color w:val="auto"/>
          <w:sz w:val="24"/>
          <w:highlight w:val="none"/>
          <w:lang w:val="en-US" w:eastAsia="zh-CN"/>
        </w:rPr>
        <w:t>量</w:t>
      </w:r>
      <w:r>
        <w:rPr>
          <w:rFonts w:hint="eastAsia" w:ascii="宋体" w:hAnsi="宋体"/>
          <w:color w:val="auto"/>
          <w:sz w:val="24"/>
          <w:highlight w:val="none"/>
        </w:rPr>
        <w:t>清单</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r>
        <w:rPr>
          <w:rFonts w:hint="eastAsia" w:ascii="宋体" w:hAnsi="宋体"/>
          <w:color w:val="auto"/>
          <w:sz w:val="24"/>
          <w:highlight w:val="none"/>
        </w:rPr>
        <w:t>及当期《玉林市建设工程造价信息》均无相应价格信息的项目的，</w:t>
      </w:r>
      <w:r>
        <w:rPr>
          <w:rFonts w:hint="eastAsia" w:ascii="宋体" w:hAnsi="宋体"/>
          <w:color w:val="auto"/>
          <w:sz w:val="24"/>
          <w:highlight w:val="none"/>
          <w:lang w:val="en-US" w:eastAsia="zh-CN"/>
        </w:rPr>
        <w:t>定价由甲方审定</w:t>
      </w:r>
      <w:r>
        <w:rPr>
          <w:rFonts w:hint="eastAsia" w:ascii="宋体" w:hAnsi="宋体"/>
          <w:color w:val="auto"/>
          <w:sz w:val="24"/>
          <w:highlight w:val="none"/>
        </w:rPr>
        <w:t>。</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1</w:t>
      </w:r>
      <w:r>
        <w:rPr>
          <w:rFonts w:ascii="宋体" w:hAnsi="宋体"/>
          <w:b/>
          <w:color w:val="auto"/>
          <w:sz w:val="24"/>
          <w:highlight w:val="none"/>
        </w:rPr>
        <w:t>1.2</w:t>
      </w:r>
      <w:r>
        <w:rPr>
          <w:rFonts w:ascii="宋体" w:hAnsi="宋体"/>
          <w:color w:val="auto"/>
          <w:sz w:val="24"/>
          <w:highlight w:val="none"/>
        </w:rPr>
        <w:t xml:space="preserve"> </w:t>
      </w:r>
      <w:r>
        <w:rPr>
          <w:rFonts w:hint="eastAsia" w:ascii="宋体" w:hAnsi="宋体"/>
          <w:b/>
          <w:color w:val="auto"/>
          <w:sz w:val="24"/>
          <w:highlight w:val="none"/>
        </w:rPr>
        <w:t>工程造价审定</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 xml:space="preserve">1.2.1 </w:t>
      </w:r>
      <w:r>
        <w:rPr>
          <w:rFonts w:hint="eastAsia" w:ascii="宋体" w:hAnsi="宋体"/>
          <w:color w:val="auto"/>
          <w:sz w:val="24"/>
          <w:highlight w:val="none"/>
        </w:rPr>
        <w:t>乙方应在甲方签发具体工程验收合格证明文件后向甲方提交该工程的竣工结算申请与完整的竣工结算资料，竣工结算申请应载明工程造价送审价、甲方已付款项金额、应扣留的质量保证金并附送签证文件（如有）。</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11.2.2 甲方在签发具体工程验收合格证明文件之日起30日内委托审查工程造价送审价格，最终工程造价以甲方审定的金额为准。若审减额所占送审造价比例超过6%的，乙方应向甲方支付最终工程造价百分之十的违约金。计算方式：违约金=送审金额×（核减金额÷送审金额-6%）×10%</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 xml:space="preserve">1.2.3 </w:t>
      </w:r>
      <w:r>
        <w:rPr>
          <w:rFonts w:hint="eastAsia" w:ascii="宋体" w:hAnsi="宋体"/>
          <w:color w:val="auto"/>
          <w:sz w:val="24"/>
          <w:highlight w:val="none"/>
        </w:rPr>
        <w:t>若乙方对最终工程造价有异议的，应在收到甲方通知之日起5个工作日内向甲方提出，乙方逾期提出异议的，视为认可、接受甲方审定的金额。若甲方提出异议的，由双方共同委托有资质的工程造价审计单位进行复审，最终工程造价以复审金额为准。复审金额未超过甲方审定金额的，审计费用由乙方承担；复审金额超过甲方审定金额的，审计费用由甲方承担。</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1</w:t>
      </w:r>
      <w:r>
        <w:rPr>
          <w:rFonts w:ascii="宋体" w:hAnsi="宋体"/>
          <w:b/>
          <w:color w:val="auto"/>
          <w:sz w:val="24"/>
          <w:highlight w:val="none"/>
        </w:rPr>
        <w:t xml:space="preserve">1.3 </w:t>
      </w:r>
      <w:r>
        <w:rPr>
          <w:rFonts w:hint="eastAsia" w:ascii="宋体" w:hAnsi="宋体"/>
          <w:b/>
          <w:color w:val="auto"/>
          <w:sz w:val="24"/>
          <w:highlight w:val="none"/>
        </w:rPr>
        <w:t>工程结算价</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甲方在每项具体工程中应向乙方支付的工程结算价的计算方式为：</w:t>
      </w:r>
    </w:p>
    <w:p>
      <w:pPr>
        <w:pStyle w:val="37"/>
        <w:adjustRightInd w:val="0"/>
        <w:spacing w:after="0" w:line="360" w:lineRule="auto"/>
        <w:ind w:left="0" w:leftChars="0" w:firstLine="464"/>
        <w:jc w:val="center"/>
        <w:rPr>
          <w:rFonts w:ascii="宋体" w:hAnsi="宋体"/>
          <w:color w:val="auto"/>
          <w:sz w:val="24"/>
          <w:highlight w:val="none"/>
        </w:rPr>
      </w:pPr>
      <w:r>
        <w:rPr>
          <w:rFonts w:hint="eastAsia" w:ascii="宋体" w:hAnsi="宋体"/>
          <w:color w:val="auto"/>
          <w:sz w:val="24"/>
          <w:highlight w:val="none"/>
        </w:rPr>
        <w:t>具体工程的最终工程造价×（1</w:t>
      </w:r>
      <w:r>
        <w:rPr>
          <w:rFonts w:ascii="宋体" w:hAnsi="宋体"/>
          <w:color w:val="auto"/>
          <w:sz w:val="24"/>
          <w:highlight w:val="none"/>
        </w:rPr>
        <w:t>-</w:t>
      </w:r>
      <w:r>
        <w:rPr>
          <w:rFonts w:hint="eastAsia" w:ascii="宋体" w:hAnsi="宋体"/>
          <w:color w:val="auto"/>
          <w:sz w:val="24"/>
          <w:highlight w:val="none"/>
        </w:rPr>
        <w:t>中标优惠率）</w:t>
      </w:r>
    </w:p>
    <w:p>
      <w:pPr>
        <w:pStyle w:val="37"/>
        <w:adjustRightInd w:val="0"/>
        <w:spacing w:after="0" w:line="360" w:lineRule="auto"/>
        <w:ind w:left="0" w:leftChars="0" w:firstLine="466"/>
        <w:rPr>
          <w:rFonts w:hint="eastAsia" w:ascii="宋体" w:hAnsi="宋体"/>
          <w:color w:val="auto"/>
          <w:sz w:val="24"/>
          <w:highlight w:val="none"/>
        </w:rPr>
      </w:pPr>
      <w:r>
        <w:rPr>
          <w:rFonts w:hint="eastAsia" w:ascii="宋体" w:hAnsi="宋体"/>
          <w:b/>
          <w:color w:val="auto"/>
          <w:sz w:val="24"/>
          <w:highlight w:val="none"/>
        </w:rPr>
        <w:t>1</w:t>
      </w:r>
      <w:r>
        <w:rPr>
          <w:rFonts w:ascii="宋体" w:hAnsi="宋体"/>
          <w:b/>
          <w:color w:val="auto"/>
          <w:sz w:val="24"/>
          <w:highlight w:val="none"/>
        </w:rPr>
        <w:t xml:space="preserve">1.4 </w:t>
      </w:r>
      <w:r>
        <w:rPr>
          <w:rFonts w:hint="eastAsia" w:ascii="宋体" w:hAnsi="宋体"/>
          <w:b/>
          <w:color w:val="auto"/>
          <w:sz w:val="24"/>
          <w:highlight w:val="none"/>
        </w:rPr>
        <w:t>付款方式</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每项具体工程的工程款中按以下方式支付：</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（1）预付款：除紧急维修工程之外，甲方在乙方进场维修之日的3日内支付具体工程的预算金额3</w:t>
      </w:r>
      <w:r>
        <w:rPr>
          <w:rFonts w:ascii="宋体" w:hAnsi="宋体"/>
          <w:color w:val="auto"/>
          <w:sz w:val="24"/>
          <w:highlight w:val="none"/>
        </w:rPr>
        <w:t>0%</w:t>
      </w:r>
      <w:r>
        <w:rPr>
          <w:rFonts w:hint="eastAsia" w:ascii="宋体" w:hAnsi="宋体"/>
          <w:color w:val="auto"/>
          <w:sz w:val="24"/>
          <w:highlight w:val="none"/>
        </w:rPr>
        <w:t>的预付款。紧急维修项目无预付款。</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（2）工程进度款：工程竣工验收合格后，工程量清单内的工程进度款按实际完成工程量价款×（1-中标优惠率）的 80%支付；工程量清单外新增工程量按实际完成工程量价款×（1-优惠率）的 60%支付。</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（3）最终工程造价确定之日起</w:t>
      </w:r>
      <w:r>
        <w:rPr>
          <w:rFonts w:ascii="宋体" w:hAnsi="宋体"/>
          <w:color w:val="auto"/>
          <w:sz w:val="24"/>
          <w:highlight w:val="none"/>
        </w:rPr>
        <w:t>30</w:t>
      </w:r>
      <w:r>
        <w:rPr>
          <w:rFonts w:hint="eastAsia" w:ascii="宋体" w:hAnsi="宋体"/>
          <w:color w:val="auto"/>
          <w:sz w:val="24"/>
          <w:highlight w:val="none"/>
        </w:rPr>
        <w:t>日内付至工程结算价的 97%。</w:t>
      </w:r>
    </w:p>
    <w:p>
      <w:pPr>
        <w:pStyle w:val="37"/>
        <w:adjustRightInd w:val="0"/>
        <w:spacing w:after="0" w:line="360" w:lineRule="auto"/>
        <w:ind w:left="0" w:leftChars="0" w:firstLine="464"/>
        <w:rPr>
          <w:rFonts w:ascii="宋体" w:hAnsi="宋体"/>
          <w:color w:val="auto"/>
          <w:sz w:val="24"/>
          <w:highlight w:val="none"/>
        </w:rPr>
      </w:pPr>
      <w:r>
        <w:rPr>
          <w:rFonts w:hint="eastAsia" w:ascii="宋体" w:hAnsi="宋体"/>
          <w:color w:val="auto"/>
          <w:sz w:val="24"/>
          <w:highlight w:val="none"/>
        </w:rPr>
        <w:t>（4）工程结算价的3%作为质量保证金，缺陷责任期届满之日起7 个工作日内无息</w:t>
      </w:r>
      <w:r>
        <w:rPr>
          <w:rFonts w:hint="eastAsia" w:ascii="宋体" w:hAnsi="宋体"/>
          <w:color w:val="auto"/>
          <w:sz w:val="24"/>
          <w:highlight w:val="none"/>
          <w:lang w:val="en-US" w:eastAsia="zh-CN"/>
        </w:rPr>
        <w:t>退还</w:t>
      </w:r>
      <w:r>
        <w:rPr>
          <w:rFonts w:hint="eastAsia" w:ascii="宋体" w:hAnsi="宋体"/>
          <w:color w:val="auto"/>
          <w:sz w:val="24"/>
          <w:highlight w:val="none"/>
        </w:rPr>
        <w:t>余额（如有）。</w:t>
      </w:r>
    </w:p>
    <w:p>
      <w:pPr>
        <w:pStyle w:val="37"/>
        <w:adjustRightInd w:val="0"/>
        <w:spacing w:after="0" w:line="360" w:lineRule="auto"/>
        <w:ind w:left="0" w:leftChars="0" w:firstLine="466"/>
        <w:rPr>
          <w:rFonts w:ascii="宋体" w:hAnsi="宋体"/>
          <w:b/>
          <w:color w:val="auto"/>
          <w:sz w:val="24"/>
          <w:highlight w:val="none"/>
        </w:rPr>
      </w:pPr>
      <w:r>
        <w:rPr>
          <w:rFonts w:hint="eastAsia" w:ascii="宋体" w:hAnsi="宋体"/>
          <w:b/>
          <w:color w:val="auto"/>
          <w:sz w:val="24"/>
          <w:highlight w:val="none"/>
        </w:rPr>
        <w:t>1</w:t>
      </w:r>
      <w:r>
        <w:rPr>
          <w:rFonts w:ascii="宋体" w:hAnsi="宋体"/>
          <w:b/>
          <w:color w:val="auto"/>
          <w:sz w:val="24"/>
          <w:highlight w:val="none"/>
        </w:rPr>
        <w:t xml:space="preserve">1.5 </w:t>
      </w:r>
      <w:r>
        <w:rPr>
          <w:rFonts w:hint="eastAsia" w:ascii="宋体" w:hAnsi="宋体"/>
          <w:b/>
          <w:color w:val="auto"/>
          <w:sz w:val="24"/>
          <w:highlight w:val="none"/>
        </w:rPr>
        <w:t>发票</w:t>
      </w:r>
    </w:p>
    <w:p>
      <w:pPr>
        <w:pStyle w:val="37"/>
        <w:adjustRightInd w:val="0"/>
        <w:spacing w:after="0" w:line="360" w:lineRule="auto"/>
        <w:ind w:left="0" w:leftChars="0" w:firstLine="464"/>
        <w:rPr>
          <w:rFonts w:hint="eastAsia" w:ascii="宋体" w:hAnsi="宋体"/>
          <w:color w:val="auto"/>
          <w:sz w:val="24"/>
          <w:highlight w:val="none"/>
        </w:rPr>
      </w:pPr>
      <w:r>
        <w:rPr>
          <w:rFonts w:hint="eastAsia" w:ascii="宋体" w:hAnsi="宋体"/>
          <w:color w:val="auto"/>
          <w:sz w:val="24"/>
          <w:highlight w:val="none"/>
        </w:rPr>
        <w:t>甲方向乙方支付相应款项之前，乙方应向甲方提交请款报告及合法、等额的增值税发票，若乙方未提交发票的，甲方有权拒绝付款且不承担逾期付款违约责任。</w:t>
      </w:r>
    </w:p>
    <w:p>
      <w:pPr>
        <w:adjustRightInd w:val="0"/>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第十二条 违约责任</w:t>
      </w:r>
    </w:p>
    <w:p>
      <w:pPr>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1</w:t>
      </w:r>
      <w:r>
        <w:rPr>
          <w:rFonts w:ascii="宋体" w:hAnsi="宋体"/>
          <w:b/>
          <w:color w:val="auto"/>
          <w:sz w:val="24"/>
          <w:highlight w:val="none"/>
        </w:rPr>
        <w:t xml:space="preserve">2.1 </w:t>
      </w:r>
      <w:r>
        <w:rPr>
          <w:rFonts w:hint="eastAsia" w:ascii="宋体" w:hAnsi="宋体"/>
          <w:b/>
          <w:color w:val="auto"/>
          <w:sz w:val="24"/>
          <w:highlight w:val="none"/>
        </w:rPr>
        <w:t>乙方违约责任</w:t>
      </w:r>
    </w:p>
    <w:p>
      <w:pPr>
        <w:adjustRightIn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w:t>
      </w:r>
      <w:r>
        <w:rPr>
          <w:rFonts w:ascii="宋体" w:hAnsi="宋体"/>
          <w:color w:val="auto"/>
          <w:sz w:val="24"/>
          <w:highlight w:val="none"/>
        </w:rPr>
        <w:t>在合同履行过程中</w:t>
      </w:r>
      <w:r>
        <w:rPr>
          <w:rFonts w:hint="eastAsia" w:ascii="宋体" w:hAnsi="宋体"/>
          <w:color w:val="auto"/>
          <w:sz w:val="24"/>
          <w:highlight w:val="none"/>
        </w:rPr>
        <w:t>有</w:t>
      </w:r>
      <w:r>
        <w:rPr>
          <w:rFonts w:ascii="宋体" w:hAnsi="宋体"/>
          <w:color w:val="auto"/>
          <w:sz w:val="24"/>
          <w:highlight w:val="none"/>
        </w:rPr>
        <w:t>下列情形</w:t>
      </w:r>
      <w:r>
        <w:rPr>
          <w:rFonts w:hint="eastAsia" w:ascii="宋体" w:hAnsi="宋体"/>
          <w:color w:val="auto"/>
          <w:sz w:val="24"/>
          <w:highlight w:val="none"/>
        </w:rPr>
        <w:t>的</w:t>
      </w:r>
      <w:r>
        <w:rPr>
          <w:rFonts w:ascii="宋体" w:hAnsi="宋体"/>
          <w:color w:val="auto"/>
          <w:sz w:val="24"/>
          <w:highlight w:val="none"/>
        </w:rPr>
        <w:t>，</w:t>
      </w:r>
      <w:r>
        <w:rPr>
          <w:rFonts w:hint="eastAsia" w:ascii="宋体" w:hAnsi="宋体"/>
          <w:color w:val="auto"/>
          <w:sz w:val="24"/>
          <w:highlight w:val="none"/>
        </w:rPr>
        <w:t>乙方应承担相应违约责任</w:t>
      </w:r>
      <w:r>
        <w:rPr>
          <w:rFonts w:ascii="宋体" w:hAnsi="宋体"/>
          <w:color w:val="auto"/>
          <w:sz w:val="24"/>
          <w:highlight w:val="none"/>
        </w:rPr>
        <w:t>：</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在具体工程中</w:t>
      </w:r>
      <w:r>
        <w:rPr>
          <w:rFonts w:ascii="宋体" w:hAnsi="宋体"/>
          <w:color w:val="auto"/>
          <w:sz w:val="24"/>
          <w:highlight w:val="none"/>
        </w:rPr>
        <w:t>进行转包或分包的</w:t>
      </w:r>
      <w:r>
        <w:rPr>
          <w:rFonts w:hint="eastAsia" w:ascii="宋体" w:hAnsi="宋体"/>
          <w:color w:val="auto"/>
          <w:sz w:val="24"/>
          <w:highlight w:val="none"/>
        </w:rPr>
        <w:t>，甲方有权解除本合同并要求乙方支付违约金5</w:t>
      </w:r>
      <w:r>
        <w:rPr>
          <w:rFonts w:ascii="宋体" w:hAnsi="宋体"/>
          <w:color w:val="auto"/>
          <w:sz w:val="24"/>
          <w:highlight w:val="none"/>
        </w:rPr>
        <w:t>0000</w:t>
      </w:r>
      <w:r>
        <w:rPr>
          <w:rFonts w:hint="eastAsia" w:ascii="宋体" w:hAnsi="宋体"/>
          <w:color w:val="auto"/>
          <w:sz w:val="24"/>
          <w:highlight w:val="none"/>
        </w:rPr>
        <w:t>元</w:t>
      </w:r>
      <w:r>
        <w:rPr>
          <w:rFonts w:ascii="宋体" w:hAnsi="宋体"/>
          <w:color w:val="auto"/>
          <w:sz w:val="24"/>
          <w:highlight w:val="none"/>
        </w:rPr>
        <w:t>；</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（2）违反约定采购和使用不合格的材料</w:t>
      </w:r>
      <w:r>
        <w:rPr>
          <w:rFonts w:hint="eastAsia" w:ascii="宋体" w:hAnsi="宋体"/>
          <w:color w:val="auto"/>
          <w:sz w:val="24"/>
          <w:highlight w:val="none"/>
        </w:rPr>
        <w:t>或</w:t>
      </w:r>
      <w:r>
        <w:rPr>
          <w:rFonts w:ascii="宋体" w:hAnsi="宋体"/>
          <w:color w:val="auto"/>
          <w:sz w:val="24"/>
          <w:highlight w:val="none"/>
        </w:rPr>
        <w:t>设备的</w:t>
      </w:r>
      <w:r>
        <w:rPr>
          <w:rFonts w:hint="eastAsia" w:ascii="宋体" w:hAnsi="宋体"/>
          <w:color w:val="auto"/>
          <w:sz w:val="24"/>
          <w:highlight w:val="none"/>
        </w:rPr>
        <w:t>，甲方有权解除本合同并要求乙方支付违约金5</w:t>
      </w:r>
      <w:r>
        <w:rPr>
          <w:rFonts w:ascii="宋体" w:hAnsi="宋体"/>
          <w:color w:val="auto"/>
          <w:sz w:val="24"/>
          <w:highlight w:val="none"/>
        </w:rPr>
        <w:t>0000</w:t>
      </w:r>
      <w:r>
        <w:rPr>
          <w:rFonts w:hint="eastAsia" w:ascii="宋体" w:hAnsi="宋体"/>
          <w:color w:val="auto"/>
          <w:sz w:val="24"/>
          <w:highlight w:val="none"/>
        </w:rPr>
        <w:t>元</w:t>
      </w:r>
      <w:r>
        <w:rPr>
          <w:rFonts w:ascii="宋体" w:hAnsi="宋体"/>
          <w:color w:val="auto"/>
          <w:sz w:val="24"/>
          <w:highlight w:val="none"/>
        </w:rPr>
        <w:t>；</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（3）因乙方原因导致工程质量不符合</w:t>
      </w:r>
      <w:r>
        <w:rPr>
          <w:rFonts w:hint="eastAsia" w:ascii="宋体" w:hAnsi="宋体"/>
          <w:color w:val="auto"/>
          <w:sz w:val="24"/>
          <w:highlight w:val="none"/>
        </w:rPr>
        <w:t>相关标准或甲方</w:t>
      </w:r>
      <w:r>
        <w:rPr>
          <w:rFonts w:ascii="宋体" w:hAnsi="宋体"/>
          <w:color w:val="auto"/>
          <w:sz w:val="24"/>
          <w:highlight w:val="none"/>
        </w:rPr>
        <w:t>要求的</w:t>
      </w:r>
      <w:r>
        <w:rPr>
          <w:rFonts w:hint="eastAsia" w:ascii="宋体" w:hAnsi="宋体"/>
          <w:color w:val="auto"/>
          <w:sz w:val="24"/>
          <w:highlight w:val="none"/>
        </w:rPr>
        <w:t>，甲方有权不支付相应工程款并要求乙方支付工程预算3</w:t>
      </w:r>
      <w:r>
        <w:rPr>
          <w:rFonts w:ascii="宋体" w:hAnsi="宋体"/>
          <w:color w:val="auto"/>
          <w:sz w:val="24"/>
          <w:highlight w:val="none"/>
        </w:rPr>
        <w:t>0%</w:t>
      </w:r>
      <w:r>
        <w:rPr>
          <w:rFonts w:hint="eastAsia" w:ascii="宋体" w:hAnsi="宋体"/>
          <w:color w:val="auto"/>
          <w:sz w:val="24"/>
          <w:highlight w:val="none"/>
        </w:rPr>
        <w:t>的违约金</w:t>
      </w:r>
      <w:r>
        <w:rPr>
          <w:rFonts w:ascii="宋体" w:hAnsi="宋体"/>
          <w:color w:val="auto"/>
          <w:sz w:val="24"/>
          <w:highlight w:val="none"/>
        </w:rPr>
        <w:t xml:space="preserve">； </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未经甲方同意擅自</w:t>
      </w:r>
      <w:r>
        <w:rPr>
          <w:rFonts w:ascii="宋体" w:hAnsi="宋体"/>
          <w:color w:val="auto"/>
          <w:sz w:val="24"/>
          <w:highlight w:val="none"/>
        </w:rPr>
        <w:t>将已按照合同约定进入施工现场的材料或设备撤离施工现场的</w:t>
      </w:r>
      <w:r>
        <w:rPr>
          <w:rFonts w:hint="eastAsia" w:ascii="宋体" w:hAnsi="宋体"/>
          <w:color w:val="auto"/>
          <w:sz w:val="24"/>
          <w:highlight w:val="none"/>
        </w:rPr>
        <w:t>，甲方有权要求乙方整改并支付违约金5</w:t>
      </w:r>
      <w:r>
        <w:rPr>
          <w:rFonts w:ascii="宋体" w:hAnsi="宋体"/>
          <w:color w:val="auto"/>
          <w:sz w:val="24"/>
          <w:highlight w:val="none"/>
        </w:rPr>
        <w:t>000</w:t>
      </w:r>
      <w:r>
        <w:rPr>
          <w:rFonts w:hint="eastAsia" w:ascii="宋体" w:hAnsi="宋体"/>
          <w:color w:val="auto"/>
          <w:sz w:val="24"/>
          <w:highlight w:val="none"/>
        </w:rPr>
        <w:t>元/次</w:t>
      </w:r>
      <w:r>
        <w:rPr>
          <w:rFonts w:ascii="宋体" w:hAnsi="宋体"/>
          <w:color w:val="auto"/>
          <w:sz w:val="24"/>
          <w:highlight w:val="none"/>
        </w:rPr>
        <w:t>；</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因乙方原因导致工程逾期竣工</w:t>
      </w:r>
      <w:r>
        <w:rPr>
          <w:rFonts w:ascii="宋体" w:hAnsi="宋体"/>
          <w:color w:val="auto"/>
          <w:sz w:val="24"/>
          <w:highlight w:val="none"/>
        </w:rPr>
        <w:t>的</w:t>
      </w:r>
      <w:r>
        <w:rPr>
          <w:rFonts w:hint="eastAsia" w:ascii="宋体" w:hAnsi="宋体"/>
          <w:color w:val="auto"/>
          <w:sz w:val="24"/>
          <w:highlight w:val="none"/>
        </w:rPr>
        <w:t>，每逾期1日，应向甲方支付该项工程结算价万分之五的逾期违约金；连续两项工程逾期竣工或逾期竣工的工程累计达到3项以上的，甲方有权解除本合同。</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出现紧急维修工程时连续两次未按时派员到达现场或虽到达现场但未及时进行抢修的，甲方有权解除本合同；</w:t>
      </w:r>
    </w:p>
    <w:p>
      <w:pPr>
        <w:adjustRightIn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7）</w:t>
      </w:r>
      <w:r>
        <w:rPr>
          <w:rFonts w:hint="eastAsia" w:ascii="宋体" w:hAnsi="宋体"/>
          <w:color w:val="auto"/>
          <w:sz w:val="24"/>
          <w:highlight w:val="none"/>
        </w:rPr>
        <w:t>无正当理由擅自撤换具体工程主要管理人员的</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造成损失或不良影响的，甲方有权解除本合同</w:t>
      </w:r>
      <w:r>
        <w:rPr>
          <w:rFonts w:hint="eastAsia" w:ascii="宋体" w:hAnsi="宋体"/>
          <w:color w:val="auto"/>
          <w:sz w:val="24"/>
          <w:highlight w:val="none"/>
        </w:rPr>
        <w:t>；</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（8）</w:t>
      </w:r>
      <w:r>
        <w:rPr>
          <w:rFonts w:hint="eastAsia" w:ascii="宋体" w:hAnsi="宋体"/>
          <w:color w:val="auto"/>
          <w:sz w:val="24"/>
          <w:highlight w:val="none"/>
        </w:rPr>
        <w:t>具体工程的</w:t>
      </w:r>
      <w:r>
        <w:rPr>
          <w:rFonts w:ascii="宋体" w:hAnsi="宋体"/>
          <w:color w:val="auto"/>
          <w:sz w:val="24"/>
          <w:highlight w:val="none"/>
        </w:rPr>
        <w:t>缺陷责任期及保修期内，未能在合理期限</w:t>
      </w:r>
      <w:r>
        <w:rPr>
          <w:rFonts w:hint="eastAsia" w:ascii="宋体" w:hAnsi="宋体"/>
          <w:color w:val="auto"/>
          <w:sz w:val="24"/>
          <w:highlight w:val="none"/>
        </w:rPr>
        <w:t>内</w:t>
      </w:r>
      <w:r>
        <w:rPr>
          <w:rFonts w:ascii="宋体" w:hAnsi="宋体"/>
          <w:color w:val="auto"/>
          <w:sz w:val="24"/>
          <w:highlight w:val="none"/>
        </w:rPr>
        <w:t>对工程缺陷进行修复，或拒绝按</w:t>
      </w:r>
      <w:r>
        <w:rPr>
          <w:rFonts w:hint="eastAsia" w:ascii="宋体" w:hAnsi="宋体"/>
          <w:color w:val="auto"/>
          <w:sz w:val="24"/>
          <w:highlight w:val="none"/>
        </w:rPr>
        <w:t>甲方</w:t>
      </w:r>
      <w:r>
        <w:rPr>
          <w:rFonts w:ascii="宋体" w:hAnsi="宋体"/>
          <w:color w:val="auto"/>
          <w:sz w:val="24"/>
          <w:highlight w:val="none"/>
        </w:rPr>
        <w:t>要求进行修复的；</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9</w:t>
      </w:r>
      <w:r>
        <w:rPr>
          <w:rFonts w:ascii="宋体" w:hAnsi="宋体"/>
          <w:color w:val="auto"/>
          <w:sz w:val="24"/>
          <w:highlight w:val="none"/>
        </w:rPr>
        <w:t>）</w:t>
      </w:r>
      <w:r>
        <w:rPr>
          <w:rFonts w:hint="eastAsia" w:ascii="宋体" w:hAnsi="宋体"/>
          <w:color w:val="auto"/>
          <w:sz w:val="24"/>
          <w:highlight w:val="none"/>
        </w:rPr>
        <w:t>若连续两项工程的工程造价送审价达到最终审定价格的1</w:t>
      </w:r>
      <w:r>
        <w:rPr>
          <w:rFonts w:ascii="宋体" w:hAnsi="宋体"/>
          <w:color w:val="auto"/>
          <w:sz w:val="24"/>
          <w:highlight w:val="none"/>
        </w:rPr>
        <w:t>10%</w:t>
      </w:r>
      <w:r>
        <w:rPr>
          <w:rFonts w:hint="eastAsia" w:ascii="宋体" w:hAnsi="宋体"/>
          <w:color w:val="auto"/>
          <w:sz w:val="24"/>
          <w:highlight w:val="none"/>
        </w:rPr>
        <w:t>的，或累计在3项工程中出现该等情形的，甲方有权单方解除本合同。</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10</w:t>
      </w:r>
      <w:r>
        <w:rPr>
          <w:rFonts w:ascii="宋体" w:hAnsi="宋体"/>
          <w:color w:val="auto"/>
          <w:sz w:val="24"/>
          <w:highlight w:val="none"/>
        </w:rPr>
        <w:t>）明确表示或者以其行为表明不履行合同主要义务的；</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11</w:t>
      </w:r>
      <w:r>
        <w:rPr>
          <w:rFonts w:ascii="宋体" w:hAnsi="宋体"/>
          <w:color w:val="auto"/>
          <w:sz w:val="24"/>
          <w:highlight w:val="none"/>
        </w:rPr>
        <w:t>）未能按照合同约定履行其他义务</w:t>
      </w:r>
      <w:r>
        <w:rPr>
          <w:rFonts w:hint="eastAsia" w:ascii="宋体" w:hAnsi="宋体"/>
          <w:color w:val="auto"/>
          <w:sz w:val="24"/>
          <w:highlight w:val="none"/>
        </w:rPr>
        <w:t>导致甲方遭受损失的</w:t>
      </w:r>
      <w:r>
        <w:rPr>
          <w:rFonts w:ascii="宋体" w:hAnsi="宋体"/>
          <w:color w:val="auto"/>
          <w:sz w:val="24"/>
          <w:highlight w:val="none"/>
        </w:rPr>
        <w:t>。</w:t>
      </w:r>
    </w:p>
    <w:p>
      <w:pPr>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1</w:t>
      </w:r>
      <w:r>
        <w:rPr>
          <w:rFonts w:ascii="宋体" w:hAnsi="宋体"/>
          <w:b/>
          <w:color w:val="auto"/>
          <w:sz w:val="24"/>
          <w:highlight w:val="none"/>
        </w:rPr>
        <w:t xml:space="preserve">2.2 </w:t>
      </w:r>
      <w:r>
        <w:rPr>
          <w:rFonts w:hint="eastAsia" w:ascii="宋体" w:hAnsi="宋体"/>
          <w:b/>
          <w:color w:val="auto"/>
          <w:sz w:val="24"/>
          <w:highlight w:val="none"/>
        </w:rPr>
        <w:t>甲方违约责任</w:t>
      </w:r>
    </w:p>
    <w:p>
      <w:pPr>
        <w:adjustRightIn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w:t>
      </w:r>
      <w:r>
        <w:rPr>
          <w:rFonts w:ascii="宋体" w:hAnsi="宋体"/>
          <w:color w:val="auto"/>
          <w:sz w:val="24"/>
          <w:highlight w:val="none"/>
        </w:rPr>
        <w:t>在合同履行过程中</w:t>
      </w:r>
      <w:r>
        <w:rPr>
          <w:rFonts w:hint="eastAsia" w:ascii="宋体" w:hAnsi="宋体"/>
          <w:color w:val="auto"/>
          <w:sz w:val="24"/>
          <w:highlight w:val="none"/>
        </w:rPr>
        <w:t>有</w:t>
      </w:r>
      <w:r>
        <w:rPr>
          <w:rFonts w:ascii="宋体" w:hAnsi="宋体"/>
          <w:color w:val="auto"/>
          <w:sz w:val="24"/>
          <w:highlight w:val="none"/>
        </w:rPr>
        <w:t>下列情形</w:t>
      </w:r>
      <w:r>
        <w:rPr>
          <w:rFonts w:hint="eastAsia" w:ascii="宋体" w:hAnsi="宋体"/>
          <w:color w:val="auto"/>
          <w:sz w:val="24"/>
          <w:highlight w:val="none"/>
        </w:rPr>
        <w:t>的</w:t>
      </w:r>
      <w:r>
        <w:rPr>
          <w:rFonts w:ascii="宋体" w:hAnsi="宋体"/>
          <w:color w:val="auto"/>
          <w:sz w:val="24"/>
          <w:highlight w:val="none"/>
        </w:rPr>
        <w:t>，</w:t>
      </w:r>
      <w:r>
        <w:rPr>
          <w:rFonts w:hint="eastAsia" w:ascii="宋体" w:hAnsi="宋体"/>
          <w:color w:val="auto"/>
          <w:sz w:val="24"/>
          <w:highlight w:val="none"/>
        </w:rPr>
        <w:t>乙方应承担相应违约责任</w:t>
      </w:r>
      <w:r>
        <w:rPr>
          <w:rFonts w:ascii="宋体" w:hAnsi="宋体"/>
          <w:color w:val="auto"/>
          <w:sz w:val="24"/>
          <w:highlight w:val="none"/>
        </w:rPr>
        <w:t>：</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（1）因发包人原因未能</w:t>
      </w:r>
      <w:r>
        <w:rPr>
          <w:rFonts w:hint="eastAsia" w:ascii="宋体" w:hAnsi="宋体"/>
          <w:color w:val="auto"/>
          <w:sz w:val="24"/>
          <w:highlight w:val="none"/>
        </w:rPr>
        <w:t>依约按时</w:t>
      </w:r>
      <w:r>
        <w:rPr>
          <w:rFonts w:ascii="宋体" w:hAnsi="宋体"/>
          <w:color w:val="auto"/>
          <w:sz w:val="24"/>
          <w:highlight w:val="none"/>
        </w:rPr>
        <w:t>支付</w:t>
      </w:r>
      <w:r>
        <w:rPr>
          <w:rFonts w:hint="eastAsia" w:ascii="宋体" w:hAnsi="宋体"/>
          <w:color w:val="auto"/>
          <w:sz w:val="24"/>
          <w:highlight w:val="none"/>
        </w:rPr>
        <w:t>应付款项</w:t>
      </w:r>
      <w:r>
        <w:rPr>
          <w:rFonts w:ascii="宋体" w:hAnsi="宋体"/>
          <w:color w:val="auto"/>
          <w:sz w:val="24"/>
          <w:highlight w:val="none"/>
        </w:rPr>
        <w:t>的</w:t>
      </w:r>
      <w:r>
        <w:rPr>
          <w:rFonts w:hint="eastAsia" w:ascii="宋体" w:hAnsi="宋体"/>
          <w:color w:val="auto"/>
          <w:sz w:val="24"/>
          <w:highlight w:val="none"/>
        </w:rPr>
        <w:t>，每逾期一日，应向乙方支付应付未付金额万分之五的逾期违约金。</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2</w:t>
      </w:r>
      <w:r>
        <w:rPr>
          <w:rFonts w:ascii="宋体" w:hAnsi="宋体"/>
          <w:color w:val="auto"/>
          <w:sz w:val="24"/>
          <w:highlight w:val="none"/>
        </w:rPr>
        <w:t>）发包人提供的材料、工程设备的规格、数量或质量不符合合同约定，或因发包人原因导致交货日期延误或交货地点变更等情况的；</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3</w:t>
      </w:r>
      <w:r>
        <w:rPr>
          <w:rFonts w:ascii="宋体" w:hAnsi="宋体"/>
          <w:color w:val="auto"/>
          <w:sz w:val="24"/>
          <w:highlight w:val="none"/>
        </w:rPr>
        <w:t>）因发包人违反合同约定造成暂停施工的；</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4</w:t>
      </w:r>
      <w:r>
        <w:rPr>
          <w:rFonts w:ascii="宋体" w:hAnsi="宋体"/>
          <w:color w:val="auto"/>
          <w:sz w:val="24"/>
          <w:highlight w:val="none"/>
        </w:rPr>
        <w:t>）发包人无正当理由没有在约定期限内发出复工指示，导致承包人无法复工的；</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5</w:t>
      </w:r>
      <w:r>
        <w:rPr>
          <w:rFonts w:ascii="宋体" w:hAnsi="宋体"/>
          <w:color w:val="auto"/>
          <w:sz w:val="24"/>
          <w:highlight w:val="none"/>
        </w:rPr>
        <w:t>）发包人明确表示或者以其行为表明不履行合同主要义务的</w:t>
      </w:r>
      <w:r>
        <w:rPr>
          <w:rFonts w:hint="eastAsia" w:ascii="宋体" w:hAnsi="宋体"/>
          <w:color w:val="auto"/>
          <w:sz w:val="24"/>
          <w:highlight w:val="none"/>
        </w:rPr>
        <w:t>，乙方有权解除本合同</w:t>
      </w:r>
      <w:r>
        <w:rPr>
          <w:rFonts w:ascii="宋体" w:hAnsi="宋体"/>
          <w:color w:val="auto"/>
          <w:sz w:val="24"/>
          <w:highlight w:val="none"/>
        </w:rPr>
        <w:t>；</w:t>
      </w:r>
    </w:p>
    <w:p>
      <w:pPr>
        <w:adjustRightInd w:val="0"/>
        <w:spacing w:line="360" w:lineRule="auto"/>
        <w:ind w:firstLine="480" w:firstLineChars="200"/>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6</w:t>
      </w:r>
      <w:r>
        <w:rPr>
          <w:rFonts w:ascii="宋体" w:hAnsi="宋体"/>
          <w:color w:val="auto"/>
          <w:sz w:val="24"/>
          <w:highlight w:val="none"/>
        </w:rPr>
        <w:t>）发包人未能按照合同约定履行其他义务</w:t>
      </w:r>
      <w:r>
        <w:rPr>
          <w:rFonts w:hint="eastAsia" w:ascii="宋体" w:hAnsi="宋体"/>
          <w:color w:val="auto"/>
          <w:sz w:val="24"/>
          <w:highlight w:val="none"/>
        </w:rPr>
        <w:t>导致乙方无法实现合同目的的，乙方有权解除本合同</w:t>
      </w:r>
      <w:r>
        <w:rPr>
          <w:rFonts w:ascii="宋体" w:hAnsi="宋体"/>
          <w:color w:val="auto"/>
          <w:sz w:val="24"/>
          <w:highlight w:val="none"/>
        </w:rPr>
        <w:t>。</w:t>
      </w:r>
    </w:p>
    <w:bookmarkEnd w:id="201"/>
    <w:bookmarkEnd w:id="202"/>
    <w:p>
      <w:pPr>
        <w:adjustRightInd w:val="0"/>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第十三条</w:t>
      </w:r>
      <w:r>
        <w:rPr>
          <w:rFonts w:ascii="宋体" w:hAnsi="宋体"/>
          <w:b/>
          <w:color w:val="auto"/>
          <w:sz w:val="24"/>
          <w:highlight w:val="none"/>
        </w:rPr>
        <w:t xml:space="preserve"> </w:t>
      </w:r>
      <w:r>
        <w:rPr>
          <w:rFonts w:hint="eastAsia" w:ascii="宋体" w:hAnsi="宋体"/>
          <w:b/>
          <w:color w:val="auto"/>
          <w:sz w:val="24"/>
          <w:highlight w:val="none"/>
        </w:rPr>
        <w:t>其他</w:t>
      </w:r>
    </w:p>
    <w:p>
      <w:pPr>
        <w:adjustRightIn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 xml:space="preserve">3.1 </w:t>
      </w:r>
      <w:r>
        <w:rPr>
          <w:rFonts w:hint="eastAsia" w:ascii="宋体" w:hAnsi="宋体"/>
          <w:color w:val="auto"/>
          <w:sz w:val="24"/>
          <w:highlight w:val="none"/>
        </w:rPr>
        <w:t>因本合同发生的争议，向甲方所在地人民法院起诉。</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 xml:space="preserve">3.2 </w:t>
      </w:r>
      <w:r>
        <w:rPr>
          <w:rFonts w:hint="eastAsia" w:ascii="宋体" w:hAnsi="宋体"/>
          <w:color w:val="auto"/>
          <w:sz w:val="24"/>
          <w:highlight w:val="none"/>
        </w:rPr>
        <w:t>本合同经甲、乙双方各自法定代表人或授权代表签字（或盖章）并加盖甲乙双方各自工作或合同专用章后生效。</w:t>
      </w:r>
    </w:p>
    <w:p>
      <w:pPr>
        <w:adjustRightIn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3</w:t>
      </w: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 xml:space="preserve"> 本合同一式</w:t>
      </w:r>
      <w:r>
        <w:rPr>
          <w:rFonts w:hint="eastAsia" w:ascii="宋体" w:hAnsi="宋体"/>
          <w:color w:val="auto"/>
          <w:sz w:val="24"/>
          <w:highlight w:val="none"/>
          <w:lang w:val="en-US" w:eastAsia="zh-CN"/>
        </w:rPr>
        <w:t>五</w:t>
      </w:r>
      <w:r>
        <w:rPr>
          <w:rFonts w:hint="eastAsia" w:ascii="宋体" w:hAnsi="宋体"/>
          <w:color w:val="auto"/>
          <w:sz w:val="24"/>
          <w:highlight w:val="none"/>
        </w:rPr>
        <w:t>份，</w:t>
      </w:r>
      <w:r>
        <w:rPr>
          <w:rFonts w:hint="eastAsia" w:ascii="宋体" w:hAnsi="宋体"/>
          <w:color w:val="auto"/>
          <w:sz w:val="24"/>
          <w:szCs w:val="24"/>
          <w:highlight w:val="none"/>
        </w:rPr>
        <w:t>具有同等法律效力，甲方执</w:t>
      </w:r>
      <w:r>
        <w:rPr>
          <w:rFonts w:hint="eastAsia" w:ascii="宋体" w:hAnsi="宋体"/>
          <w:color w:val="auto"/>
          <w:sz w:val="24"/>
          <w:szCs w:val="24"/>
          <w:highlight w:val="none"/>
          <w:lang w:val="en-US" w:eastAsia="zh-CN"/>
        </w:rPr>
        <w:t>三</w:t>
      </w:r>
      <w:r>
        <w:rPr>
          <w:rFonts w:hint="eastAsia" w:ascii="宋体" w:hAnsi="宋体"/>
          <w:color w:val="auto"/>
          <w:sz w:val="24"/>
          <w:szCs w:val="24"/>
          <w:highlight w:val="none"/>
        </w:rPr>
        <w:t>份，乙方执</w:t>
      </w:r>
      <w:r>
        <w:rPr>
          <w:rFonts w:hint="eastAsia" w:ascii="宋体" w:hAnsi="宋体"/>
          <w:color w:val="auto"/>
          <w:sz w:val="24"/>
          <w:szCs w:val="24"/>
          <w:highlight w:val="none"/>
          <w:lang w:val="en-US" w:eastAsia="zh-CN"/>
        </w:rPr>
        <w:t>一</w:t>
      </w:r>
      <w:r>
        <w:rPr>
          <w:rFonts w:hint="eastAsia" w:ascii="宋体" w:hAnsi="宋体"/>
          <w:color w:val="auto"/>
          <w:sz w:val="24"/>
          <w:szCs w:val="24"/>
          <w:highlight w:val="none"/>
        </w:rPr>
        <w:t>份</w:t>
      </w:r>
      <w:r>
        <w:rPr>
          <w:rFonts w:hint="eastAsia" w:ascii="宋体" w:hAnsi="宋体"/>
          <w:color w:val="auto"/>
          <w:sz w:val="24"/>
          <w:szCs w:val="24"/>
          <w:highlight w:val="none"/>
          <w:lang w:eastAsia="zh-CN"/>
        </w:rPr>
        <w:t>，</w:t>
      </w:r>
      <w:r>
        <w:rPr>
          <w:rFonts w:hint="eastAsia" w:ascii="宋体" w:hAnsi="宋体"/>
          <w:color w:val="auto"/>
          <w:sz w:val="24"/>
          <w:szCs w:val="24"/>
          <w:highlight w:val="none"/>
        </w:rPr>
        <w:t>采购代理机构</w:t>
      </w:r>
      <w:r>
        <w:rPr>
          <w:rFonts w:hint="eastAsia" w:ascii="宋体" w:hAnsi="宋体"/>
          <w:color w:val="auto"/>
          <w:sz w:val="24"/>
          <w:szCs w:val="24"/>
          <w:highlight w:val="none"/>
          <w:lang w:val="en-US" w:eastAsia="zh-CN"/>
        </w:rPr>
        <w:t>存档一</w:t>
      </w:r>
      <w:r>
        <w:rPr>
          <w:rFonts w:hint="eastAsia" w:ascii="宋体" w:hAnsi="宋体"/>
          <w:color w:val="auto"/>
          <w:sz w:val="24"/>
          <w:szCs w:val="24"/>
          <w:highlight w:val="none"/>
        </w:rPr>
        <w:t>份</w:t>
      </w:r>
      <w:r>
        <w:rPr>
          <w:rFonts w:hint="eastAsia" w:ascii="宋体" w:hAnsi="宋体"/>
          <w:color w:val="auto"/>
          <w:sz w:val="24"/>
          <w:szCs w:val="24"/>
          <w:highlight w:val="none"/>
          <w:lang w:eastAsia="zh-CN"/>
        </w:rPr>
        <w:t>。</w:t>
      </w:r>
    </w:p>
    <w:p>
      <w:pPr>
        <w:adjustRightInd w:val="0"/>
        <w:spacing w:line="360" w:lineRule="auto"/>
        <w:rPr>
          <w:rFonts w:hint="eastAsia" w:ascii="宋体" w:hAnsi="宋体"/>
          <w:color w:val="auto"/>
          <w:sz w:val="24"/>
          <w:highlight w:val="none"/>
        </w:rPr>
      </w:pPr>
    </w:p>
    <w:p>
      <w:pPr>
        <w:adjustRightInd w:val="0"/>
        <w:spacing w:line="360" w:lineRule="auto"/>
        <w:rPr>
          <w:rFonts w:ascii="宋体" w:hAnsi="宋体"/>
          <w:color w:val="auto"/>
          <w:sz w:val="24"/>
          <w:highlight w:val="none"/>
        </w:rPr>
      </w:pPr>
    </w:p>
    <w:p>
      <w:pPr>
        <w:pStyle w:val="37"/>
        <w:spacing w:line="460" w:lineRule="exact"/>
        <w:ind w:firstLine="404"/>
        <w:jc w:val="center"/>
        <w:outlineLvl w:val="0"/>
        <w:rPr>
          <w:color w:val="auto"/>
          <w:highlight w:val="none"/>
        </w:rPr>
      </w:pPr>
    </w:p>
    <w:p>
      <w:pPr>
        <w:pStyle w:val="21"/>
        <w:tabs>
          <w:tab w:val="left" w:pos="720"/>
        </w:tabs>
        <w:spacing w:line="460" w:lineRule="exact"/>
        <w:rPr>
          <w:bCs/>
          <w:color w:val="auto"/>
          <w:highlight w:val="none"/>
        </w:rPr>
        <w:sectPr>
          <w:pgSz w:w="11905" w:h="16838"/>
          <w:pgMar w:top="1134" w:right="1134" w:bottom="1134" w:left="1134" w:header="720" w:footer="720" w:gutter="0"/>
          <w:cols w:space="720" w:num="1"/>
          <w:docGrid w:type="lines" w:linePitch="331" w:charSpace="0"/>
        </w:sectPr>
      </w:pPr>
    </w:p>
    <w:p>
      <w:pPr>
        <w:pStyle w:val="37"/>
        <w:ind w:firstLine="444"/>
        <w:rPr>
          <w:rFonts w:hint="eastAsia" w:ascii="宋体" w:hAnsi="宋体" w:cs="宋体"/>
          <w:color w:val="auto"/>
          <w:spacing w:val="6"/>
          <w:szCs w:val="21"/>
          <w:highlight w:val="none"/>
        </w:rPr>
      </w:pPr>
    </w:p>
    <w:p>
      <w:pPr>
        <w:pStyle w:val="6"/>
        <w:jc w:val="center"/>
        <w:rPr>
          <w:rFonts w:hint="eastAsia"/>
          <w:b/>
          <w:color w:val="auto"/>
          <w:sz w:val="24"/>
          <w:highlight w:val="none"/>
        </w:rPr>
      </w:pPr>
      <w:r>
        <w:rPr>
          <w:rFonts w:hint="eastAsia"/>
          <w:b/>
          <w:color w:val="auto"/>
          <w:sz w:val="24"/>
          <w:highlight w:val="none"/>
        </w:rPr>
        <w:t>附件</w:t>
      </w:r>
      <w:r>
        <w:rPr>
          <w:rFonts w:hint="eastAsia" w:ascii="宋体"/>
          <w:b/>
          <w:color w:val="auto"/>
          <w:sz w:val="24"/>
          <w:highlight w:val="none"/>
          <w:lang w:val="en-US" w:eastAsia="zh-CN"/>
        </w:rPr>
        <w:t>1</w:t>
      </w:r>
      <w:r>
        <w:rPr>
          <w:rFonts w:hint="eastAsia"/>
          <w:b/>
          <w:color w:val="auto"/>
          <w:sz w:val="24"/>
          <w:highlight w:val="none"/>
        </w:rPr>
        <w:t>：零星维修项目施工单位考核表</w:t>
      </w:r>
    </w:p>
    <w:p>
      <w:pPr>
        <w:rPr>
          <w:rFonts w:hint="eastAsia"/>
          <w:b/>
          <w:color w:val="auto"/>
          <w:sz w:val="24"/>
          <w:highlight w:val="none"/>
        </w:rPr>
      </w:pPr>
    </w:p>
    <w:p>
      <w:pPr>
        <w:rPr>
          <w:rFonts w:hint="eastAsia"/>
          <w:b/>
          <w:color w:val="auto"/>
          <w:sz w:val="24"/>
          <w:highlight w:val="none"/>
        </w:rPr>
        <w:sectPr>
          <w:footerReference r:id="rId8" w:type="default"/>
          <w:pgSz w:w="11905" w:h="16838"/>
          <w:pgMar w:top="1134" w:right="1134" w:bottom="1134" w:left="1134" w:header="720" w:footer="720" w:gutter="0"/>
          <w:cols w:space="720" w:num="1"/>
          <w:docGrid w:type="lines" w:linePitch="331" w:charSpace="0"/>
        </w:sectPr>
      </w:pPr>
      <w:r>
        <w:rPr>
          <w:rFonts w:hint="eastAsia"/>
          <w:color w:val="auto"/>
          <w:highlight w:val="none"/>
        </w:rPr>
        <w:drawing>
          <wp:anchor distT="0" distB="0" distL="114300" distR="114300" simplePos="0" relativeHeight="251659264" behindDoc="1" locked="0" layoutInCell="1" allowOverlap="1">
            <wp:simplePos x="0" y="0"/>
            <wp:positionH relativeFrom="column">
              <wp:posOffset>-163830</wp:posOffset>
            </wp:positionH>
            <wp:positionV relativeFrom="paragraph">
              <wp:posOffset>-99695</wp:posOffset>
            </wp:positionV>
            <wp:extent cx="6379845" cy="8966200"/>
            <wp:effectExtent l="0" t="0" r="0" b="0"/>
            <wp:wrapNone/>
            <wp:docPr id="48" name="图片 48" descr="1645672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64567270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6379845" cy="8966200"/>
                    </a:xfrm>
                    <a:prstGeom prst="rect">
                      <a:avLst/>
                    </a:prstGeom>
                    <a:noFill/>
                    <a:ln>
                      <a:noFill/>
                    </a:ln>
                  </pic:spPr>
                </pic:pic>
              </a:graphicData>
            </a:graphic>
          </wp:anchor>
        </w:drawing>
      </w:r>
    </w:p>
    <w:p>
      <w:pPr>
        <w:rPr>
          <w:rFonts w:hint="eastAsia"/>
          <w:color w:val="auto"/>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outlineLvl w:val="0"/>
        <w:rPr>
          <w:rFonts w:ascii="Times New Roman" w:hAnsi="Times New Roman"/>
          <w:b/>
          <w:color w:val="auto"/>
          <w:sz w:val="36"/>
          <w:highlight w:val="none"/>
        </w:rPr>
      </w:pPr>
      <w:bookmarkStart w:id="215" w:name="_Toc80093010"/>
      <w:bookmarkStart w:id="216" w:name="_Toc2297"/>
      <w:bookmarkStart w:id="217" w:name="_Toc32343"/>
      <w:bookmarkStart w:id="218" w:name="_Toc22187"/>
      <w:r>
        <w:rPr>
          <w:rFonts w:hint="eastAsia" w:ascii="Times New Roman" w:hAnsi="Times New Roman"/>
          <w:b/>
          <w:color w:val="auto"/>
          <w:sz w:val="36"/>
          <w:highlight w:val="none"/>
        </w:rPr>
        <w:t>第六章 投标文件格式</w:t>
      </w:r>
      <w:bookmarkEnd w:id="215"/>
      <w:bookmarkEnd w:id="216"/>
      <w:bookmarkEnd w:id="217"/>
      <w:bookmarkEnd w:id="218"/>
    </w:p>
    <w:p>
      <w:pPr>
        <w:pStyle w:val="21"/>
        <w:spacing w:line="360" w:lineRule="auto"/>
        <w:rPr>
          <w:rFonts w:hAnsi="宋体"/>
          <w:color w:val="auto"/>
          <w:highlight w:val="none"/>
        </w:rPr>
        <w:sectPr>
          <w:pgSz w:w="11905" w:h="16838"/>
          <w:pgMar w:top="1134" w:right="1134" w:bottom="1134" w:left="1134" w:header="720" w:footer="720" w:gutter="0"/>
          <w:cols w:space="720" w:num="1"/>
          <w:docGrid w:type="lines" w:linePitch="331" w:charSpace="0"/>
        </w:sectPr>
      </w:pPr>
    </w:p>
    <w:p>
      <w:pPr>
        <w:pStyle w:val="21"/>
        <w:ind w:firstLine="551" w:firstLineChars="196"/>
        <w:jc w:val="center"/>
        <w:outlineLvl w:val="1"/>
        <w:rPr>
          <w:rFonts w:hint="eastAsia" w:hAnsi="宋体"/>
          <w:b/>
          <w:bCs/>
          <w:color w:val="auto"/>
          <w:sz w:val="28"/>
          <w:szCs w:val="28"/>
          <w:highlight w:val="none"/>
        </w:rPr>
      </w:pPr>
      <w:bookmarkStart w:id="219" w:name="_Toc80093011"/>
      <w:bookmarkStart w:id="220" w:name="_Toc16216"/>
      <w:bookmarkStart w:id="221" w:name="_Toc19704"/>
      <w:bookmarkStart w:id="222" w:name="_Toc24988"/>
      <w:r>
        <w:rPr>
          <w:rFonts w:hint="eastAsia" w:hAnsi="宋体"/>
          <w:b/>
          <w:bCs/>
          <w:color w:val="auto"/>
          <w:sz w:val="28"/>
          <w:szCs w:val="28"/>
          <w:highlight w:val="none"/>
        </w:rPr>
        <w:t>第一节 投标文件外层包装封面格式</w:t>
      </w:r>
      <w:bookmarkEnd w:id="219"/>
      <w:bookmarkEnd w:id="220"/>
      <w:bookmarkEnd w:id="221"/>
      <w:bookmarkEnd w:id="222"/>
    </w:p>
    <w:p>
      <w:pPr>
        <w:spacing w:before="165" w:beforeLines="50" w:after="165" w:afterLines="50"/>
        <w:jc w:val="center"/>
        <w:rPr>
          <w:rFonts w:hint="eastAsia" w:ascii="宋体" w:hAnsi="宋体" w:cs="宋体"/>
          <w:color w:val="auto"/>
          <w:spacing w:val="20"/>
          <w:sz w:val="44"/>
          <w:szCs w:val="44"/>
          <w:highlight w:val="none"/>
        </w:rPr>
      </w:pPr>
    </w:p>
    <w:p>
      <w:pPr>
        <w:spacing w:before="165" w:beforeLines="50" w:after="165" w:afterLines="50"/>
        <w:jc w:val="center"/>
        <w:rPr>
          <w:rFonts w:hint="eastAsia" w:ascii="宋体" w:hAnsi="宋体" w:cs="宋体"/>
          <w:color w:val="auto"/>
          <w:spacing w:val="20"/>
          <w:sz w:val="44"/>
          <w:szCs w:val="44"/>
          <w:highlight w:val="none"/>
        </w:rPr>
      </w:pPr>
    </w:p>
    <w:p>
      <w:pPr>
        <w:spacing w:before="165" w:beforeLines="50" w:after="165" w:afterLines="50"/>
        <w:jc w:val="center"/>
        <w:rPr>
          <w:rFonts w:hint="eastAsia" w:ascii="宋体" w:hAnsi="宋体" w:cs="宋体"/>
          <w:color w:val="auto"/>
          <w:spacing w:val="20"/>
          <w:sz w:val="44"/>
          <w:szCs w:val="44"/>
          <w:highlight w:val="none"/>
        </w:rPr>
      </w:pPr>
    </w:p>
    <w:p>
      <w:pPr>
        <w:spacing w:before="165" w:beforeLines="50" w:after="165" w:afterLines="50"/>
        <w:jc w:val="center"/>
        <w:rPr>
          <w:rFonts w:hint="eastAsia" w:ascii="宋体" w:hAnsi="宋体" w:cs="宋体"/>
          <w:color w:val="auto"/>
          <w:spacing w:val="20"/>
          <w:sz w:val="44"/>
          <w:szCs w:val="44"/>
          <w:highlight w:val="none"/>
        </w:rPr>
      </w:pPr>
    </w:p>
    <w:p>
      <w:pPr>
        <w:spacing w:before="165" w:beforeLines="50" w:after="165" w:afterLines="50"/>
        <w:jc w:val="center"/>
        <w:rPr>
          <w:rFonts w:ascii="宋体" w:hAnsi="宋体" w:cs="宋体"/>
          <w:color w:val="auto"/>
          <w:spacing w:val="20"/>
          <w:sz w:val="44"/>
          <w:szCs w:val="44"/>
          <w:highlight w:val="none"/>
        </w:rPr>
      </w:pPr>
      <w:r>
        <w:rPr>
          <w:rFonts w:hint="eastAsia" w:ascii="宋体" w:hAnsi="宋体" w:cs="宋体"/>
          <w:color w:val="auto"/>
          <w:spacing w:val="20"/>
          <w:sz w:val="44"/>
          <w:szCs w:val="44"/>
          <w:highlight w:val="none"/>
        </w:rPr>
        <w:t>XXXXX（项目名称）</w:t>
      </w:r>
    </w:p>
    <w:p>
      <w:pPr>
        <w:spacing w:before="165" w:beforeLines="50" w:after="165" w:afterLines="50"/>
        <w:jc w:val="center"/>
        <w:rPr>
          <w:rFonts w:ascii="宋体" w:hAnsi="宋体" w:cs="宋体"/>
          <w:color w:val="auto"/>
          <w:spacing w:val="40"/>
          <w:w w:val="110"/>
          <w:sz w:val="44"/>
          <w:szCs w:val="44"/>
          <w:highlight w:val="none"/>
        </w:rPr>
      </w:pPr>
      <w:r>
        <w:rPr>
          <w:rFonts w:hint="eastAsia" w:ascii="宋体" w:hAnsi="宋体" w:cs="宋体"/>
          <w:color w:val="auto"/>
          <w:spacing w:val="40"/>
          <w:w w:val="110"/>
          <w:sz w:val="44"/>
          <w:szCs w:val="44"/>
          <w:highlight w:val="none"/>
        </w:rPr>
        <w:t>投标文件</w:t>
      </w:r>
    </w:p>
    <w:p>
      <w:pPr>
        <w:jc w:val="center"/>
        <w:rPr>
          <w:rFonts w:ascii="宋体" w:hAnsi="宋体" w:cs="宋体"/>
          <w:color w:val="auto"/>
          <w:sz w:val="24"/>
          <w:highlight w:val="none"/>
        </w:rPr>
      </w:pPr>
      <w:r>
        <w:rPr>
          <w:rFonts w:hint="eastAsia" w:ascii="宋体" w:hAnsi="宋体" w:cs="宋体"/>
          <w:color w:val="auto"/>
          <w:sz w:val="24"/>
          <w:highlight w:val="none"/>
        </w:rPr>
        <w:t>（电子投标文件）</w:t>
      </w:r>
    </w:p>
    <w:tbl>
      <w:tblPr>
        <w:tblStyle w:val="38"/>
        <w:tblW w:w="0" w:type="auto"/>
        <w:jc w:val="center"/>
        <w:tblLayout w:type="fixed"/>
        <w:tblCellMar>
          <w:top w:w="0" w:type="dxa"/>
          <w:left w:w="108" w:type="dxa"/>
          <w:bottom w:w="0" w:type="dxa"/>
          <w:right w:w="108" w:type="dxa"/>
        </w:tblCellMar>
      </w:tblPr>
      <w:tblGrid>
        <w:gridCol w:w="1601"/>
        <w:gridCol w:w="6172"/>
      </w:tblGrid>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color w:val="auto"/>
                <w:sz w:val="24"/>
                <w:highlight w:val="none"/>
              </w:rPr>
            </w:pPr>
            <w:r>
              <w:rPr>
                <w:rFonts w:hint="eastAsia" w:ascii="宋体" w:hAnsi="宋体" w:cs="宋体"/>
                <w:color w:val="auto"/>
                <w:sz w:val="24"/>
                <w:highlight w:val="none"/>
              </w:rPr>
              <w:t>项目名称：</w:t>
            </w:r>
          </w:p>
        </w:tc>
        <w:tc>
          <w:tcPr>
            <w:tcW w:w="6172" w:type="dxa"/>
            <w:tcBorders>
              <w:bottom w:val="single" w:color="000000" w:sz="4" w:space="0"/>
            </w:tcBorders>
            <w:vAlign w:val="bottom"/>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color w:val="auto"/>
                <w:sz w:val="24"/>
                <w:highlight w:val="none"/>
              </w:rPr>
            </w:pPr>
            <w:r>
              <w:rPr>
                <w:rFonts w:hint="eastAsia" w:ascii="宋体" w:hAnsi="宋体" w:cs="宋体"/>
                <w:color w:val="auto"/>
                <w:sz w:val="24"/>
                <w:highlight w:val="none"/>
              </w:rPr>
              <w:t>采购方式：</w:t>
            </w:r>
          </w:p>
        </w:tc>
        <w:tc>
          <w:tcPr>
            <w:tcW w:w="6172" w:type="dxa"/>
            <w:tcBorders>
              <w:top w:val="single" w:color="000000" w:sz="4" w:space="0"/>
              <w:bottom w:val="single" w:color="000000" w:sz="4" w:space="0"/>
            </w:tcBorders>
            <w:vAlign w:val="bottom"/>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color w:val="auto"/>
                <w:sz w:val="24"/>
                <w:highlight w:val="none"/>
              </w:rPr>
            </w:pPr>
            <w:r>
              <w:rPr>
                <w:rFonts w:hint="eastAsia" w:ascii="宋体" w:hAnsi="宋体" w:cs="宋体"/>
                <w:color w:val="auto"/>
                <w:sz w:val="24"/>
                <w:highlight w:val="none"/>
              </w:rPr>
              <w:t>项目编号：</w:t>
            </w:r>
          </w:p>
        </w:tc>
        <w:tc>
          <w:tcPr>
            <w:tcW w:w="6172" w:type="dxa"/>
            <w:tcBorders>
              <w:top w:val="single" w:color="000000" w:sz="4" w:space="0"/>
              <w:bottom w:val="single" w:color="000000" w:sz="4" w:space="0"/>
            </w:tcBorders>
            <w:vAlign w:val="bottom"/>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601" w:type="dxa"/>
            <w:vAlign w:val="bottom"/>
          </w:tcPr>
          <w:p>
            <w:pPr>
              <w:jc w:val="distribute"/>
              <w:rPr>
                <w:rFonts w:hint="eastAsia" w:ascii="宋体" w:hAnsi="宋体" w:cs="宋体"/>
                <w:color w:val="auto"/>
                <w:sz w:val="24"/>
                <w:highlight w:val="none"/>
              </w:rPr>
            </w:pPr>
            <w:r>
              <w:rPr>
                <w:rFonts w:hint="eastAsia" w:ascii="宋体" w:hAnsi="宋体" w:cs="宋体"/>
                <w:color w:val="auto"/>
                <w:sz w:val="24"/>
                <w:highlight w:val="none"/>
              </w:rPr>
              <w:t>所投分标：</w:t>
            </w:r>
          </w:p>
        </w:tc>
        <w:tc>
          <w:tcPr>
            <w:tcW w:w="6172" w:type="dxa"/>
            <w:tcBorders>
              <w:top w:val="single" w:color="000000" w:sz="4" w:space="0"/>
              <w:bottom w:val="single" w:color="000000" w:sz="4" w:space="0"/>
            </w:tcBorders>
            <w:vAlign w:val="bottom"/>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color w:val="auto"/>
                <w:sz w:val="24"/>
                <w:highlight w:val="none"/>
              </w:rPr>
            </w:pPr>
            <w:r>
              <w:rPr>
                <w:rFonts w:hint="eastAsia" w:ascii="宋体" w:hAnsi="宋体" w:cs="宋体"/>
                <w:color w:val="auto"/>
                <w:sz w:val="24"/>
                <w:highlight w:val="none"/>
              </w:rPr>
              <w:t>投标人名称：</w:t>
            </w:r>
          </w:p>
        </w:tc>
        <w:tc>
          <w:tcPr>
            <w:tcW w:w="6172" w:type="dxa"/>
            <w:tcBorders>
              <w:top w:val="single" w:color="000000" w:sz="4" w:space="0"/>
              <w:bottom w:val="single" w:color="000000" w:sz="4" w:space="0"/>
            </w:tcBorders>
            <w:vAlign w:val="bottom"/>
          </w:tcPr>
          <w:p>
            <w:pPr>
              <w:jc w:val="left"/>
              <w:rPr>
                <w:rFonts w:ascii="宋体" w:hAnsi="宋体" w:cs="宋体"/>
                <w:color w:val="auto"/>
                <w:sz w:val="24"/>
                <w:highlight w:val="none"/>
              </w:rPr>
            </w:pPr>
          </w:p>
        </w:tc>
      </w:tr>
      <w:tr>
        <w:tblPrEx>
          <w:tblCellMar>
            <w:top w:w="0" w:type="dxa"/>
            <w:left w:w="108" w:type="dxa"/>
            <w:bottom w:w="0" w:type="dxa"/>
            <w:right w:w="108" w:type="dxa"/>
          </w:tblCellMar>
        </w:tblPrEx>
        <w:trPr>
          <w:jc w:val="center"/>
        </w:trPr>
        <w:tc>
          <w:tcPr>
            <w:tcW w:w="1601" w:type="dxa"/>
            <w:vAlign w:val="bottom"/>
          </w:tcPr>
          <w:p>
            <w:pPr>
              <w:jc w:val="distribute"/>
              <w:rPr>
                <w:rFonts w:ascii="宋体" w:hAnsi="宋体" w:cs="宋体"/>
                <w:color w:val="auto"/>
                <w:sz w:val="24"/>
                <w:highlight w:val="none"/>
              </w:rPr>
            </w:pPr>
            <w:r>
              <w:rPr>
                <w:rFonts w:hint="eastAsia" w:ascii="宋体" w:hAnsi="宋体" w:cs="宋体"/>
                <w:color w:val="auto"/>
                <w:sz w:val="24"/>
                <w:highlight w:val="none"/>
              </w:rPr>
              <w:t>投标人地址：</w:t>
            </w:r>
          </w:p>
        </w:tc>
        <w:tc>
          <w:tcPr>
            <w:tcW w:w="6172" w:type="dxa"/>
            <w:tcBorders>
              <w:top w:val="single" w:color="000000" w:sz="4" w:space="0"/>
              <w:bottom w:val="single" w:color="000000" w:sz="4" w:space="0"/>
            </w:tcBorders>
            <w:vAlign w:val="bottom"/>
          </w:tcPr>
          <w:p>
            <w:pPr>
              <w:jc w:val="left"/>
              <w:rPr>
                <w:rFonts w:ascii="宋体" w:hAnsi="宋体" w:cs="宋体"/>
                <w:color w:val="auto"/>
                <w:sz w:val="24"/>
                <w:highlight w:val="none"/>
              </w:rPr>
            </w:pPr>
          </w:p>
        </w:tc>
      </w:tr>
    </w:tbl>
    <w:p>
      <w:pPr>
        <w:ind w:firstLine="4200" w:firstLineChars="1750"/>
        <w:rPr>
          <w:rFonts w:hint="eastAsia" w:ascii="宋体" w:hAnsi="宋体" w:cs="宋体"/>
          <w:color w:val="auto"/>
          <w:sz w:val="24"/>
          <w:highlight w:val="none"/>
        </w:rPr>
      </w:pPr>
    </w:p>
    <w:p>
      <w:pPr>
        <w:ind w:firstLine="4200" w:firstLineChars="1750"/>
        <w:rPr>
          <w:rFonts w:hint="eastAsia" w:ascii="宋体" w:hAnsi="宋体" w:cs="宋体"/>
          <w:color w:val="auto"/>
          <w:sz w:val="24"/>
          <w:highlight w:val="none"/>
        </w:rPr>
      </w:pPr>
    </w:p>
    <w:p>
      <w:pPr>
        <w:ind w:firstLine="4200" w:firstLineChars="1750"/>
        <w:rPr>
          <w:rFonts w:hint="eastAsia" w:ascii="宋体" w:hAnsi="宋体" w:cs="宋体"/>
          <w:color w:val="auto"/>
          <w:sz w:val="24"/>
          <w:highlight w:val="none"/>
        </w:rPr>
      </w:pPr>
    </w:p>
    <w:p>
      <w:pPr>
        <w:ind w:firstLine="5880" w:firstLineChars="2450"/>
        <w:rPr>
          <w:rFonts w:hint="eastAsia" w:ascii="宋体" w:hAnsi="宋体" w:cs="宋体"/>
          <w:color w:val="auto"/>
          <w:sz w:val="24"/>
          <w:highlight w:val="none"/>
        </w:rPr>
      </w:pPr>
      <w:r>
        <w:rPr>
          <w:rFonts w:hint="eastAsia" w:ascii="宋体" w:hAnsi="宋体" w:cs="宋体"/>
          <w:color w:val="auto"/>
          <w:sz w:val="24"/>
          <w:highlight w:val="none"/>
        </w:rPr>
        <w:t>投标截止时间前不得解密</w:t>
      </w:r>
    </w:p>
    <w:p>
      <w:pPr>
        <w:ind w:firstLine="6480" w:firstLineChars="2700"/>
        <w:rPr>
          <w:rFonts w:ascii="宋体" w:hAnsi="宋体" w:cs="宋体"/>
          <w:color w:val="auto"/>
          <w:sz w:val="24"/>
          <w:highlight w:val="none"/>
        </w:rPr>
        <w:sectPr>
          <w:headerReference r:id="rId9" w:type="default"/>
          <w:footerReference r:id="rId10" w:type="default"/>
          <w:pgSz w:w="11905" w:h="16838"/>
          <w:pgMar w:top="1134" w:right="1134" w:bottom="1134" w:left="1134" w:header="720" w:footer="720" w:gutter="0"/>
          <w:cols w:space="720" w:num="1"/>
          <w:docGrid w:type="lines" w:linePitch="331" w:charSpace="0"/>
        </w:sectPr>
      </w:pPr>
      <w:r>
        <w:rPr>
          <w:rFonts w:hint="eastAsia" w:ascii="宋体" w:hAnsi="宋体" w:cs="宋体"/>
          <w:color w:val="auto"/>
          <w:sz w:val="24"/>
          <w:highlight w:val="none"/>
        </w:rPr>
        <w:t>年   月   日</w:t>
      </w:r>
    </w:p>
    <w:p>
      <w:pPr>
        <w:pStyle w:val="21"/>
        <w:jc w:val="center"/>
        <w:outlineLvl w:val="1"/>
        <w:rPr>
          <w:rFonts w:hint="eastAsia" w:hAnsi="宋体"/>
          <w:b/>
          <w:bCs/>
          <w:color w:val="auto"/>
          <w:sz w:val="28"/>
          <w:szCs w:val="28"/>
          <w:highlight w:val="none"/>
        </w:rPr>
      </w:pPr>
      <w:bookmarkStart w:id="223" w:name="_Toc80093012"/>
      <w:bookmarkStart w:id="224" w:name="_Toc28653"/>
      <w:bookmarkStart w:id="225" w:name="_Toc26385"/>
      <w:bookmarkStart w:id="226" w:name="_Toc16413"/>
      <w:r>
        <w:rPr>
          <w:rFonts w:hint="eastAsia" w:hAnsi="宋体"/>
          <w:b/>
          <w:bCs/>
          <w:color w:val="auto"/>
          <w:sz w:val="28"/>
          <w:szCs w:val="28"/>
          <w:highlight w:val="none"/>
        </w:rPr>
        <w:t>第二节 资格证明文件格式</w:t>
      </w:r>
      <w:bookmarkEnd w:id="223"/>
      <w:bookmarkEnd w:id="224"/>
      <w:bookmarkEnd w:id="225"/>
      <w:bookmarkEnd w:id="226"/>
    </w:p>
    <w:p>
      <w:pPr>
        <w:pStyle w:val="21"/>
        <w:spacing w:line="360" w:lineRule="auto"/>
        <w:ind w:firstLine="420"/>
        <w:rPr>
          <w:rFonts w:hint="eastAsia" w:hAnsi="宋体"/>
          <w:color w:val="auto"/>
          <w:sz w:val="30"/>
          <w:highlight w:val="none"/>
        </w:rPr>
      </w:pPr>
    </w:p>
    <w:p>
      <w:pPr>
        <w:snapToGrid w:val="0"/>
        <w:spacing w:before="165"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电子投标文件</w:t>
      </w:r>
    </w:p>
    <w:p>
      <w:pPr>
        <w:snapToGrid w:val="0"/>
        <w:spacing w:before="165" w:beforeLines="50" w:after="50"/>
        <w:rPr>
          <w:rFonts w:hint="eastAsia" w:ascii="宋体" w:hAnsi="宋体"/>
          <w:color w:val="auto"/>
          <w:sz w:val="24"/>
          <w:szCs w:val="20"/>
          <w:highlight w:val="none"/>
        </w:rPr>
      </w:pPr>
    </w:p>
    <w:p>
      <w:pPr>
        <w:snapToGrid w:val="0"/>
        <w:spacing w:before="165"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资格证明文件（封面）</w:t>
      </w: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ascii="宋体" w:hAnsi="宋体"/>
          <w:bCs/>
          <w:color w:val="auto"/>
          <w:sz w:val="24"/>
          <w:szCs w:val="20"/>
          <w:highlight w:val="none"/>
        </w:rPr>
      </w:pPr>
    </w:p>
    <w:p>
      <w:pPr>
        <w:snapToGrid w:val="0"/>
        <w:spacing w:before="165" w:beforeLines="50" w:after="50"/>
        <w:rPr>
          <w:rFonts w:hint="eastAsia" w:ascii="宋体" w:hAnsi="宋体"/>
          <w:bCs/>
          <w:color w:val="auto"/>
          <w:sz w:val="24"/>
          <w:szCs w:val="20"/>
          <w:highlight w:val="none"/>
        </w:rPr>
      </w:pPr>
    </w:p>
    <w:p>
      <w:pPr>
        <w:snapToGrid w:val="0"/>
        <w:spacing w:before="165"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65" w:beforeLines="50" w:after="50"/>
        <w:ind w:firstLine="540" w:firstLineChars="225"/>
        <w:rPr>
          <w:rFonts w:hint="eastAsia" w:ascii="宋体" w:hAnsi="宋体"/>
          <w:bCs/>
          <w:color w:val="auto"/>
          <w:sz w:val="24"/>
          <w:szCs w:val="20"/>
          <w:highlight w:val="none"/>
        </w:rPr>
      </w:pPr>
    </w:p>
    <w:p>
      <w:pPr>
        <w:snapToGrid w:val="0"/>
        <w:spacing w:before="165"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65"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65"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所投分标：</w:t>
      </w:r>
    </w:p>
    <w:p>
      <w:pPr>
        <w:pStyle w:val="8"/>
        <w:snapToGrid w:val="0"/>
        <w:spacing w:before="50" w:after="50"/>
        <w:ind w:firstLine="540" w:firstLineChars="225"/>
        <w:rPr>
          <w:rFonts w:hint="eastAsia" w:ascii="宋体" w:hAnsi="宋体"/>
          <w:bCs/>
          <w:color w:val="auto"/>
          <w:sz w:val="24"/>
          <w:szCs w:val="24"/>
          <w:highlight w:val="none"/>
        </w:rPr>
      </w:pPr>
    </w:p>
    <w:p>
      <w:pPr>
        <w:pStyle w:val="8"/>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hint="eastAsia" w:ascii="宋体" w:hAnsi="宋体"/>
          <w:bCs/>
          <w:color w:val="auto"/>
          <w:sz w:val="24"/>
          <w:szCs w:val="24"/>
          <w:highlight w:val="none"/>
        </w:rPr>
      </w:pPr>
    </w:p>
    <w:p>
      <w:pPr>
        <w:pStyle w:val="8"/>
        <w:snapToGrid w:val="0"/>
        <w:spacing w:before="50" w:after="50"/>
        <w:ind w:firstLine="960" w:firstLineChars="400"/>
        <w:rPr>
          <w:rFonts w:hint="eastAsia" w:ascii="宋体" w:hAnsi="宋体"/>
          <w:bCs/>
          <w:color w:val="auto"/>
          <w:sz w:val="24"/>
          <w:szCs w:val="24"/>
          <w:highlight w:val="none"/>
        </w:rPr>
      </w:pPr>
    </w:p>
    <w:p>
      <w:pPr>
        <w:snapToGrid w:val="0"/>
        <w:spacing w:before="165"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pStyle w:val="21"/>
        <w:spacing w:line="360" w:lineRule="auto"/>
        <w:ind w:firstLine="420"/>
        <w:rPr>
          <w:rFonts w:hAnsi="宋体"/>
          <w:color w:val="auto"/>
          <w:sz w:val="30"/>
          <w:highlight w:val="none"/>
        </w:rPr>
        <w:sectPr>
          <w:pgSz w:w="11905" w:h="16838"/>
          <w:pgMar w:top="1134" w:right="1134" w:bottom="1134" w:left="1134" w:header="720" w:footer="720" w:gutter="0"/>
          <w:cols w:space="720" w:num="1"/>
          <w:docGrid w:type="lines" w:linePitch="331" w:charSpace="0"/>
        </w:sectPr>
      </w:pPr>
    </w:p>
    <w:p>
      <w:pPr>
        <w:jc w:val="center"/>
        <w:rPr>
          <w:rFonts w:hint="eastAsia"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资格证明文件目录</w:t>
      </w:r>
    </w:p>
    <w:p>
      <w:pPr>
        <w:snapToGrid w:val="0"/>
        <w:spacing w:line="360" w:lineRule="auto"/>
        <w:rPr>
          <w:rFonts w:hint="eastAsia" w:ascii="仿宋_GB2312" w:hAnsi="仿宋" w:eastAsia="仿宋_GB2312" w:cs="仿宋_GB2312"/>
          <w:color w:val="auto"/>
          <w:kern w:val="0"/>
          <w:sz w:val="24"/>
          <w:highlight w:val="none"/>
        </w:rPr>
      </w:pP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一、</w:t>
      </w:r>
      <w:r>
        <w:rPr>
          <w:rFonts w:hint="eastAsia" w:ascii="仿宋_GB2312" w:hAnsi="仿宋" w:eastAsia="仿宋_GB2312"/>
          <w:color w:val="auto"/>
          <w:sz w:val="24"/>
          <w:highlight w:val="none"/>
        </w:rPr>
        <w:t>营业执照(或事业法人登记证或其他工商等登记证明材料)复印件（投标人为自然人的，须提供</w:t>
      </w:r>
      <w:r>
        <w:rPr>
          <w:rFonts w:hint="eastAsia" w:ascii="仿宋_GB2312" w:hAnsi="仿宋" w:eastAsia="仿宋_GB2312" w:cs="Helvetica"/>
          <w:color w:val="auto"/>
          <w:kern w:val="0"/>
          <w:sz w:val="24"/>
          <w:highlight w:val="none"/>
        </w:rPr>
        <w:t>自然人的身份证明</w:t>
      </w:r>
      <w:r>
        <w:rPr>
          <w:rFonts w:hint="eastAsia"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rPr>
        <w:t>……………………………………………………………（页码）</w:t>
      </w: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二、符合参与政府采购活动的资格条件依法缴纳税收、社会保障资金等方面的材料…………………………………………………………………………………………（页码）</w:t>
      </w: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三、财务状况报告方面的材料…………………………………………………………（页码）</w:t>
      </w: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四、投标人直接控股股东信息</w:t>
      </w:r>
      <w:r>
        <w:rPr>
          <w:rFonts w:hint="eastAsia" w:ascii="仿宋_GB2312" w:hAnsi="仿宋" w:eastAsia="仿宋_GB2312" w:cs="仿宋_GB2312"/>
          <w:color w:val="auto"/>
          <w:kern w:val="0"/>
          <w:sz w:val="24"/>
          <w:highlight w:val="none"/>
        </w:rPr>
        <w:t>…………………………………………………………（页码）</w:t>
      </w: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五、投标人直接管理关系信息表</w:t>
      </w:r>
      <w:r>
        <w:rPr>
          <w:rFonts w:hint="eastAsia" w:ascii="仿宋_GB2312" w:hAnsi="仿宋" w:eastAsia="仿宋_GB2312" w:cs="仿宋_GB2312"/>
          <w:color w:val="auto"/>
          <w:kern w:val="0"/>
          <w:sz w:val="24"/>
          <w:highlight w:val="none"/>
        </w:rPr>
        <w:t>………………………………………………………（页码）</w:t>
      </w: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六、投标资格声明函……………………………………………………………………（页码）</w:t>
      </w: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olor w:val="auto"/>
          <w:sz w:val="24"/>
          <w:highlight w:val="none"/>
        </w:rPr>
        <w:t>七、投标保证金缴纳证明</w:t>
      </w:r>
      <w:r>
        <w:rPr>
          <w:rFonts w:hint="eastAsia" w:ascii="仿宋_GB2312" w:hAnsi="仿宋" w:eastAsia="仿宋_GB2312" w:cs="仿宋_GB2312"/>
          <w:color w:val="auto"/>
          <w:kern w:val="0"/>
          <w:sz w:val="24"/>
          <w:highlight w:val="none"/>
        </w:rPr>
        <w:t>………………………………………………………………（页码）</w:t>
      </w:r>
    </w:p>
    <w:p>
      <w:pPr>
        <w:pStyle w:val="2"/>
        <w:rPr>
          <w:rFonts w:hint="eastAsia" w:ascii="仿宋_GB2312" w:hAnsi="仿宋" w:eastAsia="仿宋_GB2312" w:cs="Times New Roman"/>
          <w:color w:val="auto"/>
          <w:sz w:val="24"/>
          <w:szCs w:val="24"/>
          <w:highlight w:val="none"/>
        </w:rPr>
      </w:pPr>
      <w:r>
        <w:rPr>
          <w:rFonts w:hint="eastAsia" w:ascii="仿宋_GB2312" w:hAnsi="仿宋" w:eastAsia="仿宋_GB2312" w:cs="仿宋_GB2312"/>
          <w:color w:val="auto"/>
          <w:sz w:val="24"/>
          <w:highlight w:val="none"/>
        </w:rPr>
        <w:t>八</w:t>
      </w:r>
      <w:r>
        <w:rPr>
          <w:rFonts w:hint="eastAsia" w:ascii="仿宋_GB2312" w:hAnsi="仿宋" w:eastAsia="仿宋_GB2312" w:cs="Times New Roman"/>
          <w:color w:val="auto"/>
          <w:sz w:val="24"/>
          <w:highlight w:val="none"/>
        </w:rPr>
        <w:t>、</w:t>
      </w:r>
      <w:r>
        <w:rPr>
          <w:rFonts w:hint="eastAsia" w:ascii="仿宋_GB2312" w:hAnsi="仿宋" w:eastAsia="仿宋_GB2312" w:cs="Times New Roman"/>
          <w:color w:val="auto"/>
          <w:sz w:val="24"/>
          <w:szCs w:val="24"/>
          <w:highlight w:val="none"/>
        </w:rPr>
        <w:t>投标人应为中/小/微企业或监狱企业或残疾人福利性单位，证明材料提供中小企业声明函或对应要求的资格证明资料</w:t>
      </w:r>
      <w:r>
        <w:rPr>
          <w:rFonts w:hint="eastAsia" w:ascii="仿宋_GB2312" w:hAnsi="仿宋" w:eastAsia="仿宋_GB2312" w:cs="仿宋_GB2312"/>
          <w:color w:val="auto"/>
          <w:kern w:val="0"/>
          <w:sz w:val="24"/>
          <w:highlight w:val="none"/>
        </w:rPr>
        <w:t>…………………………………………………………（页码）</w:t>
      </w:r>
    </w:p>
    <w:p>
      <w:pPr>
        <w:pStyle w:val="2"/>
        <w:rPr>
          <w:rFonts w:hint="default" w:ascii="Times New Roman" w:hAnsi="Times New Roman" w:eastAsia="仿宋_GB2312" w:cs="Times New Roman"/>
          <w:szCs w:val="24"/>
        </w:rPr>
      </w:pPr>
      <w:r>
        <w:rPr>
          <w:rFonts w:hint="eastAsia" w:ascii="仿宋_GB2312" w:hAnsi="仿宋" w:eastAsia="仿宋_GB2312" w:cs="Times New Roman"/>
          <w:color w:val="auto"/>
          <w:sz w:val="24"/>
          <w:szCs w:val="24"/>
          <w:highlight w:val="none"/>
          <w:lang w:val="en-US" w:eastAsia="zh-CN"/>
        </w:rPr>
        <w:t>九、特定资格条件</w:t>
      </w:r>
      <w:r>
        <w:rPr>
          <w:rFonts w:hint="eastAsia" w:ascii="仿宋_GB2312" w:hAnsi="仿宋" w:eastAsia="仿宋_GB2312" w:cs="Times New Roman"/>
          <w:color w:val="auto"/>
          <w:sz w:val="24"/>
          <w:szCs w:val="24"/>
          <w:highlight w:val="none"/>
        </w:rPr>
        <w:t>证明资料</w:t>
      </w:r>
      <w:r>
        <w:rPr>
          <w:rFonts w:hint="eastAsia" w:ascii="仿宋_GB2312" w:hAnsi="仿宋" w:eastAsia="仿宋_GB2312" w:cs="仿宋_GB2312"/>
          <w:color w:val="auto"/>
          <w:kern w:val="0"/>
          <w:sz w:val="24"/>
          <w:highlight w:val="none"/>
        </w:rPr>
        <w:t>……………………………………………………………（页码）</w:t>
      </w:r>
    </w:p>
    <w:p>
      <w:pPr>
        <w:snapToGrid w:val="0"/>
        <w:spacing w:line="360" w:lineRule="auto"/>
        <w:rPr>
          <w:rFonts w:hint="eastAsia" w:ascii="仿宋_GB2312" w:hAnsi="仿宋" w:eastAsia="仿宋_GB2312" w:cs="Times New Roman"/>
          <w:color w:val="auto"/>
          <w:kern w:val="2"/>
          <w:sz w:val="24"/>
          <w:highlight w:val="none"/>
        </w:rPr>
      </w:pPr>
      <w:r>
        <w:rPr>
          <w:rFonts w:hint="eastAsia" w:ascii="仿宋_GB2312" w:hAnsi="仿宋" w:eastAsia="仿宋_GB2312" w:cs="Times New Roman"/>
          <w:color w:val="auto"/>
          <w:sz w:val="24"/>
          <w:highlight w:val="none"/>
          <w:lang w:val="en-US" w:eastAsia="zh-CN"/>
        </w:rPr>
        <w:t>十、</w:t>
      </w:r>
      <w:r>
        <w:rPr>
          <w:rFonts w:hint="eastAsia" w:ascii="仿宋_GB2312" w:hAnsi="仿宋" w:eastAsia="仿宋_GB2312" w:cs="Times New Roman"/>
          <w:color w:val="auto"/>
          <w:sz w:val="24"/>
          <w:highlight w:val="none"/>
        </w:rPr>
        <w:t>除招标文件规定必须提供以外，投标人认为需要提供的其他证明材料。</w:t>
      </w:r>
      <w:r>
        <w:rPr>
          <w:rFonts w:hint="eastAsia" w:ascii="仿宋_GB2312" w:hAnsi="仿宋" w:eastAsia="仿宋_GB2312" w:cs="Times New Roman"/>
          <w:color w:val="auto"/>
          <w:kern w:val="2"/>
          <w:sz w:val="24"/>
          <w:highlight w:val="none"/>
        </w:rPr>
        <w:t>……（页码）</w:t>
      </w:r>
    </w:p>
    <w:p>
      <w:pPr>
        <w:snapToGrid w:val="0"/>
        <w:spacing w:line="360" w:lineRule="auto"/>
        <w:rPr>
          <w:rFonts w:hint="eastAsia" w:ascii="仿宋_GB2312" w:hAnsi="仿宋" w:eastAsia="仿宋_GB2312" w:cs="仿宋_GB2312"/>
          <w:color w:val="auto"/>
          <w:kern w:val="0"/>
          <w:sz w:val="24"/>
          <w:highlight w:val="none"/>
        </w:rPr>
      </w:pPr>
    </w:p>
    <w:p>
      <w:pPr>
        <w:spacing w:line="360" w:lineRule="auto"/>
        <w:rPr>
          <w:rFonts w:hint="eastAsia" w:ascii="仿宋_GB2312" w:hAnsi="仿宋" w:eastAsia="仿宋_GB2312" w:cs="仿宋_GB2312"/>
          <w:b/>
          <w:bCs/>
          <w:color w:val="auto"/>
          <w:sz w:val="24"/>
          <w:highlight w:val="none"/>
        </w:rPr>
      </w:pPr>
      <w:r>
        <w:rPr>
          <w:rFonts w:hint="eastAsia" w:ascii="仿宋_GB2312" w:hAnsi="仿宋" w:eastAsia="仿宋_GB2312" w:cs="仿宋_GB2312"/>
          <w:b/>
          <w:bCs/>
          <w:color w:val="auto"/>
          <w:sz w:val="24"/>
          <w:highlight w:val="none"/>
        </w:rPr>
        <w:t>注：以上目录是基本格式，各投标人可根据自身情况增减。</w:t>
      </w:r>
    </w:p>
    <w:p>
      <w:pPr>
        <w:pStyle w:val="21"/>
        <w:spacing w:line="360" w:lineRule="auto"/>
        <w:ind w:firstLine="420"/>
        <w:rPr>
          <w:rFonts w:hAnsi="宋体"/>
          <w:color w:val="auto"/>
          <w:sz w:val="30"/>
          <w:highlight w:val="none"/>
        </w:rPr>
        <w:sectPr>
          <w:pgSz w:w="11905" w:h="16838"/>
          <w:pgMar w:top="1134" w:right="1134" w:bottom="1134" w:left="1134" w:header="720" w:footer="720" w:gutter="0"/>
          <w:cols w:space="720" w:num="1"/>
          <w:docGrid w:type="lines" w:linePitch="331" w:charSpace="0"/>
        </w:sectPr>
      </w:pPr>
    </w:p>
    <w:p>
      <w:pPr>
        <w:snapToGrid w:val="0"/>
        <w:spacing w:line="360" w:lineRule="auto"/>
        <w:rPr>
          <w:rFonts w:hint="eastAsia" w:ascii="仿宋_GB2312" w:hAnsi="仿宋" w:eastAsia="仿宋_GB2312" w:cs="仿宋_GB2312"/>
          <w:b/>
          <w:color w:val="auto"/>
          <w:kern w:val="0"/>
          <w:sz w:val="32"/>
          <w:szCs w:val="32"/>
          <w:highlight w:val="none"/>
          <w:lang w:val="zh-CN"/>
        </w:rPr>
      </w:pPr>
    </w:p>
    <w:p>
      <w:pPr>
        <w:spacing w:line="360" w:lineRule="auto"/>
        <w:jc w:val="center"/>
        <w:rPr>
          <w:rFonts w:hint="eastAsia" w:ascii="仿宋_GB2312" w:hAnsi="仿宋" w:eastAsia="仿宋_GB2312" w:cs="仿宋_GB2312"/>
          <w:b/>
          <w:color w:val="auto"/>
          <w:sz w:val="30"/>
          <w:szCs w:val="30"/>
          <w:highlight w:val="none"/>
        </w:rPr>
      </w:pPr>
      <w:r>
        <w:rPr>
          <w:rFonts w:hint="eastAsia" w:ascii="仿宋_GB2312" w:hAnsi="仿宋" w:eastAsia="仿宋_GB2312" w:cs="仿宋_GB2312"/>
          <w:b/>
          <w:color w:val="auto"/>
          <w:kern w:val="0"/>
          <w:sz w:val="32"/>
          <w:szCs w:val="32"/>
          <w:highlight w:val="none"/>
          <w:lang w:val="zh-CN"/>
        </w:rPr>
        <w:t>一、</w:t>
      </w:r>
      <w:r>
        <w:rPr>
          <w:rFonts w:hint="eastAsia" w:ascii="仿宋_GB2312" w:hAnsi="仿宋" w:eastAsia="仿宋_GB2312" w:cs="仿宋_GB2312"/>
          <w:b/>
          <w:color w:val="auto"/>
          <w:sz w:val="30"/>
          <w:szCs w:val="30"/>
          <w:highlight w:val="none"/>
        </w:rPr>
        <w:t>营业执照(或事业法人登记证或其他工商等登记证明材料)复印件（投标人为自然人的，提供自然人的身份证明）</w:t>
      </w:r>
    </w:p>
    <w:p>
      <w:pPr>
        <w:spacing w:line="360" w:lineRule="auto"/>
        <w:rPr>
          <w:rFonts w:hint="eastAsia" w:ascii="仿宋_GB2312" w:hAnsi="仿宋" w:eastAsia="仿宋_GB2312" w:cs="仿宋_GB2312"/>
          <w:b/>
          <w:color w:val="auto"/>
          <w:sz w:val="30"/>
          <w:szCs w:val="30"/>
          <w:highlight w:val="none"/>
        </w:rPr>
      </w:pPr>
    </w:p>
    <w:p>
      <w:pPr>
        <w:snapToGrid w:val="0"/>
        <w:spacing w:line="360" w:lineRule="auto"/>
        <w:ind w:firstLine="576"/>
        <w:jc w:val="center"/>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投标人名称(电子签章)：                              </w:t>
      </w:r>
    </w:p>
    <w:p>
      <w:pPr>
        <w:spacing w:line="360" w:lineRule="auto"/>
        <w:jc w:val="center"/>
        <w:rPr>
          <w:rFonts w:hint="eastAsia" w:ascii="仿宋_GB2312" w:hAnsi="仿宋" w:eastAsia="仿宋_GB2312" w:cs="仿宋_GB2312"/>
          <w:b/>
          <w:color w:val="auto"/>
          <w:sz w:val="30"/>
          <w:szCs w:val="30"/>
          <w:highlight w:val="none"/>
        </w:rPr>
      </w:pPr>
      <w:r>
        <w:rPr>
          <w:rFonts w:hint="eastAsia" w:ascii="仿宋_GB2312" w:hAnsi="仿宋" w:eastAsia="仿宋_GB2312" w:cs="仿宋_GB2312"/>
          <w:color w:val="auto"/>
          <w:kern w:val="0"/>
          <w:sz w:val="24"/>
          <w:highlight w:val="none"/>
          <w:lang w:val="zh-CN"/>
        </w:rPr>
        <w:t xml:space="preserve">                   日期：  年  月</w:t>
      </w:r>
    </w:p>
    <w:p>
      <w:pPr>
        <w:spacing w:line="360" w:lineRule="auto"/>
        <w:jc w:val="center"/>
        <w:rPr>
          <w:rFonts w:hint="eastAsia" w:ascii="仿宋_GB2312" w:hAnsi="仿宋" w:eastAsia="仿宋_GB2312" w:cs="仿宋_GB2312"/>
          <w:b/>
          <w:color w:val="auto"/>
          <w:sz w:val="30"/>
          <w:szCs w:val="30"/>
          <w:highlight w:val="none"/>
        </w:rPr>
      </w:pPr>
    </w:p>
    <w:p>
      <w:pPr>
        <w:snapToGrid w:val="0"/>
        <w:spacing w:line="360" w:lineRule="auto"/>
        <w:ind w:right="480"/>
        <w:jc w:val="cente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sz w:val="30"/>
          <w:szCs w:val="30"/>
          <w:highlight w:val="none"/>
        </w:rPr>
        <w:t>二、</w:t>
      </w:r>
      <w:r>
        <w:rPr>
          <w:rFonts w:hint="eastAsia" w:ascii="仿宋_GB2312" w:hAnsi="仿宋" w:eastAsia="仿宋_GB2312" w:cs="仿宋_GB2312"/>
          <w:b/>
          <w:color w:val="auto"/>
          <w:kern w:val="0"/>
          <w:sz w:val="32"/>
          <w:szCs w:val="32"/>
          <w:highlight w:val="none"/>
        </w:rPr>
        <w:t>符合参与政府采购活动的资格条件依法缴纳税收、社会保障资金等方面的材料</w:t>
      </w:r>
    </w:p>
    <w:p>
      <w:pPr>
        <w:snapToGrid w:val="0"/>
        <w:spacing w:line="360" w:lineRule="auto"/>
        <w:ind w:firstLine="480" w:firstLineChars="200"/>
        <w:rPr>
          <w:rFonts w:hint="eastAsia" w:ascii="仿宋_GB2312" w:hAnsi="仿宋" w:eastAsia="仿宋_GB2312" w:cs="仿宋_GB2312"/>
          <w:color w:val="auto"/>
          <w:sz w:val="24"/>
          <w:highlight w:val="none"/>
        </w:rPr>
      </w:pPr>
    </w:p>
    <w:p>
      <w:pPr>
        <w:snapToGrid w:val="0"/>
        <w:spacing w:line="360" w:lineRule="auto"/>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040" w:firstLineChars="21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sz w:val="30"/>
          <w:szCs w:val="30"/>
          <w:highlight w:val="none"/>
        </w:rPr>
        <w:t>三、</w:t>
      </w:r>
      <w:r>
        <w:rPr>
          <w:rFonts w:hint="eastAsia" w:ascii="仿宋_GB2312" w:hAnsi="仿宋" w:eastAsia="仿宋_GB2312" w:cs="仿宋_GB2312"/>
          <w:b/>
          <w:color w:val="auto"/>
          <w:kern w:val="0"/>
          <w:sz w:val="32"/>
          <w:szCs w:val="32"/>
          <w:highlight w:val="none"/>
        </w:rPr>
        <w:t>财务状况报告方面的材料</w:t>
      </w:r>
    </w:p>
    <w:p>
      <w:pPr>
        <w:snapToGrid w:val="0"/>
        <w:spacing w:line="360" w:lineRule="auto"/>
        <w:ind w:firstLine="480" w:firstLineChars="200"/>
        <w:rPr>
          <w:rFonts w:hint="eastAsia" w:ascii="仿宋_GB2312" w:hAnsi="仿宋" w:eastAsia="仿宋_GB2312" w:cs="仿宋_GB2312"/>
          <w:color w:val="auto"/>
          <w:sz w:val="24"/>
          <w:highlight w:val="none"/>
        </w:rPr>
      </w:pPr>
    </w:p>
    <w:p>
      <w:pPr>
        <w:snapToGrid w:val="0"/>
        <w:spacing w:line="360" w:lineRule="auto"/>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040" w:firstLineChars="21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p>
    <w:p>
      <w:pPr>
        <w:snapToGrid w:val="0"/>
        <w:spacing w:line="360" w:lineRule="auto"/>
        <w:ind w:right="480"/>
        <w:jc w:val="center"/>
        <w:rPr>
          <w:rFonts w:hint="eastAsia" w:ascii="仿宋_GB2312" w:hAnsi="仿宋" w:eastAsia="仿宋_GB2312" w:cs="仿宋_GB2312"/>
          <w:b/>
          <w:color w:val="auto"/>
          <w:kern w:val="0"/>
          <w:sz w:val="32"/>
          <w:szCs w:val="32"/>
          <w:highlight w:val="none"/>
          <w:lang w:val="zh-CN"/>
        </w:rPr>
      </w:pPr>
    </w:p>
    <w:p>
      <w:pPr>
        <w:snapToGrid w:val="0"/>
        <w:spacing w:line="360" w:lineRule="auto"/>
        <w:ind w:right="480"/>
        <w:jc w:val="center"/>
        <w:rPr>
          <w:rFonts w:hint="eastAsia" w:ascii="宋体" w:hAnsi="宋体"/>
          <w:b/>
          <w:color w:val="auto"/>
          <w:sz w:val="28"/>
          <w:szCs w:val="28"/>
          <w:highlight w:val="none"/>
        </w:rPr>
      </w:pPr>
      <w:r>
        <w:rPr>
          <w:rFonts w:ascii="仿宋_GB2312" w:hAnsi="仿宋" w:eastAsia="仿宋_GB2312" w:cs="仿宋_GB2312"/>
          <w:b/>
          <w:color w:val="auto"/>
          <w:kern w:val="0"/>
          <w:sz w:val="32"/>
          <w:szCs w:val="32"/>
          <w:highlight w:val="none"/>
        </w:rPr>
        <w:br w:type="page"/>
      </w:r>
    </w:p>
    <w:p>
      <w:pPr>
        <w:snapToGrid w:val="0"/>
        <w:spacing w:before="50" w:after="165" w:afterLines="50" w:line="360" w:lineRule="auto"/>
        <w:jc w:val="cente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四、投标人直接控股股东信息表</w:t>
      </w:r>
    </w:p>
    <w:tbl>
      <w:tblPr>
        <w:tblStyle w:val="38"/>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3.供应商不存在直接控股股东的，则填“无”。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ind w:firstLine="5040" w:firstLineChars="21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jc w:val="center"/>
        <w:rPr>
          <w:rFonts w:hint="eastAsia" w:ascii="宋体" w:hAnsi="宋体"/>
          <w:b/>
          <w:color w:val="auto"/>
          <w:sz w:val="28"/>
          <w:szCs w:val="28"/>
          <w:highlight w:val="none"/>
        </w:rPr>
      </w:pPr>
      <w:r>
        <w:rPr>
          <w:rFonts w:ascii="宋体" w:hAnsi="宋体"/>
          <w:b/>
          <w:color w:val="auto"/>
          <w:sz w:val="28"/>
          <w:szCs w:val="28"/>
          <w:highlight w:val="none"/>
        </w:rPr>
        <w:br w:type="page"/>
      </w:r>
    </w:p>
    <w:p>
      <w:pPr>
        <w:snapToGrid w:val="0"/>
        <w:spacing w:line="360" w:lineRule="auto"/>
        <w:jc w:val="center"/>
        <w:rPr>
          <w:rFonts w:hint="eastAsia" w:ascii="宋体" w:hAnsi="宋体"/>
          <w:color w:val="auto"/>
          <w:sz w:val="32"/>
          <w:szCs w:val="32"/>
          <w:highlight w:val="none"/>
        </w:rPr>
      </w:pPr>
      <w:r>
        <w:rPr>
          <w:rFonts w:hint="eastAsia" w:ascii="宋体" w:hAnsi="宋体"/>
          <w:b/>
          <w:color w:val="auto"/>
          <w:sz w:val="32"/>
          <w:szCs w:val="32"/>
          <w:highlight w:val="none"/>
        </w:rPr>
        <w:t>五、投标人直接管理关系信息表</w:t>
      </w:r>
    </w:p>
    <w:tbl>
      <w:tblPr>
        <w:tblStyle w:val="38"/>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3.供应商不存在直接管理关系的，则填“无”。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ind w:firstLine="5040" w:firstLineChars="21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before="50" w:after="165" w:afterLines="50"/>
        <w:jc w:val="left"/>
        <w:rPr>
          <w:rFonts w:hint="eastAsia" w:ascii="宋体" w:hAnsi="宋体"/>
          <w:color w:val="auto"/>
          <w:szCs w:val="21"/>
          <w:highlight w:val="none"/>
        </w:rPr>
      </w:pPr>
    </w:p>
    <w:p>
      <w:pPr>
        <w:snapToGrid w:val="0"/>
        <w:spacing w:before="165" w:beforeLines="50" w:after="50"/>
        <w:jc w:val="left"/>
        <w:rPr>
          <w:rFonts w:hint="eastAsia" w:ascii="宋体" w:hAnsi="宋体"/>
          <w:b/>
          <w:color w:val="auto"/>
          <w:sz w:val="24"/>
          <w:szCs w:val="20"/>
          <w:highlight w:val="none"/>
        </w:rPr>
      </w:pPr>
    </w:p>
    <w:p>
      <w:pPr>
        <w:snapToGrid w:val="0"/>
        <w:spacing w:before="165" w:beforeLines="50" w:after="50"/>
        <w:jc w:val="left"/>
        <w:rPr>
          <w:rFonts w:hint="eastAsia" w:ascii="宋体" w:hAnsi="宋体"/>
          <w:b/>
          <w:color w:val="auto"/>
          <w:sz w:val="24"/>
          <w:highlight w:val="none"/>
        </w:rPr>
      </w:pPr>
    </w:p>
    <w:p>
      <w:pPr>
        <w:snapToGrid w:val="0"/>
        <w:spacing w:before="165" w:beforeLines="50" w:after="50"/>
        <w:jc w:val="left"/>
        <w:rPr>
          <w:rFonts w:hint="eastAsia" w:ascii="宋体" w:hAnsi="宋体"/>
          <w:b/>
          <w:color w:val="auto"/>
          <w:sz w:val="24"/>
          <w:szCs w:val="20"/>
          <w:highlight w:val="none"/>
        </w:rPr>
      </w:pPr>
      <w:r>
        <w:rPr>
          <w:rFonts w:hint="eastAsia" w:ascii="宋体" w:hAnsi="宋体"/>
          <w:b/>
          <w:color w:val="auto"/>
          <w:sz w:val="24"/>
          <w:szCs w:val="20"/>
          <w:highlight w:val="none"/>
        </w:rPr>
        <w:t xml:space="preserve"> </w:t>
      </w:r>
    </w:p>
    <w:p>
      <w:pPr>
        <w:snapToGrid w:val="0"/>
        <w:spacing w:before="165" w:beforeLines="50" w:after="50"/>
        <w:jc w:val="left"/>
        <w:rPr>
          <w:rFonts w:hint="eastAsia" w:ascii="宋体" w:hAnsi="宋体"/>
          <w:b/>
          <w:color w:val="auto"/>
          <w:sz w:val="24"/>
          <w:szCs w:val="20"/>
          <w:highlight w:val="none"/>
        </w:rPr>
      </w:pPr>
    </w:p>
    <w:p>
      <w:pPr>
        <w:pStyle w:val="2"/>
        <w:rPr>
          <w:rFonts w:hint="eastAsia"/>
        </w:rPr>
      </w:pPr>
    </w:p>
    <w:p>
      <w:pPr>
        <w:snapToGrid w:val="0"/>
        <w:spacing w:before="50" w:after="165" w:afterLines="50"/>
        <w:jc w:val="left"/>
        <w:rPr>
          <w:rFonts w:hint="eastAsia" w:ascii="宋体" w:hAnsi="宋体"/>
          <w:color w:val="auto"/>
          <w:highlight w:val="none"/>
        </w:rPr>
      </w:pPr>
    </w:p>
    <w:p>
      <w:pPr>
        <w:snapToGrid w:val="0"/>
        <w:spacing w:before="50" w:after="165" w:afterLines="50"/>
        <w:jc w:val="center"/>
        <w:rPr>
          <w:rFonts w:hint="eastAsia" w:ascii="宋体" w:hAnsi="宋体"/>
          <w:b/>
          <w:color w:val="auto"/>
          <w:sz w:val="32"/>
          <w:szCs w:val="32"/>
          <w:highlight w:val="none"/>
        </w:rPr>
      </w:pPr>
      <w:r>
        <w:rPr>
          <w:rFonts w:hint="eastAsia" w:ascii="宋体" w:hAnsi="宋体"/>
          <w:b/>
          <w:color w:val="auto"/>
          <w:sz w:val="32"/>
          <w:szCs w:val="32"/>
          <w:highlight w:val="none"/>
        </w:rPr>
        <w:t>六、投标资格声明函</w:t>
      </w:r>
    </w:p>
    <w:p>
      <w:pPr>
        <w:tabs>
          <w:tab w:val="left" w:pos="7200"/>
        </w:tabs>
        <w:spacing w:line="360" w:lineRule="auto"/>
        <w:rPr>
          <w:rFonts w:hint="eastAsia" w:ascii="宋体" w:hAnsi="宋体"/>
          <w:color w:val="auto"/>
          <w:szCs w:val="21"/>
          <w:highlight w:val="none"/>
        </w:rPr>
      </w:pPr>
      <w:r>
        <w:rPr>
          <w:rFonts w:hint="eastAsia" w:ascii="宋体" w:hAnsi="宋体"/>
          <w:color w:val="auto"/>
          <w:szCs w:val="21"/>
          <w:highlight w:val="none"/>
        </w:rPr>
        <w:t>致：</w:t>
      </w:r>
      <w:r>
        <w:rPr>
          <w:rFonts w:ascii="宋体" w:hAnsi="宋体"/>
          <w:color w:val="auto"/>
          <w:szCs w:val="21"/>
          <w:highlight w:val="none"/>
        </w:rPr>
        <w:t>_</w:t>
      </w:r>
      <w:r>
        <w:rPr>
          <w:rFonts w:ascii="宋体" w:hAnsi="宋体"/>
          <w:color w:val="auto"/>
          <w:szCs w:val="21"/>
          <w:highlight w:val="none"/>
          <w:u w:val="single"/>
        </w:rPr>
        <w:t xml:space="preserve">                      </w:t>
      </w:r>
      <w:r>
        <w:rPr>
          <w:rFonts w:hint="eastAsia" w:ascii="宋体" w:hAnsi="宋体"/>
          <w:color w:val="auto"/>
          <w:szCs w:val="21"/>
          <w:highlight w:val="none"/>
        </w:rPr>
        <w:t>（采购代理机构名称）</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我方愿意参加贵方组织的</w:t>
      </w:r>
      <w:r>
        <w:rPr>
          <w:rFonts w:ascii="宋体" w:hAnsi="宋体"/>
          <w:color w:val="auto"/>
          <w:szCs w:val="21"/>
          <w:highlight w:val="none"/>
        </w:rPr>
        <w:t>_</w:t>
      </w:r>
      <w:r>
        <w:rPr>
          <w:rFonts w:ascii="宋体" w:hAnsi="宋体"/>
          <w:color w:val="auto"/>
          <w:szCs w:val="21"/>
          <w:highlight w:val="none"/>
          <w:u w:val="single"/>
        </w:rPr>
        <w:t xml:space="preserve"> (</w:t>
      </w:r>
      <w:r>
        <w:rPr>
          <w:rFonts w:hint="eastAsia" w:ascii="宋体" w:hAnsi="宋体"/>
          <w:color w:val="auto"/>
          <w:szCs w:val="21"/>
          <w:highlight w:val="none"/>
          <w:u w:val="single"/>
        </w:rPr>
        <w:t>项目名称</w:t>
      </w:r>
      <w:r>
        <w:rPr>
          <w:rFonts w:ascii="宋体" w:hAnsi="宋体"/>
          <w:color w:val="auto"/>
          <w:szCs w:val="21"/>
          <w:highlight w:val="none"/>
          <w:u w:val="single"/>
        </w:rPr>
        <w:t xml:space="preserve">)         _    </w:t>
      </w:r>
      <w:r>
        <w:rPr>
          <w:rFonts w:ascii="宋体" w:hAnsi="宋体"/>
          <w:color w:val="auto"/>
          <w:szCs w:val="21"/>
          <w:highlight w:val="none"/>
        </w:rPr>
        <w:t>_</w:t>
      </w:r>
      <w:r>
        <w:rPr>
          <w:rFonts w:hint="eastAsia" w:ascii="宋体" w:hAnsi="宋体"/>
          <w:color w:val="auto"/>
          <w:szCs w:val="21"/>
          <w:highlight w:val="none"/>
        </w:rPr>
        <w:t>（项目编号：</w:t>
      </w:r>
      <w:r>
        <w:rPr>
          <w:rFonts w:ascii="宋体" w:hAnsi="宋体"/>
          <w:color w:val="auto"/>
          <w:szCs w:val="21"/>
          <w:highlight w:val="none"/>
        </w:rPr>
        <w:t xml:space="preserve">       </w:t>
      </w:r>
      <w:r>
        <w:rPr>
          <w:rFonts w:hint="eastAsia" w:ascii="宋体" w:hAnsi="宋体"/>
          <w:color w:val="auto"/>
          <w:szCs w:val="21"/>
          <w:highlight w:val="none"/>
        </w:rPr>
        <w:t>）项目的投标，为便于贵方公正、择优地确定中标人，我方就本次投标有关事项郑重声明如下：</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1.我方承诺已经具备《中华人民共和国政府采购法》第二十二条中规定的参加政府采购活动的供应商应当具备的条件：</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（1）具有独立承担民事责任的能力；</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（2）具有良好的商业信誉和健全的财务会计制度；</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（3）具有履行合同所必需的设备和专业技术能力；</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（4）有依法缴纳税收和社会保障资金的良好记录；</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（5）参加政府采购活动前三年内，在经营活动中没有重大违法记录；</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（6）法律、行政法规规定的其他条件。</w:t>
      </w:r>
    </w:p>
    <w:p>
      <w:pPr>
        <w:snapToGrid w:val="0"/>
        <w:spacing w:line="360" w:lineRule="auto"/>
        <w:ind w:firstLine="420" w:firstLineChars="200"/>
        <w:jc w:val="left"/>
        <w:rPr>
          <w:rFonts w:hint="eastAsia" w:ascii="宋体" w:hAnsi="宋体"/>
          <w:color w:val="auto"/>
          <w:szCs w:val="21"/>
          <w:highlight w:val="none"/>
        </w:rPr>
      </w:pPr>
      <w:r>
        <w:rPr>
          <w:rFonts w:ascii="宋体" w:hAnsi="宋体"/>
          <w:color w:val="auto"/>
          <w:szCs w:val="21"/>
          <w:highlight w:val="none"/>
        </w:rPr>
        <w:t xml:space="preserve">2. </w:t>
      </w:r>
      <w:r>
        <w:rPr>
          <w:rFonts w:hint="eastAsia" w:ascii="宋体" w:hAnsi="宋体"/>
          <w:color w:val="auto"/>
          <w:szCs w:val="21"/>
          <w:highlight w:val="none"/>
        </w:rPr>
        <w:t>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3.经查询，在“信用中国”和“中国政府采购网”网站我方未被列入失信被执行人、重大税收违法案件当事人名单、政府采购严重违法失信行为记录名单。</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 xml:space="preserve">4.以上事项如有虚假或隐瞒，我方愿意承担一切后果，并不再寻求任何旨在减轻或免除法律责任的辩解。 </w:t>
      </w:r>
    </w:p>
    <w:p>
      <w:pPr>
        <w:tabs>
          <w:tab w:val="left" w:pos="7200"/>
        </w:tabs>
        <w:ind w:firstLine="270" w:firstLineChars="150"/>
        <w:rPr>
          <w:rFonts w:ascii="宋体" w:hAnsi="宋体"/>
          <w:color w:val="auto"/>
          <w:sz w:val="18"/>
          <w:szCs w:val="18"/>
          <w:highlight w:val="none"/>
        </w:rPr>
      </w:pPr>
      <w:r>
        <w:rPr>
          <w:rFonts w:hint="eastAsia" w:ascii="宋体" w:hAnsi="宋体"/>
          <w:color w:val="auto"/>
          <w:sz w:val="18"/>
          <w:szCs w:val="18"/>
          <w:highlight w:val="none"/>
        </w:rPr>
        <w:t>说明：</w:t>
      </w:r>
    </w:p>
    <w:p>
      <w:pPr>
        <w:ind w:firstLine="360" w:firstLineChars="200"/>
        <w:jc w:val="left"/>
        <w:rPr>
          <w:rFonts w:hint="eastAsia" w:ascii="宋体" w:hAnsi="宋体"/>
          <w:color w:val="auto"/>
          <w:sz w:val="18"/>
          <w:szCs w:val="18"/>
          <w:highlight w:val="none"/>
        </w:rPr>
      </w:pPr>
      <w:r>
        <w:rPr>
          <w:rFonts w:hint="eastAsia" w:ascii="宋体" w:hAnsi="宋体"/>
          <w:color w:val="auto"/>
          <w:sz w:val="18"/>
          <w:szCs w:val="18"/>
          <w:highlight w:val="none"/>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pPr>
        <w:ind w:firstLine="360" w:firstLineChars="200"/>
        <w:jc w:val="left"/>
        <w:rPr>
          <w:rFonts w:hint="eastAsia" w:ascii="宋体" w:hAnsi="宋体"/>
          <w:color w:val="auto"/>
          <w:sz w:val="18"/>
          <w:szCs w:val="18"/>
          <w:highlight w:val="none"/>
        </w:rPr>
      </w:pPr>
      <w:r>
        <w:rPr>
          <w:rFonts w:hint="eastAsia" w:ascii="宋体" w:hAnsi="宋体"/>
          <w:color w:val="auto"/>
          <w:sz w:val="18"/>
          <w:szCs w:val="18"/>
          <w:highlight w:val="none"/>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before="50" w:after="165" w:afterLines="50"/>
        <w:jc w:val="left"/>
        <w:rPr>
          <w:rFonts w:ascii="宋体" w:hAnsi="宋体"/>
          <w:color w:val="auto"/>
          <w:sz w:val="18"/>
          <w:szCs w:val="18"/>
          <w:highlight w:val="none"/>
        </w:rPr>
      </w:pPr>
      <w:r>
        <w:rPr>
          <w:rFonts w:hint="eastAsia" w:ascii="宋体" w:hAnsi="宋体"/>
          <w:color w:val="auto"/>
          <w:sz w:val="18"/>
          <w:szCs w:val="18"/>
          <w:highlight w:val="none"/>
        </w:rPr>
        <w:t xml:space="preserve"> </w:t>
      </w:r>
      <w:r>
        <w:rPr>
          <w:rFonts w:hint="eastAsia" w:ascii="宋体" w:hAnsi="宋体"/>
          <w:b/>
          <w:color w:val="auto"/>
          <w:sz w:val="18"/>
          <w:szCs w:val="18"/>
          <w:highlight w:val="none"/>
        </w:rPr>
        <w:t xml:space="preserve">  3.如为联合体投标，盖章处须加盖联合体各方公章并由联合体各方法定代表人分别签署，否则投标无效。</w:t>
      </w:r>
    </w:p>
    <w:p>
      <w:pPr>
        <w:snapToGrid w:val="0"/>
        <w:spacing w:before="50" w:after="331" w:afterLines="100" w:line="360" w:lineRule="auto"/>
        <w:jc w:val="left"/>
        <w:rPr>
          <w:rFonts w:hint="eastAsia" w:ascii="宋体" w:hAnsi="宋体"/>
          <w:color w:val="auto"/>
          <w:sz w:val="24"/>
          <w:highlight w:val="none"/>
        </w:rPr>
      </w:pPr>
      <w:r>
        <w:rPr>
          <w:rFonts w:hint="eastAsia" w:ascii="宋体" w:hAnsi="宋体"/>
          <w:color w:val="auto"/>
          <w:sz w:val="24"/>
          <w:highlight w:val="none"/>
        </w:rPr>
        <w:t xml:space="preserve">                                     </w:t>
      </w:r>
    </w:p>
    <w:p>
      <w:pPr>
        <w:snapToGrid w:val="0"/>
        <w:spacing w:before="50" w:after="331" w:afterLines="100" w:line="360" w:lineRule="auto"/>
        <w:ind w:left="7428" w:leftChars="2223" w:hanging="2760" w:hangingChars="1150"/>
        <w:jc w:val="left"/>
        <w:rPr>
          <w:rFonts w:hint="eastAsia" w:ascii="仿宋_GB2312" w:hAnsi="仿宋" w:eastAsia="仿宋_GB2312" w:cs="仿宋_GB2312"/>
          <w:color w:val="auto"/>
          <w:kern w:val="0"/>
          <w:sz w:val="24"/>
          <w:highlight w:val="none"/>
          <w:lang w:val="zh-CN"/>
        </w:rPr>
      </w:pPr>
      <w:r>
        <w:rPr>
          <w:rFonts w:hint="eastAsia" w:ascii="宋体" w:hAnsi="宋体"/>
          <w:color w:val="auto"/>
          <w:sz w:val="24"/>
          <w:highlight w:val="none"/>
        </w:rPr>
        <w:t xml:space="preserve">  </w:t>
      </w:r>
      <w:r>
        <w:rPr>
          <w:rFonts w:hint="eastAsia" w:ascii="仿宋_GB2312" w:hAnsi="仿宋" w:eastAsia="仿宋_GB2312" w:cs="仿宋_GB2312"/>
          <w:color w:val="auto"/>
          <w:kern w:val="0"/>
          <w:sz w:val="24"/>
          <w:highlight w:val="none"/>
          <w:lang w:val="zh-CN"/>
        </w:rPr>
        <w:t>投标人名称(电子签章)：</w:t>
      </w:r>
      <w:r>
        <w:rPr>
          <w:rFonts w:hint="eastAsia" w:ascii="宋体" w:hAnsi="宋体"/>
          <w:color w:val="auto"/>
          <w:szCs w:val="21"/>
          <w:highlight w:val="none"/>
        </w:rPr>
        <w:t xml:space="preserve">                                     年    月    日</w:t>
      </w:r>
    </w:p>
    <w:p>
      <w:pPr>
        <w:pStyle w:val="21"/>
        <w:spacing w:line="600" w:lineRule="exact"/>
        <w:jc w:val="center"/>
        <w:rPr>
          <w:rFonts w:hint="eastAsia" w:ascii="Times New Roman" w:hAnsi="Times New Roman"/>
          <w:b/>
          <w:bCs/>
          <w:color w:val="auto"/>
          <w:sz w:val="30"/>
          <w:szCs w:val="30"/>
          <w:highlight w:val="none"/>
        </w:rPr>
      </w:pPr>
    </w:p>
    <w:p>
      <w:pPr>
        <w:pStyle w:val="21"/>
        <w:spacing w:line="600" w:lineRule="exact"/>
        <w:jc w:val="center"/>
        <w:rPr>
          <w:rFonts w:hint="eastAsia" w:ascii="Times New Roman" w:hAnsi="Times New Roman"/>
          <w:b/>
          <w:bCs/>
          <w:color w:val="auto"/>
          <w:sz w:val="30"/>
          <w:szCs w:val="30"/>
          <w:highlight w:val="none"/>
        </w:rPr>
      </w:pPr>
    </w:p>
    <w:p>
      <w:pPr>
        <w:pStyle w:val="21"/>
        <w:spacing w:line="600" w:lineRule="exact"/>
        <w:jc w:val="center"/>
        <w:rPr>
          <w:rFonts w:hint="eastAsia" w:ascii="Times New Roman" w:hAnsi="Times New Roman"/>
          <w:b/>
          <w:bCs/>
          <w:color w:val="auto"/>
          <w:sz w:val="30"/>
          <w:szCs w:val="30"/>
          <w:highlight w:val="none"/>
        </w:rPr>
      </w:pPr>
    </w:p>
    <w:p>
      <w:pPr>
        <w:pStyle w:val="21"/>
        <w:numPr>
          <w:ilvl w:val="0"/>
          <w:numId w:val="3"/>
        </w:numPr>
        <w:spacing w:line="600" w:lineRule="exact"/>
        <w:rPr>
          <w:rFonts w:hint="eastAsia" w:hAnsi="宋体"/>
          <w:b/>
          <w:color w:val="auto"/>
          <w:sz w:val="32"/>
          <w:szCs w:val="32"/>
          <w:highlight w:val="none"/>
        </w:rPr>
      </w:pPr>
      <w:r>
        <w:rPr>
          <w:rFonts w:hint="eastAsia" w:hAnsi="宋体"/>
          <w:b/>
          <w:color w:val="auto"/>
          <w:sz w:val="32"/>
          <w:szCs w:val="32"/>
          <w:highlight w:val="none"/>
        </w:rPr>
        <w:t>投标保证金缴纳证明</w:t>
      </w:r>
    </w:p>
    <w:p>
      <w:pPr>
        <w:pStyle w:val="6"/>
        <w:ind w:left="1077" w:firstLine="0"/>
        <w:rPr>
          <w:rFonts w:hint="eastAsia"/>
          <w:color w:val="auto"/>
          <w:highlight w:val="none"/>
        </w:rPr>
      </w:pPr>
    </w:p>
    <w:p>
      <w:pPr>
        <w:autoSpaceDE w:val="0"/>
        <w:autoSpaceDN w:val="0"/>
        <w:adjustRightInd w:val="0"/>
        <w:spacing w:line="360" w:lineRule="auto"/>
        <w:jc w:val="left"/>
        <w:rPr>
          <w:rFonts w:hint="eastAsia" w:ascii="宋体" w:hAnsi="宋体"/>
          <w:b/>
          <w:color w:val="auto"/>
          <w:sz w:val="32"/>
          <w:szCs w:val="32"/>
          <w:highlight w:val="none"/>
        </w:rPr>
      </w:pPr>
    </w:p>
    <w:p>
      <w:pPr>
        <w:autoSpaceDE w:val="0"/>
        <w:autoSpaceDN w:val="0"/>
        <w:adjustRightInd w:val="0"/>
        <w:spacing w:line="360" w:lineRule="auto"/>
        <w:jc w:val="left"/>
        <w:rPr>
          <w:rFonts w:hint="eastAsia" w:ascii="宋体" w:hAnsi="宋体"/>
          <w:b/>
          <w:color w:val="auto"/>
          <w:sz w:val="32"/>
          <w:szCs w:val="32"/>
          <w:highlight w:val="none"/>
        </w:rPr>
      </w:pPr>
    </w:p>
    <w:p>
      <w:pPr>
        <w:autoSpaceDE w:val="0"/>
        <w:autoSpaceDN w:val="0"/>
        <w:adjustRightInd w:val="0"/>
        <w:spacing w:line="360" w:lineRule="auto"/>
        <w:jc w:val="left"/>
        <w:rPr>
          <w:rFonts w:hint="eastAsia" w:ascii="宋体" w:hAnsi="宋体"/>
          <w:b/>
          <w:color w:val="auto"/>
          <w:sz w:val="32"/>
          <w:szCs w:val="32"/>
          <w:highlight w:val="none"/>
        </w:rPr>
      </w:pPr>
    </w:p>
    <w:p>
      <w:pPr>
        <w:snapToGrid w:val="0"/>
        <w:spacing w:line="360" w:lineRule="auto"/>
        <w:jc w:val="left"/>
        <w:rPr>
          <w:rFonts w:hint="eastAsia" w:ascii="宋体" w:hAnsi="宋体"/>
          <w:color w:val="auto"/>
          <w:sz w:val="24"/>
          <w:highlight w:val="none"/>
        </w:rPr>
      </w:pPr>
    </w:p>
    <w:p>
      <w:pPr>
        <w:snapToGrid w:val="0"/>
        <w:spacing w:line="360" w:lineRule="auto"/>
        <w:ind w:firstLine="5040" w:firstLineChars="21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autoSpaceDE/>
        <w:autoSpaceDN/>
        <w:adjustRightInd/>
        <w:spacing w:line="240" w:lineRule="auto"/>
        <w:jc w:val="left"/>
        <w:rPr>
          <w:rFonts w:hint="eastAsia" w:ascii="宋体" w:hAnsi="宋体"/>
          <w:b/>
          <w:color w:val="auto"/>
          <w:sz w:val="32"/>
          <w:szCs w:val="32"/>
          <w:highlight w:val="none"/>
        </w:rPr>
      </w:pPr>
      <w:r>
        <w:rPr>
          <w:rFonts w:hint="eastAsia" w:ascii="仿宋_GB2312" w:hAnsi="仿宋" w:eastAsia="仿宋_GB2312" w:cs="仿宋_GB2312"/>
          <w:color w:val="auto"/>
          <w:kern w:val="0"/>
          <w:sz w:val="24"/>
          <w:highlight w:val="none"/>
          <w:lang w:val="zh-CN"/>
        </w:rPr>
        <w:br w:type="page"/>
      </w:r>
    </w:p>
    <w:p>
      <w:pPr>
        <w:numPr>
          <w:ilvl w:val="0"/>
          <w:numId w:val="3"/>
        </w:numPr>
        <w:snapToGrid w:val="0"/>
        <w:spacing w:line="360" w:lineRule="auto"/>
        <w:jc w:val="left"/>
        <w:rPr>
          <w:rFonts w:hint="eastAsia" w:ascii="宋体" w:hAnsi="宋体"/>
          <w:b/>
          <w:color w:val="auto"/>
          <w:sz w:val="32"/>
          <w:szCs w:val="32"/>
          <w:highlight w:val="none"/>
        </w:rPr>
      </w:pPr>
      <w:r>
        <w:rPr>
          <w:rFonts w:hint="eastAsia" w:ascii="宋体" w:hAnsi="宋体"/>
          <w:b/>
          <w:color w:val="auto"/>
          <w:sz w:val="32"/>
          <w:szCs w:val="32"/>
          <w:highlight w:val="none"/>
        </w:rPr>
        <w:t>投标人应为中/小/微企业或监狱企业或残疾人福利性单位，证明材料提供中小企业声明函或对应要求的资格证明资料</w:t>
      </w:r>
    </w:p>
    <w:p>
      <w:pPr>
        <w:pStyle w:val="21"/>
        <w:ind w:firstLine="3313" w:firstLineChars="1100"/>
        <w:rPr>
          <w:rFonts w:hint="eastAsia" w:ascii="Times New Roman" w:hAnsi="Times New Roman"/>
          <w:b/>
          <w:color w:val="auto"/>
          <w:sz w:val="30"/>
          <w:szCs w:val="30"/>
          <w:highlight w:val="none"/>
        </w:rPr>
      </w:pPr>
      <w:r>
        <w:rPr>
          <w:rFonts w:hint="eastAsia" w:ascii="Times New Roman" w:hAnsi="Times New Roman"/>
          <w:b/>
          <w:color w:val="auto"/>
          <w:sz w:val="30"/>
          <w:szCs w:val="30"/>
          <w:highlight w:val="none"/>
        </w:rPr>
        <w:t>（1）中小企业声明函</w:t>
      </w:r>
    </w:p>
    <w:p>
      <w:pPr>
        <w:pStyle w:val="17"/>
        <w:spacing w:line="240" w:lineRule="auto"/>
        <w:ind w:firstLine="0"/>
        <w:rPr>
          <w:rFonts w:ascii="Times New Roman" w:hAnsi="Times New Roman"/>
          <w:color w:val="auto"/>
          <w:sz w:val="21"/>
          <w:szCs w:val="21"/>
          <w:highlight w:val="none"/>
        </w:rPr>
      </w:pPr>
      <w:r>
        <w:rPr>
          <w:rFonts w:hint="eastAsia" w:ascii="Times New Roman" w:hAnsi="宋体"/>
          <w:color w:val="auto"/>
          <w:sz w:val="21"/>
          <w:szCs w:val="21"/>
          <w:highlight w:val="none"/>
        </w:rPr>
        <w:t>说明：</w:t>
      </w:r>
    </w:p>
    <w:p>
      <w:pPr>
        <w:pStyle w:val="17"/>
        <w:spacing w:line="240" w:lineRule="auto"/>
        <w:ind w:firstLine="404" w:firstLineChars="200"/>
        <w:rPr>
          <w:rFonts w:ascii="Times New Roman" w:hAnsi="Times New Roman"/>
          <w:color w:val="auto"/>
          <w:sz w:val="21"/>
          <w:szCs w:val="21"/>
          <w:highlight w:val="none"/>
        </w:rPr>
      </w:pPr>
      <w:r>
        <w:rPr>
          <w:rFonts w:ascii="Times New Roman" w:hAnsi="Times New Roman"/>
          <w:color w:val="auto"/>
          <w:sz w:val="21"/>
          <w:szCs w:val="21"/>
          <w:highlight w:val="none"/>
        </w:rPr>
        <w:t>1</w:t>
      </w:r>
      <w:r>
        <w:rPr>
          <w:rFonts w:hint="eastAsia" w:ascii="Times New Roman" w:hAnsi="宋体"/>
          <w:color w:val="auto"/>
          <w:sz w:val="21"/>
          <w:szCs w:val="21"/>
          <w:highlight w:val="none"/>
        </w:rPr>
        <w:t>、本声明函主要供参加政府采购活动的中小企业填写，非中小企业无需填写。</w:t>
      </w:r>
    </w:p>
    <w:p>
      <w:pPr>
        <w:pStyle w:val="17"/>
        <w:spacing w:line="240" w:lineRule="auto"/>
        <w:ind w:firstLine="404" w:firstLineChars="200"/>
        <w:rPr>
          <w:rFonts w:ascii="Times New Roman" w:hAnsi="宋体"/>
          <w:color w:val="auto"/>
          <w:sz w:val="21"/>
          <w:szCs w:val="21"/>
          <w:highlight w:val="none"/>
        </w:rPr>
      </w:pPr>
      <w:r>
        <w:rPr>
          <w:rFonts w:ascii="Times New Roman" w:hAnsi="Times New Roman"/>
          <w:color w:val="auto"/>
          <w:sz w:val="21"/>
          <w:szCs w:val="21"/>
          <w:highlight w:val="none"/>
        </w:rPr>
        <w:t>2</w:t>
      </w:r>
      <w:r>
        <w:rPr>
          <w:rFonts w:hint="eastAsia" w:ascii="Times New Roman" w:hAnsi="宋体"/>
          <w:color w:val="auto"/>
          <w:sz w:val="21"/>
          <w:szCs w:val="21"/>
          <w:highlight w:val="none"/>
        </w:rPr>
        <w:t>、小型、微型企业提供中型企业提供的服务的，视同为中型企业。</w:t>
      </w:r>
    </w:p>
    <w:p>
      <w:pPr>
        <w:pStyle w:val="17"/>
        <w:spacing w:line="240" w:lineRule="auto"/>
        <w:ind w:firstLine="404" w:firstLineChars="200"/>
        <w:rPr>
          <w:rFonts w:ascii="Times New Roman" w:hAnsi="宋体"/>
          <w:color w:val="auto"/>
          <w:sz w:val="21"/>
          <w:szCs w:val="21"/>
          <w:highlight w:val="none"/>
        </w:rPr>
      </w:pPr>
    </w:p>
    <w:p>
      <w:pPr>
        <w:pStyle w:val="2"/>
        <w:spacing w:line="500" w:lineRule="exact"/>
        <w:ind w:right="142" w:firstLine="420" w:firstLineChars="200"/>
        <w:rPr>
          <w:rFonts w:ascii="宋体" w:hAnsi="宋体"/>
          <w:color w:val="auto"/>
          <w:highlight w:val="none"/>
        </w:rPr>
      </w:pPr>
      <w:r>
        <w:rPr>
          <w:rFonts w:ascii="宋体" w:hAnsi="宋体"/>
          <w:color w:val="auto"/>
          <w:highlight w:val="none"/>
        </w:rPr>
        <w:t>本公司（联合体）郑重声明，根据《政府采购促进中小企业发展管理办法》（财库﹝2020﹞46号）的规定，本公司（联合体）参加</w:t>
      </w:r>
      <w:r>
        <w:rPr>
          <w:rFonts w:ascii="宋体" w:hAnsi="宋体"/>
          <w:color w:val="auto"/>
          <w:highlight w:val="none"/>
          <w:u w:val="single"/>
        </w:rPr>
        <w:t>（单位名称）</w:t>
      </w:r>
      <w:r>
        <w:rPr>
          <w:rFonts w:ascii="宋体" w:hAnsi="宋体"/>
          <w:color w:val="auto"/>
          <w:highlight w:val="none"/>
        </w:rPr>
        <w:t>的</w:t>
      </w:r>
      <w:r>
        <w:rPr>
          <w:rFonts w:ascii="宋体" w:hAnsi="宋体"/>
          <w:color w:val="auto"/>
          <w:highlight w:val="none"/>
          <w:u w:val="single"/>
        </w:rPr>
        <w:t>（项目名称）</w:t>
      </w:r>
      <w:r>
        <w:rPr>
          <w:rFonts w:ascii="宋体" w:hAnsi="宋体"/>
          <w:color w:val="auto"/>
          <w:highlight w:val="none"/>
        </w:rPr>
        <w:t>采购活动，</w:t>
      </w:r>
      <w:r>
        <w:rPr>
          <w:rFonts w:hint="eastAsia" w:ascii="宋体" w:hAnsi="宋体"/>
          <w:color w:val="auto"/>
          <w:highlight w:val="none"/>
        </w:rPr>
        <w:t>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00" w:firstLineChars="286"/>
        <w:rPr>
          <w:rFonts w:ascii="宋体" w:hAnsi="宋体"/>
          <w:color w:val="auto"/>
          <w:szCs w:val="21"/>
          <w:highlight w:val="none"/>
        </w:rPr>
      </w:pPr>
      <w:r>
        <w:rPr>
          <w:rFonts w:ascii="宋体" w:hAnsi="宋体"/>
          <w:color w:val="auto"/>
          <w:szCs w:val="21"/>
          <w:highlight w:val="none"/>
        </w:rPr>
        <w:t>1.</w:t>
      </w:r>
      <w:r>
        <w:rPr>
          <w:rFonts w:ascii="宋体" w:hAnsi="宋体"/>
          <w:color w:val="auto"/>
          <w:szCs w:val="21"/>
          <w:highlight w:val="none"/>
          <w:u w:val="single"/>
        </w:rPr>
        <w:t>（标的名称）</w:t>
      </w:r>
      <w:r>
        <w:rPr>
          <w:rFonts w:ascii="宋体" w:hAnsi="宋体"/>
          <w:color w:val="auto"/>
          <w:szCs w:val="21"/>
          <w:highlight w:val="none"/>
        </w:rPr>
        <w:t>，属于</w:t>
      </w:r>
      <w:r>
        <w:rPr>
          <w:rFonts w:ascii="宋体" w:hAnsi="宋体"/>
          <w:color w:val="auto"/>
          <w:szCs w:val="21"/>
          <w:highlight w:val="none"/>
          <w:u w:val="single"/>
        </w:rPr>
        <w:t>（采购文件中明确的所属</w:t>
      </w:r>
      <w:r>
        <w:rPr>
          <w:rFonts w:hint="eastAsia" w:ascii="宋体" w:hAnsi="宋体"/>
          <w:color w:val="auto"/>
          <w:szCs w:val="21"/>
          <w:highlight w:val="none"/>
          <w:u w:val="single"/>
        </w:rPr>
        <w:t>行</w:t>
      </w:r>
      <w:r>
        <w:rPr>
          <w:rFonts w:ascii="宋体" w:hAnsi="宋体"/>
          <w:color w:val="auto"/>
          <w:szCs w:val="21"/>
          <w:highlight w:val="none"/>
          <w:u w:val="single"/>
        </w:rPr>
        <w:t>业）</w:t>
      </w:r>
      <w:r>
        <w:rPr>
          <w:rFonts w:ascii="宋体" w:hAnsi="宋体"/>
          <w:color w:val="auto"/>
          <w:szCs w:val="21"/>
          <w:highlight w:val="none"/>
        </w:rPr>
        <w:t>；</w:t>
      </w:r>
      <w:r>
        <w:rPr>
          <w:rFonts w:hint="eastAsia" w:ascii="宋体" w:hAnsi="宋体"/>
          <w:color w:val="auto"/>
          <w:szCs w:val="21"/>
          <w:highlight w:val="none"/>
        </w:rPr>
        <w:t>承接企业为</w:t>
      </w:r>
      <w:r>
        <w:rPr>
          <w:rFonts w:hint="eastAsia" w:ascii="宋体" w:hAnsi="宋体"/>
          <w:color w:val="auto"/>
          <w:szCs w:val="21"/>
          <w:highlight w:val="none"/>
          <w:u w:val="single"/>
        </w:rPr>
        <w:t>（企业名称）</w:t>
      </w:r>
      <w:r>
        <w:rPr>
          <w:rFonts w:hint="eastAsia" w:ascii="宋体" w:hAnsi="宋体"/>
          <w:color w:val="auto"/>
          <w:szCs w:val="21"/>
          <w:highlight w:val="none"/>
        </w:rPr>
        <w:t>，从业人员</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人，营业收入为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万元，资产总额为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万元</w:t>
      </w:r>
      <w:r>
        <w:rPr>
          <w:rFonts w:ascii="宋体" w:hAnsi="宋体"/>
          <w:color w:val="auto"/>
          <w:szCs w:val="21"/>
          <w:highlight w:val="none"/>
        </w:rPr>
        <w:t>，属于</w:t>
      </w:r>
      <w:r>
        <w:rPr>
          <w:rFonts w:ascii="宋体" w:hAnsi="宋体"/>
          <w:color w:val="auto"/>
          <w:szCs w:val="21"/>
          <w:highlight w:val="none"/>
          <w:u w:val="single"/>
        </w:rPr>
        <w:t>（中型企业、</w:t>
      </w:r>
      <w:r>
        <w:rPr>
          <w:rFonts w:hint="eastAsia" w:ascii="宋体" w:hAnsi="宋体"/>
          <w:color w:val="auto"/>
          <w:szCs w:val="21"/>
          <w:highlight w:val="none"/>
          <w:u w:val="single"/>
        </w:rPr>
        <w:t>小型企业、微型企业）</w:t>
      </w:r>
      <w:r>
        <w:rPr>
          <w:rFonts w:hint="eastAsia" w:ascii="宋体" w:hAnsi="宋体"/>
          <w:color w:val="auto"/>
          <w:szCs w:val="21"/>
          <w:highlight w:val="none"/>
        </w:rPr>
        <w:t>；</w:t>
      </w:r>
    </w:p>
    <w:p>
      <w:pPr>
        <w:tabs>
          <w:tab w:val="left" w:pos="1065"/>
          <w:tab w:val="left" w:pos="4262"/>
          <w:tab w:val="left" w:pos="6477"/>
        </w:tabs>
        <w:spacing w:before="20" w:line="500" w:lineRule="exact"/>
        <w:ind w:right="84" w:firstLine="600" w:firstLineChars="286"/>
        <w:rPr>
          <w:rFonts w:ascii="宋体" w:hAnsi="宋体"/>
          <w:color w:val="auto"/>
          <w:szCs w:val="21"/>
          <w:highlight w:val="none"/>
          <w:u w:val="single"/>
        </w:rPr>
      </w:pPr>
      <w:r>
        <w:rPr>
          <w:rFonts w:ascii="宋体" w:hAnsi="宋体"/>
          <w:color w:val="auto"/>
          <w:szCs w:val="21"/>
          <w:highlight w:val="none"/>
        </w:rPr>
        <w:t>2.</w:t>
      </w:r>
      <w:r>
        <w:rPr>
          <w:rFonts w:ascii="宋体" w:hAnsi="宋体"/>
          <w:color w:val="auto"/>
          <w:szCs w:val="21"/>
          <w:highlight w:val="none"/>
          <w:u w:val="single"/>
        </w:rPr>
        <w:t>（标的名称）</w:t>
      </w:r>
      <w:r>
        <w:rPr>
          <w:rFonts w:ascii="宋体" w:hAnsi="宋体"/>
          <w:color w:val="auto"/>
          <w:szCs w:val="21"/>
          <w:highlight w:val="none"/>
        </w:rPr>
        <w:t>，属于</w:t>
      </w:r>
      <w:r>
        <w:rPr>
          <w:rFonts w:ascii="宋体" w:hAnsi="宋体"/>
          <w:color w:val="auto"/>
          <w:szCs w:val="21"/>
          <w:highlight w:val="none"/>
          <w:u w:val="single"/>
        </w:rPr>
        <w:t>（采购文件中明确的所属</w:t>
      </w:r>
      <w:r>
        <w:rPr>
          <w:rFonts w:hint="eastAsia" w:ascii="宋体" w:hAnsi="宋体"/>
          <w:color w:val="auto"/>
          <w:szCs w:val="21"/>
          <w:highlight w:val="none"/>
          <w:u w:val="single"/>
        </w:rPr>
        <w:t>行业</w:t>
      </w:r>
      <w:r>
        <w:rPr>
          <w:rFonts w:ascii="宋体" w:hAnsi="宋体"/>
          <w:color w:val="auto"/>
          <w:szCs w:val="21"/>
          <w:highlight w:val="none"/>
          <w:u w:val="single"/>
        </w:rPr>
        <w:t>）</w:t>
      </w:r>
      <w:r>
        <w:rPr>
          <w:rFonts w:ascii="宋体" w:hAnsi="宋体"/>
          <w:color w:val="auto"/>
          <w:szCs w:val="21"/>
          <w:highlight w:val="none"/>
        </w:rPr>
        <w:t>；</w:t>
      </w:r>
      <w:r>
        <w:rPr>
          <w:rFonts w:hint="eastAsia" w:ascii="宋体" w:hAnsi="宋体"/>
          <w:color w:val="auto"/>
          <w:szCs w:val="21"/>
          <w:highlight w:val="none"/>
        </w:rPr>
        <w:t>承接企业为</w:t>
      </w:r>
      <w:r>
        <w:rPr>
          <w:rFonts w:hint="eastAsia" w:ascii="宋体" w:hAnsi="宋体"/>
          <w:color w:val="auto"/>
          <w:szCs w:val="21"/>
          <w:highlight w:val="none"/>
          <w:u w:val="single"/>
        </w:rPr>
        <w:t>（企业名称）</w:t>
      </w:r>
      <w:r>
        <w:rPr>
          <w:rFonts w:hint="eastAsia" w:ascii="宋体" w:hAnsi="宋体"/>
          <w:color w:val="auto"/>
          <w:szCs w:val="21"/>
          <w:highlight w:val="none"/>
        </w:rPr>
        <w:t>，从业人员</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人，营业收入为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万元，资产总额为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万元</w:t>
      </w:r>
      <w:r>
        <w:rPr>
          <w:rFonts w:ascii="宋体" w:hAnsi="宋体"/>
          <w:color w:val="auto"/>
          <w:szCs w:val="21"/>
          <w:highlight w:val="none"/>
        </w:rPr>
        <w:t>，属于</w:t>
      </w:r>
      <w:r>
        <w:rPr>
          <w:rFonts w:ascii="宋体" w:hAnsi="宋体"/>
          <w:color w:val="auto"/>
          <w:szCs w:val="21"/>
          <w:highlight w:val="none"/>
          <w:u w:val="single"/>
        </w:rPr>
        <w:t>（中型企业、</w:t>
      </w:r>
      <w:r>
        <w:rPr>
          <w:rFonts w:hint="eastAsia" w:ascii="宋体" w:hAnsi="宋体"/>
          <w:color w:val="auto"/>
          <w:szCs w:val="21"/>
          <w:highlight w:val="none"/>
          <w:u w:val="single"/>
        </w:rPr>
        <w:t>小型企业、微型企业）</w:t>
      </w:r>
      <w:r>
        <w:rPr>
          <w:rFonts w:hint="eastAsia" w:ascii="宋体" w:hAnsi="宋体"/>
          <w:color w:val="auto"/>
          <w:szCs w:val="21"/>
          <w:highlight w:val="none"/>
        </w:rPr>
        <w:t>；</w:t>
      </w:r>
    </w:p>
    <w:p>
      <w:pPr>
        <w:pStyle w:val="2"/>
        <w:spacing w:before="34" w:line="500" w:lineRule="exact"/>
        <w:ind w:left="765" w:right="142" w:hanging="5"/>
        <w:rPr>
          <w:rFonts w:ascii="宋体" w:hAnsi="宋体"/>
          <w:color w:val="auto"/>
          <w:highlight w:val="none"/>
        </w:rPr>
      </w:pPr>
      <w:r>
        <w:rPr>
          <w:rFonts w:ascii="宋体" w:hAnsi="宋体"/>
          <w:color w:val="auto"/>
          <w:highlight w:val="none"/>
        </w:rPr>
        <w:t xml:space="preserve">…… </w:t>
      </w:r>
    </w:p>
    <w:p>
      <w:pPr>
        <w:pStyle w:val="2"/>
        <w:spacing w:before="34" w:line="500" w:lineRule="exact"/>
        <w:ind w:right="142" w:firstLine="420" w:firstLineChars="200"/>
        <w:rPr>
          <w:rFonts w:hint="eastAsia" w:ascii="宋体" w:hAnsi="宋体"/>
          <w:color w:val="auto"/>
          <w:highlight w:val="none"/>
        </w:rPr>
      </w:pPr>
      <w:r>
        <w:rPr>
          <w:rFonts w:ascii="宋体" w:hAnsi="宋体"/>
          <w:color w:val="auto"/>
          <w:highlight w:val="none"/>
        </w:rPr>
        <w:t>以上企业，不属于大企业的分支机构，不存在控股股东为大企业的情形，也不存在与大企业的负责人为同一人的情形。</w:t>
      </w:r>
    </w:p>
    <w:p>
      <w:pPr>
        <w:pStyle w:val="2"/>
        <w:spacing w:before="34" w:line="500" w:lineRule="exact"/>
        <w:ind w:right="142" w:firstLine="420" w:firstLineChars="200"/>
        <w:rPr>
          <w:rFonts w:ascii="宋体" w:hAnsi="宋体"/>
          <w:color w:val="auto"/>
          <w:highlight w:val="none"/>
        </w:rPr>
      </w:pPr>
      <w:r>
        <w:rPr>
          <w:rFonts w:ascii="宋体" w:hAnsi="宋体"/>
          <w:color w:val="auto"/>
          <w:highlight w:val="none"/>
        </w:rPr>
        <w:t>本企业对上述声明内容的真实性负责。如有虚假，将依法承担相应责任。</w:t>
      </w:r>
    </w:p>
    <w:p>
      <w:pPr>
        <w:pStyle w:val="21"/>
        <w:spacing w:line="360" w:lineRule="auto"/>
        <w:ind w:firstLine="420" w:firstLineChars="200"/>
        <w:rPr>
          <w:rFonts w:hint="eastAsia" w:hAnsi="宋体"/>
          <w:color w:val="auto"/>
          <w:szCs w:val="21"/>
          <w:highlight w:val="none"/>
        </w:rPr>
      </w:pPr>
    </w:p>
    <w:p>
      <w:pPr>
        <w:pStyle w:val="21"/>
        <w:spacing w:line="360" w:lineRule="auto"/>
        <w:ind w:firstLine="420" w:firstLineChars="200"/>
        <w:rPr>
          <w:rFonts w:hint="eastAsia" w:hAnsi="宋体"/>
          <w:color w:val="auto"/>
          <w:szCs w:val="21"/>
          <w:highlight w:val="none"/>
        </w:rPr>
      </w:pPr>
    </w:p>
    <w:p>
      <w:pPr>
        <w:snapToGrid w:val="0"/>
        <w:spacing w:line="360" w:lineRule="auto"/>
        <w:ind w:firstLine="5040" w:firstLineChars="21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hAnsi="宋体"/>
          <w:color w:val="auto"/>
          <w:szCs w:val="21"/>
          <w:highlight w:val="none"/>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pStyle w:val="2"/>
        <w:spacing w:before="34" w:line="500" w:lineRule="exact"/>
        <w:ind w:right="142" w:firstLine="420" w:firstLineChars="200"/>
        <w:rPr>
          <w:rFonts w:hint="eastAsia" w:ascii="宋体" w:hAnsi="宋体"/>
          <w:color w:val="auto"/>
          <w:highlight w:val="none"/>
        </w:rPr>
      </w:pPr>
      <w:r>
        <w:rPr>
          <w:rFonts w:hint="eastAsia" w:ascii="宋体" w:hAnsi="宋体"/>
          <w:color w:val="auto"/>
          <w:highlight w:val="none"/>
        </w:rPr>
        <w:t>注：</w:t>
      </w:r>
    </w:p>
    <w:p>
      <w:pPr>
        <w:pStyle w:val="2"/>
        <w:spacing w:before="34" w:line="500" w:lineRule="exact"/>
        <w:ind w:right="142" w:firstLine="420" w:firstLineChars="200"/>
        <w:rPr>
          <w:rFonts w:hint="eastAsia" w:ascii="宋体" w:hAnsi="宋体"/>
          <w:color w:val="auto"/>
          <w:highlight w:val="none"/>
        </w:rPr>
      </w:pPr>
      <w:r>
        <w:rPr>
          <w:rFonts w:hint="eastAsia" w:ascii="宋体" w:hAnsi="宋体"/>
          <w:color w:val="auto"/>
          <w:highlight w:val="none"/>
        </w:rPr>
        <w:t>1、从业人员、营业收入、资产总额填报上一年度数据，无上一年度数据的新成立企业可不填报。</w:t>
      </w:r>
    </w:p>
    <w:p>
      <w:pPr>
        <w:pStyle w:val="2"/>
        <w:spacing w:before="34" w:line="500" w:lineRule="exact"/>
        <w:ind w:right="142" w:firstLine="420" w:firstLineChars="200"/>
        <w:rPr>
          <w:rFonts w:ascii="宋体" w:hAnsi="宋体"/>
          <w:color w:val="auto"/>
          <w:highlight w:val="none"/>
        </w:rPr>
        <w:sectPr>
          <w:pgSz w:w="11905" w:h="16838"/>
          <w:pgMar w:top="1134" w:right="1134" w:bottom="1134" w:left="1134" w:header="720" w:footer="720" w:gutter="0"/>
          <w:cols w:space="720" w:num="1"/>
          <w:docGrid w:type="lines" w:linePitch="331" w:charSpace="0"/>
        </w:sectPr>
      </w:pPr>
      <w:r>
        <w:rPr>
          <w:rFonts w:hint="eastAsia" w:ascii="宋体" w:hAnsi="宋体"/>
          <w:color w:val="auto"/>
          <w:highlight w:val="none"/>
        </w:rPr>
        <w:t>2、请根据自己的真实情况出具《中小企业声明函》。依法享受中小企业优惠政策的，采购人或者采购代理机构在公告中标结果时，同时公告其《中小企业声明函》，接受社会监督。</w:t>
      </w:r>
    </w:p>
    <w:p>
      <w:pPr>
        <w:pStyle w:val="21"/>
        <w:spacing w:line="360" w:lineRule="auto"/>
        <w:jc w:val="center"/>
        <w:rPr>
          <w:rFonts w:hint="eastAsia"/>
          <w:b/>
          <w:color w:val="auto"/>
          <w:sz w:val="30"/>
          <w:szCs w:val="30"/>
          <w:highlight w:val="none"/>
        </w:rPr>
      </w:pPr>
      <w:r>
        <w:rPr>
          <w:rFonts w:hint="eastAsia"/>
          <w:b/>
          <w:color w:val="auto"/>
          <w:sz w:val="30"/>
          <w:szCs w:val="30"/>
          <w:highlight w:val="none"/>
        </w:rPr>
        <w:t>（2）残疾人福利性单位声明函</w:t>
      </w:r>
    </w:p>
    <w:p>
      <w:pPr>
        <w:pStyle w:val="21"/>
        <w:spacing w:line="360" w:lineRule="auto"/>
        <w:jc w:val="center"/>
        <w:rPr>
          <w:b/>
          <w:color w:val="auto"/>
          <w:sz w:val="30"/>
          <w:szCs w:val="30"/>
          <w:highlight w:val="none"/>
        </w:rPr>
      </w:pPr>
    </w:p>
    <w:p>
      <w:pPr>
        <w:pStyle w:val="21"/>
        <w:spacing w:line="360" w:lineRule="auto"/>
        <w:jc w:val="left"/>
        <w:rPr>
          <w:rFonts w:hint="eastAsia" w:ascii="仿宋_GB2312" w:eastAsia="仿宋_GB2312"/>
          <w:color w:val="auto"/>
          <w:sz w:val="24"/>
          <w:szCs w:val="24"/>
          <w:highlight w:val="none"/>
        </w:rPr>
      </w:pPr>
      <w:r>
        <w:rPr>
          <w:rFonts w:hint="eastAsia"/>
          <w:color w:val="auto"/>
          <w:sz w:val="30"/>
          <w:szCs w:val="30"/>
          <w:highlight w:val="none"/>
        </w:rPr>
        <w:t xml:space="preserve">   </w:t>
      </w:r>
      <w:r>
        <w:rPr>
          <w:rFonts w:hint="eastAsia" w:ascii="仿宋_GB2312" w:eastAsia="仿宋_GB2312"/>
          <w:color w:val="auto"/>
          <w:sz w:val="24"/>
          <w:szCs w:val="24"/>
          <w:highlight w:val="none"/>
        </w:rPr>
        <w:t>本公司郑重声明，根据《财政部 民政部 中国残疾人联合会关于促进残疾人就业政府采购政策的通知》（财库〔2017〕 141号）的规定，本公司为符合条件的残疾人福利性单位，且本公司参加</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单位的</w:t>
      </w:r>
      <w:r>
        <w:rPr>
          <w:rFonts w:hint="eastAsia" w:ascii="仿宋_GB2312" w:eastAsia="仿宋_GB2312"/>
          <w:color w:val="auto"/>
          <w:sz w:val="24"/>
          <w:szCs w:val="24"/>
          <w:highlight w:val="none"/>
          <w:u w:val="single"/>
        </w:rPr>
        <w:t xml:space="preserve">          </w:t>
      </w:r>
      <w:r>
        <w:rPr>
          <w:rFonts w:hint="eastAsia" w:ascii="仿宋_GB2312" w:eastAsia="仿宋_GB2312"/>
          <w:color w:val="auto"/>
          <w:sz w:val="24"/>
          <w:szCs w:val="24"/>
          <w:highlight w:val="none"/>
        </w:rPr>
        <w:t>项目采购活动提供本公司制造的货物（由本公司承担工程/提供服务），或者提供其他残疾人福利性单位制造的货物（不包括使用非残疾人福利性单位注册商标的货物）。</w:t>
      </w:r>
    </w:p>
    <w:p>
      <w:pPr>
        <w:pStyle w:val="21"/>
        <w:spacing w:line="360" w:lineRule="auto"/>
        <w:ind w:firstLine="480" w:firstLineChars="200"/>
        <w:jc w:val="left"/>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本公司对上述声明的真实性负责。如有虚假，将依法承担相应责任。</w:t>
      </w:r>
    </w:p>
    <w:p>
      <w:pPr>
        <w:pStyle w:val="21"/>
        <w:spacing w:line="360" w:lineRule="auto"/>
        <w:jc w:val="left"/>
        <w:rPr>
          <w:b/>
          <w:color w:val="auto"/>
          <w:szCs w:val="21"/>
          <w:highlight w:val="none"/>
        </w:rPr>
      </w:pPr>
    </w:p>
    <w:p>
      <w:pPr>
        <w:pStyle w:val="21"/>
        <w:spacing w:line="360" w:lineRule="auto"/>
        <w:jc w:val="left"/>
        <w:rPr>
          <w:b/>
          <w:color w:val="auto"/>
          <w:szCs w:val="21"/>
          <w:highlight w:val="none"/>
        </w:rPr>
      </w:pPr>
    </w:p>
    <w:p>
      <w:pPr>
        <w:snapToGrid w:val="0"/>
        <w:spacing w:line="360" w:lineRule="auto"/>
        <w:ind w:left="5137" w:leftChars="1736" w:hanging="1491" w:hangingChars="825"/>
        <w:rPr>
          <w:rFonts w:hint="eastAsia" w:ascii="仿宋_GB2312" w:hAnsi="仿宋" w:eastAsia="仿宋_GB2312" w:cs="仿宋_GB2312"/>
          <w:color w:val="auto"/>
          <w:kern w:val="0"/>
          <w:sz w:val="24"/>
          <w:highlight w:val="none"/>
        </w:rPr>
      </w:pPr>
      <w:r>
        <w:rPr>
          <w:rFonts w:hint="eastAsia"/>
          <w:b/>
          <w:color w:val="auto"/>
          <w:sz w:val="18"/>
          <w:szCs w:val="18"/>
          <w:highlight w:val="none"/>
        </w:rPr>
        <w:t xml:space="preserve">                                                                    </w:t>
      </w: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pStyle w:val="21"/>
        <w:spacing w:line="360" w:lineRule="auto"/>
        <w:ind w:left="5132" w:leftChars="1979" w:hanging="976" w:hangingChars="488"/>
        <w:rPr>
          <w:rFonts w:hint="eastAsia"/>
          <w:color w:val="auto"/>
          <w:sz w:val="20"/>
          <w:highlight w:val="none"/>
        </w:rPr>
      </w:pPr>
    </w:p>
    <w:p>
      <w:pPr>
        <w:spacing w:line="360" w:lineRule="auto"/>
        <w:ind w:right="420" w:firstLine="480"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ind w:right="420" w:firstLine="480" w:firstLineChars="200"/>
        <w:rPr>
          <w:rFonts w:hint="eastAsia" w:ascii="仿宋_GB2312" w:hAnsi="仿宋" w:eastAsia="仿宋_GB2312" w:cs="仿宋_GB2312"/>
          <w:color w:val="auto"/>
          <w:sz w:val="24"/>
          <w:highlight w:val="none"/>
        </w:rPr>
      </w:pPr>
    </w:p>
    <w:p>
      <w:pPr>
        <w:spacing w:line="360" w:lineRule="auto"/>
        <w:ind w:right="420" w:firstLine="480" w:firstLineChars="200"/>
        <w:rPr>
          <w:rFonts w:hint="eastAsia" w:ascii="仿宋_GB2312" w:hAnsi="仿宋" w:eastAsia="仿宋_GB2312" w:cs="仿宋_GB2312"/>
          <w:color w:val="auto"/>
          <w:sz w:val="24"/>
          <w:highlight w:val="none"/>
        </w:rPr>
      </w:pPr>
    </w:p>
    <w:p>
      <w:pPr>
        <w:spacing w:line="360" w:lineRule="auto"/>
        <w:ind w:right="420"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3）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before="50" w:after="165" w:afterLines="50" w:line="360" w:lineRule="auto"/>
        <w:jc w:val="left"/>
        <w:rPr>
          <w:color w:val="auto"/>
          <w:sz w:val="20"/>
          <w:highlight w:val="none"/>
        </w:rPr>
      </w:pPr>
    </w:p>
    <w:p>
      <w:pPr>
        <w:pStyle w:val="21"/>
        <w:spacing w:line="600" w:lineRule="exact"/>
        <w:jc w:val="center"/>
        <w:rPr>
          <w:rFonts w:hint="eastAsia" w:ascii="Times New Roman" w:hAnsi="Times New Roman"/>
          <w:b/>
          <w:bCs/>
          <w:color w:val="auto"/>
          <w:sz w:val="30"/>
          <w:szCs w:val="30"/>
          <w:highlight w:val="none"/>
        </w:rPr>
      </w:pPr>
    </w:p>
    <w:p>
      <w:pPr>
        <w:snapToGrid w:val="0"/>
        <w:spacing w:line="360" w:lineRule="auto"/>
        <w:ind w:firstLine="5040" w:firstLineChars="21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rPr>
          <w:color w:val="auto"/>
          <w:highlight w:val="none"/>
        </w:rPr>
        <w:sectPr>
          <w:pgSz w:w="11905" w:h="16838"/>
          <w:pgMar w:top="1134" w:right="1134" w:bottom="1134" w:left="1134" w:header="720" w:footer="720" w:gutter="0"/>
          <w:cols w:space="720" w:num="1"/>
          <w:docGrid w:type="lines" w:linePitch="331" w:charSpace="0"/>
        </w:sectPr>
      </w:pPr>
    </w:p>
    <w:p>
      <w:pPr>
        <w:numPr>
          <w:ilvl w:val="0"/>
          <w:numId w:val="3"/>
        </w:numPr>
        <w:snapToGrid w:val="0"/>
        <w:spacing w:line="360" w:lineRule="auto"/>
        <w:jc w:val="left"/>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特定资格条件</w:t>
      </w:r>
      <w:r>
        <w:rPr>
          <w:rFonts w:hint="eastAsia" w:ascii="宋体" w:hAnsi="宋体"/>
          <w:b/>
          <w:color w:val="auto"/>
          <w:sz w:val="32"/>
          <w:szCs w:val="32"/>
          <w:highlight w:val="none"/>
        </w:rPr>
        <w:t>证明资料</w:t>
      </w: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p>
    <w:p>
      <w:pPr>
        <w:numPr>
          <w:ilvl w:val="-1"/>
          <w:numId w:val="0"/>
        </w:numPr>
        <w:snapToGrid w:val="0"/>
        <w:spacing w:line="360" w:lineRule="auto"/>
        <w:jc w:val="left"/>
        <w:rPr>
          <w:rFonts w:hint="eastAsia" w:ascii="宋体" w:hAnsi="宋体"/>
          <w:color w:val="auto"/>
          <w:sz w:val="24"/>
          <w:highlight w:val="none"/>
        </w:rPr>
      </w:pPr>
      <w:r>
        <w:rPr>
          <w:rFonts w:hint="eastAsia" w:ascii="宋体" w:hAnsi="宋体"/>
          <w:b/>
          <w:color w:val="auto"/>
          <w:sz w:val="32"/>
          <w:szCs w:val="32"/>
          <w:highlight w:val="none"/>
          <w:lang w:val="en-US" w:eastAsia="zh-CN"/>
        </w:rPr>
        <w:t>十</w:t>
      </w:r>
      <w:r>
        <w:rPr>
          <w:rFonts w:hint="eastAsia" w:ascii="宋体" w:hAnsi="宋体"/>
          <w:b/>
          <w:color w:val="auto"/>
          <w:sz w:val="32"/>
          <w:szCs w:val="32"/>
          <w:highlight w:val="none"/>
        </w:rPr>
        <w:t>、除招标文件规定必须提供以外，投标人认为需要提供的其他证明材料。</w:t>
      </w:r>
    </w:p>
    <w:p>
      <w:pPr>
        <w:snapToGrid w:val="0"/>
        <w:spacing w:line="360" w:lineRule="auto"/>
        <w:ind w:firstLine="5040" w:firstLineChars="21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autoSpaceDE w:val="0"/>
        <w:autoSpaceDN w:val="0"/>
        <w:adjustRightInd w:val="0"/>
        <w:spacing w:line="360" w:lineRule="auto"/>
        <w:jc w:val="left"/>
        <w:rPr>
          <w:rFonts w:hint="eastAsia" w:ascii="宋体" w:hAnsi="宋体"/>
          <w:b/>
          <w:color w:val="auto"/>
          <w:sz w:val="32"/>
          <w:szCs w:val="32"/>
          <w:highlight w:val="none"/>
        </w:rPr>
        <w:sectPr>
          <w:pgSz w:w="11905" w:h="16838"/>
          <w:pgMar w:top="1134" w:right="1134" w:bottom="1134" w:left="1134" w:header="720" w:footer="720" w:gutter="0"/>
          <w:cols w:space="720" w:num="1"/>
          <w:docGrid w:type="lines" w:linePitch="331" w:charSpace="0"/>
        </w:sectPr>
      </w:pPr>
    </w:p>
    <w:p>
      <w:pPr>
        <w:pStyle w:val="21"/>
        <w:jc w:val="center"/>
        <w:outlineLvl w:val="1"/>
        <w:rPr>
          <w:rFonts w:hAnsi="宋体"/>
          <w:color w:val="auto"/>
          <w:szCs w:val="21"/>
          <w:highlight w:val="none"/>
        </w:rPr>
      </w:pPr>
    </w:p>
    <w:p>
      <w:pPr>
        <w:pStyle w:val="21"/>
        <w:jc w:val="center"/>
        <w:outlineLvl w:val="1"/>
        <w:rPr>
          <w:rFonts w:hint="eastAsia" w:hAnsi="宋体"/>
          <w:b/>
          <w:bCs/>
          <w:color w:val="auto"/>
          <w:sz w:val="28"/>
          <w:szCs w:val="28"/>
          <w:highlight w:val="none"/>
        </w:rPr>
      </w:pPr>
      <w:bookmarkStart w:id="227" w:name="_Toc80093013"/>
      <w:bookmarkStart w:id="228" w:name="_Toc18303"/>
      <w:bookmarkStart w:id="229" w:name="_Toc9749"/>
      <w:bookmarkStart w:id="230" w:name="_Toc29703"/>
      <w:bookmarkStart w:id="231" w:name="_Toc19686838"/>
      <w:r>
        <w:rPr>
          <w:rFonts w:hint="eastAsia" w:hAnsi="宋体"/>
          <w:b/>
          <w:bCs/>
          <w:color w:val="auto"/>
          <w:sz w:val="28"/>
          <w:szCs w:val="28"/>
          <w:highlight w:val="none"/>
        </w:rPr>
        <w:t>第三节 商务文件格式</w:t>
      </w:r>
      <w:bookmarkEnd w:id="227"/>
      <w:bookmarkEnd w:id="228"/>
      <w:bookmarkEnd w:id="229"/>
      <w:bookmarkEnd w:id="230"/>
      <w:bookmarkEnd w:id="231"/>
    </w:p>
    <w:p>
      <w:pPr>
        <w:snapToGrid w:val="0"/>
        <w:spacing w:before="165" w:beforeLines="50" w:after="50"/>
        <w:rPr>
          <w:rFonts w:hint="eastAsia" w:ascii="宋体" w:hAnsi="宋体"/>
          <w:color w:val="auto"/>
          <w:sz w:val="30"/>
          <w:szCs w:val="20"/>
          <w:highlight w:val="none"/>
        </w:rPr>
      </w:pPr>
    </w:p>
    <w:p>
      <w:pPr>
        <w:snapToGrid w:val="0"/>
        <w:spacing w:before="165"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 xml:space="preserve">             电子投标文件</w:t>
      </w:r>
    </w:p>
    <w:p>
      <w:pPr>
        <w:snapToGrid w:val="0"/>
        <w:spacing w:before="165" w:beforeLines="50" w:after="50"/>
        <w:rPr>
          <w:rFonts w:hint="eastAsia" w:ascii="宋体" w:hAnsi="宋体"/>
          <w:color w:val="auto"/>
          <w:sz w:val="24"/>
          <w:szCs w:val="20"/>
          <w:highlight w:val="none"/>
        </w:rPr>
      </w:pPr>
    </w:p>
    <w:p>
      <w:pPr>
        <w:snapToGrid w:val="0"/>
        <w:spacing w:before="165"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商务文件（封面）</w:t>
      </w:r>
    </w:p>
    <w:p>
      <w:pPr>
        <w:snapToGrid w:val="0"/>
        <w:spacing w:before="165" w:beforeLines="50" w:after="50"/>
        <w:rPr>
          <w:rFonts w:hint="eastAsia" w:ascii="宋体" w:hAnsi="宋体"/>
          <w:bCs/>
          <w:color w:val="auto"/>
          <w:sz w:val="24"/>
          <w:szCs w:val="20"/>
          <w:highlight w:val="none"/>
        </w:rPr>
      </w:pPr>
    </w:p>
    <w:p>
      <w:pPr>
        <w:snapToGrid w:val="0"/>
        <w:spacing w:before="165"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65" w:beforeLines="50" w:after="50"/>
        <w:ind w:firstLine="540" w:firstLineChars="225"/>
        <w:rPr>
          <w:rFonts w:hint="eastAsia" w:ascii="宋体" w:hAnsi="宋体"/>
          <w:bCs/>
          <w:color w:val="auto"/>
          <w:sz w:val="24"/>
          <w:szCs w:val="20"/>
          <w:highlight w:val="none"/>
        </w:rPr>
      </w:pPr>
    </w:p>
    <w:p>
      <w:pPr>
        <w:snapToGrid w:val="0"/>
        <w:spacing w:before="165"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65"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65"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65" w:beforeLines="50" w:after="50"/>
        <w:ind w:firstLine="540" w:firstLineChars="225"/>
        <w:rPr>
          <w:rFonts w:hint="eastAsia" w:ascii="宋体" w:hAnsi="宋体"/>
          <w:bCs/>
          <w:color w:val="auto"/>
          <w:sz w:val="24"/>
          <w:szCs w:val="20"/>
          <w:highlight w:val="none"/>
        </w:rPr>
      </w:pPr>
    </w:p>
    <w:p>
      <w:pPr>
        <w:pStyle w:val="8"/>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hint="eastAsia" w:ascii="宋体" w:hAnsi="宋体"/>
          <w:bCs/>
          <w:color w:val="auto"/>
          <w:sz w:val="24"/>
          <w:szCs w:val="24"/>
          <w:highlight w:val="none"/>
        </w:rPr>
      </w:pPr>
    </w:p>
    <w:p>
      <w:pPr>
        <w:pStyle w:val="8"/>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投标人地址：</w:t>
      </w:r>
    </w:p>
    <w:p>
      <w:pPr>
        <w:pStyle w:val="8"/>
        <w:snapToGrid w:val="0"/>
        <w:spacing w:before="50" w:after="50"/>
        <w:ind w:firstLine="960" w:firstLineChars="400"/>
        <w:rPr>
          <w:rFonts w:hint="eastAsia" w:ascii="宋体" w:hAnsi="宋体"/>
          <w:bCs/>
          <w:color w:val="auto"/>
          <w:sz w:val="24"/>
          <w:szCs w:val="24"/>
          <w:highlight w:val="none"/>
        </w:rPr>
      </w:pPr>
    </w:p>
    <w:p>
      <w:pPr>
        <w:snapToGrid w:val="0"/>
        <w:spacing w:before="165"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65"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pacing w:line="360" w:lineRule="auto"/>
        <w:ind w:right="420"/>
        <w:rPr>
          <w:rFonts w:hint="eastAsia" w:ascii="宋体" w:hAnsi="宋体"/>
          <w:color w:val="auto"/>
          <w:sz w:val="24"/>
          <w:szCs w:val="20"/>
          <w:highlight w:val="none"/>
        </w:rPr>
      </w:pPr>
    </w:p>
    <w:p>
      <w:pPr>
        <w:spacing w:line="360" w:lineRule="auto"/>
        <w:ind w:right="420"/>
        <w:rPr>
          <w:rFonts w:hint="eastAsia" w:ascii="宋体" w:hAnsi="宋体"/>
          <w:color w:val="auto"/>
          <w:sz w:val="24"/>
          <w:szCs w:val="20"/>
          <w:highlight w:val="none"/>
        </w:rPr>
      </w:pPr>
    </w:p>
    <w:p>
      <w:pPr>
        <w:spacing w:line="360" w:lineRule="auto"/>
        <w:ind w:right="420"/>
        <w:rPr>
          <w:rFonts w:hint="eastAsia" w:ascii="宋体" w:hAnsi="宋体"/>
          <w:color w:val="auto"/>
          <w:sz w:val="24"/>
          <w:szCs w:val="20"/>
          <w:highlight w:val="none"/>
        </w:rPr>
      </w:pPr>
    </w:p>
    <w:p>
      <w:pPr>
        <w:spacing w:line="360" w:lineRule="auto"/>
        <w:ind w:right="420"/>
        <w:rPr>
          <w:rFonts w:hint="eastAsia" w:ascii="宋体" w:hAnsi="宋体"/>
          <w:color w:val="auto"/>
          <w:sz w:val="24"/>
          <w:szCs w:val="20"/>
          <w:highlight w:val="none"/>
        </w:rPr>
      </w:pPr>
    </w:p>
    <w:p>
      <w:pPr>
        <w:spacing w:line="360" w:lineRule="auto"/>
        <w:ind w:right="420"/>
        <w:rPr>
          <w:rFonts w:hint="eastAsia" w:ascii="宋体" w:hAnsi="宋体"/>
          <w:color w:val="auto"/>
          <w:sz w:val="24"/>
          <w:szCs w:val="20"/>
          <w:highlight w:val="none"/>
        </w:rPr>
      </w:pPr>
    </w:p>
    <w:p>
      <w:pPr>
        <w:spacing w:line="360" w:lineRule="auto"/>
        <w:ind w:right="420"/>
        <w:rPr>
          <w:rFonts w:hint="eastAsia" w:ascii="宋体" w:hAnsi="宋体"/>
          <w:color w:val="auto"/>
          <w:sz w:val="24"/>
          <w:szCs w:val="20"/>
          <w:highlight w:val="none"/>
        </w:rPr>
      </w:pPr>
    </w:p>
    <w:p>
      <w:pPr>
        <w:spacing w:line="360" w:lineRule="auto"/>
        <w:ind w:right="420"/>
        <w:rPr>
          <w:rFonts w:hint="eastAsia" w:ascii="宋体" w:hAnsi="宋体"/>
          <w:color w:val="auto"/>
          <w:sz w:val="24"/>
          <w:szCs w:val="20"/>
          <w:highlight w:val="none"/>
        </w:rPr>
      </w:pPr>
    </w:p>
    <w:p>
      <w:pPr>
        <w:spacing w:line="360" w:lineRule="auto"/>
        <w:ind w:right="420"/>
        <w:rPr>
          <w:rFonts w:hint="eastAsia" w:ascii="宋体" w:hAnsi="宋体"/>
          <w:color w:val="auto"/>
          <w:sz w:val="24"/>
          <w:szCs w:val="20"/>
          <w:highlight w:val="none"/>
        </w:rPr>
      </w:pPr>
    </w:p>
    <w:p>
      <w:pPr>
        <w:spacing w:line="360" w:lineRule="auto"/>
        <w:ind w:right="420"/>
        <w:rPr>
          <w:rFonts w:hint="eastAsia" w:ascii="宋体" w:hAnsi="宋体"/>
          <w:color w:val="auto"/>
          <w:sz w:val="24"/>
          <w:szCs w:val="20"/>
          <w:highlight w:val="none"/>
        </w:rPr>
      </w:pPr>
    </w:p>
    <w:p>
      <w:pPr>
        <w:spacing w:line="360" w:lineRule="auto"/>
        <w:ind w:right="420"/>
        <w:rPr>
          <w:rFonts w:hint="eastAsia"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 xml:space="preserve"> </w:t>
      </w:r>
    </w:p>
    <w:p>
      <w:pPr>
        <w:rPr>
          <w:rFonts w:hint="eastAsia" w:ascii="仿宋_GB2312" w:hAnsi="仿宋" w:eastAsia="仿宋_GB2312" w:cs="仿宋_GB2312"/>
          <w:b/>
          <w:color w:val="auto"/>
          <w:kern w:val="0"/>
          <w:sz w:val="24"/>
          <w:highlight w:val="none"/>
        </w:rPr>
      </w:pPr>
    </w:p>
    <w:p>
      <w:pPr>
        <w:jc w:val="center"/>
        <w:rPr>
          <w:rFonts w:hint="eastAsia" w:ascii="仿宋_GB2312" w:hAnsi="仿宋" w:eastAsia="仿宋_GB2312" w:cs="仿宋_GB2312"/>
          <w:b/>
          <w:color w:val="auto"/>
          <w:kern w:val="0"/>
          <w:sz w:val="28"/>
          <w:szCs w:val="28"/>
          <w:highlight w:val="none"/>
        </w:rPr>
      </w:pPr>
      <w:r>
        <w:rPr>
          <w:rFonts w:hint="eastAsia" w:ascii="仿宋_GB2312" w:hAnsi="仿宋" w:eastAsia="仿宋_GB2312" w:cs="仿宋_GB2312"/>
          <w:b/>
          <w:color w:val="auto"/>
          <w:kern w:val="0"/>
          <w:sz w:val="28"/>
          <w:szCs w:val="28"/>
          <w:highlight w:val="none"/>
        </w:rPr>
        <w:t>商务文件目录</w:t>
      </w:r>
    </w:p>
    <w:p>
      <w:pPr>
        <w:pStyle w:val="114"/>
        <w:spacing w:line="360" w:lineRule="auto"/>
        <w:rPr>
          <w:rFonts w:hint="eastAsia" w:cs="仿宋_GB2312"/>
          <w:color w:val="auto"/>
          <w:highlight w:val="none"/>
        </w:rPr>
      </w:pPr>
      <w:r>
        <w:rPr>
          <w:rFonts w:hint="eastAsia" w:cs="仿宋_GB2312"/>
          <w:color w:val="auto"/>
          <w:highlight w:val="none"/>
        </w:rPr>
        <w:t>一、无串标行为承诺函…………………………………………………………………（页码）</w:t>
      </w:r>
    </w:p>
    <w:p>
      <w:pPr>
        <w:pStyle w:val="114"/>
        <w:spacing w:line="360" w:lineRule="auto"/>
        <w:rPr>
          <w:rFonts w:hint="eastAsia" w:cs="仿宋_GB2312"/>
          <w:color w:val="auto"/>
          <w:highlight w:val="none"/>
        </w:rPr>
      </w:pPr>
      <w:r>
        <w:rPr>
          <w:rFonts w:hint="eastAsia" w:cs="仿宋_GB2312"/>
          <w:color w:val="auto"/>
          <w:highlight w:val="none"/>
        </w:rPr>
        <w:t>二、法定代表人身份证明及法定代表人有效身份证正反面复印件…………………（页码）</w:t>
      </w:r>
    </w:p>
    <w:p>
      <w:pPr>
        <w:pStyle w:val="114"/>
        <w:spacing w:line="360" w:lineRule="auto"/>
        <w:rPr>
          <w:rFonts w:hint="eastAsia" w:cs="仿宋_GB2312"/>
          <w:color w:val="auto"/>
          <w:highlight w:val="none"/>
        </w:rPr>
      </w:pPr>
      <w:r>
        <w:rPr>
          <w:rFonts w:hint="eastAsia" w:cs="仿宋_GB2312"/>
          <w:color w:val="auto"/>
          <w:highlight w:val="none"/>
        </w:rPr>
        <w:t>三、法定代表人授权委托书（如有委托时）…………………………………………（页码）</w:t>
      </w:r>
    </w:p>
    <w:p>
      <w:pPr>
        <w:pStyle w:val="114"/>
        <w:spacing w:line="360" w:lineRule="auto"/>
        <w:rPr>
          <w:rFonts w:hint="eastAsia" w:cs="仿宋_GB2312"/>
          <w:color w:val="auto"/>
          <w:highlight w:val="none"/>
        </w:rPr>
      </w:pPr>
      <w:r>
        <w:rPr>
          <w:rFonts w:hint="eastAsia" w:cs="仿宋_GB2312"/>
          <w:color w:val="auto"/>
          <w:highlight w:val="none"/>
        </w:rPr>
        <w:t>四、</w:t>
      </w:r>
      <w:r>
        <w:rPr>
          <w:rFonts w:hint="eastAsia" w:cs="仿宋_GB2312"/>
          <w:color w:val="auto"/>
          <w:highlight w:val="none"/>
          <w:lang w:val="zh-CN"/>
        </w:rPr>
        <w:t>商务条款偏离表………………………………</w:t>
      </w:r>
      <w:r>
        <w:rPr>
          <w:rFonts w:hint="eastAsia" w:cs="仿宋_GB2312"/>
          <w:color w:val="auto"/>
          <w:highlight w:val="none"/>
        </w:rPr>
        <w:t>……………………………………（页码）</w:t>
      </w:r>
    </w:p>
    <w:p>
      <w:pPr>
        <w:pStyle w:val="114"/>
        <w:spacing w:line="360" w:lineRule="auto"/>
        <w:rPr>
          <w:rFonts w:hint="eastAsia" w:cs="仿宋_GB2312"/>
          <w:color w:val="auto"/>
          <w:highlight w:val="none"/>
        </w:rPr>
      </w:pPr>
      <w:bookmarkStart w:id="232" w:name="OLE_LINK6"/>
      <w:bookmarkStart w:id="233" w:name="OLE_LINK7"/>
      <w:bookmarkStart w:id="234" w:name="OLE_LINK5"/>
      <w:r>
        <w:rPr>
          <w:rFonts w:hint="eastAsia"/>
          <w:color w:val="auto"/>
          <w:highlight w:val="none"/>
        </w:rPr>
        <w:t>五、服务承诺</w:t>
      </w:r>
      <w:r>
        <w:rPr>
          <w:rFonts w:hint="eastAsia" w:cs="仿宋_GB2312"/>
          <w:color w:val="auto"/>
          <w:highlight w:val="none"/>
          <w:lang w:val="zh-CN"/>
        </w:rPr>
        <w:t>……………………………</w:t>
      </w:r>
      <w:r>
        <w:rPr>
          <w:rFonts w:hint="eastAsia" w:cs="仿宋_GB2312"/>
          <w:color w:val="auto"/>
          <w:highlight w:val="none"/>
        </w:rPr>
        <w:t>………………………………………………（页码）</w:t>
      </w:r>
    </w:p>
    <w:p>
      <w:pPr>
        <w:pStyle w:val="114"/>
        <w:spacing w:line="360" w:lineRule="auto"/>
        <w:rPr>
          <w:rFonts w:hint="eastAsia" w:cs="仿宋_GB2312"/>
          <w:color w:val="auto"/>
          <w:highlight w:val="none"/>
        </w:rPr>
      </w:pPr>
      <w:r>
        <w:rPr>
          <w:rFonts w:hint="eastAsia" w:cs="仿宋_GB2312"/>
          <w:color w:val="auto"/>
          <w:highlight w:val="none"/>
        </w:rPr>
        <w:t>六、投标人情况介绍（如有）</w:t>
      </w:r>
      <w:r>
        <w:rPr>
          <w:rFonts w:hint="eastAsia" w:cs="仿宋_GB2312"/>
          <w:color w:val="auto"/>
          <w:highlight w:val="none"/>
          <w:lang w:val="zh-CN"/>
        </w:rPr>
        <w:t>………………………………</w:t>
      </w:r>
      <w:r>
        <w:rPr>
          <w:rFonts w:hint="eastAsia" w:cs="仿宋_GB2312"/>
          <w:color w:val="auto"/>
          <w:highlight w:val="none"/>
        </w:rPr>
        <w:t>…………………………（页码）</w:t>
      </w:r>
    </w:p>
    <w:p>
      <w:pPr>
        <w:pStyle w:val="114"/>
        <w:spacing w:line="360" w:lineRule="auto"/>
        <w:rPr>
          <w:rFonts w:hint="eastAsia" w:cs="仿宋_GB2312"/>
          <w:color w:val="auto"/>
          <w:highlight w:val="none"/>
        </w:rPr>
      </w:pPr>
      <w:r>
        <w:rPr>
          <w:rFonts w:hint="eastAsia" w:cs="仿宋_GB2312"/>
          <w:color w:val="auto"/>
          <w:highlight w:val="none"/>
        </w:rPr>
        <w:t>七、投标人类似业绩的证明文件（如有）</w:t>
      </w:r>
      <w:r>
        <w:rPr>
          <w:rFonts w:hint="eastAsia" w:cs="仿宋_GB2312"/>
          <w:color w:val="auto"/>
          <w:highlight w:val="none"/>
          <w:lang w:val="zh-CN"/>
        </w:rPr>
        <w:t>……………………………</w:t>
      </w:r>
      <w:r>
        <w:rPr>
          <w:rFonts w:hint="eastAsia" w:cs="仿宋_GB2312"/>
          <w:color w:val="auto"/>
          <w:highlight w:val="none"/>
        </w:rPr>
        <w:t>………………（页码）</w:t>
      </w:r>
      <w:bookmarkEnd w:id="232"/>
      <w:bookmarkEnd w:id="233"/>
    </w:p>
    <w:p>
      <w:pPr>
        <w:pStyle w:val="114"/>
        <w:spacing w:line="360" w:lineRule="auto"/>
        <w:rPr>
          <w:rFonts w:hint="eastAsia" w:cs="仿宋_GB2312"/>
          <w:color w:val="auto"/>
          <w:highlight w:val="none"/>
        </w:rPr>
      </w:pPr>
      <w:r>
        <w:rPr>
          <w:rFonts w:hint="eastAsia" w:cs="仿宋_GB2312"/>
          <w:color w:val="auto"/>
          <w:highlight w:val="none"/>
        </w:rPr>
        <w:t>八、除招标文件规定必须提供以外，投标人认为需要提供的其他证明材料。（投标人根据“第二章 采购需求”及“第四章 评标方法及评标标准”提供有关证明材料）…（页码）</w:t>
      </w:r>
    </w:p>
    <w:bookmarkEnd w:id="234"/>
    <w:p>
      <w:pPr>
        <w:spacing w:line="360" w:lineRule="auto"/>
        <w:rPr>
          <w:rFonts w:hint="eastAsia" w:ascii="仿宋_GB2312" w:hAnsi="仿宋" w:eastAsia="仿宋_GB2312" w:cs="仿宋_GB2312"/>
          <w:b/>
          <w:bCs/>
          <w:color w:val="auto"/>
          <w:sz w:val="24"/>
          <w:highlight w:val="none"/>
        </w:rPr>
      </w:pPr>
      <w:r>
        <w:rPr>
          <w:rFonts w:hint="eastAsia" w:ascii="仿宋_GB2312" w:hAnsi="仿宋" w:eastAsia="仿宋_GB2312" w:cs="仿宋_GB2312"/>
          <w:b/>
          <w:bCs/>
          <w:color w:val="auto"/>
          <w:sz w:val="24"/>
          <w:highlight w:val="none"/>
        </w:rPr>
        <w:t>注：以上目录是基本格式，各投标人可根据自身情况增减。</w:t>
      </w:r>
    </w:p>
    <w:p>
      <w:pPr>
        <w:snapToGrid w:val="0"/>
        <w:spacing w:line="360" w:lineRule="auto"/>
        <w:ind w:firstLine="420" w:firstLineChars="200"/>
        <w:jc w:val="left"/>
        <w:rPr>
          <w:rFonts w:ascii="宋体" w:hAnsi="宋体"/>
          <w:color w:val="auto"/>
          <w:highlight w:val="none"/>
        </w:rPr>
        <w:sectPr>
          <w:pgSz w:w="11905" w:h="16838"/>
          <w:pgMar w:top="1134" w:right="1134" w:bottom="1134" w:left="1134" w:header="720" w:footer="720" w:gutter="0"/>
          <w:cols w:space="720" w:num="1"/>
          <w:docGrid w:type="lines" w:linePitch="331" w:charSpace="0"/>
        </w:sectPr>
      </w:pPr>
    </w:p>
    <w:p>
      <w:pPr>
        <w:snapToGrid w:val="0"/>
        <w:spacing w:before="165" w:beforeLines="50" w:after="50"/>
        <w:ind w:left="420"/>
        <w:jc w:val="center"/>
        <w:rPr>
          <w:rFonts w:hint="eastAsia"/>
          <w:b/>
          <w:bCs/>
          <w:color w:val="auto"/>
          <w:sz w:val="30"/>
          <w:szCs w:val="30"/>
          <w:highlight w:val="none"/>
        </w:rPr>
      </w:pPr>
      <w:r>
        <w:rPr>
          <w:rFonts w:hint="eastAsia"/>
          <w:b/>
          <w:bCs/>
          <w:color w:val="auto"/>
          <w:sz w:val="30"/>
          <w:szCs w:val="30"/>
          <w:highlight w:val="none"/>
        </w:rPr>
        <w:t>一、无串标行为承诺函</w:t>
      </w:r>
    </w:p>
    <w:p>
      <w:pPr>
        <w:snapToGrid w:val="0"/>
        <w:spacing w:before="165" w:beforeLines="50" w:after="50"/>
        <w:ind w:left="420"/>
        <w:jc w:val="center"/>
        <w:rPr>
          <w:rFonts w:hint="eastAsia" w:ascii="宋体" w:hAnsi="宋体"/>
          <w:b/>
          <w:color w:val="auto"/>
          <w:sz w:val="32"/>
          <w:szCs w:val="32"/>
          <w:highlight w:val="none"/>
        </w:rPr>
      </w:pPr>
      <w:r>
        <w:rPr>
          <w:rFonts w:hint="eastAsia" w:ascii="宋体" w:hAnsi="宋体"/>
          <w:b/>
          <w:color w:val="auto"/>
          <w:sz w:val="32"/>
          <w:szCs w:val="32"/>
          <w:highlight w:val="none"/>
        </w:rPr>
        <w:t>投标人参加本项目无围标串标行为的承诺函</w:t>
      </w:r>
    </w:p>
    <w:p>
      <w:pPr>
        <w:snapToGrid w:val="0"/>
        <w:spacing w:before="165" w:beforeLines="50" w:after="50"/>
        <w:rPr>
          <w:rFonts w:ascii="宋体" w:hAnsi="宋体"/>
          <w:b/>
          <w:color w:val="auto"/>
          <w:szCs w:val="21"/>
          <w:highlight w:val="none"/>
        </w:rPr>
      </w:pPr>
    </w:p>
    <w:p>
      <w:pPr>
        <w:snapToGrid w:val="0"/>
        <w:spacing w:before="165" w:beforeLines="50" w:after="50" w:line="360" w:lineRule="auto"/>
        <w:jc w:val="left"/>
        <w:rPr>
          <w:rFonts w:hint="eastAsia" w:ascii="宋体" w:hAnsi="宋体"/>
          <w:b/>
          <w:color w:val="auto"/>
          <w:szCs w:val="21"/>
          <w:highlight w:val="none"/>
        </w:rPr>
      </w:pPr>
      <w:r>
        <w:rPr>
          <w:rFonts w:hint="eastAsia" w:ascii="宋体" w:hAnsi="宋体"/>
          <w:b/>
          <w:color w:val="auto"/>
          <w:szCs w:val="21"/>
          <w:highlight w:val="none"/>
        </w:rPr>
        <w:t>一、我方承诺无下列相互串通投标的情形：</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1.不同投标人的投标文件由同一单位或者个人编制；或者不同投标人报名的IP地址一致的；</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2.不同投标人委托同一单位或者个人办理投标事宜；</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3.不同的投标人的投标文件载明的项目管理员为同一个人；</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4.不同投标人的投标文件异常一致或者投标报价呈规律性差异；</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5.不同投标人的投标文件相互混装；</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6.不同投标人的投标保证金从同一单位或者个人账户转出。</w:t>
      </w:r>
    </w:p>
    <w:p>
      <w:pPr>
        <w:snapToGrid w:val="0"/>
        <w:spacing w:before="165" w:beforeLines="50" w:after="50" w:line="360" w:lineRule="auto"/>
        <w:jc w:val="left"/>
        <w:rPr>
          <w:rFonts w:hint="eastAsia" w:ascii="宋体" w:hAnsi="宋体"/>
          <w:color w:val="auto"/>
          <w:szCs w:val="21"/>
          <w:highlight w:val="none"/>
        </w:rPr>
      </w:pPr>
      <w:r>
        <w:rPr>
          <w:rFonts w:hint="eastAsia" w:ascii="宋体" w:hAnsi="宋体"/>
          <w:b/>
          <w:color w:val="auto"/>
          <w:szCs w:val="21"/>
          <w:highlight w:val="none"/>
        </w:rPr>
        <w:t>二、我方承诺无下列恶意串通的情形：</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1.投标人直接或者间接从采购人或者采购代理机构处获得其他投标人的相关信息并修改其投标文件或者投标文件；</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2.投标人按照采购人或者采购代理机构的授意撤换、修改投标文件或者投标文件；</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3.投标人之间协商报价、技术方案等投标文件或者投标文件的实质性内容；</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4.属于同一集团、协会、商会等组织成员的投标人按照该组织要求协同参加政府采购活动；</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5.投标人之间事先约定一致抬高或者压低投标报价，或者在招标项目中事先约定轮流以高价位或者低价位中标，或者事先约定由某一特定投标人中标，然后再参加投标；</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6.投标人之间商定部分投标人放弃参加政府采购活动或者放弃中标；</w:t>
      </w:r>
    </w:p>
    <w:p>
      <w:pPr>
        <w:snapToGrid w:val="0"/>
        <w:spacing w:before="165" w:beforeLines="50" w:after="50"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7.投标人与采购人或者采购代理机构之间、投标人相互之间，为谋求特定投标人中标或者排斥其他投标人的其他串通行为。</w:t>
      </w:r>
    </w:p>
    <w:p>
      <w:pPr>
        <w:snapToGrid w:val="0"/>
        <w:spacing w:before="165" w:beforeLines="50" w:after="50" w:line="360" w:lineRule="auto"/>
        <w:ind w:firstLine="413" w:firstLineChars="196"/>
        <w:jc w:val="left"/>
        <w:rPr>
          <w:rFonts w:hint="eastAsia" w:ascii="宋体" w:hAnsi="宋体"/>
          <w:b/>
          <w:color w:val="auto"/>
          <w:szCs w:val="21"/>
          <w:highlight w:val="none"/>
        </w:rPr>
      </w:pPr>
      <w:r>
        <w:rPr>
          <w:rFonts w:hint="eastAsia" w:ascii="宋体" w:hAnsi="宋体"/>
          <w:b/>
          <w:color w:val="auto"/>
          <w:szCs w:val="21"/>
          <w:highlight w:val="none"/>
        </w:rPr>
        <w:t>以上情形一经核查属实，我方愿意承担一切后果，并不再寻求任何旨在减轻或者免除法律责任的辩解。</w:t>
      </w:r>
    </w:p>
    <w:p>
      <w:pPr>
        <w:snapToGrid w:val="0"/>
        <w:spacing w:line="360" w:lineRule="auto"/>
        <w:ind w:firstLine="4935" w:firstLineChars="2350"/>
        <w:rPr>
          <w:rFonts w:hint="eastAsia" w:ascii="仿宋_GB2312" w:hAnsi="仿宋" w:eastAsia="仿宋_GB2312" w:cs="仿宋_GB2312"/>
          <w:color w:val="auto"/>
          <w:kern w:val="0"/>
          <w:sz w:val="24"/>
          <w:highlight w:val="none"/>
        </w:rPr>
      </w:pPr>
      <w:r>
        <w:rPr>
          <w:rFonts w:hAnsi="宋体"/>
          <w:color w:val="auto"/>
          <w:szCs w:val="21"/>
          <w:highlight w:val="none"/>
        </w:rPr>
        <w:t xml:space="preserve">  </w:t>
      </w: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pStyle w:val="21"/>
        <w:snapToGrid w:val="0"/>
        <w:spacing w:before="295" w:after="295" w:line="360" w:lineRule="auto"/>
        <w:jc w:val="center"/>
        <w:rPr>
          <w:rFonts w:hint="eastAsia" w:hAnsi="宋体"/>
          <w:b/>
          <w:color w:val="auto"/>
          <w:sz w:val="24"/>
          <w:highlight w:val="none"/>
        </w:rPr>
      </w:pPr>
      <w:r>
        <w:rPr>
          <w:rFonts w:hAnsi="宋体"/>
          <w:b/>
          <w:color w:val="auto"/>
          <w:sz w:val="24"/>
          <w:highlight w:val="none"/>
        </w:rPr>
        <w:br w:type="page"/>
      </w:r>
      <w:r>
        <w:rPr>
          <w:rFonts w:hint="eastAsia" w:ascii="Times New Roman" w:hAnsi="Times New Roman"/>
          <w:b/>
          <w:bCs/>
          <w:color w:val="auto"/>
          <w:sz w:val="30"/>
          <w:szCs w:val="30"/>
          <w:highlight w:val="none"/>
        </w:rPr>
        <w:t>二、法定代表人身份证明</w:t>
      </w:r>
    </w:p>
    <w:p>
      <w:pPr>
        <w:spacing w:before="331" w:beforeLines="100" w:after="165" w:afterLines="50"/>
        <w:ind w:left="540"/>
        <w:jc w:val="center"/>
        <w:rPr>
          <w:rFonts w:hint="eastAsia" w:ascii="宋体" w:hAnsi="Courier New"/>
          <w:b/>
          <w:color w:val="auto"/>
          <w:sz w:val="32"/>
          <w:szCs w:val="32"/>
          <w:highlight w:val="none"/>
        </w:rPr>
      </w:pPr>
    </w:p>
    <w:p>
      <w:pPr>
        <w:spacing w:before="331" w:beforeLines="100" w:after="165" w:afterLines="50"/>
        <w:ind w:left="540"/>
        <w:jc w:val="center"/>
        <w:rPr>
          <w:rFonts w:hint="eastAsia" w:ascii="黑体" w:hAnsi="宋体" w:eastAsia="黑体"/>
          <w:color w:val="auto"/>
          <w:sz w:val="32"/>
          <w:szCs w:val="32"/>
          <w:highlight w:val="none"/>
        </w:rPr>
      </w:pPr>
      <w:r>
        <w:rPr>
          <w:rFonts w:hint="eastAsia" w:ascii="宋体" w:hAnsi="Courier New"/>
          <w:b/>
          <w:color w:val="auto"/>
          <w:sz w:val="32"/>
          <w:szCs w:val="32"/>
          <w:highlight w:val="none"/>
        </w:rPr>
        <w:t>法定代表人身份证明</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hint="eastAsia" w:ascii="宋体" w:hAnsi="宋体"/>
          <w:color w:val="auto"/>
          <w:sz w:val="24"/>
          <w:highlight w:val="none"/>
        </w:rPr>
      </w:pPr>
    </w:p>
    <w:p>
      <w:pPr>
        <w:snapToGrid w:val="0"/>
        <w:spacing w:line="360" w:lineRule="auto"/>
        <w:ind w:firstLine="4935" w:firstLineChars="2350"/>
        <w:rPr>
          <w:rFonts w:hint="eastAsia" w:ascii="仿宋_GB2312" w:hAnsi="仿宋" w:eastAsia="仿宋_GB2312" w:cs="仿宋_GB2312"/>
          <w:color w:val="auto"/>
          <w:kern w:val="0"/>
          <w:sz w:val="24"/>
          <w:highlight w:val="none"/>
        </w:rPr>
      </w:pPr>
      <w:r>
        <w:rPr>
          <w:rFonts w:hAnsi="宋体"/>
          <w:color w:val="auto"/>
          <w:szCs w:val="21"/>
          <w:highlight w:val="none"/>
        </w:rPr>
        <w:t xml:space="preserve">  </w:t>
      </w: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before="165" w:beforeLines="50" w:after="50"/>
        <w:jc w:val="center"/>
        <w:rPr>
          <w:rFonts w:hint="eastAsia" w:ascii="宋体" w:hAnsi="宋体"/>
          <w:b/>
          <w:color w:val="auto"/>
          <w:sz w:val="24"/>
          <w:highlight w:val="none"/>
        </w:rPr>
      </w:pPr>
    </w:p>
    <w:p>
      <w:pPr>
        <w:snapToGrid w:val="0"/>
        <w:spacing w:before="165" w:beforeLines="50" w:after="50"/>
        <w:ind w:firstLine="600" w:firstLineChars="250"/>
        <w:jc w:val="left"/>
        <w:rPr>
          <w:rFonts w:hint="eastAsia" w:ascii="宋体" w:hAnsi="宋体"/>
          <w:color w:val="auto"/>
          <w:sz w:val="24"/>
          <w:highlight w:val="none"/>
        </w:rPr>
      </w:pPr>
      <w:r>
        <w:rPr>
          <w:rFonts w:hint="eastAsia" w:ascii="宋体" w:hAnsi="宋体"/>
          <w:color w:val="auto"/>
          <w:sz w:val="24"/>
          <w:highlight w:val="none"/>
        </w:rPr>
        <w:t>注：自然人投标的无需提供</w:t>
      </w:r>
    </w:p>
    <w:p>
      <w:pPr>
        <w:snapToGrid w:val="0"/>
        <w:spacing w:before="165" w:beforeLines="50" w:after="50"/>
        <w:ind w:firstLine="600" w:firstLineChars="250"/>
        <w:jc w:val="left"/>
        <w:rPr>
          <w:rFonts w:hint="eastAsia" w:ascii="宋体" w:hAnsi="宋体"/>
          <w:color w:val="auto"/>
          <w:sz w:val="24"/>
          <w:highlight w:val="none"/>
        </w:rPr>
      </w:pPr>
    </w:p>
    <w:p>
      <w:pPr>
        <w:snapToGrid w:val="0"/>
        <w:spacing w:before="165" w:beforeLines="50" w:after="50"/>
        <w:ind w:firstLine="602" w:firstLineChars="250"/>
        <w:jc w:val="left"/>
        <w:rPr>
          <w:rFonts w:hint="eastAsia" w:ascii="宋体" w:hAnsi="宋体"/>
          <w:b/>
          <w:color w:val="auto"/>
          <w:sz w:val="24"/>
          <w:szCs w:val="20"/>
          <w:highlight w:val="none"/>
        </w:rPr>
      </w:pPr>
    </w:p>
    <w:tbl>
      <w:tblPr>
        <w:tblStyle w:val="38"/>
        <w:tblpPr w:leftFromText="180" w:rightFromText="180" w:vertAnchor="text" w:horzAnchor="margin" w:tblpY="1169"/>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5" w:hRule="atLeast"/>
        </w:trPr>
        <w:tc>
          <w:tcPr>
            <w:tcW w:w="8461" w:type="dxa"/>
          </w:tcPr>
          <w:p>
            <w:pPr>
              <w:spacing w:line="360" w:lineRule="auto"/>
              <w:rPr>
                <w:rFonts w:ascii="宋体"/>
                <w:b/>
                <w:color w:val="auto"/>
                <w:sz w:val="24"/>
                <w:highlight w:val="none"/>
              </w:rPr>
            </w:pPr>
          </w:p>
          <w:p>
            <w:pPr>
              <w:spacing w:line="360" w:lineRule="auto"/>
              <w:rPr>
                <w:rFonts w:ascii="宋体"/>
                <w:b/>
                <w:color w:val="auto"/>
                <w:sz w:val="24"/>
                <w:highlight w:val="none"/>
              </w:rPr>
            </w:pPr>
            <w:r>
              <w:rPr>
                <w:rFonts w:hint="eastAsia" w:ascii="宋体"/>
                <w:b/>
                <w:color w:val="auto"/>
                <w:sz w:val="24"/>
                <w:highlight w:val="none"/>
              </w:rPr>
              <w:t>法定代表身份证复印件粘帖处（正、反面）</w:t>
            </w:r>
          </w:p>
        </w:tc>
      </w:tr>
    </w:tbl>
    <w:p>
      <w:pPr>
        <w:pStyle w:val="21"/>
        <w:snapToGrid w:val="0"/>
        <w:spacing w:before="295" w:after="295" w:line="360" w:lineRule="auto"/>
        <w:jc w:val="center"/>
        <w:rPr>
          <w:rFonts w:hint="eastAsia" w:hAnsi="宋体"/>
          <w:b/>
          <w:color w:val="auto"/>
          <w:sz w:val="24"/>
          <w:highlight w:val="none"/>
        </w:rPr>
      </w:pPr>
      <w:r>
        <w:rPr>
          <w:rFonts w:hint="eastAsia" w:hAnsi="宋体"/>
          <w:b/>
          <w:color w:val="auto"/>
          <w:sz w:val="24"/>
          <w:highlight w:val="none"/>
        </w:rPr>
        <w:t>附件：</w:t>
      </w:r>
      <w:r>
        <w:rPr>
          <w:rFonts w:hAnsi="宋体"/>
          <w:b/>
          <w:color w:val="auto"/>
          <w:sz w:val="24"/>
          <w:highlight w:val="none"/>
        </w:rPr>
        <w:br w:type="page"/>
      </w:r>
      <w:r>
        <w:rPr>
          <w:rFonts w:hint="eastAsia" w:ascii="Times New Roman" w:hAnsi="Times New Roman"/>
          <w:b/>
          <w:bCs/>
          <w:color w:val="auto"/>
          <w:sz w:val="30"/>
          <w:szCs w:val="30"/>
          <w:highlight w:val="none"/>
        </w:rPr>
        <w:t>三、法定代表人授权委托书（如有委托时）</w:t>
      </w:r>
    </w:p>
    <w:p>
      <w:pPr>
        <w:snapToGrid w:val="0"/>
        <w:spacing w:before="165" w:beforeLines="50" w:after="50"/>
        <w:jc w:val="center"/>
        <w:rPr>
          <w:rFonts w:ascii="宋体" w:hAnsi="宋体"/>
          <w:b/>
          <w:color w:val="auto"/>
          <w:sz w:val="32"/>
          <w:szCs w:val="32"/>
          <w:highlight w:val="none"/>
        </w:rPr>
      </w:pPr>
      <w:r>
        <w:rPr>
          <w:rFonts w:hint="eastAsia" w:ascii="宋体" w:hAnsi="宋体"/>
          <w:b/>
          <w:color w:val="auto"/>
          <w:sz w:val="32"/>
          <w:szCs w:val="32"/>
          <w:highlight w:val="none"/>
        </w:rPr>
        <w:t>法定代表人授权委托书</w:t>
      </w:r>
    </w:p>
    <w:p>
      <w:pPr>
        <w:snapToGrid w:val="0"/>
        <w:spacing w:before="165" w:beforeLines="50" w:after="50"/>
        <w:jc w:val="center"/>
        <w:rPr>
          <w:rFonts w:hint="eastAsia" w:ascii="宋体" w:hAnsi="宋体"/>
          <w:b/>
          <w:color w:val="auto"/>
          <w:sz w:val="24"/>
          <w:highlight w:val="none"/>
        </w:rPr>
      </w:pPr>
    </w:p>
    <w:p>
      <w:pPr>
        <w:pStyle w:val="21"/>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w:t>
      </w:r>
      <w:r>
        <w:rPr>
          <w:rFonts w:ascii="Times New Roman" w:hAnsi="Times New Roman"/>
          <w:color w:val="auto"/>
          <w:highlight w:val="none"/>
          <w:u w:val="single"/>
        </w:rPr>
        <w:t xml:space="preserve">                      </w:t>
      </w:r>
      <w:r>
        <w:rPr>
          <w:rFonts w:hint="eastAsia" w:ascii="Times New Roman" w:hAnsi="Times New Roman"/>
          <w:color w:val="auto"/>
          <w:highlight w:val="none"/>
        </w:rPr>
        <w:t>（采购代理机构名称）</w:t>
      </w:r>
    </w:p>
    <w:p>
      <w:pPr>
        <w:pStyle w:val="21"/>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本人</w:t>
      </w:r>
      <w:r>
        <w:rPr>
          <w:rFonts w:ascii="Times New Roman" w:hAnsi="Times New Roman"/>
          <w:color w:val="auto"/>
          <w:highlight w:val="none"/>
          <w:u w:val="single"/>
        </w:rPr>
        <w:t xml:space="preserve">        </w:t>
      </w:r>
      <w:r>
        <w:rPr>
          <w:rFonts w:hint="eastAsia" w:ascii="Times New Roman" w:hAnsi="Times New Roman"/>
          <w:color w:val="auto"/>
          <w:highlight w:val="none"/>
        </w:rPr>
        <w:t>（姓名）系</w:t>
      </w:r>
      <w:r>
        <w:rPr>
          <w:rFonts w:ascii="Times New Roman" w:hAnsi="Times New Roman"/>
          <w:color w:val="auto"/>
          <w:highlight w:val="none"/>
          <w:u w:val="single"/>
        </w:rPr>
        <w:t xml:space="preserve">                 </w:t>
      </w:r>
      <w:r>
        <w:rPr>
          <w:rFonts w:hint="eastAsia" w:ascii="Times New Roman" w:hAnsi="Times New Roman"/>
          <w:color w:val="auto"/>
          <w:highlight w:val="none"/>
        </w:rPr>
        <w:t>（投标人名称）的法定代表人，现授权我单位在职正式员工</w:t>
      </w:r>
      <w:r>
        <w:rPr>
          <w:rFonts w:ascii="Times New Roman" w:hAnsi="Times New Roman"/>
          <w:color w:val="auto"/>
          <w:highlight w:val="none"/>
          <w:u w:val="single"/>
        </w:rPr>
        <w:t xml:space="preserve">        </w:t>
      </w:r>
      <w:r>
        <w:rPr>
          <w:rFonts w:hint="eastAsia" w:ascii="Times New Roman" w:hAnsi="Times New Roman"/>
          <w:color w:val="auto"/>
          <w:highlight w:val="none"/>
        </w:rPr>
        <w:t>（姓名和职务）为我方代理人。代理人根据授权，以我方名义签署、澄清、说明、补正、递交、撤回、修改贵方组织的</w:t>
      </w:r>
      <w:r>
        <w:rPr>
          <w:rFonts w:hint="eastAsia"/>
          <w:color w:val="auto"/>
          <w:highlight w:val="none"/>
          <w:u w:val="single"/>
        </w:rPr>
        <w:t xml:space="preserve">                </w:t>
      </w:r>
      <w:r>
        <w:rPr>
          <w:rFonts w:hint="eastAsia"/>
          <w:color w:val="auto"/>
          <w:highlight w:val="none"/>
        </w:rPr>
        <w:t>项目（项目编号：</w:t>
      </w:r>
      <w:r>
        <w:rPr>
          <w:rFonts w:hint="eastAsia" w:hAnsi="宋体"/>
          <w:color w:val="auto"/>
          <w:highlight w:val="none"/>
          <w:u w:val="single"/>
        </w:rPr>
        <w:t xml:space="preserve">             </w:t>
      </w:r>
      <w:r>
        <w:rPr>
          <w:rFonts w:hint="eastAsia"/>
          <w:color w:val="auto"/>
          <w:highlight w:val="none"/>
        </w:rPr>
        <w:t>）</w:t>
      </w:r>
      <w:r>
        <w:rPr>
          <w:rFonts w:hint="eastAsia" w:ascii="Times New Roman" w:hAnsi="Times New Roman"/>
          <w:color w:val="auto"/>
          <w:highlight w:val="none"/>
        </w:rPr>
        <w:t>的投标文件、签订合同和处理一切有关事宜，其法律后果由我方承担。</w:t>
      </w:r>
    </w:p>
    <w:p>
      <w:pPr>
        <w:pStyle w:val="21"/>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本授权书于</w:t>
      </w:r>
      <w:r>
        <w:rPr>
          <w:rFonts w:hint="eastAsia"/>
          <w:color w:val="auto"/>
          <w:spacing w:val="10"/>
          <w:sz w:val="24"/>
          <w:highlight w:val="none"/>
          <w:u w:val="single"/>
        </w:rPr>
        <w:t xml:space="preserve">    </w:t>
      </w:r>
      <w:r>
        <w:rPr>
          <w:rFonts w:hint="eastAsia" w:ascii="Times New Roman" w:hAnsi="Times New Roman"/>
          <w:color w:val="auto"/>
          <w:highlight w:val="none"/>
        </w:rPr>
        <w:t>年</w:t>
      </w:r>
      <w:r>
        <w:rPr>
          <w:rFonts w:hint="eastAsia"/>
          <w:color w:val="auto"/>
          <w:spacing w:val="10"/>
          <w:sz w:val="24"/>
          <w:highlight w:val="none"/>
          <w:u w:val="single"/>
        </w:rPr>
        <w:t xml:space="preserve">    </w:t>
      </w:r>
      <w:r>
        <w:rPr>
          <w:rFonts w:hint="eastAsia" w:ascii="Times New Roman" w:hAnsi="Times New Roman"/>
          <w:color w:val="auto"/>
          <w:highlight w:val="none"/>
        </w:rPr>
        <w:t>月</w:t>
      </w:r>
      <w:r>
        <w:rPr>
          <w:rFonts w:hint="eastAsia"/>
          <w:color w:val="auto"/>
          <w:spacing w:val="10"/>
          <w:sz w:val="24"/>
          <w:highlight w:val="none"/>
          <w:u w:val="single"/>
        </w:rPr>
        <w:t xml:space="preserve">    </w:t>
      </w:r>
      <w:r>
        <w:rPr>
          <w:rFonts w:hint="eastAsia" w:ascii="Times New Roman" w:hAnsi="Times New Roman"/>
          <w:color w:val="auto"/>
          <w:highlight w:val="none"/>
        </w:rPr>
        <w:t>日签字生效，委托期限：</w:t>
      </w:r>
      <w:r>
        <w:rPr>
          <w:rFonts w:hint="eastAsia"/>
          <w:color w:val="auto"/>
          <w:spacing w:val="10"/>
          <w:sz w:val="24"/>
          <w:highlight w:val="none"/>
          <w:u w:val="single"/>
        </w:rPr>
        <w:t xml:space="preserve">    </w:t>
      </w:r>
      <w:r>
        <w:rPr>
          <w:rFonts w:hint="eastAsia" w:ascii="Times New Roman" w:hAnsi="Times New Roman"/>
          <w:color w:val="auto"/>
          <w:highlight w:val="none"/>
        </w:rPr>
        <w:t>。</w:t>
      </w:r>
    </w:p>
    <w:p>
      <w:pPr>
        <w:pStyle w:val="21"/>
        <w:spacing w:line="360" w:lineRule="auto"/>
        <w:ind w:firstLine="420"/>
        <w:rPr>
          <w:rFonts w:ascii="Times New Roman" w:hAnsi="Times New Roman"/>
          <w:color w:val="auto"/>
          <w:highlight w:val="none"/>
        </w:rPr>
      </w:pPr>
      <w:r>
        <w:rPr>
          <w:rFonts w:hint="eastAsia" w:ascii="Times New Roman" w:hAnsi="Times New Roman"/>
          <w:color w:val="auto"/>
          <w:highlight w:val="none"/>
        </w:rPr>
        <w:t>代理人无转委托权。</w:t>
      </w:r>
    </w:p>
    <w:p>
      <w:pPr>
        <w:pStyle w:val="21"/>
        <w:spacing w:line="360" w:lineRule="auto"/>
        <w:ind w:firstLine="420"/>
        <w:rPr>
          <w:rFonts w:ascii="Times New Roman" w:hAnsi="Times New Roman"/>
          <w:color w:val="auto"/>
          <w:highlight w:val="none"/>
        </w:rPr>
      </w:pPr>
    </w:p>
    <w:p>
      <w:pPr>
        <w:pStyle w:val="21"/>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投标人（或联合体投标</w:t>
      </w:r>
      <w:r>
        <w:rPr>
          <w:rFonts w:hint="eastAsia" w:cs="宋体"/>
          <w:color w:val="auto"/>
          <w:kern w:val="0"/>
          <w:szCs w:val="21"/>
          <w:highlight w:val="none"/>
        </w:rPr>
        <w:t>牵头人名称</w:t>
      </w:r>
      <w:r>
        <w:rPr>
          <w:rFonts w:hint="eastAsia" w:ascii="Times New Roman" w:hAnsi="Times New Roman"/>
          <w:color w:val="auto"/>
          <w:highlight w:val="none"/>
        </w:rPr>
        <w:t>）（盖单位公章）：</w:t>
      </w:r>
      <w:r>
        <w:rPr>
          <w:rFonts w:ascii="Times New Roman" w:hAnsi="Times New Roman"/>
          <w:color w:val="auto"/>
          <w:highlight w:val="none"/>
          <w:u w:val="single"/>
        </w:rPr>
        <w:t xml:space="preserve">                                    </w:t>
      </w:r>
    </w:p>
    <w:p>
      <w:pPr>
        <w:pStyle w:val="21"/>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法定代表人（签字）：</w:t>
      </w:r>
      <w:r>
        <w:rPr>
          <w:rFonts w:ascii="Times New Roman" w:hAnsi="Times New Roman"/>
          <w:color w:val="auto"/>
          <w:highlight w:val="none"/>
          <w:u w:val="single"/>
        </w:rPr>
        <w:t xml:space="preserve">                                </w:t>
      </w:r>
    </w:p>
    <w:p>
      <w:pPr>
        <w:pStyle w:val="21"/>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法定代表人身份证号码：</w:t>
      </w:r>
      <w:r>
        <w:rPr>
          <w:rFonts w:ascii="Times New Roman" w:hAnsi="Times New Roman"/>
          <w:color w:val="auto"/>
          <w:highlight w:val="none"/>
          <w:u w:val="single"/>
        </w:rPr>
        <w:t xml:space="preserve">                                   </w:t>
      </w:r>
    </w:p>
    <w:p>
      <w:pPr>
        <w:pStyle w:val="21"/>
        <w:spacing w:line="360" w:lineRule="auto"/>
        <w:ind w:firstLine="420" w:firstLineChars="200"/>
        <w:rPr>
          <w:rFonts w:ascii="Times New Roman" w:hAnsi="Times New Roman"/>
          <w:color w:val="auto"/>
          <w:highlight w:val="none"/>
        </w:rPr>
      </w:pPr>
      <w:r>
        <w:rPr>
          <w:rFonts w:hint="eastAsia" w:ascii="Times New Roman" w:hAnsi="Times New Roman"/>
          <w:color w:val="auto"/>
          <w:highlight w:val="none"/>
        </w:rPr>
        <w:t>委托代理人（签字）：</w:t>
      </w:r>
      <w:r>
        <w:rPr>
          <w:rFonts w:ascii="Times New Roman" w:hAnsi="Times New Roman"/>
          <w:color w:val="auto"/>
          <w:highlight w:val="none"/>
          <w:u w:val="single"/>
        </w:rPr>
        <w:t xml:space="preserve">                                </w:t>
      </w:r>
    </w:p>
    <w:p>
      <w:pPr>
        <w:pStyle w:val="21"/>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委托代理人身份证号码：</w:t>
      </w:r>
      <w:r>
        <w:rPr>
          <w:rFonts w:ascii="Times New Roman" w:hAnsi="Times New Roman"/>
          <w:color w:val="auto"/>
          <w:highlight w:val="none"/>
          <w:u w:val="single"/>
        </w:rPr>
        <w:t xml:space="preserve">                                   </w:t>
      </w:r>
    </w:p>
    <w:p>
      <w:pPr>
        <w:pStyle w:val="21"/>
        <w:spacing w:line="360" w:lineRule="auto"/>
        <w:ind w:firstLine="420"/>
        <w:rPr>
          <w:rFonts w:ascii="Times New Roman" w:hAnsi="Times New Roman"/>
          <w:color w:val="auto"/>
          <w:highlight w:val="none"/>
          <w:u w:val="single"/>
        </w:rPr>
      </w:pPr>
    </w:p>
    <w:p>
      <w:pPr>
        <w:pStyle w:val="21"/>
        <w:spacing w:line="360" w:lineRule="auto"/>
        <w:ind w:firstLine="420"/>
        <w:rPr>
          <w:rFonts w:ascii="Times New Roman" w:hAnsi="Times New Roman"/>
          <w:color w:val="auto"/>
          <w:highlight w:val="none"/>
          <w:u w:val="single"/>
        </w:rPr>
      </w:pPr>
      <w:r>
        <w:rPr>
          <w:rFonts w:hint="eastAsia" w:cs="宋体"/>
          <w:color w:val="auto"/>
          <w:kern w:val="0"/>
          <w:szCs w:val="21"/>
          <w:highlight w:val="none"/>
        </w:rPr>
        <w:t>成员一名称：</w:t>
      </w:r>
      <w:r>
        <w:rPr>
          <w:rFonts w:hint="eastAsia" w:ascii="Times New Roman" w:hAnsi="Times New Roman"/>
          <w:color w:val="auto"/>
          <w:highlight w:val="none"/>
        </w:rPr>
        <w:t>（盖单位公章）：</w:t>
      </w:r>
      <w:r>
        <w:rPr>
          <w:rFonts w:ascii="Times New Roman" w:hAnsi="Times New Roman"/>
          <w:color w:val="auto"/>
          <w:highlight w:val="none"/>
          <w:u w:val="single"/>
        </w:rPr>
        <w:t xml:space="preserve">                                    </w:t>
      </w:r>
    </w:p>
    <w:p>
      <w:pPr>
        <w:pStyle w:val="21"/>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法定代表人（签字）：</w:t>
      </w:r>
      <w:r>
        <w:rPr>
          <w:rFonts w:ascii="Times New Roman" w:hAnsi="Times New Roman"/>
          <w:color w:val="auto"/>
          <w:highlight w:val="none"/>
          <w:u w:val="single"/>
        </w:rPr>
        <w:t xml:space="preserve">                                </w:t>
      </w:r>
    </w:p>
    <w:p>
      <w:pPr>
        <w:pStyle w:val="21"/>
        <w:spacing w:line="360" w:lineRule="auto"/>
        <w:ind w:firstLine="420"/>
        <w:rPr>
          <w:rFonts w:ascii="Times New Roman" w:hAnsi="Times New Roman"/>
          <w:color w:val="auto"/>
          <w:highlight w:val="none"/>
          <w:u w:val="single"/>
        </w:rPr>
      </w:pPr>
    </w:p>
    <w:p>
      <w:pPr>
        <w:autoSpaceDE w:val="0"/>
        <w:autoSpaceDN w:val="0"/>
        <w:adjustRightInd w:val="0"/>
        <w:spacing w:line="360" w:lineRule="auto"/>
        <w:ind w:firstLine="420" w:firstLineChars="200"/>
        <w:jc w:val="left"/>
        <w:rPr>
          <w:rFonts w:ascii="宋体" w:cs="宋体"/>
          <w:color w:val="auto"/>
          <w:kern w:val="0"/>
          <w:szCs w:val="21"/>
          <w:highlight w:val="none"/>
        </w:rPr>
      </w:pPr>
      <w:r>
        <w:rPr>
          <w:rFonts w:hint="eastAsia" w:ascii="宋体" w:cs="宋体"/>
          <w:color w:val="auto"/>
          <w:kern w:val="0"/>
          <w:szCs w:val="21"/>
          <w:highlight w:val="none"/>
        </w:rPr>
        <w:t>成员二名称：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autoSpaceDE w:val="0"/>
        <w:autoSpaceDN w:val="0"/>
        <w:adjustRightInd w:val="0"/>
        <w:spacing w:line="360" w:lineRule="auto"/>
        <w:ind w:firstLine="420" w:firstLineChars="200"/>
        <w:jc w:val="left"/>
        <w:rPr>
          <w:rFonts w:hint="eastAsia"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w:t>
      </w:r>
    </w:p>
    <w:p>
      <w:pPr>
        <w:pStyle w:val="21"/>
        <w:ind w:firstLine="420" w:firstLineChars="200"/>
        <w:rPr>
          <w:rFonts w:hint="eastAsia"/>
          <w:color w:val="auto"/>
          <w:highlight w:val="none"/>
        </w:rPr>
      </w:pPr>
      <w:r>
        <w:rPr>
          <w:rFonts w:hint="eastAsia"/>
          <w:color w:val="auto"/>
          <w:highlight w:val="none"/>
        </w:rPr>
        <w:t>......</w:t>
      </w:r>
    </w:p>
    <w:p>
      <w:pPr>
        <w:spacing w:line="36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注：</w:t>
      </w:r>
    </w:p>
    <w:p>
      <w:pPr>
        <w:spacing w:line="36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1.法定代表人和委托代理人必须在授权委托书上亲笔签名，不得使用印章、签名章或者其他电子制版签名代替，</w:t>
      </w:r>
      <w:r>
        <w:rPr>
          <w:rFonts w:hint="eastAsia" w:ascii="仿宋_GB2312" w:hAnsi="仿宋_GB2312" w:eastAsia="仿宋_GB2312" w:cs="仿宋_GB2312"/>
          <w:b/>
          <w:bCs/>
          <w:color w:val="auto"/>
          <w:szCs w:val="21"/>
          <w:highlight w:val="none"/>
        </w:rPr>
        <w:t>否则作无效投标处理</w:t>
      </w:r>
      <w:r>
        <w:rPr>
          <w:rFonts w:hint="eastAsia" w:ascii="仿宋_GB2312" w:hAnsi="仿宋_GB2312" w:eastAsia="仿宋_GB2312" w:cs="仿宋_GB2312"/>
          <w:color w:val="auto"/>
          <w:szCs w:val="21"/>
          <w:highlight w:val="none"/>
        </w:rPr>
        <w:t>；</w:t>
      </w:r>
    </w:p>
    <w:p>
      <w:pPr>
        <w:spacing w:line="360" w:lineRule="auto"/>
        <w:jc w:val="lef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2.以联合体形式投标的，本授权委托书应由联合体牵头人的法定代表人按上述规定签署。</w:t>
      </w:r>
    </w:p>
    <w:p>
      <w:pPr>
        <w:snapToGrid w:val="0"/>
        <w:spacing w:before="50" w:after="165" w:afterLines="50" w:line="360" w:lineRule="auto"/>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w:t>
      </w:r>
      <w:r>
        <w:rPr>
          <w:rFonts w:ascii="仿宋_GB2312" w:hAnsi="仿宋_GB2312" w:eastAsia="仿宋_GB2312" w:cs="仿宋_GB2312"/>
          <w:color w:val="auto"/>
          <w:szCs w:val="21"/>
          <w:highlight w:val="none"/>
        </w:rPr>
        <w:t>.</w:t>
      </w:r>
      <w:r>
        <w:rPr>
          <w:rFonts w:hint="eastAsia" w:ascii="仿宋_GB2312" w:hAnsi="仿宋_GB2312" w:eastAsia="仿宋_GB2312" w:cs="仿宋_GB2312"/>
          <w:color w:val="auto"/>
          <w:szCs w:val="21"/>
          <w:highlight w:val="none"/>
        </w:rPr>
        <w:t xml:space="preserve"> 供应商为其他组织或者自然人时，本招标文件规定的法定代表人指负责人或者自然人。本招标文件所称负责人是指参加投标的其他组织营业执照上的负责人，本招标文件所称自然人指参与投标的自然人本人。</w:t>
      </w:r>
    </w:p>
    <w:p>
      <w:pPr>
        <w:snapToGrid w:val="0"/>
        <w:spacing w:before="50" w:after="165" w:afterLines="50" w:line="360" w:lineRule="auto"/>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4. 若为联合体投标须各方签字或盖章。</w:t>
      </w:r>
    </w:p>
    <w:p>
      <w:pPr>
        <w:spacing w:line="360" w:lineRule="auto"/>
        <w:rPr>
          <w:rFonts w:hint="eastAsia" w:ascii="宋体"/>
          <w:b/>
          <w:color w:val="auto"/>
          <w:sz w:val="24"/>
          <w:highlight w:val="none"/>
        </w:rPr>
      </w:pPr>
    </w:p>
    <w:p>
      <w:pPr>
        <w:spacing w:line="360" w:lineRule="auto"/>
        <w:rPr>
          <w:b/>
          <w:color w:val="auto"/>
          <w:sz w:val="24"/>
          <w:highlight w:val="none"/>
        </w:rPr>
      </w:pPr>
      <w:r>
        <w:rPr>
          <w:rFonts w:hint="eastAsia" w:ascii="宋体"/>
          <w:b/>
          <w:color w:val="auto"/>
          <w:sz w:val="24"/>
          <w:highlight w:val="none"/>
        </w:rPr>
        <w:t>附件：</w:t>
      </w:r>
    </w:p>
    <w:tbl>
      <w:tblPr>
        <w:tblStyle w:val="38"/>
        <w:tblpPr w:leftFromText="180" w:rightFromText="180" w:vertAnchor="text" w:horzAnchor="margin" w:tblpY="263"/>
        <w:tblW w:w="7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0" w:hRule="atLeast"/>
        </w:trPr>
        <w:tc>
          <w:tcPr>
            <w:tcW w:w="7985" w:type="dxa"/>
          </w:tcPr>
          <w:p>
            <w:pPr>
              <w:spacing w:line="360" w:lineRule="auto"/>
              <w:rPr>
                <w:rFonts w:ascii="宋体"/>
                <w:b/>
                <w:color w:val="auto"/>
                <w:sz w:val="24"/>
                <w:highlight w:val="none"/>
              </w:rPr>
            </w:pPr>
          </w:p>
          <w:p>
            <w:pPr>
              <w:spacing w:line="360" w:lineRule="auto"/>
              <w:rPr>
                <w:rFonts w:ascii="宋体"/>
                <w:b/>
                <w:color w:val="auto"/>
                <w:sz w:val="24"/>
                <w:highlight w:val="none"/>
              </w:rPr>
            </w:pPr>
            <w:r>
              <w:rPr>
                <w:rFonts w:hint="eastAsia" w:ascii="宋体"/>
                <w:b/>
                <w:color w:val="auto"/>
                <w:sz w:val="24"/>
                <w:highlight w:val="none"/>
              </w:rPr>
              <w:t>全权代表身份证复印件粘帖处（正、反面）</w:t>
            </w:r>
          </w:p>
        </w:tc>
      </w:tr>
    </w:tbl>
    <w:p>
      <w:pPr>
        <w:snapToGrid w:val="0"/>
        <w:spacing w:before="50" w:after="165" w:afterLines="50" w:line="360" w:lineRule="auto"/>
        <w:jc w:val="left"/>
        <w:rPr>
          <w:rFonts w:ascii="仿宋_GB2312" w:hAnsi="仿宋_GB2312" w:eastAsia="仿宋_GB2312" w:cs="仿宋_GB2312"/>
          <w:color w:val="auto"/>
          <w:szCs w:val="21"/>
          <w:highlight w:val="none"/>
        </w:rPr>
      </w:pPr>
    </w:p>
    <w:p>
      <w:pPr>
        <w:snapToGrid w:val="0"/>
        <w:spacing w:before="165" w:beforeLines="50" w:after="50"/>
        <w:ind w:firstLine="566" w:firstLineChars="236"/>
        <w:jc w:val="center"/>
        <w:rPr>
          <w:rFonts w:ascii="宋体" w:hAnsi="宋体"/>
          <w:color w:val="auto"/>
          <w:highlight w:val="none"/>
        </w:rPr>
      </w:pPr>
      <w:r>
        <w:rPr>
          <w:rFonts w:ascii="宋体" w:hAnsi="宋体"/>
          <w:color w:val="auto"/>
          <w:sz w:val="24"/>
          <w:highlight w:val="none"/>
        </w:rPr>
        <w:t xml:space="preserve"> </w:t>
      </w:r>
      <w:r>
        <w:rPr>
          <w:rFonts w:ascii="宋体" w:hAnsi="宋体"/>
          <w:color w:val="auto"/>
          <w:sz w:val="24"/>
          <w:highlight w:val="none"/>
        </w:rPr>
        <w:br w:type="page"/>
      </w:r>
    </w:p>
    <w:p>
      <w:pPr>
        <w:jc w:val="center"/>
        <w:rPr>
          <w:rFonts w:hint="eastAsia"/>
          <w:b/>
          <w:bCs/>
          <w:color w:val="auto"/>
          <w:sz w:val="30"/>
          <w:szCs w:val="30"/>
          <w:highlight w:val="none"/>
        </w:rPr>
      </w:pPr>
      <w:r>
        <w:rPr>
          <w:rFonts w:hint="eastAsia"/>
          <w:b/>
          <w:bCs/>
          <w:color w:val="auto"/>
          <w:sz w:val="30"/>
          <w:szCs w:val="30"/>
          <w:highlight w:val="none"/>
        </w:rPr>
        <w:t>四、商务条款偏离表</w:t>
      </w:r>
    </w:p>
    <w:p>
      <w:pPr>
        <w:jc w:val="center"/>
        <w:rPr>
          <w:rFonts w:hint="eastAsia" w:ascii="宋体" w:hAnsi="宋体"/>
          <w:b/>
          <w:color w:val="auto"/>
          <w:sz w:val="24"/>
          <w:szCs w:val="20"/>
          <w:highlight w:val="none"/>
        </w:rPr>
      </w:pPr>
      <w:r>
        <w:rPr>
          <w:rFonts w:hint="eastAsia" w:ascii="宋体" w:hAnsi="宋体"/>
          <w:color w:val="auto"/>
          <w:sz w:val="30"/>
          <w:szCs w:val="20"/>
          <w:highlight w:val="none"/>
        </w:rPr>
        <w:t>(注：按项目需求表具体项目修改)</w:t>
      </w:r>
    </w:p>
    <w:p>
      <w:pPr>
        <w:snapToGrid w:val="0"/>
        <w:spacing w:before="50"/>
        <w:jc w:val="left"/>
        <w:rPr>
          <w:rFonts w:hint="eastAsia" w:ascii="宋体" w:hAnsi="宋体"/>
          <w:color w:val="auto"/>
          <w:sz w:val="24"/>
          <w:highlight w:val="none"/>
        </w:rPr>
      </w:pPr>
    </w:p>
    <w:p>
      <w:pPr>
        <w:pStyle w:val="21"/>
        <w:spacing w:line="360" w:lineRule="auto"/>
        <w:ind w:left="-424" w:leftChars="-202" w:firstLine="846"/>
        <w:rPr>
          <w:rFonts w:hint="eastAsia" w:hAnsi="宋体"/>
          <w:color w:val="auto"/>
          <w:sz w:val="24"/>
          <w:szCs w:val="24"/>
          <w:highlight w:val="none"/>
        </w:rPr>
      </w:pPr>
      <w:r>
        <w:rPr>
          <w:rFonts w:hint="eastAsia" w:ascii="Times New Roman" w:hAnsi="Times New Roman"/>
          <w:color w:val="auto"/>
          <w:highlight w:val="none"/>
        </w:rPr>
        <w:t>请逐条对应本项目招标文件第二章“服务需求一览表”中“商务条款”的要求，详细填写相应的具体内容。“偏离说明”一栏应当选择“正偏离”、“负偏离”或“无偏离”进行填写。</w:t>
      </w:r>
    </w:p>
    <w:tbl>
      <w:tblPr>
        <w:tblStyle w:val="38"/>
        <w:tblpPr w:leftFromText="180" w:rightFromText="180" w:vertAnchor="text" w:horzAnchor="margin" w:tblpXSpec="center" w:tblpY="9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项号</w:t>
            </w:r>
          </w:p>
        </w:tc>
        <w:tc>
          <w:tcPr>
            <w:tcW w:w="39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招标文件的商务需求</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投标文件承诺的商务条款</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auto"/>
                <w:szCs w:val="21"/>
                <w:highlight w:val="none"/>
              </w:rPr>
            </w:pPr>
            <w:r>
              <w:rPr>
                <w:rFonts w:hint="eastAsia" w:ascii="宋体" w:hAnsi="宋体"/>
                <w:color w:val="auto"/>
                <w:szCs w:val="21"/>
                <w:highlight w:val="none"/>
              </w:rPr>
              <w:t>一</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auto"/>
                <w:szCs w:val="21"/>
                <w:highlight w:val="none"/>
              </w:rPr>
            </w:pPr>
            <w:r>
              <w:rPr>
                <w:rFonts w:hint="eastAsia" w:ascii="宋体" w:hAnsi="宋体"/>
                <w:color w:val="auto"/>
                <w:szCs w:val="21"/>
                <w:highlight w:val="none"/>
              </w:rPr>
              <w:t>1  ……</w:t>
            </w:r>
          </w:p>
          <w:p>
            <w:pPr>
              <w:spacing w:line="340" w:lineRule="exact"/>
              <w:rPr>
                <w:rFonts w:hint="eastAsia" w:ascii="宋体" w:hAnsi="宋体"/>
                <w:color w:val="auto"/>
                <w:szCs w:val="21"/>
                <w:highlight w:val="none"/>
              </w:rPr>
            </w:pPr>
            <w:r>
              <w:rPr>
                <w:rFonts w:hint="eastAsia" w:ascii="宋体" w:hAnsi="宋体"/>
                <w:color w:val="auto"/>
                <w:szCs w:val="21"/>
                <w:highlight w:val="none"/>
              </w:rPr>
              <w:t>2  ……</w:t>
            </w:r>
          </w:p>
          <w:p>
            <w:pPr>
              <w:spacing w:line="340" w:lineRule="exact"/>
              <w:rPr>
                <w:rFonts w:hint="eastAsia" w:ascii="宋体" w:hAnsi="宋体"/>
                <w:color w:val="auto"/>
                <w:szCs w:val="21"/>
                <w:highlight w:val="none"/>
              </w:rPr>
            </w:pPr>
            <w:r>
              <w:rPr>
                <w:rFonts w:hint="eastAsia" w:ascii="宋体" w:hAnsi="宋体"/>
                <w:color w:val="auto"/>
                <w:szCs w:val="21"/>
                <w:highlight w:val="none"/>
              </w:rPr>
              <w:t>3  ……</w:t>
            </w:r>
          </w:p>
          <w:p>
            <w:pPr>
              <w:spacing w:line="340" w:lineRule="exact"/>
              <w:rPr>
                <w:rFonts w:ascii="宋体" w:hAnsi="宋体"/>
                <w:color w:val="auto"/>
                <w:szCs w:val="21"/>
                <w:highlight w:val="none"/>
              </w:rPr>
            </w:pPr>
            <w:r>
              <w:rPr>
                <w:rFonts w:hint="eastAsia" w:ascii="宋体" w:hAnsi="宋体"/>
                <w:color w:val="auto"/>
                <w:szCs w:val="21"/>
                <w:highlight w:val="none"/>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auto"/>
                <w:szCs w:val="21"/>
                <w:highlight w:val="none"/>
              </w:rPr>
            </w:pPr>
            <w:r>
              <w:rPr>
                <w:rFonts w:hint="eastAsia" w:ascii="宋体" w:hAnsi="宋体"/>
                <w:color w:val="auto"/>
                <w:szCs w:val="21"/>
                <w:highlight w:val="none"/>
              </w:rPr>
              <w:t>1  ……</w:t>
            </w:r>
          </w:p>
          <w:p>
            <w:pPr>
              <w:spacing w:line="340" w:lineRule="exact"/>
              <w:rPr>
                <w:rFonts w:hint="eastAsia" w:ascii="宋体" w:hAnsi="宋体"/>
                <w:color w:val="auto"/>
                <w:szCs w:val="21"/>
                <w:highlight w:val="none"/>
              </w:rPr>
            </w:pPr>
            <w:r>
              <w:rPr>
                <w:rFonts w:hint="eastAsia" w:ascii="宋体" w:hAnsi="宋体"/>
                <w:color w:val="auto"/>
                <w:szCs w:val="21"/>
                <w:highlight w:val="none"/>
              </w:rPr>
              <w:t>2  ……</w:t>
            </w:r>
          </w:p>
          <w:p>
            <w:pPr>
              <w:spacing w:line="340" w:lineRule="exact"/>
              <w:rPr>
                <w:rFonts w:hint="eastAsia" w:ascii="宋体" w:hAnsi="宋体"/>
                <w:color w:val="auto"/>
                <w:szCs w:val="21"/>
                <w:highlight w:val="none"/>
              </w:rPr>
            </w:pPr>
            <w:r>
              <w:rPr>
                <w:rFonts w:hint="eastAsia" w:ascii="宋体" w:hAnsi="宋体"/>
                <w:color w:val="auto"/>
                <w:szCs w:val="21"/>
                <w:highlight w:val="none"/>
              </w:rPr>
              <w:t>3  ……</w:t>
            </w:r>
          </w:p>
          <w:p>
            <w:pPr>
              <w:spacing w:line="340" w:lineRule="exact"/>
              <w:rPr>
                <w:rFonts w:ascii="宋体" w:hAnsi="宋体"/>
                <w:color w:val="auto"/>
                <w:szCs w:val="21"/>
                <w:highlight w:val="none"/>
              </w:rPr>
            </w:pPr>
            <w:r>
              <w:rPr>
                <w:rFonts w:hint="eastAsia" w:ascii="宋体" w:hAnsi="宋体"/>
                <w:color w:val="auto"/>
                <w:szCs w:val="21"/>
                <w:highlight w:val="none"/>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szCs w:val="21"/>
                <w:highlight w:val="none"/>
              </w:rPr>
            </w:pPr>
            <w:r>
              <w:rPr>
                <w:rFonts w:hint="eastAsia" w:ascii="宋体" w:hAnsi="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auto"/>
                <w:szCs w:val="21"/>
                <w:highlight w:val="none"/>
              </w:rPr>
            </w:pPr>
            <w:r>
              <w:rPr>
                <w:rFonts w:hint="eastAsia" w:ascii="宋体" w:hAnsi="宋体"/>
                <w:color w:val="auto"/>
                <w:szCs w:val="21"/>
                <w:highlight w:val="none"/>
              </w:rPr>
              <w:t>二</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auto"/>
                <w:szCs w:val="21"/>
                <w:highlight w:val="none"/>
              </w:rPr>
            </w:pPr>
            <w:r>
              <w:rPr>
                <w:rFonts w:hint="eastAsia" w:ascii="宋体" w:hAnsi="宋体"/>
                <w:color w:val="auto"/>
                <w:szCs w:val="21"/>
                <w:highlight w:val="none"/>
              </w:rPr>
              <w:t>1  ……</w:t>
            </w:r>
          </w:p>
          <w:p>
            <w:pPr>
              <w:spacing w:line="340" w:lineRule="exact"/>
              <w:rPr>
                <w:rFonts w:hint="eastAsia" w:ascii="宋体" w:hAnsi="宋体"/>
                <w:color w:val="auto"/>
                <w:szCs w:val="21"/>
                <w:highlight w:val="none"/>
              </w:rPr>
            </w:pPr>
            <w:r>
              <w:rPr>
                <w:rFonts w:hint="eastAsia" w:ascii="宋体" w:hAnsi="宋体"/>
                <w:color w:val="auto"/>
                <w:szCs w:val="21"/>
                <w:highlight w:val="none"/>
              </w:rPr>
              <w:t>2  ……</w:t>
            </w:r>
          </w:p>
          <w:p>
            <w:pPr>
              <w:spacing w:line="340" w:lineRule="exact"/>
              <w:rPr>
                <w:rFonts w:hint="eastAsia" w:ascii="宋体" w:hAnsi="宋体"/>
                <w:color w:val="auto"/>
                <w:szCs w:val="21"/>
                <w:highlight w:val="none"/>
              </w:rPr>
            </w:pPr>
            <w:r>
              <w:rPr>
                <w:rFonts w:hint="eastAsia" w:ascii="宋体" w:hAnsi="宋体"/>
                <w:color w:val="auto"/>
                <w:szCs w:val="21"/>
                <w:highlight w:val="none"/>
              </w:rPr>
              <w:t>3  ……</w:t>
            </w:r>
          </w:p>
          <w:p>
            <w:pPr>
              <w:spacing w:line="340" w:lineRule="exact"/>
              <w:rPr>
                <w:rFonts w:ascii="宋体" w:hAnsi="宋体"/>
                <w:color w:val="auto"/>
                <w:szCs w:val="21"/>
                <w:highlight w:val="none"/>
              </w:rPr>
            </w:pPr>
            <w:r>
              <w:rPr>
                <w:rFonts w:hint="eastAsia" w:ascii="宋体" w:hAnsi="宋体"/>
                <w:color w:val="auto"/>
                <w:szCs w:val="21"/>
                <w:highlight w:val="none"/>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auto"/>
                <w:szCs w:val="21"/>
                <w:highlight w:val="none"/>
              </w:rPr>
            </w:pPr>
            <w:r>
              <w:rPr>
                <w:rFonts w:hint="eastAsia" w:ascii="宋体" w:hAnsi="宋体"/>
                <w:color w:val="auto"/>
                <w:szCs w:val="21"/>
                <w:highlight w:val="none"/>
              </w:rPr>
              <w:t>1  ……</w:t>
            </w:r>
          </w:p>
          <w:p>
            <w:pPr>
              <w:spacing w:line="340" w:lineRule="exact"/>
              <w:rPr>
                <w:rFonts w:hint="eastAsia" w:ascii="宋体" w:hAnsi="宋体"/>
                <w:color w:val="auto"/>
                <w:szCs w:val="21"/>
                <w:highlight w:val="none"/>
              </w:rPr>
            </w:pPr>
            <w:r>
              <w:rPr>
                <w:rFonts w:hint="eastAsia" w:ascii="宋体" w:hAnsi="宋体"/>
                <w:color w:val="auto"/>
                <w:szCs w:val="21"/>
                <w:highlight w:val="none"/>
              </w:rPr>
              <w:t>2  ……</w:t>
            </w:r>
          </w:p>
          <w:p>
            <w:pPr>
              <w:spacing w:line="340" w:lineRule="exact"/>
              <w:rPr>
                <w:rFonts w:hint="eastAsia" w:ascii="宋体" w:hAnsi="宋体"/>
                <w:color w:val="auto"/>
                <w:szCs w:val="21"/>
                <w:highlight w:val="none"/>
              </w:rPr>
            </w:pPr>
            <w:r>
              <w:rPr>
                <w:rFonts w:hint="eastAsia" w:ascii="宋体" w:hAnsi="宋体"/>
                <w:color w:val="auto"/>
                <w:szCs w:val="21"/>
                <w:highlight w:val="none"/>
              </w:rPr>
              <w:t>3  ……</w:t>
            </w:r>
          </w:p>
          <w:p>
            <w:pPr>
              <w:spacing w:line="340" w:lineRule="exact"/>
              <w:rPr>
                <w:rFonts w:ascii="宋体" w:hAnsi="宋体"/>
                <w:color w:val="auto"/>
                <w:szCs w:val="21"/>
                <w:highlight w:val="none"/>
              </w:rPr>
            </w:pPr>
            <w:r>
              <w:rPr>
                <w:rFonts w:hint="eastAsia" w:ascii="宋体" w:hAnsi="宋体"/>
                <w:color w:val="auto"/>
                <w:szCs w:val="21"/>
                <w:highlight w:val="none"/>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szCs w:val="21"/>
                <w:highlight w:val="none"/>
              </w:rPr>
            </w:pPr>
            <w:r>
              <w:rPr>
                <w:rFonts w:hint="eastAsia" w:ascii="宋体" w:hAnsi="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auto"/>
                <w:szCs w:val="21"/>
                <w:highlight w:val="none"/>
              </w:rPr>
            </w:pPr>
            <w:r>
              <w:rPr>
                <w:rFonts w:hint="eastAsia" w:ascii="宋体" w:hAnsi="宋体"/>
                <w:color w:val="auto"/>
                <w:szCs w:val="21"/>
                <w:highlight w:val="none"/>
              </w:rPr>
              <w:t>...</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auto"/>
                <w:szCs w:val="21"/>
                <w:highlight w:val="none"/>
              </w:rPr>
            </w:pPr>
            <w:r>
              <w:rPr>
                <w:rFonts w:hint="eastAsia" w:ascii="宋体" w:hAnsi="宋体"/>
                <w:color w:val="auto"/>
                <w:szCs w:val="21"/>
                <w:highlight w:val="none"/>
              </w:rPr>
              <w:t>1  ……</w:t>
            </w:r>
          </w:p>
          <w:p>
            <w:pPr>
              <w:spacing w:line="340" w:lineRule="exact"/>
              <w:rPr>
                <w:rFonts w:hint="eastAsia" w:ascii="宋体" w:hAnsi="宋体"/>
                <w:color w:val="auto"/>
                <w:szCs w:val="21"/>
                <w:highlight w:val="none"/>
              </w:rPr>
            </w:pPr>
            <w:r>
              <w:rPr>
                <w:rFonts w:hint="eastAsia" w:ascii="宋体" w:hAnsi="宋体"/>
                <w:color w:val="auto"/>
                <w:szCs w:val="21"/>
                <w:highlight w:val="none"/>
              </w:rPr>
              <w:t>2  ……</w:t>
            </w:r>
          </w:p>
          <w:p>
            <w:pPr>
              <w:spacing w:line="340" w:lineRule="exact"/>
              <w:rPr>
                <w:rFonts w:hint="eastAsia" w:ascii="宋体" w:hAnsi="宋体"/>
                <w:color w:val="auto"/>
                <w:szCs w:val="21"/>
                <w:highlight w:val="none"/>
              </w:rPr>
            </w:pPr>
            <w:r>
              <w:rPr>
                <w:rFonts w:hint="eastAsia" w:ascii="宋体" w:hAnsi="宋体"/>
                <w:color w:val="auto"/>
                <w:szCs w:val="21"/>
                <w:highlight w:val="none"/>
              </w:rPr>
              <w:t>3  ……</w:t>
            </w:r>
          </w:p>
          <w:p>
            <w:pPr>
              <w:spacing w:line="340" w:lineRule="exact"/>
              <w:rPr>
                <w:rFonts w:ascii="宋体" w:hAnsi="宋体"/>
                <w:color w:val="auto"/>
                <w:szCs w:val="21"/>
                <w:highlight w:val="none"/>
              </w:rPr>
            </w:pPr>
            <w:r>
              <w:rPr>
                <w:rFonts w:hint="eastAsia" w:ascii="宋体" w:hAnsi="宋体"/>
                <w:color w:val="auto"/>
                <w:szCs w:val="21"/>
                <w:highlight w:val="none"/>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auto"/>
                <w:szCs w:val="21"/>
                <w:highlight w:val="none"/>
              </w:rPr>
            </w:pPr>
            <w:r>
              <w:rPr>
                <w:rFonts w:hint="eastAsia" w:ascii="宋体" w:hAnsi="宋体"/>
                <w:color w:val="auto"/>
                <w:szCs w:val="21"/>
                <w:highlight w:val="none"/>
              </w:rPr>
              <w:t>1  ……</w:t>
            </w:r>
          </w:p>
          <w:p>
            <w:pPr>
              <w:spacing w:line="340" w:lineRule="exact"/>
              <w:rPr>
                <w:rFonts w:hint="eastAsia" w:ascii="宋体" w:hAnsi="宋体"/>
                <w:color w:val="auto"/>
                <w:szCs w:val="21"/>
                <w:highlight w:val="none"/>
              </w:rPr>
            </w:pPr>
            <w:r>
              <w:rPr>
                <w:rFonts w:hint="eastAsia" w:ascii="宋体" w:hAnsi="宋体"/>
                <w:color w:val="auto"/>
                <w:szCs w:val="21"/>
                <w:highlight w:val="none"/>
              </w:rPr>
              <w:t>2  ……</w:t>
            </w:r>
          </w:p>
          <w:p>
            <w:pPr>
              <w:spacing w:line="340" w:lineRule="exact"/>
              <w:rPr>
                <w:rFonts w:hint="eastAsia" w:ascii="宋体" w:hAnsi="宋体"/>
                <w:color w:val="auto"/>
                <w:szCs w:val="21"/>
                <w:highlight w:val="none"/>
              </w:rPr>
            </w:pPr>
            <w:r>
              <w:rPr>
                <w:rFonts w:hint="eastAsia" w:ascii="宋体" w:hAnsi="宋体"/>
                <w:color w:val="auto"/>
                <w:szCs w:val="21"/>
                <w:highlight w:val="none"/>
              </w:rPr>
              <w:t>3  ……</w:t>
            </w:r>
          </w:p>
          <w:p>
            <w:pPr>
              <w:spacing w:line="340" w:lineRule="exact"/>
              <w:rPr>
                <w:rFonts w:ascii="宋体" w:hAnsi="宋体"/>
                <w:color w:val="auto"/>
                <w:szCs w:val="21"/>
                <w:highlight w:val="none"/>
              </w:rPr>
            </w:pPr>
            <w:r>
              <w:rPr>
                <w:rFonts w:hint="eastAsia" w:ascii="宋体" w:hAnsi="宋体"/>
                <w:color w:val="auto"/>
                <w:szCs w:val="21"/>
                <w:highlight w:val="none"/>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olor w:val="auto"/>
                <w:szCs w:val="21"/>
                <w:highlight w:val="none"/>
              </w:rPr>
            </w:pPr>
            <w:r>
              <w:rPr>
                <w:rFonts w:hint="eastAsia" w:ascii="宋体" w:hAnsi="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480" w:type="dxa"/>
            <w:gridSpan w:val="4"/>
            <w:tcBorders>
              <w:top w:val="single" w:color="auto" w:sz="4" w:space="0"/>
              <w:left w:val="single" w:color="auto" w:sz="4" w:space="0"/>
              <w:bottom w:val="single" w:color="auto" w:sz="4" w:space="0"/>
              <w:right w:val="single" w:color="auto" w:sz="4" w:space="0"/>
            </w:tcBorders>
          </w:tcPr>
          <w:p>
            <w:pPr>
              <w:spacing w:line="340" w:lineRule="exact"/>
              <w:rPr>
                <w:rFonts w:ascii="宋体" w:hAnsi="宋体"/>
                <w:color w:val="auto"/>
                <w:szCs w:val="21"/>
                <w:highlight w:val="none"/>
              </w:rPr>
            </w:pPr>
            <w:r>
              <w:rPr>
                <w:rFonts w:hint="eastAsia" w:ascii="宋体" w:hAnsi="宋体"/>
                <w:color w:val="auto"/>
                <w:szCs w:val="21"/>
                <w:highlight w:val="none"/>
                <w:u w:val="single"/>
              </w:rPr>
              <w:t>　　</w:t>
            </w:r>
            <w:r>
              <w:rPr>
                <w:rFonts w:hint="eastAsia" w:ascii="宋体" w:hAnsi="宋体"/>
                <w:color w:val="auto"/>
                <w:szCs w:val="21"/>
                <w:highlight w:val="none"/>
              </w:rPr>
              <w:t>分标（此处有分标时填写具体分标号，无分标时填写“无”）</w:t>
            </w:r>
          </w:p>
        </w:tc>
      </w:tr>
    </w:tbl>
    <w:p>
      <w:pPr>
        <w:pStyle w:val="21"/>
        <w:spacing w:line="360" w:lineRule="auto"/>
        <w:ind w:left="-708" w:leftChars="-337"/>
        <w:rPr>
          <w:rFonts w:hint="eastAsia" w:ascii="Times New Roman" w:hAnsi="Times New Roman"/>
          <w:color w:val="auto"/>
          <w:highlight w:val="none"/>
        </w:rPr>
      </w:pPr>
    </w:p>
    <w:p>
      <w:pPr>
        <w:pStyle w:val="21"/>
        <w:spacing w:line="360" w:lineRule="auto"/>
        <w:ind w:left="-708" w:leftChars="-337"/>
        <w:rPr>
          <w:rFonts w:hint="eastAsia" w:ascii="Times New Roman" w:hAnsi="Times New Roman"/>
          <w:color w:val="auto"/>
          <w:highlight w:val="none"/>
        </w:rPr>
      </w:pPr>
      <w:r>
        <w:rPr>
          <w:rFonts w:hint="eastAsia" w:ascii="Times New Roman" w:hAnsi="Times New Roman"/>
          <w:color w:val="auto"/>
          <w:highlight w:val="none"/>
        </w:rPr>
        <w:t>注：</w:t>
      </w:r>
    </w:p>
    <w:p>
      <w:pPr>
        <w:pStyle w:val="21"/>
        <w:spacing w:line="360" w:lineRule="auto"/>
        <w:ind w:left="-708" w:leftChars="-337" w:firstLine="420" w:firstLineChars="200"/>
        <w:rPr>
          <w:rFonts w:hint="eastAsia" w:ascii="Times New Roman" w:hAnsi="Times New Roman"/>
          <w:color w:val="auto"/>
          <w:highlight w:val="none"/>
        </w:rPr>
      </w:pPr>
      <w:r>
        <w:rPr>
          <w:rFonts w:hint="eastAsia" w:ascii="Times New Roman" w:hAnsi="Times New Roman"/>
          <w:color w:val="auto"/>
          <w:highlight w:val="none"/>
        </w:rPr>
        <w:t>1.表格内容均需按要求填写并盖章，不得留空，否则按投标无效处理。</w:t>
      </w:r>
    </w:p>
    <w:p>
      <w:pPr>
        <w:pStyle w:val="21"/>
        <w:spacing w:line="360" w:lineRule="auto"/>
        <w:ind w:left="-708" w:leftChars="-337" w:firstLine="420" w:firstLineChars="200"/>
        <w:rPr>
          <w:rFonts w:hint="eastAsia" w:ascii="Times New Roman" w:hAnsi="Times New Roman"/>
          <w:color w:val="auto"/>
          <w:highlight w:val="none"/>
        </w:rPr>
      </w:pPr>
      <w:r>
        <w:rPr>
          <w:rFonts w:hint="eastAsia" w:ascii="Times New Roman" w:hAnsi="Times New Roman"/>
          <w:color w:val="auto"/>
          <w:highlight w:val="none"/>
        </w:rPr>
        <w:t>2.当投标文件的商务内容低于招标文件要求时，投标人应当如实写明“负偏离”，否则视为虚假应标。</w:t>
      </w:r>
    </w:p>
    <w:p>
      <w:pPr>
        <w:pStyle w:val="21"/>
        <w:spacing w:line="360" w:lineRule="auto"/>
        <w:ind w:left="-708" w:leftChars="-337" w:firstLine="420" w:firstLineChars="200"/>
        <w:rPr>
          <w:rFonts w:hint="eastAsia" w:ascii="Times New Roman" w:hAnsi="Times New Roman"/>
          <w:color w:val="auto"/>
          <w:highlight w:val="none"/>
        </w:rPr>
      </w:pPr>
      <w:r>
        <w:rPr>
          <w:rFonts w:hint="eastAsia" w:hAnsi="宋体" w:cs="宋体"/>
          <w:color w:val="auto"/>
          <w:szCs w:val="21"/>
          <w:highlight w:val="none"/>
        </w:rPr>
        <w:t>3.采购需求中带“▲”及“★”的条款，也要分别在本表“</w:t>
      </w:r>
      <w:r>
        <w:rPr>
          <w:rFonts w:hint="eastAsia" w:hAnsi="宋体"/>
          <w:color w:val="auto"/>
          <w:szCs w:val="21"/>
          <w:highlight w:val="none"/>
        </w:rPr>
        <w:t>投标文件的商务需求</w:t>
      </w:r>
      <w:r>
        <w:rPr>
          <w:rFonts w:hint="eastAsia" w:hAnsi="宋体" w:cs="宋体"/>
          <w:color w:val="auto"/>
          <w:szCs w:val="21"/>
          <w:highlight w:val="none"/>
        </w:rPr>
        <w:t>”、“</w:t>
      </w:r>
      <w:r>
        <w:rPr>
          <w:rFonts w:hint="eastAsia" w:hAnsi="宋体"/>
          <w:color w:val="auto"/>
          <w:szCs w:val="21"/>
          <w:highlight w:val="none"/>
        </w:rPr>
        <w:t>投标文件承诺的商务条款</w:t>
      </w:r>
      <w:r>
        <w:rPr>
          <w:rFonts w:hint="eastAsia" w:hAnsi="宋体" w:cs="宋体"/>
          <w:color w:val="auto"/>
          <w:szCs w:val="21"/>
          <w:highlight w:val="none"/>
        </w:rPr>
        <w:t>”中标记。</w:t>
      </w:r>
    </w:p>
    <w:p>
      <w:pPr>
        <w:snapToGrid w:val="0"/>
        <w:spacing w:before="50" w:after="50"/>
        <w:rPr>
          <w:rFonts w:ascii="宋体" w:hAnsi="宋体"/>
          <w:color w:val="auto"/>
          <w:sz w:val="24"/>
          <w:highlight w:val="none"/>
        </w:rPr>
      </w:pPr>
    </w:p>
    <w:p>
      <w:pPr>
        <w:snapToGrid w:val="0"/>
        <w:spacing w:line="360" w:lineRule="auto"/>
        <w:ind w:firstLine="4935" w:firstLineChars="2350"/>
        <w:rPr>
          <w:rFonts w:hint="eastAsia" w:ascii="仿宋_GB2312" w:hAnsi="仿宋" w:eastAsia="仿宋_GB2312" w:cs="仿宋_GB2312"/>
          <w:color w:val="auto"/>
          <w:kern w:val="0"/>
          <w:sz w:val="24"/>
          <w:highlight w:val="none"/>
        </w:rPr>
      </w:pPr>
      <w:r>
        <w:rPr>
          <w:rFonts w:hAnsi="宋体"/>
          <w:color w:val="auto"/>
          <w:szCs w:val="21"/>
          <w:highlight w:val="none"/>
        </w:rPr>
        <w:t xml:space="preserve">  </w:t>
      </w: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before="165" w:beforeLines="50" w:after="50"/>
        <w:ind w:firstLine="3150" w:firstLineChars="1500"/>
        <w:jc w:val="left"/>
        <w:rPr>
          <w:rFonts w:ascii="宋体" w:hAnsi="宋体"/>
          <w:color w:val="auto"/>
          <w:szCs w:val="21"/>
          <w:highlight w:val="none"/>
        </w:rPr>
        <w:sectPr>
          <w:footerReference r:id="rId14" w:type="first"/>
          <w:headerReference r:id="rId11" w:type="default"/>
          <w:footerReference r:id="rId12" w:type="default"/>
          <w:footerReference r:id="rId13" w:type="even"/>
          <w:pgSz w:w="11905" w:h="16838"/>
          <w:pgMar w:top="1134" w:right="1134" w:bottom="1134" w:left="1134" w:header="720" w:footer="720" w:gutter="0"/>
          <w:cols w:space="720" w:num="1"/>
          <w:docGrid w:type="lines" w:linePitch="331" w:charSpace="0"/>
        </w:sectPr>
      </w:pPr>
    </w:p>
    <w:p>
      <w:pPr>
        <w:snapToGrid w:val="0"/>
        <w:spacing w:before="165" w:beforeLines="50" w:after="50"/>
        <w:jc w:val="center"/>
        <w:rPr>
          <w:color w:val="auto"/>
          <w:highlight w:val="none"/>
        </w:rPr>
      </w:pPr>
      <w:r>
        <w:rPr>
          <w:rFonts w:hint="eastAsia"/>
          <w:b/>
          <w:bCs/>
          <w:color w:val="auto"/>
          <w:sz w:val="30"/>
          <w:szCs w:val="30"/>
          <w:highlight w:val="none"/>
        </w:rPr>
        <w:t>五、服务承诺</w:t>
      </w:r>
    </w:p>
    <w:p>
      <w:pPr>
        <w:spacing w:line="360" w:lineRule="auto"/>
        <w:ind w:firstLine="4048" w:firstLineChars="1687"/>
        <w:rPr>
          <w:rFonts w:hint="eastAsia" w:ascii="宋体" w:hAnsi="宋体"/>
          <w:color w:val="auto"/>
          <w:sz w:val="24"/>
          <w:highlight w:val="none"/>
        </w:rPr>
      </w:pPr>
      <w:r>
        <w:rPr>
          <w:rFonts w:hint="eastAsia" w:ascii="宋体" w:hAnsi="宋体"/>
          <w:color w:val="auto"/>
          <w:sz w:val="24"/>
          <w:highlight w:val="none"/>
        </w:rPr>
        <w:t>（格式自拟）</w:t>
      </w:r>
    </w:p>
    <w:p>
      <w:pPr>
        <w:pStyle w:val="36"/>
        <w:rPr>
          <w:rFonts w:hint="eastAsia" w:ascii="宋体" w:hAnsi="宋体"/>
          <w:color w:val="auto"/>
          <w:sz w:val="24"/>
          <w:highlight w:val="none"/>
        </w:rPr>
      </w:pPr>
    </w:p>
    <w:p>
      <w:pPr>
        <w:rPr>
          <w:rFonts w:hint="eastAsia" w:ascii="宋体" w:hAnsi="宋体"/>
          <w:color w:val="auto"/>
          <w:sz w:val="24"/>
          <w:highlight w:val="none"/>
        </w:rPr>
      </w:pPr>
    </w:p>
    <w:p>
      <w:pPr>
        <w:snapToGrid w:val="0"/>
        <w:spacing w:line="360" w:lineRule="auto"/>
        <w:ind w:firstLine="4935" w:firstLineChars="2350"/>
        <w:rPr>
          <w:rFonts w:hint="eastAsia" w:hAnsi="宋体"/>
          <w:color w:val="auto"/>
          <w:szCs w:val="21"/>
          <w:highlight w:val="none"/>
        </w:rPr>
      </w:pPr>
    </w:p>
    <w:p>
      <w:pPr>
        <w:snapToGrid w:val="0"/>
        <w:spacing w:line="360" w:lineRule="auto"/>
        <w:ind w:firstLine="4935" w:firstLineChars="2350"/>
        <w:rPr>
          <w:rFonts w:hint="eastAsia" w:ascii="仿宋_GB2312" w:hAnsi="仿宋" w:eastAsia="仿宋_GB2312" w:cs="仿宋_GB2312"/>
          <w:color w:val="auto"/>
          <w:kern w:val="0"/>
          <w:sz w:val="24"/>
          <w:highlight w:val="none"/>
        </w:rPr>
      </w:pPr>
      <w:r>
        <w:rPr>
          <w:rFonts w:hAnsi="宋体"/>
          <w:color w:val="auto"/>
          <w:szCs w:val="21"/>
          <w:highlight w:val="none"/>
        </w:rPr>
        <w:t xml:space="preserve">  </w:t>
      </w: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pStyle w:val="36"/>
        <w:rPr>
          <w:color w:val="auto"/>
          <w:highlight w:val="none"/>
        </w:rPr>
      </w:pPr>
    </w:p>
    <w:p>
      <w:pPr>
        <w:snapToGrid w:val="0"/>
        <w:spacing w:before="165" w:beforeLines="50" w:after="50"/>
        <w:ind w:firstLine="602" w:firstLineChars="200"/>
        <w:jc w:val="center"/>
        <w:rPr>
          <w:rFonts w:hint="eastAsia"/>
          <w:b/>
          <w:bCs/>
          <w:color w:val="auto"/>
          <w:sz w:val="30"/>
          <w:szCs w:val="30"/>
          <w:highlight w:val="none"/>
        </w:rPr>
      </w:pPr>
    </w:p>
    <w:p>
      <w:pPr>
        <w:snapToGrid w:val="0"/>
        <w:spacing w:before="165" w:beforeLines="50" w:after="50"/>
        <w:ind w:firstLine="602" w:firstLineChars="200"/>
        <w:jc w:val="center"/>
        <w:rPr>
          <w:rFonts w:hint="eastAsia"/>
          <w:b/>
          <w:bCs/>
          <w:color w:val="auto"/>
          <w:sz w:val="30"/>
          <w:szCs w:val="30"/>
          <w:highlight w:val="none"/>
        </w:rPr>
      </w:pPr>
    </w:p>
    <w:p>
      <w:pPr>
        <w:snapToGrid w:val="0"/>
        <w:spacing w:before="165" w:beforeLines="50" w:after="50"/>
        <w:ind w:firstLine="602" w:firstLineChars="200"/>
        <w:jc w:val="center"/>
        <w:rPr>
          <w:rFonts w:hint="eastAsia"/>
          <w:b/>
          <w:bCs/>
          <w:color w:val="auto"/>
          <w:sz w:val="30"/>
          <w:szCs w:val="30"/>
          <w:highlight w:val="none"/>
        </w:rPr>
      </w:pPr>
    </w:p>
    <w:p>
      <w:pPr>
        <w:snapToGrid w:val="0"/>
        <w:spacing w:before="165" w:beforeLines="50" w:after="50"/>
        <w:ind w:firstLine="602" w:firstLineChars="200"/>
        <w:jc w:val="center"/>
        <w:rPr>
          <w:rFonts w:hint="eastAsia"/>
          <w:b/>
          <w:bCs/>
          <w:color w:val="auto"/>
          <w:sz w:val="30"/>
          <w:szCs w:val="30"/>
          <w:highlight w:val="none"/>
        </w:rPr>
      </w:pPr>
    </w:p>
    <w:p>
      <w:pPr>
        <w:snapToGrid w:val="0"/>
        <w:spacing w:before="165" w:beforeLines="50" w:after="50"/>
        <w:ind w:firstLine="602" w:firstLineChars="200"/>
        <w:jc w:val="center"/>
        <w:rPr>
          <w:rFonts w:hint="eastAsia"/>
          <w:b/>
          <w:bCs/>
          <w:color w:val="auto"/>
          <w:sz w:val="30"/>
          <w:szCs w:val="30"/>
          <w:highlight w:val="none"/>
        </w:rPr>
      </w:pPr>
    </w:p>
    <w:p>
      <w:pPr>
        <w:snapToGrid w:val="0"/>
        <w:spacing w:before="165" w:beforeLines="50" w:after="50"/>
        <w:ind w:firstLine="602" w:firstLineChars="200"/>
        <w:jc w:val="center"/>
        <w:rPr>
          <w:rFonts w:hint="eastAsia"/>
          <w:b/>
          <w:bCs/>
          <w:color w:val="auto"/>
          <w:sz w:val="30"/>
          <w:szCs w:val="30"/>
          <w:highlight w:val="none"/>
        </w:rPr>
      </w:pPr>
      <w:r>
        <w:rPr>
          <w:rFonts w:hint="eastAsia"/>
          <w:b/>
          <w:bCs/>
          <w:color w:val="auto"/>
          <w:sz w:val="30"/>
          <w:szCs w:val="30"/>
          <w:highlight w:val="none"/>
        </w:rPr>
        <w:t>六、投标人情况介绍</w:t>
      </w:r>
    </w:p>
    <w:p>
      <w:pPr>
        <w:spacing w:line="360" w:lineRule="auto"/>
        <w:ind w:firstLine="4048" w:firstLineChars="1687"/>
        <w:rPr>
          <w:rFonts w:hint="eastAsia" w:ascii="仿宋_GB2312" w:hAnsi="仿宋" w:eastAsia="仿宋_GB2312" w:cs="仿宋_GB2312"/>
          <w:color w:val="auto"/>
          <w:kern w:val="0"/>
          <w:sz w:val="24"/>
          <w:highlight w:val="none"/>
        </w:rPr>
      </w:pPr>
      <w:r>
        <w:rPr>
          <w:rFonts w:hint="eastAsia" w:ascii="宋体" w:hAnsi="宋体"/>
          <w:color w:val="auto"/>
          <w:sz w:val="24"/>
          <w:highlight w:val="none"/>
        </w:rPr>
        <w:t>（如有，格式自拟）</w:t>
      </w:r>
    </w:p>
    <w:p>
      <w:pPr>
        <w:snapToGrid w:val="0"/>
        <w:spacing w:line="360" w:lineRule="auto"/>
        <w:ind w:firstLine="4935" w:firstLineChars="2350"/>
        <w:rPr>
          <w:rFonts w:hint="eastAsia" w:hAnsi="宋体"/>
          <w:color w:val="auto"/>
          <w:szCs w:val="21"/>
          <w:highlight w:val="none"/>
        </w:rPr>
      </w:pPr>
      <w:r>
        <w:rPr>
          <w:rFonts w:hAnsi="宋体"/>
          <w:color w:val="auto"/>
          <w:szCs w:val="21"/>
          <w:highlight w:val="none"/>
        </w:rPr>
        <w:t xml:space="preserve"> </w:t>
      </w:r>
    </w:p>
    <w:p>
      <w:pPr>
        <w:snapToGrid w:val="0"/>
        <w:spacing w:line="360" w:lineRule="auto"/>
        <w:ind w:firstLine="4935" w:firstLineChars="2350"/>
        <w:rPr>
          <w:rFonts w:hint="eastAsia" w:hAnsi="宋体"/>
          <w:color w:val="auto"/>
          <w:szCs w:val="21"/>
          <w:highlight w:val="none"/>
        </w:rPr>
      </w:pPr>
    </w:p>
    <w:p>
      <w:pPr>
        <w:snapToGrid w:val="0"/>
        <w:spacing w:line="360" w:lineRule="auto"/>
        <w:ind w:firstLine="4935" w:firstLineChars="2350"/>
        <w:rPr>
          <w:rFonts w:hint="eastAsia" w:hAnsi="宋体"/>
          <w:color w:val="auto"/>
          <w:szCs w:val="21"/>
          <w:highlight w:val="none"/>
        </w:rPr>
      </w:pPr>
    </w:p>
    <w:p>
      <w:pPr>
        <w:snapToGrid w:val="0"/>
        <w:spacing w:line="360" w:lineRule="auto"/>
        <w:ind w:firstLine="4935" w:firstLineChars="2350"/>
        <w:rPr>
          <w:rFonts w:hint="eastAsia" w:hAnsi="宋体"/>
          <w:color w:val="auto"/>
          <w:szCs w:val="21"/>
          <w:highlight w:val="none"/>
        </w:rPr>
      </w:pPr>
    </w:p>
    <w:p>
      <w:pPr>
        <w:snapToGrid w:val="0"/>
        <w:spacing w:line="360" w:lineRule="auto"/>
        <w:ind w:firstLine="4935" w:firstLineChars="2350"/>
        <w:rPr>
          <w:rFonts w:hint="eastAsia" w:ascii="仿宋_GB2312" w:hAnsi="仿宋" w:eastAsia="仿宋_GB2312" w:cs="仿宋_GB2312"/>
          <w:color w:val="auto"/>
          <w:kern w:val="0"/>
          <w:sz w:val="24"/>
          <w:highlight w:val="none"/>
        </w:rPr>
      </w:pPr>
      <w:r>
        <w:rPr>
          <w:rFonts w:hAnsi="宋体"/>
          <w:color w:val="auto"/>
          <w:szCs w:val="21"/>
          <w:highlight w:val="none"/>
        </w:rPr>
        <w:t xml:space="preserve">  </w:t>
      </w: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before="165" w:beforeLines="50" w:after="50"/>
        <w:ind w:firstLine="602" w:firstLineChars="200"/>
        <w:jc w:val="center"/>
        <w:rPr>
          <w:rFonts w:hint="eastAsia"/>
          <w:b/>
          <w:bCs/>
          <w:color w:val="auto"/>
          <w:sz w:val="30"/>
          <w:szCs w:val="30"/>
          <w:highlight w:val="none"/>
        </w:rPr>
      </w:pPr>
    </w:p>
    <w:p>
      <w:pPr>
        <w:snapToGrid w:val="0"/>
        <w:spacing w:before="165" w:beforeLines="50" w:after="50"/>
        <w:ind w:firstLine="602" w:firstLineChars="200"/>
        <w:jc w:val="center"/>
        <w:rPr>
          <w:b/>
          <w:bCs/>
          <w:color w:val="auto"/>
          <w:sz w:val="30"/>
          <w:szCs w:val="30"/>
          <w:highlight w:val="none"/>
        </w:rPr>
        <w:sectPr>
          <w:footerReference r:id="rId18" w:type="first"/>
          <w:headerReference r:id="rId15" w:type="default"/>
          <w:footerReference r:id="rId16" w:type="default"/>
          <w:footerReference r:id="rId17" w:type="even"/>
          <w:pgSz w:w="11905" w:h="16838"/>
          <w:pgMar w:top="1134" w:right="1134" w:bottom="1134" w:left="1134" w:header="720" w:footer="720" w:gutter="0"/>
          <w:cols w:space="720" w:num="1"/>
          <w:docGrid w:type="lines" w:linePitch="331" w:charSpace="0"/>
        </w:sectPr>
      </w:pPr>
    </w:p>
    <w:p>
      <w:pPr>
        <w:snapToGrid w:val="0"/>
        <w:spacing w:before="165" w:beforeLines="50" w:after="50"/>
        <w:ind w:firstLine="602" w:firstLineChars="200"/>
        <w:jc w:val="center"/>
        <w:rPr>
          <w:rFonts w:hint="eastAsia"/>
          <w:b/>
          <w:bCs/>
          <w:color w:val="auto"/>
          <w:sz w:val="30"/>
          <w:szCs w:val="30"/>
          <w:highlight w:val="none"/>
        </w:rPr>
      </w:pPr>
      <w:r>
        <w:rPr>
          <w:rFonts w:hint="eastAsia"/>
          <w:b/>
          <w:bCs/>
          <w:color w:val="auto"/>
          <w:sz w:val="30"/>
          <w:szCs w:val="30"/>
          <w:highlight w:val="none"/>
        </w:rPr>
        <w:t>七、投标人类似的业绩证明文件（如有）</w:t>
      </w:r>
    </w:p>
    <w:p>
      <w:pPr>
        <w:pStyle w:val="31"/>
        <w:snapToGrid w:val="0"/>
        <w:ind w:left="480" w:hanging="480"/>
        <w:rPr>
          <w:rFonts w:hint="eastAsia" w:ascii="宋体" w:hAnsi="宋体"/>
          <w:color w:val="auto"/>
          <w:sz w:val="24"/>
          <w:highlight w:val="none"/>
        </w:rPr>
      </w:pPr>
    </w:p>
    <w:p>
      <w:pPr>
        <w:pStyle w:val="31"/>
        <w:snapToGrid w:val="0"/>
        <w:ind w:left="480" w:hanging="480"/>
        <w:rPr>
          <w:rFonts w:hint="eastAsia" w:ascii="宋体" w:hAnsi="宋体"/>
          <w:color w:val="auto"/>
          <w:sz w:val="24"/>
          <w:highlight w:val="none"/>
        </w:rPr>
      </w:pPr>
    </w:p>
    <w:p>
      <w:pPr>
        <w:autoSpaceDE w:val="0"/>
        <w:autoSpaceDN w:val="0"/>
        <w:spacing w:line="360" w:lineRule="auto"/>
        <w:ind w:firstLine="120"/>
        <w:rPr>
          <w:rFonts w:ascii="宋体" w:hAnsi="宋体"/>
          <w:color w:val="auto"/>
          <w:sz w:val="24"/>
          <w:highlight w:val="none"/>
        </w:rPr>
      </w:pPr>
      <w:bookmarkStart w:id="235" w:name="_Toc19686839"/>
      <w:bookmarkStart w:id="236" w:name="_Toc80093014"/>
      <w:r>
        <w:rPr>
          <w:rFonts w:hint="eastAsia" w:ascii="仿宋_GB2312" w:hAnsi="仿宋" w:eastAsia="仿宋_GB2312"/>
          <w:b/>
          <w:color w:val="auto"/>
          <w:sz w:val="24"/>
          <w:highlight w:val="none"/>
        </w:rPr>
        <w:t>附表 A:相关项目业绩一览表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序</w:t>
            </w:r>
            <w:r>
              <w:rPr>
                <w:color w:val="auto"/>
                <w:highlight w:val="none"/>
              </w:rPr>
              <w:t xml:space="preserve"> </w:t>
            </w:r>
            <w:r>
              <w:rPr>
                <w:rFonts w:ascii="宋体" w:hAnsi="宋体"/>
                <w:color w:val="auto"/>
                <w:highlight w:val="none"/>
              </w:rPr>
              <w:t>号</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项目名称</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项目所在地</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委托人名称</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委托人地址</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委托人电话</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项目等级</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项目总投资</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服务费</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服务期限</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服务内容</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项目负责人</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项目描述</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p>
            <w:pPr>
              <w:topLinePunc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67" w:type="dxa"/>
            <w:tcBorders>
              <w:top w:val="single" w:color="auto" w:sz="4" w:space="0"/>
              <w:left w:val="single" w:color="auto" w:sz="4" w:space="0"/>
              <w:bottom w:val="single" w:color="auto" w:sz="4" w:space="0"/>
              <w:right w:val="single" w:color="auto" w:sz="4" w:space="0"/>
            </w:tcBorders>
            <w:vAlign w:val="center"/>
          </w:tcPr>
          <w:p>
            <w:pPr>
              <w:topLinePunct/>
              <w:jc w:val="center"/>
              <w:rPr>
                <w:color w:val="auto"/>
                <w:szCs w:val="21"/>
                <w:highlight w:val="none"/>
              </w:rPr>
            </w:pPr>
            <w:r>
              <w:rPr>
                <w:rFonts w:ascii="宋体" w:hAnsi="宋体"/>
                <w:color w:val="auto"/>
                <w:highlight w:val="none"/>
              </w:rPr>
              <w:t>备</w:t>
            </w:r>
            <w:r>
              <w:rPr>
                <w:color w:val="auto"/>
                <w:highlight w:val="none"/>
              </w:rPr>
              <w:t xml:space="preserve"> </w:t>
            </w:r>
            <w:r>
              <w:rPr>
                <w:rFonts w:ascii="宋体" w:hAnsi="宋体"/>
                <w:color w:val="auto"/>
                <w:highlight w:val="none"/>
              </w:rPr>
              <w:t>注</w:t>
            </w:r>
          </w:p>
        </w:tc>
        <w:tc>
          <w:tcPr>
            <w:tcW w:w="6524" w:type="dxa"/>
            <w:tcBorders>
              <w:top w:val="single" w:color="auto" w:sz="4" w:space="0"/>
              <w:left w:val="nil"/>
              <w:bottom w:val="single" w:color="auto" w:sz="4" w:space="0"/>
              <w:right w:val="single" w:color="auto" w:sz="4" w:space="0"/>
            </w:tcBorders>
          </w:tcPr>
          <w:p>
            <w:pPr>
              <w:topLinePunct/>
              <w:rPr>
                <w:color w:val="auto"/>
                <w:szCs w:val="21"/>
                <w:highlight w:val="none"/>
              </w:rPr>
            </w:pPr>
          </w:p>
          <w:p>
            <w:pPr>
              <w:topLinePunct/>
              <w:rPr>
                <w:color w:val="auto"/>
                <w:szCs w:val="21"/>
                <w:highlight w:val="none"/>
              </w:rPr>
            </w:pPr>
          </w:p>
        </w:tc>
      </w:tr>
    </w:tbl>
    <w:p>
      <w:pPr>
        <w:spacing w:line="440" w:lineRule="atLeast"/>
        <w:ind w:left="420" w:leftChars="200"/>
        <w:rPr>
          <w:rFonts w:hint="eastAsia"/>
          <w:color w:val="auto"/>
          <w:szCs w:val="21"/>
          <w:highlight w:val="none"/>
        </w:rPr>
      </w:pPr>
      <w:r>
        <w:rPr>
          <w:rFonts w:hint="eastAsia" w:ascii="宋体" w:hAnsi="宋体"/>
          <w:color w:val="auto"/>
          <w:highlight w:val="none"/>
        </w:rPr>
        <w:t>注：</w:t>
      </w:r>
      <w:r>
        <w:rPr>
          <w:color w:val="auto"/>
          <w:highlight w:val="none"/>
        </w:rPr>
        <w:t>1.</w:t>
      </w:r>
      <w:r>
        <w:rPr>
          <w:rFonts w:ascii="宋体" w:hAnsi="宋体"/>
          <w:color w:val="auto"/>
          <w:highlight w:val="none"/>
        </w:rPr>
        <w:t>每张表格只填写一个项目，并标明序号</w:t>
      </w:r>
      <w:r>
        <w:rPr>
          <w:rFonts w:hint="eastAsia" w:ascii="宋体" w:hAnsi="宋体"/>
          <w:color w:val="auto"/>
          <w:highlight w:val="none"/>
        </w:rPr>
        <w:t>。</w:t>
      </w:r>
    </w:p>
    <w:p>
      <w:pPr>
        <w:snapToGrid w:val="0"/>
        <w:ind w:firstLine="840" w:firstLineChars="400"/>
        <w:rPr>
          <w:rFonts w:hint="eastAsia"/>
          <w:color w:val="auto"/>
          <w:highlight w:val="none"/>
        </w:rPr>
      </w:pPr>
      <w:r>
        <w:rPr>
          <w:color w:val="auto"/>
          <w:highlight w:val="none"/>
        </w:rPr>
        <w:t>2.</w:t>
      </w:r>
      <w:r>
        <w:rPr>
          <w:rFonts w:ascii="宋体" w:hAnsi="宋体"/>
          <w:color w:val="auto"/>
          <w:highlight w:val="none"/>
        </w:rPr>
        <w:t>投标人应根据招标文件的要求在本表后附相关证明材料。</w:t>
      </w:r>
    </w:p>
    <w:p>
      <w:pPr>
        <w:snapToGrid w:val="0"/>
        <w:ind w:firstLine="840" w:firstLineChars="400"/>
        <w:rPr>
          <w:color w:val="auto"/>
          <w:highlight w:val="none"/>
        </w:rPr>
      </w:pPr>
      <w:r>
        <w:rPr>
          <w:color w:val="auto"/>
          <w:highlight w:val="none"/>
        </w:rPr>
        <w:t>3.</w:t>
      </w:r>
      <w:r>
        <w:rPr>
          <w:rFonts w:ascii="宋体" w:hAnsi="宋体"/>
          <w:color w:val="auto"/>
          <w:highlight w:val="none"/>
        </w:rPr>
        <w:t>如近年来，投标人法人机构发生合法变更或重组或法人名称变更时，应提供相关部门的合法批件或其他相关证明材料来证明其所附业绩的继承性。</w:t>
      </w:r>
    </w:p>
    <w:p>
      <w:pPr>
        <w:snapToGrid w:val="0"/>
        <w:ind w:firstLine="840" w:firstLineChars="400"/>
        <w:rPr>
          <w:color w:val="auto"/>
          <w:highlight w:val="none"/>
        </w:rPr>
      </w:pPr>
      <w:r>
        <w:rPr>
          <w:color w:val="auto"/>
          <w:highlight w:val="none"/>
        </w:rPr>
        <w:t xml:space="preserve"> </w:t>
      </w:r>
    </w:p>
    <w:p>
      <w:pPr>
        <w:pStyle w:val="3"/>
        <w:spacing w:line="440" w:lineRule="atLeast"/>
        <w:rPr>
          <w:rFonts w:hint="eastAsia" w:ascii="宋体" w:hAnsi="宋体"/>
          <w:b w:val="0"/>
          <w:bCs w:val="0"/>
          <w:color w:val="auto"/>
          <w:kern w:val="2"/>
          <w:sz w:val="24"/>
          <w:szCs w:val="24"/>
          <w:highlight w:val="none"/>
        </w:rPr>
      </w:pPr>
      <w:bookmarkStart w:id="237" w:name="_Toc28911"/>
    </w:p>
    <w:p>
      <w:pPr>
        <w:rPr>
          <w:rFonts w:hint="eastAsia"/>
          <w:color w:val="auto"/>
          <w:highlight w:val="none"/>
        </w:rPr>
      </w:pPr>
    </w:p>
    <w:p>
      <w:pPr>
        <w:autoSpaceDE w:val="0"/>
        <w:autoSpaceDN w:val="0"/>
        <w:spacing w:line="360" w:lineRule="auto"/>
        <w:ind w:firstLine="120"/>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附表B:拟委任的项目负责人资历表</w:t>
      </w:r>
      <w:bookmarkEnd w:id="237"/>
    </w:p>
    <w:p>
      <w:pPr>
        <w:widowControl/>
        <w:autoSpaceDE w:val="0"/>
        <w:autoSpaceDN w:val="0"/>
        <w:spacing w:line="440" w:lineRule="atLeast"/>
        <w:jc w:val="center"/>
        <w:textAlignment w:val="bottom"/>
        <w:rPr>
          <w:rFonts w:hint="eastAsia"/>
          <w:color w:val="auto"/>
          <w:szCs w:val="21"/>
          <w:highlight w:val="none"/>
        </w:rPr>
      </w:pPr>
      <w:r>
        <w:rPr>
          <w:color w:val="auto"/>
          <w:highlight w:val="none"/>
        </w:rPr>
        <w:t xml:space="preserve"> </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9"/>
        <w:gridCol w:w="54"/>
        <w:gridCol w:w="1193"/>
        <w:gridCol w:w="313"/>
        <w:gridCol w:w="1099"/>
        <w:gridCol w:w="1434"/>
        <w:gridCol w:w="351"/>
        <w:gridCol w:w="1599"/>
        <w:gridCol w:w="402"/>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姓</w:t>
            </w:r>
            <w:r>
              <w:rPr>
                <w:color w:val="auto"/>
                <w:highlight w:val="none"/>
              </w:rPr>
              <w:t xml:space="preserve"> 名</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年</w:t>
            </w:r>
            <w:r>
              <w:rPr>
                <w:color w:val="auto"/>
                <w:highlight w:val="none"/>
              </w:rPr>
              <w:t xml:space="preserve"> 龄</w:t>
            </w:r>
          </w:p>
        </w:tc>
        <w:tc>
          <w:tcPr>
            <w:tcW w:w="14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执业或职业资格证书名称</w:t>
            </w: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技术职称</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学</w:t>
            </w:r>
            <w:r>
              <w:rPr>
                <w:color w:val="auto"/>
                <w:highlight w:val="none"/>
              </w:rPr>
              <w:t xml:space="preserve"> 历</w:t>
            </w:r>
          </w:p>
        </w:tc>
        <w:tc>
          <w:tcPr>
            <w:tcW w:w="14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拟在本标段</w:t>
            </w:r>
          </w:p>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工程任职</w:t>
            </w:r>
          </w:p>
        </w:tc>
        <w:tc>
          <w:tcPr>
            <w:tcW w:w="1731"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工作年限</w:t>
            </w:r>
          </w:p>
        </w:tc>
        <w:tc>
          <w:tcPr>
            <w:tcW w:w="7774"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毕业学校</w:t>
            </w:r>
          </w:p>
        </w:tc>
        <w:tc>
          <w:tcPr>
            <w:tcW w:w="7774"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ind w:left="-187" w:leftChars="-89"/>
              <w:jc w:val="center"/>
              <w:textAlignment w:val="bottom"/>
              <w:rPr>
                <w:color w:val="auto"/>
                <w:szCs w:val="21"/>
                <w:highlight w:val="none"/>
              </w:rPr>
            </w:pPr>
            <w:r>
              <w:rPr>
                <w:color w:val="auto"/>
                <w:highlight w:val="none"/>
              </w:rPr>
              <w:t>______</w:t>
            </w:r>
            <w:r>
              <w:rPr>
                <w:rFonts w:ascii="宋体" w:hAnsi="宋体"/>
                <w:color w:val="auto"/>
                <w:highlight w:val="none"/>
              </w:rPr>
              <w:t>年</w:t>
            </w:r>
            <w:r>
              <w:rPr>
                <w:color w:val="auto"/>
                <w:highlight w:val="none"/>
              </w:rPr>
              <w:t>___</w:t>
            </w:r>
            <w:r>
              <w:rPr>
                <w:rFonts w:ascii="宋体" w:hAnsi="宋体"/>
                <w:color w:val="auto"/>
                <w:highlight w:val="none"/>
              </w:rPr>
              <w:t>月毕业于</w:t>
            </w:r>
            <w:r>
              <w:rPr>
                <w:color w:val="auto"/>
                <w:highlight w:val="none"/>
              </w:rPr>
              <w:t>___________________</w:t>
            </w:r>
            <w:r>
              <w:rPr>
                <w:rFonts w:ascii="宋体" w:hAnsi="宋体"/>
                <w:color w:val="auto"/>
                <w:highlight w:val="none"/>
              </w:rPr>
              <w:t>学校</w:t>
            </w:r>
            <w:r>
              <w:rPr>
                <w:color w:val="auto"/>
                <w:highlight w:val="none"/>
              </w:rPr>
              <w:t>___________</w:t>
            </w:r>
            <w:r>
              <w:rPr>
                <w:rFonts w:ascii="宋体" w:hAnsi="宋体"/>
                <w:color w:val="auto"/>
                <w:highlight w:val="none"/>
              </w:rPr>
              <w:t>专业，学制</w:t>
            </w:r>
            <w:r>
              <w:rPr>
                <w:color w:val="auto"/>
                <w:highlight w:val="none"/>
              </w:rPr>
              <w:t>______</w:t>
            </w:r>
            <w:r>
              <w:rPr>
                <w:rFonts w:ascii="宋体" w:hAnsi="宋体"/>
                <w:color w:val="auto"/>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053" w:type="dxa"/>
            <w:gridSpan w:val="10"/>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经</w:t>
            </w:r>
            <w:r>
              <w:rPr>
                <w:color w:val="auto"/>
                <w:highlight w:val="none"/>
              </w:rPr>
              <w:t xml:space="preserve">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时</w:t>
            </w:r>
            <w:r>
              <w:rPr>
                <w:color w:val="auto"/>
                <w:highlight w:val="none"/>
              </w:rPr>
              <w:t xml:space="preserve"> 间</w:t>
            </w:r>
          </w:p>
        </w:tc>
        <w:tc>
          <w:tcPr>
            <w:tcW w:w="4390" w:type="dxa"/>
            <w:gridSpan w:val="5"/>
            <w:tcBorders>
              <w:top w:val="single" w:color="auto" w:sz="4" w:space="0"/>
              <w:left w:val="single" w:color="auto" w:sz="4" w:space="0"/>
              <w:bottom w:val="single" w:color="auto" w:sz="4" w:space="0"/>
              <w:right w:val="single" w:color="auto" w:sz="4" w:space="0"/>
            </w:tcBorders>
            <w:vAlign w:val="center"/>
          </w:tcPr>
          <w:p>
            <w:pPr>
              <w:pStyle w:val="125"/>
              <w:widowControl/>
              <w:spacing w:before="82" w:beforeLines="25" w:after="82" w:afterLines="25"/>
              <w:textAlignment w:val="bottom"/>
              <w:rPr>
                <w:color w:val="auto"/>
                <w:spacing w:val="0"/>
                <w:kern w:val="2"/>
                <w:highlight w:val="none"/>
              </w:rPr>
            </w:pPr>
            <w:r>
              <w:rPr>
                <w:rFonts w:ascii="宋体" w:hAnsi="宋体"/>
                <w:color w:val="auto"/>
                <w:spacing w:val="0"/>
                <w:kern w:val="2"/>
                <w:highlight w:val="none"/>
              </w:rPr>
              <w:t>参加过的类似项目名称</w:t>
            </w:r>
          </w:p>
        </w:tc>
        <w:tc>
          <w:tcPr>
            <w:tcW w:w="2001" w:type="dxa"/>
            <w:gridSpan w:val="2"/>
            <w:tcBorders>
              <w:top w:val="single" w:color="auto" w:sz="4" w:space="0"/>
              <w:left w:val="single" w:color="auto" w:sz="4" w:space="0"/>
              <w:bottom w:val="single" w:color="auto" w:sz="4" w:space="0"/>
              <w:right w:val="single" w:color="auto" w:sz="4" w:space="0"/>
            </w:tcBorders>
            <w:vAlign w:val="center"/>
          </w:tcPr>
          <w:p>
            <w:pPr>
              <w:pStyle w:val="125"/>
              <w:widowControl/>
              <w:spacing w:before="82" w:beforeLines="25" w:after="82" w:afterLines="25"/>
              <w:textAlignment w:val="bottom"/>
              <w:rPr>
                <w:color w:val="auto"/>
                <w:spacing w:val="0"/>
                <w:kern w:val="2"/>
                <w:highlight w:val="none"/>
              </w:rPr>
            </w:pPr>
            <w:r>
              <w:rPr>
                <w:rFonts w:ascii="宋体" w:hAnsi="宋体"/>
                <w:color w:val="auto"/>
                <w:spacing w:val="0"/>
                <w:kern w:val="2"/>
                <w:highlight w:val="none"/>
              </w:rPr>
              <w:t>担任职务</w:t>
            </w:r>
          </w:p>
        </w:tc>
        <w:tc>
          <w:tcPr>
            <w:tcW w:w="132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439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2001"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439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2001"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439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2001"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439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2001"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439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2001"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439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2001"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439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2001"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33"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439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jc w:val="center"/>
              <w:textAlignment w:val="bottom"/>
              <w:rPr>
                <w:color w:val="auto"/>
                <w:szCs w:val="21"/>
                <w:highlight w:val="none"/>
              </w:rPr>
            </w:pPr>
          </w:p>
        </w:tc>
        <w:tc>
          <w:tcPr>
            <w:tcW w:w="2001"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c>
          <w:tcPr>
            <w:tcW w:w="132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52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autoSpaceDN w:val="0"/>
              <w:spacing w:before="82" w:beforeLines="25" w:after="82" w:afterLines="25"/>
              <w:jc w:val="center"/>
              <w:textAlignment w:val="bottom"/>
              <w:rPr>
                <w:color w:val="auto"/>
                <w:szCs w:val="21"/>
                <w:highlight w:val="none"/>
              </w:rPr>
            </w:pPr>
            <w:r>
              <w:rPr>
                <w:rFonts w:ascii="宋体" w:hAnsi="宋体"/>
                <w:color w:val="auto"/>
                <w:highlight w:val="none"/>
              </w:rPr>
              <w:t>获奖情况</w:t>
            </w:r>
          </w:p>
        </w:tc>
        <w:tc>
          <w:tcPr>
            <w:tcW w:w="6527"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autoSpaceDN w:val="0"/>
              <w:spacing w:before="82" w:beforeLines="25" w:after="82" w:afterLines="25"/>
              <w:textAlignment w:val="bottom"/>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252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autoSpaceDN w:val="0"/>
              <w:jc w:val="center"/>
              <w:textAlignment w:val="bottom"/>
              <w:rPr>
                <w:color w:val="auto"/>
                <w:szCs w:val="21"/>
                <w:highlight w:val="none"/>
              </w:rPr>
            </w:pPr>
            <w:r>
              <w:rPr>
                <w:rFonts w:ascii="宋体" w:hAnsi="宋体"/>
                <w:color w:val="auto"/>
                <w:highlight w:val="none"/>
              </w:rPr>
              <w:t>备</w:t>
            </w:r>
            <w:r>
              <w:rPr>
                <w:color w:val="auto"/>
                <w:highlight w:val="none"/>
              </w:rPr>
              <w:t xml:space="preserve"> 注</w:t>
            </w:r>
          </w:p>
        </w:tc>
        <w:tc>
          <w:tcPr>
            <w:tcW w:w="6527"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E w:val="0"/>
              <w:autoSpaceDN w:val="0"/>
              <w:textAlignment w:val="bottom"/>
              <w:rPr>
                <w:color w:val="auto"/>
                <w:szCs w:val="21"/>
                <w:highlight w:val="none"/>
              </w:rPr>
            </w:pPr>
          </w:p>
        </w:tc>
      </w:tr>
    </w:tbl>
    <w:p>
      <w:pPr>
        <w:spacing w:line="440" w:lineRule="atLeast"/>
        <w:ind w:left="420" w:hanging="420" w:hangingChars="200"/>
        <w:rPr>
          <w:color w:val="auto"/>
          <w:szCs w:val="21"/>
          <w:highlight w:val="none"/>
        </w:rPr>
      </w:pPr>
      <w:r>
        <w:rPr>
          <w:rFonts w:ascii="宋体" w:hAnsi="宋体"/>
          <w:color w:val="auto"/>
          <w:highlight w:val="none"/>
        </w:rPr>
        <w:t>注：</w:t>
      </w:r>
      <w:r>
        <w:rPr>
          <w:color w:val="auto"/>
          <w:highlight w:val="none"/>
        </w:rPr>
        <w:t>1.</w:t>
      </w:r>
      <w:r>
        <w:rPr>
          <w:rFonts w:ascii="宋体" w:hAnsi="宋体"/>
          <w:color w:val="auto"/>
          <w:highlight w:val="none"/>
        </w:rPr>
        <w:t>本表应填写项目负责人相关情况。</w:t>
      </w:r>
    </w:p>
    <w:p>
      <w:pPr>
        <w:spacing w:line="440" w:lineRule="atLeast"/>
        <w:ind w:firstLine="420" w:firstLineChars="200"/>
        <w:rPr>
          <w:rFonts w:eastAsia="黑体"/>
          <w:color w:val="auto"/>
          <w:sz w:val="23"/>
          <w:szCs w:val="23"/>
          <w:highlight w:val="none"/>
        </w:rPr>
      </w:pPr>
      <w:r>
        <w:rPr>
          <w:color w:val="auto"/>
          <w:highlight w:val="none"/>
        </w:rPr>
        <w:t>2.</w:t>
      </w:r>
      <w:r>
        <w:rPr>
          <w:rFonts w:ascii="宋体" w:hAnsi="宋体"/>
          <w:color w:val="auto"/>
          <w:highlight w:val="none"/>
        </w:rPr>
        <w:t>投标人应根据招标文件的要求在本表后附相关证明材料。</w:t>
      </w:r>
    </w:p>
    <w:p>
      <w:pPr>
        <w:spacing w:line="440" w:lineRule="atLeast"/>
        <w:ind w:left="420" w:leftChars="200"/>
        <w:rPr>
          <w:color w:val="auto"/>
          <w:szCs w:val="21"/>
          <w:highlight w:val="none"/>
        </w:rPr>
      </w:pPr>
      <w:r>
        <w:rPr>
          <w:rFonts w:hint="eastAsia"/>
          <w:color w:val="auto"/>
          <w:highlight w:val="none"/>
        </w:rPr>
        <w:t xml:space="preserve"> </w:t>
      </w:r>
    </w:p>
    <w:p>
      <w:pPr>
        <w:spacing w:line="440" w:lineRule="atLeast"/>
        <w:ind w:left="420" w:leftChars="200"/>
        <w:rPr>
          <w:rFonts w:hint="eastAsia"/>
          <w:color w:val="auto"/>
          <w:highlight w:val="none"/>
        </w:rPr>
      </w:pPr>
      <w:r>
        <w:rPr>
          <w:rFonts w:hint="eastAsia"/>
          <w:color w:val="auto"/>
          <w:highlight w:val="none"/>
        </w:rPr>
        <w:t xml:space="preserve"> </w:t>
      </w:r>
    </w:p>
    <w:p>
      <w:pPr>
        <w:pStyle w:val="21"/>
        <w:spacing w:line="360" w:lineRule="auto"/>
        <w:ind w:left="72"/>
        <w:rPr>
          <w:rFonts w:hint="eastAsia" w:ascii="Times New Roman" w:hAnsi="Times New Roman"/>
          <w:color w:val="auto"/>
          <w:highlight w:val="none"/>
        </w:rPr>
      </w:pPr>
      <w:r>
        <w:rPr>
          <w:rFonts w:hint="eastAsia" w:ascii="Times New Roman" w:hAnsi="Times New Roman"/>
          <w:color w:val="auto"/>
          <w:highlight w:val="none"/>
        </w:rPr>
        <w:t xml:space="preserve"> </w:t>
      </w:r>
    </w:p>
    <w:p>
      <w:pPr>
        <w:snapToGrid w:val="0"/>
        <w:spacing w:line="360" w:lineRule="auto"/>
        <w:ind w:left="5460" w:leftChars="2600" w:firstLine="4620" w:firstLineChars="2200"/>
        <w:rPr>
          <w:rFonts w:hint="eastAsia" w:ascii="仿宋_GB2312" w:hAnsi="仿宋" w:eastAsia="仿宋_GB2312"/>
          <w:color w:val="auto"/>
          <w:kern w:val="0"/>
          <w:sz w:val="24"/>
          <w:highlight w:val="none"/>
        </w:rPr>
      </w:pPr>
      <w:r>
        <w:rPr>
          <w:rFonts w:hAnsi="宋体"/>
          <w:color w:val="auto"/>
          <w:highlight w:val="none"/>
        </w:rPr>
        <w:t xml:space="preserve">  </w:t>
      </w:r>
      <w:r>
        <w:rPr>
          <w:rFonts w:hint="eastAsia" w:ascii="仿宋_GB2312" w:hAnsi="仿宋" w:eastAsia="仿宋_GB2312"/>
          <w:color w:val="auto"/>
          <w:kern w:val="0"/>
          <w:sz w:val="24"/>
          <w:highlight w:val="none"/>
        </w:rPr>
        <w:t>投标人名称(电子签章)：</w:t>
      </w:r>
    </w:p>
    <w:p>
      <w:pPr>
        <w:snapToGrid w:val="0"/>
        <w:spacing w:line="360" w:lineRule="auto"/>
        <w:ind w:firstLine="5760" w:firstLineChars="2400"/>
        <w:rPr>
          <w:rFonts w:ascii="仿宋_GB2312" w:hAnsi="仿宋" w:eastAsia="仿宋_GB2312"/>
          <w:color w:val="auto"/>
          <w:kern w:val="0"/>
          <w:sz w:val="24"/>
          <w:highlight w:val="none"/>
        </w:rPr>
        <w:sectPr>
          <w:pgSz w:w="11905" w:h="16838"/>
          <w:pgMar w:top="1134" w:right="1134" w:bottom="1134" w:left="1134" w:header="720" w:footer="720" w:gutter="0"/>
          <w:cols w:space="720" w:num="1"/>
          <w:docGrid w:type="lines" w:linePitch="331" w:charSpace="0"/>
        </w:sectPr>
      </w:pPr>
      <w:r>
        <w:rPr>
          <w:rFonts w:hint="eastAsia" w:ascii="仿宋_GB2312" w:hAnsi="仿宋" w:eastAsia="仿宋_GB2312"/>
          <w:color w:val="auto"/>
          <w:kern w:val="0"/>
          <w:sz w:val="24"/>
          <w:highlight w:val="none"/>
        </w:rPr>
        <w:t>日期：  年  月   日</w:t>
      </w:r>
    </w:p>
    <w:p>
      <w:pPr>
        <w:snapToGrid w:val="0"/>
        <w:spacing w:line="360" w:lineRule="auto"/>
        <w:ind w:firstLine="5040" w:firstLineChars="2400"/>
        <w:rPr>
          <w:rFonts w:hint="eastAsia"/>
          <w:color w:val="auto"/>
          <w:szCs w:val="21"/>
          <w:highlight w:val="none"/>
        </w:rPr>
      </w:pPr>
    </w:p>
    <w:p>
      <w:pPr>
        <w:pStyle w:val="21"/>
        <w:jc w:val="center"/>
        <w:outlineLvl w:val="1"/>
        <w:rPr>
          <w:rFonts w:hint="eastAsia" w:hAnsi="宋体"/>
          <w:b/>
          <w:bCs/>
          <w:color w:val="auto"/>
          <w:sz w:val="28"/>
          <w:szCs w:val="28"/>
          <w:highlight w:val="none"/>
        </w:rPr>
      </w:pPr>
      <w:bookmarkStart w:id="238" w:name="_Toc17007"/>
      <w:bookmarkStart w:id="239" w:name="_Toc18790"/>
      <w:bookmarkStart w:id="240" w:name="_Toc11826"/>
      <w:r>
        <w:rPr>
          <w:rFonts w:hint="eastAsia" w:hAnsi="宋体"/>
          <w:b/>
          <w:bCs/>
          <w:color w:val="auto"/>
          <w:sz w:val="28"/>
          <w:szCs w:val="28"/>
          <w:highlight w:val="none"/>
        </w:rPr>
        <w:t>第四节 技术文件格式</w:t>
      </w:r>
      <w:bookmarkEnd w:id="235"/>
      <w:bookmarkEnd w:id="236"/>
      <w:bookmarkEnd w:id="238"/>
      <w:bookmarkEnd w:id="239"/>
      <w:bookmarkEnd w:id="240"/>
    </w:p>
    <w:p>
      <w:pPr>
        <w:snapToGrid w:val="0"/>
        <w:spacing w:before="165"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电子投标文件</w:t>
      </w:r>
    </w:p>
    <w:p>
      <w:pPr>
        <w:snapToGrid w:val="0"/>
        <w:spacing w:before="165" w:beforeLines="50" w:after="50"/>
        <w:rPr>
          <w:rFonts w:hint="eastAsia" w:ascii="宋体" w:hAnsi="宋体"/>
          <w:color w:val="auto"/>
          <w:sz w:val="24"/>
          <w:szCs w:val="20"/>
          <w:highlight w:val="none"/>
        </w:rPr>
      </w:pPr>
    </w:p>
    <w:p>
      <w:pPr>
        <w:snapToGrid w:val="0"/>
        <w:spacing w:before="165" w:beforeLines="50" w:after="50"/>
        <w:jc w:val="center"/>
        <w:rPr>
          <w:rFonts w:hint="eastAsia" w:ascii="宋体" w:hAnsi="宋体"/>
          <w:b/>
          <w:bCs/>
          <w:color w:val="auto"/>
          <w:sz w:val="32"/>
          <w:szCs w:val="32"/>
          <w:highlight w:val="none"/>
        </w:rPr>
      </w:pPr>
    </w:p>
    <w:p>
      <w:pPr>
        <w:snapToGrid w:val="0"/>
        <w:spacing w:before="165" w:beforeLines="50" w:after="50"/>
        <w:jc w:val="center"/>
        <w:rPr>
          <w:rFonts w:hint="eastAsia" w:ascii="宋体" w:hAnsi="宋体"/>
          <w:b/>
          <w:bCs/>
          <w:color w:val="auto"/>
          <w:sz w:val="32"/>
          <w:szCs w:val="32"/>
          <w:highlight w:val="none"/>
        </w:rPr>
      </w:pPr>
    </w:p>
    <w:p>
      <w:pPr>
        <w:snapToGrid w:val="0"/>
        <w:spacing w:before="165" w:beforeLines="50" w:after="50"/>
        <w:jc w:val="center"/>
        <w:rPr>
          <w:rFonts w:hint="eastAsia" w:ascii="宋体" w:hAnsi="宋体"/>
          <w:b/>
          <w:bCs/>
          <w:color w:val="auto"/>
          <w:sz w:val="32"/>
          <w:szCs w:val="32"/>
          <w:highlight w:val="none"/>
        </w:rPr>
      </w:pPr>
    </w:p>
    <w:p>
      <w:pPr>
        <w:snapToGrid w:val="0"/>
        <w:spacing w:before="165" w:beforeLines="50" w:after="50"/>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技术文件（封面）</w:t>
      </w:r>
    </w:p>
    <w:p>
      <w:pPr>
        <w:snapToGrid w:val="0"/>
        <w:spacing w:before="165" w:beforeLines="50" w:after="50"/>
        <w:rPr>
          <w:rFonts w:hint="eastAsia" w:ascii="宋体" w:hAnsi="宋体"/>
          <w:bCs/>
          <w:color w:val="auto"/>
          <w:sz w:val="24"/>
          <w:szCs w:val="20"/>
          <w:highlight w:val="none"/>
        </w:rPr>
      </w:pPr>
    </w:p>
    <w:p>
      <w:pPr>
        <w:snapToGrid w:val="0"/>
        <w:spacing w:before="165" w:beforeLines="50" w:after="50" w:line="400" w:lineRule="exact"/>
        <w:ind w:firstLine="360" w:firstLineChars="150"/>
        <w:rPr>
          <w:rFonts w:hint="eastAsia" w:ascii="宋体" w:hAnsi="宋体"/>
          <w:bCs/>
          <w:color w:val="auto"/>
          <w:sz w:val="24"/>
          <w:szCs w:val="20"/>
          <w:highlight w:val="none"/>
        </w:rPr>
      </w:pPr>
      <w:r>
        <w:rPr>
          <w:rFonts w:hint="eastAsia" w:ascii="宋体" w:hAnsi="宋体"/>
          <w:bCs/>
          <w:color w:val="auto"/>
          <w:sz w:val="24"/>
          <w:highlight w:val="none"/>
        </w:rPr>
        <w:t xml:space="preserve">项目名称： </w:t>
      </w:r>
    </w:p>
    <w:p>
      <w:pPr>
        <w:snapToGrid w:val="0"/>
        <w:spacing w:before="165"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65"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65"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投标人名称：</w:t>
      </w:r>
    </w:p>
    <w:p>
      <w:pPr>
        <w:snapToGrid w:val="0"/>
        <w:spacing w:before="165"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snapToGrid w:val="0"/>
        <w:spacing w:before="165" w:beforeLines="50" w:after="50"/>
        <w:ind w:firstLine="645"/>
        <w:jc w:val="center"/>
        <w:rPr>
          <w:rFonts w:hint="eastAsia" w:ascii="宋体" w:hAnsi="宋体"/>
          <w:color w:val="auto"/>
          <w:sz w:val="24"/>
          <w:highlight w:val="none"/>
        </w:rPr>
      </w:pPr>
      <w:r>
        <w:rPr>
          <w:rFonts w:hint="eastAsia" w:ascii="宋体" w:hAnsi="宋体"/>
          <w:color w:val="auto"/>
          <w:sz w:val="24"/>
          <w:highlight w:val="none"/>
        </w:rPr>
        <w:t xml:space="preserve">                        年    月    日</w:t>
      </w:r>
    </w:p>
    <w:p>
      <w:pPr>
        <w:snapToGrid w:val="0"/>
        <w:spacing w:before="165" w:beforeLines="50" w:after="50"/>
        <w:ind w:firstLine="645"/>
        <w:jc w:val="center"/>
        <w:rPr>
          <w:rFonts w:hint="eastAsia" w:ascii="宋体" w:hAnsi="宋体"/>
          <w:color w:val="auto"/>
          <w:sz w:val="24"/>
          <w:szCs w:val="20"/>
          <w:highlight w:val="none"/>
        </w:rPr>
      </w:pPr>
    </w:p>
    <w:p>
      <w:pPr>
        <w:jc w:val="center"/>
        <w:rPr>
          <w:rFonts w:hint="eastAsia" w:ascii="仿宋_GB2312" w:hAnsi="仿宋" w:eastAsia="仿宋_GB2312" w:cs="仿宋_GB2312"/>
          <w:b/>
          <w:color w:val="auto"/>
          <w:kern w:val="0"/>
          <w:sz w:val="28"/>
          <w:szCs w:val="28"/>
          <w:highlight w:val="none"/>
        </w:rPr>
      </w:pPr>
      <w:r>
        <w:rPr>
          <w:rFonts w:ascii="宋体" w:hAnsi="宋体"/>
          <w:b/>
          <w:bCs/>
          <w:color w:val="auto"/>
          <w:sz w:val="24"/>
          <w:highlight w:val="none"/>
        </w:rPr>
        <w:br w:type="page"/>
      </w:r>
      <w:r>
        <w:rPr>
          <w:rFonts w:hint="eastAsia" w:ascii="仿宋_GB2312" w:hAnsi="仿宋" w:eastAsia="仿宋_GB2312" w:cs="仿宋_GB2312"/>
          <w:b/>
          <w:color w:val="auto"/>
          <w:kern w:val="0"/>
          <w:sz w:val="28"/>
          <w:szCs w:val="28"/>
          <w:highlight w:val="none"/>
        </w:rPr>
        <w:t>技术文件目录</w:t>
      </w:r>
    </w:p>
    <w:p>
      <w:pPr>
        <w:pStyle w:val="114"/>
        <w:spacing w:line="360" w:lineRule="auto"/>
        <w:rPr>
          <w:rFonts w:hint="eastAsia" w:cs="仿宋_GB2312"/>
          <w:color w:val="auto"/>
          <w:highlight w:val="none"/>
        </w:rPr>
      </w:pPr>
      <w:r>
        <w:rPr>
          <w:rFonts w:hint="eastAsia" w:cs="仿宋_GB2312"/>
          <w:color w:val="auto"/>
          <w:highlight w:val="none"/>
        </w:rPr>
        <w:t>一、服务需求、技术需求偏离表</w:t>
      </w:r>
      <w:r>
        <w:rPr>
          <w:rFonts w:hint="eastAsia" w:cs="仿宋_GB2312"/>
          <w:color w:val="auto"/>
          <w:highlight w:val="none"/>
          <w:lang w:val="en-US" w:eastAsia="zh-CN"/>
        </w:rPr>
        <w:t xml:space="preserve"> </w:t>
      </w:r>
      <w:r>
        <w:rPr>
          <w:rFonts w:hint="eastAsia" w:cs="仿宋_GB2312"/>
          <w:color w:val="auto"/>
          <w:highlight w:val="none"/>
        </w:rPr>
        <w:t>…………………………………………………（页码）</w:t>
      </w:r>
    </w:p>
    <w:p>
      <w:pPr>
        <w:pStyle w:val="114"/>
        <w:spacing w:line="360" w:lineRule="auto"/>
        <w:rPr>
          <w:rFonts w:hint="eastAsia" w:cs="仿宋_GB2312"/>
          <w:color w:val="auto"/>
          <w:highlight w:val="none"/>
        </w:rPr>
      </w:pPr>
      <w:r>
        <w:rPr>
          <w:rFonts w:hint="eastAsia" w:ascii="宋体" w:hAnsi="宋体"/>
          <w:color w:val="auto"/>
          <w:szCs w:val="21"/>
          <w:highlight w:val="none"/>
          <w:lang w:val="en-US" w:eastAsia="zh-CN"/>
        </w:rPr>
        <w:t>二、</w:t>
      </w:r>
      <w:r>
        <w:rPr>
          <w:rFonts w:hint="eastAsia" w:ascii="宋体" w:hAnsi="宋体"/>
          <w:color w:val="auto"/>
          <w:szCs w:val="21"/>
          <w:highlight w:val="none"/>
        </w:rPr>
        <w:t>项目服务</w:t>
      </w:r>
      <w:r>
        <w:rPr>
          <w:rFonts w:hint="eastAsia" w:ascii="宋体" w:hAnsi="宋体"/>
          <w:bCs/>
          <w:color w:val="auto"/>
          <w:szCs w:val="21"/>
          <w:highlight w:val="none"/>
        </w:rPr>
        <w:t>方案</w:t>
      </w:r>
      <w:r>
        <w:rPr>
          <w:rFonts w:hint="eastAsia" w:ascii="宋体" w:hAnsi="宋体"/>
          <w:bCs/>
          <w:color w:val="auto"/>
          <w:szCs w:val="21"/>
          <w:highlight w:val="none"/>
          <w:lang w:val="en-US" w:eastAsia="zh-CN"/>
        </w:rPr>
        <w:t xml:space="preserve"> </w:t>
      </w:r>
      <w:r>
        <w:rPr>
          <w:rFonts w:hint="eastAsia" w:cs="仿宋_GB2312"/>
          <w:color w:val="auto"/>
          <w:highlight w:val="none"/>
        </w:rPr>
        <w:t>…………………………………………………………………（页码）</w:t>
      </w:r>
    </w:p>
    <w:p>
      <w:pPr>
        <w:pStyle w:val="114"/>
        <w:spacing w:line="360" w:lineRule="auto"/>
        <w:rPr>
          <w:rFonts w:hint="default" w:cs="仿宋_GB2312"/>
          <w:color w:val="auto"/>
          <w:highlight w:val="none"/>
          <w:lang w:val="en-US"/>
        </w:rPr>
      </w:pPr>
      <w:r>
        <w:rPr>
          <w:rFonts w:hint="eastAsia" w:cs="仿宋_GB2312"/>
          <w:color w:val="auto"/>
          <w:highlight w:val="none"/>
          <w:lang w:val="en-US" w:eastAsia="zh-CN"/>
        </w:rPr>
        <w:t>三</w:t>
      </w:r>
      <w:r>
        <w:rPr>
          <w:rFonts w:hint="default" w:cs="仿宋_GB2312"/>
          <w:color w:val="auto"/>
          <w:highlight w:val="none"/>
          <w:lang w:val="en-US"/>
        </w:rPr>
        <w:t>.对应采购需求的服务需求、商务条款提供的其他文件资料；</w:t>
      </w:r>
      <w:r>
        <w:rPr>
          <w:rFonts w:hint="eastAsia" w:cs="仿宋_GB2312"/>
          <w:color w:val="auto"/>
          <w:highlight w:val="none"/>
          <w:lang w:val="en-US" w:eastAsia="zh-CN"/>
        </w:rPr>
        <w:t>（</w:t>
      </w:r>
      <w:r>
        <w:rPr>
          <w:rFonts w:hint="eastAsia" w:cs="仿宋_GB2312"/>
          <w:color w:val="auto"/>
          <w:highlight w:val="none"/>
        </w:rPr>
        <w:t>如有）</w:t>
      </w:r>
      <w:r>
        <w:rPr>
          <w:rFonts w:hint="eastAsia" w:cs="仿宋_GB2312"/>
          <w:color w:val="auto"/>
          <w:highlight w:val="none"/>
          <w:lang w:val="zh-CN"/>
        </w:rPr>
        <w:t>……</w:t>
      </w:r>
      <w:r>
        <w:rPr>
          <w:rFonts w:hint="eastAsia" w:cs="仿宋_GB2312"/>
          <w:color w:val="auto"/>
          <w:highlight w:val="none"/>
        </w:rPr>
        <w:t>（页码）</w:t>
      </w:r>
    </w:p>
    <w:p>
      <w:pPr>
        <w:pStyle w:val="114"/>
        <w:spacing w:line="360" w:lineRule="auto"/>
        <w:rPr>
          <w:rFonts w:hint="eastAsia" w:cs="仿宋_GB2312"/>
          <w:color w:val="auto"/>
          <w:highlight w:val="none"/>
        </w:rPr>
      </w:pPr>
      <w:r>
        <w:rPr>
          <w:rFonts w:hint="eastAsia" w:cs="仿宋_GB2312"/>
          <w:color w:val="auto"/>
          <w:highlight w:val="none"/>
          <w:lang w:val="en-US" w:eastAsia="zh-CN"/>
        </w:rPr>
        <w:t xml:space="preserve">四 </w:t>
      </w:r>
      <w:r>
        <w:rPr>
          <w:rFonts w:hint="eastAsia" w:cs="仿宋_GB2312"/>
          <w:color w:val="auto"/>
          <w:highlight w:val="none"/>
        </w:rPr>
        <w:t>、投标人认为需要提供的其他有关资料。（如有）</w:t>
      </w:r>
      <w:r>
        <w:rPr>
          <w:rFonts w:hint="eastAsia" w:cs="仿宋_GB2312"/>
          <w:color w:val="auto"/>
          <w:highlight w:val="none"/>
          <w:lang w:val="zh-CN"/>
        </w:rPr>
        <w:t>…………………………</w:t>
      </w:r>
      <w:r>
        <w:rPr>
          <w:rFonts w:hint="eastAsia" w:cs="仿宋_GB2312"/>
          <w:color w:val="auto"/>
          <w:highlight w:val="none"/>
        </w:rPr>
        <w:t>（页码）</w:t>
      </w:r>
    </w:p>
    <w:p>
      <w:pPr>
        <w:spacing w:line="360" w:lineRule="auto"/>
        <w:ind w:firstLine="482" w:firstLineChars="200"/>
        <w:rPr>
          <w:rFonts w:hint="eastAsia" w:ascii="仿宋_GB2312" w:hAnsi="仿宋" w:eastAsia="仿宋_GB2312" w:cs="仿宋_GB2312"/>
          <w:b/>
          <w:bCs/>
          <w:color w:val="auto"/>
          <w:sz w:val="24"/>
          <w:highlight w:val="none"/>
        </w:rPr>
      </w:pPr>
      <w:r>
        <w:rPr>
          <w:rFonts w:hint="eastAsia" w:ascii="仿宋_GB2312" w:hAnsi="仿宋" w:eastAsia="仿宋_GB2312" w:cs="仿宋_GB2312"/>
          <w:b/>
          <w:bCs/>
          <w:color w:val="auto"/>
          <w:sz w:val="24"/>
          <w:highlight w:val="none"/>
        </w:rPr>
        <w:t>注：以上目录是基本格式，各投标人可根据自身情况增减。</w:t>
      </w:r>
    </w:p>
    <w:p>
      <w:pPr>
        <w:snapToGrid w:val="0"/>
        <w:spacing w:before="165" w:beforeLines="50" w:after="50"/>
        <w:ind w:left="143" w:leftChars="68" w:firstLine="472" w:firstLineChars="196"/>
        <w:jc w:val="left"/>
        <w:rPr>
          <w:rFonts w:ascii="宋体" w:hAnsi="宋体"/>
          <w:b/>
          <w:color w:val="auto"/>
          <w:sz w:val="24"/>
          <w:highlight w:val="none"/>
        </w:rPr>
      </w:pPr>
    </w:p>
    <w:p>
      <w:pPr>
        <w:snapToGrid w:val="0"/>
        <w:spacing w:before="165" w:beforeLines="50" w:after="50"/>
        <w:ind w:left="143" w:leftChars="68" w:firstLine="472" w:firstLineChars="196"/>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 xml:space="preserve"> </w:t>
      </w:r>
    </w:p>
    <w:p>
      <w:pPr>
        <w:pStyle w:val="21"/>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一、服务需求、技术需求偏离表</w:t>
      </w:r>
    </w:p>
    <w:p>
      <w:pPr>
        <w:pStyle w:val="21"/>
        <w:spacing w:line="440" w:lineRule="exact"/>
        <w:ind w:firstLine="420" w:firstLineChars="200"/>
        <w:rPr>
          <w:rFonts w:hint="eastAsia"/>
          <w:color w:val="auto"/>
          <w:highlight w:val="none"/>
        </w:rPr>
      </w:pPr>
    </w:p>
    <w:p>
      <w:pPr>
        <w:pStyle w:val="21"/>
        <w:spacing w:line="600" w:lineRule="exact"/>
        <w:ind w:firstLine="480" w:firstLineChars="200"/>
        <w:rPr>
          <w:rFonts w:hAnsi="宋体"/>
          <w:color w:val="auto"/>
          <w:sz w:val="24"/>
          <w:szCs w:val="24"/>
          <w:highlight w:val="none"/>
        </w:rPr>
      </w:pPr>
      <w:r>
        <w:rPr>
          <w:rFonts w:hint="eastAsia" w:hAnsi="宋体"/>
          <w:color w:val="auto"/>
          <w:sz w:val="24"/>
          <w:szCs w:val="24"/>
          <w:highlight w:val="none"/>
        </w:rPr>
        <w:t>请根据所投服务的实际技术参数，</w:t>
      </w:r>
      <w:r>
        <w:rPr>
          <w:rFonts w:hint="eastAsia" w:hAnsi="宋体"/>
          <w:b/>
          <w:color w:val="auto"/>
          <w:sz w:val="28"/>
          <w:szCs w:val="28"/>
          <w:highlight w:val="none"/>
        </w:rPr>
        <w:t>逐条对应</w:t>
      </w:r>
      <w:r>
        <w:rPr>
          <w:rFonts w:hint="eastAsia" w:hAnsi="宋体"/>
          <w:color w:val="auto"/>
          <w:sz w:val="24"/>
          <w:szCs w:val="24"/>
          <w:highlight w:val="none"/>
        </w:rPr>
        <w:t>本项目招标文件第二章</w:t>
      </w:r>
      <w:r>
        <w:rPr>
          <w:rFonts w:hAnsi="宋体"/>
          <w:color w:val="auto"/>
          <w:sz w:val="24"/>
          <w:szCs w:val="24"/>
          <w:highlight w:val="none"/>
        </w:rPr>
        <w:t>“</w:t>
      </w:r>
      <w:r>
        <w:rPr>
          <w:rFonts w:hint="eastAsia" w:hAnsi="宋体"/>
          <w:color w:val="auto"/>
          <w:sz w:val="24"/>
          <w:szCs w:val="24"/>
          <w:highlight w:val="none"/>
        </w:rPr>
        <w:t>服务需求一览表</w:t>
      </w:r>
      <w:r>
        <w:rPr>
          <w:rFonts w:hAnsi="宋体"/>
          <w:color w:val="auto"/>
          <w:sz w:val="24"/>
          <w:szCs w:val="24"/>
          <w:highlight w:val="none"/>
        </w:rPr>
        <w:t>”</w:t>
      </w:r>
      <w:r>
        <w:rPr>
          <w:rFonts w:hint="eastAsia" w:hAnsi="宋体"/>
          <w:color w:val="auto"/>
          <w:sz w:val="24"/>
          <w:szCs w:val="24"/>
          <w:highlight w:val="none"/>
        </w:rPr>
        <w:t>中的</w:t>
      </w:r>
      <w:r>
        <w:rPr>
          <w:rFonts w:hint="eastAsia" w:hAnsi="宋体"/>
          <w:b/>
          <w:color w:val="auto"/>
          <w:sz w:val="28"/>
          <w:szCs w:val="28"/>
          <w:highlight w:val="none"/>
        </w:rPr>
        <w:t>采购清单及服务参数</w:t>
      </w:r>
      <w:r>
        <w:rPr>
          <w:rFonts w:hint="eastAsia" w:hAnsi="宋体"/>
          <w:color w:val="auto"/>
          <w:sz w:val="24"/>
          <w:szCs w:val="24"/>
          <w:highlight w:val="none"/>
        </w:rPr>
        <w:t>详细填写相应的具体内容。</w:t>
      </w:r>
      <w:r>
        <w:rPr>
          <w:rFonts w:hAnsi="宋体"/>
          <w:color w:val="auto"/>
          <w:sz w:val="24"/>
          <w:szCs w:val="24"/>
          <w:highlight w:val="none"/>
        </w:rPr>
        <w:t>“</w:t>
      </w:r>
      <w:r>
        <w:rPr>
          <w:rFonts w:hint="eastAsia" w:hAnsi="宋体"/>
          <w:color w:val="auto"/>
          <w:sz w:val="24"/>
          <w:szCs w:val="24"/>
          <w:highlight w:val="none"/>
        </w:rPr>
        <w:t>偏离说明</w:t>
      </w:r>
      <w:r>
        <w:rPr>
          <w:rFonts w:hAnsi="宋体"/>
          <w:color w:val="auto"/>
          <w:sz w:val="24"/>
          <w:szCs w:val="24"/>
          <w:highlight w:val="none"/>
        </w:rPr>
        <w:t>”</w:t>
      </w:r>
      <w:r>
        <w:rPr>
          <w:rFonts w:hint="eastAsia" w:hAnsi="宋体"/>
          <w:color w:val="auto"/>
          <w:sz w:val="24"/>
          <w:szCs w:val="24"/>
          <w:highlight w:val="none"/>
        </w:rPr>
        <w:t>一栏应当选择</w:t>
      </w:r>
      <w:r>
        <w:rPr>
          <w:rFonts w:hAnsi="宋体"/>
          <w:color w:val="auto"/>
          <w:sz w:val="24"/>
          <w:szCs w:val="24"/>
          <w:highlight w:val="none"/>
        </w:rPr>
        <w:t>“</w:t>
      </w:r>
      <w:r>
        <w:rPr>
          <w:rFonts w:hint="eastAsia" w:hAnsi="宋体"/>
          <w:color w:val="auto"/>
          <w:sz w:val="24"/>
          <w:szCs w:val="24"/>
          <w:highlight w:val="none"/>
        </w:rPr>
        <w:t>正偏离</w:t>
      </w:r>
      <w:r>
        <w:rPr>
          <w:rFonts w:hAnsi="宋体"/>
          <w:color w:val="auto"/>
          <w:sz w:val="24"/>
          <w:szCs w:val="24"/>
          <w:highlight w:val="none"/>
        </w:rPr>
        <w:t>”</w:t>
      </w:r>
      <w:r>
        <w:rPr>
          <w:rFonts w:hint="eastAsia" w:hAnsi="宋体"/>
          <w:color w:val="auto"/>
          <w:sz w:val="24"/>
          <w:szCs w:val="24"/>
          <w:highlight w:val="none"/>
        </w:rPr>
        <w:t>、</w:t>
      </w:r>
      <w:r>
        <w:rPr>
          <w:rFonts w:hAnsi="宋体"/>
          <w:color w:val="auto"/>
          <w:sz w:val="24"/>
          <w:szCs w:val="24"/>
          <w:highlight w:val="none"/>
        </w:rPr>
        <w:t>“</w:t>
      </w:r>
      <w:r>
        <w:rPr>
          <w:rFonts w:hint="eastAsia" w:hAnsi="宋体"/>
          <w:color w:val="auto"/>
          <w:sz w:val="24"/>
          <w:szCs w:val="24"/>
          <w:highlight w:val="none"/>
        </w:rPr>
        <w:t>负偏离</w:t>
      </w:r>
      <w:r>
        <w:rPr>
          <w:rFonts w:hAnsi="宋体"/>
          <w:color w:val="auto"/>
          <w:sz w:val="24"/>
          <w:szCs w:val="24"/>
          <w:highlight w:val="none"/>
        </w:rPr>
        <w:t>”</w:t>
      </w:r>
      <w:r>
        <w:rPr>
          <w:rFonts w:hint="eastAsia" w:hAnsi="宋体"/>
          <w:color w:val="auto"/>
          <w:sz w:val="24"/>
          <w:szCs w:val="24"/>
          <w:highlight w:val="none"/>
        </w:rPr>
        <w:t>或</w:t>
      </w:r>
      <w:r>
        <w:rPr>
          <w:rFonts w:hAnsi="宋体"/>
          <w:color w:val="auto"/>
          <w:sz w:val="24"/>
          <w:szCs w:val="24"/>
          <w:highlight w:val="none"/>
        </w:rPr>
        <w:t>“</w:t>
      </w:r>
      <w:r>
        <w:rPr>
          <w:rFonts w:hint="eastAsia" w:hAnsi="宋体"/>
          <w:color w:val="auto"/>
          <w:sz w:val="24"/>
          <w:szCs w:val="24"/>
          <w:highlight w:val="none"/>
        </w:rPr>
        <w:t>无偏离</w:t>
      </w:r>
      <w:r>
        <w:rPr>
          <w:rFonts w:hAnsi="宋体"/>
          <w:color w:val="auto"/>
          <w:sz w:val="24"/>
          <w:szCs w:val="24"/>
          <w:highlight w:val="none"/>
        </w:rPr>
        <w:t>”</w:t>
      </w:r>
      <w:r>
        <w:rPr>
          <w:rFonts w:hint="eastAsia" w:hAnsi="宋体"/>
          <w:color w:val="auto"/>
          <w:sz w:val="24"/>
          <w:szCs w:val="24"/>
          <w:highlight w:val="none"/>
        </w:rPr>
        <w:t>进行填写。</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服务参数</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  ……</w:t>
            </w:r>
          </w:p>
          <w:p>
            <w:pPr>
              <w:rPr>
                <w:rFonts w:ascii="宋体" w:hAnsi="宋体"/>
                <w:color w:val="auto"/>
                <w:szCs w:val="21"/>
                <w:highlight w:val="none"/>
              </w:rPr>
            </w:pPr>
            <w:r>
              <w:rPr>
                <w:rFonts w:ascii="宋体" w:hAnsi="宋体"/>
                <w:color w:val="auto"/>
                <w:szCs w:val="21"/>
                <w:highlight w:val="none"/>
              </w:rPr>
              <w:t>2  ……</w:t>
            </w:r>
          </w:p>
          <w:p>
            <w:pPr>
              <w:rPr>
                <w:rFonts w:ascii="宋体" w:hAnsi="宋体"/>
                <w:color w:val="auto"/>
                <w:szCs w:val="21"/>
                <w:highlight w:val="none"/>
              </w:rPr>
            </w:pPr>
            <w:r>
              <w:rPr>
                <w:rFonts w:ascii="宋体" w:hAnsi="宋体"/>
                <w:color w:val="auto"/>
                <w:szCs w:val="21"/>
                <w:highlight w:val="none"/>
              </w:rPr>
              <w:t>3  ……</w:t>
            </w:r>
          </w:p>
          <w:p>
            <w:pPr>
              <w:rPr>
                <w:rFonts w:ascii="宋体" w:hAnsi="宋体"/>
                <w:color w:val="auto"/>
                <w:szCs w:val="21"/>
                <w:highlight w:val="none"/>
              </w:rPr>
            </w:pPr>
            <w:r>
              <w:rPr>
                <w:rFonts w:ascii="宋体" w:hAnsi="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  ……</w:t>
            </w:r>
          </w:p>
          <w:p>
            <w:pPr>
              <w:rPr>
                <w:rFonts w:ascii="宋体" w:hAnsi="宋体"/>
                <w:color w:val="auto"/>
                <w:szCs w:val="21"/>
                <w:highlight w:val="none"/>
              </w:rPr>
            </w:pPr>
            <w:r>
              <w:rPr>
                <w:rFonts w:ascii="宋体" w:hAnsi="宋体"/>
                <w:color w:val="auto"/>
                <w:szCs w:val="21"/>
                <w:highlight w:val="none"/>
              </w:rPr>
              <w:t>2  ……</w:t>
            </w:r>
          </w:p>
          <w:p>
            <w:pPr>
              <w:rPr>
                <w:rFonts w:ascii="宋体" w:hAnsi="宋体"/>
                <w:color w:val="auto"/>
                <w:szCs w:val="21"/>
                <w:highlight w:val="none"/>
              </w:rPr>
            </w:pPr>
            <w:r>
              <w:rPr>
                <w:rFonts w:ascii="宋体" w:hAnsi="宋体"/>
                <w:color w:val="auto"/>
                <w:szCs w:val="21"/>
                <w:highlight w:val="none"/>
              </w:rPr>
              <w:t>3  ……</w:t>
            </w:r>
          </w:p>
          <w:p>
            <w:pPr>
              <w:rPr>
                <w:rFonts w:ascii="宋体" w:hAnsi="宋体"/>
                <w:color w:val="auto"/>
                <w:szCs w:val="21"/>
                <w:highlight w:val="none"/>
              </w:rPr>
            </w:pPr>
            <w:r>
              <w:rPr>
                <w:rFonts w:ascii="宋体" w:hAnsi="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  ……</w:t>
            </w:r>
          </w:p>
          <w:p>
            <w:pPr>
              <w:rPr>
                <w:rFonts w:ascii="宋体" w:hAnsi="宋体"/>
                <w:color w:val="auto"/>
                <w:szCs w:val="21"/>
                <w:highlight w:val="none"/>
              </w:rPr>
            </w:pPr>
            <w:r>
              <w:rPr>
                <w:rFonts w:ascii="宋体" w:hAnsi="宋体"/>
                <w:color w:val="auto"/>
                <w:szCs w:val="21"/>
                <w:highlight w:val="none"/>
              </w:rPr>
              <w:t>2  ……</w:t>
            </w:r>
          </w:p>
          <w:p>
            <w:pPr>
              <w:rPr>
                <w:rFonts w:ascii="宋体" w:hAnsi="宋体"/>
                <w:color w:val="auto"/>
                <w:szCs w:val="21"/>
                <w:highlight w:val="none"/>
              </w:rPr>
            </w:pPr>
            <w:r>
              <w:rPr>
                <w:rFonts w:ascii="宋体" w:hAnsi="宋体"/>
                <w:color w:val="auto"/>
                <w:szCs w:val="21"/>
                <w:highlight w:val="none"/>
              </w:rPr>
              <w:t>3  ……</w:t>
            </w:r>
          </w:p>
          <w:p>
            <w:pPr>
              <w:rPr>
                <w:rFonts w:ascii="宋体" w:hAnsi="宋体"/>
                <w:color w:val="auto"/>
                <w:szCs w:val="21"/>
                <w:highlight w:val="none"/>
              </w:rPr>
            </w:pPr>
            <w:r>
              <w:rPr>
                <w:rFonts w:ascii="宋体" w:hAnsi="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1  ……</w:t>
            </w:r>
          </w:p>
          <w:p>
            <w:pPr>
              <w:rPr>
                <w:rFonts w:ascii="宋体" w:hAnsi="宋体"/>
                <w:color w:val="auto"/>
                <w:szCs w:val="21"/>
                <w:highlight w:val="none"/>
              </w:rPr>
            </w:pPr>
            <w:r>
              <w:rPr>
                <w:rFonts w:ascii="宋体" w:hAnsi="宋体"/>
                <w:color w:val="auto"/>
                <w:szCs w:val="21"/>
                <w:highlight w:val="none"/>
              </w:rPr>
              <w:t>2  ……</w:t>
            </w:r>
          </w:p>
          <w:p>
            <w:pPr>
              <w:rPr>
                <w:rFonts w:ascii="宋体" w:hAnsi="宋体"/>
                <w:color w:val="auto"/>
                <w:szCs w:val="21"/>
                <w:highlight w:val="none"/>
              </w:rPr>
            </w:pPr>
            <w:r>
              <w:rPr>
                <w:rFonts w:ascii="宋体" w:hAnsi="宋体"/>
                <w:color w:val="auto"/>
                <w:szCs w:val="21"/>
                <w:highlight w:val="none"/>
              </w:rPr>
              <w:t>3  ……</w:t>
            </w:r>
          </w:p>
          <w:p>
            <w:pPr>
              <w:rPr>
                <w:rFonts w:ascii="宋体" w:hAnsi="宋体"/>
                <w:color w:val="auto"/>
                <w:szCs w:val="21"/>
                <w:highlight w:val="none"/>
              </w:rPr>
            </w:pPr>
            <w:r>
              <w:rPr>
                <w:rFonts w:ascii="宋体" w:hAnsi="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ascii="宋体" w:hAnsi="宋体"/>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u w:val="single"/>
              </w:rPr>
              <w:t>　　</w:t>
            </w:r>
            <w:r>
              <w:rPr>
                <w:rFonts w:hint="eastAsia" w:ascii="宋体" w:hAnsi="宋体"/>
                <w:color w:val="auto"/>
                <w:szCs w:val="21"/>
                <w:highlight w:val="none"/>
              </w:rPr>
              <w:t>分标（此处有分标时填写具体分标号，无分标时填写</w:t>
            </w:r>
            <w:r>
              <w:rPr>
                <w:rFonts w:ascii="宋体" w:hAnsi="宋体"/>
                <w:color w:val="auto"/>
                <w:szCs w:val="21"/>
                <w:highlight w:val="none"/>
              </w:rPr>
              <w:t>“</w:t>
            </w:r>
            <w:r>
              <w:rPr>
                <w:rFonts w:hint="eastAsia" w:ascii="宋体" w:hAnsi="宋体"/>
                <w:color w:val="auto"/>
                <w:szCs w:val="21"/>
                <w:highlight w:val="none"/>
              </w:rPr>
              <w:t>无</w:t>
            </w:r>
            <w:r>
              <w:rPr>
                <w:rFonts w:ascii="宋体" w:hAnsi="宋体"/>
                <w:color w:val="auto"/>
                <w:szCs w:val="21"/>
                <w:highlight w:val="none"/>
              </w:rPr>
              <w:t>”</w:t>
            </w:r>
            <w:r>
              <w:rPr>
                <w:rFonts w:hint="eastAsia" w:ascii="宋体" w:hAnsi="宋体"/>
                <w:color w:val="auto"/>
                <w:szCs w:val="21"/>
                <w:highlight w:val="none"/>
              </w:rPr>
              <w:t>）</w:t>
            </w:r>
          </w:p>
        </w:tc>
      </w:tr>
    </w:tbl>
    <w:p>
      <w:pPr>
        <w:pStyle w:val="21"/>
        <w:spacing w:line="360" w:lineRule="auto"/>
        <w:rPr>
          <w:rFonts w:hint="eastAsia" w:hAnsi="宋体"/>
          <w:color w:val="auto"/>
          <w:szCs w:val="21"/>
          <w:highlight w:val="none"/>
        </w:rPr>
      </w:pPr>
      <w:r>
        <w:rPr>
          <w:rFonts w:hint="eastAsia" w:hAnsi="宋体"/>
          <w:color w:val="auto"/>
          <w:szCs w:val="21"/>
          <w:highlight w:val="none"/>
        </w:rPr>
        <w:t>注：</w:t>
      </w:r>
    </w:p>
    <w:p>
      <w:pPr>
        <w:pStyle w:val="21"/>
        <w:spacing w:line="360" w:lineRule="auto"/>
        <w:rPr>
          <w:rFonts w:hint="eastAsia" w:hAnsi="宋体"/>
          <w:color w:val="auto"/>
          <w:szCs w:val="21"/>
          <w:highlight w:val="none"/>
        </w:rPr>
      </w:pPr>
      <w:r>
        <w:rPr>
          <w:rFonts w:hint="eastAsia" w:hAnsi="宋体" w:cs="宋体"/>
          <w:color w:val="auto"/>
          <w:szCs w:val="21"/>
          <w:highlight w:val="none"/>
        </w:rPr>
        <w:t>1.</w:t>
      </w:r>
      <w:r>
        <w:rPr>
          <w:rFonts w:hint="eastAsia" w:hAnsi="宋体"/>
          <w:color w:val="auto"/>
          <w:szCs w:val="21"/>
          <w:highlight w:val="none"/>
        </w:rPr>
        <w:t>表格内容均需按要求填写并盖章，不得留空，</w:t>
      </w:r>
      <w:r>
        <w:rPr>
          <w:rFonts w:hint="eastAsia" w:hAnsi="宋体"/>
          <w:bCs/>
          <w:color w:val="auto"/>
          <w:szCs w:val="21"/>
          <w:highlight w:val="none"/>
        </w:rPr>
        <w:t>否则按投标无效处理</w:t>
      </w:r>
      <w:r>
        <w:rPr>
          <w:rFonts w:hint="eastAsia" w:hAnsi="宋体"/>
          <w:color w:val="auto"/>
          <w:szCs w:val="21"/>
          <w:highlight w:val="none"/>
        </w:rPr>
        <w:t>。</w:t>
      </w:r>
    </w:p>
    <w:p>
      <w:pPr>
        <w:pStyle w:val="21"/>
        <w:spacing w:line="360" w:lineRule="auto"/>
        <w:rPr>
          <w:rFonts w:hAnsi="宋体"/>
          <w:color w:val="auto"/>
          <w:szCs w:val="21"/>
          <w:highlight w:val="none"/>
        </w:rPr>
      </w:pPr>
      <w:r>
        <w:rPr>
          <w:rFonts w:hint="eastAsia" w:hAnsi="宋体"/>
          <w:bCs/>
          <w:color w:val="auto"/>
          <w:szCs w:val="21"/>
          <w:highlight w:val="none"/>
        </w:rPr>
        <w:t>2.当投标文件的服务内容低于招标文件要求时，投标人应当如实写明</w:t>
      </w:r>
      <w:r>
        <w:rPr>
          <w:rFonts w:hAnsi="宋体"/>
          <w:bCs/>
          <w:color w:val="auto"/>
          <w:szCs w:val="21"/>
          <w:highlight w:val="none"/>
        </w:rPr>
        <w:t>“</w:t>
      </w:r>
      <w:r>
        <w:rPr>
          <w:rFonts w:hint="eastAsia" w:hAnsi="宋体"/>
          <w:bCs/>
          <w:color w:val="auto"/>
          <w:szCs w:val="21"/>
          <w:highlight w:val="none"/>
        </w:rPr>
        <w:t>负偏离</w:t>
      </w:r>
      <w:r>
        <w:rPr>
          <w:rFonts w:hAnsi="宋体"/>
          <w:bCs/>
          <w:color w:val="auto"/>
          <w:szCs w:val="21"/>
          <w:highlight w:val="none"/>
        </w:rPr>
        <w:t>”</w:t>
      </w:r>
      <w:r>
        <w:rPr>
          <w:rFonts w:hint="eastAsia" w:hAnsi="宋体"/>
          <w:bCs/>
          <w:color w:val="auto"/>
          <w:szCs w:val="21"/>
          <w:highlight w:val="none"/>
        </w:rPr>
        <w:t>，否则视为虚假应标。</w:t>
      </w:r>
    </w:p>
    <w:p>
      <w:pPr>
        <w:pStyle w:val="21"/>
        <w:spacing w:line="360" w:lineRule="auto"/>
        <w:rPr>
          <w:rFonts w:hint="eastAsia"/>
          <w:color w:val="auto"/>
          <w:highlight w:val="none"/>
        </w:rPr>
      </w:pPr>
      <w:r>
        <w:rPr>
          <w:rFonts w:hint="eastAsia"/>
          <w:color w:val="auto"/>
          <w:highlight w:val="none"/>
        </w:rPr>
        <w:t>3.</w:t>
      </w:r>
      <w:r>
        <w:rPr>
          <w:rFonts w:hint="eastAsia" w:hAnsi="宋体" w:cs="宋体"/>
          <w:color w:val="auto"/>
          <w:szCs w:val="21"/>
          <w:highlight w:val="none"/>
        </w:rPr>
        <w:t>采购需求中带“▲”及“★”的条款，也要分别在本表“</w:t>
      </w:r>
      <w:r>
        <w:rPr>
          <w:rFonts w:hint="eastAsia" w:hAnsi="宋体"/>
          <w:color w:val="auto"/>
          <w:szCs w:val="21"/>
          <w:highlight w:val="none"/>
        </w:rPr>
        <w:t>服务参数</w:t>
      </w:r>
      <w:r>
        <w:rPr>
          <w:rFonts w:hint="eastAsia" w:hAnsi="宋体" w:cs="宋体"/>
          <w:color w:val="auto"/>
          <w:szCs w:val="21"/>
          <w:highlight w:val="none"/>
        </w:rPr>
        <w:t>”、“</w:t>
      </w:r>
      <w:r>
        <w:rPr>
          <w:rFonts w:hint="eastAsia" w:hAnsi="宋体"/>
          <w:color w:val="auto"/>
          <w:szCs w:val="21"/>
          <w:highlight w:val="none"/>
        </w:rPr>
        <w:t>所提供服务的内容</w:t>
      </w:r>
      <w:r>
        <w:rPr>
          <w:rFonts w:hint="eastAsia" w:hAnsi="宋体" w:cs="宋体"/>
          <w:color w:val="auto"/>
          <w:szCs w:val="21"/>
          <w:highlight w:val="none"/>
        </w:rPr>
        <w:t>”中标记。</w:t>
      </w:r>
    </w:p>
    <w:p>
      <w:pPr>
        <w:snapToGrid w:val="0"/>
        <w:spacing w:line="360" w:lineRule="auto"/>
        <w:ind w:firstLine="5640" w:firstLineChars="2350"/>
        <w:rPr>
          <w:rFonts w:hint="eastAsia" w:ascii="仿宋_GB2312" w:hAnsi="仿宋" w:eastAsia="仿宋_GB2312" w:cs="仿宋_GB2312"/>
          <w:color w:val="auto"/>
          <w:kern w:val="0"/>
          <w:sz w:val="24"/>
          <w:highlight w:val="none"/>
          <w:lang w:val="zh-CN"/>
        </w:rPr>
      </w:pPr>
    </w:p>
    <w:p>
      <w:pPr>
        <w:snapToGrid w:val="0"/>
        <w:spacing w:line="360" w:lineRule="auto"/>
        <w:ind w:firstLine="5640" w:firstLineChars="235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before="165" w:beforeLines="50" w:after="50"/>
        <w:ind w:left="143" w:leftChars="68" w:firstLine="600" w:firstLineChars="200"/>
        <w:jc w:val="left"/>
        <w:rPr>
          <w:rFonts w:ascii="宋体" w:hAnsi="宋体"/>
          <w:color w:val="auto"/>
          <w:sz w:val="30"/>
          <w:szCs w:val="20"/>
          <w:highlight w:val="none"/>
        </w:rPr>
        <w:sectPr>
          <w:footerReference r:id="rId22" w:type="first"/>
          <w:headerReference r:id="rId19" w:type="default"/>
          <w:footerReference r:id="rId20" w:type="default"/>
          <w:footerReference r:id="rId21" w:type="even"/>
          <w:pgSz w:w="11905" w:h="16838"/>
          <w:pgMar w:top="1134" w:right="1134" w:bottom="1134" w:left="1134" w:header="720" w:footer="720" w:gutter="0"/>
          <w:cols w:space="720" w:num="1"/>
          <w:docGrid w:type="lines" w:linePitch="331" w:charSpace="0"/>
        </w:sectPr>
      </w:pPr>
    </w:p>
    <w:p>
      <w:pPr>
        <w:numPr>
          <w:ilvl w:val="0"/>
          <w:numId w:val="4"/>
        </w:numPr>
        <w:snapToGrid w:val="0"/>
        <w:spacing w:before="165" w:beforeLines="50" w:after="50"/>
        <w:jc w:val="center"/>
        <w:rPr>
          <w:rFonts w:hint="eastAsia"/>
          <w:b/>
          <w:bCs/>
          <w:color w:val="auto"/>
          <w:sz w:val="30"/>
          <w:szCs w:val="30"/>
          <w:highlight w:val="none"/>
        </w:rPr>
      </w:pPr>
      <w:r>
        <w:rPr>
          <w:rFonts w:hint="eastAsia"/>
          <w:b/>
          <w:bCs/>
          <w:color w:val="auto"/>
          <w:sz w:val="30"/>
          <w:szCs w:val="30"/>
          <w:highlight w:val="none"/>
        </w:rPr>
        <w:t xml:space="preserve">项目服务方案 </w:t>
      </w:r>
    </w:p>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spacing w:line="360" w:lineRule="auto"/>
        <w:ind w:firstLine="4048" w:firstLineChars="1687"/>
        <w:rPr>
          <w:rFonts w:ascii="仿宋_GB2312" w:hAnsi="仿宋" w:eastAsia="仿宋_GB2312"/>
          <w:color w:val="auto"/>
          <w:sz w:val="24"/>
          <w:highlight w:val="none"/>
        </w:rPr>
      </w:pPr>
      <w:r>
        <w:rPr>
          <w:rFonts w:hint="eastAsia" w:ascii="仿宋_GB2312" w:hAnsi="仿宋" w:eastAsia="仿宋_GB2312"/>
          <w:color w:val="auto"/>
          <w:sz w:val="24"/>
          <w:highlight w:val="none"/>
        </w:rPr>
        <w:t>（如有，格式自拟）</w:t>
      </w:r>
    </w:p>
    <w:p>
      <w:pPr>
        <w:rPr>
          <w:rFonts w:hint="eastAsia" w:ascii="仿宋_GB2312" w:hAnsi="仿宋" w:eastAsia="仿宋_GB2312" w:cs="仿宋_GB2312"/>
          <w:color w:val="auto"/>
          <w:sz w:val="24"/>
          <w:highlight w:val="none"/>
        </w:rPr>
      </w:pPr>
    </w:p>
    <w:p>
      <w:pPr>
        <w:rPr>
          <w:rFonts w:hint="eastAsia" w:ascii="仿宋_GB2312" w:hAnsi="仿宋" w:eastAsia="仿宋_GB2312" w:cs="仿宋_GB2312"/>
          <w:b/>
          <w:bCs/>
          <w:color w:val="auto"/>
          <w:kern w:val="0"/>
          <w:sz w:val="24"/>
          <w:highlight w:val="none"/>
          <w:lang w:val="zh-CN"/>
        </w:rPr>
      </w:pPr>
    </w:p>
    <w:p>
      <w:pPr>
        <w:autoSpaceDE w:val="0"/>
        <w:autoSpaceDN w:val="0"/>
        <w:spacing w:line="360" w:lineRule="auto"/>
        <w:ind w:firstLine="4440" w:firstLineChars="185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投标人名称（电子签章）：</w:t>
      </w:r>
    </w:p>
    <w:p>
      <w:pPr>
        <w:autoSpaceDE w:val="0"/>
        <w:autoSpaceDN w:val="0"/>
        <w:spacing w:line="360" w:lineRule="auto"/>
        <w:rPr>
          <w:rFonts w:hint="eastAsia" w:ascii="仿宋_GB2312" w:hAnsi="仿宋" w:eastAsia="仿宋_GB2312" w:cs="仿宋_GB2312"/>
          <w:b/>
          <w:bCs/>
          <w:color w:val="auto"/>
          <w:sz w:val="32"/>
          <w:szCs w:val="32"/>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snapToGrid w:val="0"/>
        <w:spacing w:line="360" w:lineRule="auto"/>
        <w:ind w:firstLine="4935" w:firstLineChars="2350"/>
        <w:rPr>
          <w:rFonts w:hint="eastAsia" w:hAnsi="宋体"/>
          <w:color w:val="auto"/>
          <w:szCs w:val="21"/>
          <w:highlight w:val="none"/>
        </w:rPr>
      </w:pPr>
      <w:r>
        <w:rPr>
          <w:rFonts w:hAnsi="宋体"/>
          <w:color w:val="auto"/>
          <w:szCs w:val="21"/>
          <w:highlight w:val="none"/>
        </w:rPr>
        <w:t xml:space="preserve"> </w:t>
      </w:r>
    </w:p>
    <w:p>
      <w:pPr>
        <w:snapToGrid w:val="0"/>
        <w:spacing w:line="360" w:lineRule="auto"/>
        <w:ind w:firstLine="4935" w:firstLineChars="2350"/>
        <w:rPr>
          <w:rFonts w:hint="eastAsia" w:hAnsi="宋体"/>
          <w:color w:val="auto"/>
          <w:szCs w:val="21"/>
          <w:highlight w:val="none"/>
        </w:rPr>
      </w:pPr>
    </w:p>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b/>
          <w:bCs/>
          <w:color w:val="auto"/>
          <w:sz w:val="30"/>
          <w:szCs w:val="30"/>
          <w:highlight w:val="none"/>
          <w:lang w:val="en-US" w:eastAsia="zh-CN"/>
        </w:rPr>
        <w:t>三、</w:t>
      </w:r>
      <w:r>
        <w:rPr>
          <w:rFonts w:hint="eastAsia" w:cs="Times New Roman"/>
          <w:b/>
          <w:bCs/>
          <w:color w:val="auto"/>
          <w:sz w:val="30"/>
          <w:szCs w:val="30"/>
          <w:highlight w:val="none"/>
          <w:lang w:val="en-US"/>
        </w:rPr>
        <w:t>对应采购需求的服务需求、商务条款提供的其他文件资料</w:t>
      </w:r>
    </w:p>
    <w:p>
      <w:pPr>
        <w:autoSpaceDE w:val="0"/>
        <w:autoSpaceDN w:val="0"/>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autoSpaceDE w:val="0"/>
        <w:autoSpaceDN w:val="0"/>
        <w:spacing w:line="360" w:lineRule="auto"/>
        <w:rPr>
          <w:rFonts w:ascii="宋体" w:hAnsi="宋体"/>
          <w:b/>
          <w:color w:val="auto"/>
          <w:sz w:val="32"/>
          <w:szCs w:val="32"/>
          <w:highlight w:val="none"/>
        </w:rPr>
      </w:pPr>
      <w:r>
        <w:rPr>
          <w:rFonts w:hint="eastAsia" w:ascii="宋体" w:hAnsi="宋体"/>
          <w:b/>
          <w:color w:val="auto"/>
          <w:sz w:val="32"/>
          <w:szCs w:val="32"/>
          <w:highlight w:val="none"/>
        </w:rPr>
        <w:t xml:space="preserve">                      </w:t>
      </w:r>
      <w:r>
        <w:rPr>
          <w:rFonts w:hint="eastAsia" w:ascii="仿宋_GB2312" w:hAnsi="仿宋" w:eastAsia="仿宋_GB2312" w:cs="仿宋_GB2312"/>
          <w:color w:val="auto"/>
          <w:sz w:val="24"/>
          <w:highlight w:val="none"/>
        </w:rPr>
        <w:t xml:space="preserve">  （如有，格式自拟）</w:t>
      </w:r>
    </w:p>
    <w:p>
      <w:pPr>
        <w:autoSpaceDE w:val="0"/>
        <w:autoSpaceDN w:val="0"/>
        <w:spacing w:line="360" w:lineRule="auto"/>
        <w:rPr>
          <w:rFonts w:hint="eastAsia" w:ascii="仿宋_GB2312" w:hAnsi="仿宋" w:eastAsia="仿宋_GB2312" w:cs="仿宋_GB2312"/>
          <w:color w:val="auto"/>
          <w:kern w:val="0"/>
          <w:sz w:val="24"/>
          <w:highlight w:val="none"/>
        </w:rPr>
      </w:pPr>
    </w:p>
    <w:p>
      <w:pPr>
        <w:snapToGrid w:val="0"/>
        <w:spacing w:before="165" w:beforeLines="50" w:after="50"/>
        <w:ind w:left="142"/>
        <w:jc w:val="center"/>
        <w:rPr>
          <w:rFonts w:hint="eastAsia" w:ascii="宋体" w:hAnsi="宋体"/>
          <w:b/>
          <w:color w:val="auto"/>
          <w:sz w:val="32"/>
          <w:szCs w:val="32"/>
          <w:highlight w:val="none"/>
        </w:rPr>
      </w:pPr>
    </w:p>
    <w:p>
      <w:pPr>
        <w:snapToGrid w:val="0"/>
        <w:spacing w:before="165" w:beforeLines="50" w:line="360" w:lineRule="auto"/>
        <w:ind w:right="480" w:firstLine="3967" w:firstLineChars="1653"/>
        <w:rPr>
          <w:rFonts w:hint="eastAsia" w:ascii="宋体" w:hAnsi="宋体"/>
          <w:color w:val="auto"/>
          <w:sz w:val="24"/>
          <w:highlight w:val="none"/>
        </w:rPr>
      </w:pPr>
    </w:p>
    <w:p>
      <w:pPr>
        <w:snapToGrid w:val="0"/>
        <w:spacing w:line="360" w:lineRule="auto"/>
        <w:ind w:firstLine="5160" w:firstLineChars="215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ind w:firstLine="4048" w:firstLineChars="1687"/>
        <w:rPr>
          <w:rFonts w:ascii="宋体" w:hAnsi="宋体"/>
          <w:color w:val="auto"/>
          <w:sz w:val="24"/>
          <w:highlight w:val="none"/>
        </w:rPr>
        <w:sectPr>
          <w:pgSz w:w="11905" w:h="16838"/>
          <w:pgMar w:top="1134" w:right="1134" w:bottom="1134" w:left="1134" w:header="720" w:footer="720" w:gutter="0"/>
          <w:cols w:space="720" w:num="1"/>
          <w:docGrid w:type="lines" w:linePitch="331" w:charSpace="0"/>
        </w:sectPr>
      </w:pPr>
    </w:p>
    <w:p>
      <w:pPr>
        <w:autoSpaceDE w:val="0"/>
        <w:autoSpaceDN w:val="0"/>
        <w:spacing w:line="360" w:lineRule="auto"/>
        <w:rPr>
          <w:rFonts w:hint="eastAsia" w:ascii="仿宋_GB2312" w:hAnsi="仿宋" w:eastAsia="仿宋_GB2312" w:cs="仿宋_GB2312"/>
          <w:color w:val="auto"/>
          <w:sz w:val="24"/>
          <w:highlight w:val="none"/>
        </w:rPr>
      </w:pPr>
    </w:p>
    <w:p>
      <w:pPr>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四、</w:t>
      </w:r>
      <w:r>
        <w:rPr>
          <w:rFonts w:hint="eastAsia"/>
          <w:b/>
          <w:bCs/>
          <w:color w:val="auto"/>
          <w:sz w:val="30"/>
          <w:szCs w:val="30"/>
          <w:highlight w:val="none"/>
        </w:rPr>
        <w:t>投标人认为需要提供的其他有关资料</w:t>
      </w:r>
    </w:p>
    <w:p>
      <w:pPr>
        <w:spacing w:line="360" w:lineRule="auto"/>
        <w:jc w:val="center"/>
        <w:rPr>
          <w:rFonts w:hint="eastAsia"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（由投标人根据采购需求及招标文件要求自行编制，如有）</w:t>
      </w:r>
    </w:p>
    <w:p>
      <w:pPr>
        <w:spacing w:line="360" w:lineRule="auto"/>
        <w:jc w:val="center"/>
        <w:rPr>
          <w:rFonts w:hint="eastAsia" w:ascii="仿宋_GB2312" w:hAnsi="仿宋" w:eastAsia="仿宋_GB2312" w:cs="仿宋_GB2312"/>
          <w:color w:val="auto"/>
          <w:sz w:val="24"/>
          <w:highlight w:val="none"/>
        </w:rPr>
      </w:pPr>
    </w:p>
    <w:p>
      <w:pPr>
        <w:autoSpaceDE w:val="0"/>
        <w:autoSpaceDN w:val="0"/>
        <w:spacing w:line="360" w:lineRule="auto"/>
        <w:ind w:firstLine="4800" w:firstLineChars="2000"/>
        <w:rPr>
          <w:rFonts w:hint="eastAsia"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rPr>
        <w:t>投标人名称（电子</w:t>
      </w:r>
      <w:r>
        <w:rPr>
          <w:rFonts w:hint="eastAsia" w:ascii="仿宋_GB2312" w:hAnsi="仿宋" w:eastAsia="仿宋_GB2312" w:cs="仿宋_GB2312"/>
          <w:color w:val="auto"/>
          <w:kern w:val="0"/>
          <w:sz w:val="24"/>
          <w:highlight w:val="none"/>
          <w:lang w:val="zh-CN"/>
        </w:rPr>
        <w:t>签章</w:t>
      </w:r>
      <w:r>
        <w:rPr>
          <w:rFonts w:hint="eastAsia" w:ascii="仿宋_GB2312" w:hAnsi="仿宋" w:eastAsia="仿宋_GB2312" w:cs="仿宋_GB2312"/>
          <w:color w:val="auto"/>
          <w:kern w:val="0"/>
          <w:sz w:val="24"/>
          <w:highlight w:val="none"/>
        </w:rPr>
        <w:t xml:space="preserve">）：                       </w:t>
      </w:r>
    </w:p>
    <w:p>
      <w:pPr>
        <w:autoSpaceDE w:val="0"/>
        <w:autoSpaceDN w:val="0"/>
        <w:spacing w:line="360" w:lineRule="auto"/>
        <w:rPr>
          <w:rFonts w:hint="eastAsia" w:ascii="仿宋_GB2312" w:hAnsi="仿宋" w:eastAsia="仿宋_GB2312" w:cs="仿宋_GB2312"/>
          <w:b/>
          <w:bCs/>
          <w:color w:val="auto"/>
          <w:sz w:val="30"/>
          <w:szCs w:val="30"/>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rPr>
          <w:rFonts w:hint="eastAsia" w:ascii="仿宋_GB2312" w:hAnsi="宋体" w:eastAsia="仿宋_GB2312"/>
          <w:b/>
          <w:color w:val="auto"/>
          <w:sz w:val="48"/>
          <w:szCs w:val="48"/>
          <w:highlight w:val="none"/>
        </w:rPr>
        <w:sectPr>
          <w:headerReference r:id="rId23" w:type="default"/>
          <w:footerReference r:id="rId24" w:type="default"/>
          <w:footerReference r:id="rId25" w:type="even"/>
          <w:pgSz w:w="11905" w:h="16838"/>
          <w:pgMar w:top="1134" w:right="1134" w:bottom="1134" w:left="1134" w:header="720" w:footer="720" w:gutter="0"/>
          <w:cols w:space="720" w:num="1"/>
          <w:docGrid w:type="lines" w:linePitch="331" w:charSpace="0"/>
        </w:sectPr>
      </w:pPr>
    </w:p>
    <w:p>
      <w:pPr>
        <w:spacing w:before="165" w:beforeLines="50" w:line="360" w:lineRule="auto"/>
        <w:rPr>
          <w:rFonts w:ascii="仿宋_GB2312" w:hAnsi="宋体" w:eastAsia="仿宋_GB2312"/>
          <w:b/>
          <w:color w:val="auto"/>
          <w:sz w:val="48"/>
          <w:szCs w:val="48"/>
          <w:highlight w:val="none"/>
        </w:rPr>
      </w:pPr>
      <w:r>
        <w:rPr>
          <w:rFonts w:hint="eastAsia" w:ascii="仿宋_GB2312" w:hAnsi="宋体" w:eastAsia="仿宋_GB2312"/>
          <w:b/>
          <w:color w:val="auto"/>
          <w:sz w:val="48"/>
          <w:szCs w:val="48"/>
          <w:highlight w:val="none"/>
        </w:rPr>
        <w:t>广西建设工程机电设备招标中心有限公司</w:t>
      </w:r>
    </w:p>
    <w:p>
      <w:pPr>
        <w:pStyle w:val="21"/>
        <w:jc w:val="center"/>
        <w:outlineLvl w:val="1"/>
        <w:rPr>
          <w:rFonts w:hint="eastAsia" w:hAnsi="宋体"/>
          <w:b/>
          <w:bCs/>
          <w:color w:val="auto"/>
          <w:sz w:val="28"/>
          <w:szCs w:val="28"/>
          <w:highlight w:val="none"/>
        </w:rPr>
      </w:pPr>
      <w:bookmarkStart w:id="241" w:name="_Toc80093015"/>
      <w:bookmarkStart w:id="242" w:name="_Toc14665"/>
      <w:bookmarkStart w:id="243" w:name="_Toc8358"/>
      <w:bookmarkStart w:id="244" w:name="_Toc11616"/>
      <w:r>
        <w:rPr>
          <w:rFonts w:hint="eastAsia" w:hAnsi="宋体"/>
          <w:b/>
          <w:bCs/>
          <w:color w:val="auto"/>
          <w:sz w:val="28"/>
          <w:szCs w:val="28"/>
          <w:highlight w:val="none"/>
        </w:rPr>
        <w:t>第五节 报价文件格式</w:t>
      </w:r>
      <w:bookmarkEnd w:id="241"/>
      <w:bookmarkEnd w:id="242"/>
      <w:bookmarkEnd w:id="243"/>
      <w:bookmarkEnd w:id="244"/>
    </w:p>
    <w:p>
      <w:pPr>
        <w:snapToGrid w:val="0"/>
        <w:spacing w:before="165" w:beforeLines="50" w:after="50" w:line="400" w:lineRule="exact"/>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电子投标文件</w:t>
      </w:r>
    </w:p>
    <w:p>
      <w:pPr>
        <w:snapToGrid w:val="0"/>
        <w:spacing w:before="165" w:beforeLines="50" w:after="50" w:line="400" w:lineRule="exact"/>
        <w:jc w:val="center"/>
        <w:rPr>
          <w:rFonts w:hint="eastAsia" w:ascii="宋体" w:hAnsi="宋体"/>
          <w:bCs/>
          <w:color w:val="auto"/>
          <w:sz w:val="24"/>
          <w:szCs w:val="20"/>
          <w:highlight w:val="none"/>
        </w:rPr>
      </w:pPr>
    </w:p>
    <w:p>
      <w:pPr>
        <w:snapToGrid w:val="0"/>
        <w:spacing w:before="165" w:beforeLines="50" w:after="50" w:line="400" w:lineRule="exact"/>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报价文件（封面）</w:t>
      </w:r>
    </w:p>
    <w:p>
      <w:pPr>
        <w:snapToGrid w:val="0"/>
        <w:spacing w:before="165" w:beforeLines="50" w:after="50" w:line="400" w:lineRule="exact"/>
        <w:rPr>
          <w:rFonts w:hint="eastAsia" w:ascii="宋体" w:hAnsi="宋体"/>
          <w:bCs/>
          <w:color w:val="auto"/>
          <w:sz w:val="24"/>
          <w:szCs w:val="20"/>
          <w:highlight w:val="none"/>
        </w:rPr>
      </w:pPr>
    </w:p>
    <w:p>
      <w:pPr>
        <w:snapToGrid w:val="0"/>
        <w:spacing w:before="165" w:beforeLines="50" w:after="50" w:line="400" w:lineRule="exact"/>
        <w:rPr>
          <w:rFonts w:hint="eastAsia" w:ascii="宋体" w:hAnsi="宋体"/>
          <w:bCs/>
          <w:color w:val="auto"/>
          <w:sz w:val="24"/>
          <w:szCs w:val="20"/>
          <w:highlight w:val="none"/>
        </w:rPr>
      </w:pPr>
    </w:p>
    <w:p>
      <w:pPr>
        <w:snapToGrid w:val="0"/>
        <w:spacing w:before="165" w:beforeLines="50" w:after="50" w:line="400" w:lineRule="exact"/>
        <w:rPr>
          <w:rFonts w:hint="eastAsia" w:ascii="宋体" w:hAnsi="宋体"/>
          <w:bCs/>
          <w:color w:val="auto"/>
          <w:sz w:val="24"/>
          <w:szCs w:val="20"/>
          <w:highlight w:val="none"/>
        </w:rPr>
      </w:pPr>
    </w:p>
    <w:p>
      <w:pPr>
        <w:snapToGrid w:val="0"/>
        <w:spacing w:before="165" w:beforeLines="50" w:after="50" w:line="400" w:lineRule="exact"/>
        <w:rPr>
          <w:rFonts w:hint="eastAsia" w:ascii="宋体" w:hAnsi="宋体"/>
          <w:bCs/>
          <w:color w:val="auto"/>
          <w:sz w:val="24"/>
          <w:szCs w:val="20"/>
          <w:highlight w:val="none"/>
        </w:rPr>
      </w:pPr>
    </w:p>
    <w:p>
      <w:pPr>
        <w:snapToGrid w:val="0"/>
        <w:spacing w:before="165"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65" w:beforeLines="50" w:after="50" w:line="400" w:lineRule="exact"/>
        <w:ind w:firstLine="360" w:firstLineChars="150"/>
        <w:rPr>
          <w:rFonts w:hint="eastAsia" w:ascii="宋体" w:hAnsi="宋体"/>
          <w:bCs/>
          <w:color w:val="auto"/>
          <w:sz w:val="24"/>
          <w:highlight w:val="none"/>
        </w:rPr>
      </w:pPr>
    </w:p>
    <w:p>
      <w:pPr>
        <w:snapToGrid w:val="0"/>
        <w:spacing w:before="165"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65" w:beforeLines="50" w:after="50" w:line="400" w:lineRule="exact"/>
        <w:ind w:firstLine="360" w:firstLineChars="150"/>
        <w:rPr>
          <w:rFonts w:hint="eastAsia" w:ascii="宋体" w:hAnsi="宋体"/>
          <w:bCs/>
          <w:color w:val="auto"/>
          <w:sz w:val="24"/>
          <w:highlight w:val="none"/>
        </w:rPr>
      </w:pPr>
    </w:p>
    <w:p>
      <w:pPr>
        <w:snapToGrid w:val="0"/>
        <w:spacing w:before="165"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65" w:beforeLines="50" w:after="50" w:line="400" w:lineRule="exact"/>
        <w:ind w:firstLine="360" w:firstLineChars="150"/>
        <w:rPr>
          <w:rFonts w:hint="eastAsia" w:ascii="宋体" w:hAnsi="宋体"/>
          <w:bCs/>
          <w:color w:val="auto"/>
          <w:sz w:val="24"/>
          <w:highlight w:val="none"/>
        </w:rPr>
      </w:pPr>
    </w:p>
    <w:p>
      <w:pPr>
        <w:snapToGrid w:val="0"/>
        <w:spacing w:before="165"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65" w:beforeLines="50" w:after="50" w:line="400" w:lineRule="exact"/>
        <w:ind w:firstLine="360" w:firstLineChars="150"/>
        <w:rPr>
          <w:rFonts w:hint="eastAsia" w:ascii="宋体" w:hAnsi="宋体"/>
          <w:bCs/>
          <w:color w:val="auto"/>
          <w:sz w:val="24"/>
          <w:highlight w:val="none"/>
        </w:rPr>
      </w:pPr>
    </w:p>
    <w:p>
      <w:pPr>
        <w:snapToGrid w:val="0"/>
        <w:spacing w:before="165"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pStyle w:val="8"/>
        <w:snapToGrid w:val="0"/>
        <w:spacing w:before="50" w:after="50" w:line="400" w:lineRule="exact"/>
        <w:ind w:firstLine="960" w:firstLineChars="400"/>
        <w:rPr>
          <w:rFonts w:hint="eastAsia" w:ascii="宋体" w:hAnsi="宋体"/>
          <w:bCs/>
          <w:color w:val="auto"/>
          <w:sz w:val="24"/>
          <w:szCs w:val="24"/>
          <w:highlight w:val="none"/>
        </w:rPr>
      </w:pPr>
    </w:p>
    <w:p>
      <w:pPr>
        <w:snapToGrid w:val="0"/>
        <w:spacing w:before="165" w:beforeLines="50" w:after="50" w:line="400" w:lineRule="exact"/>
        <w:rPr>
          <w:rFonts w:ascii="宋体" w:hAnsi="宋体"/>
          <w:color w:val="auto"/>
          <w:sz w:val="24"/>
          <w:highlight w:val="none"/>
        </w:rPr>
        <w:sectPr>
          <w:headerReference r:id="rId26" w:type="default"/>
          <w:footerReference r:id="rId27" w:type="default"/>
          <w:pgSz w:w="11905" w:h="16838"/>
          <w:pgMar w:top="1134" w:right="1134" w:bottom="1134" w:left="1134" w:header="720" w:footer="720" w:gutter="0"/>
          <w:cols w:space="720" w:num="1"/>
          <w:docGrid w:type="lines" w:linePitch="331" w:charSpace="0"/>
        </w:sectPr>
      </w:pPr>
      <w:r>
        <w:rPr>
          <w:rFonts w:hint="eastAsia" w:ascii="宋体" w:hAnsi="宋体"/>
          <w:color w:val="auto"/>
          <w:sz w:val="24"/>
          <w:highlight w:val="none"/>
        </w:rPr>
        <w:t xml:space="preserve">                                                       年  月  日</w:t>
      </w:r>
    </w:p>
    <w:p>
      <w:pPr>
        <w:rPr>
          <w:rFonts w:hint="eastAsia" w:ascii="宋体" w:hAnsi="宋体" w:cs="宋体"/>
          <w:color w:val="auto"/>
          <w:highlight w:val="none"/>
        </w:rPr>
      </w:pPr>
    </w:p>
    <w:p>
      <w:pPr>
        <w:snapToGrid w:val="0"/>
        <w:spacing w:before="165" w:beforeLines="50" w:after="50" w:line="400" w:lineRule="exact"/>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报价文件目录</w:t>
      </w:r>
    </w:p>
    <w:p>
      <w:pPr>
        <w:rPr>
          <w:rFonts w:hint="eastAsia" w:ascii="宋体" w:hAnsi="宋体" w:cs="宋体"/>
          <w:color w:val="auto"/>
          <w:highlight w:val="none"/>
        </w:rPr>
      </w:pPr>
    </w:p>
    <w:p>
      <w:pP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一、投标函…………………………………………………………………（页码）</w:t>
      </w:r>
    </w:p>
    <w:p>
      <w:pPr>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二、开标一览表……………………………………………………………（页码）</w:t>
      </w:r>
    </w:p>
    <w:p>
      <w:pPr>
        <w:rPr>
          <w:rFonts w:hint="eastAsia" w:ascii="宋体" w:hAnsi="宋体"/>
          <w:color w:val="auto"/>
          <w:sz w:val="30"/>
          <w:szCs w:val="20"/>
          <w:highlight w:val="none"/>
        </w:rPr>
      </w:pPr>
      <w:r>
        <w:rPr>
          <w:rFonts w:hint="eastAsia" w:ascii="仿宋_GB2312" w:hAnsi="仿宋" w:eastAsia="仿宋_GB2312" w:cs="仿宋_GB2312"/>
          <w:color w:val="auto"/>
          <w:kern w:val="0"/>
          <w:sz w:val="24"/>
          <w:highlight w:val="none"/>
        </w:rPr>
        <w:t>三、投标人针对报价需要说明的其他文件和说明。（如有）…………（页码）</w:t>
      </w:r>
    </w:p>
    <w:p>
      <w:pPr>
        <w:spacing w:line="360" w:lineRule="auto"/>
        <w:rPr>
          <w:rFonts w:hint="eastAsia" w:ascii="仿宋_GB2312" w:hAnsi="仿宋" w:eastAsia="仿宋_GB2312" w:cs="仿宋_GB2312"/>
          <w:b/>
          <w:bCs/>
          <w:color w:val="auto"/>
          <w:sz w:val="24"/>
          <w:highlight w:val="none"/>
        </w:rPr>
      </w:pPr>
      <w:r>
        <w:rPr>
          <w:rFonts w:hint="eastAsia" w:ascii="仿宋_GB2312" w:hAnsi="仿宋" w:eastAsia="仿宋_GB2312" w:cs="仿宋_GB2312"/>
          <w:b/>
          <w:bCs/>
          <w:color w:val="auto"/>
          <w:sz w:val="24"/>
          <w:highlight w:val="none"/>
        </w:rPr>
        <w:t>注：以上目录是基本格式，各投标人可根据自身情况增减。</w:t>
      </w:r>
    </w:p>
    <w:p>
      <w:pPr>
        <w:pStyle w:val="36"/>
        <w:rPr>
          <w:color w:val="auto"/>
          <w:highlight w:val="none"/>
        </w:rPr>
        <w:sectPr>
          <w:pgSz w:w="11905" w:h="16838"/>
          <w:pgMar w:top="1134" w:right="1134" w:bottom="1134" w:left="1134" w:header="720" w:footer="720" w:gutter="0"/>
          <w:cols w:space="720" w:num="1"/>
          <w:docGrid w:type="lines" w:linePitch="331" w:charSpace="0"/>
        </w:sectPr>
      </w:pPr>
    </w:p>
    <w:p>
      <w:pPr>
        <w:pStyle w:val="21"/>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一、投标函</w:t>
      </w:r>
    </w:p>
    <w:p>
      <w:pPr>
        <w:pStyle w:val="21"/>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w:t>
      </w:r>
      <w:r>
        <w:rPr>
          <w:rFonts w:ascii="Times New Roman" w:hAnsi="Times New Roman"/>
          <w:color w:val="auto"/>
          <w:highlight w:val="none"/>
          <w:u w:val="single"/>
        </w:rPr>
        <w:t xml:space="preserve">                      </w:t>
      </w:r>
      <w:r>
        <w:rPr>
          <w:rFonts w:hint="eastAsia" w:ascii="Times New Roman" w:hAnsi="Times New Roman"/>
          <w:color w:val="auto"/>
          <w:highlight w:val="none"/>
        </w:rPr>
        <w:t>（采购代理机构名称）</w:t>
      </w:r>
    </w:p>
    <w:p>
      <w:pPr>
        <w:pStyle w:val="21"/>
        <w:spacing w:line="440" w:lineRule="exact"/>
        <w:ind w:firstLine="420" w:firstLineChars="200"/>
        <w:rPr>
          <w:color w:val="auto"/>
          <w:highlight w:val="none"/>
        </w:rPr>
      </w:pPr>
      <w:r>
        <w:rPr>
          <w:rFonts w:hint="eastAsia"/>
          <w:color w:val="auto"/>
          <w:highlight w:val="none"/>
        </w:rPr>
        <w:t>我方已仔细阅读了贵方组织的</w:t>
      </w:r>
      <w:r>
        <w:rPr>
          <w:rFonts w:ascii="Times New Roman" w:hAnsi="Times New Roman"/>
          <w:color w:val="auto"/>
          <w:highlight w:val="none"/>
          <w:u w:val="single"/>
        </w:rPr>
        <w:t xml:space="preserve">                    </w:t>
      </w:r>
      <w:r>
        <w:rPr>
          <w:rFonts w:hint="eastAsia"/>
          <w:color w:val="auto"/>
          <w:highlight w:val="none"/>
        </w:rPr>
        <w:t>项目（项目编号：             ）的招标文件的全部内容，授权</w:t>
      </w:r>
      <w:r>
        <w:rPr>
          <w:rFonts w:ascii="Times New Roman" w:hAnsi="Times New Roman"/>
          <w:color w:val="auto"/>
          <w:highlight w:val="none"/>
          <w:u w:val="single"/>
        </w:rPr>
        <w:t xml:space="preserve">                      </w:t>
      </w:r>
      <w:r>
        <w:rPr>
          <w:rFonts w:hint="eastAsia"/>
          <w:color w:val="auto"/>
          <w:highlight w:val="none"/>
        </w:rPr>
        <w:t>(全权代表姓名)</w:t>
      </w:r>
      <w:r>
        <w:rPr>
          <w:rFonts w:ascii="Times New Roman" w:hAnsi="Times New Roman"/>
          <w:color w:val="auto"/>
          <w:highlight w:val="none"/>
          <w:u w:val="single"/>
        </w:rPr>
        <w:t xml:space="preserve">          </w:t>
      </w:r>
      <w:r>
        <w:rPr>
          <w:rFonts w:hint="eastAsia"/>
          <w:color w:val="auto"/>
          <w:highlight w:val="none"/>
        </w:rPr>
        <w:t xml:space="preserve"> (职务、职称)为全权代表，现正式递交下述文件参加贵方组织的本次政府采购活动： </w:t>
      </w:r>
    </w:p>
    <w:p>
      <w:pPr>
        <w:pStyle w:val="21"/>
        <w:spacing w:line="440" w:lineRule="exact"/>
        <w:ind w:firstLine="420" w:firstLineChars="200"/>
        <w:rPr>
          <w:color w:val="auto"/>
          <w:highlight w:val="none"/>
        </w:rPr>
      </w:pPr>
      <w:r>
        <w:rPr>
          <w:rFonts w:hint="eastAsia"/>
          <w:color w:val="auto"/>
          <w:highlight w:val="none"/>
        </w:rPr>
        <w:t>一、报价文件电子版一份（包含按投标人须知前附表要求提交的全部文件）；</w:t>
      </w:r>
    </w:p>
    <w:p>
      <w:pPr>
        <w:pStyle w:val="21"/>
        <w:spacing w:line="440" w:lineRule="exact"/>
        <w:ind w:firstLine="482"/>
        <w:rPr>
          <w:rFonts w:hint="eastAsia"/>
          <w:color w:val="auto"/>
          <w:highlight w:val="none"/>
        </w:rPr>
      </w:pPr>
      <w:r>
        <w:rPr>
          <w:rFonts w:hint="eastAsia"/>
          <w:color w:val="auto"/>
          <w:highlight w:val="none"/>
        </w:rPr>
        <w:t>二、资格文件电子版一份（包含按投标人须知前附表要求提交的全部文件）；</w:t>
      </w:r>
    </w:p>
    <w:p>
      <w:pPr>
        <w:pStyle w:val="21"/>
        <w:spacing w:line="440" w:lineRule="exact"/>
        <w:ind w:firstLine="482"/>
        <w:rPr>
          <w:rFonts w:hint="eastAsia"/>
          <w:color w:val="auto"/>
          <w:highlight w:val="none"/>
        </w:rPr>
      </w:pPr>
      <w:r>
        <w:rPr>
          <w:rFonts w:hint="eastAsia"/>
          <w:color w:val="auto"/>
          <w:highlight w:val="none"/>
        </w:rPr>
        <w:t>三、</w:t>
      </w:r>
      <w:r>
        <w:rPr>
          <w:rFonts w:hint="eastAsia" w:hAnsi="宋体"/>
          <w:color w:val="auto"/>
          <w:highlight w:val="none"/>
        </w:rPr>
        <w:t>技术</w:t>
      </w:r>
      <w:r>
        <w:rPr>
          <w:rFonts w:hint="eastAsia"/>
          <w:color w:val="auto"/>
          <w:highlight w:val="none"/>
        </w:rPr>
        <w:t>文件电子版一份（包含按投标人须知前附表要求提交的全部文件）；</w:t>
      </w:r>
    </w:p>
    <w:p>
      <w:pPr>
        <w:pStyle w:val="21"/>
        <w:spacing w:line="440" w:lineRule="exact"/>
        <w:ind w:firstLine="482"/>
        <w:rPr>
          <w:rFonts w:hint="eastAsia"/>
          <w:color w:val="auto"/>
          <w:highlight w:val="none"/>
        </w:rPr>
      </w:pPr>
      <w:r>
        <w:rPr>
          <w:rFonts w:hint="eastAsia" w:hAnsi="宋体"/>
          <w:color w:val="auto"/>
          <w:highlight w:val="none"/>
        </w:rPr>
        <w:t>四、</w:t>
      </w:r>
      <w:r>
        <w:rPr>
          <w:rFonts w:hint="eastAsia"/>
          <w:color w:val="auto"/>
          <w:highlight w:val="none"/>
        </w:rPr>
        <w:t>商务</w:t>
      </w:r>
      <w:r>
        <w:rPr>
          <w:rFonts w:hint="eastAsia" w:hAnsi="宋体"/>
          <w:color w:val="auto"/>
          <w:highlight w:val="none"/>
        </w:rPr>
        <w:t>文件</w:t>
      </w:r>
      <w:r>
        <w:rPr>
          <w:rFonts w:hint="eastAsia"/>
          <w:color w:val="auto"/>
          <w:highlight w:val="none"/>
        </w:rPr>
        <w:t>电子版一份（包含按投标人须知前附表要求提交的全部文件）；</w:t>
      </w:r>
    </w:p>
    <w:p>
      <w:pPr>
        <w:pStyle w:val="21"/>
        <w:spacing w:line="440" w:lineRule="exact"/>
        <w:ind w:firstLine="482"/>
        <w:rPr>
          <w:rFonts w:ascii="Times New Roman" w:hAnsi="Times New Roman"/>
          <w:color w:val="auto"/>
          <w:highlight w:val="none"/>
        </w:rPr>
      </w:pPr>
      <w:r>
        <w:rPr>
          <w:rFonts w:hint="eastAsia"/>
          <w:color w:val="auto"/>
          <w:highlight w:val="none"/>
        </w:rPr>
        <w:t>据此函，签字人兹宣布：</w:t>
      </w:r>
    </w:p>
    <w:p>
      <w:pPr>
        <w:pStyle w:val="21"/>
        <w:numPr>
          <w:ilvl w:val="0"/>
          <w:numId w:val="5"/>
        </w:numPr>
        <w:spacing w:line="440" w:lineRule="exact"/>
        <w:ind w:firstLine="420" w:firstLineChars="200"/>
        <w:rPr>
          <w:rFonts w:ascii="Times New Roman" w:hAnsi="Times New Roman"/>
          <w:color w:val="auto"/>
          <w:highlight w:val="none"/>
        </w:rPr>
      </w:pPr>
      <w:r>
        <w:rPr>
          <w:rFonts w:hint="eastAsia"/>
          <w:color w:val="auto"/>
          <w:highlight w:val="none"/>
        </w:rPr>
        <w:t>我方愿意以</w:t>
      </w:r>
    </w:p>
    <w:p>
      <w:pPr>
        <w:pStyle w:val="21"/>
        <w:spacing w:line="440" w:lineRule="exact"/>
        <w:ind w:firstLine="420" w:firstLineChars="200"/>
        <w:rPr>
          <w:rFonts w:ascii="Times New Roman" w:hAnsi="Times New Roman"/>
          <w:color w:val="auto"/>
          <w:highlight w:val="none"/>
        </w:rPr>
      </w:pPr>
      <w:r>
        <w:rPr>
          <w:rFonts w:hint="eastAsia"/>
          <w:color w:val="auto"/>
          <w:highlight w:val="none"/>
        </w:rPr>
        <w:t>分标1：</w:t>
      </w:r>
      <w:r>
        <w:rPr>
          <w:rFonts w:hint="eastAsia" w:hAnsi="宋体"/>
          <w:color w:val="auto"/>
          <w:highlight w:val="none"/>
        </w:rPr>
        <w:t>价格优惠率</w:t>
      </w:r>
      <w:r>
        <w:rPr>
          <w:rFonts w:hint="eastAsia"/>
          <w:color w:val="auto"/>
          <w:highlight w:val="none"/>
          <w:u w:val="single"/>
        </w:rPr>
        <w:t xml:space="preserve">     </w:t>
      </w:r>
      <w:r>
        <w:rPr>
          <w:rFonts w:hint="eastAsia"/>
          <w:color w:val="auto"/>
          <w:highlight w:val="none"/>
          <w:u w:val="single"/>
          <w:lang w:val="en-US" w:eastAsia="zh-CN"/>
        </w:rPr>
        <w:t>%</w:t>
      </w:r>
      <w:r>
        <w:rPr>
          <w:rFonts w:hint="eastAsia"/>
          <w:color w:val="auto"/>
          <w:highlight w:val="none"/>
        </w:rPr>
        <w:t>，服务期限</w:t>
      </w:r>
      <w:r>
        <w:rPr>
          <w:rFonts w:hint="eastAsia"/>
          <w:color w:val="auto"/>
          <w:highlight w:val="none"/>
          <w:u w:val="single"/>
        </w:rPr>
        <w:t xml:space="preserve">              </w:t>
      </w:r>
      <w:r>
        <w:rPr>
          <w:rFonts w:hint="eastAsia"/>
          <w:color w:val="auto"/>
          <w:highlight w:val="none"/>
        </w:rPr>
        <w:t>，</w:t>
      </w:r>
    </w:p>
    <w:p>
      <w:pPr>
        <w:pStyle w:val="21"/>
        <w:spacing w:line="440" w:lineRule="exact"/>
        <w:ind w:firstLine="420" w:firstLineChars="200"/>
        <w:rPr>
          <w:rFonts w:ascii="Times New Roman" w:hAnsi="Times New Roman"/>
          <w:color w:val="auto"/>
          <w:highlight w:val="none"/>
        </w:rPr>
      </w:pPr>
      <w:r>
        <w:rPr>
          <w:rFonts w:hint="eastAsia"/>
          <w:color w:val="auto"/>
          <w:highlight w:val="none"/>
        </w:rPr>
        <w:t>分标2：</w:t>
      </w:r>
      <w:r>
        <w:rPr>
          <w:rFonts w:hint="eastAsia" w:hAnsi="宋体"/>
          <w:color w:val="auto"/>
          <w:highlight w:val="none"/>
        </w:rPr>
        <w:t>价格优惠率</w:t>
      </w:r>
      <w:r>
        <w:rPr>
          <w:rFonts w:hint="eastAsia"/>
          <w:color w:val="auto"/>
          <w:highlight w:val="none"/>
          <w:u w:val="single"/>
        </w:rPr>
        <w:t xml:space="preserve">     </w:t>
      </w:r>
      <w:r>
        <w:rPr>
          <w:rFonts w:hint="eastAsia"/>
          <w:color w:val="auto"/>
          <w:highlight w:val="none"/>
          <w:u w:val="single"/>
          <w:lang w:val="en-US" w:eastAsia="zh-CN"/>
        </w:rPr>
        <w:t>%</w:t>
      </w:r>
      <w:r>
        <w:rPr>
          <w:rFonts w:hint="eastAsia"/>
          <w:color w:val="auto"/>
          <w:highlight w:val="none"/>
        </w:rPr>
        <w:t>，服务期限</w:t>
      </w:r>
      <w:r>
        <w:rPr>
          <w:rFonts w:hint="eastAsia"/>
          <w:color w:val="auto"/>
          <w:highlight w:val="none"/>
          <w:u w:val="single"/>
        </w:rPr>
        <w:t xml:space="preserve">              </w:t>
      </w:r>
      <w:r>
        <w:rPr>
          <w:rFonts w:hint="eastAsia"/>
          <w:color w:val="auto"/>
          <w:highlight w:val="none"/>
        </w:rPr>
        <w:t>，</w:t>
      </w:r>
    </w:p>
    <w:p>
      <w:pPr>
        <w:pStyle w:val="21"/>
        <w:spacing w:line="440" w:lineRule="exact"/>
        <w:ind w:firstLine="420" w:firstLineChars="200"/>
        <w:rPr>
          <w:rFonts w:ascii="Times New Roman" w:hAnsi="Times New Roman"/>
          <w:color w:val="auto"/>
          <w:highlight w:val="none"/>
        </w:rPr>
      </w:pPr>
      <w:r>
        <w:rPr>
          <w:rFonts w:hint="eastAsia"/>
          <w:color w:val="auto"/>
          <w:highlight w:val="none"/>
        </w:rPr>
        <w:t>提供本项目</w:t>
      </w:r>
      <w:r>
        <w:rPr>
          <w:rFonts w:hint="eastAsia" w:hAnsi="Times New Roman"/>
          <w:color w:val="auto"/>
          <w:highlight w:val="none"/>
        </w:rPr>
        <w:t>招标文件第二章</w:t>
      </w:r>
      <w:r>
        <w:rPr>
          <w:rFonts w:hint="eastAsia"/>
          <w:color w:val="auto"/>
          <w:highlight w:val="none"/>
        </w:rPr>
        <w:t>“服务需求”中的相应的采购内容。</w:t>
      </w:r>
    </w:p>
    <w:p>
      <w:pPr>
        <w:pStyle w:val="21"/>
        <w:spacing w:line="360" w:lineRule="exact"/>
        <w:ind w:firstLine="420" w:firstLineChars="200"/>
        <w:rPr>
          <w:rFonts w:hint="eastAsia"/>
          <w:color w:val="auto"/>
          <w:highlight w:val="none"/>
          <w:u w:val="single"/>
        </w:rPr>
      </w:pPr>
      <w:r>
        <w:rPr>
          <w:rFonts w:hint="eastAsia"/>
          <w:color w:val="auto"/>
          <w:highlight w:val="none"/>
        </w:rPr>
        <w:t>2、我方同意自本项目招标文件“第三章 投标人须知”第一节 投标人须知前附表 第21.2项规定的投标截止时间（开标时间）起遵循</w:t>
      </w:r>
      <w:r>
        <w:rPr>
          <w:rFonts w:hint="eastAsia" w:hAnsi="宋体"/>
          <w:color w:val="auto"/>
          <w:highlight w:val="none"/>
        </w:rPr>
        <w:t>本投标函</w:t>
      </w:r>
      <w:r>
        <w:rPr>
          <w:rFonts w:hint="eastAsia"/>
          <w:color w:val="auto"/>
          <w:highlight w:val="none"/>
        </w:rPr>
        <w:t>，并承诺在“投标人须知前附表”第17.2项规定的投标有效期内不修改、撤销投标文件。</w:t>
      </w:r>
    </w:p>
    <w:p>
      <w:pPr>
        <w:pStyle w:val="21"/>
        <w:spacing w:line="360" w:lineRule="exact"/>
        <w:ind w:firstLine="420" w:firstLineChars="200"/>
        <w:rPr>
          <w:rFonts w:hint="eastAsia"/>
          <w:color w:val="auto"/>
          <w:highlight w:val="none"/>
          <w:u w:val="single"/>
        </w:rPr>
      </w:pPr>
      <w:r>
        <w:rPr>
          <w:rFonts w:hint="eastAsia"/>
          <w:color w:val="auto"/>
          <w:highlight w:val="none"/>
        </w:rPr>
        <w:t>3、我方所递交的投标文件及有关资料都是内容完整、真实和准确的。</w:t>
      </w:r>
    </w:p>
    <w:p>
      <w:pPr>
        <w:pStyle w:val="21"/>
        <w:spacing w:line="360" w:lineRule="exact"/>
        <w:ind w:firstLine="420" w:firstLineChars="200"/>
        <w:rPr>
          <w:rFonts w:hint="eastAsia"/>
          <w:color w:val="auto"/>
          <w:highlight w:val="none"/>
          <w:u w:val="single"/>
        </w:rPr>
      </w:pPr>
      <w:r>
        <w:rPr>
          <w:rFonts w:hint="eastAsia"/>
          <w:color w:val="auto"/>
          <w:highlight w:val="none"/>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21"/>
        <w:numPr>
          <w:ilvl w:val="0"/>
          <w:numId w:val="6"/>
        </w:numPr>
        <w:spacing w:line="440" w:lineRule="exact"/>
        <w:ind w:left="0" w:firstLine="420" w:firstLineChars="200"/>
        <w:rPr>
          <w:rFonts w:hint="eastAsia"/>
          <w:color w:val="auto"/>
          <w:highlight w:val="none"/>
        </w:rPr>
      </w:pPr>
      <w:r>
        <w:rPr>
          <w:rFonts w:hint="eastAsia"/>
          <w:color w:val="auto"/>
          <w:highlight w:val="none"/>
        </w:rPr>
        <w:t>具有独立承担民事责任的能力；</w:t>
      </w:r>
    </w:p>
    <w:p>
      <w:pPr>
        <w:pStyle w:val="21"/>
        <w:numPr>
          <w:ilvl w:val="0"/>
          <w:numId w:val="6"/>
        </w:numPr>
        <w:spacing w:line="440" w:lineRule="exact"/>
        <w:ind w:left="0" w:firstLine="420" w:firstLineChars="200"/>
        <w:rPr>
          <w:rFonts w:hint="eastAsia"/>
          <w:color w:val="auto"/>
          <w:highlight w:val="none"/>
        </w:rPr>
      </w:pPr>
      <w:r>
        <w:rPr>
          <w:rFonts w:hint="eastAsia"/>
          <w:color w:val="auto"/>
          <w:highlight w:val="none"/>
        </w:rPr>
        <w:t>具有良好的商业信誉和健全的财务会计制度；</w:t>
      </w:r>
    </w:p>
    <w:p>
      <w:pPr>
        <w:pStyle w:val="21"/>
        <w:numPr>
          <w:ilvl w:val="0"/>
          <w:numId w:val="6"/>
        </w:numPr>
        <w:spacing w:line="440" w:lineRule="exact"/>
        <w:ind w:left="0" w:firstLine="420" w:firstLineChars="200"/>
        <w:rPr>
          <w:rFonts w:hint="eastAsia"/>
          <w:color w:val="auto"/>
          <w:highlight w:val="none"/>
        </w:rPr>
      </w:pPr>
      <w:r>
        <w:rPr>
          <w:rFonts w:hint="eastAsia"/>
          <w:color w:val="auto"/>
          <w:highlight w:val="none"/>
        </w:rPr>
        <w:t>具有履行合同所必需的设备和专业技术能力；</w:t>
      </w:r>
    </w:p>
    <w:p>
      <w:pPr>
        <w:pStyle w:val="21"/>
        <w:numPr>
          <w:ilvl w:val="0"/>
          <w:numId w:val="6"/>
        </w:numPr>
        <w:spacing w:line="440" w:lineRule="exact"/>
        <w:ind w:left="0" w:firstLine="420" w:firstLineChars="200"/>
        <w:rPr>
          <w:rFonts w:hint="eastAsia"/>
          <w:color w:val="auto"/>
          <w:highlight w:val="none"/>
        </w:rPr>
      </w:pPr>
      <w:r>
        <w:rPr>
          <w:rFonts w:hint="eastAsia"/>
          <w:color w:val="auto"/>
          <w:highlight w:val="none"/>
        </w:rPr>
        <w:t>有依法缴纳税收和社会保障资金的良好记录；</w:t>
      </w:r>
    </w:p>
    <w:p>
      <w:pPr>
        <w:pStyle w:val="21"/>
        <w:numPr>
          <w:ilvl w:val="0"/>
          <w:numId w:val="6"/>
        </w:numPr>
        <w:spacing w:line="440" w:lineRule="exact"/>
        <w:ind w:left="0" w:firstLine="420" w:firstLineChars="200"/>
        <w:rPr>
          <w:rFonts w:hint="eastAsia"/>
          <w:color w:val="auto"/>
          <w:highlight w:val="none"/>
        </w:rPr>
      </w:pPr>
      <w:r>
        <w:rPr>
          <w:rFonts w:hint="eastAsia"/>
          <w:color w:val="auto"/>
          <w:highlight w:val="none"/>
        </w:rPr>
        <w:t>参加政府采购活动前三年内，在经营活动中没有重大违法记录；</w:t>
      </w:r>
    </w:p>
    <w:p>
      <w:pPr>
        <w:pStyle w:val="21"/>
        <w:numPr>
          <w:ilvl w:val="0"/>
          <w:numId w:val="6"/>
        </w:numPr>
        <w:spacing w:line="440" w:lineRule="exact"/>
        <w:ind w:left="0" w:firstLine="420" w:firstLineChars="200"/>
        <w:rPr>
          <w:rFonts w:hint="eastAsia"/>
          <w:color w:val="auto"/>
          <w:highlight w:val="none"/>
        </w:rPr>
      </w:pPr>
      <w:r>
        <w:rPr>
          <w:rFonts w:hint="eastAsia"/>
          <w:color w:val="auto"/>
          <w:highlight w:val="none"/>
        </w:rPr>
        <w:t>法律、行政法规规定的其他条件。</w:t>
      </w:r>
    </w:p>
    <w:p>
      <w:pPr>
        <w:pStyle w:val="21"/>
        <w:spacing w:line="440" w:lineRule="exact"/>
        <w:ind w:firstLine="482"/>
        <w:rPr>
          <w:rFonts w:hint="eastAsia"/>
          <w:color w:val="auto"/>
          <w:highlight w:val="none"/>
        </w:rPr>
      </w:pPr>
      <w:r>
        <w:rPr>
          <w:rFonts w:hint="eastAsia"/>
          <w:color w:val="auto"/>
          <w:highlight w:val="none"/>
        </w:rPr>
        <w:t>5、</w:t>
      </w:r>
      <w:r>
        <w:rPr>
          <w:rFonts w:hint="eastAsia"/>
          <w:color w:val="auto"/>
          <w:szCs w:val="21"/>
          <w:highlight w:val="none"/>
        </w:rPr>
        <w:t>如本项目采购内容涉及须符合国家强制规定的，我方承诺我方本次投标（包括资格条件和所投产品）均符合国家有关强制规定。</w:t>
      </w:r>
    </w:p>
    <w:p>
      <w:pPr>
        <w:pStyle w:val="21"/>
        <w:spacing w:line="440" w:lineRule="exact"/>
        <w:ind w:firstLine="420" w:firstLineChars="200"/>
        <w:rPr>
          <w:rFonts w:hint="eastAsia"/>
          <w:color w:val="auto"/>
          <w:highlight w:val="none"/>
        </w:rPr>
      </w:pPr>
      <w:r>
        <w:rPr>
          <w:rFonts w:hint="eastAsia"/>
          <w:color w:val="auto"/>
          <w:highlight w:val="none"/>
        </w:rPr>
        <w:t>6、如我方中标，我方承诺在收到中标通知书后，在中标通知书规定的期限内，</w:t>
      </w:r>
      <w:r>
        <w:rPr>
          <w:rFonts w:hint="eastAsia" w:hAnsi="宋体"/>
          <w:color w:val="auto"/>
          <w:highlight w:val="none"/>
        </w:rPr>
        <w:t>根据招标文件、我方的投标文件及有关澄清承诺书的要求按第五章“拟签订的合同文本”与采购人订立书面合同，并按照合同约定</w:t>
      </w:r>
      <w:r>
        <w:rPr>
          <w:rFonts w:hint="eastAsia"/>
          <w:color w:val="auto"/>
          <w:highlight w:val="none"/>
        </w:rPr>
        <w:t>承担完成合同的责任和义务。</w:t>
      </w:r>
    </w:p>
    <w:p>
      <w:pPr>
        <w:pStyle w:val="21"/>
        <w:spacing w:line="440" w:lineRule="exact"/>
        <w:ind w:firstLine="420" w:firstLineChars="200"/>
        <w:rPr>
          <w:rFonts w:hint="eastAsia"/>
          <w:color w:val="auto"/>
          <w:highlight w:val="none"/>
        </w:rPr>
      </w:pPr>
      <w:r>
        <w:rPr>
          <w:rFonts w:hint="eastAsia"/>
          <w:color w:val="auto"/>
          <w:highlight w:val="none"/>
        </w:rPr>
        <w:t>7、我方已详细审核招标文件，我方知道必须放弃提出含糊不清或误解问题的权利。</w:t>
      </w:r>
    </w:p>
    <w:p>
      <w:pPr>
        <w:pStyle w:val="21"/>
        <w:spacing w:line="440" w:lineRule="exact"/>
        <w:ind w:firstLine="420" w:firstLineChars="200"/>
        <w:rPr>
          <w:rFonts w:hint="eastAsia"/>
          <w:color w:val="auto"/>
          <w:highlight w:val="none"/>
        </w:rPr>
      </w:pPr>
      <w:r>
        <w:rPr>
          <w:rFonts w:hint="eastAsia"/>
          <w:color w:val="auto"/>
          <w:highlight w:val="none"/>
        </w:rPr>
        <w:t>8、我方同意应贵方要求提供与本投标有关的任何数据或资料。若贵方需要，我方愿意提供我方作出的一切承诺的证明材料。</w:t>
      </w:r>
    </w:p>
    <w:p>
      <w:pPr>
        <w:pStyle w:val="21"/>
        <w:spacing w:line="440" w:lineRule="exact"/>
        <w:ind w:firstLine="420" w:firstLineChars="200"/>
        <w:rPr>
          <w:rFonts w:hint="eastAsia"/>
          <w:color w:val="auto"/>
          <w:highlight w:val="none"/>
        </w:rPr>
      </w:pPr>
      <w:r>
        <w:rPr>
          <w:rFonts w:hint="eastAsia"/>
          <w:color w:val="auto"/>
          <w:highlight w:val="none"/>
        </w:rPr>
        <w:t>9、我方完全理解贵方不一定接受投标报价最低的投标人为中标供应商的行为。</w:t>
      </w:r>
    </w:p>
    <w:p>
      <w:pPr>
        <w:pStyle w:val="21"/>
        <w:spacing w:line="440" w:lineRule="exact"/>
        <w:ind w:firstLine="420" w:firstLineChars="200"/>
        <w:rPr>
          <w:rFonts w:hint="eastAsia"/>
          <w:color w:val="auto"/>
          <w:highlight w:val="none"/>
        </w:rPr>
      </w:pPr>
      <w:r>
        <w:rPr>
          <w:rFonts w:hint="eastAsia"/>
          <w:color w:val="auto"/>
          <w:highlight w:val="none"/>
        </w:rPr>
        <w:t>10、我方将严格遵守《中华人民共和国政府采购法》第七十七条的规定，即供应商有下列情形之一的，处以采购金额千分之五以上千分之十</w:t>
      </w:r>
      <w:r>
        <w:rPr>
          <w:rFonts w:hint="eastAsia" w:hAnsi="宋体"/>
          <w:color w:val="auto"/>
          <w:highlight w:val="none"/>
        </w:rPr>
        <w:t>以下的罚款，列入不良行为记录名单，在一至三年内禁止参加政府采购活动，有违法所得的，并处没收违法所得，情节严重的，由工商行政管理机关吊销营业执照；构成犯罪的，依法追究刑事责任：</w:t>
      </w:r>
    </w:p>
    <w:p>
      <w:pPr>
        <w:pStyle w:val="21"/>
        <w:numPr>
          <w:ilvl w:val="0"/>
          <w:numId w:val="7"/>
        </w:numPr>
        <w:spacing w:line="440" w:lineRule="exact"/>
        <w:rPr>
          <w:rFonts w:hint="eastAsia" w:hAnsi="宋体"/>
          <w:color w:val="auto"/>
          <w:highlight w:val="none"/>
        </w:rPr>
      </w:pPr>
      <w:r>
        <w:rPr>
          <w:rFonts w:hint="eastAsia" w:hAnsi="宋体"/>
          <w:color w:val="auto"/>
          <w:highlight w:val="none"/>
        </w:rPr>
        <w:t>提供虚假材料谋取中标、成交的；</w:t>
      </w:r>
    </w:p>
    <w:p>
      <w:pPr>
        <w:pStyle w:val="21"/>
        <w:numPr>
          <w:ilvl w:val="0"/>
          <w:numId w:val="7"/>
        </w:numPr>
        <w:spacing w:line="440" w:lineRule="exact"/>
        <w:rPr>
          <w:rFonts w:hint="eastAsia" w:hAnsi="宋体"/>
          <w:color w:val="auto"/>
          <w:highlight w:val="none"/>
        </w:rPr>
      </w:pPr>
      <w:r>
        <w:rPr>
          <w:rFonts w:hint="eastAsia" w:hAnsi="宋体"/>
          <w:color w:val="auto"/>
          <w:highlight w:val="none"/>
        </w:rPr>
        <w:t>采取不正当手段诋毁、排挤其他供应商的；</w:t>
      </w:r>
    </w:p>
    <w:p>
      <w:pPr>
        <w:pStyle w:val="21"/>
        <w:numPr>
          <w:ilvl w:val="0"/>
          <w:numId w:val="7"/>
        </w:numPr>
        <w:spacing w:line="440" w:lineRule="exact"/>
        <w:rPr>
          <w:rFonts w:hint="eastAsia"/>
          <w:color w:val="auto"/>
          <w:highlight w:val="none"/>
        </w:rPr>
      </w:pPr>
      <w:r>
        <w:rPr>
          <w:rFonts w:hint="eastAsia" w:hAnsi="宋体"/>
          <w:color w:val="auto"/>
          <w:highlight w:val="none"/>
        </w:rPr>
        <w:t>与采购人、其他供应商或者采购代理机构恶意串通的；</w:t>
      </w:r>
    </w:p>
    <w:p>
      <w:pPr>
        <w:pStyle w:val="21"/>
        <w:numPr>
          <w:ilvl w:val="0"/>
          <w:numId w:val="7"/>
        </w:numPr>
        <w:spacing w:line="440" w:lineRule="exact"/>
        <w:rPr>
          <w:rFonts w:hint="eastAsia"/>
          <w:color w:val="auto"/>
          <w:highlight w:val="none"/>
        </w:rPr>
      </w:pPr>
      <w:r>
        <w:rPr>
          <w:rFonts w:hint="eastAsia" w:hAnsi="宋体"/>
          <w:color w:val="auto"/>
          <w:highlight w:val="none"/>
        </w:rPr>
        <w:t>向采购人、采购代理机构行贿或者提供其他不正当利益的；</w:t>
      </w:r>
    </w:p>
    <w:p>
      <w:pPr>
        <w:pStyle w:val="21"/>
        <w:numPr>
          <w:ilvl w:val="0"/>
          <w:numId w:val="7"/>
        </w:numPr>
        <w:spacing w:line="440" w:lineRule="exact"/>
        <w:rPr>
          <w:rFonts w:hint="eastAsia"/>
          <w:color w:val="auto"/>
          <w:highlight w:val="none"/>
        </w:rPr>
      </w:pPr>
      <w:r>
        <w:rPr>
          <w:rFonts w:hint="eastAsia" w:hAnsi="宋体"/>
          <w:color w:val="auto"/>
          <w:highlight w:val="none"/>
        </w:rPr>
        <w:t>在招标采购过程中与采购人进行协商谈判的；</w:t>
      </w:r>
    </w:p>
    <w:p>
      <w:pPr>
        <w:pStyle w:val="21"/>
        <w:numPr>
          <w:ilvl w:val="0"/>
          <w:numId w:val="7"/>
        </w:numPr>
        <w:spacing w:line="440" w:lineRule="exact"/>
        <w:rPr>
          <w:rFonts w:hint="eastAsia"/>
          <w:color w:val="auto"/>
          <w:highlight w:val="none"/>
        </w:rPr>
      </w:pPr>
      <w:r>
        <w:rPr>
          <w:rFonts w:hint="eastAsia" w:hAnsi="宋体"/>
          <w:color w:val="auto"/>
          <w:highlight w:val="none"/>
        </w:rPr>
        <w:t>拒绝有关部门监督检查或提供虚假情况的。</w:t>
      </w:r>
    </w:p>
    <w:p>
      <w:pPr>
        <w:pStyle w:val="21"/>
        <w:spacing w:line="440" w:lineRule="exact"/>
        <w:ind w:left="420"/>
        <w:rPr>
          <w:rFonts w:hint="eastAsia"/>
          <w:color w:val="auto"/>
          <w:highlight w:val="none"/>
        </w:rPr>
      </w:pPr>
      <w:r>
        <w:rPr>
          <w:rFonts w:hint="eastAsia"/>
          <w:color w:val="auto"/>
          <w:highlight w:val="none"/>
        </w:rPr>
        <w:t>11、我方及由本人担任法定代表人的其他机构最近三年内被处罚的违法行为有：</w:t>
      </w:r>
      <w:r>
        <w:rPr>
          <w:rFonts w:hint="eastAsia"/>
          <w:color w:val="auto"/>
          <w:highlight w:val="none"/>
          <w:u w:val="single"/>
        </w:rPr>
        <w:t xml:space="preserve">                                        </w:t>
      </w:r>
    </w:p>
    <w:p>
      <w:pPr>
        <w:pStyle w:val="21"/>
        <w:spacing w:line="440" w:lineRule="exact"/>
        <w:ind w:left="420"/>
        <w:rPr>
          <w:rFonts w:hint="eastAsia"/>
          <w:color w:val="auto"/>
          <w:highlight w:val="none"/>
        </w:rPr>
      </w:pPr>
      <w:r>
        <w:rPr>
          <w:rFonts w:hint="eastAsia"/>
          <w:color w:val="auto"/>
          <w:highlight w:val="none"/>
          <w:u w:val="single"/>
        </w:rPr>
        <w:t xml:space="preserve">                                                                                                                        </w:t>
      </w:r>
    </w:p>
    <w:p>
      <w:pPr>
        <w:pStyle w:val="21"/>
        <w:spacing w:line="360" w:lineRule="auto"/>
        <w:ind w:firstLine="420"/>
        <w:rPr>
          <w:rFonts w:hint="eastAsia"/>
          <w:color w:val="auto"/>
          <w:highlight w:val="none"/>
        </w:rPr>
      </w:pPr>
      <w:r>
        <w:rPr>
          <w:rFonts w:hint="eastAsia"/>
          <w:color w:val="auto"/>
          <w:highlight w:val="none"/>
        </w:rPr>
        <w:t>12、以上事项如有虚假或隐瞒，我方愿意承担一切后果，并不再寻求任何旨在减轻或免除法律责任的辩解。</w:t>
      </w:r>
    </w:p>
    <w:p>
      <w:pPr>
        <w:pStyle w:val="21"/>
        <w:spacing w:line="360" w:lineRule="auto"/>
        <w:ind w:firstLine="420"/>
        <w:rPr>
          <w:rFonts w:hint="eastAsia"/>
          <w:color w:val="auto"/>
          <w:highlight w:val="none"/>
        </w:rPr>
      </w:pPr>
      <w:r>
        <w:rPr>
          <w:rFonts w:hint="eastAsia"/>
          <w:color w:val="auto"/>
          <w:highlight w:val="none"/>
        </w:rPr>
        <w:t>13、与本投标有关的一切正式往来信函请寄：</w:t>
      </w:r>
      <w:r>
        <w:rPr>
          <w:rFonts w:hint="eastAsia"/>
          <w:color w:val="auto"/>
          <w:highlight w:val="none"/>
          <w:u w:val="single"/>
        </w:rPr>
        <w:t xml:space="preserve"> </w:t>
      </w:r>
    </w:p>
    <w:p>
      <w:pPr>
        <w:pStyle w:val="21"/>
        <w:spacing w:line="360" w:lineRule="auto"/>
        <w:ind w:firstLine="420"/>
        <w:rPr>
          <w:rFonts w:hint="eastAsia"/>
          <w:color w:val="auto"/>
          <w:highlight w:val="none"/>
        </w:rPr>
      </w:pPr>
      <w:r>
        <w:rPr>
          <w:rFonts w:hint="eastAsia"/>
          <w:color w:val="auto"/>
          <w:highlight w:val="none"/>
        </w:rPr>
        <w:t>地址：</w:t>
      </w:r>
      <w:r>
        <w:rPr>
          <w:rFonts w:hint="eastAsia"/>
          <w:color w:val="auto"/>
          <w:highlight w:val="none"/>
          <w:u w:val="single"/>
        </w:rPr>
        <w:t xml:space="preserve">                                                        </w:t>
      </w:r>
      <w:r>
        <w:rPr>
          <w:rFonts w:hint="eastAsia"/>
          <w:color w:val="auto"/>
          <w:highlight w:val="none"/>
        </w:rPr>
        <w:t xml:space="preserve"> </w:t>
      </w:r>
    </w:p>
    <w:p>
      <w:pPr>
        <w:pStyle w:val="21"/>
        <w:spacing w:line="360" w:lineRule="auto"/>
        <w:ind w:firstLine="420"/>
        <w:rPr>
          <w:rFonts w:hint="eastAsia"/>
          <w:color w:val="auto"/>
          <w:highlight w:val="none"/>
          <w:u w:val="single"/>
        </w:rPr>
      </w:pPr>
      <w:r>
        <w:rPr>
          <w:rFonts w:hint="eastAsia"/>
          <w:color w:val="auto"/>
          <w:highlight w:val="none"/>
        </w:rPr>
        <w:t>电话：</w:t>
      </w:r>
      <w:r>
        <w:rPr>
          <w:rFonts w:hint="eastAsia"/>
          <w:color w:val="auto"/>
          <w:highlight w:val="none"/>
          <w:u w:val="single"/>
        </w:rPr>
        <w:t xml:space="preserve">                                      　　　　　　　　　</w:t>
      </w:r>
    </w:p>
    <w:p>
      <w:pPr>
        <w:pStyle w:val="21"/>
        <w:spacing w:line="360" w:lineRule="auto"/>
        <w:ind w:firstLine="420"/>
        <w:rPr>
          <w:rFonts w:hint="eastAsia"/>
          <w:color w:val="auto"/>
          <w:highlight w:val="none"/>
        </w:rPr>
      </w:pPr>
      <w:r>
        <w:rPr>
          <w:rFonts w:hint="eastAsia"/>
          <w:color w:val="auto"/>
          <w:highlight w:val="none"/>
        </w:rPr>
        <w:t>传真：</w:t>
      </w:r>
      <w:r>
        <w:rPr>
          <w:rFonts w:hint="eastAsia"/>
          <w:color w:val="auto"/>
          <w:highlight w:val="none"/>
          <w:u w:val="single"/>
        </w:rPr>
        <w:t>　　　　　　　　　　　　　　　　　　　　　　　　　　　　</w:t>
      </w:r>
    </w:p>
    <w:p>
      <w:pPr>
        <w:pStyle w:val="21"/>
        <w:spacing w:line="360" w:lineRule="auto"/>
        <w:ind w:firstLine="420"/>
        <w:rPr>
          <w:rFonts w:hint="eastAsia"/>
          <w:color w:val="auto"/>
          <w:highlight w:val="none"/>
          <w:u w:val="single"/>
        </w:rPr>
      </w:pPr>
      <w:r>
        <w:rPr>
          <w:rFonts w:hint="eastAsia"/>
          <w:color w:val="auto"/>
          <w:highlight w:val="none"/>
        </w:rPr>
        <w:t>邮政编码：</w:t>
      </w:r>
      <w:r>
        <w:rPr>
          <w:rFonts w:hint="eastAsia"/>
          <w:color w:val="auto"/>
          <w:highlight w:val="none"/>
          <w:u w:val="single"/>
        </w:rPr>
        <w:t xml:space="preserve">                                                    </w:t>
      </w:r>
    </w:p>
    <w:p>
      <w:pPr>
        <w:pStyle w:val="21"/>
        <w:spacing w:line="360" w:lineRule="auto"/>
        <w:ind w:firstLine="420"/>
        <w:rPr>
          <w:rFonts w:hint="eastAsia"/>
          <w:color w:val="auto"/>
          <w:highlight w:val="none"/>
          <w:u w:val="single"/>
        </w:rPr>
      </w:pPr>
      <w:r>
        <w:rPr>
          <w:rFonts w:hint="eastAsia"/>
          <w:color w:val="auto"/>
          <w:highlight w:val="none"/>
        </w:rPr>
        <w:t>开户名称：</w:t>
      </w:r>
      <w:r>
        <w:rPr>
          <w:rFonts w:hint="eastAsia"/>
          <w:color w:val="auto"/>
          <w:highlight w:val="none"/>
          <w:u w:val="single"/>
        </w:rPr>
        <w:t xml:space="preserve">                                                    </w:t>
      </w:r>
    </w:p>
    <w:p>
      <w:pPr>
        <w:pStyle w:val="21"/>
        <w:spacing w:line="360" w:lineRule="auto"/>
        <w:ind w:firstLine="420"/>
        <w:rPr>
          <w:rFonts w:hint="eastAsia"/>
          <w:color w:val="auto"/>
          <w:highlight w:val="none"/>
          <w:u w:val="single"/>
        </w:rPr>
      </w:pPr>
      <w:r>
        <w:rPr>
          <w:rFonts w:hint="eastAsia"/>
          <w:color w:val="auto"/>
          <w:highlight w:val="none"/>
        </w:rPr>
        <w:t>开户银行：</w:t>
      </w:r>
      <w:r>
        <w:rPr>
          <w:rFonts w:hint="eastAsia"/>
          <w:color w:val="auto"/>
          <w:highlight w:val="none"/>
          <w:u w:val="single"/>
        </w:rPr>
        <w:t xml:space="preserve">                                                    </w:t>
      </w:r>
    </w:p>
    <w:p>
      <w:pPr>
        <w:pStyle w:val="21"/>
        <w:spacing w:line="360" w:lineRule="auto"/>
        <w:ind w:firstLine="420"/>
        <w:rPr>
          <w:rFonts w:hint="eastAsia"/>
          <w:color w:val="auto"/>
          <w:highlight w:val="none"/>
          <w:u w:val="single"/>
        </w:rPr>
      </w:pPr>
      <w:r>
        <w:rPr>
          <w:rFonts w:hint="eastAsia"/>
          <w:color w:val="auto"/>
          <w:highlight w:val="none"/>
        </w:rPr>
        <w:t>银行账号：</w:t>
      </w:r>
      <w:r>
        <w:rPr>
          <w:rFonts w:hint="eastAsia"/>
          <w:color w:val="auto"/>
          <w:highlight w:val="none"/>
          <w:u w:val="single"/>
        </w:rPr>
        <w:t xml:space="preserve">                                                    </w:t>
      </w:r>
    </w:p>
    <w:p>
      <w:pPr>
        <w:snapToGrid w:val="0"/>
        <w:spacing w:line="360" w:lineRule="auto"/>
        <w:ind w:firstLine="5040" w:firstLineChars="2100"/>
        <w:rPr>
          <w:rFonts w:hint="eastAsia" w:ascii="仿宋_GB2312" w:hAnsi="仿宋" w:eastAsia="仿宋_GB2312" w:cs="仿宋_GB2312"/>
          <w:color w:val="auto"/>
          <w:kern w:val="0"/>
          <w:sz w:val="24"/>
          <w:highlight w:val="none"/>
          <w:lang w:val="zh-CN"/>
        </w:rPr>
      </w:pPr>
    </w:p>
    <w:p>
      <w:pPr>
        <w:snapToGrid w:val="0"/>
        <w:spacing w:line="360" w:lineRule="auto"/>
        <w:ind w:firstLine="5040" w:firstLineChars="21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firstLine="5160" w:firstLineChars="2150"/>
        <w:rPr>
          <w:rFonts w:ascii="仿宋_GB2312" w:hAnsi="仿宋" w:eastAsia="仿宋_GB2312" w:cs="仿宋_GB2312"/>
          <w:color w:val="auto"/>
          <w:kern w:val="0"/>
          <w:sz w:val="24"/>
          <w:highlight w:val="none"/>
          <w:lang w:val="zh-CN"/>
        </w:rPr>
        <w:sectPr>
          <w:pgSz w:w="11905" w:h="16838"/>
          <w:pgMar w:top="1134" w:right="1134" w:bottom="1134" w:left="1134" w:header="720" w:footer="720" w:gutter="0"/>
          <w:cols w:space="720" w:num="1"/>
          <w:docGrid w:type="lines" w:linePitch="331" w:charSpace="0"/>
        </w:sectPr>
      </w:pPr>
    </w:p>
    <w:p>
      <w:pPr>
        <w:pStyle w:val="21"/>
        <w:spacing w:line="360" w:lineRule="auto"/>
        <w:jc w:val="center"/>
        <w:rPr>
          <w:rFonts w:hint="eastAsia"/>
          <w:b/>
          <w:color w:val="auto"/>
          <w:sz w:val="30"/>
          <w:szCs w:val="30"/>
          <w:highlight w:val="none"/>
        </w:rPr>
      </w:pPr>
      <w:r>
        <w:rPr>
          <w:rFonts w:hint="eastAsia" w:hAnsi="宋体"/>
          <w:color w:val="auto"/>
          <w:sz w:val="30"/>
          <w:highlight w:val="none"/>
        </w:rPr>
        <w:t>二、</w:t>
      </w:r>
      <w:r>
        <w:rPr>
          <w:rFonts w:hint="eastAsia"/>
          <w:b/>
          <w:color w:val="auto"/>
          <w:sz w:val="30"/>
          <w:szCs w:val="30"/>
          <w:highlight w:val="none"/>
        </w:rPr>
        <w:t>开标一览表</w:t>
      </w:r>
    </w:p>
    <w:p>
      <w:pPr>
        <w:snapToGrid w:val="0"/>
        <w:spacing w:before="50" w:after="50" w:line="360" w:lineRule="auto"/>
        <w:rPr>
          <w:rFonts w:hint="eastAsia"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分标：</w:t>
      </w:r>
      <w:r>
        <w:rPr>
          <w:rFonts w:hint="eastAsia" w:ascii="宋体" w:hAnsi="宋体"/>
          <w:color w:val="auto"/>
          <w:sz w:val="24"/>
          <w:highlight w:val="none"/>
          <w:u w:val="single"/>
        </w:rPr>
        <w:t xml:space="preserve">           </w:t>
      </w:r>
    </w:p>
    <w:p>
      <w:pPr>
        <w:pStyle w:val="21"/>
        <w:spacing w:line="360" w:lineRule="auto"/>
        <w:rPr>
          <w:b/>
          <w:color w:val="auto"/>
          <w:sz w:val="32"/>
          <w:highlight w:val="none"/>
        </w:rPr>
      </w:pPr>
      <w:r>
        <w:rPr>
          <w:rFonts w:hint="eastAsia" w:hAnsi="宋体"/>
          <w:color w:val="auto"/>
          <w:sz w:val="24"/>
          <w:highlight w:val="none"/>
        </w:rPr>
        <w:t>投标人名称：</w:t>
      </w:r>
      <w:r>
        <w:rPr>
          <w:rFonts w:hint="eastAsia" w:hAnsi="宋体"/>
          <w:color w:val="auto"/>
          <w:sz w:val="24"/>
          <w:highlight w:val="none"/>
          <w:u w:val="single"/>
        </w:rPr>
        <w:t xml:space="preserve">                     </w:t>
      </w:r>
      <w:r>
        <w:rPr>
          <w:rFonts w:hint="eastAsia" w:hAnsi="宋体"/>
          <w:color w:val="auto"/>
          <w:sz w:val="24"/>
          <w:highlight w:val="none"/>
        </w:rPr>
        <w:t xml:space="preserve">   </w:t>
      </w:r>
    </w:p>
    <w:tbl>
      <w:tblPr>
        <w:tblStyle w:val="38"/>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74"/>
        <w:gridCol w:w="2087"/>
        <w:gridCol w:w="1459"/>
        <w:gridCol w:w="1873"/>
        <w:gridCol w:w="1534"/>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2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r>
              <w:rPr>
                <w:rFonts w:hint="eastAsia" w:ascii="宋体" w:hAnsi="宋体"/>
                <w:color w:val="auto"/>
                <w:szCs w:val="22"/>
                <w:highlight w:val="none"/>
              </w:rPr>
              <w:t>序号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r>
              <w:rPr>
                <w:rFonts w:hint="eastAsia" w:ascii="宋体" w:hAnsi="宋体"/>
                <w:color w:val="auto"/>
                <w:szCs w:val="22"/>
                <w:highlight w:val="none"/>
              </w:rPr>
              <w:t>服务名称</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宋体" w:hAnsi="宋体"/>
                <w:color w:val="auto"/>
                <w:szCs w:val="22"/>
                <w:highlight w:val="none"/>
              </w:rPr>
            </w:pPr>
            <w:r>
              <w:rPr>
                <w:rFonts w:hint="eastAsia" w:ascii="宋体" w:hAnsi="宋体"/>
                <w:color w:val="auto"/>
                <w:szCs w:val="22"/>
                <w:highlight w:val="none"/>
              </w:rPr>
              <w:t>具体服务内容</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ascii="宋体" w:hAnsi="宋体"/>
                <w:color w:val="auto"/>
                <w:szCs w:val="22"/>
                <w:highlight w:val="none"/>
              </w:rPr>
            </w:pPr>
            <w:r>
              <w:rPr>
                <w:rFonts w:hint="eastAsia" w:ascii="宋体" w:hAnsi="宋体"/>
                <w:color w:val="auto"/>
                <w:szCs w:val="22"/>
                <w:highlight w:val="none"/>
              </w:rPr>
              <w:t>数量</w:t>
            </w:r>
          </w:p>
        </w:tc>
        <w:tc>
          <w:tcPr>
            <w:tcW w:w="187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r>
              <w:rPr>
                <w:rFonts w:hint="eastAsia" w:hAnsi="宋体"/>
                <w:color w:val="auto"/>
                <w:highlight w:val="none"/>
              </w:rPr>
              <w:t>价格优惠率</w:t>
            </w:r>
            <w:r>
              <w:rPr>
                <w:rFonts w:hint="eastAsia" w:ascii="宋体" w:hAnsi="宋体" w:cs="宋体"/>
                <w:color w:val="auto"/>
                <w:highlight w:val="none"/>
              </w:rPr>
              <w:t>（%）</w:t>
            </w:r>
          </w:p>
        </w:tc>
        <w:tc>
          <w:tcPr>
            <w:tcW w:w="153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60" w:lineRule="auto"/>
              <w:jc w:val="center"/>
              <w:rPr>
                <w:rFonts w:ascii="宋体" w:hAnsi="宋体"/>
                <w:color w:val="auto"/>
                <w:szCs w:val="22"/>
                <w:highlight w:val="none"/>
              </w:rPr>
            </w:pPr>
            <w:r>
              <w:rPr>
                <w:rFonts w:ascii="宋体" w:hAnsi="宋体"/>
                <w:color w:val="auto"/>
                <w:szCs w:val="22"/>
                <w:highlight w:val="none"/>
              </w:rPr>
              <w:t>服务期限</w:t>
            </w:r>
          </w:p>
        </w:tc>
        <w:tc>
          <w:tcPr>
            <w:tcW w:w="9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r>
              <w:rPr>
                <w:rFonts w:hint="eastAsia" w:ascii="宋体" w:hAnsi="宋体"/>
                <w:color w:val="auto"/>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r>
              <w:rPr>
                <w:rFonts w:ascii="宋体" w:hAnsi="宋体"/>
                <w:color w:val="auto"/>
                <w:szCs w:val="22"/>
                <w:highlight w:val="none"/>
              </w:rPr>
              <w:t>1</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p>
        </w:tc>
        <w:tc>
          <w:tcPr>
            <w:tcW w:w="187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p>
        </w:tc>
        <w:tc>
          <w:tcPr>
            <w:tcW w:w="1534"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ascii="宋体" w:hAnsi="宋体"/>
                <w:color w:val="auto"/>
                <w:szCs w:val="22"/>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2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r>
              <w:rPr>
                <w:rFonts w:ascii="宋体" w:hAnsi="宋体"/>
                <w:color w:val="auto"/>
                <w:szCs w:val="22"/>
                <w:highlight w:val="none"/>
              </w:rPr>
              <w:t>...</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p>
        </w:tc>
        <w:tc>
          <w:tcPr>
            <w:tcW w:w="187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p>
        </w:tc>
        <w:tc>
          <w:tcPr>
            <w:tcW w:w="1534" w:type="dxa"/>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ascii="宋体" w:hAnsi="宋体"/>
                <w:color w:val="auto"/>
                <w:szCs w:val="22"/>
                <w:highlight w:val="none"/>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ascii="宋体" w:hAnsi="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23" w:type="dxa"/>
            <w:gridSpan w:val="7"/>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ascii="宋体" w:hAnsi="宋体"/>
                <w:color w:val="auto"/>
                <w:szCs w:val="22"/>
                <w:highlight w:val="none"/>
              </w:rPr>
            </w:pPr>
            <w:r>
              <w:rPr>
                <w:rFonts w:hint="eastAsia" w:ascii="宋体" w:hAnsi="宋体"/>
                <w:color w:val="auto"/>
                <w:szCs w:val="22"/>
                <w:highlight w:val="none"/>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923" w:type="dxa"/>
            <w:gridSpan w:val="7"/>
            <w:tcBorders>
              <w:top w:val="single" w:color="auto" w:sz="4" w:space="0"/>
              <w:left w:val="single" w:color="auto" w:sz="4" w:space="0"/>
              <w:bottom w:val="single" w:color="auto" w:sz="4" w:space="0"/>
              <w:right w:val="single" w:color="auto" w:sz="4" w:space="0"/>
            </w:tcBorders>
            <w:noWrap w:val="0"/>
            <w:vAlign w:val="top"/>
          </w:tcPr>
          <w:p>
            <w:pPr>
              <w:shd w:val="clear" w:color="auto" w:fill="auto"/>
              <w:rPr>
                <w:rFonts w:ascii="宋体" w:hAnsi="宋体"/>
                <w:color w:val="auto"/>
                <w:szCs w:val="22"/>
                <w:highlight w:val="none"/>
              </w:rPr>
            </w:pPr>
            <w:r>
              <w:rPr>
                <w:rFonts w:hint="eastAsia" w:ascii="宋体" w:hAnsi="宋体"/>
                <w:color w:val="auto"/>
                <w:szCs w:val="22"/>
                <w:highlight w:val="none"/>
              </w:rPr>
              <w:t>优惠及其它：</w:t>
            </w:r>
          </w:p>
        </w:tc>
      </w:tr>
    </w:tbl>
    <w:p>
      <w:pPr>
        <w:snapToGrid w:val="0"/>
        <w:spacing w:before="50" w:after="50" w:line="360" w:lineRule="auto"/>
        <w:ind w:firstLine="480" w:firstLineChars="200"/>
        <w:jc w:val="left"/>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注： </w:t>
      </w:r>
    </w:p>
    <w:p>
      <w:pPr>
        <w:snapToGrid w:val="0"/>
        <w:spacing w:before="50" w:after="50" w:line="360" w:lineRule="auto"/>
        <w:ind w:firstLine="480" w:firstLineChars="200"/>
        <w:jc w:val="left"/>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 投标人需按本表格式填写，不得自行更改，也不得留空, 如有多分标，按分标分别提供开标一览表，必须加盖投标人有效电子公章，</w:t>
      </w:r>
      <w:r>
        <w:rPr>
          <w:rFonts w:hint="eastAsia" w:ascii="仿宋_GB2312" w:hAnsi="仿宋" w:eastAsia="仿宋_GB2312" w:cs="仿宋_GB2312"/>
          <w:b/>
          <w:color w:val="auto"/>
          <w:kern w:val="0"/>
          <w:sz w:val="24"/>
          <w:highlight w:val="none"/>
          <w:lang w:val="zh-CN"/>
        </w:rPr>
        <w:t>否则其投标作无效标处理。</w:t>
      </w:r>
    </w:p>
    <w:p>
      <w:pPr>
        <w:snapToGrid w:val="0"/>
        <w:spacing w:before="50" w:after="50" w:line="360" w:lineRule="auto"/>
        <w:ind w:firstLine="480" w:firstLineChars="200"/>
        <w:jc w:val="left"/>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2、本表内容均不能涂改，</w:t>
      </w:r>
      <w:r>
        <w:rPr>
          <w:rFonts w:hint="eastAsia" w:ascii="仿宋_GB2312" w:hAnsi="仿宋" w:eastAsia="仿宋_GB2312" w:cs="仿宋_GB2312"/>
          <w:b/>
          <w:color w:val="auto"/>
          <w:kern w:val="0"/>
          <w:sz w:val="24"/>
          <w:highlight w:val="none"/>
          <w:lang w:val="zh-CN"/>
        </w:rPr>
        <w:t>否则其投标作无效标处理。</w:t>
      </w:r>
    </w:p>
    <w:p>
      <w:pPr>
        <w:snapToGrid w:val="0"/>
        <w:spacing w:before="50" w:after="50" w:line="360" w:lineRule="auto"/>
        <w:ind w:firstLine="480" w:firstLineChars="200"/>
        <w:jc w:val="left"/>
        <w:rPr>
          <w:rFonts w:hint="eastAsia" w:ascii="仿宋_GB2312" w:hAnsi="仿宋" w:eastAsia="仿宋_GB2312" w:cs="仿宋_GB2312"/>
          <w:b/>
          <w:color w:val="auto"/>
          <w:kern w:val="0"/>
          <w:sz w:val="24"/>
          <w:highlight w:val="none"/>
          <w:lang w:val="zh-CN"/>
        </w:rPr>
      </w:pPr>
      <w:r>
        <w:rPr>
          <w:rFonts w:hint="eastAsia" w:ascii="仿宋_GB2312" w:hAnsi="仿宋" w:eastAsia="仿宋_GB2312" w:cs="仿宋_GB2312"/>
          <w:color w:val="auto"/>
          <w:kern w:val="0"/>
          <w:sz w:val="24"/>
          <w:highlight w:val="none"/>
          <w:lang w:val="zh-CN"/>
        </w:rPr>
        <w:t>3、如为联合体投标，“投标人名称”处必须列明联合体各方名称，并标注联合体牵头人名称，且盖章处须加盖联合体各方公章，</w:t>
      </w:r>
      <w:r>
        <w:rPr>
          <w:rFonts w:hint="eastAsia" w:ascii="仿宋_GB2312" w:hAnsi="仿宋" w:eastAsia="仿宋_GB2312" w:cs="仿宋_GB2312"/>
          <w:b/>
          <w:color w:val="auto"/>
          <w:kern w:val="0"/>
          <w:sz w:val="24"/>
          <w:highlight w:val="none"/>
          <w:lang w:val="zh-CN"/>
        </w:rPr>
        <w:t>否则其投标作无效标处理。</w:t>
      </w:r>
    </w:p>
    <w:p>
      <w:pPr>
        <w:snapToGrid w:val="0"/>
        <w:spacing w:line="360" w:lineRule="auto"/>
        <w:ind w:firstLine="480" w:firstLineChars="200"/>
        <w:jc w:val="left"/>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4、以上表格要求细分项目及报价，在“具体服务内容”一栏中，填写具体服务，</w:t>
      </w:r>
      <w:r>
        <w:rPr>
          <w:rFonts w:hint="eastAsia" w:ascii="仿宋_GB2312" w:hAnsi="仿宋" w:eastAsia="仿宋_GB2312" w:cs="仿宋_GB2312"/>
          <w:b/>
          <w:color w:val="auto"/>
          <w:kern w:val="0"/>
          <w:sz w:val="24"/>
          <w:highlight w:val="none"/>
          <w:lang w:val="zh-CN"/>
        </w:rPr>
        <w:t>否则其投标作无效标处理。</w:t>
      </w:r>
    </w:p>
    <w:p>
      <w:pPr>
        <w:snapToGrid w:val="0"/>
        <w:spacing w:line="360" w:lineRule="auto"/>
        <w:ind w:firstLine="480" w:firstLineChars="200"/>
        <w:jc w:val="left"/>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5、特别提示：采购机构将对项目名称和项目编号，成交供应商名称、地址和成交金额，主要成交标的的名称、服务范围、服务要求、服务时间、服务标准等予以公示。</w:t>
      </w:r>
    </w:p>
    <w:p>
      <w:pPr>
        <w:snapToGrid w:val="0"/>
        <w:spacing w:line="360" w:lineRule="auto"/>
        <w:ind w:firstLine="480" w:firstLineChars="200"/>
        <w:jc w:val="left"/>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szCs w:val="22"/>
          <w:highlight w:val="none"/>
          <w:lang w:val="zh-CN"/>
        </w:rPr>
        <w:t>6、</w:t>
      </w:r>
      <w:r>
        <w:rPr>
          <w:rFonts w:hint="eastAsia" w:ascii="仿宋_GB2312" w:hAnsi="仿宋" w:eastAsia="仿宋_GB2312" w:cs="仿宋_GB2312"/>
          <w:color w:val="auto"/>
          <w:kern w:val="0"/>
          <w:sz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highlight w:val="none"/>
          <w:lang w:val="zh-CN"/>
        </w:rPr>
        <w:t>提供</w:t>
      </w:r>
      <w:r>
        <w:rPr>
          <w:rFonts w:hint="eastAsia" w:ascii="仿宋_GB2312" w:hAnsi="仿宋" w:eastAsia="仿宋_GB2312" w:cs="仿宋_GB2312"/>
          <w:color w:val="auto"/>
          <w:kern w:val="0"/>
          <w:sz w:val="24"/>
          <w:highlight w:val="none"/>
          <w:lang w:val="zh-CN"/>
        </w:rPr>
        <w:t>的中小企业</w:t>
      </w:r>
      <w:r>
        <w:rPr>
          <w:rFonts w:ascii="仿宋_GB2312" w:hAnsi="仿宋" w:eastAsia="仿宋_GB2312" w:cs="仿宋_GB2312"/>
          <w:color w:val="auto"/>
          <w:kern w:val="0"/>
          <w:sz w:val="24"/>
          <w:highlight w:val="none"/>
          <w:lang w:val="zh-CN"/>
        </w:rPr>
        <w:t>声明函内容不实的，属于提供虚假材料谋取中标、成交，依照《中华人民共和国政府采购法》等国家有关规定追究相应责任。</w:t>
      </w:r>
    </w:p>
    <w:p>
      <w:pPr>
        <w:snapToGrid w:val="0"/>
        <w:spacing w:line="360" w:lineRule="auto"/>
        <w:ind w:firstLine="5040" w:firstLineChars="2100"/>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投标人名称(电子签章)：</w:t>
      </w:r>
    </w:p>
    <w:p>
      <w:pPr>
        <w:snapToGrid w:val="0"/>
        <w:spacing w:line="360" w:lineRule="auto"/>
        <w:ind w:firstLine="5160" w:firstLineChars="2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napToGrid w:val="0"/>
        <w:spacing w:before="50" w:after="165" w:afterLines="50" w:line="360" w:lineRule="auto"/>
        <w:jc w:val="left"/>
        <w:rPr>
          <w:color w:val="auto"/>
          <w:sz w:val="20"/>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rPr>
          <w:rFonts w:hint="eastAsia" w:ascii="Times New Roman" w:hAnsi="Times New Roman"/>
          <w:b/>
          <w:color w:val="auto"/>
          <w:sz w:val="36"/>
          <w:highlight w:val="none"/>
        </w:rPr>
      </w:pPr>
    </w:p>
    <w:p>
      <w:pPr>
        <w:pStyle w:val="21"/>
        <w:tabs>
          <w:tab w:val="left" w:pos="2472"/>
        </w:tabs>
        <w:spacing w:line="460" w:lineRule="exact"/>
        <w:jc w:val="center"/>
        <w:outlineLvl w:val="0"/>
        <w:rPr>
          <w:rFonts w:ascii="Times New Roman" w:hAnsi="Times New Roman"/>
          <w:b/>
          <w:color w:val="auto"/>
          <w:sz w:val="36"/>
          <w:highlight w:val="none"/>
        </w:rPr>
      </w:pPr>
      <w:bookmarkStart w:id="245" w:name="_Toc14340"/>
      <w:bookmarkStart w:id="246" w:name="_Toc6791"/>
      <w:bookmarkStart w:id="247" w:name="_Toc2045"/>
      <w:bookmarkStart w:id="248" w:name="_Toc80093017"/>
      <w:r>
        <w:rPr>
          <w:rFonts w:hint="eastAsia" w:ascii="Times New Roman" w:hAnsi="Times New Roman"/>
          <w:b/>
          <w:color w:val="auto"/>
          <w:sz w:val="36"/>
          <w:highlight w:val="none"/>
        </w:rPr>
        <w:t>第七章 质疑、投诉证明材料格式</w:t>
      </w:r>
      <w:bookmarkEnd w:id="245"/>
      <w:bookmarkEnd w:id="246"/>
      <w:bookmarkEnd w:id="247"/>
      <w:bookmarkEnd w:id="248"/>
    </w:p>
    <w:p>
      <w:pPr>
        <w:snapToGrid w:val="0"/>
        <w:spacing w:before="50" w:after="165" w:afterLines="50" w:line="360" w:lineRule="auto"/>
        <w:ind w:firstLine="300" w:firstLineChars="150"/>
        <w:jc w:val="left"/>
        <w:rPr>
          <w:color w:val="auto"/>
          <w:sz w:val="20"/>
          <w:highlight w:val="none"/>
        </w:rPr>
        <w:sectPr>
          <w:pgSz w:w="11905" w:h="16838"/>
          <w:pgMar w:top="1134" w:right="1134" w:bottom="1134" w:left="1134" w:header="720" w:footer="720" w:gutter="0"/>
          <w:cols w:space="720" w:num="1"/>
          <w:docGrid w:type="lines" w:linePitch="331" w:charSpace="0"/>
        </w:sectPr>
      </w:pPr>
    </w:p>
    <w:p>
      <w:pPr>
        <w:widowControl/>
        <w:spacing w:line="260" w:lineRule="exact"/>
        <w:jc w:val="left"/>
        <w:rPr>
          <w:rFonts w:hint="eastAsia" w:ascii="宋体" w:hAnsi="宋体"/>
          <w:b/>
          <w:bCs/>
          <w:color w:val="auto"/>
          <w:sz w:val="28"/>
          <w:szCs w:val="28"/>
          <w:highlight w:val="none"/>
        </w:rPr>
      </w:pPr>
    </w:p>
    <w:p>
      <w:pPr>
        <w:pStyle w:val="4"/>
        <w:jc w:val="center"/>
        <w:rPr>
          <w:rFonts w:hint="eastAsia" w:ascii="宋体" w:hAnsi="宋体"/>
          <w:b w:val="0"/>
          <w:bCs w:val="0"/>
          <w:color w:val="auto"/>
          <w:highlight w:val="none"/>
        </w:rPr>
      </w:pPr>
      <w:bookmarkStart w:id="249" w:name="_Toc7532"/>
      <w:bookmarkStart w:id="250" w:name="_Toc80093018"/>
      <w:bookmarkStart w:id="251" w:name="_Toc28427"/>
      <w:bookmarkStart w:id="252" w:name="_Toc21383"/>
      <w:r>
        <w:rPr>
          <w:rFonts w:hint="eastAsia" w:ascii="宋体" w:hAnsi="宋体"/>
          <w:b w:val="0"/>
          <w:bCs w:val="0"/>
          <w:color w:val="auto"/>
          <w:highlight w:val="none"/>
        </w:rPr>
        <w:t>第一节 质疑函（格式）</w:t>
      </w:r>
      <w:bookmarkEnd w:id="249"/>
      <w:bookmarkEnd w:id="250"/>
      <w:bookmarkEnd w:id="251"/>
      <w:bookmarkEnd w:id="252"/>
    </w:p>
    <w:p>
      <w:pPr>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质疑函范本</w:t>
      </w:r>
    </w:p>
    <w:p>
      <w:pPr>
        <w:adjustRightInd w:val="0"/>
        <w:snapToGrid w:val="0"/>
        <w:spacing w:before="331" w:beforeLines="100" w:line="360" w:lineRule="auto"/>
        <w:rPr>
          <w:rFonts w:ascii="黑体" w:hAnsi="黑体" w:eastAsia="黑体" w:cs="仿宋"/>
          <w:bCs/>
          <w:color w:val="auto"/>
          <w:sz w:val="24"/>
          <w:highlight w:val="none"/>
        </w:rPr>
      </w:pPr>
      <w:r>
        <w:rPr>
          <w:rFonts w:hint="eastAsia" w:ascii="黑体" w:hAnsi="黑体" w:eastAsia="黑体" w:cs="仿宋"/>
          <w:bCs/>
          <w:color w:val="auto"/>
          <w:sz w:val="24"/>
          <w:highlight w:val="none"/>
        </w:rPr>
        <w:t>一、质疑供应商基本信息</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ascii="仿宋" w:hAnsi="仿宋" w:eastAsia="仿宋" w:cs="仿宋"/>
          <w:color w:val="auto"/>
          <w:sz w:val="24"/>
          <w:highlight w:val="none"/>
        </w:rPr>
        <w:t xml:space="preserve"> </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ascii="仿宋" w:hAnsi="仿宋" w:eastAsia="仿宋" w:cs="仿宋"/>
          <w:color w:val="auto"/>
          <w:sz w:val="24"/>
          <w:highlight w:val="none"/>
        </w:rPr>
        <w:t xml:space="preserve">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黑体" w:hAnsi="黑体" w:eastAsia="黑体" w:cs="仿宋"/>
          <w:bCs/>
          <w:color w:val="auto"/>
          <w:sz w:val="24"/>
          <w:highlight w:val="none"/>
        </w:rPr>
      </w:pPr>
      <w:r>
        <w:rPr>
          <w:rFonts w:hint="eastAsia" w:ascii="黑体" w:hAnsi="黑体" w:eastAsia="黑体" w:cs="仿宋"/>
          <w:bCs/>
          <w:color w:val="auto"/>
          <w:sz w:val="24"/>
          <w:highlight w:val="none"/>
        </w:rPr>
        <w:t>二、质疑项目基本情况</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黑体" w:hAnsi="黑体" w:eastAsia="黑体" w:cs="仿宋"/>
          <w:bCs/>
          <w:color w:val="auto"/>
          <w:sz w:val="24"/>
          <w:highlight w:val="none"/>
        </w:rPr>
      </w:pPr>
      <w:r>
        <w:rPr>
          <w:rFonts w:hint="eastAsia" w:ascii="黑体" w:hAnsi="黑体" w:eastAsia="黑体" w:cs="仿宋"/>
          <w:bCs/>
          <w:color w:val="auto"/>
          <w:sz w:val="24"/>
          <w:highlight w:val="none"/>
        </w:rPr>
        <w:t>三、质疑事项具体内容</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adjustRightInd w:val="0"/>
        <w:snapToGrid w:val="0"/>
        <w:spacing w:line="360" w:lineRule="auto"/>
        <w:rPr>
          <w:rFonts w:ascii="黑体" w:hAnsi="黑体" w:eastAsia="黑体" w:cs="仿宋"/>
          <w:bCs/>
          <w:color w:val="auto"/>
          <w:sz w:val="24"/>
          <w:highlight w:val="none"/>
        </w:rPr>
      </w:pPr>
      <w:r>
        <w:rPr>
          <w:rFonts w:hint="eastAsia" w:ascii="黑体" w:hAnsi="黑体" w:eastAsia="黑体" w:cs="仿宋"/>
          <w:bCs/>
          <w:color w:val="auto"/>
          <w:sz w:val="24"/>
          <w:highlight w:val="none"/>
        </w:rPr>
        <w:t>四、与质疑事项相关的质疑请求</w:t>
      </w:r>
    </w:p>
    <w:p>
      <w:pPr>
        <w:adjustRightInd w:val="0"/>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rPr>
          <w:rFonts w:ascii="仿宋_GB2312" w:eastAsia="仿宋_GB2312"/>
          <w:color w:val="auto"/>
          <w:sz w:val="24"/>
          <w:highlight w:val="none"/>
        </w:rPr>
      </w:pPr>
      <w:r>
        <w:rPr>
          <w:rFonts w:hint="eastAsia" w:ascii="仿宋_GB2312" w:eastAsia="仿宋_GB2312"/>
          <w:color w:val="auto"/>
          <w:sz w:val="24"/>
          <w:highlight w:val="none"/>
        </w:rPr>
        <w:t xml:space="preserve">签字(签章)：                   公章：                      </w:t>
      </w:r>
    </w:p>
    <w:p>
      <w:pPr>
        <w:rPr>
          <w:rFonts w:ascii="仿宋_GB2312" w:eastAsia="仿宋_GB2312"/>
          <w:color w:val="auto"/>
          <w:sz w:val="24"/>
          <w:highlight w:val="none"/>
        </w:rPr>
      </w:pPr>
      <w:r>
        <w:rPr>
          <w:rFonts w:hint="eastAsia" w:ascii="仿宋_GB2312" w:eastAsia="仿宋_GB2312"/>
          <w:color w:val="auto"/>
          <w:sz w:val="24"/>
          <w:highlight w:val="none"/>
        </w:rPr>
        <w:t xml:space="preserve">日期：    </w:t>
      </w:r>
    </w:p>
    <w:p>
      <w:pPr>
        <w:adjustRightInd w:val="0"/>
        <w:snapToGrid w:val="0"/>
        <w:spacing w:line="360" w:lineRule="auto"/>
        <w:rPr>
          <w:rFonts w:ascii="仿宋" w:hAnsi="仿宋" w:eastAsia="仿宋" w:cs="仿宋"/>
          <w:color w:val="auto"/>
          <w:sz w:val="24"/>
          <w:highlight w:val="none"/>
        </w:rPr>
      </w:pPr>
    </w:p>
    <w:p>
      <w:pPr>
        <w:adjustRightInd w:val="0"/>
        <w:snapToGrid w:val="0"/>
        <w:spacing w:line="360" w:lineRule="auto"/>
        <w:rPr>
          <w:rFonts w:ascii="仿宋" w:hAnsi="仿宋" w:eastAsia="仿宋" w:cs="仿宋"/>
          <w:color w:val="auto"/>
          <w:sz w:val="24"/>
          <w:highlight w:val="none"/>
        </w:rPr>
      </w:pPr>
    </w:p>
    <w:p>
      <w:pPr>
        <w:rPr>
          <w:rFonts w:ascii="黑体" w:hAnsi="黑体" w:eastAsia="黑体"/>
          <w:b/>
          <w:color w:val="auto"/>
          <w:sz w:val="32"/>
          <w:szCs w:val="32"/>
          <w:highlight w:val="none"/>
        </w:rPr>
      </w:pPr>
      <w:r>
        <w:rPr>
          <w:rFonts w:hint="eastAsia" w:ascii="黑体" w:hAnsi="黑体" w:eastAsia="黑体"/>
          <w:b/>
          <w:color w:val="auto"/>
          <w:sz w:val="32"/>
          <w:szCs w:val="32"/>
          <w:highlight w:val="none"/>
        </w:rPr>
        <w:t>质疑函制作说明：</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1.供应商提出质疑时，应提交质疑函和必要的证明材料。</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2.质疑供应商若委托代理人进行质疑的，质疑函应按要求列明“授权代表”的有关内容，并在附件中提交由质疑</w:t>
      </w:r>
      <w:r>
        <w:rPr>
          <w:rFonts w:hint="eastAsia" w:ascii="仿宋_GB2312" w:hAnsi="宋体" w:eastAsia="仿宋_GB2312" w:cs="宋体"/>
          <w:color w:val="auto"/>
          <w:kern w:val="0"/>
          <w:sz w:val="24"/>
          <w:highlight w:val="none"/>
        </w:rPr>
        <w:t>供应商签署的授权委托书。授权委托书应载明代理人的姓名或者名称、代理事项、具体权限、期限和相关事项。</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3.质疑供应商若对项目的某一分包进行质疑，质疑函中应列明具体分包号。</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4.质疑函的质疑事项应具体、明确，并有必要的事实依据和法律依据。</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5.质疑函的质疑请求应与质疑事项相关。</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ind w:firstLine="480" w:firstLineChars="200"/>
        <w:jc w:val="left"/>
        <w:rPr>
          <w:rFonts w:ascii="仿宋_GB2312" w:eastAsia="仿宋_GB2312"/>
          <w:color w:val="auto"/>
          <w:sz w:val="24"/>
          <w:highlight w:val="none"/>
        </w:rPr>
      </w:pPr>
    </w:p>
    <w:p>
      <w:pPr>
        <w:snapToGrid w:val="0"/>
        <w:spacing w:before="50" w:after="165" w:afterLines="50" w:line="360" w:lineRule="auto"/>
        <w:ind w:firstLine="480" w:firstLineChars="200"/>
        <w:jc w:val="left"/>
        <w:rPr>
          <w:rFonts w:ascii="ˎ̥" w:hAnsi="ˎ̥" w:cs="宋体"/>
          <w:color w:val="auto"/>
          <w:kern w:val="0"/>
          <w:sz w:val="24"/>
          <w:highlight w:val="none"/>
        </w:rPr>
        <w:sectPr>
          <w:pgSz w:w="11905" w:h="16838"/>
          <w:pgMar w:top="1134" w:right="1134" w:bottom="1134" w:left="1134" w:header="720" w:footer="720" w:gutter="0"/>
          <w:cols w:space="720" w:num="1"/>
          <w:docGrid w:type="lines" w:linePitch="331" w:charSpace="0"/>
        </w:sectPr>
      </w:pPr>
    </w:p>
    <w:p>
      <w:pPr>
        <w:pStyle w:val="4"/>
        <w:jc w:val="center"/>
        <w:rPr>
          <w:rFonts w:hint="eastAsia" w:ascii="宋体" w:hAnsi="宋体"/>
          <w:b w:val="0"/>
          <w:bCs w:val="0"/>
          <w:color w:val="auto"/>
          <w:highlight w:val="none"/>
        </w:rPr>
      </w:pPr>
      <w:bookmarkStart w:id="253" w:name="_Toc17310"/>
      <w:bookmarkStart w:id="254" w:name="_Toc5559"/>
      <w:bookmarkStart w:id="255" w:name="_Toc10229"/>
      <w:bookmarkStart w:id="256" w:name="_Toc80093019"/>
      <w:r>
        <w:rPr>
          <w:rFonts w:hint="eastAsia" w:ascii="宋体" w:hAnsi="宋体"/>
          <w:b w:val="0"/>
          <w:bCs w:val="0"/>
          <w:color w:val="auto"/>
          <w:highlight w:val="none"/>
        </w:rPr>
        <w:t>第二节 投诉书（格式）</w:t>
      </w:r>
      <w:bookmarkEnd w:id="253"/>
      <w:bookmarkEnd w:id="254"/>
      <w:bookmarkEnd w:id="255"/>
      <w:bookmarkEnd w:id="256"/>
    </w:p>
    <w:p>
      <w:pPr>
        <w:jc w:val="center"/>
        <w:rPr>
          <w:rFonts w:hint="eastAsia" w:ascii="宋体" w:hAnsi="宋体"/>
          <w:b/>
          <w:color w:val="auto"/>
          <w:sz w:val="44"/>
          <w:szCs w:val="44"/>
          <w:highlight w:val="none"/>
        </w:rPr>
      </w:pPr>
      <w:r>
        <w:rPr>
          <w:rFonts w:hint="eastAsia" w:ascii="宋体" w:hAnsi="宋体"/>
          <w:b/>
          <w:color w:val="auto"/>
          <w:sz w:val="44"/>
          <w:szCs w:val="44"/>
          <w:highlight w:val="none"/>
        </w:rPr>
        <w:t>投诉书范本</w:t>
      </w:r>
    </w:p>
    <w:p>
      <w:pPr>
        <w:rPr>
          <w:rFonts w:hint="eastAsia" w:ascii="黑体" w:hAnsi="黑体" w:eastAsia="黑体"/>
          <w:color w:val="auto"/>
          <w:sz w:val="24"/>
          <w:highlight w:val="none"/>
        </w:rPr>
      </w:pPr>
      <w:r>
        <w:rPr>
          <w:rFonts w:hint="eastAsia" w:ascii="黑体" w:hAnsi="黑体" w:eastAsia="黑体"/>
          <w:color w:val="auto"/>
          <w:sz w:val="24"/>
          <w:highlight w:val="none"/>
        </w:rPr>
        <w:t>一、投诉相关主体基本情况</w:t>
      </w:r>
    </w:p>
    <w:p>
      <w:pPr>
        <w:rPr>
          <w:rFonts w:hint="eastAsia" w:ascii="仿宋_GB2312" w:eastAsia="仿宋_GB2312"/>
          <w:color w:val="auto"/>
          <w:sz w:val="24"/>
          <w:highlight w:val="none"/>
          <w:u w:val="dotted"/>
        </w:rPr>
      </w:pPr>
      <w:r>
        <w:rPr>
          <w:rFonts w:hint="eastAsia" w:ascii="仿宋_GB2312" w:eastAsia="仿宋_GB2312"/>
          <w:color w:val="auto"/>
          <w:sz w:val="24"/>
          <w:highlight w:val="none"/>
        </w:rPr>
        <w:t>投诉人：</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地     址：</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邮编：</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u w:val="single"/>
        </w:rPr>
        <w:t xml:space="preserve">   </w:t>
      </w:r>
    </w:p>
    <w:p>
      <w:pPr>
        <w:tabs>
          <w:tab w:val="left" w:pos="6510"/>
        </w:tabs>
        <w:jc w:val="left"/>
        <w:rPr>
          <w:rFonts w:hint="eastAsia" w:ascii="仿宋_GB2312" w:eastAsia="仿宋_GB2312"/>
          <w:color w:val="auto"/>
          <w:sz w:val="24"/>
          <w:highlight w:val="none"/>
        </w:rPr>
      </w:pPr>
      <w:r>
        <w:rPr>
          <w:rFonts w:hint="eastAsia" w:ascii="仿宋_GB2312" w:eastAsia="仿宋_GB2312"/>
          <w:color w:val="auto"/>
          <w:sz w:val="24"/>
          <w:highlight w:val="none"/>
        </w:rPr>
        <w:t>法定代表人/主要负责人：</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 xml:space="preserve">  </w:t>
      </w:r>
    </w:p>
    <w:p>
      <w:pPr>
        <w:tabs>
          <w:tab w:val="left" w:pos="6510"/>
        </w:tabs>
        <w:rPr>
          <w:rFonts w:hint="eastAsia" w:ascii="仿宋_GB2312" w:eastAsia="仿宋_GB2312"/>
          <w:color w:val="auto"/>
          <w:sz w:val="24"/>
          <w:highlight w:val="none"/>
          <w:u w:val="dotted"/>
        </w:rPr>
      </w:pPr>
      <w:r>
        <w:rPr>
          <w:rFonts w:hint="eastAsia" w:ascii="仿宋_GB2312" w:eastAsia="仿宋_GB2312"/>
          <w:color w:val="auto"/>
          <w:sz w:val="24"/>
          <w:highlight w:val="none"/>
        </w:rPr>
        <w:t>联系电话：</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dotted"/>
        </w:rPr>
      </w:pPr>
      <w:r>
        <w:rPr>
          <w:rFonts w:hint="eastAsia" w:ascii="仿宋_GB2312" w:eastAsia="仿宋_GB2312"/>
          <w:color w:val="auto"/>
          <w:sz w:val="24"/>
          <w:highlight w:val="none"/>
        </w:rPr>
        <w:t>授权代表：</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联系电话</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dotted"/>
        </w:rPr>
      </w:pPr>
      <w:r>
        <w:rPr>
          <w:rFonts w:hint="eastAsia" w:ascii="仿宋_GB2312" w:eastAsia="仿宋_GB2312"/>
          <w:color w:val="auto"/>
          <w:sz w:val="24"/>
          <w:highlight w:val="none"/>
        </w:rPr>
        <w:t>地     址：</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邮编：</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被投诉人1：</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u w:val="single"/>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地     址：</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邮编：</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u w:val="single"/>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联系人：</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联系电话：</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u w:val="single"/>
        </w:rPr>
        <w:t xml:space="preserve"> </w:t>
      </w:r>
    </w:p>
    <w:p>
      <w:pPr>
        <w:rPr>
          <w:rFonts w:hint="eastAsia" w:ascii="仿宋_GB2312" w:eastAsia="仿宋_GB2312"/>
          <w:color w:val="auto"/>
          <w:sz w:val="24"/>
          <w:highlight w:val="none"/>
        </w:rPr>
      </w:pPr>
      <w:r>
        <w:rPr>
          <w:rFonts w:hint="eastAsia" w:ascii="仿宋_GB2312" w:eastAsia="仿宋_GB2312"/>
          <w:color w:val="auto"/>
          <w:sz w:val="24"/>
          <w:highlight w:val="none"/>
        </w:rPr>
        <w:t>被投诉人2</w:t>
      </w:r>
    </w:p>
    <w:p>
      <w:pPr>
        <w:rPr>
          <w:rFonts w:ascii="仿宋_GB2312" w:eastAsia="仿宋_GB2312"/>
          <w:color w:val="auto"/>
          <w:sz w:val="24"/>
          <w:highlight w:val="none"/>
          <w:u w:val="dotted"/>
        </w:rPr>
      </w:pPr>
      <w:r>
        <w:rPr>
          <w:rFonts w:hint="eastAsia" w:ascii="仿宋_GB2312" w:eastAsia="仿宋_GB2312"/>
          <w:color w:val="auto"/>
          <w:sz w:val="24"/>
          <w:highlight w:val="none"/>
        </w:rPr>
        <w:t>……</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相关供应商：</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u w:val="single"/>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地     址：</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邮编：</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u w:val="single"/>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联系人：</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联系电话：</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u w:val="single"/>
        </w:rPr>
        <w:t xml:space="preserve">      </w:t>
      </w:r>
    </w:p>
    <w:p>
      <w:pPr>
        <w:rPr>
          <w:rFonts w:hint="eastAsia" w:ascii="黑体" w:hAnsi="黑体" w:eastAsia="黑体"/>
          <w:color w:val="auto"/>
          <w:sz w:val="24"/>
          <w:highlight w:val="none"/>
        </w:rPr>
      </w:pPr>
      <w:r>
        <w:rPr>
          <w:rFonts w:hint="eastAsia" w:ascii="黑体" w:hAnsi="黑体" w:eastAsia="黑体"/>
          <w:color w:val="auto"/>
          <w:sz w:val="24"/>
          <w:highlight w:val="none"/>
        </w:rPr>
        <w:t>二、投诉项目基本情况</w:t>
      </w:r>
    </w:p>
    <w:p>
      <w:pPr>
        <w:rPr>
          <w:rFonts w:hint="eastAsia" w:ascii="仿宋_GB2312" w:eastAsia="仿宋_GB2312"/>
          <w:color w:val="auto"/>
          <w:sz w:val="24"/>
          <w:highlight w:val="none"/>
          <w:u w:val="dotted"/>
        </w:rPr>
      </w:pPr>
      <w:r>
        <w:rPr>
          <w:rFonts w:hint="eastAsia" w:ascii="仿宋_GB2312" w:eastAsia="仿宋_GB2312"/>
          <w:color w:val="auto"/>
          <w:sz w:val="24"/>
          <w:highlight w:val="none"/>
        </w:rPr>
        <w:t>采购项目名称：</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采购项目编号：</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包号：</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rPr>
      </w:pPr>
      <w:r>
        <w:rPr>
          <w:rFonts w:hint="eastAsia" w:ascii="仿宋_GB2312" w:eastAsia="仿宋_GB2312"/>
          <w:color w:val="auto"/>
          <w:sz w:val="24"/>
          <w:highlight w:val="none"/>
        </w:rPr>
        <w:t>采购人名称：</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u w:val="single"/>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代理机构名称：</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dotted"/>
        </w:rPr>
      </w:pPr>
      <w:r>
        <w:rPr>
          <w:rFonts w:hint="eastAsia" w:ascii="仿宋_GB2312" w:eastAsia="仿宋_GB2312"/>
          <w:color w:val="auto"/>
          <w:sz w:val="24"/>
          <w:highlight w:val="none"/>
        </w:rPr>
        <w:t>采购文件公告:</w:t>
      </w:r>
      <w:r>
        <w:rPr>
          <w:rFonts w:hint="eastAsia" w:ascii="仿宋_GB2312" w:eastAsia="仿宋_GB2312"/>
          <w:color w:val="auto"/>
          <w:sz w:val="24"/>
          <w:highlight w:val="none"/>
          <w:u w:val="dotted"/>
        </w:rPr>
        <w:t xml:space="preserve">是/否 </w:t>
      </w:r>
      <w:r>
        <w:rPr>
          <w:rFonts w:hint="eastAsia" w:ascii="仿宋_GB2312" w:eastAsia="仿宋_GB2312"/>
          <w:color w:val="auto"/>
          <w:sz w:val="24"/>
          <w:highlight w:val="none"/>
        </w:rPr>
        <w:t>公告期限：</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采购结果公告:</w:t>
      </w:r>
      <w:r>
        <w:rPr>
          <w:rFonts w:hint="eastAsia" w:ascii="仿宋_GB2312" w:eastAsia="仿宋_GB2312"/>
          <w:color w:val="auto"/>
          <w:sz w:val="24"/>
          <w:highlight w:val="none"/>
          <w:u w:val="dotted"/>
        </w:rPr>
        <w:t xml:space="preserve">是/否 </w:t>
      </w:r>
      <w:r>
        <w:rPr>
          <w:rFonts w:hint="eastAsia" w:ascii="仿宋_GB2312" w:eastAsia="仿宋_GB2312"/>
          <w:color w:val="auto"/>
          <w:sz w:val="24"/>
          <w:highlight w:val="none"/>
        </w:rPr>
        <w:t>公告期限：</w:t>
      </w:r>
      <w:r>
        <w:rPr>
          <w:rFonts w:hint="eastAsia" w:ascii="仿宋_GB2312" w:eastAsia="仿宋_GB2312"/>
          <w:color w:val="auto"/>
          <w:sz w:val="24"/>
          <w:highlight w:val="none"/>
          <w:u w:val="dotted"/>
        </w:rPr>
        <w:t xml:space="preserve">                        </w:t>
      </w:r>
    </w:p>
    <w:p>
      <w:pPr>
        <w:rPr>
          <w:rFonts w:hint="eastAsia" w:ascii="黑体" w:hAnsi="黑体" w:eastAsia="黑体"/>
          <w:color w:val="auto"/>
          <w:sz w:val="24"/>
          <w:highlight w:val="none"/>
        </w:rPr>
      </w:pPr>
      <w:r>
        <w:rPr>
          <w:rFonts w:hint="eastAsia" w:ascii="黑体" w:hAnsi="黑体" w:eastAsia="黑体"/>
          <w:color w:val="auto"/>
          <w:sz w:val="24"/>
          <w:highlight w:val="none"/>
        </w:rPr>
        <w:t>三、质疑基本情况</w:t>
      </w:r>
    </w:p>
    <w:p>
      <w:pPr>
        <w:ind w:firstLine="480" w:firstLineChars="200"/>
        <w:rPr>
          <w:rFonts w:hint="eastAsia" w:ascii="仿宋_GB2312" w:eastAsia="仿宋_GB2312"/>
          <w:color w:val="auto"/>
          <w:sz w:val="24"/>
          <w:highlight w:val="none"/>
          <w:u w:val="dotted"/>
        </w:rPr>
      </w:pPr>
      <w:r>
        <w:rPr>
          <w:rFonts w:hint="eastAsia" w:ascii="仿宋_GB2312" w:eastAsia="仿宋_GB2312"/>
          <w:color w:val="auto"/>
          <w:sz w:val="24"/>
          <w:highlight w:val="none"/>
        </w:rPr>
        <w:t>投诉人于</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年</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月</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日,向</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提出质疑，质疑事项为：</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dotted"/>
        </w:rPr>
      </w:pP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 xml:space="preserve">  </w:t>
      </w:r>
    </w:p>
    <w:p>
      <w:pPr>
        <w:ind w:firstLine="360" w:firstLineChars="150"/>
        <w:rPr>
          <w:rFonts w:hint="eastAsia" w:ascii="仿宋_GB2312" w:eastAsia="仿宋_GB2312"/>
          <w:color w:val="auto"/>
          <w:sz w:val="24"/>
          <w:highlight w:val="none"/>
        </w:rPr>
      </w:pPr>
      <w:r>
        <w:rPr>
          <w:rFonts w:hint="eastAsia" w:ascii="仿宋_GB2312" w:eastAsia="仿宋_GB2312"/>
          <w:color w:val="auto"/>
          <w:sz w:val="24"/>
          <w:highlight w:val="none"/>
          <w:u w:val="dotted"/>
        </w:rPr>
        <w:t>采购人/代理机构</w:t>
      </w:r>
      <w:r>
        <w:rPr>
          <w:rFonts w:hint="eastAsia" w:ascii="仿宋_GB2312" w:eastAsia="仿宋_GB2312"/>
          <w:color w:val="auto"/>
          <w:sz w:val="24"/>
          <w:highlight w:val="none"/>
        </w:rPr>
        <w:t>于</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年</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月</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日,就质疑事项作出了答复/没有在法定期限内作出答复。</w:t>
      </w:r>
    </w:p>
    <w:p>
      <w:pPr>
        <w:rPr>
          <w:rFonts w:hint="eastAsia" w:ascii="黑体" w:hAnsi="黑体" w:eastAsia="黑体"/>
          <w:color w:val="auto"/>
          <w:sz w:val="24"/>
          <w:highlight w:val="none"/>
        </w:rPr>
      </w:pPr>
      <w:r>
        <w:rPr>
          <w:rFonts w:hint="eastAsia" w:ascii="黑体" w:hAnsi="黑体" w:eastAsia="黑体"/>
          <w:color w:val="auto"/>
          <w:sz w:val="24"/>
          <w:highlight w:val="none"/>
        </w:rPr>
        <w:t>四、投诉事项具体内容</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投诉事项 1：</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rPr>
      </w:pPr>
      <w:r>
        <w:rPr>
          <w:rFonts w:hint="eastAsia" w:ascii="仿宋_GB2312" w:eastAsia="仿宋_GB2312"/>
          <w:color w:val="auto"/>
          <w:sz w:val="24"/>
          <w:highlight w:val="none"/>
        </w:rPr>
        <w:t>事实依据：</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dotted"/>
        </w:rPr>
      </w:pP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法律依据：</w:t>
      </w: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u w:val="dotted"/>
        </w:rPr>
      </w:pPr>
      <w:r>
        <w:rPr>
          <w:rFonts w:hint="eastAsia" w:ascii="仿宋_GB2312" w:eastAsia="仿宋_GB2312"/>
          <w:color w:val="auto"/>
          <w:sz w:val="24"/>
          <w:highlight w:val="none"/>
          <w:u w:val="dotted"/>
        </w:rPr>
        <w:t xml:space="preserve">                                                      </w:t>
      </w:r>
    </w:p>
    <w:p>
      <w:pPr>
        <w:rPr>
          <w:rFonts w:hint="eastAsia" w:ascii="仿宋_GB2312" w:eastAsia="仿宋_GB2312"/>
          <w:color w:val="auto"/>
          <w:sz w:val="24"/>
          <w:highlight w:val="none"/>
        </w:rPr>
      </w:pPr>
      <w:r>
        <w:rPr>
          <w:rFonts w:hint="eastAsia" w:ascii="仿宋_GB2312" w:eastAsia="仿宋_GB2312"/>
          <w:color w:val="auto"/>
          <w:sz w:val="24"/>
          <w:highlight w:val="none"/>
        </w:rPr>
        <w:t>投诉事项2</w:t>
      </w:r>
    </w:p>
    <w:p>
      <w:pPr>
        <w:rPr>
          <w:rFonts w:hint="eastAsia" w:ascii="仿宋_GB2312" w:eastAsia="仿宋_GB2312"/>
          <w:color w:val="auto"/>
          <w:sz w:val="24"/>
          <w:highlight w:val="none"/>
          <w:u w:val="dotted"/>
        </w:rPr>
      </w:pPr>
      <w:r>
        <w:rPr>
          <w:rFonts w:hint="eastAsia" w:ascii="仿宋_GB2312" w:eastAsia="仿宋_GB2312"/>
          <w:color w:val="auto"/>
          <w:sz w:val="24"/>
          <w:highlight w:val="none"/>
        </w:rPr>
        <w:t>……</w:t>
      </w:r>
    </w:p>
    <w:p>
      <w:pPr>
        <w:rPr>
          <w:rFonts w:hint="eastAsia" w:ascii="黑体" w:hAnsi="黑体" w:eastAsia="黑体"/>
          <w:color w:val="auto"/>
          <w:sz w:val="24"/>
          <w:highlight w:val="none"/>
        </w:rPr>
      </w:pPr>
      <w:r>
        <w:rPr>
          <w:rFonts w:hint="eastAsia" w:ascii="黑体" w:hAnsi="黑体" w:eastAsia="黑体"/>
          <w:color w:val="auto"/>
          <w:sz w:val="24"/>
          <w:highlight w:val="none"/>
        </w:rPr>
        <w:t>五、与投诉事项相关的投诉请求</w:t>
      </w:r>
    </w:p>
    <w:p>
      <w:pPr>
        <w:rPr>
          <w:rFonts w:hint="eastAsia" w:ascii="仿宋_GB2312" w:eastAsia="仿宋_GB2312"/>
          <w:color w:val="auto"/>
          <w:sz w:val="24"/>
          <w:highlight w:val="none"/>
        </w:rPr>
      </w:pPr>
      <w:r>
        <w:rPr>
          <w:rFonts w:hint="eastAsia" w:ascii="仿宋_GB2312" w:eastAsia="仿宋_GB2312"/>
          <w:color w:val="auto"/>
          <w:sz w:val="24"/>
          <w:highlight w:val="none"/>
        </w:rPr>
        <w:t>请求：</w:t>
      </w:r>
      <w:r>
        <w:rPr>
          <w:rFonts w:hint="eastAsia" w:ascii="仿宋_GB2312" w:eastAsia="仿宋_GB2312"/>
          <w:color w:val="auto"/>
          <w:sz w:val="24"/>
          <w:highlight w:val="none"/>
          <w:u w:val="dotted"/>
        </w:rPr>
        <w:t xml:space="preserve">                                              </w:t>
      </w:r>
      <w:r>
        <w:rPr>
          <w:rFonts w:hint="eastAsia" w:ascii="仿宋_GB2312" w:eastAsia="仿宋_GB2312"/>
          <w:color w:val="auto"/>
          <w:sz w:val="24"/>
          <w:highlight w:val="none"/>
        </w:rPr>
        <w:t xml:space="preserve"> </w:t>
      </w:r>
    </w:p>
    <w:p>
      <w:pPr>
        <w:rPr>
          <w:rFonts w:hint="eastAsia" w:ascii="仿宋_GB2312" w:eastAsia="仿宋_GB2312"/>
          <w:color w:val="auto"/>
          <w:sz w:val="24"/>
          <w:highlight w:val="none"/>
          <w:u w:val="single"/>
        </w:rPr>
      </w:pPr>
      <w:r>
        <w:rPr>
          <w:rFonts w:hint="eastAsia" w:ascii="仿宋_GB2312" w:eastAsia="仿宋_GB2312"/>
          <w:color w:val="auto"/>
          <w:sz w:val="24"/>
          <w:highlight w:val="none"/>
        </w:rPr>
        <w:t xml:space="preserve">                                                                                                    </w:t>
      </w:r>
    </w:p>
    <w:p>
      <w:pPr>
        <w:rPr>
          <w:rFonts w:hint="eastAsia" w:ascii="仿宋_GB2312" w:eastAsia="仿宋_GB2312"/>
          <w:color w:val="auto"/>
          <w:sz w:val="24"/>
          <w:highlight w:val="none"/>
        </w:rPr>
      </w:pPr>
      <w:r>
        <w:rPr>
          <w:rFonts w:hint="eastAsia" w:ascii="仿宋_GB2312" w:eastAsia="仿宋_GB2312"/>
          <w:color w:val="auto"/>
          <w:sz w:val="24"/>
          <w:highlight w:val="none"/>
        </w:rPr>
        <w:t xml:space="preserve">签字(签章)：                   公章：                      </w:t>
      </w:r>
    </w:p>
    <w:p>
      <w:pPr>
        <w:rPr>
          <w:rFonts w:hint="eastAsia" w:ascii="仿宋_GB2312" w:eastAsia="仿宋_GB2312"/>
          <w:color w:val="auto"/>
          <w:sz w:val="24"/>
          <w:highlight w:val="none"/>
        </w:rPr>
      </w:pPr>
      <w:r>
        <w:rPr>
          <w:rFonts w:hint="eastAsia" w:ascii="仿宋_GB2312" w:eastAsia="仿宋_GB2312"/>
          <w:color w:val="auto"/>
          <w:sz w:val="24"/>
          <w:highlight w:val="none"/>
        </w:rPr>
        <w:t xml:space="preserve">日期：    </w:t>
      </w:r>
    </w:p>
    <w:p>
      <w:pPr>
        <w:rPr>
          <w:rFonts w:hint="eastAsia" w:ascii="黑体" w:hAnsi="黑体" w:eastAsia="黑体"/>
          <w:b/>
          <w:color w:val="auto"/>
          <w:sz w:val="32"/>
          <w:szCs w:val="32"/>
          <w:highlight w:val="none"/>
        </w:rPr>
      </w:pPr>
    </w:p>
    <w:p>
      <w:pPr>
        <w:rPr>
          <w:rFonts w:hint="eastAsia" w:ascii="黑体" w:hAnsi="黑体" w:eastAsia="黑体"/>
          <w:b/>
          <w:color w:val="auto"/>
          <w:sz w:val="32"/>
          <w:szCs w:val="32"/>
          <w:highlight w:val="none"/>
        </w:rPr>
      </w:pPr>
      <w:r>
        <w:rPr>
          <w:rFonts w:hint="eastAsia" w:ascii="黑体" w:hAnsi="黑体" w:eastAsia="黑体"/>
          <w:b/>
          <w:color w:val="auto"/>
          <w:sz w:val="32"/>
          <w:szCs w:val="32"/>
          <w:highlight w:val="none"/>
        </w:rPr>
        <w:t>投诉书制作说明：</w:t>
      </w:r>
    </w:p>
    <w:p>
      <w:pPr>
        <w:widowControl/>
        <w:ind w:firstLine="480" w:firstLineChars="200"/>
        <w:rPr>
          <w:rFonts w:hint="eastAsia" w:ascii="仿宋_GB2312" w:hAnsi="宋体" w:eastAsia="仿宋_GB2312" w:cs="宋体"/>
          <w:color w:val="auto"/>
          <w:kern w:val="0"/>
          <w:sz w:val="24"/>
          <w:highlight w:val="none"/>
        </w:rPr>
      </w:pPr>
      <w:r>
        <w:rPr>
          <w:rFonts w:hint="eastAsia" w:ascii="仿宋_GB2312" w:eastAsia="仿宋_GB2312"/>
          <w:color w:val="auto"/>
          <w:sz w:val="24"/>
          <w:highlight w:val="none"/>
        </w:rPr>
        <w:t>1.投诉人提起投诉时，应当提交投诉书和必要的证明材料，并按照被投诉人和与投诉事项有关的供应商数量提供投诉书副本。</w:t>
      </w:r>
    </w:p>
    <w:p>
      <w:pPr>
        <w:widowControl/>
        <w:ind w:firstLine="480" w:firstLineChars="200"/>
        <w:jc w:val="left"/>
        <w:rPr>
          <w:rFonts w:hint="eastAsia" w:ascii="仿宋_GB2312" w:hAnsi="宋体" w:eastAsia="仿宋_GB2312" w:cs="宋体"/>
          <w:color w:val="auto"/>
          <w:kern w:val="0"/>
          <w:sz w:val="24"/>
          <w:highlight w:val="none"/>
        </w:rPr>
      </w:pPr>
      <w:r>
        <w:rPr>
          <w:rFonts w:hint="eastAsia" w:ascii="仿宋_GB2312" w:eastAsia="仿宋_GB2312"/>
          <w:color w:val="auto"/>
          <w:sz w:val="24"/>
          <w:highlight w:val="none"/>
        </w:rPr>
        <w:t>2.投诉人若委托代理人进行投诉的，投诉书应按照要求列明“授权代表”的有关内容，并在附件中提交由</w:t>
      </w:r>
      <w:r>
        <w:rPr>
          <w:rFonts w:hint="eastAsia" w:ascii="仿宋_GB2312" w:hAnsi="宋体" w:eastAsia="仿宋_GB2312" w:cs="宋体"/>
          <w:color w:val="auto"/>
          <w:kern w:val="0"/>
          <w:sz w:val="24"/>
          <w:highlight w:val="none"/>
        </w:rPr>
        <w:t>投诉人签署的授权委托书。授权委托书应当载明代理人的姓名或者名称、代理事项、具体权限、期限和相关事项。</w:t>
      </w:r>
    </w:p>
    <w:p>
      <w:pPr>
        <w:widowControl/>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3.投诉人若对项目的某一分包进行投诉，投诉书应列明具体分包号。</w:t>
      </w:r>
    </w:p>
    <w:p>
      <w:pPr>
        <w:widowControl/>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4.投诉书应简要列明质疑事项，质疑函、质疑答复等作为附件材料提供。</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5.投诉书的投诉事项应具体、明确，并有必要的事实依据和法律依据。</w:t>
      </w:r>
    </w:p>
    <w:p>
      <w:pPr>
        <w:widowControl/>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6.投诉书的投诉请求应与投诉事项相关。</w:t>
      </w:r>
    </w:p>
    <w:p>
      <w:pPr>
        <w:widowControl/>
        <w:ind w:firstLine="480" w:firstLineChars="200"/>
        <w:jc w:val="left"/>
        <w:rPr>
          <w:rFonts w:hint="eastAsia" w:ascii="仿宋_GB2312" w:hAnsi="宋体" w:eastAsia="仿宋_GB2312" w:cs="宋体"/>
          <w:color w:val="auto"/>
          <w:kern w:val="0"/>
          <w:sz w:val="24"/>
          <w:highlight w:val="none"/>
        </w:rPr>
      </w:pPr>
      <w:r>
        <w:rPr>
          <w:rFonts w:hint="eastAsia" w:ascii="仿宋_GB2312" w:eastAsia="仿宋_GB2312"/>
          <w:color w:val="auto"/>
          <w:sz w:val="24"/>
          <w:highlight w:val="none"/>
        </w:rPr>
        <w:t>7.投诉人为自然人的，投诉书应当由本人签字；投诉人为法人或者其他组织的，投诉书应当由法定代表人、主要负责人，或者其授权代表签字或者盖章，并加盖公章。</w:t>
      </w:r>
    </w:p>
    <w:p>
      <w:pPr>
        <w:snapToGrid w:val="0"/>
        <w:spacing w:before="50" w:after="165" w:afterLines="50" w:line="360" w:lineRule="auto"/>
        <w:ind w:firstLine="480" w:firstLineChars="200"/>
        <w:jc w:val="left"/>
        <w:rPr>
          <w:rFonts w:hint="eastAsia"/>
          <w:color w:val="auto"/>
          <w:sz w:val="24"/>
          <w:highlight w:val="none"/>
        </w:rPr>
      </w:pPr>
    </w:p>
    <w:p>
      <w:pPr>
        <w:widowControl/>
        <w:ind w:firstLine="640" w:firstLineChars="200"/>
        <w:jc w:val="left"/>
        <w:rPr>
          <w:rFonts w:hint="eastAsia" w:ascii="仿宋_GB2312" w:hAnsi="宋体" w:eastAsia="仿宋_GB2312" w:cs="宋体"/>
          <w:color w:val="auto"/>
          <w:kern w:val="0"/>
          <w:sz w:val="32"/>
          <w:szCs w:val="32"/>
          <w:highlight w:val="none"/>
        </w:rPr>
      </w:pPr>
    </w:p>
    <w:p>
      <w:pPr>
        <w:snapToGrid w:val="0"/>
        <w:spacing w:before="50" w:after="165" w:afterLines="50" w:line="360" w:lineRule="auto"/>
        <w:ind w:firstLine="480" w:firstLineChars="200"/>
        <w:jc w:val="left"/>
        <w:rPr>
          <w:rFonts w:hint="eastAsia"/>
          <w:color w:val="auto"/>
          <w:sz w:val="24"/>
          <w:highlight w:val="none"/>
        </w:rPr>
      </w:pPr>
    </w:p>
    <w:p>
      <w:pPr>
        <w:rPr>
          <w:rFonts w:hint="eastAsia"/>
          <w:color w:val="auto"/>
          <w:highlight w:val="none"/>
        </w:rPr>
      </w:pPr>
    </w:p>
    <w:sectPr>
      <w:footerReference r:id="rId31" w:type="first"/>
      <w:headerReference r:id="rId28" w:type="default"/>
      <w:footerReference r:id="rId29" w:type="default"/>
      <w:footerReference r:id="rId30" w:type="even"/>
      <w:pgSz w:w="11905" w:h="16838"/>
      <w:pgMar w:top="1134" w:right="1134" w:bottom="1134" w:left="1134"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MS Mincho">
    <w:panose1 w:val="02020609040205080304"/>
    <w:charset w:val="80"/>
    <w:family w:val="roman"/>
    <w:pitch w:val="default"/>
    <w:sig w:usb0="E00002FF" w:usb1="6AC7FDFB" w:usb2="00000012" w:usb3="00000000" w:csb0="4002009F" w:csb1="DFD70000"/>
  </w:font>
  <w:font w:name="Helvetica">
    <w:altName w:val="Arial"/>
    <w:panose1 w:val="020B0504020202030204"/>
    <w:charset w:val="00"/>
    <w:family w:val="swiss"/>
    <w:pitch w:val="default"/>
    <w:sig w:usb0="00000000" w:usb1="00000000" w:usb2="00000000" w:usb3="00000000" w:csb0="00000093" w:csb1="00000000"/>
  </w:font>
  <w:font w:name="Wingdings 2">
    <w:altName w:val="Wingdings"/>
    <w:panose1 w:val="05020102010507070707"/>
    <w:charset w:val="02"/>
    <w:family w:val="roman"/>
    <w:pitch w:val="default"/>
    <w:sig w:usb0="00000000" w:usb1="00000000" w:usb2="00000000" w:usb3="00000000" w:csb0="80000000" w:csb1="00000000"/>
  </w:font>
  <w:font w:name="Helvetica Neue">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eastAsia="zh-CN"/>
      </w:rPr>
      <w:t>90</w:t>
    </w:r>
    <w:r>
      <w:fldChar w:fldCharType="end"/>
    </w:r>
  </w:p>
  <w:p>
    <w:pPr>
      <w:pStyle w:val="2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end"/>
    </w:r>
  </w:p>
  <w:p>
    <w:pPr>
      <w:pStyle w:val="2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2"/>
      </w:rPr>
    </w:pPr>
    <w:r>
      <w:fldChar w:fldCharType="begin"/>
    </w:r>
    <w:r>
      <w:rPr>
        <w:rStyle w:val="42"/>
      </w:rPr>
      <w:instrText xml:space="preserve">PAGE  </w:instrText>
    </w:r>
    <w:r>
      <w:fldChar w:fldCharType="separate"/>
    </w:r>
    <w:r>
      <w:rPr>
        <w:rStyle w:val="42"/>
      </w:rPr>
      <w:t>122</w:t>
    </w:r>
    <w:r>
      <w:fldChar w:fldCharType="end"/>
    </w:r>
  </w:p>
  <w:p>
    <w:pPr>
      <w:pStyle w:val="26"/>
      <w:ind w:right="360"/>
      <w:jc w:val="both"/>
      <w:rPr>
        <w:rFonts w:hint="eastAsia"/>
      </w:rPr>
    </w:pPr>
    <w:r>
      <w:rPr>
        <w:rFonts w:hint="eastAsia"/>
      </w:rPr>
      <w:t>121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eastAsia="zh-CN"/>
      </w:rPr>
      <w:t>94</w:t>
    </w:r>
    <w:r>
      <w:fldChar w:fldCharType="end"/>
    </w:r>
  </w:p>
  <w:p>
    <w:pPr>
      <w:pStyle w:val="2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end"/>
    </w:r>
  </w:p>
  <w:p>
    <w:pPr>
      <w:pStyle w:val="2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2"/>
      </w:rPr>
    </w:pPr>
    <w:r>
      <w:fldChar w:fldCharType="begin"/>
    </w:r>
    <w:r>
      <w:rPr>
        <w:rStyle w:val="42"/>
      </w:rPr>
      <w:instrText xml:space="preserve">PAGE  </w:instrText>
    </w:r>
    <w:r>
      <w:fldChar w:fldCharType="separate"/>
    </w:r>
    <w:r>
      <w:rPr>
        <w:rStyle w:val="42"/>
      </w:rPr>
      <w:t>122</w:t>
    </w:r>
    <w:r>
      <w:fldChar w:fldCharType="end"/>
    </w:r>
  </w:p>
  <w:p>
    <w:pPr>
      <w:pStyle w:val="26"/>
      <w:ind w:right="360"/>
      <w:jc w:val="both"/>
      <w:rPr>
        <w:rFonts w:hint="eastAsia"/>
      </w:rPr>
    </w:pPr>
    <w:r>
      <w:rPr>
        <w:rFonts w:hint="eastAsia"/>
      </w:rPr>
      <w:t>121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2540" b="4445"/>
              <wp:wrapNone/>
              <wp:docPr id="4"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6"/>
                          </w:pPr>
                          <w:r>
                            <w:fldChar w:fldCharType="begin"/>
                          </w:r>
                          <w:r>
                            <w:instrText xml:space="preserve"> PAGE  \* MERGEFORMAT </w:instrText>
                          </w:r>
                          <w:r>
                            <w:fldChar w:fldCharType="separate"/>
                          </w:r>
                          <w:r>
                            <w:t>95</w:t>
                          </w:r>
                          <w:r>
                            <w:fldChar w:fldCharType="end"/>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PlfknQAAAAAwEAAA8AAAAAAAAAAQAgAAAAIgAAAGRy&#10;cy9kb3ducmV2LnhtbFBLAQIUABQAAAAIAIdO4kCoScFLDQIAAAUEAAAOAAAAAAAAAAEAIAAAAB8B&#10;AABkcnMvZTJvRG9jLnhtbFBLBQYAAAAABgAGAFkBAACe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95</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sz w:val="21"/>
      </w:rPr>
    </w:pPr>
    <w:r>
      <w:rPr>
        <w:sz w:val="21"/>
      </w:rPr>
      <w:fldChar w:fldCharType="begin"/>
    </w:r>
    <w:r>
      <w:rPr>
        <w:rStyle w:val="42"/>
        <w:sz w:val="21"/>
      </w:rPr>
      <w:instrText xml:space="preserve">PAGE  </w:instrText>
    </w:r>
    <w:r>
      <w:rPr>
        <w:sz w:val="21"/>
      </w:rPr>
      <w:fldChar w:fldCharType="separate"/>
    </w:r>
    <w:r>
      <w:rPr>
        <w:rStyle w:val="42"/>
        <w:sz w:val="21"/>
      </w:rPr>
      <w:t>0</w:t>
    </w:r>
    <w:r>
      <w:rPr>
        <w:sz w:val="21"/>
      </w:rPr>
      <w:fldChar w:fldCharType="end"/>
    </w:r>
  </w:p>
  <w:p>
    <w:pPr>
      <w:pStyle w:val="26"/>
      <w:rPr>
        <w:sz w:val="21"/>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2085" cy="131445"/>
              <wp:effectExtent l="0" t="0" r="2540" b="2540"/>
              <wp:wrapNone/>
              <wp:docPr id="3"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26"/>
                            <w:jc w:val="center"/>
                          </w:pPr>
                          <w:r>
                            <w:fldChar w:fldCharType="begin"/>
                          </w:r>
                          <w:r>
                            <w:instrText xml:space="preserve"> PAGE   \* MERGEFORMAT </w:instrText>
                          </w:r>
                          <w:r>
                            <w:fldChar w:fldCharType="separate"/>
                          </w:r>
                          <w:r>
                            <w:rPr>
                              <w:lang w:val="zh-CN"/>
                            </w:rPr>
                            <w:t>105</w:t>
                          </w:r>
                          <w:r>
                            <w:fldChar w:fldCharType="end"/>
                          </w:r>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0.35pt;width:13.55pt;mso-position-horizontal:center;mso-position-horizontal-relative:margin;mso-wrap-style:none;z-index:251661312;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JXQ5c8AAAADAQAADwAAAAAAAAABACAAAAAiAAAAZHJz&#10;L2Rvd25yZXYueG1sUEsBAhQAFAAAAAgAh07iQLWKeL8NAgAABQQAAA4AAAAAAAAAAQAgAAAAHgEA&#10;AGRycy9lMm9Eb2MueG1sUEsFBgAAAAAGAAYAWQEAAJ0FAAAAAA==&#10;">
              <v:fill on="f" focussize="0,0"/>
              <v:stroke on="f"/>
              <v:imagedata o:title=""/>
              <o:lock v:ext="edit" aspectratio="f"/>
              <v:textbox inset="0mm,0mm,0mm,0mm" style="mso-fit-shape-to-text:t;">
                <w:txbxContent>
                  <w:p>
                    <w:pPr>
                      <w:pStyle w:val="26"/>
                      <w:jc w:val="center"/>
                    </w:pPr>
                    <w:r>
                      <w:fldChar w:fldCharType="begin"/>
                    </w:r>
                    <w:r>
                      <w:instrText xml:space="preserve"> PAGE   \* MERGEFORMAT </w:instrText>
                    </w:r>
                    <w:r>
                      <w:fldChar w:fldCharType="separate"/>
                    </w:r>
                    <w:r>
                      <w:rPr>
                        <w:lang w:val="zh-CN"/>
                      </w:rPr>
                      <w:t>105</w:t>
                    </w:r>
                    <w:r>
                      <w:fldChar w:fldCharType="end"/>
                    </w:r>
                  </w:p>
                </w:txbxContent>
              </v:textbox>
            </v:shape>
          </w:pict>
        </mc:Fallback>
      </mc:AlternateContent>
    </w:r>
  </w:p>
  <w:p>
    <w:pPr>
      <w:pStyle w:val="2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085" cy="131445"/>
              <wp:effectExtent l="0" t="0" r="2540" b="2540"/>
              <wp:wrapNone/>
              <wp:docPr id="2" name="文本框 1028"/>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26"/>
                            <w:jc w:val="center"/>
                          </w:pPr>
                          <w:r>
                            <w:fldChar w:fldCharType="begin"/>
                          </w:r>
                          <w:r>
                            <w:instrText xml:space="preserve"> PAGE   \* MERGEFORMAT </w:instrText>
                          </w:r>
                          <w:r>
                            <w:fldChar w:fldCharType="separate"/>
                          </w:r>
                          <w:r>
                            <w:rPr>
                              <w:lang w:val="zh-CN"/>
                            </w:rPr>
                            <w:t>107</w:t>
                          </w:r>
                          <w:r>
                            <w:fldChar w:fldCharType="end"/>
                          </w:r>
                        </w:p>
                      </w:txbxContent>
                    </wps:txbx>
                    <wps:bodyPr rot="0" vert="horz" wrap="none" lIns="0" tIns="0" rIns="0" bIns="0" anchor="t" anchorCtr="0" upright="1">
                      <a:spAutoFit/>
                    </wps:bodyPr>
                  </wps:wsp>
                </a:graphicData>
              </a:graphic>
            </wp:anchor>
          </w:drawing>
        </mc:Choice>
        <mc:Fallback>
          <w:pict>
            <v:shape id="文本框 1028" o:spid="_x0000_s1026" o:spt="202" type="#_x0000_t202" style="position:absolute;left:0pt;margin-top:0pt;height:10.35pt;width:13.55pt;mso-position-horizontal:center;mso-position-horizontal-relative:margin;mso-wrap-style:none;z-index:251662336;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JXQ5c8AAAADAQAADwAAAAAAAAABACAAAAAiAAAAZHJz&#10;L2Rvd25yZXYueG1sUEsBAhQAFAAAAAgAh07iQJ5qxTsNAgAABQQAAA4AAAAAAAAAAQAgAAAAHgEA&#10;AGRycy9lMm9Eb2MueG1sUEsFBgAAAAAGAAYAWQEAAJ0FAAAAAA==&#10;">
              <v:fill on="f" focussize="0,0"/>
              <v:stroke on="f"/>
              <v:imagedata o:title=""/>
              <o:lock v:ext="edit" aspectratio="f"/>
              <v:textbox inset="0mm,0mm,0mm,0mm" style="mso-fit-shape-to-text:t;">
                <w:txbxContent>
                  <w:p>
                    <w:pPr>
                      <w:pStyle w:val="26"/>
                      <w:jc w:val="center"/>
                    </w:pPr>
                    <w:r>
                      <w:fldChar w:fldCharType="begin"/>
                    </w:r>
                    <w:r>
                      <w:instrText xml:space="preserve"> PAGE   \* MERGEFORMAT </w:instrText>
                    </w:r>
                    <w:r>
                      <w:fldChar w:fldCharType="separate"/>
                    </w:r>
                    <w:r>
                      <w:rPr>
                        <w:lang w:val="zh-CN"/>
                      </w:rPr>
                      <w:t>107</w:t>
                    </w:r>
                    <w:r>
                      <w:fldChar w:fldCharType="end"/>
                    </w:r>
                  </w:p>
                </w:txbxContent>
              </v:textbox>
            </v:shape>
          </w:pict>
        </mc:Fallback>
      </mc:AlternateContent>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2540" b="2540"/>
              <wp:wrapNone/>
              <wp:docPr id="6"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6"/>
                          </w:pPr>
                          <w:r>
                            <w:fldChar w:fldCharType="begin"/>
                          </w:r>
                          <w:r>
                            <w:instrText xml:space="preserve"> PAGE  \* MERGEFORMAT </w:instrText>
                          </w:r>
                          <w:r>
                            <w:fldChar w:fldCharType="separate"/>
                          </w:r>
                          <w:r>
                            <w:rPr>
                              <w:lang w:val="en-US" w:eastAsia="zh-CN"/>
                            </w:rPr>
                            <w:t>67</w:t>
                          </w:r>
                          <w: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PlfknQAAAAAwEAAA8AAAAAAAAAAQAgAAAAIgAAAGRy&#10;cy9kb3ducmV2LnhtbFBLAQIUABQAAAAIAIdO4kCqP6+qDQIAAAUEAAAOAAAAAAAAAAEAIAAAAB8B&#10;AABkcnMvZTJvRG9jLnhtbFBLBQYAAAAABgAGAFkBAACe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rPr>
                        <w:lang w:val="en-US" w:eastAsia="zh-CN"/>
                      </w:rPr>
                      <w:t>67</w:t>
                    </w:r>
                    <w:r>
                      <w:fldChar w:fldCharType="end"/>
                    </w:r>
                  </w:p>
                </w:txbxContent>
              </v:textbox>
            </v:shape>
          </w:pict>
        </mc:Fallback>
      </mc:AlternateContent>
    </w:r>
  </w:p>
  <w:p>
    <w:pPr>
      <w:pStyle w:val="2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end"/>
    </w:r>
  </w:p>
  <w:p>
    <w:pPr>
      <w:pStyle w:val="2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2"/>
      </w:rPr>
    </w:pPr>
    <w:r>
      <w:fldChar w:fldCharType="begin"/>
    </w:r>
    <w:r>
      <w:rPr>
        <w:rStyle w:val="42"/>
      </w:rPr>
      <w:instrText xml:space="preserve">PAGE  </w:instrText>
    </w:r>
    <w:r>
      <w:fldChar w:fldCharType="separate"/>
    </w:r>
    <w:r>
      <w:rPr>
        <w:rStyle w:val="42"/>
        <w:lang w:val="en-US" w:eastAsia="zh-CN"/>
      </w:rPr>
      <w:t>122</w:t>
    </w:r>
    <w:r>
      <w:fldChar w:fldCharType="end"/>
    </w:r>
  </w:p>
  <w:p>
    <w:pPr>
      <w:pStyle w:val="26"/>
      <w:ind w:right="360"/>
      <w:jc w:val="both"/>
      <w:rPr>
        <w:rFonts w:hint="eastAsia"/>
      </w:rPr>
    </w:pPr>
    <w:r>
      <w:rPr>
        <w:rFonts w:hint="eastAsia"/>
      </w:rPr>
      <w:t>121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sz w:val="20"/>
      </w:rPr>
    </w:pPr>
    <w:r>
      <w:rPr>
        <w:rFonts w:hint="eastAsia"/>
        <w:w w:val="99"/>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10062210</wp:posOffset>
              </wp:positionV>
              <wp:extent cx="166370" cy="139700"/>
              <wp:effectExtent l="0" t="381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pStyle w:val="2"/>
                            <w:kinsoku w:val="0"/>
                            <w:overflowPunct w:val="0"/>
                            <w:spacing w:line="200" w:lineRule="exact"/>
                            <w:ind w:left="40"/>
                            <w:rPr>
                              <w:rFonts w:hint="eastAsia"/>
                              <w:sz w:val="18"/>
                            </w:rPr>
                          </w:pPr>
                          <w:r>
                            <w:rPr>
                              <w:rFonts w:hint="eastAsia"/>
                              <w:sz w:val="18"/>
                            </w:rPr>
                            <w:fldChar w:fldCharType="begin"/>
                          </w:r>
                          <w:r>
                            <w:rPr>
                              <w:rFonts w:hint="eastAsia"/>
                              <w:sz w:val="18"/>
                            </w:rPr>
                            <w:instrText xml:space="preserve"> PAGE </w:instrText>
                          </w:r>
                          <w:r>
                            <w:rPr>
                              <w:rFonts w:hint="eastAsia"/>
                              <w:sz w:val="18"/>
                            </w:rPr>
                            <w:fldChar w:fldCharType="separate"/>
                          </w:r>
                          <w:r>
                            <w:rPr>
                              <w:sz w:val="18"/>
                            </w:rPr>
                            <w:t>66</w:t>
                          </w:r>
                          <w:r>
                            <w:rPr>
                              <w:rFonts w:hint="eastAsia"/>
                              <w:sz w:val="18"/>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92.3pt;height:11pt;width:13.1pt;mso-position-horizontal:center;mso-position-horizontal-relative:margin;mso-position-vertical-relative:page;z-index:251661312;mso-width-relative:page;mso-height-relative:page;" filled="f" stroked="f" coordsize="21600,21600" o:gfxdata="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LMM31wAAAAkBAAAPAAAAAAAAAAEAIAAAACIA&#10;AABkcnMvZG93bnJldi54bWxQSwECFAAUAAAACACHTuJAwvLV3woCAAAEBAAADgAAAAAAAAABACAA&#10;AAAmAQAAZHJzL2Uyb0RvYy54bWxQSwUGAAAAAAYABgBZAQAAogUAAAAA&#10;">
              <v:fill on="f" focussize="0,0"/>
              <v:stroke on="f"/>
              <v:imagedata o:title=""/>
              <o:lock v:ext="edit" aspectratio="f"/>
              <v:textbox inset="0mm,0mm,0mm,0mm">
                <w:txbxContent>
                  <w:p>
                    <w:pPr>
                      <w:pStyle w:val="2"/>
                      <w:kinsoku w:val="0"/>
                      <w:overflowPunct w:val="0"/>
                      <w:spacing w:line="200" w:lineRule="exact"/>
                      <w:ind w:left="40"/>
                      <w:rPr>
                        <w:rFonts w:hint="eastAsia"/>
                        <w:sz w:val="18"/>
                      </w:rPr>
                    </w:pPr>
                    <w:r>
                      <w:rPr>
                        <w:rFonts w:hint="eastAsia"/>
                        <w:sz w:val="18"/>
                      </w:rPr>
                      <w:fldChar w:fldCharType="begin"/>
                    </w:r>
                    <w:r>
                      <w:rPr>
                        <w:rFonts w:hint="eastAsia"/>
                        <w:sz w:val="18"/>
                      </w:rPr>
                      <w:instrText xml:space="preserve"> PAGE </w:instrText>
                    </w:r>
                    <w:r>
                      <w:rPr>
                        <w:rFonts w:hint="eastAsia"/>
                        <w:sz w:val="18"/>
                      </w:rPr>
                      <w:fldChar w:fldCharType="separate"/>
                    </w:r>
                    <w:r>
                      <w:rPr>
                        <w:sz w:val="18"/>
                      </w:rPr>
                      <w:t>66</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rPr>
        <w:sz w:val="20"/>
      </w:rPr>
    </w:pPr>
    <w:r>
      <w:rPr>
        <w:rFonts w:hint="eastAsia"/>
        <w:w w:val="99"/>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10062210</wp:posOffset>
              </wp:positionV>
              <wp:extent cx="166370" cy="139700"/>
              <wp:effectExtent l="0" t="381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pStyle w:val="2"/>
                            <w:kinsoku w:val="0"/>
                            <w:overflowPunct w:val="0"/>
                            <w:spacing w:line="200" w:lineRule="exact"/>
                            <w:ind w:left="40"/>
                            <w:rPr>
                              <w:rFonts w:hint="eastAsia"/>
                              <w:sz w:val="18"/>
                            </w:rPr>
                          </w:pPr>
                          <w:r>
                            <w:rPr>
                              <w:rFonts w:hint="eastAsia"/>
                              <w:sz w:val="18"/>
                            </w:rPr>
                            <w:fldChar w:fldCharType="begin"/>
                          </w:r>
                          <w:r>
                            <w:rPr>
                              <w:rFonts w:hint="eastAsia"/>
                              <w:sz w:val="18"/>
                            </w:rPr>
                            <w:instrText xml:space="preserve"> PAGE </w:instrText>
                          </w:r>
                          <w:r>
                            <w:rPr>
                              <w:rFonts w:hint="eastAsia"/>
                              <w:sz w:val="18"/>
                            </w:rPr>
                            <w:fldChar w:fldCharType="separate"/>
                          </w:r>
                          <w:r>
                            <w:rPr>
                              <w:sz w:val="18"/>
                            </w:rPr>
                            <w:t>68</w:t>
                          </w:r>
                          <w:r>
                            <w:rPr>
                              <w:rFonts w:hint="eastAsia"/>
                              <w:sz w:val="18"/>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92.3pt;height:11pt;width:13.1pt;mso-position-horizontal:center;mso-position-horizontal-relative:margin;mso-position-vertical-relative:page;z-index:251661312;mso-width-relative:page;mso-height-relative:page;" filled="f" stroked="f" coordsize="21600,21600" o:gfxdata="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LMM31wAAAAkBAAAPAAAAAAAAAAEAIAAA&#10;ACIAAABkcnMvZG93bnJldi54bWxQSwECFAAUAAAACACHTuJAuy0Tdw0CAAAEBAAADgAAAAAAAAAB&#10;ACAAAAAmAQAAZHJzL2Uyb0RvYy54bWxQSwUGAAAAAAYABgBZAQAApQUAAAAA&#10;">
              <v:fill on="f" focussize="0,0"/>
              <v:stroke on="f"/>
              <v:imagedata o:title=""/>
              <o:lock v:ext="edit" aspectratio="f"/>
              <v:textbox inset="0mm,0mm,0mm,0mm">
                <w:txbxContent>
                  <w:p>
                    <w:pPr>
                      <w:pStyle w:val="2"/>
                      <w:kinsoku w:val="0"/>
                      <w:overflowPunct w:val="0"/>
                      <w:spacing w:line="200" w:lineRule="exact"/>
                      <w:ind w:left="40"/>
                      <w:rPr>
                        <w:rFonts w:hint="eastAsia"/>
                        <w:sz w:val="18"/>
                      </w:rPr>
                    </w:pPr>
                    <w:r>
                      <w:rPr>
                        <w:rFonts w:hint="eastAsia"/>
                        <w:sz w:val="18"/>
                      </w:rPr>
                      <w:fldChar w:fldCharType="begin"/>
                    </w:r>
                    <w:r>
                      <w:rPr>
                        <w:rFonts w:hint="eastAsia"/>
                        <w:sz w:val="18"/>
                      </w:rPr>
                      <w:instrText xml:space="preserve"> PAGE </w:instrText>
                    </w:r>
                    <w:r>
                      <w:rPr>
                        <w:rFonts w:hint="eastAsia"/>
                        <w:sz w:val="18"/>
                      </w:rPr>
                      <w:fldChar w:fldCharType="separate"/>
                    </w:r>
                    <w:r>
                      <w:rPr>
                        <w:sz w:val="18"/>
                      </w:rPr>
                      <w:t>68</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eastAsia="zh-CN"/>
      </w:rPr>
      <w:t>77</w:t>
    </w:r>
    <w:r>
      <w:fldChar w:fldCharType="end"/>
    </w:r>
  </w:p>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eastAsia="zh-CN"/>
      </w:rPr>
      <w:t>87</w:t>
    </w:r>
    <w:r>
      <w:fldChar w:fldCharType="end"/>
    </w:r>
  </w:p>
  <w:p>
    <w:pPr>
      <w:pStyle w:val="2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end"/>
    </w:r>
  </w:p>
  <w:p>
    <w:pPr>
      <w:pStyle w:val="2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2"/>
      </w:rPr>
    </w:pPr>
    <w:r>
      <w:fldChar w:fldCharType="begin"/>
    </w:r>
    <w:r>
      <w:rPr>
        <w:rStyle w:val="42"/>
      </w:rPr>
      <w:instrText xml:space="preserve">PAGE  </w:instrText>
    </w:r>
    <w:r>
      <w:fldChar w:fldCharType="separate"/>
    </w:r>
    <w:r>
      <w:rPr>
        <w:rStyle w:val="42"/>
      </w:rPr>
      <w:t>122</w:t>
    </w:r>
    <w:r>
      <w:fldChar w:fldCharType="end"/>
    </w:r>
  </w:p>
  <w:p>
    <w:pPr>
      <w:pStyle w:val="26"/>
      <w:ind w:right="360"/>
      <w:jc w:val="both"/>
      <w:rPr>
        <w:rFonts w:hint="eastAsia"/>
      </w:rPr>
    </w:pPr>
    <w:r>
      <w:rPr>
        <w:rFonts w:hint="eastAsia"/>
      </w:rPr>
      <w:t>121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center" w:pos="0"/>
        <w:tab w:val="lef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p>
    <w:pPr>
      <w:pStyle w:val="2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center" w:pos="0"/>
        <w:tab w:val="clear" w:pos="4153"/>
      </w:tabs>
      <w:rPr>
        <w:rFonts w:hint="eastAsia"/>
      </w:rPr>
    </w:pPr>
  </w:p>
  <w:p>
    <w:pPr>
      <w:pStyle w:val="28"/>
      <w:pBdr>
        <w:bottom w:val="none" w:color="auto" w:sz="0" w:space="1"/>
      </w:pBdr>
      <w:tabs>
        <w:tab w:val="center" w:pos="0"/>
        <w:tab w:val="clear" w:pos="4153"/>
      </w:tabs>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center" w:pos="0"/>
        <w:tab w:val="clear" w:pos="4153"/>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tabs>
        <w:tab w:val="center" w:pos="0"/>
        <w:tab w:val="clear" w:pos="4153"/>
      </w:tabs>
      <w:rPr>
        <w:rFonts w:hint="eastAsia"/>
      </w:rPr>
    </w:pPr>
  </w:p>
  <w:p>
    <w:pPr>
      <w:pStyle w:val="28"/>
      <w:pBdr>
        <w:bottom w:val="none" w:color="auto" w:sz="0" w:space="1"/>
      </w:pBdr>
      <w:tabs>
        <w:tab w:val="center" w:pos="0"/>
        <w:tab w:val="clear" w:pos="4153"/>
      </w:tabs>
      <w:rPr>
        <w:rFonts w:hint="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2F7F1C"/>
    <w:multiLevelType w:val="singleLevel"/>
    <w:tmpl w:val="E52F7F1C"/>
    <w:lvl w:ilvl="0" w:tentative="0">
      <w:start w:val="7"/>
      <w:numFmt w:val="chineseCounting"/>
      <w:suff w:val="nothing"/>
      <w:lvlText w:val="%1、"/>
      <w:lvlJc w:val="left"/>
      <w:rPr>
        <w:rFonts w:hint="eastAsia"/>
      </w:rPr>
    </w:lvl>
  </w:abstractNum>
  <w:abstractNum w:abstractNumId="1">
    <w:nsid w:val="F7C9C518"/>
    <w:multiLevelType w:val="singleLevel"/>
    <w:tmpl w:val="F7C9C518"/>
    <w:lvl w:ilvl="0" w:tentative="0">
      <w:start w:val="2"/>
      <w:numFmt w:val="chineseCounting"/>
      <w:suff w:val="nothing"/>
      <w:lvlText w:val="%1、"/>
      <w:lvlJc w:val="left"/>
      <w:rPr>
        <w:rFonts w:hint="eastAsia"/>
      </w:rPr>
    </w:lvl>
  </w:abstractNum>
  <w:abstractNum w:abstractNumId="2">
    <w:nsid w:val="00000007"/>
    <w:multiLevelType w:val="multilevel"/>
    <w:tmpl w:val="00000007"/>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4D31FEF"/>
    <w:multiLevelType w:val="singleLevel"/>
    <w:tmpl w:val="14D31FEF"/>
    <w:lvl w:ilvl="0" w:tentative="0">
      <w:start w:val="1"/>
      <w:numFmt w:val="decimal"/>
      <w:lvlText w:val="(%1)"/>
      <w:lvlJc w:val="left"/>
      <w:pPr>
        <w:ind w:left="425" w:hanging="425"/>
      </w:pPr>
      <w:rPr>
        <w:rFonts w:hint="default"/>
      </w:rPr>
    </w:lvl>
  </w:abstractNum>
  <w:abstractNum w:abstractNumId="4">
    <w:nsid w:val="41367BD3"/>
    <w:multiLevelType w:val="multilevel"/>
    <w:tmpl w:val="41367BD3"/>
    <w:lvl w:ilvl="0" w:tentative="0">
      <w:start w:val="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2962756"/>
    <w:multiLevelType w:val="multilevel"/>
    <w:tmpl w:val="72962756"/>
    <w:lvl w:ilvl="0" w:tentative="0">
      <w:start w:val="1"/>
      <w:numFmt w:val="japaneseCounting"/>
      <w:lvlText w:val="（%1）"/>
      <w:lvlJc w:val="left"/>
      <w:pPr>
        <w:ind w:left="1237" w:hanging="765"/>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6">
    <w:nsid w:val="7C8FD7ED"/>
    <w:multiLevelType w:val="singleLevel"/>
    <w:tmpl w:val="7C8FD7ED"/>
    <w:lvl w:ilvl="0" w:tentative="0">
      <w:start w:val="1"/>
      <w:numFmt w:val="decimal"/>
      <w:suff w:val="nothing"/>
      <w:lvlText w:val="%1、"/>
      <w:lvlJc w:val="left"/>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6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4OTU2OTk0OTc4MTg5ZjdlNjY5NjQ5YjNlYjQxM2QifQ=="/>
  </w:docVars>
  <w:rsids>
    <w:rsidRoot w:val="00172A27"/>
    <w:rsid w:val="0000096C"/>
    <w:rsid w:val="00000CDB"/>
    <w:rsid w:val="00001CDA"/>
    <w:rsid w:val="00004344"/>
    <w:rsid w:val="00005909"/>
    <w:rsid w:val="000207D5"/>
    <w:rsid w:val="00024E82"/>
    <w:rsid w:val="00027659"/>
    <w:rsid w:val="00030800"/>
    <w:rsid w:val="00031652"/>
    <w:rsid w:val="00034A7D"/>
    <w:rsid w:val="00035197"/>
    <w:rsid w:val="00035F9C"/>
    <w:rsid w:val="000401CD"/>
    <w:rsid w:val="000412E0"/>
    <w:rsid w:val="00044EDB"/>
    <w:rsid w:val="00054304"/>
    <w:rsid w:val="000553BC"/>
    <w:rsid w:val="00056551"/>
    <w:rsid w:val="0006218D"/>
    <w:rsid w:val="00063F24"/>
    <w:rsid w:val="00065AF0"/>
    <w:rsid w:val="00066EA9"/>
    <w:rsid w:val="00066FE1"/>
    <w:rsid w:val="00074D5F"/>
    <w:rsid w:val="00077BF5"/>
    <w:rsid w:val="00081789"/>
    <w:rsid w:val="00085A0D"/>
    <w:rsid w:val="00092A54"/>
    <w:rsid w:val="00092F65"/>
    <w:rsid w:val="0009317E"/>
    <w:rsid w:val="00093B18"/>
    <w:rsid w:val="00094E84"/>
    <w:rsid w:val="000A7A4B"/>
    <w:rsid w:val="000C302E"/>
    <w:rsid w:val="000C5D44"/>
    <w:rsid w:val="000D5F48"/>
    <w:rsid w:val="000D7284"/>
    <w:rsid w:val="000E6783"/>
    <w:rsid w:val="000F1BBE"/>
    <w:rsid w:val="001031E7"/>
    <w:rsid w:val="00104245"/>
    <w:rsid w:val="001108AC"/>
    <w:rsid w:val="00110DD2"/>
    <w:rsid w:val="0011187C"/>
    <w:rsid w:val="00116FC9"/>
    <w:rsid w:val="0012064C"/>
    <w:rsid w:val="00120C46"/>
    <w:rsid w:val="00125837"/>
    <w:rsid w:val="001306A8"/>
    <w:rsid w:val="00140B14"/>
    <w:rsid w:val="00140CE8"/>
    <w:rsid w:val="00143DA6"/>
    <w:rsid w:val="00151CEE"/>
    <w:rsid w:val="0015209C"/>
    <w:rsid w:val="001551E7"/>
    <w:rsid w:val="00170AA7"/>
    <w:rsid w:val="00173852"/>
    <w:rsid w:val="00174F9B"/>
    <w:rsid w:val="00177D95"/>
    <w:rsid w:val="00181460"/>
    <w:rsid w:val="00182C28"/>
    <w:rsid w:val="00190F4C"/>
    <w:rsid w:val="00193D49"/>
    <w:rsid w:val="0019577E"/>
    <w:rsid w:val="001B1366"/>
    <w:rsid w:val="001B2BDE"/>
    <w:rsid w:val="001B2FAE"/>
    <w:rsid w:val="001C2E44"/>
    <w:rsid w:val="001D047F"/>
    <w:rsid w:val="001E0216"/>
    <w:rsid w:val="001E0590"/>
    <w:rsid w:val="001E3E3A"/>
    <w:rsid w:val="001E4E53"/>
    <w:rsid w:val="001E6153"/>
    <w:rsid w:val="001E6C5D"/>
    <w:rsid w:val="001E7AB6"/>
    <w:rsid w:val="001F330A"/>
    <w:rsid w:val="001F4D3C"/>
    <w:rsid w:val="00201770"/>
    <w:rsid w:val="00204164"/>
    <w:rsid w:val="00204F25"/>
    <w:rsid w:val="00205999"/>
    <w:rsid w:val="00207350"/>
    <w:rsid w:val="00207DB7"/>
    <w:rsid w:val="00221909"/>
    <w:rsid w:val="002230A4"/>
    <w:rsid w:val="00231EAB"/>
    <w:rsid w:val="00232E04"/>
    <w:rsid w:val="00236055"/>
    <w:rsid w:val="00236B7D"/>
    <w:rsid w:val="00244627"/>
    <w:rsid w:val="00245BE7"/>
    <w:rsid w:val="002563B4"/>
    <w:rsid w:val="0025753A"/>
    <w:rsid w:val="002738BD"/>
    <w:rsid w:val="002867CF"/>
    <w:rsid w:val="00293976"/>
    <w:rsid w:val="00297271"/>
    <w:rsid w:val="002B3400"/>
    <w:rsid w:val="002B4610"/>
    <w:rsid w:val="002C0483"/>
    <w:rsid w:val="002C1328"/>
    <w:rsid w:val="002C27F2"/>
    <w:rsid w:val="002C38A0"/>
    <w:rsid w:val="002C7DD7"/>
    <w:rsid w:val="002D2EF2"/>
    <w:rsid w:val="002E0A18"/>
    <w:rsid w:val="002E6BA4"/>
    <w:rsid w:val="002F55FD"/>
    <w:rsid w:val="002F667D"/>
    <w:rsid w:val="003014B1"/>
    <w:rsid w:val="00301C24"/>
    <w:rsid w:val="003051FD"/>
    <w:rsid w:val="00305816"/>
    <w:rsid w:val="00315EB2"/>
    <w:rsid w:val="003162D6"/>
    <w:rsid w:val="00316994"/>
    <w:rsid w:val="00320B19"/>
    <w:rsid w:val="003226F1"/>
    <w:rsid w:val="00322C10"/>
    <w:rsid w:val="00327461"/>
    <w:rsid w:val="00330EE9"/>
    <w:rsid w:val="003331F5"/>
    <w:rsid w:val="00337A9F"/>
    <w:rsid w:val="00344631"/>
    <w:rsid w:val="00346976"/>
    <w:rsid w:val="00347950"/>
    <w:rsid w:val="00353905"/>
    <w:rsid w:val="00355191"/>
    <w:rsid w:val="00366E54"/>
    <w:rsid w:val="0037075A"/>
    <w:rsid w:val="00371C87"/>
    <w:rsid w:val="003735B4"/>
    <w:rsid w:val="0037701F"/>
    <w:rsid w:val="00384EB6"/>
    <w:rsid w:val="003868E3"/>
    <w:rsid w:val="0039417D"/>
    <w:rsid w:val="003A3917"/>
    <w:rsid w:val="003A622A"/>
    <w:rsid w:val="003B031E"/>
    <w:rsid w:val="003B31F1"/>
    <w:rsid w:val="003B7C9A"/>
    <w:rsid w:val="003C027A"/>
    <w:rsid w:val="003C393F"/>
    <w:rsid w:val="003D3465"/>
    <w:rsid w:val="003D478D"/>
    <w:rsid w:val="003D7400"/>
    <w:rsid w:val="003E0AD4"/>
    <w:rsid w:val="003E1425"/>
    <w:rsid w:val="003E64C1"/>
    <w:rsid w:val="003F1067"/>
    <w:rsid w:val="003F1F9C"/>
    <w:rsid w:val="003F7B0D"/>
    <w:rsid w:val="004029ED"/>
    <w:rsid w:val="00403AA3"/>
    <w:rsid w:val="0040651A"/>
    <w:rsid w:val="00431C3B"/>
    <w:rsid w:val="00435268"/>
    <w:rsid w:val="0044023A"/>
    <w:rsid w:val="004437ED"/>
    <w:rsid w:val="0044600A"/>
    <w:rsid w:val="00447BDE"/>
    <w:rsid w:val="00450ADB"/>
    <w:rsid w:val="00452102"/>
    <w:rsid w:val="004531C4"/>
    <w:rsid w:val="0046694A"/>
    <w:rsid w:val="0046760D"/>
    <w:rsid w:val="00467833"/>
    <w:rsid w:val="00474447"/>
    <w:rsid w:val="004820E2"/>
    <w:rsid w:val="004853B6"/>
    <w:rsid w:val="004861BA"/>
    <w:rsid w:val="00486E44"/>
    <w:rsid w:val="0049027F"/>
    <w:rsid w:val="004909C7"/>
    <w:rsid w:val="004925A4"/>
    <w:rsid w:val="004929AD"/>
    <w:rsid w:val="004A0443"/>
    <w:rsid w:val="004A5F2A"/>
    <w:rsid w:val="004A6736"/>
    <w:rsid w:val="004B49D2"/>
    <w:rsid w:val="004C5B3E"/>
    <w:rsid w:val="004E126C"/>
    <w:rsid w:val="004F5BCD"/>
    <w:rsid w:val="005033B8"/>
    <w:rsid w:val="00503A40"/>
    <w:rsid w:val="00506840"/>
    <w:rsid w:val="00511A25"/>
    <w:rsid w:val="00517D40"/>
    <w:rsid w:val="00520861"/>
    <w:rsid w:val="00521880"/>
    <w:rsid w:val="00525C35"/>
    <w:rsid w:val="005279FB"/>
    <w:rsid w:val="00532BF5"/>
    <w:rsid w:val="0053541C"/>
    <w:rsid w:val="005458AD"/>
    <w:rsid w:val="0054778A"/>
    <w:rsid w:val="0055409E"/>
    <w:rsid w:val="00554A36"/>
    <w:rsid w:val="00562514"/>
    <w:rsid w:val="00564C6D"/>
    <w:rsid w:val="00576E04"/>
    <w:rsid w:val="0057733C"/>
    <w:rsid w:val="00581AC2"/>
    <w:rsid w:val="00583AC0"/>
    <w:rsid w:val="00584BFC"/>
    <w:rsid w:val="005873D0"/>
    <w:rsid w:val="005917A6"/>
    <w:rsid w:val="005932B6"/>
    <w:rsid w:val="00596F89"/>
    <w:rsid w:val="005B53A3"/>
    <w:rsid w:val="005C06FA"/>
    <w:rsid w:val="005C70C0"/>
    <w:rsid w:val="005D54D6"/>
    <w:rsid w:val="005D6CCE"/>
    <w:rsid w:val="005E671C"/>
    <w:rsid w:val="005F6F86"/>
    <w:rsid w:val="00600743"/>
    <w:rsid w:val="006048A4"/>
    <w:rsid w:val="00605362"/>
    <w:rsid w:val="006064F7"/>
    <w:rsid w:val="006068F0"/>
    <w:rsid w:val="00606C3B"/>
    <w:rsid w:val="00622C28"/>
    <w:rsid w:val="00626CA8"/>
    <w:rsid w:val="006271A0"/>
    <w:rsid w:val="006301C4"/>
    <w:rsid w:val="00631BAB"/>
    <w:rsid w:val="006406A8"/>
    <w:rsid w:val="00640B4E"/>
    <w:rsid w:val="00641D5B"/>
    <w:rsid w:val="00644AAD"/>
    <w:rsid w:val="00653CDE"/>
    <w:rsid w:val="00656442"/>
    <w:rsid w:val="00661DA0"/>
    <w:rsid w:val="006632E6"/>
    <w:rsid w:val="00670E85"/>
    <w:rsid w:val="0067703D"/>
    <w:rsid w:val="006831E3"/>
    <w:rsid w:val="00691B1A"/>
    <w:rsid w:val="00695425"/>
    <w:rsid w:val="006A101B"/>
    <w:rsid w:val="006A6DC8"/>
    <w:rsid w:val="006C015A"/>
    <w:rsid w:val="006C2360"/>
    <w:rsid w:val="006C55A9"/>
    <w:rsid w:val="006C5999"/>
    <w:rsid w:val="006D0A1B"/>
    <w:rsid w:val="006D6A62"/>
    <w:rsid w:val="006F0015"/>
    <w:rsid w:val="00707FF2"/>
    <w:rsid w:val="00715456"/>
    <w:rsid w:val="00717D53"/>
    <w:rsid w:val="0072351B"/>
    <w:rsid w:val="00730FBB"/>
    <w:rsid w:val="00736625"/>
    <w:rsid w:val="00744B4B"/>
    <w:rsid w:val="00745BFF"/>
    <w:rsid w:val="0074683F"/>
    <w:rsid w:val="007549ED"/>
    <w:rsid w:val="0075643C"/>
    <w:rsid w:val="00756DD1"/>
    <w:rsid w:val="00757B36"/>
    <w:rsid w:val="00761289"/>
    <w:rsid w:val="00761EA6"/>
    <w:rsid w:val="00767154"/>
    <w:rsid w:val="00773B6C"/>
    <w:rsid w:val="00781DF2"/>
    <w:rsid w:val="00790B95"/>
    <w:rsid w:val="007937A3"/>
    <w:rsid w:val="007B4684"/>
    <w:rsid w:val="007C09EA"/>
    <w:rsid w:val="007C2309"/>
    <w:rsid w:val="007C3B9F"/>
    <w:rsid w:val="007D5273"/>
    <w:rsid w:val="007D6581"/>
    <w:rsid w:val="007D6EBC"/>
    <w:rsid w:val="007F0A33"/>
    <w:rsid w:val="007F1D2B"/>
    <w:rsid w:val="007F4D7D"/>
    <w:rsid w:val="007F717F"/>
    <w:rsid w:val="008176CE"/>
    <w:rsid w:val="008232D5"/>
    <w:rsid w:val="00823F88"/>
    <w:rsid w:val="0082700E"/>
    <w:rsid w:val="008300D6"/>
    <w:rsid w:val="008434CC"/>
    <w:rsid w:val="00843D45"/>
    <w:rsid w:val="00852105"/>
    <w:rsid w:val="00854052"/>
    <w:rsid w:val="0085544C"/>
    <w:rsid w:val="008604A4"/>
    <w:rsid w:val="008606F1"/>
    <w:rsid w:val="00860D9E"/>
    <w:rsid w:val="00862516"/>
    <w:rsid w:val="0086784A"/>
    <w:rsid w:val="008811BB"/>
    <w:rsid w:val="00884C48"/>
    <w:rsid w:val="0089747C"/>
    <w:rsid w:val="008974F2"/>
    <w:rsid w:val="008A2903"/>
    <w:rsid w:val="008B7379"/>
    <w:rsid w:val="008C448E"/>
    <w:rsid w:val="008C4798"/>
    <w:rsid w:val="008D3FFB"/>
    <w:rsid w:val="008D43F8"/>
    <w:rsid w:val="008E268A"/>
    <w:rsid w:val="008E3451"/>
    <w:rsid w:val="008E53FF"/>
    <w:rsid w:val="00904A9B"/>
    <w:rsid w:val="00905884"/>
    <w:rsid w:val="00920D6C"/>
    <w:rsid w:val="009276D5"/>
    <w:rsid w:val="00942D58"/>
    <w:rsid w:val="00942FDE"/>
    <w:rsid w:val="00952863"/>
    <w:rsid w:val="009528FA"/>
    <w:rsid w:val="0096166D"/>
    <w:rsid w:val="00966386"/>
    <w:rsid w:val="00986C7E"/>
    <w:rsid w:val="009911B9"/>
    <w:rsid w:val="009924D4"/>
    <w:rsid w:val="009961B0"/>
    <w:rsid w:val="009963BC"/>
    <w:rsid w:val="009A6C00"/>
    <w:rsid w:val="009B644A"/>
    <w:rsid w:val="009B67C7"/>
    <w:rsid w:val="009C3D9F"/>
    <w:rsid w:val="009C60E6"/>
    <w:rsid w:val="009D5E30"/>
    <w:rsid w:val="009D64B0"/>
    <w:rsid w:val="009D78FE"/>
    <w:rsid w:val="009E0DF2"/>
    <w:rsid w:val="009E2765"/>
    <w:rsid w:val="009E2C4C"/>
    <w:rsid w:val="009E509B"/>
    <w:rsid w:val="009E5F55"/>
    <w:rsid w:val="009F48CE"/>
    <w:rsid w:val="009F5431"/>
    <w:rsid w:val="009F5C57"/>
    <w:rsid w:val="00A079C6"/>
    <w:rsid w:val="00A11791"/>
    <w:rsid w:val="00A15437"/>
    <w:rsid w:val="00A207B9"/>
    <w:rsid w:val="00A317A2"/>
    <w:rsid w:val="00A31C07"/>
    <w:rsid w:val="00A31E32"/>
    <w:rsid w:val="00A35D90"/>
    <w:rsid w:val="00A37ECC"/>
    <w:rsid w:val="00A41DC7"/>
    <w:rsid w:val="00A4364F"/>
    <w:rsid w:val="00A5424F"/>
    <w:rsid w:val="00A54EBE"/>
    <w:rsid w:val="00A56CB5"/>
    <w:rsid w:val="00A64717"/>
    <w:rsid w:val="00A748C9"/>
    <w:rsid w:val="00A77398"/>
    <w:rsid w:val="00A80C51"/>
    <w:rsid w:val="00A81EDF"/>
    <w:rsid w:val="00A83A62"/>
    <w:rsid w:val="00A929CC"/>
    <w:rsid w:val="00A9536F"/>
    <w:rsid w:val="00A95495"/>
    <w:rsid w:val="00A955F2"/>
    <w:rsid w:val="00AA0FBE"/>
    <w:rsid w:val="00AA4479"/>
    <w:rsid w:val="00AA48D1"/>
    <w:rsid w:val="00AB4DF1"/>
    <w:rsid w:val="00AB7E31"/>
    <w:rsid w:val="00AD2F5B"/>
    <w:rsid w:val="00AD464B"/>
    <w:rsid w:val="00AD7E81"/>
    <w:rsid w:val="00AE0FF5"/>
    <w:rsid w:val="00AE127D"/>
    <w:rsid w:val="00AF12E5"/>
    <w:rsid w:val="00AF7D70"/>
    <w:rsid w:val="00B017FE"/>
    <w:rsid w:val="00B05D04"/>
    <w:rsid w:val="00B10D80"/>
    <w:rsid w:val="00B17E63"/>
    <w:rsid w:val="00B17F7F"/>
    <w:rsid w:val="00B20869"/>
    <w:rsid w:val="00B211ED"/>
    <w:rsid w:val="00B319D0"/>
    <w:rsid w:val="00B33B3B"/>
    <w:rsid w:val="00B52B37"/>
    <w:rsid w:val="00B5387E"/>
    <w:rsid w:val="00B548FD"/>
    <w:rsid w:val="00B556FB"/>
    <w:rsid w:val="00B56361"/>
    <w:rsid w:val="00B61746"/>
    <w:rsid w:val="00B62005"/>
    <w:rsid w:val="00B67934"/>
    <w:rsid w:val="00B76FFB"/>
    <w:rsid w:val="00B7795B"/>
    <w:rsid w:val="00B77961"/>
    <w:rsid w:val="00B803FE"/>
    <w:rsid w:val="00B84C74"/>
    <w:rsid w:val="00B94CF1"/>
    <w:rsid w:val="00BA2379"/>
    <w:rsid w:val="00BA6F13"/>
    <w:rsid w:val="00BB3A8E"/>
    <w:rsid w:val="00BB7111"/>
    <w:rsid w:val="00BC0690"/>
    <w:rsid w:val="00BC4D83"/>
    <w:rsid w:val="00BC6D1F"/>
    <w:rsid w:val="00BD1CD3"/>
    <w:rsid w:val="00BE0F5B"/>
    <w:rsid w:val="00BE242C"/>
    <w:rsid w:val="00BF2DE4"/>
    <w:rsid w:val="00BF4E4B"/>
    <w:rsid w:val="00BF64D1"/>
    <w:rsid w:val="00BF7045"/>
    <w:rsid w:val="00C03881"/>
    <w:rsid w:val="00C03EC3"/>
    <w:rsid w:val="00C04735"/>
    <w:rsid w:val="00C051BA"/>
    <w:rsid w:val="00C052AB"/>
    <w:rsid w:val="00C114D9"/>
    <w:rsid w:val="00C115C2"/>
    <w:rsid w:val="00C12A33"/>
    <w:rsid w:val="00C20A8B"/>
    <w:rsid w:val="00C234FA"/>
    <w:rsid w:val="00C3045B"/>
    <w:rsid w:val="00C31DD3"/>
    <w:rsid w:val="00C3405B"/>
    <w:rsid w:val="00C40C7E"/>
    <w:rsid w:val="00C510B7"/>
    <w:rsid w:val="00C54574"/>
    <w:rsid w:val="00C67F26"/>
    <w:rsid w:val="00C72985"/>
    <w:rsid w:val="00C73607"/>
    <w:rsid w:val="00C7749B"/>
    <w:rsid w:val="00C82DE7"/>
    <w:rsid w:val="00C90F87"/>
    <w:rsid w:val="00C91EA9"/>
    <w:rsid w:val="00C96C92"/>
    <w:rsid w:val="00CB10A1"/>
    <w:rsid w:val="00CB1671"/>
    <w:rsid w:val="00CB3128"/>
    <w:rsid w:val="00CB582D"/>
    <w:rsid w:val="00CB63FC"/>
    <w:rsid w:val="00CB78F3"/>
    <w:rsid w:val="00CC1E96"/>
    <w:rsid w:val="00CC7527"/>
    <w:rsid w:val="00CD55B3"/>
    <w:rsid w:val="00CD60E2"/>
    <w:rsid w:val="00CF37DE"/>
    <w:rsid w:val="00CF45D0"/>
    <w:rsid w:val="00CF4883"/>
    <w:rsid w:val="00CF6FCC"/>
    <w:rsid w:val="00D06972"/>
    <w:rsid w:val="00D21461"/>
    <w:rsid w:val="00D22BE5"/>
    <w:rsid w:val="00D30B85"/>
    <w:rsid w:val="00D37A63"/>
    <w:rsid w:val="00D40D3E"/>
    <w:rsid w:val="00D44310"/>
    <w:rsid w:val="00D44B33"/>
    <w:rsid w:val="00D556A1"/>
    <w:rsid w:val="00D563C2"/>
    <w:rsid w:val="00D57164"/>
    <w:rsid w:val="00D57281"/>
    <w:rsid w:val="00D5796B"/>
    <w:rsid w:val="00D65967"/>
    <w:rsid w:val="00D732AF"/>
    <w:rsid w:val="00D777F1"/>
    <w:rsid w:val="00D8185B"/>
    <w:rsid w:val="00D8194A"/>
    <w:rsid w:val="00D82F3E"/>
    <w:rsid w:val="00D969A3"/>
    <w:rsid w:val="00DA584A"/>
    <w:rsid w:val="00DB6895"/>
    <w:rsid w:val="00DC7AB8"/>
    <w:rsid w:val="00DD525D"/>
    <w:rsid w:val="00DD5508"/>
    <w:rsid w:val="00DE0E0D"/>
    <w:rsid w:val="00DE5E63"/>
    <w:rsid w:val="00DE675A"/>
    <w:rsid w:val="00E1452E"/>
    <w:rsid w:val="00E375E1"/>
    <w:rsid w:val="00E40A3B"/>
    <w:rsid w:val="00E431DF"/>
    <w:rsid w:val="00E54657"/>
    <w:rsid w:val="00E6697F"/>
    <w:rsid w:val="00E74681"/>
    <w:rsid w:val="00E77CF4"/>
    <w:rsid w:val="00E8042B"/>
    <w:rsid w:val="00E820A0"/>
    <w:rsid w:val="00E9217F"/>
    <w:rsid w:val="00E9496E"/>
    <w:rsid w:val="00E95E2C"/>
    <w:rsid w:val="00E96765"/>
    <w:rsid w:val="00E97D09"/>
    <w:rsid w:val="00EA009B"/>
    <w:rsid w:val="00EA04B7"/>
    <w:rsid w:val="00EA0937"/>
    <w:rsid w:val="00EA7723"/>
    <w:rsid w:val="00EB17F3"/>
    <w:rsid w:val="00EB28CA"/>
    <w:rsid w:val="00EB57D6"/>
    <w:rsid w:val="00EC5445"/>
    <w:rsid w:val="00EE1688"/>
    <w:rsid w:val="00EE23CC"/>
    <w:rsid w:val="00EF36D5"/>
    <w:rsid w:val="00EF3F63"/>
    <w:rsid w:val="00EF3FB6"/>
    <w:rsid w:val="00EF4C13"/>
    <w:rsid w:val="00EF6EEB"/>
    <w:rsid w:val="00F072C2"/>
    <w:rsid w:val="00F1066F"/>
    <w:rsid w:val="00F21207"/>
    <w:rsid w:val="00F5110A"/>
    <w:rsid w:val="00F52FF2"/>
    <w:rsid w:val="00F53FD4"/>
    <w:rsid w:val="00F56BEA"/>
    <w:rsid w:val="00F72D89"/>
    <w:rsid w:val="00F72E78"/>
    <w:rsid w:val="00F74F31"/>
    <w:rsid w:val="00F95FE2"/>
    <w:rsid w:val="00FA0D4F"/>
    <w:rsid w:val="00FA3C12"/>
    <w:rsid w:val="00FB02D1"/>
    <w:rsid w:val="00FB3A1E"/>
    <w:rsid w:val="00FB3C91"/>
    <w:rsid w:val="00FB4DCC"/>
    <w:rsid w:val="00FB6647"/>
    <w:rsid w:val="00FD3F1A"/>
    <w:rsid w:val="00FD442A"/>
    <w:rsid w:val="00FD6406"/>
    <w:rsid w:val="00FE5FE9"/>
    <w:rsid w:val="00FF0F02"/>
    <w:rsid w:val="0159171D"/>
    <w:rsid w:val="019B2AB0"/>
    <w:rsid w:val="01BE7E04"/>
    <w:rsid w:val="02BA7209"/>
    <w:rsid w:val="05720B50"/>
    <w:rsid w:val="066160DF"/>
    <w:rsid w:val="07006839"/>
    <w:rsid w:val="07A27794"/>
    <w:rsid w:val="088A7C42"/>
    <w:rsid w:val="08E867D2"/>
    <w:rsid w:val="09CD219B"/>
    <w:rsid w:val="09ED576F"/>
    <w:rsid w:val="0A697C90"/>
    <w:rsid w:val="0B757FC2"/>
    <w:rsid w:val="0C4A3925"/>
    <w:rsid w:val="0CE02843"/>
    <w:rsid w:val="0D73130E"/>
    <w:rsid w:val="0DC933D3"/>
    <w:rsid w:val="0E5050E3"/>
    <w:rsid w:val="0EF10020"/>
    <w:rsid w:val="0FA20278"/>
    <w:rsid w:val="103365A2"/>
    <w:rsid w:val="1235718D"/>
    <w:rsid w:val="134353E2"/>
    <w:rsid w:val="14532CF4"/>
    <w:rsid w:val="14A30A0D"/>
    <w:rsid w:val="14D507B4"/>
    <w:rsid w:val="1581631A"/>
    <w:rsid w:val="171530A6"/>
    <w:rsid w:val="17240536"/>
    <w:rsid w:val="181E6DC2"/>
    <w:rsid w:val="18BC5E75"/>
    <w:rsid w:val="19872BB1"/>
    <w:rsid w:val="1BD229DF"/>
    <w:rsid w:val="1C8442D5"/>
    <w:rsid w:val="1CB6711D"/>
    <w:rsid w:val="1D2D011C"/>
    <w:rsid w:val="1D5030CD"/>
    <w:rsid w:val="1DF64F92"/>
    <w:rsid w:val="1EB33096"/>
    <w:rsid w:val="1F125588"/>
    <w:rsid w:val="1FD746B4"/>
    <w:rsid w:val="1FFA0A33"/>
    <w:rsid w:val="216750D4"/>
    <w:rsid w:val="22215FFE"/>
    <w:rsid w:val="229D06EB"/>
    <w:rsid w:val="23F2736C"/>
    <w:rsid w:val="24170DE9"/>
    <w:rsid w:val="245B3C6C"/>
    <w:rsid w:val="24BC5391"/>
    <w:rsid w:val="25ED5C53"/>
    <w:rsid w:val="26AB284E"/>
    <w:rsid w:val="2759268D"/>
    <w:rsid w:val="28405298"/>
    <w:rsid w:val="2858552C"/>
    <w:rsid w:val="29180B23"/>
    <w:rsid w:val="293875DD"/>
    <w:rsid w:val="2AC673D9"/>
    <w:rsid w:val="2B5200F4"/>
    <w:rsid w:val="2B595843"/>
    <w:rsid w:val="2B9607F3"/>
    <w:rsid w:val="2FCE2661"/>
    <w:rsid w:val="3009279B"/>
    <w:rsid w:val="3016129A"/>
    <w:rsid w:val="30575C2A"/>
    <w:rsid w:val="30927F24"/>
    <w:rsid w:val="31837B40"/>
    <w:rsid w:val="32C30E99"/>
    <w:rsid w:val="34CC20D1"/>
    <w:rsid w:val="34CC448A"/>
    <w:rsid w:val="35A335AF"/>
    <w:rsid w:val="36F200F5"/>
    <w:rsid w:val="372A1C1E"/>
    <w:rsid w:val="37B14D14"/>
    <w:rsid w:val="37F374E2"/>
    <w:rsid w:val="39B66635"/>
    <w:rsid w:val="3A0F3DDA"/>
    <w:rsid w:val="3A427622"/>
    <w:rsid w:val="3B144808"/>
    <w:rsid w:val="3CFC24D2"/>
    <w:rsid w:val="3D7A40E7"/>
    <w:rsid w:val="3D8A31BF"/>
    <w:rsid w:val="3DED4BB2"/>
    <w:rsid w:val="3EFE103D"/>
    <w:rsid w:val="3F1A59B0"/>
    <w:rsid w:val="40681A97"/>
    <w:rsid w:val="426C6E6B"/>
    <w:rsid w:val="43DF556F"/>
    <w:rsid w:val="443371FD"/>
    <w:rsid w:val="44370CE1"/>
    <w:rsid w:val="444759E7"/>
    <w:rsid w:val="449664F9"/>
    <w:rsid w:val="44CA4BFA"/>
    <w:rsid w:val="45450B59"/>
    <w:rsid w:val="46A77952"/>
    <w:rsid w:val="471B6F96"/>
    <w:rsid w:val="473E5768"/>
    <w:rsid w:val="489825BA"/>
    <w:rsid w:val="495002D0"/>
    <w:rsid w:val="496538B5"/>
    <w:rsid w:val="4B834C3D"/>
    <w:rsid w:val="4B8D6ED7"/>
    <w:rsid w:val="4DD02869"/>
    <w:rsid w:val="50083E4F"/>
    <w:rsid w:val="505B587D"/>
    <w:rsid w:val="52414DA9"/>
    <w:rsid w:val="52AF21BF"/>
    <w:rsid w:val="53C428C9"/>
    <w:rsid w:val="5493568A"/>
    <w:rsid w:val="568E01E7"/>
    <w:rsid w:val="58047D08"/>
    <w:rsid w:val="587C29ED"/>
    <w:rsid w:val="593F0712"/>
    <w:rsid w:val="599B50F5"/>
    <w:rsid w:val="59D3057C"/>
    <w:rsid w:val="5A3D7F5A"/>
    <w:rsid w:val="5AAC4145"/>
    <w:rsid w:val="5B6006A1"/>
    <w:rsid w:val="5C2053DD"/>
    <w:rsid w:val="5C58107B"/>
    <w:rsid w:val="5D373670"/>
    <w:rsid w:val="5D841F7C"/>
    <w:rsid w:val="5DA907BA"/>
    <w:rsid w:val="5DB838A6"/>
    <w:rsid w:val="5E1A5E4E"/>
    <w:rsid w:val="5EBB0FE7"/>
    <w:rsid w:val="5F2F6E7B"/>
    <w:rsid w:val="607E3FA8"/>
    <w:rsid w:val="60F375C4"/>
    <w:rsid w:val="612B4B75"/>
    <w:rsid w:val="615E1CD0"/>
    <w:rsid w:val="62A02B74"/>
    <w:rsid w:val="62AE6F6A"/>
    <w:rsid w:val="63337CB8"/>
    <w:rsid w:val="63764086"/>
    <w:rsid w:val="63B96957"/>
    <w:rsid w:val="6535300E"/>
    <w:rsid w:val="665B5226"/>
    <w:rsid w:val="670C2149"/>
    <w:rsid w:val="677E1BB2"/>
    <w:rsid w:val="6AC218A7"/>
    <w:rsid w:val="6B8262CB"/>
    <w:rsid w:val="6C354F35"/>
    <w:rsid w:val="6C6042BE"/>
    <w:rsid w:val="6CAD70A2"/>
    <w:rsid w:val="6DEE26BE"/>
    <w:rsid w:val="6F4B7742"/>
    <w:rsid w:val="6FA86B63"/>
    <w:rsid w:val="6FB15E07"/>
    <w:rsid w:val="6FFB4EB1"/>
    <w:rsid w:val="7056388A"/>
    <w:rsid w:val="72440259"/>
    <w:rsid w:val="73BF6C94"/>
    <w:rsid w:val="73F43927"/>
    <w:rsid w:val="75457F23"/>
    <w:rsid w:val="7549537B"/>
    <w:rsid w:val="76FF2D0F"/>
    <w:rsid w:val="7AC0768D"/>
    <w:rsid w:val="7AC405B4"/>
    <w:rsid w:val="7B4A03D4"/>
    <w:rsid w:val="7C4A6970"/>
    <w:rsid w:val="7C5E2712"/>
    <w:rsid w:val="7C6E55B1"/>
    <w:rsid w:val="7EA07D2B"/>
    <w:rsid w:val="7F0469D7"/>
    <w:rsid w:val="7F580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7"/>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48"/>
    <w:autoRedefine/>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49"/>
    <w:autoRedefine/>
    <w:qFormat/>
    <w:uiPriority w:val="0"/>
    <w:pPr>
      <w:keepNext/>
      <w:keepLines/>
      <w:spacing w:line="600" w:lineRule="exact"/>
      <w:ind w:firstLine="643" w:firstLineChars="200"/>
      <w:outlineLvl w:val="2"/>
    </w:pPr>
    <w:rPr>
      <w:b/>
      <w:bCs/>
      <w:sz w:val="32"/>
      <w:szCs w:val="32"/>
    </w:rPr>
  </w:style>
  <w:style w:type="paragraph" w:styleId="6">
    <w:name w:val="heading 4"/>
    <w:basedOn w:val="1"/>
    <w:next w:val="1"/>
    <w:link w:val="50"/>
    <w:autoRedefine/>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7">
    <w:name w:val="heading 5"/>
    <w:basedOn w:val="1"/>
    <w:next w:val="8"/>
    <w:link w:val="51"/>
    <w:autoRedefine/>
    <w:qFormat/>
    <w:uiPriority w:val="0"/>
    <w:pPr>
      <w:keepNext/>
      <w:keepLines/>
      <w:spacing w:before="280" w:after="290" w:line="376" w:lineRule="auto"/>
      <w:outlineLvl w:val="4"/>
    </w:pPr>
    <w:rPr>
      <w:b/>
      <w:bCs/>
      <w:sz w:val="28"/>
      <w:szCs w:val="28"/>
    </w:rPr>
  </w:style>
  <w:style w:type="paragraph" w:styleId="9">
    <w:name w:val="heading 6"/>
    <w:basedOn w:val="1"/>
    <w:next w:val="1"/>
    <w:autoRedefine/>
    <w:qFormat/>
    <w:uiPriority w:val="0"/>
    <w:pPr>
      <w:keepNext/>
      <w:keepLines/>
      <w:spacing w:before="240" w:after="64" w:line="317" w:lineRule="auto"/>
      <w:outlineLvl w:val="5"/>
    </w:pPr>
    <w:rPr>
      <w:rFonts w:ascii="Cambria" w:hAnsi="Cambria"/>
      <w:b/>
      <w:bCs/>
      <w:sz w:val="24"/>
    </w:rPr>
  </w:style>
  <w:style w:type="character" w:default="1" w:styleId="40">
    <w:name w:val="Default Paragraph Font"/>
    <w:autoRedefine/>
    <w:semiHidden/>
    <w:qFormat/>
    <w:uiPriority w:val="0"/>
  </w:style>
  <w:style w:type="table" w:default="1" w:styleId="38">
    <w:name w:val="Normal Table"/>
    <w:autoRedefine/>
    <w:semiHidden/>
    <w:qFormat/>
    <w:uiPriority w:val="0"/>
    <w:tblPr>
      <w:tblCellMar>
        <w:top w:w="0" w:type="dxa"/>
        <w:left w:w="108" w:type="dxa"/>
        <w:bottom w:w="0" w:type="dxa"/>
        <w:right w:w="108" w:type="dxa"/>
      </w:tblCellMar>
    </w:tblPr>
  </w:style>
  <w:style w:type="paragraph" w:styleId="2">
    <w:name w:val="Body Text"/>
    <w:basedOn w:val="1"/>
    <w:link w:val="55"/>
    <w:autoRedefine/>
    <w:qFormat/>
    <w:uiPriority w:val="99"/>
    <w:pPr>
      <w:spacing w:after="120"/>
    </w:pPr>
  </w:style>
  <w:style w:type="paragraph" w:styleId="8">
    <w:name w:val="Normal Indent"/>
    <w:basedOn w:val="1"/>
    <w:autoRedefine/>
    <w:qFormat/>
    <w:uiPriority w:val="0"/>
    <w:pPr>
      <w:ind w:firstLine="420"/>
    </w:pPr>
    <w:rPr>
      <w:szCs w:val="20"/>
    </w:rPr>
  </w:style>
  <w:style w:type="paragraph" w:styleId="10">
    <w:name w:val="toc 7"/>
    <w:basedOn w:val="1"/>
    <w:next w:val="1"/>
    <w:autoRedefine/>
    <w:qFormat/>
    <w:uiPriority w:val="0"/>
    <w:pPr>
      <w:jc w:val="left"/>
    </w:pPr>
    <w:rPr>
      <w:rFonts w:ascii="Calibri" w:hAnsi="Calibri"/>
      <w:sz w:val="22"/>
      <w:szCs w:val="22"/>
    </w:rPr>
  </w:style>
  <w:style w:type="paragraph" w:styleId="11">
    <w:name w:val="index 8"/>
    <w:basedOn w:val="1"/>
    <w:next w:val="1"/>
    <w:autoRedefine/>
    <w:qFormat/>
    <w:uiPriority w:val="0"/>
    <w:pPr>
      <w:ind w:left="2940"/>
    </w:pPr>
  </w:style>
  <w:style w:type="paragraph" w:styleId="12">
    <w:name w:val="caption"/>
    <w:basedOn w:val="1"/>
    <w:next w:val="1"/>
    <w:autoRedefine/>
    <w:qFormat/>
    <w:uiPriority w:val="0"/>
    <w:pPr>
      <w:spacing w:before="152" w:after="160"/>
    </w:pPr>
    <w:rPr>
      <w:rFonts w:ascii="Arial" w:hAnsi="Arial" w:eastAsia="黑体" w:cs="Arial"/>
      <w:sz w:val="20"/>
      <w:szCs w:val="20"/>
    </w:rPr>
  </w:style>
  <w:style w:type="paragraph" w:styleId="13">
    <w:name w:val="Document Map"/>
    <w:basedOn w:val="1"/>
    <w:link w:val="52"/>
    <w:autoRedefine/>
    <w:qFormat/>
    <w:uiPriority w:val="0"/>
    <w:rPr>
      <w:rFonts w:ascii="宋体"/>
      <w:sz w:val="18"/>
      <w:szCs w:val="18"/>
    </w:rPr>
  </w:style>
  <w:style w:type="paragraph" w:styleId="14">
    <w:name w:val="toa heading"/>
    <w:basedOn w:val="1"/>
    <w:next w:val="1"/>
    <w:autoRedefine/>
    <w:unhideWhenUsed/>
    <w:qFormat/>
    <w:uiPriority w:val="99"/>
    <w:pPr>
      <w:spacing w:before="120"/>
    </w:pPr>
    <w:rPr>
      <w:rFonts w:ascii="Arial" w:hAnsi="Arial" w:cs="Arial"/>
      <w:sz w:val="24"/>
    </w:rPr>
  </w:style>
  <w:style w:type="paragraph" w:styleId="15">
    <w:name w:val="annotation text"/>
    <w:basedOn w:val="1"/>
    <w:link w:val="53"/>
    <w:autoRedefine/>
    <w:qFormat/>
    <w:uiPriority w:val="99"/>
    <w:pPr>
      <w:jc w:val="left"/>
    </w:pPr>
  </w:style>
  <w:style w:type="paragraph" w:styleId="16">
    <w:name w:val="Body Text 3"/>
    <w:basedOn w:val="1"/>
    <w:link w:val="54"/>
    <w:autoRedefine/>
    <w:qFormat/>
    <w:uiPriority w:val="99"/>
    <w:pPr>
      <w:spacing w:after="120"/>
    </w:pPr>
    <w:rPr>
      <w:sz w:val="16"/>
      <w:szCs w:val="16"/>
    </w:rPr>
  </w:style>
  <w:style w:type="paragraph" w:styleId="17">
    <w:name w:val="Body Text Indent"/>
    <w:basedOn w:val="1"/>
    <w:next w:val="18"/>
    <w:link w:val="46"/>
    <w:autoRedefine/>
    <w:qFormat/>
    <w:uiPriority w:val="0"/>
    <w:pPr>
      <w:spacing w:line="200" w:lineRule="exact"/>
      <w:ind w:firstLine="301"/>
    </w:pPr>
    <w:rPr>
      <w:rFonts w:ascii="宋体" w:hAnsi="Courier New"/>
      <w:spacing w:val="-4"/>
      <w:sz w:val="18"/>
      <w:szCs w:val="20"/>
    </w:rPr>
  </w:style>
  <w:style w:type="paragraph" w:styleId="18">
    <w:name w:val="annotation subject"/>
    <w:basedOn w:val="15"/>
    <w:next w:val="1"/>
    <w:link w:val="62"/>
    <w:autoRedefine/>
    <w:qFormat/>
    <w:uiPriority w:val="99"/>
    <w:rPr>
      <w:b/>
      <w:bCs/>
    </w:rPr>
  </w:style>
  <w:style w:type="paragraph" w:styleId="19">
    <w:name w:val="toc 5"/>
    <w:basedOn w:val="1"/>
    <w:next w:val="1"/>
    <w:autoRedefine/>
    <w:qFormat/>
    <w:uiPriority w:val="0"/>
    <w:pPr>
      <w:jc w:val="left"/>
    </w:pPr>
    <w:rPr>
      <w:rFonts w:ascii="Calibri" w:hAnsi="Calibri"/>
      <w:sz w:val="22"/>
      <w:szCs w:val="22"/>
    </w:rPr>
  </w:style>
  <w:style w:type="paragraph" w:styleId="20">
    <w:name w:val="toc 3"/>
    <w:basedOn w:val="1"/>
    <w:next w:val="1"/>
    <w:autoRedefine/>
    <w:qFormat/>
    <w:uiPriority w:val="0"/>
    <w:pPr>
      <w:jc w:val="left"/>
    </w:pPr>
    <w:rPr>
      <w:rFonts w:ascii="Calibri" w:hAnsi="Calibri"/>
      <w:smallCaps/>
      <w:sz w:val="22"/>
      <w:szCs w:val="22"/>
    </w:rPr>
  </w:style>
  <w:style w:type="paragraph" w:styleId="21">
    <w:name w:val="Plain Text"/>
    <w:basedOn w:val="1"/>
    <w:next w:val="6"/>
    <w:link w:val="56"/>
    <w:autoRedefine/>
    <w:qFormat/>
    <w:uiPriority w:val="0"/>
    <w:rPr>
      <w:rFonts w:ascii="宋体" w:hAnsi="Courier New"/>
      <w:szCs w:val="20"/>
    </w:rPr>
  </w:style>
  <w:style w:type="paragraph" w:styleId="22">
    <w:name w:val="toc 8"/>
    <w:basedOn w:val="1"/>
    <w:next w:val="1"/>
    <w:autoRedefine/>
    <w:qFormat/>
    <w:uiPriority w:val="0"/>
    <w:pPr>
      <w:jc w:val="left"/>
    </w:pPr>
    <w:rPr>
      <w:rFonts w:ascii="Calibri" w:hAnsi="Calibri"/>
      <w:sz w:val="22"/>
      <w:szCs w:val="22"/>
    </w:rPr>
  </w:style>
  <w:style w:type="paragraph" w:styleId="23">
    <w:name w:val="Date"/>
    <w:basedOn w:val="1"/>
    <w:next w:val="1"/>
    <w:link w:val="57"/>
    <w:autoRedefine/>
    <w:qFormat/>
    <w:uiPriority w:val="99"/>
    <w:pPr>
      <w:ind w:left="100" w:leftChars="2500"/>
    </w:pPr>
  </w:style>
  <w:style w:type="paragraph" w:styleId="24">
    <w:name w:val="Body Text Indent 2"/>
    <w:basedOn w:val="1"/>
    <w:link w:val="58"/>
    <w:autoRedefine/>
    <w:qFormat/>
    <w:uiPriority w:val="0"/>
    <w:pPr>
      <w:spacing w:after="120" w:line="480" w:lineRule="auto"/>
      <w:ind w:left="420" w:leftChars="200"/>
    </w:pPr>
  </w:style>
  <w:style w:type="paragraph" w:styleId="25">
    <w:name w:val="Balloon Text"/>
    <w:basedOn w:val="1"/>
    <w:link w:val="59"/>
    <w:autoRedefine/>
    <w:qFormat/>
    <w:uiPriority w:val="99"/>
    <w:rPr>
      <w:sz w:val="18"/>
      <w:szCs w:val="18"/>
    </w:rPr>
  </w:style>
  <w:style w:type="paragraph" w:styleId="26">
    <w:name w:val="footer"/>
    <w:basedOn w:val="1"/>
    <w:next w:val="1"/>
    <w:link w:val="60"/>
    <w:autoRedefine/>
    <w:qFormat/>
    <w:uiPriority w:val="99"/>
    <w:pPr>
      <w:tabs>
        <w:tab w:val="center" w:pos="4153"/>
        <w:tab w:val="right" w:pos="8306"/>
      </w:tabs>
      <w:snapToGrid w:val="0"/>
      <w:jc w:val="left"/>
    </w:pPr>
    <w:rPr>
      <w:sz w:val="18"/>
      <w:szCs w:val="18"/>
    </w:rPr>
  </w:style>
  <w:style w:type="paragraph" w:styleId="27">
    <w:name w:val="envelope return"/>
    <w:basedOn w:val="1"/>
    <w:autoRedefine/>
    <w:unhideWhenUsed/>
    <w:qFormat/>
    <w:uiPriority w:val="0"/>
    <w:pPr>
      <w:snapToGrid w:val="0"/>
    </w:pPr>
    <w:rPr>
      <w:rFonts w:ascii="Arial" w:hAnsi="Arial"/>
    </w:rPr>
  </w:style>
  <w:style w:type="paragraph" w:styleId="28">
    <w:name w:val="header"/>
    <w:basedOn w:val="1"/>
    <w:link w:val="61"/>
    <w:autoRedefine/>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0"/>
    <w:pPr>
      <w:spacing w:before="360" w:after="360"/>
      <w:jc w:val="left"/>
    </w:pPr>
    <w:rPr>
      <w:rFonts w:ascii="Calibri" w:hAnsi="Calibri"/>
      <w:b/>
      <w:bCs/>
      <w:caps/>
      <w:sz w:val="22"/>
      <w:szCs w:val="22"/>
      <w:u w:val="single"/>
    </w:rPr>
  </w:style>
  <w:style w:type="paragraph" w:styleId="30">
    <w:name w:val="toc 4"/>
    <w:basedOn w:val="1"/>
    <w:next w:val="1"/>
    <w:autoRedefine/>
    <w:qFormat/>
    <w:uiPriority w:val="0"/>
    <w:pPr>
      <w:jc w:val="left"/>
    </w:pPr>
    <w:rPr>
      <w:rFonts w:ascii="Calibri" w:hAnsi="Calibri"/>
      <w:sz w:val="22"/>
      <w:szCs w:val="22"/>
    </w:rPr>
  </w:style>
  <w:style w:type="paragraph" w:styleId="31">
    <w:name w:val="List"/>
    <w:basedOn w:val="1"/>
    <w:autoRedefine/>
    <w:qFormat/>
    <w:uiPriority w:val="0"/>
    <w:pPr>
      <w:ind w:left="200" w:hanging="200" w:hangingChars="200"/>
    </w:pPr>
    <w:rPr>
      <w:sz w:val="28"/>
    </w:rPr>
  </w:style>
  <w:style w:type="paragraph" w:styleId="32">
    <w:name w:val="toc 6"/>
    <w:basedOn w:val="1"/>
    <w:next w:val="1"/>
    <w:autoRedefine/>
    <w:qFormat/>
    <w:uiPriority w:val="0"/>
    <w:pPr>
      <w:jc w:val="left"/>
    </w:pPr>
    <w:rPr>
      <w:rFonts w:ascii="Calibri" w:hAnsi="Calibri"/>
      <w:sz w:val="22"/>
      <w:szCs w:val="22"/>
    </w:rPr>
  </w:style>
  <w:style w:type="paragraph" w:styleId="33">
    <w:name w:val="toc 2"/>
    <w:basedOn w:val="1"/>
    <w:next w:val="1"/>
    <w:autoRedefine/>
    <w:qFormat/>
    <w:uiPriority w:val="0"/>
    <w:pPr>
      <w:jc w:val="left"/>
    </w:pPr>
    <w:rPr>
      <w:rFonts w:ascii="Calibri" w:hAnsi="Calibri"/>
      <w:b/>
      <w:bCs/>
      <w:smallCaps/>
      <w:sz w:val="22"/>
      <w:szCs w:val="22"/>
    </w:rPr>
  </w:style>
  <w:style w:type="paragraph" w:styleId="34">
    <w:name w:val="toc 9"/>
    <w:basedOn w:val="1"/>
    <w:next w:val="1"/>
    <w:autoRedefine/>
    <w:qFormat/>
    <w:uiPriority w:val="0"/>
    <w:pPr>
      <w:jc w:val="left"/>
    </w:pPr>
    <w:rPr>
      <w:rFonts w:ascii="Calibri" w:hAnsi="Calibri"/>
      <w:sz w:val="22"/>
      <w:szCs w:val="22"/>
    </w:rPr>
  </w:style>
  <w:style w:type="paragraph" w:styleId="35">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36">
    <w:name w:val="Title"/>
    <w:basedOn w:val="1"/>
    <w:next w:val="1"/>
    <w:autoRedefine/>
    <w:qFormat/>
    <w:uiPriority w:val="0"/>
    <w:pPr>
      <w:spacing w:before="240" w:after="60"/>
      <w:jc w:val="center"/>
      <w:outlineLvl w:val="0"/>
    </w:pPr>
    <w:rPr>
      <w:rFonts w:ascii="Cambria" w:hAnsi="Cambria"/>
      <w:b/>
      <w:bCs/>
      <w:sz w:val="32"/>
      <w:szCs w:val="32"/>
    </w:rPr>
  </w:style>
  <w:style w:type="paragraph" w:styleId="37">
    <w:name w:val="Body Text First Indent 2"/>
    <w:basedOn w:val="17"/>
    <w:link w:val="131"/>
    <w:autoRedefine/>
    <w:unhideWhenUsed/>
    <w:qFormat/>
    <w:uiPriority w:val="99"/>
    <w:pPr>
      <w:spacing w:after="120"/>
      <w:ind w:left="420" w:leftChars="200" w:firstLine="420" w:firstLineChars="200"/>
    </w:pPr>
    <w:rPr>
      <w:rFonts w:ascii="Times New Roman"/>
      <w:sz w:val="21"/>
      <w:szCs w:val="24"/>
    </w:rPr>
  </w:style>
  <w:style w:type="table" w:styleId="39">
    <w:name w:val="Table Grid"/>
    <w:basedOn w:val="3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autoRedefine/>
    <w:qFormat/>
    <w:uiPriority w:val="0"/>
    <w:rPr>
      <w:b/>
    </w:rPr>
  </w:style>
  <w:style w:type="character" w:styleId="42">
    <w:name w:val="page number"/>
    <w:autoRedefine/>
    <w:qFormat/>
    <w:uiPriority w:val="0"/>
  </w:style>
  <w:style w:type="character" w:styleId="43">
    <w:name w:val="FollowedHyperlink"/>
    <w:autoRedefine/>
    <w:qFormat/>
    <w:uiPriority w:val="0"/>
    <w:rPr>
      <w:color w:val="800080"/>
      <w:u w:val="single"/>
    </w:rPr>
  </w:style>
  <w:style w:type="character" w:styleId="44">
    <w:name w:val="Hyperlink"/>
    <w:autoRedefine/>
    <w:qFormat/>
    <w:uiPriority w:val="0"/>
    <w:rPr>
      <w:color w:val="0000FF"/>
      <w:u w:val="single"/>
    </w:rPr>
  </w:style>
  <w:style w:type="character" w:styleId="45">
    <w:name w:val="annotation reference"/>
    <w:autoRedefine/>
    <w:qFormat/>
    <w:uiPriority w:val="99"/>
    <w:rPr>
      <w:sz w:val="21"/>
      <w:szCs w:val="21"/>
    </w:rPr>
  </w:style>
  <w:style w:type="character" w:customStyle="1" w:styleId="46">
    <w:name w:val="正文文本缩进 字符1"/>
    <w:link w:val="17"/>
    <w:autoRedefine/>
    <w:qFormat/>
    <w:uiPriority w:val="0"/>
    <w:rPr>
      <w:rFonts w:ascii="宋体" w:hAnsi="Courier New" w:eastAsia="宋体"/>
      <w:spacing w:val="-4"/>
      <w:kern w:val="2"/>
      <w:sz w:val="18"/>
      <w:lang w:val="en-US" w:eastAsia="zh-CN" w:bidi="ar-SA"/>
    </w:rPr>
  </w:style>
  <w:style w:type="character" w:customStyle="1" w:styleId="47">
    <w:name w:val="标题 1 字符1"/>
    <w:link w:val="3"/>
    <w:autoRedefine/>
    <w:qFormat/>
    <w:uiPriority w:val="0"/>
    <w:rPr>
      <w:b/>
      <w:bCs/>
      <w:kern w:val="44"/>
      <w:sz w:val="44"/>
      <w:szCs w:val="44"/>
    </w:rPr>
  </w:style>
  <w:style w:type="character" w:customStyle="1" w:styleId="48">
    <w:name w:val="标题 2 字符1"/>
    <w:link w:val="4"/>
    <w:autoRedefine/>
    <w:qFormat/>
    <w:uiPriority w:val="0"/>
    <w:rPr>
      <w:rFonts w:ascii="Arial" w:hAnsi="Arial" w:eastAsia="黑体"/>
      <w:b/>
      <w:bCs/>
      <w:kern w:val="2"/>
      <w:sz w:val="32"/>
      <w:szCs w:val="32"/>
    </w:rPr>
  </w:style>
  <w:style w:type="character" w:customStyle="1" w:styleId="49">
    <w:name w:val="标题 3 字符1"/>
    <w:link w:val="5"/>
    <w:autoRedefine/>
    <w:qFormat/>
    <w:uiPriority w:val="0"/>
    <w:rPr>
      <w:b/>
      <w:bCs/>
      <w:kern w:val="2"/>
      <w:sz w:val="32"/>
      <w:szCs w:val="32"/>
    </w:rPr>
  </w:style>
  <w:style w:type="character" w:customStyle="1" w:styleId="50">
    <w:name w:val="标题 4 字符1"/>
    <w:link w:val="6"/>
    <w:autoRedefine/>
    <w:qFormat/>
    <w:uiPriority w:val="0"/>
    <w:rPr>
      <w:rFonts w:ascii="Arial" w:eastAsia="黑体"/>
      <w:sz w:val="28"/>
    </w:rPr>
  </w:style>
  <w:style w:type="character" w:customStyle="1" w:styleId="51">
    <w:name w:val="标题 5 字符1"/>
    <w:link w:val="7"/>
    <w:autoRedefine/>
    <w:qFormat/>
    <w:uiPriority w:val="9"/>
    <w:rPr>
      <w:b/>
      <w:bCs/>
      <w:kern w:val="2"/>
      <w:sz w:val="28"/>
      <w:szCs w:val="28"/>
    </w:rPr>
  </w:style>
  <w:style w:type="character" w:customStyle="1" w:styleId="52">
    <w:name w:val="文档结构图 字符1"/>
    <w:link w:val="13"/>
    <w:autoRedefine/>
    <w:qFormat/>
    <w:uiPriority w:val="0"/>
    <w:rPr>
      <w:rFonts w:ascii="宋体"/>
      <w:kern w:val="2"/>
      <w:sz w:val="18"/>
      <w:szCs w:val="18"/>
    </w:rPr>
  </w:style>
  <w:style w:type="character" w:customStyle="1" w:styleId="53">
    <w:name w:val="批注文字 字符2"/>
    <w:link w:val="15"/>
    <w:autoRedefine/>
    <w:qFormat/>
    <w:uiPriority w:val="0"/>
    <w:rPr>
      <w:kern w:val="2"/>
      <w:sz w:val="21"/>
      <w:szCs w:val="24"/>
    </w:rPr>
  </w:style>
  <w:style w:type="character" w:customStyle="1" w:styleId="54">
    <w:name w:val="正文文本 3 字符1"/>
    <w:link w:val="16"/>
    <w:autoRedefine/>
    <w:qFormat/>
    <w:uiPriority w:val="99"/>
    <w:rPr>
      <w:kern w:val="2"/>
      <w:sz w:val="16"/>
      <w:szCs w:val="16"/>
    </w:rPr>
  </w:style>
  <w:style w:type="character" w:customStyle="1" w:styleId="55">
    <w:name w:val="正文文本 字符1"/>
    <w:link w:val="2"/>
    <w:autoRedefine/>
    <w:qFormat/>
    <w:uiPriority w:val="99"/>
    <w:rPr>
      <w:kern w:val="2"/>
      <w:sz w:val="21"/>
      <w:szCs w:val="24"/>
    </w:rPr>
  </w:style>
  <w:style w:type="character" w:customStyle="1" w:styleId="56">
    <w:name w:val="纯文本 字符3"/>
    <w:link w:val="21"/>
    <w:autoRedefine/>
    <w:qFormat/>
    <w:uiPriority w:val="0"/>
    <w:rPr>
      <w:rFonts w:ascii="宋体" w:hAnsi="Courier New" w:eastAsia="宋体"/>
      <w:kern w:val="2"/>
      <w:sz w:val="21"/>
      <w:lang w:val="en-US" w:eastAsia="zh-CN" w:bidi="ar-SA"/>
    </w:rPr>
  </w:style>
  <w:style w:type="character" w:customStyle="1" w:styleId="57">
    <w:name w:val="日期 字符1"/>
    <w:link w:val="23"/>
    <w:autoRedefine/>
    <w:qFormat/>
    <w:uiPriority w:val="0"/>
    <w:rPr>
      <w:kern w:val="2"/>
      <w:sz w:val="21"/>
      <w:szCs w:val="24"/>
    </w:rPr>
  </w:style>
  <w:style w:type="character" w:customStyle="1" w:styleId="58">
    <w:name w:val="正文文本缩进 2 字符1"/>
    <w:link w:val="24"/>
    <w:autoRedefine/>
    <w:qFormat/>
    <w:uiPriority w:val="0"/>
    <w:rPr>
      <w:kern w:val="2"/>
      <w:sz w:val="21"/>
      <w:szCs w:val="24"/>
    </w:rPr>
  </w:style>
  <w:style w:type="character" w:customStyle="1" w:styleId="59">
    <w:name w:val="批注框文本 字符1"/>
    <w:link w:val="25"/>
    <w:autoRedefine/>
    <w:qFormat/>
    <w:uiPriority w:val="0"/>
    <w:rPr>
      <w:kern w:val="2"/>
      <w:sz w:val="18"/>
      <w:szCs w:val="18"/>
    </w:rPr>
  </w:style>
  <w:style w:type="character" w:customStyle="1" w:styleId="60">
    <w:name w:val="页脚 字符2"/>
    <w:link w:val="26"/>
    <w:autoRedefine/>
    <w:qFormat/>
    <w:uiPriority w:val="99"/>
    <w:rPr>
      <w:kern w:val="2"/>
      <w:sz w:val="18"/>
      <w:szCs w:val="18"/>
    </w:rPr>
  </w:style>
  <w:style w:type="character" w:customStyle="1" w:styleId="61">
    <w:name w:val="页眉 字符2"/>
    <w:link w:val="28"/>
    <w:autoRedefine/>
    <w:qFormat/>
    <w:uiPriority w:val="99"/>
    <w:rPr>
      <w:kern w:val="2"/>
      <w:sz w:val="18"/>
      <w:szCs w:val="18"/>
    </w:rPr>
  </w:style>
  <w:style w:type="character" w:customStyle="1" w:styleId="62">
    <w:name w:val="批注主题 字符1"/>
    <w:link w:val="18"/>
    <w:autoRedefine/>
    <w:qFormat/>
    <w:uiPriority w:val="99"/>
    <w:rPr>
      <w:b/>
      <w:bCs/>
      <w:kern w:val="2"/>
      <w:sz w:val="21"/>
      <w:szCs w:val="24"/>
    </w:rPr>
  </w:style>
  <w:style w:type="paragraph" w:customStyle="1" w:styleId="63">
    <w:name w:val="目录 21"/>
    <w:basedOn w:val="1"/>
    <w:next w:val="1"/>
    <w:autoRedefine/>
    <w:qFormat/>
    <w:uiPriority w:val="0"/>
    <w:pPr>
      <w:adjustRightInd w:val="0"/>
      <w:snapToGrid w:val="0"/>
      <w:spacing w:before="100" w:beforeAutospacing="1" w:after="100" w:afterAutospacing="1"/>
      <w:ind w:left="420" w:leftChars="200"/>
    </w:pPr>
    <w:rPr>
      <w:rFonts w:ascii="Tahoma" w:hAnsi="Tahoma" w:eastAsia="微软雅黑"/>
      <w:sz w:val="22"/>
      <w:szCs w:val="22"/>
    </w:rPr>
  </w:style>
  <w:style w:type="character" w:customStyle="1" w:styleId="64">
    <w:name w:val="Char Char1"/>
    <w:autoRedefine/>
    <w:qFormat/>
    <w:uiPriority w:val="0"/>
    <w:rPr>
      <w:rFonts w:ascii="宋体" w:hAnsi="Courier New" w:eastAsia="宋体"/>
      <w:kern w:val="2"/>
      <w:sz w:val="21"/>
      <w:lang w:val="en-US" w:eastAsia="zh-CN" w:bidi="ar-SA"/>
    </w:rPr>
  </w:style>
  <w:style w:type="character" w:customStyle="1" w:styleId="65">
    <w:name w:val="批注文字 字符1"/>
    <w:autoRedefine/>
    <w:qFormat/>
    <w:uiPriority w:val="0"/>
    <w:rPr>
      <w:rFonts w:ascii="Times New Roman" w:hAnsi="Times New Roman"/>
      <w:kern w:val="2"/>
      <w:sz w:val="21"/>
      <w:szCs w:val="24"/>
    </w:rPr>
  </w:style>
  <w:style w:type="character" w:customStyle="1" w:styleId="66">
    <w:name w:val="页脚 字符"/>
    <w:autoRedefine/>
    <w:qFormat/>
    <w:uiPriority w:val="99"/>
    <w:rPr>
      <w:sz w:val="18"/>
      <w:szCs w:val="18"/>
    </w:rPr>
  </w:style>
  <w:style w:type="character" w:customStyle="1" w:styleId="67">
    <w:name w:val="纯文本 字符1"/>
    <w:autoRedefine/>
    <w:semiHidden/>
    <w:qFormat/>
    <w:locked/>
    <w:uiPriority w:val="0"/>
    <w:rPr>
      <w:rFonts w:ascii="宋体" w:hAnsi="Courier New"/>
      <w:kern w:val="2"/>
      <w:sz w:val="21"/>
    </w:rPr>
  </w:style>
  <w:style w:type="character" w:customStyle="1" w:styleId="68">
    <w:name w:val="标题 4 字符"/>
    <w:autoRedefine/>
    <w:qFormat/>
    <w:uiPriority w:val="0"/>
    <w:rPr>
      <w:rFonts w:ascii="Arial" w:eastAsia="黑体"/>
      <w:sz w:val="28"/>
    </w:rPr>
  </w:style>
  <w:style w:type="character" w:customStyle="1" w:styleId="69">
    <w:name w:val="页眉 字符1"/>
    <w:autoRedefine/>
    <w:qFormat/>
    <w:uiPriority w:val="99"/>
    <w:rPr>
      <w:kern w:val="2"/>
      <w:sz w:val="18"/>
      <w:szCs w:val="18"/>
    </w:rPr>
  </w:style>
  <w:style w:type="character" w:customStyle="1" w:styleId="70">
    <w:name w:val="纯文本 字符"/>
    <w:autoRedefine/>
    <w:qFormat/>
    <w:uiPriority w:val="0"/>
    <w:rPr>
      <w:rFonts w:ascii="宋体" w:hAnsi="Courier New"/>
      <w:kern w:val="2"/>
      <w:sz w:val="21"/>
    </w:rPr>
  </w:style>
  <w:style w:type="character" w:customStyle="1" w:styleId="71">
    <w:name w:val="批注框文本 字符"/>
    <w:autoRedefine/>
    <w:qFormat/>
    <w:uiPriority w:val="99"/>
    <w:rPr>
      <w:kern w:val="2"/>
      <w:sz w:val="18"/>
      <w:szCs w:val="18"/>
    </w:rPr>
  </w:style>
  <w:style w:type="character" w:customStyle="1" w:styleId="72">
    <w:name w:val="正文文本 (26) + 间距 0 pt"/>
    <w:autoRedefine/>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73">
    <w:name w:val="批注文字 字符"/>
    <w:autoRedefine/>
    <w:qFormat/>
    <w:uiPriority w:val="99"/>
    <w:rPr>
      <w:kern w:val="2"/>
      <w:sz w:val="21"/>
      <w:szCs w:val="24"/>
    </w:rPr>
  </w:style>
  <w:style w:type="character" w:customStyle="1" w:styleId="74">
    <w:name w:val="正文2 Char Char"/>
    <w:link w:val="75"/>
    <w:autoRedefine/>
    <w:qFormat/>
    <w:uiPriority w:val="0"/>
    <w:rPr>
      <w:kern w:val="2"/>
      <w:sz w:val="24"/>
    </w:rPr>
  </w:style>
  <w:style w:type="paragraph" w:customStyle="1" w:styleId="75">
    <w:name w:val="正文2"/>
    <w:basedOn w:val="1"/>
    <w:link w:val="74"/>
    <w:autoRedefine/>
    <w:qFormat/>
    <w:uiPriority w:val="0"/>
    <w:pPr>
      <w:adjustRightInd w:val="0"/>
      <w:spacing w:before="156" w:line="360" w:lineRule="auto"/>
      <w:ind w:firstLine="510" w:firstLineChars="200"/>
    </w:pPr>
    <w:rPr>
      <w:sz w:val="24"/>
      <w:szCs w:val="20"/>
    </w:rPr>
  </w:style>
  <w:style w:type="character" w:customStyle="1" w:styleId="76">
    <w:name w:val="正文文本 3 字符"/>
    <w:autoRedefine/>
    <w:qFormat/>
    <w:uiPriority w:val="99"/>
    <w:rPr>
      <w:kern w:val="2"/>
      <w:sz w:val="16"/>
      <w:szCs w:val="16"/>
    </w:rPr>
  </w:style>
  <w:style w:type="character" w:customStyle="1" w:styleId="77">
    <w:name w:val="正文文本缩进 2 字符"/>
    <w:autoRedefine/>
    <w:qFormat/>
    <w:uiPriority w:val="0"/>
    <w:rPr>
      <w:kern w:val="2"/>
      <w:sz w:val="21"/>
      <w:szCs w:val="24"/>
    </w:rPr>
  </w:style>
  <w:style w:type="character" w:customStyle="1" w:styleId="78">
    <w:name w:val="纯文本 Char_0"/>
    <w:link w:val="79"/>
    <w:autoRedefine/>
    <w:qFormat/>
    <w:uiPriority w:val="0"/>
    <w:rPr>
      <w:rFonts w:ascii="宋体" w:hAnsi="Courier New"/>
      <w:kern w:val="2"/>
      <w:sz w:val="21"/>
      <w:szCs w:val="21"/>
      <w:lang w:val="en-US" w:eastAsia="zh-CN"/>
    </w:rPr>
  </w:style>
  <w:style w:type="paragraph" w:customStyle="1" w:styleId="79">
    <w:name w:val="纯文本_0_0"/>
    <w:basedOn w:val="1"/>
    <w:link w:val="78"/>
    <w:autoRedefine/>
    <w:qFormat/>
    <w:uiPriority w:val="0"/>
    <w:rPr>
      <w:rFonts w:ascii="宋体" w:hAnsi="Courier New"/>
      <w:szCs w:val="21"/>
      <w:lang w:val="en-US" w:eastAsia="zh-CN"/>
    </w:rPr>
  </w:style>
  <w:style w:type="character" w:customStyle="1" w:styleId="80">
    <w:name w:val="标题 3 字符"/>
    <w:autoRedefine/>
    <w:qFormat/>
    <w:uiPriority w:val="0"/>
    <w:rPr>
      <w:b/>
      <w:bCs/>
      <w:kern w:val="2"/>
      <w:sz w:val="32"/>
      <w:szCs w:val="32"/>
    </w:rPr>
  </w:style>
  <w:style w:type="character" w:customStyle="1" w:styleId="81">
    <w:name w:val="正文文本 字符"/>
    <w:autoRedefine/>
    <w:qFormat/>
    <w:uiPriority w:val="99"/>
    <w:rPr>
      <w:kern w:val="2"/>
      <w:sz w:val="21"/>
      <w:szCs w:val="24"/>
    </w:rPr>
  </w:style>
  <w:style w:type="character" w:customStyle="1" w:styleId="82">
    <w:name w:val="纯文本 Char1"/>
    <w:link w:val="83"/>
    <w:autoRedefine/>
    <w:qFormat/>
    <w:uiPriority w:val="0"/>
    <w:rPr>
      <w:rFonts w:ascii="宋体" w:hAnsi="Courier New" w:eastAsia="宋体"/>
      <w:kern w:val="2"/>
      <w:sz w:val="21"/>
      <w:lang w:val="en-US" w:eastAsia="zh-CN" w:bidi="ar-SA"/>
    </w:rPr>
  </w:style>
  <w:style w:type="paragraph" w:customStyle="1" w:styleId="83">
    <w:name w:val="纯文本1"/>
    <w:basedOn w:val="1"/>
    <w:link w:val="82"/>
    <w:autoRedefine/>
    <w:qFormat/>
    <w:uiPriority w:val="0"/>
    <w:rPr>
      <w:rFonts w:ascii="宋体" w:hAnsi="Courier New"/>
      <w:szCs w:val="20"/>
    </w:rPr>
  </w:style>
  <w:style w:type="character" w:customStyle="1" w:styleId="84">
    <w:name w:val="标题 1 字符"/>
    <w:autoRedefine/>
    <w:qFormat/>
    <w:uiPriority w:val="0"/>
    <w:rPr>
      <w:b/>
      <w:bCs/>
      <w:kern w:val="44"/>
      <w:sz w:val="44"/>
      <w:szCs w:val="44"/>
    </w:rPr>
  </w:style>
  <w:style w:type="character" w:customStyle="1" w:styleId="85">
    <w:name w:val="标题 2 字符"/>
    <w:autoRedefine/>
    <w:qFormat/>
    <w:uiPriority w:val="0"/>
    <w:rPr>
      <w:rFonts w:ascii="Arial" w:hAnsi="Arial" w:eastAsia="黑体"/>
      <w:b/>
      <w:bCs/>
      <w:kern w:val="2"/>
      <w:sz w:val="32"/>
      <w:szCs w:val="32"/>
    </w:rPr>
  </w:style>
  <w:style w:type="character" w:customStyle="1" w:styleId="86">
    <w:name w:val="文档结构图 字符"/>
    <w:autoRedefine/>
    <w:qFormat/>
    <w:uiPriority w:val="0"/>
    <w:rPr>
      <w:rFonts w:ascii="宋体"/>
      <w:kern w:val="2"/>
      <w:sz w:val="18"/>
      <w:szCs w:val="18"/>
    </w:rPr>
  </w:style>
  <w:style w:type="character" w:customStyle="1" w:styleId="87">
    <w:name w:val="页眉 字符"/>
    <w:autoRedefine/>
    <w:qFormat/>
    <w:uiPriority w:val="99"/>
    <w:rPr>
      <w:rFonts w:ascii="Times New Roman" w:hAnsi="Times New Roman"/>
      <w:kern w:val="2"/>
      <w:sz w:val="18"/>
      <w:szCs w:val="18"/>
    </w:rPr>
  </w:style>
  <w:style w:type="character" w:customStyle="1" w:styleId="88">
    <w:name w:val="批注主题 字符"/>
    <w:autoRedefine/>
    <w:qFormat/>
    <w:uiPriority w:val="99"/>
    <w:rPr>
      <w:b/>
      <w:bCs/>
      <w:kern w:val="2"/>
      <w:sz w:val="21"/>
      <w:szCs w:val="24"/>
    </w:rPr>
  </w:style>
  <w:style w:type="character" w:customStyle="1" w:styleId="89">
    <w:name w:val="纯文本 字符2"/>
    <w:autoRedefine/>
    <w:qFormat/>
    <w:uiPriority w:val="0"/>
    <w:rPr>
      <w:rFonts w:ascii="宋体" w:hAnsi="Courier New" w:eastAsia="宋体" w:cs="Courier New"/>
      <w:szCs w:val="21"/>
    </w:rPr>
  </w:style>
  <w:style w:type="character" w:customStyle="1" w:styleId="90">
    <w:name w:val="正文文本_"/>
    <w:link w:val="91"/>
    <w:autoRedefine/>
    <w:qFormat/>
    <w:uiPriority w:val="0"/>
    <w:rPr>
      <w:rFonts w:ascii="MingLiU" w:hAnsi="MingLiU" w:eastAsia="MingLiU" w:cs="MingLiU"/>
      <w:spacing w:val="9"/>
      <w:sz w:val="19"/>
      <w:szCs w:val="19"/>
      <w:shd w:val="clear" w:color="auto" w:fill="FFFFFF"/>
    </w:rPr>
  </w:style>
  <w:style w:type="paragraph" w:customStyle="1" w:styleId="91">
    <w:name w:val="正文文本1"/>
    <w:basedOn w:val="1"/>
    <w:link w:val="90"/>
    <w:autoRedefine/>
    <w:qFormat/>
    <w:uiPriority w:val="0"/>
    <w:pPr>
      <w:shd w:val="clear" w:color="auto" w:fill="FFFFFF"/>
      <w:spacing w:line="302" w:lineRule="exact"/>
      <w:ind w:firstLine="460"/>
      <w:jc w:val="left"/>
    </w:pPr>
    <w:rPr>
      <w:rFonts w:ascii="MingLiU" w:hAnsi="MingLiU" w:eastAsia="MingLiU"/>
      <w:spacing w:val="9"/>
      <w:kern w:val="0"/>
      <w:sz w:val="19"/>
      <w:szCs w:val="19"/>
    </w:rPr>
  </w:style>
  <w:style w:type="character" w:customStyle="1" w:styleId="92">
    <w:name w:val="正文文本 + 10 pt"/>
    <w:autoRedefine/>
    <w:qFormat/>
    <w:uiPriority w:val="0"/>
    <w:rPr>
      <w:rFonts w:ascii="MingLiU" w:hAnsi="MingLiU" w:eastAsia="MingLiU" w:cs="MingLiU"/>
      <w:color w:val="000000"/>
      <w:spacing w:val="8"/>
      <w:w w:val="100"/>
      <w:position w:val="0"/>
      <w:sz w:val="20"/>
      <w:szCs w:val="20"/>
      <w:shd w:val="clear" w:color="auto" w:fill="FFFFFF"/>
      <w:lang w:val="zh-TW"/>
    </w:rPr>
  </w:style>
  <w:style w:type="character" w:customStyle="1" w:styleId="93">
    <w:name w:val="批注文字 Char1"/>
    <w:autoRedefine/>
    <w:qFormat/>
    <w:uiPriority w:val="0"/>
    <w:rPr>
      <w:rFonts w:ascii="Times New Roman" w:hAnsi="Times New Roman"/>
      <w:kern w:val="2"/>
      <w:sz w:val="21"/>
      <w:szCs w:val="24"/>
    </w:rPr>
  </w:style>
  <w:style w:type="character" w:customStyle="1" w:styleId="94">
    <w:name w:val="标题 5 字符"/>
    <w:autoRedefine/>
    <w:qFormat/>
    <w:uiPriority w:val="0"/>
    <w:rPr>
      <w:b/>
      <w:bCs/>
      <w:kern w:val="2"/>
      <w:sz w:val="28"/>
      <w:szCs w:val="28"/>
    </w:rPr>
  </w:style>
  <w:style w:type="character" w:customStyle="1" w:styleId="95">
    <w:name w:val="正文文本缩进 字符"/>
    <w:autoRedefine/>
    <w:qFormat/>
    <w:uiPriority w:val="99"/>
    <w:rPr>
      <w:rFonts w:ascii="宋体" w:hAnsi="Courier New"/>
      <w:spacing w:val="-4"/>
      <w:kern w:val="2"/>
      <w:sz w:val="18"/>
    </w:rPr>
  </w:style>
  <w:style w:type="character" w:customStyle="1" w:styleId="96">
    <w:name w:val="日期 字符"/>
    <w:autoRedefine/>
    <w:qFormat/>
    <w:uiPriority w:val="99"/>
    <w:rPr>
      <w:kern w:val="2"/>
      <w:sz w:val="21"/>
      <w:szCs w:val="24"/>
    </w:rPr>
  </w:style>
  <w:style w:type="character" w:customStyle="1" w:styleId="97">
    <w:name w:val="页脚 字符1"/>
    <w:autoRedefine/>
    <w:qFormat/>
    <w:uiPriority w:val="99"/>
    <w:rPr>
      <w:kern w:val="2"/>
      <w:sz w:val="18"/>
      <w:szCs w:val="18"/>
    </w:rPr>
  </w:style>
  <w:style w:type="character" w:customStyle="1" w:styleId="98">
    <w:name w:val="16"/>
    <w:autoRedefine/>
    <w:qFormat/>
    <w:uiPriority w:val="0"/>
    <w:rPr>
      <w:rFonts w:hint="default" w:ascii="Times New Roman" w:hAnsi="Times New Roman" w:cs="Times New Roman"/>
      <w:sz w:val="21"/>
      <w:szCs w:val="21"/>
    </w:rPr>
  </w:style>
  <w:style w:type="character" w:customStyle="1" w:styleId="99">
    <w:name w:val="NormalCharacter"/>
    <w:autoRedefine/>
    <w:qFormat/>
    <w:uiPriority w:val="0"/>
  </w:style>
  <w:style w:type="paragraph" w:customStyle="1" w:styleId="100">
    <w:name w:val="Char Char Char"/>
    <w:basedOn w:val="1"/>
    <w:autoRedefine/>
    <w:qFormat/>
    <w:uiPriority w:val="0"/>
    <w:rPr>
      <w:szCs w:val="20"/>
    </w:rPr>
  </w:style>
  <w:style w:type="paragraph" w:customStyle="1" w:styleId="101">
    <w:name w:val="Char Char Char Char"/>
    <w:basedOn w:val="1"/>
    <w:autoRedefine/>
    <w:qFormat/>
    <w:uiPriority w:val="0"/>
    <w:pPr>
      <w:widowControl/>
      <w:spacing w:after="160" w:line="240" w:lineRule="exact"/>
      <w:jc w:val="left"/>
    </w:pPr>
  </w:style>
  <w:style w:type="paragraph" w:customStyle="1" w:styleId="102">
    <w:name w:val="表格文字"/>
    <w:basedOn w:val="1"/>
    <w:next w:val="2"/>
    <w:autoRedefine/>
    <w:qFormat/>
    <w:uiPriority w:val="0"/>
    <w:pPr>
      <w:adjustRightInd w:val="0"/>
      <w:spacing w:line="420" w:lineRule="atLeast"/>
      <w:jc w:val="left"/>
      <w:textAlignment w:val="baseline"/>
    </w:pPr>
    <w:rPr>
      <w:kern w:val="0"/>
    </w:rPr>
  </w:style>
  <w:style w:type="paragraph" w:customStyle="1" w:styleId="103">
    <w:name w:val="TOC Heading"/>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4">
    <w:name w:val=" Char Char Char Char Char Char Char Char Char Char Char Char"/>
    <w:basedOn w:val="1"/>
    <w:autoRedefine/>
    <w:qFormat/>
    <w:uiPriority w:val="0"/>
    <w:pPr>
      <w:widowControl/>
      <w:spacing w:after="160" w:line="240" w:lineRule="exact"/>
      <w:jc w:val="left"/>
    </w:pPr>
  </w:style>
  <w:style w:type="paragraph" w:customStyle="1" w:styleId="105">
    <w:name w:val="正文缩进1"/>
    <w:basedOn w:val="1"/>
    <w:next w:val="17"/>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06">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107">
    <w:name w:val="Char Char Char Char Char Char Char"/>
    <w:basedOn w:val="1"/>
    <w:autoRedefine/>
    <w:qFormat/>
    <w:uiPriority w:val="0"/>
  </w:style>
  <w:style w:type="paragraph" w:customStyle="1" w:styleId="108">
    <w:name w:val="默认段落字体 Para Char Char Char Char Char Char Char Char Char1 Char Char Char Char"/>
    <w:basedOn w:val="1"/>
    <w:autoRedefine/>
    <w:qFormat/>
    <w:uiPriority w:val="0"/>
    <w:rPr>
      <w:rFonts w:ascii="Tahoma" w:hAnsi="Tahoma"/>
      <w:sz w:val="24"/>
      <w:szCs w:val="20"/>
    </w:rPr>
  </w:style>
  <w:style w:type="paragraph" w:customStyle="1" w:styleId="109">
    <w:name w:val="样式 标题 2 + 非加粗 首行缩进:  2 字符"/>
    <w:basedOn w:val="4"/>
    <w:autoRedefine/>
    <w:qFormat/>
    <w:uiPriority w:val="0"/>
    <w:pPr>
      <w:spacing w:before="0" w:after="0" w:line="600" w:lineRule="exact"/>
      <w:ind w:firstLine="640" w:firstLineChars="200"/>
      <w:jc w:val="left"/>
    </w:pPr>
    <w:rPr>
      <w:rFonts w:cs="宋体"/>
      <w:b w:val="0"/>
      <w:bCs w:val="0"/>
      <w:szCs w:val="20"/>
    </w:rPr>
  </w:style>
  <w:style w:type="paragraph" w:customStyle="1" w:styleId="110">
    <w:name w:val="Char Char Char1 Char Char Char Char Char Char Char"/>
    <w:basedOn w:val="1"/>
    <w:autoRedefine/>
    <w:qFormat/>
    <w:uiPriority w:val="0"/>
  </w:style>
  <w:style w:type="paragraph" w:customStyle="1" w:styleId="111">
    <w:name w:val=" Char Char Char Char"/>
    <w:basedOn w:val="1"/>
    <w:autoRedefine/>
    <w:qFormat/>
    <w:uiPriority w:val="0"/>
    <w:pPr>
      <w:widowControl/>
      <w:spacing w:after="160" w:line="240" w:lineRule="exact"/>
      <w:jc w:val="left"/>
    </w:pPr>
  </w:style>
  <w:style w:type="paragraph" w:customStyle="1" w:styleId="112">
    <w:name w:val="Revision"/>
    <w:autoRedefine/>
    <w:qFormat/>
    <w:uiPriority w:val="0"/>
    <w:rPr>
      <w:rFonts w:ascii="Times New Roman" w:hAnsi="Times New Roman" w:eastAsia="宋体" w:cs="Times New Roman"/>
      <w:kern w:val="2"/>
      <w:sz w:val="21"/>
      <w:szCs w:val="24"/>
      <w:lang w:val="en-US" w:eastAsia="zh-CN" w:bidi="ar-SA"/>
    </w:rPr>
  </w:style>
  <w:style w:type="paragraph" w:customStyle="1" w:styleId="113">
    <w:name w:val="Char Char Char Char Char Char Char Char Char Char Char Char"/>
    <w:basedOn w:val="1"/>
    <w:autoRedefine/>
    <w:qFormat/>
    <w:uiPriority w:val="0"/>
    <w:pPr>
      <w:widowControl/>
      <w:spacing w:after="160" w:line="240" w:lineRule="exact"/>
      <w:jc w:val="left"/>
    </w:pPr>
  </w:style>
  <w:style w:type="paragraph" w:customStyle="1" w:styleId="114">
    <w:name w:val="样式5"/>
    <w:basedOn w:val="1"/>
    <w:autoRedefine/>
    <w:qFormat/>
    <w:uiPriority w:val="0"/>
    <w:pPr>
      <w:adjustRightInd w:val="0"/>
      <w:spacing w:line="440" w:lineRule="exact"/>
      <w:ind w:left="2" w:firstLine="480" w:firstLineChars="200"/>
    </w:pPr>
    <w:rPr>
      <w:rFonts w:ascii="仿宋_GB2312" w:hAnsi="仿宋" w:eastAsia="仿宋_GB2312"/>
      <w:sz w:val="24"/>
    </w:rPr>
  </w:style>
  <w:style w:type="paragraph" w:customStyle="1" w:styleId="115">
    <w:name w:val=" Char Char Char Char Char Char Char"/>
    <w:basedOn w:val="1"/>
    <w:autoRedefine/>
    <w:qFormat/>
    <w:uiPriority w:val="0"/>
  </w:style>
  <w:style w:type="paragraph" w:customStyle="1" w:styleId="116">
    <w:name w:val="样式 标题 1 + 居中 段前: 0 磅 段后: 0 磅 行距: 固定值 30 磅"/>
    <w:basedOn w:val="3"/>
    <w:autoRedefine/>
    <w:qFormat/>
    <w:uiPriority w:val="0"/>
    <w:pPr>
      <w:spacing w:before="0" w:after="0" w:line="600" w:lineRule="exact"/>
      <w:jc w:val="center"/>
    </w:pPr>
    <w:rPr>
      <w:rFonts w:cs="宋体"/>
      <w:szCs w:val="20"/>
    </w:rPr>
  </w:style>
  <w:style w:type="paragraph" w:customStyle="1" w:styleId="117">
    <w:name w:val="Table Paragraph"/>
    <w:basedOn w:val="1"/>
    <w:autoRedefine/>
    <w:qFormat/>
    <w:uiPriority w:val="1"/>
    <w:pPr>
      <w:jc w:val="left"/>
    </w:pPr>
    <w:rPr>
      <w:rFonts w:ascii="Calibri" w:hAnsi="Calibri"/>
      <w:kern w:val="0"/>
      <w:sz w:val="22"/>
      <w:szCs w:val="22"/>
      <w:lang w:eastAsia="en-US"/>
    </w:rPr>
  </w:style>
  <w:style w:type="paragraph" w:customStyle="1" w:styleId="118">
    <w:name w:val="列出段落1"/>
    <w:basedOn w:val="1"/>
    <w:autoRedefine/>
    <w:qFormat/>
    <w:uiPriority w:val="34"/>
    <w:pPr>
      <w:spacing w:before="100" w:beforeAutospacing="1" w:after="100" w:afterAutospacing="1" w:line="360" w:lineRule="auto"/>
      <w:ind w:firstLine="420" w:firstLineChars="200"/>
    </w:pPr>
  </w:style>
  <w:style w:type="paragraph" w:styleId="119">
    <w:name w:val="List Paragraph"/>
    <w:basedOn w:val="1"/>
    <w:autoRedefine/>
    <w:qFormat/>
    <w:uiPriority w:val="34"/>
    <w:pPr>
      <w:ind w:firstLine="420" w:firstLineChars="200"/>
    </w:pPr>
  </w:style>
  <w:style w:type="paragraph" w:customStyle="1" w:styleId="120">
    <w:name w:val="Char"/>
    <w:basedOn w:val="1"/>
    <w:autoRedefine/>
    <w:qFormat/>
    <w:uiPriority w:val="0"/>
  </w:style>
  <w:style w:type="paragraph" w:customStyle="1" w:styleId="121">
    <w:name w:val=" Char"/>
    <w:basedOn w:val="1"/>
    <w:autoRedefine/>
    <w:qFormat/>
    <w:uiPriority w:val="0"/>
    <w:rPr>
      <w:szCs w:val="21"/>
    </w:rPr>
  </w:style>
  <w:style w:type="paragraph" w:customStyle="1" w:styleId="122">
    <w:name w:val="p0"/>
    <w:basedOn w:val="1"/>
    <w:autoRedefine/>
    <w:qFormat/>
    <w:uiPriority w:val="0"/>
    <w:pPr>
      <w:widowControl/>
    </w:pPr>
    <w:rPr>
      <w:kern w:val="0"/>
      <w:szCs w:val="21"/>
    </w:rPr>
  </w:style>
  <w:style w:type="paragraph" w:customStyle="1" w:styleId="123">
    <w:name w:val="_Style 1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5">
    <w:name w:val="6'"/>
    <w:basedOn w:val="1"/>
    <w:autoRedefine/>
    <w:qFormat/>
    <w:uiPriority w:val="0"/>
    <w:pPr>
      <w:autoSpaceDE w:val="0"/>
      <w:autoSpaceDN w:val="0"/>
      <w:adjustRightInd w:val="0"/>
      <w:snapToGrid w:val="0"/>
      <w:spacing w:line="320" w:lineRule="exact"/>
      <w:jc w:val="center"/>
      <w:textAlignment w:val="baseline"/>
    </w:pPr>
    <w:rPr>
      <w:spacing w:val="20"/>
      <w:kern w:val="28"/>
      <w:szCs w:val="21"/>
    </w:rPr>
  </w:style>
  <w:style w:type="paragraph" w:customStyle="1" w:styleId="126">
    <w:name w:val="Title1"/>
    <w:basedOn w:val="1"/>
    <w:next w:val="1"/>
    <w:autoRedefine/>
    <w:qFormat/>
    <w:uiPriority w:val="99"/>
    <w:pPr>
      <w:jc w:val="center"/>
      <w:outlineLvl w:val="0"/>
    </w:pPr>
    <w:rPr>
      <w:rFonts w:ascii="Calibri Light" w:hAnsi="Calibri Light"/>
      <w:b/>
    </w:rPr>
  </w:style>
  <w:style w:type="paragraph" w:customStyle="1" w:styleId="127">
    <w:name w:val="Default"/>
    <w:autoRedefine/>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customStyle="1" w:styleId="128">
    <w:name w:val="正文-2字符首行缩进"/>
    <w:basedOn w:val="1"/>
    <w:autoRedefine/>
    <w:qFormat/>
    <w:uiPriority w:val="0"/>
    <w:pPr>
      <w:widowControl/>
      <w:spacing w:line="360" w:lineRule="auto"/>
      <w:ind w:firstLine="200" w:firstLineChars="200"/>
    </w:pPr>
    <w:rPr>
      <w:rFonts w:ascii="仿宋_GB2312" w:hAnsi="Calibri" w:eastAsia="仿宋_GB2312"/>
      <w:kern w:val="0"/>
      <w:sz w:val="28"/>
      <w:szCs w:val="22"/>
    </w:rPr>
  </w:style>
  <w:style w:type="paragraph" w:customStyle="1" w:styleId="129">
    <w:name w:val="Table Text"/>
    <w:basedOn w:val="1"/>
    <w:autoRedefine/>
    <w:semiHidden/>
    <w:qFormat/>
    <w:uiPriority w:val="0"/>
    <w:rPr>
      <w:rFonts w:ascii="宋体" w:hAnsi="宋体" w:cs="宋体"/>
      <w:sz w:val="20"/>
      <w:szCs w:val="20"/>
      <w:lang w:eastAsia="en-US"/>
    </w:rPr>
  </w:style>
  <w:style w:type="table" w:customStyle="1" w:styleId="130">
    <w:name w:val="Table Normal"/>
    <w:autoRedefine/>
    <w:unhideWhenUsed/>
    <w:qFormat/>
    <w:uiPriority w:val="0"/>
    <w:tblPr>
      <w:tblCellMar>
        <w:top w:w="0" w:type="dxa"/>
        <w:left w:w="0" w:type="dxa"/>
        <w:bottom w:w="0" w:type="dxa"/>
        <w:right w:w="0" w:type="dxa"/>
      </w:tblCellMar>
    </w:tblPr>
  </w:style>
  <w:style w:type="character" w:customStyle="1" w:styleId="131">
    <w:name w:val="正文首行缩进 2 字符"/>
    <w:link w:val="37"/>
    <w:autoRedefine/>
    <w:qFormat/>
    <w:uiPriority w:val="99"/>
    <w:rPr>
      <w:rFonts w:hAnsi="Courier New"/>
      <w:spacing w:val="-4"/>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png"/><Relationship Id="rId32" Type="http://schemas.openxmlformats.org/officeDocument/2006/relationships/theme" Target="theme/theme1.xml"/><Relationship Id="rId31" Type="http://schemas.openxmlformats.org/officeDocument/2006/relationships/footer" Target="footer21.xml"/><Relationship Id="rId30" Type="http://schemas.openxmlformats.org/officeDocument/2006/relationships/footer" Target="footer20.xml"/><Relationship Id="rId3" Type="http://schemas.openxmlformats.org/officeDocument/2006/relationships/footer" Target="footer1.xml"/><Relationship Id="rId29" Type="http://schemas.openxmlformats.org/officeDocument/2006/relationships/footer" Target="footer19.xml"/><Relationship Id="rId28" Type="http://schemas.openxmlformats.org/officeDocument/2006/relationships/header" Target="header8.xml"/><Relationship Id="rId27" Type="http://schemas.openxmlformats.org/officeDocument/2006/relationships/footer" Target="footer18.xml"/><Relationship Id="rId26" Type="http://schemas.openxmlformats.org/officeDocument/2006/relationships/header" Target="header7.xml"/><Relationship Id="rId25" Type="http://schemas.openxmlformats.org/officeDocument/2006/relationships/footer" Target="footer17.xml"/><Relationship Id="rId24" Type="http://schemas.openxmlformats.org/officeDocument/2006/relationships/footer" Target="footer16.xml"/><Relationship Id="rId23" Type="http://schemas.openxmlformats.org/officeDocument/2006/relationships/header" Target="header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104</Pages>
  <Words>10478</Words>
  <Characters>59731</Characters>
  <Lines>497</Lines>
  <Paragraphs>140</Paragraphs>
  <TotalTime>153</TotalTime>
  <ScaleCrop>false</ScaleCrop>
  <LinksUpToDate>false</LinksUpToDate>
  <CharactersWithSpaces>70069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2024-02-28T20:52:00Z</dcterms:created>
  <dc:creator>lxlftqn</dc:creator>
  <cp:lastModifiedBy>wiki</cp:lastModifiedBy>
  <cp:lastPrinted>2021-08-17T03:26:00Z</cp:lastPrinted>
  <dcterms:modified xsi:type="dcterms:W3CDTF">2024-04-21T16:08:41Z</dcterms:modified>
  <dc:title>南财采管〔2012〕3号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6B11C7FA7D8349898A7EB66665D39D2E_13</vt:lpwstr>
  </property>
</Properties>
</file>