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Calibri" w:hAnsi="宋体"/>
          <w:color w:val="auto"/>
          <w:spacing w:val="6"/>
          <w:kern w:val="48"/>
          <w:sz w:val="21"/>
          <w:szCs w:val="21"/>
        </w:rPr>
      </w:pPr>
      <w:bookmarkStart w:id="1" w:name="_GoBack"/>
      <w:r>
        <w:rPr>
          <w:rFonts w:hint="eastAsia" w:ascii="Calibri" w:hAnsi="宋体"/>
          <w:b/>
          <w:color w:val="auto"/>
          <w:spacing w:val="6"/>
          <w:kern w:val="48"/>
          <w:sz w:val="24"/>
          <w:szCs w:val="24"/>
        </w:rPr>
        <w:t>广西同泽工程项目管理股份有限公司关于医疗设备采购（</w:t>
      </w:r>
      <w:r>
        <w:rPr>
          <w:rFonts w:hint="eastAsia" w:ascii="Calibri" w:hAnsi="宋体" w:cs="Arial"/>
          <w:b/>
          <w:bCs/>
          <w:color w:val="auto"/>
          <w:sz w:val="24"/>
          <w:szCs w:val="24"/>
        </w:rPr>
        <w:t>项目编号：</w:t>
      </w:r>
      <w:r>
        <w:rPr>
          <w:rFonts w:hint="eastAsia" w:ascii="Calibri" w:hAnsi="宋体" w:cs="Arial"/>
          <w:b/>
          <w:bCs/>
          <w:color w:val="auto"/>
          <w:sz w:val="24"/>
          <w:szCs w:val="24"/>
          <w:lang w:eastAsia="zh-CN"/>
        </w:rPr>
        <w:t>GXZC2020-G1-000290-GXTZ</w:t>
      </w:r>
      <w:r>
        <w:rPr>
          <w:rFonts w:hint="eastAsia" w:ascii="Calibri" w:hAnsi="宋体" w:cs="Arial"/>
          <w:b/>
          <w:bCs/>
          <w:color w:val="auto"/>
          <w:sz w:val="24"/>
          <w:szCs w:val="24"/>
        </w:rPr>
        <w:t>）</w:t>
      </w:r>
      <w:r>
        <w:rPr>
          <w:rFonts w:hint="eastAsia" w:ascii="Calibri" w:hAnsi="宋体"/>
          <w:b/>
          <w:color w:val="auto"/>
          <w:sz w:val="24"/>
          <w:szCs w:val="24"/>
        </w:rPr>
        <w:t>公开招标公告</w:t>
      </w:r>
    </w:p>
    <w:p>
      <w:pPr>
        <w:pStyle w:val="3"/>
        <w:tabs>
          <w:tab w:val="left" w:pos="3420"/>
        </w:tabs>
        <w:spacing w:line="420" w:lineRule="exact"/>
        <w:ind w:firstLine="444" w:firstLineChars="200"/>
        <w:contextualSpacing/>
        <w:rPr>
          <w:rFonts w:ascii="Calibri" w:hAnsi="宋体"/>
          <w:color w:val="auto"/>
          <w:spacing w:val="6"/>
          <w:kern w:val="48"/>
          <w:sz w:val="21"/>
          <w:szCs w:val="21"/>
        </w:rPr>
      </w:pPr>
      <w:r>
        <w:rPr>
          <w:rFonts w:hint="eastAsia" w:ascii="Calibri" w:hAnsi="宋体"/>
          <w:color w:val="auto"/>
          <w:spacing w:val="6"/>
          <w:kern w:val="48"/>
          <w:sz w:val="21"/>
          <w:szCs w:val="21"/>
        </w:rPr>
        <w:t>广西同泽工程项目管理股份有限公司受</w:t>
      </w:r>
      <w:r>
        <w:rPr>
          <w:rFonts w:hint="eastAsia" w:ascii="Calibri" w:hAnsi="宋体" w:cs="宋体"/>
          <w:color w:val="auto"/>
          <w:spacing w:val="6"/>
          <w:kern w:val="48"/>
          <w:sz w:val="21"/>
          <w:szCs w:val="21"/>
          <w:u w:val="single"/>
        </w:rPr>
        <w:t>广西壮族自治区妇幼保健院</w:t>
      </w:r>
      <w:r>
        <w:rPr>
          <w:rFonts w:hint="eastAsia" w:ascii="Calibri" w:hAnsi="宋体"/>
          <w:color w:val="auto"/>
          <w:spacing w:val="6"/>
          <w:kern w:val="48"/>
          <w:sz w:val="21"/>
          <w:szCs w:val="21"/>
        </w:rPr>
        <w:t>的委托，根据《中华人民共和国政府采购法》、《中华人民共和国政府采购法实施条例》、《政府采购货物和服务招标投标管理办法》等规定，现就</w:t>
      </w:r>
      <w:r>
        <w:rPr>
          <w:rFonts w:hint="eastAsia" w:ascii="Calibri" w:hAnsi="宋体"/>
          <w:color w:val="auto"/>
          <w:spacing w:val="6"/>
          <w:kern w:val="48"/>
          <w:sz w:val="21"/>
          <w:szCs w:val="21"/>
          <w:u w:val="single"/>
        </w:rPr>
        <w:t xml:space="preserve"> </w:t>
      </w:r>
      <w:r>
        <w:rPr>
          <w:rFonts w:hint="eastAsia" w:ascii="Calibri" w:hAnsi="宋体" w:cs="宋体"/>
          <w:color w:val="auto"/>
          <w:spacing w:val="6"/>
          <w:kern w:val="48"/>
          <w:sz w:val="21"/>
          <w:szCs w:val="21"/>
          <w:u w:val="single"/>
        </w:rPr>
        <w:t xml:space="preserve">医疗设备采购 </w:t>
      </w:r>
      <w:r>
        <w:rPr>
          <w:rFonts w:hint="eastAsia" w:ascii="Calibri" w:hAnsi="宋体"/>
          <w:color w:val="auto"/>
          <w:spacing w:val="6"/>
          <w:kern w:val="48"/>
          <w:sz w:val="21"/>
          <w:szCs w:val="21"/>
        </w:rPr>
        <w:t>进行公开招标采购，欢迎符合条件的供应商前来投标。现将有关事项公告如下：</w:t>
      </w:r>
    </w:p>
    <w:p>
      <w:pPr>
        <w:snapToGrid w:val="0"/>
        <w:spacing w:line="420" w:lineRule="exact"/>
        <w:ind w:left="1417" w:hanging="1417" w:hangingChars="672"/>
        <w:contextualSpacing/>
        <w:rPr>
          <w:rFonts w:hAnsi="宋体" w:cs="Arial"/>
          <w:b/>
          <w:bCs/>
          <w:color w:val="auto"/>
          <w:szCs w:val="21"/>
        </w:rPr>
      </w:pPr>
      <w:r>
        <w:rPr>
          <w:rFonts w:hint="eastAsia" w:hAnsi="宋体" w:cs="宋体"/>
          <w:b/>
          <w:bCs/>
          <w:color w:val="auto"/>
          <w:szCs w:val="21"/>
        </w:rPr>
        <w:t>一、项目名称</w:t>
      </w:r>
      <w:r>
        <w:rPr>
          <w:rFonts w:hint="eastAsia" w:hAnsi="宋体" w:cs="Arial"/>
          <w:b/>
          <w:bCs/>
          <w:color w:val="auto"/>
          <w:szCs w:val="21"/>
        </w:rPr>
        <w:t>:</w:t>
      </w:r>
      <w:r>
        <w:rPr>
          <w:rFonts w:hint="eastAsia" w:hAnsi="宋体" w:cs="宋体"/>
          <w:color w:val="auto"/>
          <w:spacing w:val="6"/>
          <w:kern w:val="48"/>
          <w:szCs w:val="21"/>
          <w:u w:val="single"/>
        </w:rPr>
        <w:t xml:space="preserve"> 医疗设备采购</w:t>
      </w:r>
    </w:p>
    <w:p>
      <w:pPr>
        <w:snapToGrid w:val="0"/>
        <w:spacing w:line="420" w:lineRule="exact"/>
        <w:contextualSpacing/>
        <w:rPr>
          <w:rFonts w:hint="eastAsia" w:hAnsi="宋体" w:cs="Arial"/>
          <w:bCs/>
          <w:color w:val="auto"/>
          <w:szCs w:val="21"/>
          <w:u w:val="single"/>
        </w:rPr>
      </w:pPr>
      <w:r>
        <w:rPr>
          <w:rFonts w:hint="eastAsia" w:hAnsi="宋体" w:cs="宋体"/>
          <w:b/>
          <w:bCs/>
          <w:color w:val="auto"/>
          <w:szCs w:val="21"/>
        </w:rPr>
        <w:t>二、项目编号：GXZC2020-G1-000290-GXTZ</w:t>
      </w:r>
    </w:p>
    <w:p>
      <w:pPr>
        <w:snapToGrid w:val="0"/>
        <w:spacing w:line="420" w:lineRule="exact"/>
        <w:contextualSpacing/>
        <w:rPr>
          <w:rFonts w:hAnsi="宋体" w:cs="Arial"/>
          <w:color w:val="auto"/>
          <w:szCs w:val="21"/>
        </w:rPr>
      </w:pPr>
      <w:r>
        <w:rPr>
          <w:rFonts w:hint="eastAsia" w:hAnsi="宋体" w:cs="宋体"/>
          <w:b/>
          <w:color w:val="auto"/>
          <w:szCs w:val="21"/>
        </w:rPr>
        <w:t>三、采购方式：</w:t>
      </w:r>
      <w:r>
        <w:rPr>
          <w:rFonts w:hint="eastAsia" w:hAnsi="宋体" w:cs="宋体"/>
          <w:color w:val="auto"/>
          <w:szCs w:val="21"/>
        </w:rPr>
        <w:t>公开招标</w:t>
      </w:r>
    </w:p>
    <w:p>
      <w:pPr>
        <w:snapToGrid w:val="0"/>
        <w:spacing w:line="420" w:lineRule="exact"/>
        <w:contextualSpacing/>
        <w:rPr>
          <w:rFonts w:hAnsi="宋体" w:cs="Arial"/>
          <w:color w:val="auto"/>
          <w:szCs w:val="21"/>
        </w:rPr>
      </w:pPr>
      <w:r>
        <w:rPr>
          <w:rFonts w:hint="eastAsia" w:hAnsi="宋体" w:cs="宋体"/>
          <w:b/>
          <w:color w:val="auto"/>
          <w:szCs w:val="21"/>
        </w:rPr>
        <w:t>四、</w:t>
      </w:r>
      <w:r>
        <w:rPr>
          <w:rFonts w:hint="eastAsia" w:hAnsi="宋体" w:cs="宋体"/>
          <w:b/>
          <w:bCs/>
          <w:color w:val="auto"/>
          <w:szCs w:val="21"/>
        </w:rPr>
        <w:t>采购内容及预算金额</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2535"/>
        <w:gridCol w:w="1501"/>
        <w:gridCol w:w="170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3" w:type="dxa"/>
            <w:noWrap w:val="0"/>
            <w:vAlign w:val="center"/>
          </w:tcPr>
          <w:p>
            <w:pPr>
              <w:snapToGrid w:val="0"/>
              <w:spacing w:line="420" w:lineRule="exact"/>
              <w:jc w:val="center"/>
              <w:rPr>
                <w:rFonts w:hAnsi="宋体" w:cs="宋体"/>
                <w:color w:val="auto"/>
                <w:szCs w:val="21"/>
              </w:rPr>
            </w:pPr>
            <w:r>
              <w:rPr>
                <w:rFonts w:hint="eastAsia" w:hAnsi="宋体" w:cs="宋体"/>
                <w:color w:val="auto"/>
                <w:szCs w:val="21"/>
              </w:rPr>
              <w:t>分标号</w:t>
            </w:r>
          </w:p>
        </w:tc>
        <w:tc>
          <w:tcPr>
            <w:tcW w:w="2535" w:type="dxa"/>
            <w:noWrap w:val="0"/>
            <w:vAlign w:val="center"/>
          </w:tcPr>
          <w:p>
            <w:pPr>
              <w:snapToGrid w:val="0"/>
              <w:spacing w:line="420" w:lineRule="exact"/>
              <w:jc w:val="center"/>
              <w:rPr>
                <w:rFonts w:hAnsi="宋体" w:cs="宋体"/>
                <w:color w:val="auto"/>
                <w:szCs w:val="21"/>
              </w:rPr>
            </w:pPr>
            <w:r>
              <w:rPr>
                <w:rFonts w:hint="eastAsia" w:hAnsi="宋体" w:cs="宋体"/>
                <w:color w:val="auto"/>
                <w:szCs w:val="21"/>
              </w:rPr>
              <w:t>采购货物名称</w:t>
            </w:r>
          </w:p>
        </w:tc>
        <w:tc>
          <w:tcPr>
            <w:tcW w:w="1501" w:type="dxa"/>
            <w:noWrap w:val="0"/>
            <w:vAlign w:val="center"/>
          </w:tcPr>
          <w:p>
            <w:pPr>
              <w:snapToGrid w:val="0"/>
              <w:spacing w:line="420" w:lineRule="exact"/>
              <w:jc w:val="center"/>
              <w:rPr>
                <w:rFonts w:hAnsi="宋体" w:cs="宋体"/>
                <w:color w:val="auto"/>
                <w:szCs w:val="21"/>
              </w:rPr>
            </w:pPr>
            <w:r>
              <w:rPr>
                <w:rFonts w:hint="eastAsia" w:hAnsi="宋体" w:cs="宋体"/>
                <w:color w:val="auto"/>
                <w:szCs w:val="21"/>
              </w:rPr>
              <w:t>数量（台/套）</w:t>
            </w:r>
          </w:p>
        </w:tc>
        <w:tc>
          <w:tcPr>
            <w:tcW w:w="1701" w:type="dxa"/>
            <w:noWrap w:val="0"/>
            <w:vAlign w:val="center"/>
          </w:tcPr>
          <w:p>
            <w:pPr>
              <w:snapToGrid w:val="0"/>
              <w:spacing w:line="420" w:lineRule="exact"/>
              <w:jc w:val="center"/>
              <w:rPr>
                <w:rFonts w:hAnsi="宋体" w:cs="宋体"/>
                <w:color w:val="auto"/>
                <w:szCs w:val="21"/>
              </w:rPr>
            </w:pPr>
            <w:r>
              <w:rPr>
                <w:rFonts w:hint="eastAsia" w:hAnsi="宋体" w:cs="宋体"/>
                <w:color w:val="auto"/>
                <w:szCs w:val="21"/>
              </w:rPr>
              <w:t>单项预算金额</w:t>
            </w:r>
          </w:p>
          <w:p>
            <w:pPr>
              <w:snapToGrid w:val="0"/>
              <w:spacing w:line="420" w:lineRule="exact"/>
              <w:jc w:val="center"/>
              <w:rPr>
                <w:rFonts w:hAnsi="宋体" w:cs="宋体"/>
                <w:color w:val="auto"/>
                <w:szCs w:val="21"/>
              </w:rPr>
            </w:pPr>
            <w:r>
              <w:rPr>
                <w:rFonts w:hint="eastAsia" w:ascii="宋体" w:hAnsi="宋体" w:cs="宋体"/>
                <w:color w:val="auto"/>
                <w:szCs w:val="21"/>
              </w:rPr>
              <w:t>(万元)</w:t>
            </w:r>
          </w:p>
        </w:tc>
        <w:tc>
          <w:tcPr>
            <w:tcW w:w="1985" w:type="dxa"/>
            <w:noWrap w:val="0"/>
            <w:vAlign w:val="center"/>
          </w:tcPr>
          <w:p>
            <w:pPr>
              <w:snapToGrid w:val="0"/>
              <w:spacing w:line="420" w:lineRule="exact"/>
              <w:jc w:val="center"/>
              <w:rPr>
                <w:rFonts w:hAnsi="宋体" w:cs="宋体"/>
                <w:color w:val="auto"/>
                <w:szCs w:val="21"/>
              </w:rPr>
            </w:pPr>
            <w:r>
              <w:rPr>
                <w:rFonts w:hint="eastAsia" w:hAnsi="宋体" w:cs="宋体"/>
                <w:color w:val="auto"/>
                <w:szCs w:val="21"/>
              </w:rPr>
              <w:t>各分标最高限价</w:t>
            </w:r>
            <w:r>
              <w:rPr>
                <w:rFonts w:hint="eastAsia" w:ascii="宋体" w:hAnsi="宋体" w:cs="宋体"/>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53" w:type="dxa"/>
            <w:noWrap w:val="0"/>
            <w:vAlign w:val="center"/>
          </w:tcPr>
          <w:p>
            <w:pPr>
              <w:widowControl/>
              <w:jc w:val="center"/>
              <w:textAlignment w:val="center"/>
              <w:rPr>
                <w:rFonts w:hAnsi="宋体" w:cs="宋体"/>
                <w:color w:val="auto"/>
                <w:szCs w:val="21"/>
              </w:rPr>
            </w:pPr>
            <w:r>
              <w:rPr>
                <w:rFonts w:hint="eastAsia" w:hAnsi="宋体" w:cs="宋体"/>
                <w:color w:val="auto"/>
                <w:kern w:val="0"/>
                <w:sz w:val="20"/>
                <w:szCs w:val="20"/>
                <w:lang w:bidi="ar"/>
              </w:rPr>
              <w:t>A</w:t>
            </w:r>
          </w:p>
        </w:tc>
        <w:tc>
          <w:tcPr>
            <w:tcW w:w="2535" w:type="dxa"/>
            <w:noWrap w:val="0"/>
            <w:vAlign w:val="center"/>
          </w:tcPr>
          <w:p>
            <w:pPr>
              <w:widowControl/>
              <w:jc w:val="center"/>
              <w:textAlignment w:val="center"/>
              <w:rPr>
                <w:rFonts w:hAnsi="宋体" w:cs="宋体"/>
                <w:color w:val="auto"/>
                <w:szCs w:val="21"/>
              </w:rPr>
            </w:pPr>
            <w:r>
              <w:rPr>
                <w:rFonts w:hint="eastAsia" w:hAnsi="宋体" w:cs="宋体"/>
                <w:color w:val="auto"/>
                <w:kern w:val="0"/>
                <w:sz w:val="20"/>
                <w:szCs w:val="20"/>
                <w:lang w:bidi="ar"/>
              </w:rPr>
              <w:t>二氧化碳培养箱（小容量）</w:t>
            </w:r>
          </w:p>
        </w:tc>
        <w:tc>
          <w:tcPr>
            <w:tcW w:w="1501" w:type="dxa"/>
            <w:noWrap w:val="0"/>
            <w:vAlign w:val="center"/>
          </w:tcPr>
          <w:p>
            <w:pPr>
              <w:widowControl/>
              <w:jc w:val="center"/>
              <w:textAlignment w:val="center"/>
              <w:rPr>
                <w:rFonts w:hAnsi="宋体" w:cs="宋体"/>
                <w:color w:val="auto"/>
                <w:szCs w:val="21"/>
              </w:rPr>
            </w:pPr>
            <w:r>
              <w:rPr>
                <w:rFonts w:hint="eastAsia" w:hAnsi="宋体" w:cs="宋体"/>
                <w:color w:val="auto"/>
                <w:kern w:val="0"/>
                <w:sz w:val="20"/>
                <w:szCs w:val="20"/>
                <w:lang w:bidi="ar"/>
              </w:rPr>
              <w:t>8</w:t>
            </w:r>
          </w:p>
        </w:tc>
        <w:tc>
          <w:tcPr>
            <w:tcW w:w="1701" w:type="dxa"/>
            <w:noWrap w:val="0"/>
            <w:vAlign w:val="center"/>
          </w:tcPr>
          <w:p>
            <w:pPr>
              <w:widowControl/>
              <w:jc w:val="center"/>
              <w:textAlignment w:val="center"/>
              <w:rPr>
                <w:rFonts w:hint="eastAsia" w:hAnsi="宋体" w:cs="宋体"/>
                <w:color w:val="auto"/>
                <w:kern w:val="0"/>
                <w:sz w:val="20"/>
                <w:szCs w:val="20"/>
                <w:lang w:bidi="ar"/>
              </w:rPr>
            </w:pPr>
            <w:r>
              <w:rPr>
                <w:rFonts w:hint="eastAsia" w:hAnsi="宋体" w:cs="宋体"/>
                <w:color w:val="auto"/>
                <w:kern w:val="0"/>
                <w:sz w:val="20"/>
                <w:szCs w:val="20"/>
                <w:lang w:bidi="ar"/>
              </w:rPr>
              <w:t xml:space="preserve">8.60 </w:t>
            </w:r>
          </w:p>
        </w:tc>
        <w:tc>
          <w:tcPr>
            <w:tcW w:w="1985" w:type="dxa"/>
            <w:noWrap w:val="0"/>
            <w:vAlign w:val="center"/>
          </w:tcPr>
          <w:p>
            <w:pPr>
              <w:widowControl/>
              <w:jc w:val="center"/>
              <w:textAlignment w:val="center"/>
              <w:rPr>
                <w:rFonts w:hint="eastAsia" w:hAnsi="宋体" w:cs="宋体"/>
                <w:color w:val="auto"/>
                <w:kern w:val="0"/>
                <w:sz w:val="20"/>
                <w:szCs w:val="20"/>
                <w:lang w:bidi="ar"/>
              </w:rPr>
            </w:pPr>
            <w:r>
              <w:rPr>
                <w:rFonts w:hint="eastAsia" w:hAnsi="宋体" w:cs="宋体"/>
                <w:color w:val="auto"/>
                <w:kern w:val="0"/>
                <w:sz w:val="20"/>
                <w:szCs w:val="20"/>
                <w:lang w:bidi="ar"/>
              </w:rPr>
              <w:t xml:space="preserve">68.80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3" w:type="dxa"/>
            <w:noWrap w:val="0"/>
            <w:vAlign w:val="center"/>
          </w:tcPr>
          <w:p>
            <w:pPr>
              <w:widowControl/>
              <w:jc w:val="center"/>
              <w:textAlignment w:val="center"/>
              <w:rPr>
                <w:rFonts w:hAnsi="宋体" w:cs="宋体"/>
                <w:color w:val="auto"/>
                <w:szCs w:val="21"/>
              </w:rPr>
            </w:pPr>
            <w:r>
              <w:rPr>
                <w:rFonts w:hint="eastAsia" w:hAnsi="宋体" w:cs="宋体"/>
                <w:color w:val="auto"/>
                <w:kern w:val="0"/>
                <w:sz w:val="20"/>
                <w:szCs w:val="20"/>
                <w:lang w:bidi="ar"/>
              </w:rPr>
              <w:t>B</w:t>
            </w:r>
          </w:p>
        </w:tc>
        <w:tc>
          <w:tcPr>
            <w:tcW w:w="2535" w:type="dxa"/>
            <w:noWrap w:val="0"/>
            <w:vAlign w:val="center"/>
          </w:tcPr>
          <w:p>
            <w:pPr>
              <w:widowControl/>
              <w:jc w:val="center"/>
              <w:textAlignment w:val="center"/>
              <w:rPr>
                <w:rFonts w:hAnsi="宋体" w:cs="宋体"/>
                <w:color w:val="auto"/>
                <w:szCs w:val="21"/>
              </w:rPr>
            </w:pPr>
            <w:r>
              <w:rPr>
                <w:rFonts w:hint="eastAsia" w:hAnsi="宋体" w:cs="宋体"/>
                <w:color w:val="auto"/>
                <w:kern w:val="0"/>
                <w:sz w:val="20"/>
                <w:szCs w:val="20"/>
                <w:lang w:bidi="ar"/>
              </w:rPr>
              <w:t>二氧化碳培养箱（大容量）</w:t>
            </w:r>
          </w:p>
        </w:tc>
        <w:tc>
          <w:tcPr>
            <w:tcW w:w="1501" w:type="dxa"/>
            <w:noWrap w:val="0"/>
            <w:vAlign w:val="center"/>
          </w:tcPr>
          <w:p>
            <w:pPr>
              <w:widowControl/>
              <w:jc w:val="center"/>
              <w:textAlignment w:val="center"/>
              <w:rPr>
                <w:rFonts w:hAnsi="宋体" w:cs="宋体"/>
                <w:color w:val="auto"/>
                <w:szCs w:val="21"/>
              </w:rPr>
            </w:pPr>
            <w:r>
              <w:rPr>
                <w:rFonts w:hint="eastAsia" w:hAnsi="宋体" w:cs="宋体"/>
                <w:color w:val="auto"/>
                <w:kern w:val="0"/>
                <w:sz w:val="20"/>
                <w:szCs w:val="20"/>
                <w:lang w:bidi="ar"/>
              </w:rPr>
              <w:t>2</w:t>
            </w:r>
          </w:p>
        </w:tc>
        <w:tc>
          <w:tcPr>
            <w:tcW w:w="1701" w:type="dxa"/>
            <w:noWrap w:val="0"/>
            <w:vAlign w:val="center"/>
          </w:tcPr>
          <w:p>
            <w:pPr>
              <w:widowControl/>
              <w:jc w:val="center"/>
              <w:textAlignment w:val="center"/>
              <w:rPr>
                <w:rFonts w:hint="eastAsia" w:hAnsi="宋体" w:cs="宋体"/>
                <w:color w:val="auto"/>
                <w:kern w:val="0"/>
                <w:sz w:val="20"/>
                <w:szCs w:val="20"/>
                <w:lang w:bidi="ar"/>
              </w:rPr>
            </w:pPr>
            <w:r>
              <w:rPr>
                <w:rFonts w:hint="eastAsia" w:hAnsi="宋体" w:cs="宋体"/>
                <w:color w:val="auto"/>
                <w:kern w:val="0"/>
                <w:sz w:val="20"/>
                <w:szCs w:val="20"/>
                <w:lang w:bidi="ar"/>
              </w:rPr>
              <w:t xml:space="preserve">23.60 </w:t>
            </w:r>
          </w:p>
        </w:tc>
        <w:tc>
          <w:tcPr>
            <w:tcW w:w="1985" w:type="dxa"/>
            <w:noWrap w:val="0"/>
            <w:vAlign w:val="center"/>
          </w:tcPr>
          <w:p>
            <w:pPr>
              <w:widowControl/>
              <w:jc w:val="center"/>
              <w:textAlignment w:val="center"/>
              <w:rPr>
                <w:rFonts w:hint="eastAsia" w:hAnsi="宋体" w:cs="宋体"/>
                <w:color w:val="auto"/>
                <w:kern w:val="0"/>
                <w:sz w:val="20"/>
                <w:szCs w:val="20"/>
                <w:lang w:bidi="ar"/>
              </w:rPr>
            </w:pPr>
            <w:r>
              <w:rPr>
                <w:rFonts w:hint="eastAsia" w:hAnsi="宋体" w:cs="宋体"/>
                <w:color w:val="auto"/>
                <w:kern w:val="0"/>
                <w:sz w:val="20"/>
                <w:szCs w:val="20"/>
                <w:lang w:bidi="ar"/>
              </w:rPr>
              <w:t xml:space="preserve">47.20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3" w:type="dxa"/>
            <w:noWrap w:val="0"/>
            <w:vAlign w:val="center"/>
          </w:tcPr>
          <w:p>
            <w:pPr>
              <w:widowControl/>
              <w:jc w:val="center"/>
              <w:textAlignment w:val="center"/>
              <w:rPr>
                <w:rFonts w:hint="eastAsia" w:hAnsi="宋体" w:cs="宋体"/>
                <w:color w:val="auto"/>
                <w:szCs w:val="21"/>
              </w:rPr>
            </w:pPr>
            <w:r>
              <w:rPr>
                <w:rFonts w:hint="eastAsia" w:hAnsi="宋体" w:cs="宋体"/>
                <w:color w:val="auto"/>
                <w:kern w:val="0"/>
                <w:sz w:val="20"/>
                <w:szCs w:val="20"/>
                <w:lang w:bidi="ar"/>
              </w:rPr>
              <w:t>C</w:t>
            </w:r>
          </w:p>
        </w:tc>
        <w:tc>
          <w:tcPr>
            <w:tcW w:w="2535" w:type="dxa"/>
            <w:noWrap w:val="0"/>
            <w:vAlign w:val="center"/>
          </w:tcPr>
          <w:p>
            <w:pPr>
              <w:widowControl/>
              <w:jc w:val="center"/>
              <w:textAlignment w:val="center"/>
              <w:rPr>
                <w:rFonts w:hAnsi="宋体" w:cs="宋体"/>
                <w:color w:val="auto"/>
                <w:szCs w:val="21"/>
              </w:rPr>
            </w:pPr>
            <w:r>
              <w:rPr>
                <w:rFonts w:hint="eastAsia" w:hAnsi="宋体" w:cs="宋体"/>
                <w:color w:val="auto"/>
                <w:kern w:val="0"/>
                <w:sz w:val="20"/>
                <w:szCs w:val="20"/>
                <w:lang w:bidi="ar"/>
              </w:rPr>
              <w:t>时差培养箱</w:t>
            </w:r>
          </w:p>
        </w:tc>
        <w:tc>
          <w:tcPr>
            <w:tcW w:w="1501" w:type="dxa"/>
            <w:noWrap w:val="0"/>
            <w:vAlign w:val="center"/>
          </w:tcPr>
          <w:p>
            <w:pPr>
              <w:widowControl/>
              <w:jc w:val="center"/>
              <w:textAlignment w:val="center"/>
              <w:rPr>
                <w:rFonts w:hAnsi="宋体" w:cs="宋体"/>
                <w:color w:val="auto"/>
                <w:szCs w:val="21"/>
              </w:rPr>
            </w:pPr>
            <w:r>
              <w:rPr>
                <w:rFonts w:hint="eastAsia" w:hAnsi="宋体" w:cs="宋体"/>
                <w:color w:val="auto"/>
                <w:kern w:val="0"/>
                <w:sz w:val="20"/>
                <w:szCs w:val="20"/>
                <w:lang w:bidi="ar"/>
              </w:rPr>
              <w:t>1</w:t>
            </w:r>
          </w:p>
        </w:tc>
        <w:tc>
          <w:tcPr>
            <w:tcW w:w="1701" w:type="dxa"/>
            <w:noWrap w:val="0"/>
            <w:vAlign w:val="center"/>
          </w:tcPr>
          <w:p>
            <w:pPr>
              <w:widowControl/>
              <w:jc w:val="center"/>
              <w:textAlignment w:val="center"/>
              <w:rPr>
                <w:rFonts w:hint="eastAsia" w:hAnsi="宋体" w:cs="宋体"/>
                <w:color w:val="auto"/>
                <w:kern w:val="0"/>
                <w:sz w:val="20"/>
                <w:szCs w:val="20"/>
                <w:lang w:bidi="ar"/>
              </w:rPr>
            </w:pPr>
            <w:r>
              <w:rPr>
                <w:rFonts w:hint="eastAsia" w:hAnsi="宋体" w:cs="宋体"/>
                <w:color w:val="auto"/>
                <w:kern w:val="0"/>
                <w:sz w:val="20"/>
                <w:szCs w:val="20"/>
                <w:lang w:bidi="ar"/>
              </w:rPr>
              <w:t xml:space="preserve">118.00 </w:t>
            </w:r>
          </w:p>
        </w:tc>
        <w:tc>
          <w:tcPr>
            <w:tcW w:w="1985" w:type="dxa"/>
            <w:noWrap w:val="0"/>
            <w:vAlign w:val="center"/>
          </w:tcPr>
          <w:p>
            <w:pPr>
              <w:widowControl/>
              <w:jc w:val="center"/>
              <w:textAlignment w:val="center"/>
              <w:rPr>
                <w:rFonts w:hint="eastAsia" w:hAnsi="宋体" w:cs="宋体"/>
                <w:color w:val="auto"/>
                <w:kern w:val="0"/>
                <w:sz w:val="20"/>
                <w:szCs w:val="20"/>
                <w:lang w:bidi="ar"/>
              </w:rPr>
            </w:pPr>
            <w:r>
              <w:rPr>
                <w:rFonts w:hint="eastAsia" w:hAnsi="宋体" w:cs="宋体"/>
                <w:color w:val="auto"/>
                <w:kern w:val="0"/>
                <w:sz w:val="20"/>
                <w:szCs w:val="20"/>
                <w:lang w:bidi="ar"/>
              </w:rPr>
              <w:t xml:space="preserve">118.00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3" w:type="dxa"/>
            <w:vMerge w:val="restart"/>
            <w:noWrap w:val="0"/>
            <w:vAlign w:val="center"/>
          </w:tcPr>
          <w:p>
            <w:pPr>
              <w:widowControl/>
              <w:jc w:val="center"/>
              <w:textAlignment w:val="center"/>
              <w:rPr>
                <w:rFonts w:hAnsi="宋体" w:cs="宋体"/>
                <w:color w:val="auto"/>
                <w:szCs w:val="21"/>
              </w:rPr>
            </w:pPr>
            <w:r>
              <w:rPr>
                <w:rFonts w:hint="eastAsia" w:hAnsi="宋体" w:cs="宋体"/>
                <w:color w:val="auto"/>
                <w:kern w:val="0"/>
                <w:sz w:val="20"/>
                <w:szCs w:val="20"/>
                <w:lang w:bidi="ar"/>
              </w:rPr>
              <w:t>D</w:t>
            </w:r>
          </w:p>
        </w:tc>
        <w:tc>
          <w:tcPr>
            <w:tcW w:w="2535" w:type="dxa"/>
            <w:noWrap w:val="0"/>
            <w:vAlign w:val="center"/>
          </w:tcPr>
          <w:p>
            <w:pPr>
              <w:widowControl/>
              <w:jc w:val="center"/>
              <w:textAlignment w:val="center"/>
              <w:rPr>
                <w:rFonts w:hAnsi="宋体" w:cs="宋体"/>
                <w:color w:val="auto"/>
                <w:szCs w:val="21"/>
              </w:rPr>
            </w:pPr>
            <w:r>
              <w:rPr>
                <w:rFonts w:hint="eastAsia" w:hAnsi="宋体" w:cs="宋体"/>
                <w:color w:val="auto"/>
                <w:kern w:val="0"/>
                <w:sz w:val="20"/>
                <w:szCs w:val="20"/>
                <w:lang w:bidi="ar"/>
              </w:rPr>
              <w:t>IVF工作站（双人）</w:t>
            </w:r>
          </w:p>
        </w:tc>
        <w:tc>
          <w:tcPr>
            <w:tcW w:w="1501" w:type="dxa"/>
            <w:noWrap w:val="0"/>
            <w:vAlign w:val="center"/>
          </w:tcPr>
          <w:p>
            <w:pPr>
              <w:widowControl/>
              <w:jc w:val="center"/>
              <w:textAlignment w:val="center"/>
              <w:rPr>
                <w:rFonts w:hint="eastAsia" w:hAnsi="宋体" w:eastAsia="宋体" w:cs="宋体"/>
                <w:color w:val="auto"/>
                <w:szCs w:val="21"/>
                <w:lang w:eastAsia="zh-CN"/>
              </w:rPr>
            </w:pPr>
            <w:r>
              <w:rPr>
                <w:rFonts w:hint="eastAsia" w:hAnsi="宋体" w:cs="宋体"/>
                <w:color w:val="auto"/>
                <w:kern w:val="0"/>
                <w:sz w:val="20"/>
                <w:szCs w:val="20"/>
                <w:lang w:val="en-US" w:eastAsia="zh-CN" w:bidi="ar"/>
              </w:rPr>
              <w:t>4</w:t>
            </w:r>
          </w:p>
        </w:tc>
        <w:tc>
          <w:tcPr>
            <w:tcW w:w="1701" w:type="dxa"/>
            <w:noWrap w:val="0"/>
            <w:vAlign w:val="center"/>
          </w:tcPr>
          <w:p>
            <w:pPr>
              <w:widowControl/>
              <w:jc w:val="center"/>
              <w:textAlignment w:val="center"/>
              <w:rPr>
                <w:rFonts w:hint="eastAsia" w:hAnsi="宋体" w:cs="宋体"/>
                <w:color w:val="auto"/>
                <w:kern w:val="0"/>
                <w:sz w:val="20"/>
                <w:szCs w:val="20"/>
                <w:lang w:bidi="ar"/>
              </w:rPr>
            </w:pPr>
            <w:r>
              <w:rPr>
                <w:rFonts w:hint="eastAsia" w:hAnsi="宋体" w:cs="宋体"/>
                <w:color w:val="auto"/>
                <w:kern w:val="0"/>
                <w:sz w:val="20"/>
                <w:szCs w:val="20"/>
                <w:lang w:bidi="ar"/>
              </w:rPr>
              <w:t xml:space="preserve">24.70 </w:t>
            </w:r>
          </w:p>
        </w:tc>
        <w:tc>
          <w:tcPr>
            <w:tcW w:w="1985" w:type="dxa"/>
            <w:vMerge w:val="restart"/>
            <w:noWrap w:val="0"/>
            <w:vAlign w:val="center"/>
          </w:tcPr>
          <w:p>
            <w:pPr>
              <w:widowControl/>
              <w:jc w:val="center"/>
              <w:textAlignment w:val="center"/>
              <w:rPr>
                <w:rFonts w:hint="eastAsia" w:hAnsi="宋体" w:cs="宋体"/>
                <w:color w:val="auto"/>
                <w:kern w:val="0"/>
                <w:sz w:val="20"/>
                <w:szCs w:val="20"/>
                <w:lang w:bidi="ar"/>
              </w:rPr>
            </w:pPr>
            <w:r>
              <w:rPr>
                <w:rFonts w:hint="eastAsia" w:hAnsi="宋体" w:cs="宋体"/>
                <w:color w:val="auto"/>
                <w:kern w:val="0"/>
                <w:sz w:val="20"/>
                <w:szCs w:val="20"/>
                <w:lang w:bidi="ar"/>
              </w:rPr>
              <w:t xml:space="preserve">148.20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3" w:type="dxa"/>
            <w:vMerge w:val="continue"/>
            <w:noWrap w:val="0"/>
            <w:vAlign w:val="center"/>
          </w:tcPr>
          <w:p>
            <w:pPr>
              <w:widowControl/>
              <w:jc w:val="center"/>
              <w:textAlignment w:val="center"/>
              <w:rPr>
                <w:rFonts w:hint="eastAsia" w:hAnsi="宋体" w:cs="宋体"/>
                <w:color w:val="auto"/>
                <w:kern w:val="0"/>
                <w:sz w:val="20"/>
                <w:szCs w:val="20"/>
                <w:lang w:bidi="ar"/>
              </w:rPr>
            </w:pPr>
          </w:p>
        </w:tc>
        <w:tc>
          <w:tcPr>
            <w:tcW w:w="2535" w:type="dxa"/>
            <w:noWrap w:val="0"/>
            <w:vAlign w:val="center"/>
          </w:tcPr>
          <w:p>
            <w:pPr>
              <w:widowControl/>
              <w:jc w:val="center"/>
              <w:textAlignment w:val="center"/>
              <w:rPr>
                <w:rFonts w:hint="eastAsia" w:hAnsi="宋体" w:cs="宋体"/>
                <w:color w:val="auto"/>
                <w:kern w:val="0"/>
                <w:sz w:val="20"/>
                <w:szCs w:val="20"/>
                <w:lang w:bidi="ar"/>
              </w:rPr>
            </w:pPr>
            <w:r>
              <w:rPr>
                <w:rFonts w:hint="eastAsia" w:hAnsi="宋体" w:cs="宋体"/>
                <w:color w:val="auto"/>
                <w:kern w:val="0"/>
                <w:sz w:val="20"/>
                <w:szCs w:val="20"/>
                <w:lang w:bidi="ar"/>
              </w:rPr>
              <w:t>IVF工作站（双人）</w:t>
            </w:r>
          </w:p>
        </w:tc>
        <w:tc>
          <w:tcPr>
            <w:tcW w:w="1501" w:type="dxa"/>
            <w:noWrap w:val="0"/>
            <w:vAlign w:val="center"/>
          </w:tcPr>
          <w:p>
            <w:pPr>
              <w:widowControl/>
              <w:jc w:val="center"/>
              <w:textAlignment w:val="center"/>
              <w:rPr>
                <w:rFonts w:hint="eastAsia" w:hAnsi="宋体" w:eastAsia="宋体" w:cs="宋体"/>
                <w:color w:val="auto"/>
                <w:kern w:val="0"/>
                <w:sz w:val="20"/>
                <w:szCs w:val="20"/>
                <w:lang w:val="en-US" w:eastAsia="zh-CN" w:bidi="ar"/>
              </w:rPr>
            </w:pPr>
            <w:r>
              <w:rPr>
                <w:rFonts w:hint="eastAsia" w:hAnsi="宋体" w:cs="宋体"/>
                <w:color w:val="auto"/>
                <w:kern w:val="0"/>
                <w:sz w:val="20"/>
                <w:szCs w:val="20"/>
                <w:lang w:val="en-US" w:eastAsia="zh-CN" w:bidi="ar"/>
              </w:rPr>
              <w:t>2</w:t>
            </w:r>
          </w:p>
        </w:tc>
        <w:tc>
          <w:tcPr>
            <w:tcW w:w="1701" w:type="dxa"/>
            <w:noWrap w:val="0"/>
            <w:vAlign w:val="center"/>
          </w:tcPr>
          <w:p>
            <w:pPr>
              <w:widowControl/>
              <w:jc w:val="center"/>
              <w:textAlignment w:val="center"/>
              <w:rPr>
                <w:rFonts w:hint="default" w:hAnsi="宋体" w:eastAsia="宋体" w:cs="宋体"/>
                <w:color w:val="auto"/>
                <w:kern w:val="0"/>
                <w:sz w:val="20"/>
                <w:szCs w:val="20"/>
                <w:lang w:val="en-US" w:eastAsia="zh-CN" w:bidi="ar"/>
              </w:rPr>
            </w:pPr>
            <w:r>
              <w:rPr>
                <w:rFonts w:hint="eastAsia" w:hAnsi="宋体" w:cs="宋体"/>
                <w:color w:val="auto"/>
                <w:kern w:val="0"/>
                <w:sz w:val="20"/>
                <w:szCs w:val="20"/>
                <w:lang w:val="en-US" w:eastAsia="zh-CN" w:bidi="ar"/>
              </w:rPr>
              <w:t>24.70</w:t>
            </w:r>
          </w:p>
        </w:tc>
        <w:tc>
          <w:tcPr>
            <w:tcW w:w="1985" w:type="dxa"/>
            <w:vMerge w:val="continue"/>
            <w:noWrap w:val="0"/>
            <w:vAlign w:val="center"/>
          </w:tcPr>
          <w:p>
            <w:pPr>
              <w:widowControl/>
              <w:jc w:val="center"/>
              <w:textAlignment w:val="center"/>
              <w:rPr>
                <w:rFonts w:hint="eastAsia"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3" w:type="dxa"/>
            <w:noWrap w:val="0"/>
            <w:vAlign w:val="center"/>
          </w:tcPr>
          <w:p>
            <w:pPr>
              <w:widowControl/>
              <w:jc w:val="center"/>
              <w:textAlignment w:val="center"/>
              <w:rPr>
                <w:rFonts w:hAnsi="宋体" w:cs="宋体"/>
                <w:color w:val="auto"/>
                <w:szCs w:val="21"/>
              </w:rPr>
            </w:pPr>
            <w:r>
              <w:rPr>
                <w:rFonts w:hint="eastAsia" w:hAnsi="宋体" w:cs="宋体"/>
                <w:color w:val="auto"/>
                <w:kern w:val="0"/>
                <w:sz w:val="20"/>
                <w:szCs w:val="20"/>
                <w:lang w:bidi="ar"/>
              </w:rPr>
              <w:t>E</w:t>
            </w:r>
          </w:p>
        </w:tc>
        <w:tc>
          <w:tcPr>
            <w:tcW w:w="2535" w:type="dxa"/>
            <w:noWrap w:val="0"/>
            <w:vAlign w:val="center"/>
          </w:tcPr>
          <w:p>
            <w:pPr>
              <w:widowControl/>
              <w:jc w:val="center"/>
              <w:textAlignment w:val="center"/>
              <w:rPr>
                <w:rFonts w:hAnsi="宋体" w:cs="宋体"/>
                <w:color w:val="auto"/>
                <w:szCs w:val="21"/>
              </w:rPr>
            </w:pPr>
            <w:r>
              <w:rPr>
                <w:rFonts w:hint="eastAsia" w:hAnsi="宋体" w:cs="宋体"/>
                <w:color w:val="auto"/>
                <w:kern w:val="0"/>
                <w:sz w:val="20"/>
                <w:szCs w:val="20"/>
                <w:lang w:bidi="ar"/>
              </w:rPr>
              <w:t>IVF工作站（单人）</w:t>
            </w:r>
          </w:p>
        </w:tc>
        <w:tc>
          <w:tcPr>
            <w:tcW w:w="1501" w:type="dxa"/>
            <w:noWrap w:val="0"/>
            <w:vAlign w:val="center"/>
          </w:tcPr>
          <w:p>
            <w:pPr>
              <w:widowControl/>
              <w:jc w:val="center"/>
              <w:textAlignment w:val="center"/>
              <w:rPr>
                <w:rFonts w:hAnsi="宋体" w:cs="宋体"/>
                <w:color w:val="auto"/>
                <w:szCs w:val="21"/>
              </w:rPr>
            </w:pPr>
            <w:r>
              <w:rPr>
                <w:rFonts w:hint="eastAsia" w:hAnsi="宋体" w:cs="宋体"/>
                <w:color w:val="auto"/>
                <w:kern w:val="0"/>
                <w:sz w:val="20"/>
                <w:szCs w:val="20"/>
                <w:lang w:bidi="ar"/>
              </w:rPr>
              <w:t>2</w:t>
            </w:r>
          </w:p>
        </w:tc>
        <w:tc>
          <w:tcPr>
            <w:tcW w:w="1701" w:type="dxa"/>
            <w:noWrap w:val="0"/>
            <w:vAlign w:val="center"/>
          </w:tcPr>
          <w:p>
            <w:pPr>
              <w:widowControl/>
              <w:jc w:val="center"/>
              <w:textAlignment w:val="center"/>
              <w:rPr>
                <w:rFonts w:hint="eastAsia" w:hAnsi="宋体" w:cs="宋体"/>
                <w:color w:val="auto"/>
                <w:kern w:val="0"/>
                <w:sz w:val="20"/>
                <w:szCs w:val="20"/>
                <w:lang w:bidi="ar"/>
              </w:rPr>
            </w:pPr>
            <w:r>
              <w:rPr>
                <w:rFonts w:hint="eastAsia" w:hAnsi="宋体" w:cs="宋体"/>
                <w:color w:val="auto"/>
                <w:kern w:val="0"/>
                <w:sz w:val="20"/>
                <w:szCs w:val="20"/>
                <w:lang w:bidi="ar"/>
              </w:rPr>
              <w:t xml:space="preserve">25.00 </w:t>
            </w:r>
          </w:p>
        </w:tc>
        <w:tc>
          <w:tcPr>
            <w:tcW w:w="1985" w:type="dxa"/>
            <w:noWrap w:val="0"/>
            <w:vAlign w:val="center"/>
          </w:tcPr>
          <w:p>
            <w:pPr>
              <w:widowControl/>
              <w:jc w:val="center"/>
              <w:textAlignment w:val="center"/>
              <w:rPr>
                <w:rFonts w:hint="eastAsia" w:hAnsi="宋体" w:cs="宋体"/>
                <w:color w:val="auto"/>
                <w:kern w:val="0"/>
                <w:sz w:val="20"/>
                <w:szCs w:val="20"/>
                <w:lang w:bidi="ar"/>
              </w:rPr>
            </w:pPr>
            <w:r>
              <w:rPr>
                <w:rFonts w:hint="eastAsia" w:hAnsi="宋体" w:cs="宋体"/>
                <w:color w:val="auto"/>
                <w:kern w:val="0"/>
                <w:sz w:val="20"/>
                <w:szCs w:val="20"/>
                <w:lang w:bidi="ar"/>
              </w:rPr>
              <w:t xml:space="preserve">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3" w:type="dxa"/>
            <w:vMerge w:val="restart"/>
            <w:noWrap w:val="0"/>
            <w:vAlign w:val="center"/>
          </w:tcPr>
          <w:p>
            <w:pPr>
              <w:spacing w:line="420" w:lineRule="exact"/>
              <w:jc w:val="center"/>
              <w:rPr>
                <w:rFonts w:hAnsi="宋体"/>
                <w:color w:val="auto"/>
                <w:szCs w:val="21"/>
              </w:rPr>
            </w:pPr>
            <w:r>
              <w:rPr>
                <w:rFonts w:hint="eastAsia" w:hAnsi="宋体"/>
                <w:color w:val="auto"/>
                <w:szCs w:val="21"/>
              </w:rPr>
              <w:t>F</w:t>
            </w:r>
          </w:p>
        </w:tc>
        <w:tc>
          <w:tcPr>
            <w:tcW w:w="2535" w:type="dxa"/>
            <w:noWrap w:val="0"/>
            <w:vAlign w:val="center"/>
          </w:tcPr>
          <w:p>
            <w:pPr>
              <w:widowControl/>
              <w:jc w:val="center"/>
              <w:textAlignment w:val="center"/>
              <w:rPr>
                <w:rFonts w:hAnsi="宋体" w:cs="宋体"/>
                <w:color w:val="auto"/>
                <w:szCs w:val="21"/>
              </w:rPr>
            </w:pPr>
            <w:r>
              <w:rPr>
                <w:rFonts w:hint="eastAsia" w:hAnsi="宋体" w:cs="宋体"/>
                <w:color w:val="auto"/>
                <w:kern w:val="0"/>
                <w:sz w:val="20"/>
                <w:szCs w:val="20"/>
                <w:lang w:bidi="ar"/>
              </w:rPr>
              <w:t>体视显微镜</w:t>
            </w:r>
          </w:p>
        </w:tc>
        <w:tc>
          <w:tcPr>
            <w:tcW w:w="1501" w:type="dxa"/>
            <w:noWrap w:val="0"/>
            <w:vAlign w:val="center"/>
          </w:tcPr>
          <w:p>
            <w:pPr>
              <w:widowControl/>
              <w:jc w:val="center"/>
              <w:textAlignment w:val="center"/>
              <w:rPr>
                <w:rFonts w:hint="eastAsia" w:hAnsi="宋体" w:cs="宋体"/>
                <w:color w:val="auto"/>
                <w:kern w:val="0"/>
                <w:sz w:val="20"/>
                <w:szCs w:val="20"/>
                <w:lang w:bidi="ar"/>
              </w:rPr>
            </w:pPr>
            <w:r>
              <w:rPr>
                <w:rFonts w:hint="eastAsia" w:hAnsi="宋体" w:cs="宋体"/>
                <w:color w:val="auto"/>
                <w:kern w:val="0"/>
                <w:sz w:val="20"/>
                <w:szCs w:val="20"/>
                <w:lang w:bidi="ar"/>
              </w:rPr>
              <w:t>6</w:t>
            </w:r>
          </w:p>
        </w:tc>
        <w:tc>
          <w:tcPr>
            <w:tcW w:w="1701" w:type="dxa"/>
            <w:noWrap w:val="0"/>
            <w:vAlign w:val="center"/>
          </w:tcPr>
          <w:p>
            <w:pPr>
              <w:widowControl/>
              <w:jc w:val="center"/>
              <w:textAlignment w:val="center"/>
              <w:rPr>
                <w:rFonts w:hint="eastAsia" w:hAnsi="宋体" w:cs="宋体"/>
                <w:color w:val="auto"/>
                <w:kern w:val="0"/>
                <w:sz w:val="20"/>
                <w:szCs w:val="20"/>
                <w:lang w:bidi="ar"/>
              </w:rPr>
            </w:pPr>
            <w:r>
              <w:rPr>
                <w:rFonts w:hint="eastAsia" w:hAnsi="宋体" w:cs="宋体"/>
                <w:color w:val="auto"/>
                <w:kern w:val="0"/>
                <w:sz w:val="20"/>
                <w:szCs w:val="20"/>
                <w:lang w:bidi="ar"/>
              </w:rPr>
              <w:t xml:space="preserve">7.46 </w:t>
            </w:r>
          </w:p>
        </w:tc>
        <w:tc>
          <w:tcPr>
            <w:tcW w:w="1985" w:type="dxa"/>
            <w:vMerge w:val="restart"/>
            <w:noWrap w:val="0"/>
            <w:vAlign w:val="center"/>
          </w:tcPr>
          <w:p>
            <w:pPr>
              <w:widowControl/>
              <w:jc w:val="center"/>
              <w:textAlignment w:val="center"/>
              <w:rPr>
                <w:rFonts w:hAnsi="宋体" w:cs="宋体"/>
                <w:color w:val="auto"/>
                <w:kern w:val="0"/>
                <w:sz w:val="20"/>
                <w:szCs w:val="20"/>
                <w:lang w:bidi="ar"/>
              </w:rPr>
            </w:pPr>
            <w:r>
              <w:rPr>
                <w:rFonts w:hint="eastAsia" w:hAnsi="宋体" w:cs="宋体"/>
                <w:color w:val="auto"/>
                <w:kern w:val="0"/>
                <w:sz w:val="20"/>
                <w:szCs w:val="20"/>
                <w:lang w:bidi="ar"/>
              </w:rPr>
              <w:t>132.36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3" w:type="dxa"/>
            <w:vMerge w:val="continue"/>
            <w:noWrap w:val="0"/>
            <w:vAlign w:val="center"/>
          </w:tcPr>
          <w:p>
            <w:pPr>
              <w:spacing w:line="420" w:lineRule="exact"/>
              <w:jc w:val="center"/>
              <w:rPr>
                <w:rFonts w:hAnsi="宋体" w:cs="宋体"/>
                <w:color w:val="auto"/>
                <w:szCs w:val="21"/>
              </w:rPr>
            </w:pPr>
          </w:p>
        </w:tc>
        <w:tc>
          <w:tcPr>
            <w:tcW w:w="2535" w:type="dxa"/>
            <w:noWrap w:val="0"/>
            <w:vAlign w:val="center"/>
          </w:tcPr>
          <w:p>
            <w:pPr>
              <w:widowControl/>
              <w:jc w:val="center"/>
              <w:textAlignment w:val="center"/>
              <w:rPr>
                <w:rFonts w:hAnsi="宋体" w:cs="宋体"/>
                <w:color w:val="auto"/>
                <w:szCs w:val="21"/>
              </w:rPr>
            </w:pPr>
            <w:r>
              <w:rPr>
                <w:rFonts w:hint="eastAsia" w:hAnsi="宋体" w:cs="宋体"/>
                <w:color w:val="auto"/>
                <w:kern w:val="0"/>
                <w:sz w:val="20"/>
                <w:szCs w:val="20"/>
                <w:lang w:bidi="ar"/>
              </w:rPr>
              <w:t>倒置显微镜</w:t>
            </w:r>
          </w:p>
        </w:tc>
        <w:tc>
          <w:tcPr>
            <w:tcW w:w="1501" w:type="dxa"/>
            <w:noWrap w:val="0"/>
            <w:vAlign w:val="center"/>
          </w:tcPr>
          <w:p>
            <w:pPr>
              <w:widowControl/>
              <w:jc w:val="center"/>
              <w:textAlignment w:val="center"/>
              <w:rPr>
                <w:rFonts w:hint="eastAsia" w:hAnsi="宋体" w:cs="宋体"/>
                <w:color w:val="auto"/>
                <w:kern w:val="0"/>
                <w:sz w:val="20"/>
                <w:szCs w:val="20"/>
                <w:lang w:bidi="ar"/>
              </w:rPr>
            </w:pPr>
            <w:r>
              <w:rPr>
                <w:rFonts w:hint="eastAsia" w:hAnsi="宋体" w:cs="宋体"/>
                <w:color w:val="auto"/>
                <w:kern w:val="0"/>
                <w:sz w:val="20"/>
                <w:szCs w:val="20"/>
                <w:lang w:bidi="ar"/>
              </w:rPr>
              <w:t>2</w:t>
            </w:r>
          </w:p>
        </w:tc>
        <w:tc>
          <w:tcPr>
            <w:tcW w:w="1701" w:type="dxa"/>
            <w:noWrap w:val="0"/>
            <w:vAlign w:val="center"/>
          </w:tcPr>
          <w:p>
            <w:pPr>
              <w:widowControl/>
              <w:jc w:val="center"/>
              <w:textAlignment w:val="center"/>
              <w:rPr>
                <w:rFonts w:hint="eastAsia" w:hAnsi="宋体" w:cs="宋体"/>
                <w:color w:val="auto"/>
                <w:kern w:val="0"/>
                <w:sz w:val="20"/>
                <w:szCs w:val="20"/>
                <w:lang w:bidi="ar"/>
              </w:rPr>
            </w:pPr>
            <w:r>
              <w:rPr>
                <w:rFonts w:hint="eastAsia" w:hAnsi="宋体" w:cs="宋体"/>
                <w:color w:val="auto"/>
                <w:kern w:val="0"/>
                <w:sz w:val="20"/>
                <w:szCs w:val="20"/>
                <w:lang w:bidi="ar"/>
              </w:rPr>
              <w:t xml:space="preserve">18.00 </w:t>
            </w:r>
          </w:p>
        </w:tc>
        <w:tc>
          <w:tcPr>
            <w:tcW w:w="1985" w:type="dxa"/>
            <w:vMerge w:val="continue"/>
            <w:noWrap w:val="0"/>
            <w:vAlign w:val="center"/>
          </w:tcPr>
          <w:p>
            <w:pPr>
              <w:widowControl/>
              <w:jc w:val="center"/>
              <w:textAlignment w:val="center"/>
              <w:rPr>
                <w:rFonts w:hint="eastAsia"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3" w:type="dxa"/>
            <w:vMerge w:val="continue"/>
            <w:noWrap w:val="0"/>
            <w:vAlign w:val="center"/>
          </w:tcPr>
          <w:p>
            <w:pPr>
              <w:spacing w:line="420" w:lineRule="exact"/>
              <w:jc w:val="center"/>
              <w:rPr>
                <w:rFonts w:hAnsi="宋体"/>
                <w:color w:val="auto"/>
                <w:szCs w:val="21"/>
              </w:rPr>
            </w:pPr>
          </w:p>
        </w:tc>
        <w:tc>
          <w:tcPr>
            <w:tcW w:w="2535" w:type="dxa"/>
            <w:noWrap w:val="0"/>
            <w:vAlign w:val="center"/>
          </w:tcPr>
          <w:p>
            <w:pPr>
              <w:widowControl/>
              <w:jc w:val="center"/>
              <w:textAlignment w:val="center"/>
              <w:rPr>
                <w:rFonts w:hAnsi="宋体" w:cs="宋体"/>
                <w:color w:val="auto"/>
                <w:szCs w:val="21"/>
              </w:rPr>
            </w:pPr>
            <w:r>
              <w:rPr>
                <w:rFonts w:hint="eastAsia" w:hAnsi="宋体" w:cs="宋体"/>
                <w:color w:val="auto"/>
                <w:kern w:val="0"/>
                <w:sz w:val="20"/>
                <w:szCs w:val="20"/>
                <w:lang w:bidi="ar"/>
              </w:rPr>
              <w:t>显微操作系统</w:t>
            </w:r>
          </w:p>
        </w:tc>
        <w:tc>
          <w:tcPr>
            <w:tcW w:w="1501" w:type="dxa"/>
            <w:noWrap w:val="0"/>
            <w:vAlign w:val="center"/>
          </w:tcPr>
          <w:p>
            <w:pPr>
              <w:widowControl/>
              <w:jc w:val="center"/>
              <w:textAlignment w:val="center"/>
              <w:rPr>
                <w:rFonts w:hint="eastAsia" w:hAnsi="宋体" w:cs="宋体"/>
                <w:color w:val="auto"/>
                <w:kern w:val="0"/>
                <w:sz w:val="20"/>
                <w:szCs w:val="20"/>
                <w:lang w:bidi="ar"/>
              </w:rPr>
            </w:pPr>
            <w:r>
              <w:rPr>
                <w:rFonts w:hint="eastAsia" w:hAnsi="宋体" w:cs="宋体"/>
                <w:color w:val="auto"/>
                <w:kern w:val="0"/>
                <w:sz w:val="20"/>
                <w:szCs w:val="20"/>
                <w:lang w:bidi="ar"/>
              </w:rPr>
              <w:t>2</w:t>
            </w:r>
          </w:p>
        </w:tc>
        <w:tc>
          <w:tcPr>
            <w:tcW w:w="1701" w:type="dxa"/>
            <w:noWrap w:val="0"/>
            <w:vAlign w:val="center"/>
          </w:tcPr>
          <w:p>
            <w:pPr>
              <w:widowControl/>
              <w:jc w:val="center"/>
              <w:textAlignment w:val="center"/>
              <w:rPr>
                <w:rFonts w:hint="eastAsia" w:hAnsi="宋体" w:cs="宋体"/>
                <w:color w:val="auto"/>
                <w:kern w:val="0"/>
                <w:sz w:val="20"/>
                <w:szCs w:val="20"/>
                <w:lang w:bidi="ar"/>
              </w:rPr>
            </w:pPr>
            <w:r>
              <w:rPr>
                <w:rFonts w:hint="eastAsia" w:hAnsi="宋体" w:cs="宋体"/>
                <w:color w:val="auto"/>
                <w:kern w:val="0"/>
                <w:sz w:val="20"/>
                <w:szCs w:val="20"/>
                <w:lang w:bidi="ar"/>
              </w:rPr>
              <w:t xml:space="preserve">25.80 </w:t>
            </w:r>
          </w:p>
        </w:tc>
        <w:tc>
          <w:tcPr>
            <w:tcW w:w="1985" w:type="dxa"/>
            <w:vMerge w:val="continue"/>
            <w:noWrap w:val="0"/>
            <w:vAlign w:val="center"/>
          </w:tcPr>
          <w:p>
            <w:pPr>
              <w:widowControl/>
              <w:jc w:val="center"/>
              <w:textAlignment w:val="center"/>
              <w:rPr>
                <w:rFonts w:hint="eastAsia" w:hAnsi="宋体" w:cs="宋体"/>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3" w:type="dxa"/>
            <w:noWrap w:val="0"/>
            <w:vAlign w:val="center"/>
          </w:tcPr>
          <w:p>
            <w:pPr>
              <w:widowControl/>
              <w:jc w:val="center"/>
              <w:textAlignment w:val="center"/>
              <w:rPr>
                <w:rFonts w:hint="eastAsia" w:hAnsi="宋体"/>
                <w:color w:val="auto"/>
                <w:szCs w:val="21"/>
              </w:rPr>
            </w:pPr>
            <w:r>
              <w:rPr>
                <w:rFonts w:hint="eastAsia" w:hAnsi="宋体" w:cs="宋体"/>
                <w:color w:val="auto"/>
                <w:kern w:val="0"/>
                <w:sz w:val="20"/>
                <w:szCs w:val="20"/>
                <w:lang w:bidi="ar"/>
              </w:rPr>
              <w:t>G</w:t>
            </w:r>
          </w:p>
        </w:tc>
        <w:tc>
          <w:tcPr>
            <w:tcW w:w="2535" w:type="dxa"/>
            <w:noWrap w:val="0"/>
            <w:vAlign w:val="center"/>
          </w:tcPr>
          <w:p>
            <w:pPr>
              <w:widowControl/>
              <w:jc w:val="center"/>
              <w:textAlignment w:val="center"/>
              <w:rPr>
                <w:rFonts w:hAnsi="宋体" w:cs="宋体"/>
                <w:color w:val="auto"/>
                <w:szCs w:val="21"/>
              </w:rPr>
            </w:pPr>
            <w:r>
              <w:rPr>
                <w:rFonts w:hint="eastAsia" w:hAnsi="宋体" w:cs="宋体"/>
                <w:color w:val="auto"/>
                <w:kern w:val="0"/>
                <w:sz w:val="20"/>
                <w:szCs w:val="20"/>
                <w:lang w:bidi="ar"/>
              </w:rPr>
              <w:t>激光破膜仪</w:t>
            </w:r>
          </w:p>
        </w:tc>
        <w:tc>
          <w:tcPr>
            <w:tcW w:w="1501" w:type="dxa"/>
            <w:noWrap w:val="0"/>
            <w:vAlign w:val="center"/>
          </w:tcPr>
          <w:p>
            <w:pPr>
              <w:widowControl/>
              <w:jc w:val="center"/>
              <w:textAlignment w:val="center"/>
              <w:rPr>
                <w:rFonts w:hint="eastAsia" w:hAnsi="宋体" w:cs="宋体"/>
                <w:color w:val="auto"/>
                <w:kern w:val="0"/>
                <w:sz w:val="20"/>
                <w:szCs w:val="20"/>
                <w:lang w:bidi="ar"/>
              </w:rPr>
            </w:pPr>
            <w:r>
              <w:rPr>
                <w:rFonts w:hint="eastAsia" w:hAnsi="宋体" w:cs="宋体"/>
                <w:color w:val="auto"/>
                <w:kern w:val="0"/>
                <w:sz w:val="20"/>
                <w:szCs w:val="20"/>
                <w:lang w:bidi="ar"/>
              </w:rPr>
              <w:t>2</w:t>
            </w:r>
          </w:p>
        </w:tc>
        <w:tc>
          <w:tcPr>
            <w:tcW w:w="1701" w:type="dxa"/>
            <w:noWrap w:val="0"/>
            <w:vAlign w:val="center"/>
          </w:tcPr>
          <w:p>
            <w:pPr>
              <w:widowControl/>
              <w:jc w:val="center"/>
              <w:textAlignment w:val="center"/>
              <w:rPr>
                <w:rFonts w:hint="eastAsia" w:hAnsi="宋体" w:cs="宋体"/>
                <w:color w:val="auto"/>
                <w:kern w:val="0"/>
                <w:sz w:val="20"/>
                <w:szCs w:val="20"/>
                <w:lang w:bidi="ar"/>
              </w:rPr>
            </w:pPr>
            <w:r>
              <w:rPr>
                <w:rFonts w:hint="eastAsia" w:hAnsi="宋体" w:cs="宋体"/>
                <w:color w:val="auto"/>
                <w:kern w:val="0"/>
                <w:sz w:val="20"/>
                <w:szCs w:val="20"/>
                <w:lang w:bidi="ar"/>
              </w:rPr>
              <w:t xml:space="preserve">33.80 </w:t>
            </w:r>
          </w:p>
        </w:tc>
        <w:tc>
          <w:tcPr>
            <w:tcW w:w="1985" w:type="dxa"/>
            <w:noWrap w:val="0"/>
            <w:vAlign w:val="center"/>
          </w:tcPr>
          <w:p>
            <w:pPr>
              <w:widowControl/>
              <w:jc w:val="center"/>
              <w:textAlignment w:val="center"/>
              <w:rPr>
                <w:rFonts w:hint="eastAsia" w:hAnsi="宋体" w:cs="宋体"/>
                <w:color w:val="auto"/>
                <w:kern w:val="0"/>
                <w:sz w:val="20"/>
                <w:szCs w:val="20"/>
                <w:lang w:bidi="ar"/>
              </w:rPr>
            </w:pPr>
            <w:r>
              <w:rPr>
                <w:rFonts w:hint="eastAsia" w:hAnsi="宋体" w:cs="宋体"/>
                <w:color w:val="auto"/>
                <w:kern w:val="0"/>
                <w:sz w:val="20"/>
                <w:szCs w:val="20"/>
                <w:lang w:bidi="ar"/>
              </w:rPr>
              <w:t xml:space="preserve">67.60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3" w:type="dxa"/>
            <w:noWrap w:val="0"/>
            <w:vAlign w:val="center"/>
          </w:tcPr>
          <w:p>
            <w:pPr>
              <w:widowControl/>
              <w:jc w:val="center"/>
              <w:textAlignment w:val="center"/>
              <w:rPr>
                <w:rFonts w:hint="eastAsia" w:hAnsi="宋体"/>
                <w:color w:val="auto"/>
                <w:szCs w:val="21"/>
              </w:rPr>
            </w:pPr>
            <w:r>
              <w:rPr>
                <w:rFonts w:hint="eastAsia" w:hAnsi="宋体" w:cs="宋体"/>
                <w:color w:val="auto"/>
                <w:kern w:val="0"/>
                <w:sz w:val="20"/>
                <w:szCs w:val="20"/>
                <w:lang w:bidi="ar"/>
              </w:rPr>
              <w:t>H</w:t>
            </w:r>
          </w:p>
        </w:tc>
        <w:tc>
          <w:tcPr>
            <w:tcW w:w="2535" w:type="dxa"/>
            <w:noWrap w:val="0"/>
            <w:vAlign w:val="center"/>
          </w:tcPr>
          <w:p>
            <w:pPr>
              <w:widowControl/>
              <w:jc w:val="center"/>
              <w:textAlignment w:val="center"/>
              <w:rPr>
                <w:rFonts w:hint="eastAsia" w:hAnsi="宋体"/>
                <w:color w:val="auto"/>
                <w:szCs w:val="21"/>
              </w:rPr>
            </w:pPr>
            <w:r>
              <w:rPr>
                <w:rFonts w:hint="eastAsia" w:hAnsi="宋体" w:cs="宋体"/>
                <w:color w:val="auto"/>
                <w:kern w:val="0"/>
                <w:sz w:val="20"/>
                <w:szCs w:val="20"/>
                <w:lang w:bidi="ar"/>
              </w:rPr>
              <w:t>睡眠监测仪（筛查型）</w:t>
            </w:r>
          </w:p>
        </w:tc>
        <w:tc>
          <w:tcPr>
            <w:tcW w:w="1501" w:type="dxa"/>
            <w:noWrap w:val="0"/>
            <w:vAlign w:val="center"/>
          </w:tcPr>
          <w:p>
            <w:pPr>
              <w:widowControl/>
              <w:jc w:val="center"/>
              <w:textAlignment w:val="center"/>
              <w:rPr>
                <w:rFonts w:hint="eastAsia" w:hAnsi="宋体"/>
                <w:color w:val="auto"/>
                <w:szCs w:val="21"/>
              </w:rPr>
            </w:pPr>
            <w:r>
              <w:rPr>
                <w:rFonts w:hint="eastAsia" w:hAnsi="宋体" w:cs="宋体"/>
                <w:color w:val="auto"/>
                <w:kern w:val="0"/>
                <w:sz w:val="20"/>
                <w:szCs w:val="20"/>
                <w:lang w:bidi="ar"/>
              </w:rPr>
              <w:t>4</w:t>
            </w:r>
          </w:p>
        </w:tc>
        <w:tc>
          <w:tcPr>
            <w:tcW w:w="1701" w:type="dxa"/>
            <w:noWrap w:val="0"/>
            <w:vAlign w:val="center"/>
          </w:tcPr>
          <w:p>
            <w:pPr>
              <w:widowControl/>
              <w:jc w:val="center"/>
              <w:textAlignment w:val="center"/>
              <w:rPr>
                <w:rFonts w:hint="eastAsia" w:hAnsi="宋体" w:cs="宋体"/>
                <w:color w:val="auto"/>
                <w:kern w:val="0"/>
                <w:sz w:val="20"/>
                <w:szCs w:val="20"/>
                <w:lang w:bidi="ar"/>
              </w:rPr>
            </w:pPr>
            <w:r>
              <w:rPr>
                <w:rFonts w:hint="eastAsia" w:hAnsi="宋体" w:cs="宋体"/>
                <w:color w:val="auto"/>
                <w:kern w:val="0"/>
                <w:sz w:val="20"/>
                <w:szCs w:val="20"/>
                <w:lang w:bidi="ar"/>
              </w:rPr>
              <w:t xml:space="preserve">8.00 </w:t>
            </w:r>
          </w:p>
        </w:tc>
        <w:tc>
          <w:tcPr>
            <w:tcW w:w="1985" w:type="dxa"/>
            <w:noWrap w:val="0"/>
            <w:vAlign w:val="center"/>
          </w:tcPr>
          <w:p>
            <w:pPr>
              <w:widowControl/>
              <w:jc w:val="center"/>
              <w:textAlignment w:val="center"/>
              <w:rPr>
                <w:rFonts w:hint="eastAsia" w:hAnsi="宋体" w:cs="宋体"/>
                <w:color w:val="auto"/>
                <w:kern w:val="0"/>
                <w:sz w:val="20"/>
                <w:szCs w:val="20"/>
                <w:lang w:bidi="ar"/>
              </w:rPr>
            </w:pPr>
            <w:r>
              <w:rPr>
                <w:rFonts w:hint="eastAsia" w:hAnsi="宋体" w:cs="宋体"/>
                <w:color w:val="auto"/>
                <w:kern w:val="0"/>
                <w:sz w:val="20"/>
                <w:szCs w:val="20"/>
                <w:lang w:bidi="ar"/>
              </w:rPr>
              <w:t xml:space="preserve">32.00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675" w:type="dxa"/>
            <w:gridSpan w:val="5"/>
            <w:noWrap w:val="0"/>
            <w:vAlign w:val="center"/>
          </w:tcPr>
          <w:p>
            <w:pPr>
              <w:spacing w:line="420" w:lineRule="exact"/>
              <w:jc w:val="left"/>
              <w:rPr>
                <w:rFonts w:hAnsi="宋体" w:cs="宋体"/>
                <w:color w:val="auto"/>
                <w:szCs w:val="21"/>
              </w:rPr>
            </w:pPr>
            <w:r>
              <w:rPr>
                <w:rFonts w:hint="eastAsia" w:hAnsi="宋体" w:cs="宋体"/>
                <w:color w:val="auto"/>
                <w:szCs w:val="21"/>
              </w:rPr>
              <w:t>合计：¥664.16万元（陆佰陆拾肆万壹仟陆佰元整）</w:t>
            </w:r>
          </w:p>
        </w:tc>
      </w:tr>
    </w:tbl>
    <w:p>
      <w:pPr>
        <w:snapToGrid w:val="0"/>
        <w:spacing w:line="420" w:lineRule="exact"/>
        <w:ind w:left="424" w:leftChars="202"/>
        <w:contextualSpacing/>
        <w:rPr>
          <w:rFonts w:hint="eastAsia" w:hAnsi="宋体" w:cs="Arial"/>
          <w:color w:val="auto"/>
          <w:szCs w:val="21"/>
        </w:rPr>
      </w:pPr>
      <w:r>
        <w:rPr>
          <w:rFonts w:hint="eastAsia" w:hAnsi="宋体" w:cs="Arial"/>
          <w:color w:val="auto"/>
          <w:szCs w:val="21"/>
        </w:rPr>
        <w:t>允许同一投标人参与所有标段的投标及中标；</w:t>
      </w:r>
    </w:p>
    <w:p>
      <w:pPr>
        <w:snapToGrid w:val="0"/>
        <w:spacing w:line="420" w:lineRule="exact"/>
        <w:ind w:left="424" w:leftChars="202"/>
        <w:contextualSpacing/>
        <w:rPr>
          <w:rFonts w:hAnsi="宋体" w:cs="Arial"/>
          <w:bCs/>
          <w:color w:val="auto"/>
          <w:szCs w:val="21"/>
        </w:rPr>
      </w:pPr>
      <w:r>
        <w:rPr>
          <w:rFonts w:hint="eastAsia" w:hAnsi="宋体" w:cs="Arial"/>
          <w:color w:val="auto"/>
          <w:szCs w:val="21"/>
        </w:rPr>
        <w:t>交货期：</w:t>
      </w:r>
      <w:r>
        <w:rPr>
          <w:rFonts w:hint="eastAsia" w:hAnsi="宋体" w:cs="Arial"/>
          <w:bCs/>
          <w:color w:val="auto"/>
          <w:szCs w:val="21"/>
        </w:rPr>
        <w:t>（国产货物）自签订合同之日起1个月内全部货物交货完毕。</w:t>
      </w:r>
    </w:p>
    <w:p>
      <w:pPr>
        <w:snapToGrid w:val="0"/>
        <w:spacing w:line="420" w:lineRule="exact"/>
        <w:ind w:left="424" w:leftChars="202" w:firstLine="840" w:firstLineChars="400"/>
        <w:contextualSpacing/>
        <w:rPr>
          <w:rFonts w:hAnsi="宋体" w:cs="Arial"/>
          <w:color w:val="auto"/>
          <w:szCs w:val="21"/>
        </w:rPr>
      </w:pPr>
      <w:r>
        <w:rPr>
          <w:rFonts w:hint="eastAsia" w:hAnsi="宋体" w:cs="Arial"/>
          <w:bCs/>
          <w:color w:val="auto"/>
          <w:szCs w:val="21"/>
        </w:rPr>
        <w:t>（进口货物）自签订合同之日起3个月内全部货物交货完毕。</w:t>
      </w:r>
    </w:p>
    <w:p>
      <w:pPr>
        <w:snapToGrid w:val="0"/>
        <w:spacing w:line="420" w:lineRule="exact"/>
        <w:contextualSpacing/>
        <w:rPr>
          <w:rFonts w:hAnsi="宋体" w:cs="Arial"/>
          <w:b/>
          <w:bCs/>
          <w:color w:val="auto"/>
          <w:szCs w:val="21"/>
        </w:rPr>
      </w:pPr>
      <w:r>
        <w:rPr>
          <w:rFonts w:hint="eastAsia" w:hAnsi="宋体" w:cs="Arial"/>
          <w:b/>
          <w:color w:val="auto"/>
          <w:szCs w:val="21"/>
        </w:rPr>
        <w:t>五</w:t>
      </w:r>
      <w:r>
        <w:rPr>
          <w:rFonts w:hint="eastAsia" w:hAnsi="宋体" w:cs="Arial"/>
          <w:color w:val="auto"/>
          <w:szCs w:val="21"/>
        </w:rPr>
        <w:t>、</w:t>
      </w:r>
      <w:r>
        <w:rPr>
          <w:rFonts w:hint="eastAsia" w:hAnsi="宋体" w:cs="Arial"/>
          <w:b/>
          <w:bCs/>
          <w:color w:val="auto"/>
          <w:szCs w:val="21"/>
        </w:rPr>
        <w:t>投标人的资格要求</w:t>
      </w:r>
    </w:p>
    <w:p>
      <w:pPr>
        <w:spacing w:line="420" w:lineRule="exact"/>
        <w:ind w:firstLine="424" w:firstLineChars="202"/>
        <w:contextualSpacing/>
        <w:rPr>
          <w:rFonts w:hAnsi="宋体"/>
          <w:color w:val="auto"/>
          <w:kern w:val="48"/>
          <w:szCs w:val="21"/>
        </w:rPr>
      </w:pPr>
      <w:r>
        <w:rPr>
          <w:rFonts w:hint="eastAsia" w:hAnsi="宋体"/>
          <w:color w:val="auto"/>
          <w:kern w:val="48"/>
          <w:szCs w:val="21"/>
        </w:rPr>
        <w:t>1、符合《中华人民共和国政府采购法》第二十二条的规定。</w:t>
      </w:r>
    </w:p>
    <w:p>
      <w:pPr>
        <w:spacing w:line="420" w:lineRule="exact"/>
        <w:ind w:firstLine="424" w:firstLineChars="202"/>
        <w:contextualSpacing/>
        <w:rPr>
          <w:rFonts w:hAnsi="宋体"/>
          <w:color w:val="auto"/>
          <w:kern w:val="48"/>
          <w:szCs w:val="21"/>
        </w:rPr>
      </w:pPr>
      <w:r>
        <w:rPr>
          <w:rFonts w:hint="eastAsia" w:hAnsi="宋体"/>
          <w:color w:val="auto"/>
          <w:kern w:val="48"/>
          <w:szCs w:val="21"/>
        </w:rPr>
        <w:t>2、国内注册（指按国家有关规定要求注册的）能够提供生产或经营本次采购货物能力，并具备法人资格。</w:t>
      </w:r>
    </w:p>
    <w:p>
      <w:pPr>
        <w:spacing w:line="420" w:lineRule="exact"/>
        <w:ind w:firstLine="424" w:firstLineChars="202"/>
        <w:contextualSpacing/>
        <w:rPr>
          <w:rFonts w:hAnsi="宋体"/>
          <w:color w:val="auto"/>
          <w:kern w:val="48"/>
          <w:szCs w:val="21"/>
        </w:rPr>
      </w:pPr>
      <w:r>
        <w:rPr>
          <w:rFonts w:hint="eastAsia" w:hAnsi="宋体"/>
          <w:color w:val="auto"/>
          <w:kern w:val="48"/>
          <w:szCs w:val="21"/>
        </w:rPr>
        <w:t>3、对在“信用中国”网站</w:t>
      </w:r>
      <w:r>
        <w:rPr>
          <w:rFonts w:hint="eastAsia" w:ascii="宋体" w:hAnsi="宋体" w:cs="宋体"/>
          <w:color w:val="auto"/>
          <w:kern w:val="48"/>
          <w:szCs w:val="21"/>
        </w:rPr>
        <w:t>(www.creditchina.gov.cn)、中国政府采购网(www.ccgp.gov.cn)</w:t>
      </w:r>
      <w:r>
        <w:rPr>
          <w:rFonts w:hint="eastAsia" w:hAnsi="宋体"/>
          <w:color w:val="auto"/>
          <w:kern w:val="48"/>
          <w:szCs w:val="21"/>
        </w:rPr>
        <w:t xml:space="preserve">等渠道列入失信被执行人、重大税收违法案件当事人名单、政府采购严重违法失信行为记录名单及其他不符合《中华人民共和国政府采购法》第二十二条规定条件的供应商，不得参与政府采购活动。  </w:t>
      </w:r>
    </w:p>
    <w:p>
      <w:pPr>
        <w:spacing w:line="420" w:lineRule="exact"/>
        <w:ind w:firstLine="424" w:firstLineChars="202"/>
        <w:contextualSpacing/>
        <w:rPr>
          <w:rFonts w:hAnsi="宋体"/>
          <w:color w:val="auto"/>
          <w:kern w:val="48"/>
          <w:szCs w:val="21"/>
        </w:rPr>
      </w:pPr>
      <w:r>
        <w:rPr>
          <w:rFonts w:hint="eastAsia" w:hAnsi="宋体"/>
          <w:color w:val="auto"/>
          <w:kern w:val="48"/>
          <w:szCs w:val="21"/>
        </w:rPr>
        <w:t>4、投标人须具备由食品药品监督管理部门颁发的有效的证件（生产企业：生产第一类医疗器械须提供《第一类医疗器械生产备案凭证》，生产第二、三类医疗器械须提供《医疗器械生产许可证》；</w:t>
      </w:r>
      <w:r>
        <w:rPr>
          <w:rFonts w:hint="eastAsia" w:hAnsi="宋体"/>
          <w:color w:val="auto"/>
          <w:kern w:val="48"/>
          <w:szCs w:val="21"/>
        </w:rPr>
        <w:t>经营企业经营第二类医疗器械的须提供《第二类医疗器械经营备案凭证》</w:t>
      </w:r>
      <w:r>
        <w:rPr>
          <w:rFonts w:hint="eastAsia" w:hAnsi="宋体"/>
          <w:color w:val="auto"/>
          <w:kern w:val="48"/>
          <w:szCs w:val="21"/>
        </w:rPr>
        <w:t>，</w:t>
      </w:r>
      <w:r>
        <w:rPr>
          <w:rFonts w:hint="eastAsia" w:hAnsi="宋体"/>
          <w:color w:val="auto"/>
          <w:kern w:val="48"/>
          <w:szCs w:val="21"/>
        </w:rPr>
        <w:t>经营第三类医疗器械的须提供《医疗器械经营许可证》）。</w:t>
      </w:r>
    </w:p>
    <w:p>
      <w:pPr>
        <w:spacing w:line="420" w:lineRule="exact"/>
        <w:ind w:firstLine="424" w:firstLineChars="202"/>
        <w:contextualSpacing/>
        <w:rPr>
          <w:rFonts w:hAnsi="宋体"/>
          <w:color w:val="auto"/>
          <w:kern w:val="48"/>
          <w:szCs w:val="21"/>
        </w:rPr>
      </w:pPr>
      <w:r>
        <w:rPr>
          <w:rFonts w:hint="eastAsia" w:hAnsi="宋体"/>
          <w:color w:val="auto"/>
          <w:kern w:val="48"/>
          <w:szCs w:val="21"/>
        </w:rPr>
        <w:t>5、不接受未购买纸质招标文件的投标人参与投标。</w:t>
      </w:r>
    </w:p>
    <w:p>
      <w:pPr>
        <w:spacing w:line="420" w:lineRule="exact"/>
        <w:ind w:firstLine="424" w:firstLineChars="202"/>
        <w:contextualSpacing/>
        <w:rPr>
          <w:rFonts w:hAnsi="宋体"/>
          <w:color w:val="auto"/>
          <w:kern w:val="48"/>
          <w:szCs w:val="21"/>
        </w:rPr>
      </w:pPr>
      <w:r>
        <w:rPr>
          <w:rFonts w:hint="eastAsia" w:hAnsi="宋体"/>
          <w:color w:val="auto"/>
          <w:kern w:val="48"/>
          <w:szCs w:val="21"/>
        </w:rPr>
        <w:t>6、本项目不接受联合体投标。</w:t>
      </w:r>
    </w:p>
    <w:p>
      <w:pPr>
        <w:snapToGrid w:val="0"/>
        <w:spacing w:line="420" w:lineRule="exact"/>
        <w:contextualSpacing/>
        <w:rPr>
          <w:rFonts w:hAnsi="宋体" w:cs="Arial"/>
          <w:b/>
          <w:bCs/>
          <w:color w:val="auto"/>
          <w:szCs w:val="21"/>
        </w:rPr>
      </w:pPr>
      <w:r>
        <w:rPr>
          <w:rFonts w:hint="eastAsia" w:hAnsi="宋体" w:cs="Arial"/>
          <w:b/>
          <w:bCs/>
          <w:color w:val="auto"/>
          <w:szCs w:val="21"/>
        </w:rPr>
        <w:t>六、本次采购需落实的采购政策</w:t>
      </w:r>
    </w:p>
    <w:p>
      <w:pPr>
        <w:spacing w:line="420" w:lineRule="exact"/>
        <w:ind w:firstLine="420" w:firstLineChars="200"/>
        <w:contextualSpacing/>
        <w:rPr>
          <w:rFonts w:hAnsi="宋体"/>
          <w:color w:val="auto"/>
          <w:kern w:val="48"/>
          <w:szCs w:val="21"/>
        </w:rPr>
      </w:pPr>
      <w:r>
        <w:rPr>
          <w:rFonts w:hint="eastAsia" w:hAnsi="宋体"/>
          <w:color w:val="auto"/>
          <w:kern w:val="48"/>
          <w:szCs w:val="21"/>
        </w:rPr>
        <w:t>1、《财政部关于在政府采购活动中查询及使用信用记录有关问题的通知》（财库</w:t>
      </w:r>
      <w:r>
        <w:rPr>
          <w:rFonts w:hint="eastAsia" w:hAnsi="宋体"/>
          <w:color w:val="auto"/>
          <w:szCs w:val="21"/>
        </w:rPr>
        <w:t>〔</w:t>
      </w:r>
      <w:r>
        <w:rPr>
          <w:rFonts w:hint="eastAsia" w:hAnsi="宋体"/>
          <w:color w:val="auto"/>
          <w:kern w:val="48"/>
          <w:szCs w:val="21"/>
        </w:rPr>
        <w:t>2016</w:t>
      </w:r>
      <w:r>
        <w:rPr>
          <w:rFonts w:hint="eastAsia" w:hAnsi="宋体"/>
          <w:color w:val="auto"/>
          <w:szCs w:val="21"/>
        </w:rPr>
        <w:t>〕</w:t>
      </w:r>
      <w:r>
        <w:rPr>
          <w:rFonts w:hint="eastAsia" w:hAnsi="宋体"/>
          <w:color w:val="auto"/>
          <w:kern w:val="48"/>
          <w:szCs w:val="21"/>
        </w:rPr>
        <w:t>125号）</w:t>
      </w:r>
    </w:p>
    <w:p>
      <w:pPr>
        <w:spacing w:line="420" w:lineRule="exact"/>
        <w:ind w:firstLine="420" w:firstLineChars="200"/>
        <w:contextualSpacing/>
        <w:rPr>
          <w:rFonts w:hAnsi="宋体"/>
          <w:color w:val="auto"/>
          <w:kern w:val="48"/>
          <w:szCs w:val="21"/>
        </w:rPr>
      </w:pPr>
      <w:r>
        <w:rPr>
          <w:rFonts w:hint="eastAsia" w:hAnsi="宋体"/>
          <w:color w:val="auto"/>
          <w:kern w:val="48"/>
          <w:szCs w:val="21"/>
        </w:rPr>
        <w:t>2、《政府采购促进中小企业发展暂行办法》（财库</w:t>
      </w:r>
      <w:r>
        <w:rPr>
          <w:rFonts w:hint="eastAsia" w:hAnsi="宋体"/>
          <w:color w:val="auto"/>
          <w:szCs w:val="21"/>
        </w:rPr>
        <w:t>〔</w:t>
      </w:r>
      <w:r>
        <w:rPr>
          <w:rFonts w:hint="eastAsia" w:hAnsi="宋体"/>
          <w:color w:val="auto"/>
          <w:kern w:val="48"/>
          <w:szCs w:val="21"/>
        </w:rPr>
        <w:t>2011</w:t>
      </w:r>
      <w:r>
        <w:rPr>
          <w:rFonts w:hint="eastAsia" w:hAnsi="宋体"/>
          <w:color w:val="auto"/>
          <w:szCs w:val="21"/>
        </w:rPr>
        <w:t>〕</w:t>
      </w:r>
      <w:r>
        <w:rPr>
          <w:rFonts w:hint="eastAsia" w:hAnsi="宋体"/>
          <w:color w:val="auto"/>
          <w:kern w:val="48"/>
          <w:szCs w:val="21"/>
        </w:rPr>
        <w:t>181号）</w:t>
      </w:r>
    </w:p>
    <w:p>
      <w:pPr>
        <w:pStyle w:val="3"/>
        <w:spacing w:line="420" w:lineRule="exact"/>
        <w:ind w:right="191" w:rightChars="91" w:firstLine="404" w:firstLineChars="200"/>
        <w:contextualSpacing/>
        <w:rPr>
          <w:rFonts w:ascii="Calibri" w:hAnsi="宋体"/>
          <w:color w:val="auto"/>
          <w:kern w:val="48"/>
          <w:sz w:val="21"/>
          <w:szCs w:val="21"/>
        </w:rPr>
      </w:pPr>
      <w:r>
        <w:rPr>
          <w:rFonts w:hint="eastAsia" w:ascii="Calibri" w:hAnsi="宋体"/>
          <w:color w:val="auto"/>
          <w:kern w:val="48"/>
          <w:sz w:val="21"/>
          <w:szCs w:val="21"/>
        </w:rPr>
        <w:t>3、《关于我区政府采购支持监狱企业发展有关问题的通知》（桂财采</w:t>
      </w:r>
      <w:r>
        <w:rPr>
          <w:rFonts w:hint="eastAsia" w:ascii="Calibri" w:hAnsi="宋体"/>
          <w:color w:val="auto"/>
          <w:sz w:val="21"/>
          <w:szCs w:val="21"/>
        </w:rPr>
        <w:t>〔</w:t>
      </w:r>
      <w:r>
        <w:rPr>
          <w:rFonts w:hint="eastAsia" w:ascii="Calibri" w:hAnsi="宋体"/>
          <w:color w:val="auto"/>
          <w:kern w:val="48"/>
          <w:sz w:val="21"/>
          <w:szCs w:val="21"/>
        </w:rPr>
        <w:t>2015</w:t>
      </w:r>
      <w:r>
        <w:rPr>
          <w:rFonts w:hint="eastAsia" w:ascii="Calibri" w:hAnsi="宋体"/>
          <w:color w:val="auto"/>
          <w:sz w:val="21"/>
          <w:szCs w:val="21"/>
        </w:rPr>
        <w:t>〕</w:t>
      </w:r>
      <w:r>
        <w:rPr>
          <w:rFonts w:hint="eastAsia" w:ascii="Calibri" w:hAnsi="宋体"/>
          <w:color w:val="auto"/>
          <w:kern w:val="48"/>
          <w:sz w:val="21"/>
          <w:szCs w:val="21"/>
        </w:rPr>
        <w:t>24号）</w:t>
      </w:r>
    </w:p>
    <w:p>
      <w:pPr>
        <w:pStyle w:val="3"/>
        <w:spacing w:line="420" w:lineRule="exact"/>
        <w:ind w:right="191" w:rightChars="91" w:firstLine="404" w:firstLineChars="200"/>
        <w:contextualSpacing/>
        <w:rPr>
          <w:rFonts w:ascii="Calibri" w:hAnsi="宋体"/>
          <w:color w:val="auto"/>
          <w:kern w:val="48"/>
          <w:sz w:val="21"/>
          <w:szCs w:val="21"/>
        </w:rPr>
      </w:pPr>
      <w:r>
        <w:rPr>
          <w:rFonts w:hint="eastAsia" w:ascii="Calibri" w:hAnsi="宋体"/>
          <w:color w:val="auto"/>
          <w:kern w:val="48"/>
          <w:sz w:val="21"/>
          <w:szCs w:val="21"/>
        </w:rPr>
        <w:t>4、《关于促进残疾人就业政府采购政策的通知》财库</w:t>
      </w:r>
      <w:r>
        <w:rPr>
          <w:rFonts w:hint="eastAsia" w:ascii="Calibri" w:hAnsi="宋体"/>
          <w:color w:val="auto"/>
          <w:sz w:val="21"/>
          <w:szCs w:val="21"/>
        </w:rPr>
        <w:t>〔</w:t>
      </w:r>
      <w:r>
        <w:rPr>
          <w:rFonts w:hint="eastAsia" w:ascii="Calibri" w:hAnsi="宋体"/>
          <w:color w:val="auto"/>
          <w:kern w:val="48"/>
          <w:sz w:val="21"/>
          <w:szCs w:val="21"/>
        </w:rPr>
        <w:t>2017</w:t>
      </w:r>
      <w:r>
        <w:rPr>
          <w:rFonts w:hint="eastAsia" w:ascii="Calibri" w:hAnsi="宋体"/>
          <w:color w:val="auto"/>
          <w:sz w:val="21"/>
          <w:szCs w:val="21"/>
        </w:rPr>
        <w:t>〕</w:t>
      </w:r>
      <w:r>
        <w:rPr>
          <w:rFonts w:hint="eastAsia" w:ascii="Calibri" w:hAnsi="宋体"/>
          <w:color w:val="auto"/>
          <w:kern w:val="48"/>
          <w:sz w:val="21"/>
          <w:szCs w:val="21"/>
        </w:rPr>
        <w:t>141号</w:t>
      </w:r>
    </w:p>
    <w:p>
      <w:pPr>
        <w:pStyle w:val="3"/>
        <w:spacing w:line="420" w:lineRule="exact"/>
        <w:ind w:right="191" w:rightChars="91" w:firstLine="404" w:firstLineChars="200"/>
        <w:contextualSpacing/>
        <w:rPr>
          <w:rFonts w:ascii="Calibri" w:hAnsi="宋体"/>
          <w:color w:val="auto"/>
          <w:kern w:val="48"/>
          <w:sz w:val="21"/>
          <w:szCs w:val="21"/>
        </w:rPr>
      </w:pPr>
      <w:r>
        <w:rPr>
          <w:rFonts w:hint="eastAsia" w:ascii="Calibri" w:hAnsi="宋体"/>
          <w:color w:val="auto"/>
          <w:kern w:val="48"/>
          <w:sz w:val="21"/>
          <w:szCs w:val="21"/>
        </w:rPr>
        <w:t>5、《招标采购促进广西工业产品产销对接实施细则》（桂政办发</w:t>
      </w:r>
      <w:r>
        <w:rPr>
          <w:rFonts w:hint="eastAsia" w:ascii="Calibri" w:hAnsi="宋体"/>
          <w:color w:val="auto"/>
          <w:sz w:val="21"/>
          <w:szCs w:val="21"/>
        </w:rPr>
        <w:t>〔</w:t>
      </w:r>
      <w:r>
        <w:rPr>
          <w:rFonts w:hint="eastAsia" w:ascii="Calibri" w:hAnsi="宋体"/>
          <w:color w:val="auto"/>
          <w:kern w:val="48"/>
          <w:sz w:val="21"/>
          <w:szCs w:val="21"/>
        </w:rPr>
        <w:t>2015</w:t>
      </w:r>
      <w:r>
        <w:rPr>
          <w:rFonts w:hint="eastAsia" w:ascii="Calibri" w:hAnsi="宋体"/>
          <w:color w:val="auto"/>
          <w:sz w:val="21"/>
          <w:szCs w:val="21"/>
        </w:rPr>
        <w:t>〕</w:t>
      </w:r>
      <w:r>
        <w:rPr>
          <w:rFonts w:hint="eastAsia" w:ascii="Calibri" w:hAnsi="宋体"/>
          <w:color w:val="auto"/>
          <w:kern w:val="48"/>
          <w:sz w:val="21"/>
          <w:szCs w:val="21"/>
        </w:rPr>
        <w:t>78号）</w:t>
      </w:r>
    </w:p>
    <w:p>
      <w:pPr>
        <w:snapToGrid w:val="0"/>
        <w:spacing w:line="420" w:lineRule="exact"/>
        <w:contextualSpacing/>
        <w:rPr>
          <w:rFonts w:hAnsi="宋体" w:cs="Arial"/>
          <w:b/>
          <w:bCs/>
          <w:color w:val="auto"/>
          <w:szCs w:val="21"/>
        </w:rPr>
      </w:pPr>
      <w:r>
        <w:rPr>
          <w:rFonts w:hint="eastAsia" w:hAnsi="宋体" w:cs="Arial"/>
          <w:b/>
          <w:bCs/>
          <w:color w:val="auto"/>
          <w:szCs w:val="21"/>
        </w:rPr>
        <w:t>七、招标文件获取方式</w:t>
      </w:r>
    </w:p>
    <w:p>
      <w:pPr>
        <w:pStyle w:val="3"/>
        <w:spacing w:line="420" w:lineRule="exact"/>
        <w:ind w:right="191" w:rightChars="91" w:firstLine="404" w:firstLineChars="200"/>
        <w:contextualSpacing/>
        <w:rPr>
          <w:rFonts w:ascii="Calibri" w:hAnsi="宋体"/>
          <w:color w:val="auto"/>
          <w:kern w:val="48"/>
          <w:sz w:val="21"/>
          <w:szCs w:val="21"/>
        </w:rPr>
      </w:pPr>
      <w:r>
        <w:rPr>
          <w:rFonts w:hint="eastAsia" w:ascii="Calibri" w:hAnsi="宋体"/>
          <w:color w:val="auto"/>
          <w:kern w:val="48"/>
          <w:sz w:val="21"/>
          <w:szCs w:val="21"/>
        </w:rPr>
        <w:t>1、</w:t>
      </w:r>
      <w:r>
        <w:rPr>
          <w:rFonts w:hint="eastAsia" w:ascii="Calibri" w:hAnsi="宋体"/>
          <w:color w:val="auto"/>
          <w:kern w:val="48"/>
          <w:sz w:val="21"/>
          <w:szCs w:val="21"/>
        </w:rPr>
        <w:t>时间：2020年</w:t>
      </w:r>
      <w:r>
        <w:rPr>
          <w:rFonts w:hint="eastAsia" w:ascii="Calibri" w:hAnsi="宋体"/>
          <w:color w:val="auto"/>
          <w:kern w:val="48"/>
          <w:sz w:val="21"/>
          <w:szCs w:val="21"/>
          <w:lang w:val="en-US" w:eastAsia="zh-CN"/>
        </w:rPr>
        <w:t>3</w:t>
      </w:r>
      <w:r>
        <w:rPr>
          <w:rFonts w:hint="eastAsia" w:ascii="Calibri" w:hAnsi="宋体"/>
          <w:color w:val="auto"/>
          <w:kern w:val="48"/>
          <w:sz w:val="21"/>
          <w:szCs w:val="21"/>
        </w:rPr>
        <w:t>月</w:t>
      </w:r>
      <w:r>
        <w:rPr>
          <w:rFonts w:hint="eastAsia" w:ascii="Calibri" w:hAnsi="宋体"/>
          <w:color w:val="auto"/>
          <w:kern w:val="48"/>
          <w:sz w:val="21"/>
          <w:szCs w:val="21"/>
          <w:lang w:val="en-US" w:eastAsia="zh-CN"/>
        </w:rPr>
        <w:t>24</w:t>
      </w:r>
      <w:r>
        <w:rPr>
          <w:rFonts w:hint="eastAsia" w:ascii="Calibri" w:hAnsi="宋体"/>
          <w:color w:val="auto"/>
          <w:kern w:val="48"/>
          <w:sz w:val="21"/>
          <w:szCs w:val="21"/>
        </w:rPr>
        <w:t>日至2020年</w:t>
      </w:r>
      <w:r>
        <w:rPr>
          <w:rFonts w:hint="eastAsia" w:ascii="Calibri" w:hAnsi="宋体"/>
          <w:color w:val="auto"/>
          <w:kern w:val="48"/>
          <w:sz w:val="21"/>
          <w:szCs w:val="21"/>
          <w:lang w:val="en-US" w:eastAsia="zh-CN"/>
        </w:rPr>
        <w:t>3</w:t>
      </w:r>
      <w:r>
        <w:rPr>
          <w:rFonts w:hint="eastAsia" w:ascii="Calibri" w:hAnsi="宋体"/>
          <w:color w:val="auto"/>
          <w:kern w:val="48"/>
          <w:sz w:val="21"/>
          <w:szCs w:val="21"/>
        </w:rPr>
        <w:t>月</w:t>
      </w:r>
      <w:r>
        <w:rPr>
          <w:rFonts w:hint="eastAsia" w:ascii="Calibri" w:hAnsi="宋体"/>
          <w:color w:val="auto"/>
          <w:kern w:val="48"/>
          <w:sz w:val="21"/>
          <w:szCs w:val="21"/>
          <w:lang w:val="en-US" w:eastAsia="zh-CN"/>
        </w:rPr>
        <w:t>31</w:t>
      </w:r>
      <w:r>
        <w:rPr>
          <w:rFonts w:hint="eastAsia" w:ascii="Calibri" w:hAnsi="宋体"/>
          <w:color w:val="auto"/>
          <w:kern w:val="48"/>
          <w:sz w:val="21"/>
          <w:szCs w:val="21"/>
        </w:rPr>
        <w:t>日止每日上</w:t>
      </w:r>
      <w:r>
        <w:rPr>
          <w:rFonts w:hint="eastAsia" w:ascii="Calibri" w:hAnsi="宋体"/>
          <w:color w:val="auto"/>
          <w:kern w:val="48"/>
          <w:sz w:val="21"/>
          <w:szCs w:val="21"/>
        </w:rPr>
        <w:t>午9时00分到12时00分，下午2时30分到5时30分，双休日和法定节假日不办理业务。</w:t>
      </w:r>
    </w:p>
    <w:p>
      <w:pPr>
        <w:pStyle w:val="3"/>
        <w:spacing w:line="420" w:lineRule="exact"/>
        <w:ind w:right="191" w:rightChars="91" w:firstLine="404" w:firstLineChars="200"/>
        <w:contextualSpacing/>
        <w:rPr>
          <w:rFonts w:ascii="Calibri" w:hAnsi="宋体"/>
          <w:color w:val="auto"/>
          <w:kern w:val="48"/>
          <w:sz w:val="21"/>
          <w:szCs w:val="21"/>
        </w:rPr>
      </w:pPr>
      <w:r>
        <w:rPr>
          <w:rFonts w:hint="eastAsia" w:ascii="Calibri" w:hAnsi="宋体"/>
          <w:color w:val="auto"/>
          <w:kern w:val="48"/>
          <w:sz w:val="21"/>
          <w:szCs w:val="21"/>
        </w:rPr>
        <w:t>2、地点：广西同泽工程项目管理股份有限公司（南宁市良庆区凯旋路16号裕达国际中心18层）。</w:t>
      </w:r>
    </w:p>
    <w:p>
      <w:pPr>
        <w:pStyle w:val="3"/>
        <w:spacing w:line="420" w:lineRule="exact"/>
        <w:ind w:right="191" w:rightChars="91" w:firstLine="404" w:firstLineChars="200"/>
        <w:contextualSpacing/>
        <w:rPr>
          <w:rFonts w:ascii="Calibri" w:hAnsi="宋体"/>
          <w:color w:val="auto"/>
          <w:kern w:val="48"/>
          <w:sz w:val="21"/>
          <w:szCs w:val="21"/>
        </w:rPr>
      </w:pPr>
      <w:r>
        <w:rPr>
          <w:rFonts w:hint="eastAsia" w:ascii="Calibri" w:hAnsi="宋体"/>
          <w:color w:val="auto"/>
          <w:kern w:val="48"/>
          <w:sz w:val="21"/>
          <w:szCs w:val="21"/>
        </w:rPr>
        <w:t>3、获取招标文件的方式：由法定代表人或委托代理人持本人身份证复印件（二代身份证须正、反两面复印）、法定代表人授权委托书原件（委托代理时必须提供）、营业执照副本复印、医疗器械经营许可证或生产许可证复印件进行现场报名；</w:t>
      </w:r>
    </w:p>
    <w:p>
      <w:pPr>
        <w:pStyle w:val="3"/>
        <w:spacing w:line="420" w:lineRule="exact"/>
        <w:ind w:right="191" w:rightChars="91" w:firstLine="404" w:firstLineChars="200"/>
        <w:contextualSpacing/>
        <w:rPr>
          <w:rFonts w:ascii="Calibri" w:hAnsi="宋体"/>
          <w:strike/>
          <w:color w:val="auto"/>
          <w:kern w:val="48"/>
          <w:sz w:val="21"/>
          <w:szCs w:val="21"/>
        </w:rPr>
      </w:pPr>
      <w:r>
        <w:rPr>
          <w:rFonts w:hint="eastAsia" w:ascii="Calibri" w:hAnsi="宋体"/>
          <w:color w:val="auto"/>
          <w:kern w:val="48"/>
          <w:sz w:val="21"/>
          <w:szCs w:val="21"/>
        </w:rPr>
        <w:t>4、售价：招标文件工本费每本250元，售后不退。（联系电话0771-5590098）。</w:t>
      </w:r>
    </w:p>
    <w:p>
      <w:pPr>
        <w:snapToGrid w:val="0"/>
        <w:spacing w:line="420" w:lineRule="exact"/>
        <w:contextualSpacing/>
        <w:jc w:val="left"/>
        <w:rPr>
          <w:rFonts w:hAnsi="宋体" w:cs="Arial"/>
          <w:b/>
          <w:bCs/>
          <w:color w:val="auto"/>
          <w:szCs w:val="21"/>
        </w:rPr>
      </w:pPr>
      <w:r>
        <w:rPr>
          <w:rFonts w:hint="eastAsia" w:hAnsi="宋体" w:cs="宋体"/>
          <w:b/>
          <w:bCs/>
          <w:color w:val="auto"/>
          <w:szCs w:val="21"/>
        </w:rPr>
        <w:t>八、投标保证金（人民币）</w:t>
      </w:r>
    </w:p>
    <w:p>
      <w:pPr>
        <w:pStyle w:val="3"/>
        <w:spacing w:line="420" w:lineRule="exact"/>
        <w:ind w:right="191" w:rightChars="91" w:firstLine="404" w:firstLineChars="200"/>
        <w:contextualSpacing/>
        <w:rPr>
          <w:rFonts w:ascii="Calibri" w:hAnsi="宋体"/>
          <w:color w:val="auto"/>
          <w:kern w:val="48"/>
          <w:sz w:val="21"/>
          <w:szCs w:val="21"/>
        </w:rPr>
      </w:pPr>
      <w:r>
        <w:rPr>
          <w:rFonts w:hint="eastAsia" w:ascii="Calibri" w:hAnsi="宋体"/>
          <w:color w:val="auto"/>
          <w:kern w:val="48"/>
          <w:sz w:val="21"/>
          <w:szCs w:val="21"/>
        </w:rPr>
        <w:t>A标：人民币（大写）壹万元整（￥10000.00元）</w:t>
      </w:r>
    </w:p>
    <w:p>
      <w:pPr>
        <w:pStyle w:val="3"/>
        <w:spacing w:line="420" w:lineRule="exact"/>
        <w:ind w:right="191" w:rightChars="91" w:firstLine="404" w:firstLineChars="200"/>
        <w:contextualSpacing/>
        <w:rPr>
          <w:rFonts w:ascii="Calibri" w:hAnsi="宋体"/>
          <w:color w:val="auto"/>
          <w:kern w:val="48"/>
          <w:sz w:val="21"/>
          <w:szCs w:val="21"/>
        </w:rPr>
      </w:pPr>
      <w:r>
        <w:rPr>
          <w:rFonts w:hint="eastAsia" w:ascii="Calibri" w:hAnsi="宋体"/>
          <w:color w:val="auto"/>
          <w:kern w:val="48"/>
          <w:sz w:val="21"/>
          <w:szCs w:val="21"/>
        </w:rPr>
        <w:t>B标：人民币（大写）伍仟元整（￥5000.00元）</w:t>
      </w:r>
    </w:p>
    <w:p>
      <w:pPr>
        <w:pStyle w:val="3"/>
        <w:spacing w:line="420" w:lineRule="exact"/>
        <w:ind w:right="191" w:rightChars="91" w:firstLine="404" w:firstLineChars="200"/>
        <w:contextualSpacing/>
        <w:rPr>
          <w:rFonts w:ascii="Calibri" w:hAnsi="宋体"/>
          <w:color w:val="auto"/>
          <w:kern w:val="48"/>
          <w:sz w:val="21"/>
          <w:szCs w:val="21"/>
        </w:rPr>
      </w:pPr>
      <w:r>
        <w:rPr>
          <w:rFonts w:hint="eastAsia" w:ascii="Calibri" w:hAnsi="宋体"/>
          <w:color w:val="auto"/>
          <w:kern w:val="48"/>
          <w:sz w:val="21"/>
          <w:szCs w:val="21"/>
        </w:rPr>
        <w:t>C标：人民币（大写）贰万元整（￥20000.00元）</w:t>
      </w:r>
    </w:p>
    <w:p>
      <w:pPr>
        <w:pStyle w:val="3"/>
        <w:spacing w:line="420" w:lineRule="exact"/>
        <w:ind w:right="191" w:rightChars="91" w:firstLine="404" w:firstLineChars="200"/>
        <w:contextualSpacing/>
        <w:rPr>
          <w:rFonts w:ascii="Calibri" w:hAnsi="宋体"/>
          <w:color w:val="auto"/>
          <w:kern w:val="48"/>
          <w:sz w:val="21"/>
          <w:szCs w:val="21"/>
        </w:rPr>
      </w:pPr>
      <w:r>
        <w:rPr>
          <w:rFonts w:hint="eastAsia" w:ascii="Calibri" w:hAnsi="宋体"/>
          <w:color w:val="auto"/>
          <w:kern w:val="48"/>
          <w:sz w:val="21"/>
          <w:szCs w:val="21"/>
        </w:rPr>
        <w:t>D标：人民币（大写）贰万元整（￥20000.00元）</w:t>
      </w:r>
    </w:p>
    <w:p>
      <w:pPr>
        <w:pStyle w:val="3"/>
        <w:spacing w:line="420" w:lineRule="exact"/>
        <w:ind w:right="191" w:rightChars="91" w:firstLine="404" w:firstLineChars="200"/>
        <w:contextualSpacing/>
        <w:rPr>
          <w:rFonts w:ascii="Calibri" w:hAnsi="宋体"/>
          <w:color w:val="auto"/>
          <w:kern w:val="48"/>
          <w:sz w:val="21"/>
          <w:szCs w:val="21"/>
        </w:rPr>
      </w:pPr>
      <w:r>
        <w:rPr>
          <w:rFonts w:hint="eastAsia" w:ascii="Calibri" w:hAnsi="宋体"/>
          <w:color w:val="auto"/>
          <w:kern w:val="48"/>
          <w:sz w:val="21"/>
          <w:szCs w:val="21"/>
        </w:rPr>
        <w:t>E标：人民币（大写）捌仟元整（￥8000.00元）</w:t>
      </w:r>
    </w:p>
    <w:p>
      <w:pPr>
        <w:pStyle w:val="3"/>
        <w:spacing w:line="420" w:lineRule="exact"/>
        <w:ind w:right="191" w:rightChars="91" w:firstLine="404" w:firstLineChars="200"/>
        <w:contextualSpacing/>
        <w:rPr>
          <w:rFonts w:hint="eastAsia" w:ascii="Calibri" w:hAnsi="宋体"/>
          <w:color w:val="auto"/>
          <w:kern w:val="48"/>
          <w:sz w:val="21"/>
          <w:szCs w:val="21"/>
        </w:rPr>
      </w:pPr>
      <w:r>
        <w:rPr>
          <w:rFonts w:hint="eastAsia" w:ascii="Calibri" w:hAnsi="宋体"/>
          <w:color w:val="auto"/>
          <w:kern w:val="48"/>
          <w:sz w:val="21"/>
          <w:szCs w:val="21"/>
        </w:rPr>
        <w:t>F标：人民币（大写）贰万元整（￥20000.00元）</w:t>
      </w:r>
    </w:p>
    <w:p>
      <w:pPr>
        <w:pStyle w:val="3"/>
        <w:spacing w:line="420" w:lineRule="exact"/>
        <w:ind w:right="191" w:rightChars="91" w:firstLine="384" w:firstLineChars="200"/>
        <w:contextualSpacing/>
        <w:rPr>
          <w:rFonts w:ascii="Calibri" w:hAnsi="宋体"/>
          <w:color w:val="auto"/>
          <w:kern w:val="48"/>
          <w:sz w:val="21"/>
          <w:szCs w:val="21"/>
        </w:rPr>
      </w:pPr>
      <w:r>
        <w:rPr>
          <w:rFonts w:hint="eastAsia" w:ascii="Calibri" w:hAnsi="宋体" w:cs="宋体"/>
          <w:color w:val="auto"/>
          <w:kern w:val="0"/>
          <w:sz w:val="20"/>
          <w:lang w:bidi="ar"/>
        </w:rPr>
        <w:t>G</w:t>
      </w:r>
      <w:r>
        <w:rPr>
          <w:rFonts w:hint="eastAsia" w:ascii="Calibri" w:hAnsi="宋体"/>
          <w:color w:val="auto"/>
          <w:kern w:val="48"/>
          <w:sz w:val="21"/>
          <w:szCs w:val="21"/>
        </w:rPr>
        <w:t>标：人民币（大写）壹万元整（￥10000.00元）</w:t>
      </w:r>
    </w:p>
    <w:p>
      <w:pPr>
        <w:pStyle w:val="3"/>
        <w:spacing w:line="420" w:lineRule="exact"/>
        <w:ind w:right="191" w:rightChars="91" w:firstLine="404" w:firstLineChars="200"/>
        <w:contextualSpacing/>
        <w:rPr>
          <w:rFonts w:hint="eastAsia" w:ascii="Calibri" w:hAnsi="宋体"/>
          <w:color w:val="auto"/>
          <w:kern w:val="48"/>
          <w:sz w:val="21"/>
          <w:szCs w:val="21"/>
        </w:rPr>
      </w:pPr>
      <w:r>
        <w:rPr>
          <w:rFonts w:hint="eastAsia" w:ascii="Calibri" w:hAnsi="宋体"/>
          <w:color w:val="auto"/>
          <w:kern w:val="48"/>
          <w:sz w:val="21"/>
          <w:szCs w:val="21"/>
        </w:rPr>
        <w:t>H标：人民币（大写）伍仟元整（￥5000.00元）</w:t>
      </w:r>
    </w:p>
    <w:p>
      <w:pPr>
        <w:pStyle w:val="3"/>
        <w:spacing w:line="420" w:lineRule="exact"/>
        <w:ind w:right="191" w:rightChars="91" w:firstLine="404" w:firstLineChars="200"/>
        <w:contextualSpacing/>
        <w:rPr>
          <w:rFonts w:ascii="Calibri" w:hAnsi="宋体"/>
          <w:color w:val="auto"/>
          <w:kern w:val="48"/>
          <w:sz w:val="21"/>
          <w:szCs w:val="21"/>
        </w:rPr>
      </w:pPr>
      <w:r>
        <w:rPr>
          <w:rFonts w:hint="eastAsia" w:ascii="Calibri" w:hAnsi="宋体"/>
          <w:color w:val="auto"/>
          <w:kern w:val="48"/>
          <w:sz w:val="21"/>
          <w:szCs w:val="21"/>
        </w:rPr>
        <w:t>投标保证金递交方式：投标人应于投标截止时间前将投标保证金从基本账户以转账或电汇等非现钞形式交到以下账户。</w:t>
      </w:r>
    </w:p>
    <w:p>
      <w:pPr>
        <w:pStyle w:val="3"/>
        <w:spacing w:line="420" w:lineRule="exact"/>
        <w:ind w:right="191" w:rightChars="91" w:firstLine="404" w:firstLineChars="200"/>
        <w:contextualSpacing/>
        <w:rPr>
          <w:rFonts w:ascii="Calibri" w:hAnsi="宋体"/>
          <w:color w:val="auto"/>
          <w:kern w:val="48"/>
          <w:sz w:val="21"/>
          <w:szCs w:val="21"/>
        </w:rPr>
      </w:pPr>
      <w:r>
        <w:rPr>
          <w:rFonts w:hint="eastAsia" w:ascii="Calibri" w:hAnsi="宋体"/>
          <w:color w:val="auto"/>
          <w:kern w:val="48"/>
          <w:sz w:val="21"/>
          <w:szCs w:val="21"/>
        </w:rPr>
        <w:t>投标保证金的递交时间以保证金账户实际到账时间为准，投标人在汇款时务必注明所投标项目的招标编号及分标号，否则，因投标保证金未在投标截止时间之前到账或款项用途不明等原因导致投标无效等后果由投标人自行承担。</w:t>
      </w:r>
    </w:p>
    <w:p>
      <w:pPr>
        <w:spacing w:line="380" w:lineRule="exact"/>
        <w:ind w:firstLine="404" w:firstLineChars="200"/>
        <w:rPr>
          <w:rFonts w:hint="eastAsia" w:hAnsi="宋体"/>
          <w:color w:val="auto"/>
          <w:spacing w:val="-4"/>
          <w:kern w:val="48"/>
          <w:szCs w:val="21"/>
        </w:rPr>
      </w:pPr>
      <w:r>
        <w:rPr>
          <w:rFonts w:hint="eastAsia" w:hAnsi="宋体"/>
          <w:color w:val="auto"/>
          <w:spacing w:val="-4"/>
          <w:kern w:val="48"/>
          <w:szCs w:val="21"/>
        </w:rPr>
        <w:t>开户名称：广西同泽工程项目管理股份有限公司</w:t>
      </w:r>
    </w:p>
    <w:p>
      <w:pPr>
        <w:spacing w:line="380" w:lineRule="exact"/>
        <w:ind w:firstLine="404" w:firstLineChars="200"/>
        <w:rPr>
          <w:rFonts w:hint="eastAsia" w:hAnsi="宋体"/>
          <w:color w:val="auto"/>
          <w:spacing w:val="-4"/>
          <w:kern w:val="48"/>
          <w:szCs w:val="21"/>
        </w:rPr>
      </w:pPr>
      <w:r>
        <w:rPr>
          <w:rFonts w:hint="eastAsia" w:hAnsi="宋体"/>
          <w:color w:val="auto"/>
          <w:spacing w:val="-4"/>
          <w:kern w:val="48"/>
          <w:szCs w:val="21"/>
        </w:rPr>
        <w:t>开户银行：建行广西区分行营业部本级营业厅</w:t>
      </w:r>
    </w:p>
    <w:p>
      <w:pPr>
        <w:spacing w:line="380" w:lineRule="exact"/>
        <w:ind w:firstLine="404" w:firstLineChars="200"/>
        <w:rPr>
          <w:rFonts w:hint="eastAsia" w:hAnsi="宋体"/>
          <w:color w:val="auto"/>
          <w:spacing w:val="-4"/>
          <w:kern w:val="48"/>
          <w:szCs w:val="21"/>
        </w:rPr>
      </w:pPr>
      <w:r>
        <w:rPr>
          <w:rFonts w:hint="eastAsia" w:hAnsi="宋体"/>
          <w:color w:val="auto"/>
          <w:spacing w:val="-4"/>
          <w:kern w:val="48"/>
          <w:szCs w:val="21"/>
        </w:rPr>
        <w:t>银行账号：4500 1594 1510 5071 6039</w:t>
      </w:r>
    </w:p>
    <w:p>
      <w:pPr>
        <w:snapToGrid w:val="0"/>
        <w:spacing w:line="420" w:lineRule="exact"/>
        <w:contextualSpacing/>
        <w:jc w:val="left"/>
        <w:rPr>
          <w:rFonts w:hAnsi="宋体" w:cs="Arial"/>
          <w:color w:val="auto"/>
          <w:szCs w:val="21"/>
        </w:rPr>
      </w:pPr>
      <w:r>
        <w:rPr>
          <w:rFonts w:hint="eastAsia" w:hAnsi="宋体" w:cs="Arial"/>
          <w:b/>
          <w:bCs/>
          <w:color w:val="auto"/>
          <w:szCs w:val="21"/>
        </w:rPr>
        <w:t>九</w:t>
      </w:r>
      <w:r>
        <w:rPr>
          <w:rFonts w:hint="eastAsia" w:hAnsi="宋体" w:cs="宋体"/>
          <w:b/>
          <w:bCs/>
          <w:color w:val="auto"/>
          <w:szCs w:val="21"/>
        </w:rPr>
        <w:t>、投标文件递交截止时间及地址</w:t>
      </w:r>
    </w:p>
    <w:p>
      <w:pPr>
        <w:snapToGrid w:val="0"/>
        <w:spacing w:line="420" w:lineRule="exact"/>
        <w:ind w:firstLine="420" w:firstLineChars="200"/>
        <w:contextualSpacing/>
        <w:rPr>
          <w:rFonts w:hint="eastAsia" w:hAnsi="宋体" w:cs="Arial"/>
          <w:b w:val="0"/>
          <w:bCs/>
          <w:color w:val="auto"/>
          <w:szCs w:val="21"/>
        </w:rPr>
      </w:pPr>
      <w:r>
        <w:rPr>
          <w:rFonts w:hint="eastAsia" w:hAnsi="宋体" w:cs="Arial"/>
          <w:b w:val="0"/>
          <w:bCs/>
          <w:color w:val="auto"/>
          <w:szCs w:val="21"/>
        </w:rPr>
        <w:t>投标人应于2020年4月</w:t>
      </w:r>
      <w:r>
        <w:rPr>
          <w:rFonts w:hint="eastAsia" w:hAnsi="宋体" w:cs="Arial"/>
          <w:b w:val="0"/>
          <w:bCs/>
          <w:color w:val="auto"/>
          <w:szCs w:val="21"/>
          <w:lang w:val="en-US" w:eastAsia="zh-CN"/>
        </w:rPr>
        <w:t>14</w:t>
      </w:r>
      <w:r>
        <w:rPr>
          <w:rFonts w:hint="eastAsia" w:hAnsi="宋体" w:cs="Arial"/>
          <w:b w:val="0"/>
          <w:bCs/>
          <w:color w:val="auto"/>
          <w:szCs w:val="21"/>
        </w:rPr>
        <w:t>日09时30分止</w:t>
      </w:r>
      <w:r>
        <w:rPr>
          <w:rFonts w:hint="eastAsia" w:hAnsi="宋体" w:cs="Arial"/>
          <w:b w:val="0"/>
          <w:bCs/>
          <w:color w:val="auto"/>
          <w:szCs w:val="21"/>
        </w:rPr>
        <w:t>，将投标文件密封提交到广西壮族自治区公共资源交易中心（广西南宁市青秀区怡宾路6号自治区政务服务中心4楼）（具体开标室根据电子屏幕显示的安排），逾期送达的将予以拒收。</w:t>
      </w:r>
    </w:p>
    <w:p>
      <w:pPr>
        <w:snapToGrid w:val="0"/>
        <w:spacing w:line="420" w:lineRule="exact"/>
        <w:ind w:firstLine="420" w:firstLineChars="200"/>
        <w:contextualSpacing/>
        <w:rPr>
          <w:rFonts w:hint="eastAsia" w:hAnsi="宋体" w:cs="Arial"/>
          <w:b w:val="0"/>
          <w:bCs/>
          <w:color w:val="auto"/>
          <w:szCs w:val="21"/>
        </w:rPr>
      </w:pPr>
      <w:r>
        <w:rPr>
          <w:rFonts w:hint="eastAsia" w:hAnsi="宋体" w:cs="Arial"/>
          <w:b w:val="0"/>
          <w:bCs/>
          <w:color w:val="auto"/>
          <w:szCs w:val="21"/>
        </w:rPr>
        <w:t>疫情期间，投标文件可以接受邮寄。收件地址：广西南宁市怡宾路6号四楼广西壮族自治区公共资源交易中心。收件人：何芮，电话13558331127。请寄件人在邮件外包装写明投标文件（同时必须注明项目名称和项目编号），并在外包装上留下真实姓名和联系电话。如有疑问请咨询区交易中心的开评标科：0771-2610595。</w:t>
      </w:r>
    </w:p>
    <w:p>
      <w:pPr>
        <w:snapToGrid w:val="0"/>
        <w:spacing w:line="420" w:lineRule="exact"/>
        <w:contextualSpacing/>
        <w:rPr>
          <w:rFonts w:hAnsi="宋体" w:cs="Arial"/>
          <w:color w:val="auto"/>
          <w:szCs w:val="21"/>
        </w:rPr>
      </w:pPr>
      <w:r>
        <w:rPr>
          <w:rFonts w:hint="eastAsia" w:hAnsi="宋体" w:cs="Arial"/>
          <w:b/>
          <w:color w:val="auto"/>
          <w:szCs w:val="21"/>
        </w:rPr>
        <w:t>十</w:t>
      </w:r>
      <w:r>
        <w:rPr>
          <w:rFonts w:hint="eastAsia" w:hAnsi="宋体" w:cs="宋体"/>
          <w:b/>
          <w:color w:val="auto"/>
          <w:szCs w:val="21"/>
        </w:rPr>
        <w:t>、</w:t>
      </w:r>
      <w:r>
        <w:rPr>
          <w:rFonts w:hint="eastAsia" w:hAnsi="宋体" w:cs="宋体"/>
          <w:b/>
          <w:bCs/>
          <w:color w:val="auto"/>
          <w:szCs w:val="21"/>
        </w:rPr>
        <w:t>开标时间及地点</w:t>
      </w:r>
    </w:p>
    <w:p>
      <w:pPr>
        <w:pStyle w:val="3"/>
        <w:spacing w:line="420" w:lineRule="exact"/>
        <w:ind w:right="191" w:rightChars="91" w:firstLine="404" w:firstLineChars="200"/>
        <w:contextualSpacing/>
        <w:rPr>
          <w:rFonts w:ascii="Calibri" w:hAnsi="宋体"/>
          <w:color w:val="auto"/>
          <w:kern w:val="48"/>
          <w:sz w:val="21"/>
          <w:szCs w:val="21"/>
        </w:rPr>
      </w:pPr>
      <w:r>
        <w:rPr>
          <w:rFonts w:hint="eastAsia" w:ascii="Calibri" w:hAnsi="宋体"/>
          <w:color w:val="auto"/>
          <w:kern w:val="48"/>
          <w:sz w:val="21"/>
          <w:szCs w:val="21"/>
        </w:rPr>
        <w:t>开标时间与投标截止时间相同，开标地点与投标截止地点相同。</w:t>
      </w:r>
    </w:p>
    <w:p>
      <w:pPr>
        <w:pStyle w:val="3"/>
        <w:spacing w:line="420" w:lineRule="exact"/>
        <w:ind w:right="191" w:rightChars="91" w:firstLine="404" w:firstLineChars="200"/>
        <w:contextualSpacing/>
        <w:rPr>
          <w:rFonts w:ascii="Calibri" w:hAnsi="宋体"/>
          <w:color w:val="auto"/>
          <w:kern w:val="48"/>
          <w:sz w:val="21"/>
          <w:szCs w:val="21"/>
        </w:rPr>
      </w:pPr>
      <w:r>
        <w:rPr>
          <w:rFonts w:hint="eastAsia" w:ascii="Calibri" w:hAnsi="宋体"/>
          <w:color w:val="auto"/>
          <w:kern w:val="48"/>
          <w:sz w:val="21"/>
          <w:szCs w:val="21"/>
        </w:rPr>
        <w:t>投标人应派法定代表人或其委托代理人参加开标会并签到，投标人的法定代表人或其委托代理人未按时签到的，视同放弃开标监督权利、认可开标结果。</w:t>
      </w:r>
    </w:p>
    <w:p>
      <w:pPr>
        <w:snapToGrid w:val="0"/>
        <w:spacing w:line="420" w:lineRule="exact"/>
        <w:contextualSpacing/>
        <w:rPr>
          <w:rFonts w:hAnsi="宋体" w:cs="Arial"/>
          <w:b/>
          <w:color w:val="auto"/>
          <w:szCs w:val="21"/>
        </w:rPr>
      </w:pPr>
      <w:r>
        <w:rPr>
          <w:rFonts w:hint="eastAsia" w:hAnsi="宋体" w:cs="宋体"/>
          <w:b/>
          <w:color w:val="auto"/>
          <w:szCs w:val="21"/>
        </w:rPr>
        <w:t>十</w:t>
      </w:r>
      <w:r>
        <w:rPr>
          <w:rFonts w:hint="eastAsia" w:hAnsi="宋体" w:cs="Arial"/>
          <w:b/>
          <w:color w:val="auto"/>
          <w:szCs w:val="21"/>
        </w:rPr>
        <w:t>一</w:t>
      </w:r>
      <w:r>
        <w:rPr>
          <w:rFonts w:hint="eastAsia" w:hAnsi="宋体" w:cs="宋体"/>
          <w:b/>
          <w:color w:val="auto"/>
          <w:szCs w:val="21"/>
        </w:rPr>
        <w:t>、网上查询地址</w:t>
      </w:r>
    </w:p>
    <w:p>
      <w:pPr>
        <w:pStyle w:val="3"/>
        <w:spacing w:line="420" w:lineRule="exact"/>
        <w:ind w:right="191" w:rightChars="91" w:firstLine="404" w:firstLineChars="200"/>
        <w:contextualSpacing/>
        <w:rPr>
          <w:rFonts w:ascii="Calibri" w:hAnsi="宋体"/>
          <w:color w:val="auto"/>
          <w:kern w:val="48"/>
          <w:sz w:val="21"/>
          <w:szCs w:val="21"/>
        </w:rPr>
      </w:pPr>
      <w:r>
        <w:rPr>
          <w:rFonts w:hint="eastAsia" w:ascii="Calibri" w:hAnsi="宋体"/>
          <w:color w:val="auto"/>
          <w:kern w:val="48"/>
          <w:sz w:val="21"/>
          <w:szCs w:val="21"/>
        </w:rPr>
        <w:t>中国政府采购网（www.ccgp.gov.cn）、广西壮族自治区政府采购网（</w:t>
      </w:r>
      <w:r>
        <w:rPr>
          <w:rFonts w:hint="eastAsia" w:ascii="Calibri" w:hAnsi="宋体"/>
          <w:color w:val="auto"/>
          <w:sz w:val="21"/>
          <w:szCs w:val="21"/>
        </w:rPr>
        <w:t>zfcg.gxzf.gov.cn</w:t>
      </w:r>
      <w:r>
        <w:rPr>
          <w:rFonts w:hint="eastAsia" w:ascii="Calibri" w:hAnsi="宋体"/>
          <w:color w:val="auto"/>
          <w:kern w:val="48"/>
          <w:sz w:val="21"/>
          <w:szCs w:val="21"/>
        </w:rPr>
        <w:t>）、广西公共资源交易中心网站（</w:t>
      </w:r>
      <w:r>
        <w:rPr>
          <w:rFonts w:ascii="Calibri" w:hAnsi="宋体"/>
          <w:color w:val="auto"/>
          <w:kern w:val="48"/>
          <w:sz w:val="21"/>
          <w:szCs w:val="21"/>
        </w:rPr>
        <w:t>gxggzy.gxzf.gov.cn</w:t>
      </w:r>
      <w:r>
        <w:rPr>
          <w:rFonts w:hint="eastAsia" w:ascii="Calibri" w:hAnsi="宋体"/>
          <w:color w:val="auto"/>
          <w:kern w:val="48"/>
          <w:sz w:val="21"/>
          <w:szCs w:val="21"/>
        </w:rPr>
        <w:t>）、广西同泽工程项目管理股份有限公司网（</w:t>
      </w:r>
      <w:r>
        <w:rPr>
          <w:rFonts w:hint="eastAsia" w:ascii="Calibri" w:hAnsi="宋体"/>
          <w:color w:val="auto"/>
          <w:sz w:val="21"/>
          <w:szCs w:val="21"/>
        </w:rPr>
        <w:t>www.gxtzfz.cn</w:t>
      </w:r>
      <w:r>
        <w:rPr>
          <w:rFonts w:hint="eastAsia" w:ascii="Calibri" w:hAnsi="宋体"/>
          <w:color w:val="auto"/>
          <w:kern w:val="48"/>
          <w:sz w:val="21"/>
          <w:szCs w:val="21"/>
        </w:rPr>
        <w:t>）。</w:t>
      </w:r>
    </w:p>
    <w:p>
      <w:pPr>
        <w:snapToGrid w:val="0"/>
        <w:spacing w:line="420" w:lineRule="exact"/>
        <w:contextualSpacing/>
        <w:rPr>
          <w:rFonts w:hAnsi="宋体" w:cs="Arial"/>
          <w:b/>
          <w:color w:val="auto"/>
          <w:szCs w:val="21"/>
        </w:rPr>
      </w:pPr>
      <w:r>
        <w:rPr>
          <w:rFonts w:hint="eastAsia" w:hAnsi="宋体" w:cs="宋体"/>
          <w:b/>
          <w:color w:val="auto"/>
          <w:szCs w:val="21"/>
        </w:rPr>
        <w:t>十</w:t>
      </w:r>
      <w:r>
        <w:rPr>
          <w:rFonts w:hint="eastAsia" w:hAnsi="宋体" w:cs="Arial"/>
          <w:b/>
          <w:color w:val="auto"/>
          <w:szCs w:val="21"/>
        </w:rPr>
        <w:t>二</w:t>
      </w:r>
      <w:r>
        <w:rPr>
          <w:rFonts w:hint="eastAsia" w:hAnsi="宋体" w:cs="宋体"/>
          <w:b/>
          <w:color w:val="auto"/>
          <w:szCs w:val="21"/>
        </w:rPr>
        <w:t>、业务咨询</w:t>
      </w:r>
    </w:p>
    <w:p>
      <w:pPr>
        <w:widowControl/>
        <w:spacing w:line="420" w:lineRule="exact"/>
        <w:ind w:firstLine="420" w:firstLineChars="200"/>
        <w:contextualSpacing/>
        <w:jc w:val="left"/>
        <w:rPr>
          <w:rFonts w:hAnsi="宋体" w:cs="宋体"/>
          <w:color w:val="auto"/>
          <w:kern w:val="0"/>
          <w:szCs w:val="21"/>
        </w:rPr>
      </w:pPr>
      <w:r>
        <w:rPr>
          <w:rFonts w:hint="eastAsia" w:hAnsi="宋体" w:cs="宋体"/>
          <w:color w:val="auto"/>
          <w:kern w:val="0"/>
          <w:szCs w:val="21"/>
        </w:rPr>
        <w:t>采购人：广西壮族自治区妇幼保健院</w:t>
      </w:r>
    </w:p>
    <w:p>
      <w:pPr>
        <w:widowControl/>
        <w:spacing w:line="420" w:lineRule="exact"/>
        <w:ind w:firstLine="420" w:firstLineChars="200"/>
        <w:contextualSpacing/>
        <w:jc w:val="left"/>
        <w:rPr>
          <w:rFonts w:hAnsi="宋体" w:cs="宋体"/>
          <w:color w:val="auto"/>
          <w:kern w:val="0"/>
          <w:szCs w:val="21"/>
        </w:rPr>
      </w:pPr>
      <w:r>
        <w:rPr>
          <w:rFonts w:hint="eastAsia" w:hAnsi="宋体" w:cs="宋体"/>
          <w:color w:val="auto"/>
          <w:kern w:val="0"/>
          <w:szCs w:val="21"/>
        </w:rPr>
        <w:t>联系人：杨晓宏</w:t>
      </w:r>
    </w:p>
    <w:p>
      <w:pPr>
        <w:widowControl/>
        <w:spacing w:line="420" w:lineRule="exact"/>
        <w:ind w:firstLine="420" w:firstLineChars="200"/>
        <w:contextualSpacing/>
        <w:jc w:val="left"/>
        <w:rPr>
          <w:rFonts w:hAnsi="宋体" w:cs="宋体"/>
          <w:color w:val="auto"/>
          <w:kern w:val="0"/>
          <w:szCs w:val="21"/>
        </w:rPr>
      </w:pPr>
      <w:r>
        <w:rPr>
          <w:rFonts w:hint="eastAsia" w:hAnsi="宋体" w:cs="宋体"/>
          <w:color w:val="auto"/>
          <w:kern w:val="0"/>
          <w:szCs w:val="21"/>
        </w:rPr>
        <w:t>联系电话：0771-2860979</w:t>
      </w:r>
    </w:p>
    <w:p>
      <w:pPr>
        <w:widowControl/>
        <w:spacing w:line="420" w:lineRule="exact"/>
        <w:ind w:firstLine="420" w:firstLineChars="200"/>
        <w:contextualSpacing/>
        <w:jc w:val="left"/>
        <w:rPr>
          <w:rFonts w:hAnsi="宋体" w:cs="宋体"/>
          <w:color w:val="auto"/>
          <w:kern w:val="0"/>
          <w:szCs w:val="21"/>
        </w:rPr>
      </w:pPr>
      <w:r>
        <w:rPr>
          <w:rFonts w:hint="eastAsia" w:hAnsi="宋体" w:cs="宋体"/>
          <w:color w:val="auto"/>
          <w:kern w:val="0"/>
          <w:szCs w:val="21"/>
        </w:rPr>
        <w:t>地址：南宁市新阳路225号</w:t>
      </w:r>
    </w:p>
    <w:p>
      <w:pPr>
        <w:widowControl/>
        <w:spacing w:line="420" w:lineRule="exact"/>
        <w:ind w:firstLine="420" w:firstLineChars="200"/>
        <w:contextualSpacing/>
        <w:jc w:val="left"/>
        <w:rPr>
          <w:rFonts w:hint="eastAsia" w:hAnsi="宋体" w:cs="宋体"/>
          <w:color w:val="auto"/>
          <w:kern w:val="0"/>
          <w:szCs w:val="21"/>
        </w:rPr>
      </w:pPr>
      <w:r>
        <w:rPr>
          <w:rFonts w:hint="eastAsia" w:hAnsi="宋体" w:cs="宋体"/>
          <w:color w:val="auto"/>
          <w:kern w:val="0"/>
          <w:szCs w:val="21"/>
        </w:rPr>
        <w:t>采购代理机构：广西同泽工程项目管理股份有限公司</w:t>
      </w:r>
    </w:p>
    <w:p>
      <w:pPr>
        <w:widowControl/>
        <w:spacing w:line="420" w:lineRule="exact"/>
        <w:ind w:firstLine="420" w:firstLineChars="200"/>
        <w:contextualSpacing/>
        <w:jc w:val="left"/>
        <w:rPr>
          <w:rFonts w:hAnsi="宋体" w:cs="宋体"/>
          <w:color w:val="auto"/>
          <w:kern w:val="0"/>
          <w:szCs w:val="21"/>
        </w:rPr>
      </w:pPr>
      <w:r>
        <w:rPr>
          <w:rFonts w:hint="eastAsia" w:hAnsi="宋体" w:cs="宋体"/>
          <w:color w:val="auto"/>
          <w:kern w:val="0"/>
          <w:szCs w:val="21"/>
        </w:rPr>
        <w:t>地址：</w:t>
      </w:r>
      <w:r>
        <w:rPr>
          <w:rFonts w:hint="eastAsia" w:hAnsi="宋体"/>
          <w:color w:val="auto"/>
          <w:kern w:val="48"/>
          <w:szCs w:val="21"/>
        </w:rPr>
        <w:t>南宁市良庆区凯旋路16号裕达国际中心18层</w:t>
      </w:r>
    </w:p>
    <w:p>
      <w:pPr>
        <w:widowControl/>
        <w:spacing w:line="420" w:lineRule="exact"/>
        <w:ind w:firstLine="420" w:firstLineChars="200"/>
        <w:contextualSpacing/>
        <w:jc w:val="left"/>
        <w:rPr>
          <w:rFonts w:hAnsi="宋体" w:cs="宋体"/>
          <w:color w:val="auto"/>
          <w:kern w:val="0"/>
          <w:szCs w:val="21"/>
        </w:rPr>
      </w:pPr>
      <w:r>
        <w:rPr>
          <w:rFonts w:hint="eastAsia" w:hAnsi="宋体" w:cs="宋体"/>
          <w:color w:val="auto"/>
          <w:kern w:val="0"/>
          <w:szCs w:val="21"/>
        </w:rPr>
        <w:t>邮编：530021</w:t>
      </w:r>
    </w:p>
    <w:p>
      <w:pPr>
        <w:widowControl/>
        <w:spacing w:line="420" w:lineRule="exact"/>
        <w:ind w:firstLine="420" w:firstLineChars="200"/>
        <w:contextualSpacing/>
        <w:jc w:val="left"/>
        <w:rPr>
          <w:rFonts w:hint="eastAsia" w:hAnsi="宋体" w:cs="宋体"/>
          <w:color w:val="auto"/>
          <w:kern w:val="0"/>
          <w:szCs w:val="21"/>
        </w:rPr>
      </w:pPr>
      <w:r>
        <w:rPr>
          <w:rFonts w:hint="eastAsia" w:hAnsi="宋体" w:cs="宋体"/>
          <w:color w:val="auto"/>
          <w:kern w:val="0"/>
          <w:szCs w:val="21"/>
        </w:rPr>
        <w:t>项目联系人：黄工  电话：0771-5590098  传真：/</w:t>
      </w:r>
    </w:p>
    <w:p>
      <w:pPr>
        <w:widowControl/>
        <w:spacing w:line="420" w:lineRule="exact"/>
        <w:ind w:firstLine="420" w:firstLineChars="200"/>
        <w:contextualSpacing/>
        <w:jc w:val="left"/>
        <w:rPr>
          <w:rFonts w:hAnsi="宋体" w:cs="宋体"/>
          <w:color w:val="auto"/>
          <w:kern w:val="0"/>
          <w:szCs w:val="21"/>
        </w:rPr>
      </w:pPr>
      <w:r>
        <w:rPr>
          <w:rFonts w:hint="eastAsia" w:hAnsi="宋体" w:cs="宋体"/>
          <w:color w:val="auto"/>
          <w:kern w:val="0"/>
          <w:szCs w:val="21"/>
        </w:rPr>
        <w:t>政府采购监督管理部门：广西区财政厅政府采购监督管理处</w:t>
      </w:r>
    </w:p>
    <w:p>
      <w:pPr>
        <w:widowControl/>
        <w:spacing w:line="420" w:lineRule="exact"/>
        <w:ind w:firstLine="420" w:firstLineChars="200"/>
        <w:contextualSpacing/>
        <w:jc w:val="left"/>
        <w:rPr>
          <w:rFonts w:hAnsi="宋体" w:cs="宋体"/>
          <w:color w:val="auto"/>
          <w:kern w:val="0"/>
          <w:szCs w:val="21"/>
        </w:rPr>
      </w:pPr>
      <w:r>
        <w:rPr>
          <w:rFonts w:hint="eastAsia" w:hAnsi="宋体" w:cs="宋体"/>
          <w:color w:val="auto"/>
          <w:kern w:val="0"/>
          <w:szCs w:val="21"/>
        </w:rPr>
        <w:t>联系电话：0771-5331544</w:t>
      </w:r>
    </w:p>
    <w:p>
      <w:pPr>
        <w:widowControl/>
        <w:spacing w:line="420" w:lineRule="exact"/>
        <w:ind w:firstLine="420" w:firstLineChars="200"/>
        <w:contextualSpacing/>
        <w:jc w:val="left"/>
        <w:rPr>
          <w:rFonts w:hAnsi="宋体" w:cs="宋体"/>
          <w:color w:val="auto"/>
          <w:kern w:val="0"/>
          <w:szCs w:val="21"/>
        </w:rPr>
      </w:pPr>
      <w:r>
        <w:rPr>
          <w:rFonts w:hint="eastAsia" w:hAnsi="宋体" w:cs="宋体"/>
          <w:color w:val="auto"/>
          <w:kern w:val="0"/>
          <w:szCs w:val="21"/>
        </w:rPr>
        <w:t>地址：南宁市桃源路69号</w:t>
      </w:r>
    </w:p>
    <w:p>
      <w:pPr>
        <w:widowControl/>
        <w:spacing w:line="420" w:lineRule="exact"/>
        <w:ind w:firstLine="420" w:firstLineChars="200"/>
        <w:contextualSpacing/>
        <w:jc w:val="left"/>
        <w:rPr>
          <w:rFonts w:hAnsi="宋体" w:cs="宋体"/>
          <w:color w:val="auto"/>
          <w:kern w:val="0"/>
          <w:szCs w:val="21"/>
        </w:rPr>
      </w:pPr>
      <w:r>
        <w:rPr>
          <w:rFonts w:hint="eastAsia" w:hAnsi="宋体" w:cs="宋体"/>
          <w:color w:val="auto"/>
          <w:kern w:val="0"/>
          <w:szCs w:val="21"/>
        </w:rPr>
        <w:t>交易服务单位：广西壮族自治区公共资源交易中心</w:t>
      </w:r>
    </w:p>
    <w:p>
      <w:pPr>
        <w:widowControl/>
        <w:spacing w:line="420" w:lineRule="exact"/>
        <w:ind w:firstLine="420" w:firstLineChars="200"/>
        <w:contextualSpacing/>
        <w:jc w:val="left"/>
        <w:rPr>
          <w:rFonts w:hAnsi="宋体" w:cs="宋体"/>
          <w:color w:val="auto"/>
          <w:kern w:val="0"/>
          <w:szCs w:val="21"/>
        </w:rPr>
      </w:pPr>
      <w:r>
        <w:rPr>
          <w:rFonts w:hint="eastAsia" w:hAnsi="宋体" w:cs="宋体"/>
          <w:color w:val="auto"/>
          <w:kern w:val="0"/>
          <w:szCs w:val="21"/>
        </w:rPr>
        <w:t>公告期限为5个工作日</w:t>
      </w:r>
    </w:p>
    <w:p>
      <w:pPr>
        <w:widowControl/>
        <w:spacing w:line="420" w:lineRule="exact"/>
        <w:ind w:firstLine="420" w:firstLineChars="200"/>
        <w:contextualSpacing/>
        <w:jc w:val="right"/>
        <w:rPr>
          <w:rFonts w:hint="eastAsia" w:hAnsi="宋体" w:cs="宋体"/>
          <w:color w:val="auto"/>
          <w:kern w:val="0"/>
          <w:szCs w:val="21"/>
        </w:rPr>
      </w:pPr>
      <w:r>
        <w:rPr>
          <w:rFonts w:hint="eastAsia" w:hAnsi="宋体" w:cs="宋体"/>
          <w:color w:val="auto"/>
          <w:kern w:val="0"/>
          <w:szCs w:val="21"/>
        </w:rPr>
        <w:t>采购代理机构：广西同泽工程项目管理股份有限公司</w:t>
      </w:r>
    </w:p>
    <w:p>
      <w:pPr>
        <w:widowControl/>
        <w:spacing w:line="420" w:lineRule="exact"/>
        <w:ind w:firstLine="420" w:firstLineChars="200"/>
        <w:contextualSpacing/>
        <w:jc w:val="right"/>
        <w:rPr>
          <w:color w:val="auto"/>
        </w:rPr>
      </w:pPr>
      <w:bookmarkStart w:id="0" w:name="CgwjmbEntity：NYR1_0"/>
      <w:r>
        <w:rPr>
          <w:rFonts w:hint="eastAsia" w:hAnsi="宋体" w:cs="宋体"/>
          <w:color w:val="auto"/>
          <w:kern w:val="0"/>
          <w:szCs w:val="21"/>
        </w:rPr>
        <w:t xml:space="preserve">                                                        </w:t>
      </w:r>
      <w:r>
        <w:rPr>
          <w:rFonts w:hint="eastAsia" w:hAnsi="宋体" w:cs="宋体"/>
          <w:color w:val="auto"/>
          <w:kern w:val="0"/>
          <w:szCs w:val="21"/>
        </w:rPr>
        <w:t xml:space="preserve">  </w:t>
      </w:r>
      <w:r>
        <w:rPr>
          <w:rFonts w:hAnsi="宋体" w:cs="宋体"/>
          <w:color w:val="auto"/>
          <w:kern w:val="0"/>
          <w:szCs w:val="21"/>
        </w:rPr>
        <w:t>20</w:t>
      </w:r>
      <w:r>
        <w:rPr>
          <w:rFonts w:hint="eastAsia" w:hAnsi="宋体" w:cs="宋体"/>
          <w:color w:val="auto"/>
          <w:kern w:val="0"/>
          <w:szCs w:val="21"/>
        </w:rPr>
        <w:t>20</w:t>
      </w:r>
      <w:r>
        <w:rPr>
          <w:rFonts w:hAnsi="宋体" w:cs="宋体"/>
          <w:color w:val="auto"/>
          <w:kern w:val="0"/>
          <w:szCs w:val="21"/>
        </w:rPr>
        <w:t>年</w:t>
      </w:r>
      <w:r>
        <w:rPr>
          <w:rFonts w:hint="eastAsia" w:hAnsi="宋体" w:cs="宋体"/>
          <w:color w:val="auto"/>
          <w:kern w:val="0"/>
          <w:szCs w:val="21"/>
          <w:lang w:val="en-US" w:eastAsia="zh-CN"/>
        </w:rPr>
        <w:t>3</w:t>
      </w:r>
      <w:r>
        <w:rPr>
          <w:rFonts w:hAnsi="宋体" w:cs="宋体"/>
          <w:color w:val="auto"/>
          <w:kern w:val="0"/>
          <w:szCs w:val="21"/>
        </w:rPr>
        <w:t>月</w:t>
      </w:r>
      <w:r>
        <w:rPr>
          <w:rFonts w:hint="eastAsia" w:hAnsi="宋体" w:cs="宋体"/>
          <w:color w:val="auto"/>
          <w:kern w:val="0"/>
          <w:szCs w:val="21"/>
          <w:lang w:val="en-US" w:eastAsia="zh-CN"/>
        </w:rPr>
        <w:t>24</w:t>
      </w:r>
      <w:r>
        <w:rPr>
          <w:rFonts w:hAnsi="宋体" w:cs="宋体"/>
          <w:color w:val="auto"/>
          <w:kern w:val="0"/>
          <w:szCs w:val="21"/>
        </w:rPr>
        <w:t>日</w:t>
      </w:r>
      <w:bookmarkEnd w:id="0"/>
    </w:p>
    <w:bookmarkEnd w:id="1"/>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E02E2C"/>
    <w:rsid w:val="0B3E0731"/>
    <w:rsid w:val="39E02E2C"/>
    <w:rsid w:val="65737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3">
    <w:name w:val="Body Text Indent"/>
    <w:basedOn w:val="1"/>
    <w:qFormat/>
    <w:uiPriority w:val="0"/>
    <w:pPr>
      <w:spacing w:line="200" w:lineRule="exact"/>
      <w:ind w:firstLine="301"/>
    </w:pPr>
    <w:rPr>
      <w:rFonts w:ascii="宋体" w:hAnsi="Courier New"/>
      <w:spacing w:val="-4"/>
      <w:sz w:val="18"/>
      <w:szCs w:val="20"/>
    </w:rPr>
  </w:style>
  <w:style w:type="paragraph" w:styleId="4">
    <w:name w:val="Plain Text"/>
    <w:basedOn w:val="1"/>
    <w:next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2020-03-23T12:42:00Z</dcterms:created>
  <dc:creator>「J_jun 」</dc:creator>
  <cp:lastModifiedBy>NTKO</cp:lastModifiedBy>
  <dcterms:modified xsi:type="dcterms:W3CDTF">2020-03-24T07:44:40Z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