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jc w:val="center"/>
        <w:rPr>
          <w:rFonts w:ascii="宋体" w:hAnsi="宋体" w:cs="宋体"/>
          <w:b/>
          <w:bCs/>
          <w:sz w:val="32"/>
          <w:szCs w:val="32"/>
        </w:rPr>
      </w:pPr>
    </w:p>
    <w:p>
      <w:pPr>
        <w:wordWrap w:val="0"/>
        <w:spacing w:line="360" w:lineRule="auto"/>
        <w:jc w:val="center"/>
        <w:rPr>
          <w:rFonts w:cs="宋体" w:asciiTheme="minorEastAsia" w:hAnsiTheme="minorEastAsia"/>
          <w:b/>
          <w:bCs/>
          <w:sz w:val="30"/>
          <w:szCs w:val="30"/>
        </w:rPr>
      </w:pPr>
      <w:r>
        <w:rPr>
          <w:rFonts w:hint="eastAsia" w:cs="宋体" w:asciiTheme="minorEastAsia" w:hAnsiTheme="minorEastAsia"/>
          <w:b/>
          <w:bCs/>
          <w:sz w:val="30"/>
          <w:szCs w:val="30"/>
        </w:rPr>
        <w:t>广西建荣工程项目管理有限公司关于金城江区疾病预防控制中心核酸检测仪器设备采购（项目编号:HCZC2020-J1-020077-GXJR）成交结果公告</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pPr>
      <w:r>
        <w:rPr>
          <w:rFonts w:hint="eastAsia" w:ascii="宋体" w:hAnsi="宋体" w:eastAsia="宋体" w:cs="宋体"/>
        </w:rPr>
        <w:t>一、项目编号：HCZC2020-J1-020077-GXJR</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rPr>
          <w:rFonts w:eastAsia="宋体"/>
        </w:rPr>
      </w:pPr>
      <w:r>
        <w:rPr>
          <w:rFonts w:hint="eastAsia" w:ascii="宋体" w:hAnsi="宋体" w:eastAsia="宋体" w:cs="宋体"/>
        </w:rPr>
        <w:t>二、项目名称：金城江区疾病预防控制中心核酸检测仪器设备采购</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pPr>
      <w:r>
        <w:rPr>
          <w:rFonts w:hint="eastAsia" w:ascii="宋体" w:hAnsi="宋体" w:eastAsia="宋体" w:cs="宋体"/>
        </w:rPr>
        <w:t>三、成交信息</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rPr>
          <w:rFonts w:hint="default" w:eastAsia="宋体"/>
          <w:lang w:val="en-US" w:eastAsia="zh-CN"/>
        </w:rPr>
      </w:pPr>
      <w:r>
        <w:rPr>
          <w:rFonts w:hint="eastAsia" w:ascii="宋体" w:hAnsi="宋体" w:eastAsia="宋体" w:cs="宋体"/>
        </w:rPr>
        <w:t>供应商名称：</w:t>
      </w:r>
      <w:r>
        <w:rPr>
          <w:rFonts w:hint="eastAsia" w:ascii="宋体" w:hAnsi="宋体" w:eastAsia="宋体" w:cs="宋体"/>
          <w:lang w:val="en-US" w:eastAsia="zh-CN"/>
        </w:rPr>
        <w:t>江西展祥医疗器械有限公司</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rPr>
          <w:rFonts w:eastAsia="宋体"/>
        </w:rPr>
      </w:pPr>
      <w:r>
        <w:rPr>
          <w:rFonts w:hint="eastAsia" w:ascii="宋体" w:hAnsi="宋体" w:eastAsia="宋体" w:cs="宋体"/>
        </w:rPr>
        <w:t>供应商地址：江西省南昌市进贤县泉岭乡学前路21-5号；</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pPr>
      <w:r>
        <w:rPr>
          <w:rFonts w:hint="eastAsia" w:ascii="宋体" w:hAnsi="宋体" w:eastAsia="宋体" w:cs="宋体"/>
        </w:rPr>
        <w:t>成交金额：人民币</w:t>
      </w:r>
      <w:r>
        <w:rPr>
          <w:rFonts w:hint="eastAsia" w:ascii="宋体" w:hAnsi="宋体" w:eastAsia="宋体" w:cs="宋体"/>
          <w:lang w:val="en-US" w:eastAsia="zh-CN"/>
        </w:rPr>
        <w:t>壹佰玖拾柒万柒仟贰佰伍拾元整</w:t>
      </w:r>
      <w:r>
        <w:rPr>
          <w:rFonts w:hint="eastAsia" w:ascii="宋体" w:hAnsi="宋体" w:eastAsia="宋体" w:cs="宋体"/>
        </w:rPr>
        <w:t>（¥</w:t>
      </w:r>
      <w:r>
        <w:rPr>
          <w:rFonts w:hint="eastAsia" w:ascii="宋体" w:hAnsi="宋体" w:eastAsia="宋体" w:cs="宋体"/>
          <w:lang w:val="en-US" w:eastAsia="zh-CN"/>
        </w:rPr>
        <w:t>1977250.00</w:t>
      </w:r>
      <w:r>
        <w:rPr>
          <w:rFonts w:hint="eastAsia" w:ascii="宋体" w:hAnsi="宋体" w:eastAsia="宋体" w:cs="宋体"/>
        </w:rPr>
        <w:t>）；</w:t>
      </w:r>
    </w:p>
    <w:p>
      <w:pPr>
        <w:pStyle w:val="8"/>
        <w:keepNext w:val="0"/>
        <w:keepLines w:val="0"/>
        <w:pageBreakBefore w:val="0"/>
        <w:widowControl/>
        <w:kinsoku/>
        <w:wordWrap/>
        <w:overflowPunct/>
        <w:topLinePunct w:val="0"/>
        <w:autoSpaceDE/>
        <w:autoSpaceDN/>
        <w:bidi w:val="0"/>
        <w:adjustRightInd w:val="0"/>
        <w:snapToGrid/>
        <w:spacing w:line="320" w:lineRule="exact"/>
        <w:ind w:firstLine="480" w:firstLineChars="200"/>
        <w:rPr>
          <w:rFonts w:ascii="宋体" w:hAnsi="宋体" w:eastAsia="宋体" w:cs="宋体"/>
        </w:rPr>
      </w:pPr>
      <w:r>
        <w:rPr>
          <w:rFonts w:hint="eastAsia" w:ascii="宋体" w:hAnsi="宋体" w:eastAsia="宋体" w:cs="宋体"/>
        </w:rPr>
        <w:t>四、主要标的信息：</w:t>
      </w:r>
    </w:p>
    <w:tbl>
      <w:tblPr>
        <w:tblStyle w:val="9"/>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1978"/>
        <w:gridCol w:w="2659"/>
        <w:gridCol w:w="2109"/>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567"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新宋体" w:hAnsi="新宋体" w:eastAsia="新宋体" w:cs="新宋体"/>
                <w:b/>
                <w:sz w:val="24"/>
                <w:szCs w:val="24"/>
              </w:rPr>
            </w:pPr>
            <w:r>
              <w:rPr>
                <w:rFonts w:hint="eastAsia" w:ascii="新宋体" w:hAnsi="新宋体" w:eastAsia="新宋体" w:cs="新宋体"/>
                <w:b/>
                <w:kern w:val="0"/>
                <w:sz w:val="24"/>
                <w:szCs w:val="24"/>
              </w:rPr>
              <w:t>序号</w:t>
            </w:r>
          </w:p>
        </w:tc>
        <w:tc>
          <w:tcPr>
            <w:tcW w:w="1978"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新宋体" w:hAnsi="新宋体" w:eastAsia="新宋体" w:cs="新宋体"/>
                <w:b/>
                <w:sz w:val="24"/>
                <w:szCs w:val="24"/>
              </w:rPr>
            </w:pPr>
            <w:r>
              <w:rPr>
                <w:rFonts w:hint="eastAsia" w:ascii="新宋体" w:hAnsi="新宋体" w:eastAsia="新宋体" w:cs="新宋体"/>
                <w:b/>
                <w:kern w:val="0"/>
                <w:sz w:val="24"/>
                <w:szCs w:val="24"/>
              </w:rPr>
              <w:t>货物名称</w:t>
            </w:r>
          </w:p>
        </w:tc>
        <w:tc>
          <w:tcPr>
            <w:tcW w:w="265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新宋体" w:hAnsi="新宋体" w:eastAsia="新宋体" w:cs="新宋体"/>
                <w:b/>
                <w:kern w:val="0"/>
                <w:sz w:val="24"/>
                <w:szCs w:val="24"/>
              </w:rPr>
            </w:pPr>
            <w:r>
              <w:rPr>
                <w:rFonts w:hint="eastAsia" w:ascii="新宋体" w:hAnsi="新宋体" w:eastAsia="新宋体" w:cs="新宋体"/>
                <w:b/>
                <w:kern w:val="0"/>
                <w:sz w:val="24"/>
                <w:szCs w:val="24"/>
              </w:rPr>
              <w:t>品牌、规格型号</w:t>
            </w:r>
          </w:p>
        </w:tc>
        <w:tc>
          <w:tcPr>
            <w:tcW w:w="210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新宋体" w:hAnsi="新宋体" w:eastAsia="新宋体" w:cs="新宋体"/>
                <w:b/>
                <w:sz w:val="24"/>
                <w:szCs w:val="24"/>
              </w:rPr>
            </w:pPr>
            <w:r>
              <w:rPr>
                <w:rFonts w:hint="eastAsia" w:ascii="新宋体" w:hAnsi="新宋体" w:eastAsia="新宋体" w:cs="新宋体"/>
                <w:b/>
                <w:kern w:val="0"/>
                <w:sz w:val="24"/>
                <w:szCs w:val="24"/>
              </w:rPr>
              <w:t>数量</w:t>
            </w:r>
          </w:p>
        </w:tc>
        <w:tc>
          <w:tcPr>
            <w:tcW w:w="250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新宋体" w:hAnsi="新宋体" w:eastAsia="新宋体" w:cs="新宋体"/>
                <w:b/>
                <w:sz w:val="24"/>
                <w:szCs w:val="24"/>
              </w:rPr>
            </w:pPr>
            <w:r>
              <w:rPr>
                <w:rFonts w:hint="eastAsia" w:ascii="新宋体" w:hAnsi="新宋体" w:eastAsia="新宋体" w:cs="新宋体"/>
                <w:b/>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微流体芯片荧光定量PCR仪（配套微流体芯片模块）</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品牌：ABI、型号：QuantStudio 7 FLEX</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2</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全自动核酸提取仪</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品牌：西安天隆、型号：Gene Rotex 96</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sz w:val="24"/>
                <w:szCs w:val="24"/>
              </w:rPr>
            </w:pPr>
            <w:r>
              <w:rPr>
                <w:rFonts w:hint="eastAsia" w:ascii="宋体" w:hAnsi="宋体" w:eastAsia="宋体" w:cs="宋体"/>
                <w:i w:val="0"/>
                <w:color w:val="000000"/>
                <w:kern w:val="0"/>
                <w:sz w:val="24"/>
                <w:szCs w:val="24"/>
                <w:u w:val="none"/>
                <w:lang w:val="en-US" w:eastAsia="zh-CN" w:bidi="ar"/>
              </w:rPr>
              <w:t>3</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医用低温保存箱</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品牌：海尔、型号：DW-25L262</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sz w:val="24"/>
                <w:szCs w:val="24"/>
              </w:rPr>
            </w:pPr>
            <w:r>
              <w:rPr>
                <w:rFonts w:hint="eastAsia" w:ascii="宋体" w:hAnsi="宋体" w:eastAsia="宋体" w:cs="宋体"/>
                <w:i w:val="0"/>
                <w:color w:val="000000"/>
                <w:kern w:val="0"/>
                <w:sz w:val="24"/>
                <w:szCs w:val="24"/>
                <w:u w:val="none"/>
                <w:lang w:val="en-US" w:eastAsia="zh-CN" w:bidi="ar"/>
              </w:rPr>
              <w:t>4</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超净工作台</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品牌:博科、型号：BBS-DDC、</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sz w:val="24"/>
                <w:szCs w:val="24"/>
              </w:rPr>
            </w:pPr>
            <w:r>
              <w:rPr>
                <w:rFonts w:hint="eastAsia" w:ascii="宋体" w:hAnsi="宋体" w:eastAsia="宋体" w:cs="宋体"/>
                <w:i w:val="0"/>
                <w:color w:val="000000"/>
                <w:kern w:val="0"/>
                <w:sz w:val="24"/>
                <w:szCs w:val="24"/>
                <w:u w:val="none"/>
                <w:lang w:val="en-US" w:eastAsia="zh-CN" w:bidi="ar"/>
              </w:rPr>
              <w:t>5</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生物安全柜</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品牌：博科、型号：BSC-1500IIA2-X</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sz w:val="24"/>
                <w:szCs w:val="24"/>
              </w:rPr>
            </w:pPr>
            <w:r>
              <w:rPr>
                <w:rFonts w:hint="eastAsia" w:ascii="宋体" w:hAnsi="宋体" w:eastAsia="宋体" w:cs="宋体"/>
                <w:i w:val="0"/>
                <w:color w:val="000000"/>
                <w:kern w:val="0"/>
                <w:sz w:val="24"/>
                <w:szCs w:val="24"/>
                <w:u w:val="none"/>
                <w:lang w:val="en-US" w:eastAsia="zh-CN" w:bidi="ar"/>
              </w:rPr>
              <w:t>6</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漩涡混匀器</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品牌：其林贝尔、型号：VORTEX-5</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2</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迷你离心机</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品牌：其林贝尔、型号：LX-200</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8</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超低温冰箱</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品牌：赛默飞、型号：902-utls</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9</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医用冰箱</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品牌:海尔、型号：HYCD-290</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8"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移液器</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品牌：Eppendorf（艾本德）、型号：0.5-10ul,    10-100ul, 20-200ul,   100-1000ul</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11</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多通道移液器</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品牌：Eppendorf（艾本德）、型号：8通道：0.5-10ul</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多通道移液器</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品牌：Eppendorf（艾本德）、型号：8通道：10-100ul</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恒温水浴箱</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品牌：光合、型号：HH-W600、</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低速台式离心机(微流体芯片专用)</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品牌：湘仪、型号：CLT55</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高速冷冻离心机</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品牌：湘仪、型号：TGL-16</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紫外消毒车</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品牌：江阴健仕福、型号：ZXC-II</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高压灭菌锅</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品牌：致微、型号：GR110DP</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69400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atLeast"/>
          <w:jc w:val="center"/>
        </w:trPr>
        <w:tc>
          <w:tcPr>
            <w:tcW w:w="5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97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恒温金属浴</w:t>
            </w:r>
          </w:p>
        </w:tc>
        <w:tc>
          <w:tcPr>
            <w:tcW w:w="26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品牌：大龙、型号：HB120-S</w:t>
            </w:r>
          </w:p>
        </w:tc>
        <w:tc>
          <w:tcPr>
            <w:tcW w:w="210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w:t>
            </w:r>
          </w:p>
        </w:tc>
        <w:tc>
          <w:tcPr>
            <w:tcW w:w="2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1950</w:t>
            </w:r>
          </w:p>
        </w:tc>
      </w:tr>
    </w:tbl>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rPr>
      </w:pPr>
      <w:r>
        <w:rPr>
          <w:rFonts w:hint="eastAsia" w:ascii="宋体" w:hAnsi="宋体" w:eastAsia="宋体" w:cs="宋体"/>
        </w:rPr>
        <w:t>五、评审专家名单：戴厚民（组长）、韦振东、韦义拢（业主评委）；</w:t>
      </w:r>
    </w:p>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highlight w:val="none"/>
        </w:rPr>
      </w:pPr>
      <w:r>
        <w:rPr>
          <w:rFonts w:hint="eastAsia" w:ascii="宋体" w:hAnsi="宋体" w:eastAsia="宋体" w:cs="宋体"/>
        </w:rPr>
        <w:t>六、代理服务收费标准：</w:t>
      </w:r>
      <w:r>
        <w:rPr>
          <w:rFonts w:hint="eastAsia" w:ascii="宋体" w:hAnsi="宋体"/>
          <w:color w:val="000000"/>
        </w:rPr>
        <w:t>按国家发展计划委员会《招标代理服务费管理暂行办法》（计价格[2002]1980号）收费标准（货物类）向中标（成交）人收取（上述费用中不含评标委员会评审劳务费）。</w:t>
      </w:r>
      <w:r>
        <w:rPr>
          <w:rFonts w:hint="eastAsia" w:ascii="宋体" w:hAnsi="宋体" w:eastAsia="宋体" w:cs="宋体"/>
          <w:highlight w:val="none"/>
        </w:rPr>
        <w:t>收费金额：2</w:t>
      </w:r>
      <w:r>
        <w:rPr>
          <w:rFonts w:hint="eastAsia" w:ascii="宋体" w:hAnsi="宋体" w:eastAsia="宋体" w:cs="宋体"/>
          <w:highlight w:val="none"/>
          <w:lang w:val="en-US" w:eastAsia="zh-CN"/>
        </w:rPr>
        <w:t>.</w:t>
      </w:r>
      <w:r>
        <w:rPr>
          <w:rFonts w:hint="eastAsia" w:ascii="宋体" w:hAnsi="宋体" w:eastAsia="宋体" w:cs="宋体"/>
          <w:highlight w:val="none"/>
        </w:rPr>
        <w:t>5749</w:t>
      </w:r>
      <w:r>
        <w:rPr>
          <w:rFonts w:hint="eastAsia" w:ascii="宋体" w:hAnsi="宋体" w:eastAsia="宋体" w:cs="宋体"/>
          <w:highlight w:val="none"/>
          <w:lang w:val="en-US" w:eastAsia="zh-CN"/>
        </w:rPr>
        <w:t>7</w:t>
      </w:r>
      <w:r>
        <w:rPr>
          <w:rFonts w:hint="eastAsia" w:ascii="宋体" w:hAnsi="宋体" w:eastAsia="宋体" w:cs="宋体"/>
          <w:highlight w:val="none"/>
        </w:rPr>
        <w:t>万元</w:t>
      </w:r>
    </w:p>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highlight w:val="none"/>
        </w:rPr>
      </w:pPr>
      <w:r>
        <w:rPr>
          <w:rFonts w:hint="eastAsia" w:ascii="宋体" w:hAnsi="宋体" w:eastAsia="宋体" w:cs="宋体"/>
          <w:highlight w:val="none"/>
        </w:rPr>
        <w:t>七、公告期限</w:t>
      </w:r>
    </w:p>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rPr>
      </w:pPr>
      <w:r>
        <w:rPr>
          <w:rFonts w:hint="eastAsia" w:ascii="宋体" w:hAnsi="宋体" w:eastAsia="宋体" w:cs="宋体"/>
        </w:rPr>
        <w:t>自本公告发布之日起1个工作日。</w:t>
      </w:r>
    </w:p>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rPr>
      </w:pPr>
      <w:r>
        <w:rPr>
          <w:rFonts w:hint="eastAsia" w:ascii="宋体" w:hAnsi="宋体" w:eastAsia="宋体" w:cs="宋体"/>
        </w:rPr>
        <w:t>八、其他补充事宜</w:t>
      </w:r>
    </w:p>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rPr>
      </w:pPr>
      <w:r>
        <w:rPr>
          <w:rFonts w:hint="eastAsia" w:ascii="宋体" w:hAnsi="宋体" w:eastAsia="宋体" w:cs="宋体"/>
        </w:rPr>
        <w:t>各有关当事人对成交结果有异议的，可以在成交公告发布之日起七个工作日内以书面形式向（河池市金城江区疾病预防控制中心或广西建荣工程项目管理有限公司）提出质疑，逾期将不再受理。</w:t>
      </w:r>
    </w:p>
    <w:p>
      <w:pPr>
        <w:pStyle w:val="8"/>
        <w:keepNext w:val="0"/>
        <w:keepLines w:val="0"/>
        <w:pageBreakBefore w:val="0"/>
        <w:widowControl/>
        <w:kinsoku/>
        <w:wordWrap/>
        <w:overflowPunct/>
        <w:topLinePunct w:val="0"/>
        <w:autoSpaceDE/>
        <w:autoSpaceDN/>
        <w:bidi w:val="0"/>
        <w:snapToGrid/>
        <w:spacing w:line="320" w:lineRule="exact"/>
        <w:ind w:firstLine="240" w:firstLineChars="100"/>
        <w:rPr>
          <w:rFonts w:ascii="宋体" w:hAnsi="宋体" w:eastAsia="宋体" w:cs="宋体"/>
        </w:rPr>
      </w:pPr>
      <w:r>
        <w:rPr>
          <w:rFonts w:hint="eastAsia" w:ascii="宋体" w:hAnsi="宋体" w:eastAsia="宋体" w:cs="宋体"/>
        </w:rPr>
        <w:t>九、凡对本次公告内容提出询问，请按以下方式联系</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1.采购人信息</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名 称：河池市金城江区疾病预防控制中心</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地 址：</w:t>
      </w:r>
      <w:r>
        <w:rPr>
          <w:rFonts w:hint="eastAsia" w:cs="宋体"/>
        </w:rPr>
        <w:t>河池市金城江区金城中路341号</w:t>
      </w:r>
      <w:r>
        <w:rPr>
          <w:rFonts w:hint="eastAsia" w:ascii="宋体" w:hAnsi="宋体" w:eastAsia="宋体" w:cs="宋体"/>
        </w:rPr>
        <w:t>；</w:t>
      </w:r>
    </w:p>
    <w:p>
      <w:pPr>
        <w:pStyle w:val="8"/>
        <w:keepNext w:val="0"/>
        <w:keepLines w:val="0"/>
        <w:pageBreakBefore w:val="0"/>
        <w:widowControl/>
        <w:kinsoku/>
        <w:wordWrap/>
        <w:overflowPunct/>
        <w:topLinePunct w:val="0"/>
        <w:autoSpaceDE/>
        <w:autoSpaceDN/>
        <w:bidi w:val="0"/>
        <w:snapToGrid/>
        <w:spacing w:line="320" w:lineRule="exact"/>
        <w:ind w:firstLine="480"/>
        <w:rPr>
          <w:rFonts w:ascii="宋体" w:hAnsi="宋体"/>
          <w:color w:val="000000"/>
        </w:rPr>
      </w:pPr>
      <w:r>
        <w:rPr>
          <w:rFonts w:hint="eastAsia" w:ascii="宋体" w:hAnsi="宋体" w:eastAsia="宋体" w:cs="宋体"/>
        </w:rPr>
        <w:t>联系方式：韦义拢  0778-2299829；</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2.采购代理机构信息</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名 称：广西建荣工程项目管理有限公司</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地　址：</w:t>
      </w:r>
      <w:r>
        <w:rPr>
          <w:rFonts w:hint="eastAsia" w:cs="宋体"/>
        </w:rPr>
        <w:t>河池市城西大道西城铭苑一栋一单元402室</w:t>
      </w:r>
      <w:r>
        <w:rPr>
          <w:rFonts w:hint="eastAsia" w:ascii="宋体" w:hAnsi="宋体" w:eastAsia="宋体" w:cs="宋体"/>
        </w:rPr>
        <w:t>；</w:t>
      </w:r>
    </w:p>
    <w:p>
      <w:pPr>
        <w:pStyle w:val="8"/>
        <w:keepNext w:val="0"/>
        <w:keepLines w:val="0"/>
        <w:pageBreakBefore w:val="0"/>
        <w:widowControl/>
        <w:kinsoku/>
        <w:wordWrap/>
        <w:overflowPunct/>
        <w:topLinePunct w:val="0"/>
        <w:autoSpaceDE/>
        <w:autoSpaceDN/>
        <w:bidi w:val="0"/>
        <w:snapToGrid/>
        <w:spacing w:line="320" w:lineRule="exact"/>
        <w:ind w:firstLine="480"/>
        <w:rPr>
          <w:rFonts w:ascii="宋体" w:hAnsi="宋体" w:eastAsia="宋体" w:cs="宋体"/>
        </w:rPr>
      </w:pPr>
      <w:r>
        <w:rPr>
          <w:rFonts w:hint="eastAsia" w:ascii="宋体" w:hAnsi="宋体" w:eastAsia="宋体" w:cs="宋体"/>
        </w:rPr>
        <w:t>联系方式：龙兴群</w:t>
      </w:r>
      <w:r>
        <w:rPr>
          <w:rFonts w:ascii="宋体" w:hAnsi="宋体" w:eastAsia="宋体" w:cs="宋体"/>
        </w:rPr>
        <w:t xml:space="preserve">   联系电话: </w:t>
      </w:r>
      <w:r>
        <w:rPr>
          <w:rFonts w:hint="eastAsia" w:ascii="宋体" w:hAnsi="宋体" w:eastAsia="宋体" w:cs="宋体"/>
          <w:bCs/>
        </w:rPr>
        <w:t>0778-2112888</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3.项目联系方式</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项目联系人：龙兴群</w:t>
      </w:r>
      <w:r>
        <w:rPr>
          <w:rFonts w:ascii="宋体" w:hAnsi="宋体" w:eastAsia="宋体" w:cs="宋体"/>
        </w:rPr>
        <w:t> </w:t>
      </w:r>
    </w:p>
    <w:p>
      <w:pPr>
        <w:pStyle w:val="8"/>
        <w:keepNext w:val="0"/>
        <w:keepLines w:val="0"/>
        <w:pageBreakBefore w:val="0"/>
        <w:widowControl/>
        <w:kinsoku/>
        <w:wordWrap/>
        <w:overflowPunct/>
        <w:topLinePunct w:val="0"/>
        <w:autoSpaceDE/>
        <w:autoSpaceDN/>
        <w:bidi w:val="0"/>
        <w:snapToGrid/>
        <w:spacing w:line="320" w:lineRule="exact"/>
        <w:ind w:firstLine="480"/>
      </w:pPr>
      <w:r>
        <w:rPr>
          <w:rFonts w:hint="eastAsia" w:ascii="宋体" w:hAnsi="宋体" w:eastAsia="宋体" w:cs="宋体"/>
        </w:rPr>
        <w:t>电　话：</w:t>
      </w:r>
      <w:r>
        <w:rPr>
          <w:rFonts w:hint="eastAsia" w:ascii="宋体" w:hAnsi="宋体" w:eastAsia="宋体" w:cs="宋体"/>
          <w:bCs/>
        </w:rPr>
        <w:t>0778-2112888</w:t>
      </w:r>
    </w:p>
    <w:p>
      <w:pPr>
        <w:pStyle w:val="8"/>
        <w:keepNext w:val="0"/>
        <w:keepLines w:val="0"/>
        <w:pageBreakBefore w:val="0"/>
        <w:widowControl/>
        <w:kinsoku/>
        <w:wordWrap/>
        <w:overflowPunct/>
        <w:topLinePunct w:val="0"/>
        <w:autoSpaceDE/>
        <w:autoSpaceDN/>
        <w:bidi w:val="0"/>
        <w:snapToGrid/>
        <w:spacing w:line="320" w:lineRule="exact"/>
        <w:ind w:firstLine="480"/>
        <w:rPr>
          <w:rFonts w:ascii="宋体" w:hAnsi="宋体" w:eastAsia="宋体" w:cs="宋体"/>
        </w:rPr>
      </w:pPr>
    </w:p>
    <w:p>
      <w:pPr>
        <w:pStyle w:val="8"/>
        <w:keepNext w:val="0"/>
        <w:keepLines w:val="0"/>
        <w:pageBreakBefore w:val="0"/>
        <w:widowControl/>
        <w:kinsoku/>
        <w:wordWrap/>
        <w:overflowPunct/>
        <w:topLinePunct w:val="0"/>
        <w:autoSpaceDE/>
        <w:autoSpaceDN/>
        <w:bidi w:val="0"/>
        <w:snapToGrid/>
        <w:spacing w:line="320" w:lineRule="exact"/>
        <w:ind w:firstLine="6542" w:firstLineChars="2726"/>
        <w:rPr>
          <w:rFonts w:ascii="宋体" w:hAnsi="宋体" w:eastAsia="宋体" w:cs="宋体"/>
        </w:rPr>
      </w:pPr>
      <w:bookmarkStart w:id="0" w:name="_GoBack"/>
      <w:bookmarkEnd w:id="0"/>
      <w:r>
        <w:rPr>
          <w:rFonts w:hint="eastAsia" w:ascii="宋体" w:hAnsi="宋体" w:eastAsia="宋体" w:cs="宋体"/>
        </w:rPr>
        <w:t>广西建荣工程项目管理有限公司</w:t>
      </w:r>
    </w:p>
    <w:p>
      <w:pPr>
        <w:pStyle w:val="8"/>
        <w:keepNext w:val="0"/>
        <w:keepLines w:val="0"/>
        <w:pageBreakBefore w:val="0"/>
        <w:widowControl/>
        <w:kinsoku/>
        <w:wordWrap/>
        <w:overflowPunct/>
        <w:topLinePunct w:val="0"/>
        <w:autoSpaceDE/>
        <w:autoSpaceDN/>
        <w:bidi w:val="0"/>
        <w:snapToGrid/>
        <w:spacing w:line="320" w:lineRule="exact"/>
        <w:ind w:firstLine="7262" w:firstLineChars="3026"/>
        <w:rPr>
          <w:rFonts w:ascii="宋体" w:hAnsi="宋体" w:eastAsia="宋体" w:cs="宋体"/>
        </w:rPr>
      </w:pPr>
      <w:r>
        <w:rPr>
          <w:rFonts w:hint="eastAsia" w:ascii="宋体" w:hAnsi="宋体" w:eastAsia="宋体" w:cs="宋体"/>
        </w:rPr>
        <w:t>2020年8月4日</w:t>
      </w:r>
    </w:p>
    <w:p>
      <w:pPr>
        <w:pStyle w:val="8"/>
        <w:keepNext w:val="0"/>
        <w:keepLines w:val="0"/>
        <w:pageBreakBefore w:val="0"/>
        <w:widowControl/>
        <w:kinsoku/>
        <w:wordWrap/>
        <w:overflowPunct/>
        <w:topLinePunct w:val="0"/>
        <w:autoSpaceDE/>
        <w:autoSpaceDN/>
        <w:bidi w:val="0"/>
        <w:snapToGrid/>
        <w:spacing w:line="320" w:lineRule="exact"/>
        <w:ind w:firstLine="480"/>
        <w:rPr>
          <w:rFonts w:ascii="宋体" w:hAnsi="宋体" w:eastAsia="宋体" w:cs="宋体"/>
        </w:rPr>
      </w:pPr>
    </w:p>
    <w:sectPr>
      <w:pgSz w:w="11906" w:h="16838"/>
      <w:pgMar w:top="850" w:right="850"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8A9"/>
    <w:rsid w:val="00080936"/>
    <w:rsid w:val="00314342"/>
    <w:rsid w:val="00940D6F"/>
    <w:rsid w:val="0097017E"/>
    <w:rsid w:val="00C133C4"/>
    <w:rsid w:val="00C808A9"/>
    <w:rsid w:val="00D81C34"/>
    <w:rsid w:val="00F12067"/>
    <w:rsid w:val="0AE13031"/>
    <w:rsid w:val="0DB53ECE"/>
    <w:rsid w:val="0DC7012F"/>
    <w:rsid w:val="0DF5139D"/>
    <w:rsid w:val="1ADB6016"/>
    <w:rsid w:val="1DA05CB2"/>
    <w:rsid w:val="1E927B00"/>
    <w:rsid w:val="207B4B36"/>
    <w:rsid w:val="214D2651"/>
    <w:rsid w:val="251222B7"/>
    <w:rsid w:val="254724F5"/>
    <w:rsid w:val="25E60100"/>
    <w:rsid w:val="265A1CC0"/>
    <w:rsid w:val="2A570CAB"/>
    <w:rsid w:val="2A93771E"/>
    <w:rsid w:val="2C454A0D"/>
    <w:rsid w:val="2E7C1B16"/>
    <w:rsid w:val="2FBC3FBB"/>
    <w:rsid w:val="37A76436"/>
    <w:rsid w:val="395A2C95"/>
    <w:rsid w:val="39B21482"/>
    <w:rsid w:val="3CDC21B9"/>
    <w:rsid w:val="3D4F6132"/>
    <w:rsid w:val="3F353E59"/>
    <w:rsid w:val="3FB4121E"/>
    <w:rsid w:val="404153F4"/>
    <w:rsid w:val="44395317"/>
    <w:rsid w:val="46C43E27"/>
    <w:rsid w:val="48161BA8"/>
    <w:rsid w:val="4D161F34"/>
    <w:rsid w:val="512D4A48"/>
    <w:rsid w:val="53131EB9"/>
    <w:rsid w:val="612F5B41"/>
    <w:rsid w:val="61E47596"/>
    <w:rsid w:val="628C7A9B"/>
    <w:rsid w:val="712D316D"/>
    <w:rsid w:val="734C17C3"/>
    <w:rsid w:val="738D6F42"/>
    <w:rsid w:val="73E71590"/>
    <w:rsid w:val="75FD1426"/>
    <w:rsid w:val="78D25E90"/>
    <w:rsid w:val="7A6F5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4">
    <w:name w:val="Body Text"/>
    <w:basedOn w:val="1"/>
    <w:next w:val="5"/>
    <w:unhideWhenUsed/>
    <w:qFormat/>
    <w:uiPriority w:val="99"/>
    <w:pPr>
      <w:spacing w:after="120"/>
    </w:pPr>
    <w:rPr>
      <w:rFonts w:ascii="Times New Roman" w:hAnsi="Times New Roman"/>
    </w:rPr>
  </w:style>
  <w:style w:type="paragraph" w:styleId="5">
    <w:name w:val="toc 2"/>
    <w:basedOn w:val="1"/>
    <w:next w:val="1"/>
    <w:unhideWhenUsed/>
    <w:qFormat/>
    <w:uiPriority w:val="39"/>
    <w:pPr>
      <w:ind w:left="420" w:leftChars="200"/>
    </w:p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75" w:after="75"/>
      <w:jc w:val="left"/>
    </w:pPr>
    <w:rPr>
      <w:rFonts w:cs="Times New Roman"/>
      <w:kern w:val="0"/>
      <w:sz w:val="24"/>
    </w:rPr>
  </w:style>
  <w:style w:type="character" w:customStyle="1" w:styleId="11">
    <w:name w:val="标题 1 Char"/>
    <w:link w:val="3"/>
    <w:qFormat/>
    <w:uiPriority w:val="0"/>
    <w:rPr>
      <w:rFonts w:ascii="Times New Roman" w:hAnsi="Times New Roman" w:eastAsia="宋体" w:cs="Times New Roman"/>
      <w:b/>
      <w:bCs/>
      <w:kern w:val="44"/>
      <w:sz w:val="32"/>
      <w:szCs w:val="44"/>
    </w:rPr>
  </w:style>
  <w:style w:type="paragraph" w:customStyle="1" w:styleId="12">
    <w:name w:val="detail-info"/>
    <w:basedOn w:val="1"/>
    <w:qFormat/>
    <w:uiPriority w:val="0"/>
    <w:pPr>
      <w:pBdr>
        <w:bottom w:val="dotted" w:color="999999" w:sz="6" w:space="7"/>
      </w:pBdr>
      <w:spacing w:after="300"/>
      <w:jc w:val="left"/>
    </w:pPr>
    <w:rPr>
      <w:rFonts w:cs="Times New Roman"/>
      <w:color w:val="666666"/>
      <w:kern w:val="0"/>
      <w:szCs w:val="21"/>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558</Words>
  <Characters>220</Characters>
  <Lines>1</Lines>
  <Paragraphs>1</Paragraphs>
  <TotalTime>4</TotalTime>
  <ScaleCrop>false</ScaleCrop>
  <LinksUpToDate>false</LinksUpToDate>
  <CharactersWithSpaces>777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高山流水遇知音</cp:lastModifiedBy>
  <cp:lastPrinted>2020-07-23T01:11:00Z</cp:lastPrinted>
  <dcterms:modified xsi:type="dcterms:W3CDTF">2020-08-04T04:36:22Z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