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黑体" w:hAnsi="宋体" w:eastAsia="黑体"/>
          <w:b/>
          <w:bCs/>
          <w:sz w:val="32"/>
          <w:szCs w:val="20"/>
        </w:rPr>
      </w:pPr>
      <w:r>
        <w:rPr>
          <w:rFonts w:hint="eastAsia" w:ascii="黑体" w:hAnsi="宋体" w:eastAsia="黑体"/>
          <w:b/>
          <w:bCs/>
          <w:sz w:val="32"/>
          <w:szCs w:val="20"/>
        </w:rPr>
        <w:t>项目名称：玉东新区实验小学监控设备及无线网络设备采购</w:t>
      </w:r>
    </w:p>
    <w:tbl>
      <w:tblPr>
        <w:tblStyle w:val="5"/>
        <w:tblW w:w="558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
        <w:gridCol w:w="772"/>
        <w:gridCol w:w="782"/>
        <w:gridCol w:w="3986"/>
        <w:gridCol w:w="542"/>
        <w:gridCol w:w="666"/>
        <w:gridCol w:w="1153"/>
        <w:gridCol w:w="11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heme="minorEastAsia" w:hAnsiTheme="minorEastAsia" w:eastAsiaTheme="minorEastAsia" w:cstheme="minorEastAsia"/>
                <w:spacing w:val="-20"/>
                <w:sz w:val="20"/>
                <w:szCs w:val="20"/>
              </w:rPr>
            </w:pPr>
            <w:r>
              <w:rPr>
                <w:rFonts w:hint="eastAsia" w:asciiTheme="minorEastAsia" w:hAnsiTheme="minorEastAsia" w:eastAsiaTheme="minorEastAsia" w:cstheme="minorEastAsia"/>
                <w:spacing w:val="-20"/>
                <w:sz w:val="20"/>
                <w:szCs w:val="20"/>
              </w:rPr>
              <w:t>序号</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pacing w:val="-20"/>
                <w:sz w:val="20"/>
                <w:szCs w:val="20"/>
              </w:rPr>
            </w:pPr>
            <w:r>
              <w:rPr>
                <w:rFonts w:hint="eastAsia" w:asciiTheme="minorEastAsia" w:hAnsiTheme="minorEastAsia" w:eastAsiaTheme="minorEastAsia" w:cstheme="minorEastAsia"/>
                <w:spacing w:val="-20"/>
                <w:sz w:val="20"/>
                <w:szCs w:val="20"/>
              </w:rPr>
              <w:t>货物名称</w:t>
            </w:r>
          </w:p>
        </w:tc>
        <w:tc>
          <w:tcPr>
            <w:tcW w:w="411" w:type="pct"/>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bCs/>
                <w:sz w:val="20"/>
                <w:szCs w:val="20"/>
              </w:rPr>
              <w:t>品牌</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kern w:val="0"/>
                <w:sz w:val="20"/>
                <w:szCs w:val="20"/>
              </w:rPr>
              <w:t>型号</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技术参数</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单位</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pacing w:val="-20"/>
                <w:sz w:val="20"/>
                <w:szCs w:val="20"/>
              </w:rPr>
            </w:pPr>
            <w:r>
              <w:rPr>
                <w:rFonts w:hint="eastAsia" w:asciiTheme="minorEastAsia" w:hAnsiTheme="minorEastAsia" w:eastAsiaTheme="minorEastAsia" w:cstheme="minorEastAsia"/>
                <w:spacing w:val="-20"/>
                <w:sz w:val="20"/>
                <w:szCs w:val="20"/>
              </w:rPr>
              <w:t>数量</w:t>
            </w:r>
          </w:p>
          <w:p>
            <w:pPr>
              <w:jc w:val="center"/>
              <w:rPr>
                <w:rFonts w:hint="eastAsia" w:asciiTheme="minorEastAsia" w:hAnsiTheme="minorEastAsia" w:eastAsiaTheme="minorEastAsia" w:cstheme="minorEastAsia"/>
                <w:spacing w:val="-20"/>
                <w:kern w:val="2"/>
                <w:sz w:val="20"/>
                <w:szCs w:val="20"/>
                <w:lang w:val="en-US" w:eastAsia="zh-CN" w:bidi="ar-SA"/>
              </w:rPr>
            </w:pPr>
            <w:r>
              <w:rPr>
                <w:rFonts w:hint="eastAsia" w:asciiTheme="minorEastAsia" w:hAnsiTheme="minorEastAsia" w:eastAsiaTheme="minorEastAsia" w:cstheme="minorEastAsia"/>
                <w:spacing w:val="-20"/>
                <w:sz w:val="20"/>
                <w:szCs w:val="20"/>
              </w:rPr>
              <w:t>①</w:t>
            </w:r>
          </w:p>
        </w:tc>
        <w:tc>
          <w:tcPr>
            <w:tcW w:w="6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单价(元)②</w:t>
            </w:r>
          </w:p>
        </w:tc>
        <w:tc>
          <w:tcPr>
            <w:tcW w:w="6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单项合价</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（元）</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sz w:val="20"/>
                <w:szCs w:val="20"/>
              </w:rPr>
              <w:t>一、监控设备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5"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400万网络摄像机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大华、DH-IPC-HFW2433M-I1</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★1、可输出400万（2560×1440）@25fps            2、支持H.265编码，压缩比高，超低码流 </w:t>
            </w:r>
          </w:p>
          <w:p>
            <w:pPr>
              <w:numPr>
                <w:ilvl w:val="0"/>
                <w:numId w:val="1"/>
              </w:numPr>
              <w:spacing w:line="30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最大红外监控距离50米                            4、支持走廊模式，宽动态，3D降噪，强光抑制，背光补偿，数字水印，适用不同监控环境；</w:t>
            </w:r>
          </w:p>
          <w:p>
            <w:pPr>
              <w:spacing w:line="300" w:lineRule="exac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5、支持ROI，SMART H.264/H.265，灵活编码，适用不同带宽和存储环境 电压检测，网络断开，IP冲突，移动检测，视频遮挡，非法访问；                                          ★6、支持DC12V/POE ，方便工程安装 支持IP67</w:t>
            </w: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194</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450.00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87300.00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7"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400万云台摄像机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大华、DHLC-TS1-P</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0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支持双向语音，红外夜视；</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2、成像器件：1/2.7英寸CMOS；</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3、有效像素：200万；</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4、分辨率：1080P，最大1920×1080；</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5、压缩格式：视频压缩：H.265，H.264H.；</w:t>
            </w:r>
          </w:p>
          <w:p>
            <w:pPr>
              <w:spacing w:line="300" w:lineRule="exac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6、产品尺寸：90×90×108mm</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7、产品重量：250g</w:t>
            </w: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64</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405.00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25920.00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电源适配器</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大华、DH-PFM300</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spacing w:after="260" w:line="300" w:lineRule="exac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1、支持共模4KV,差模2KV</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2、达到V5能效等级</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3、支持AC180~260V电压供电</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4、支持DC12V2A输出</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5、支持集线功能</w:t>
            </w: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130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3250.00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5"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枪机支架</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大华、DH-PFB120WS</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尺寸为204.0*58.0*80.0mm</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采用铝合金材质，不易生锈</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白色</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重量为0.38kg</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支持最大承重1.0kg</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支持壁装安装方式</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支持水平：0~360°，竖直：-30°~0°旋转角度范围</w:t>
            </w: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260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5200.00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16口POE千兆交换机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锐捷、RG-NBS1818GC-P</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1、标准19英寸1U高机架设备，固化千兆电接口数≥16个，千兆光口≥2个，最大可用端口≥18个 ，且实配支持POE+的端口≥16个，整机POE功率不得小于247W；</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2、★换容量≥48Gbps,包转发率≥26.8Mpps；</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 xml:space="preserve">3、★为了保证交换机使用寿命，要求所投产品的防雷等级≥6KV； </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4、★为了保证设备在流量突发时不卡顿，要求所投设备至少支持4M（含4M）以上的端口缓存；</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2798.00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27980.00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24口POE交换机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锐捷、RG-NBS1826GC</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24口千兆电口+2个千兆光口，24个千兆电口，，非网管型POE交换机，支持流控开关，端口缓存≥4M，防雷≥6KV，背板带宽：48Gbps，包转发率：38.7Mpps。</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3695.00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18475.00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24口汇聚交换机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锐捷、RG-NBS3100-24GT4SFP</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1、标准19英寸1U高机架设备，可上机架 ，实配固化千兆电接口数≥24个，千兆光口≥2个，最大可用端口≥26个，且实配支持POE+的端口≥24个，整机POE功率不得小于370W</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2、交换容量≥48Gbps</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3、包转发率≥38.7Mpps</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4、为了保证散热效率，所投产品采用固化风扇设计；</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2790.00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13950.00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光模块</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锐捷、SFP-SM1310</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千兆单模SFP光模块，波长1310nm，最大传输距离10km</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对</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333333"/>
                <w:kern w:val="2"/>
                <w:sz w:val="20"/>
                <w:szCs w:val="20"/>
                <w:lang w:val="en-US" w:eastAsia="zh-CN" w:bidi="ar-SA"/>
              </w:rPr>
            </w:pPr>
            <w:r>
              <w:rPr>
                <w:rFonts w:hint="eastAsia" w:asciiTheme="minorEastAsia" w:hAnsiTheme="minorEastAsia" w:eastAsiaTheme="minorEastAsia" w:cstheme="minorEastAsia"/>
                <w:color w:val="333333"/>
                <w:sz w:val="20"/>
                <w:szCs w:val="20"/>
              </w:rPr>
              <w:t>5</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396.00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1980.00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核心汇聚交换机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锐捷、RG-S5750-24SFP/12GT </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1、固化端口：≥28个10/100/1000Mbps电口，≥4个复用千兆光口，≥4个SFP+光口，；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2、★支持可拔插的模块化双电源，支持1+1冗余；</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3、设备管理配置1个MGMT端口、1个Console 端口、1个Mini USB Console口、1个USB端口；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4、★交换容量≥5.95T，包转发率≥216M；</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5、★整机采用节能设计，满负荷时功耗≤45W；</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6、★要求所投设备MAC地址≥32K；</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7、支持基本的QinQ，支持灵活的QinQ</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8、★支持专门针对CPU的保护机制，能够针对发往CPU处理的各种报文进行流量控制和优先级处理，保护交换机在各种环境下稳定工作；</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9、★支持专门基础网络保护机制，增强设备防攻击能力，即使在受到攻击的情况下，也能保护系统各种服务的正常运行，保持较低的CPU负载，从而保障整个网络的稳定运行；</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10、★要求所投产品支持ERPS国际公有环网协议，并且链路故障的收敛时间≤50ms；</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11、★支持虚拟化功能，最多可将多台物理设备虚拟化为一台逻辑设备统一管理，并且链路故障的收敛时间≤50ms；</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12、★符合国家低碳环保等政策要求，支持IEEE 802.3az标准的EEE节能技术；</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 ★支持网管平台管理，通过可上网的PC或者手机，即可完成部署，即插即用，支持可视化整网拓扑、前面板端口通断状态呈现、CPU、内存利用率、设备配置等功能；</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14、★要求所投产品支持虚拟路由器冗余协议VRRP，有效保障网络稳定；</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15、★支持支持静态路由、RIP/RIPng，OSPF/OSPF v3，IS-IS/IS-IS v6，BGP/BGP4+，等价路由（ECMP）基于包的负载均衡和基于流的负载均衡和MCE；</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16、为方便新建项目开局，要求设备支持对全网同品牌设备进行统一的发现，并通过网关对交换、AP、AC进行集中化的调试，避免各区域分别调试的麻烦。如需要依赖于外部软件实现，需免费提供软件；</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7880.00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7880.00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监控硬盘</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希捷ST6000VX001</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适用类型：监控硬盘硬盘尺寸：3.5英寸硬盘容量：6000GB单碟容量：1000GB缓存：64MB转速：7200rpm接口类型：SATA3.0接口速率：6Gb/秒</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块</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24</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1048.00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25152.00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存储服务器</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大华、DH-EVS5024S-R</w:t>
            </w:r>
          </w:p>
        </w:tc>
        <w:tc>
          <w:tcPr>
            <w:tcW w:w="2095" w:type="pct"/>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1、采用64位高性能多核处理器，标配4G内存；</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2、采用模块化、抽拉式、无线缆设计，符合SBB2.0要求；</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3、采用4U/36盘位设计，单套系统最大支持240块硬盘扩展；</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4、配置4个千兆以太网口，可扩展4个千兆以太网口或2个万兆接口；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5、★支持3.5寸，2.5寸SATA（1T、2T、3T、4T、5T、6T），支持不同容量磁盘混插</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6、支持磁盘热插拔、在线更换、在线扩容；</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7、支持标准iSCSI协议存储及视频流直存功能；</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8、★支持512路2M，1024Mbps视频1:1:1接入、存储、转发；支持64路2M，128Mbps网络回放；</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9、★支持按人脸检测同步关联回放细节通道人脸抓拍图信息和录像；支持人脸检测小图、所在人脸大图、对应录像前后10s录像的下载；</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 xml:space="preserve">★10、支持当使用账户登录时连续输入身份鉴别信息（用户名或密码）错误次数超过设定的阀值时自动锁定账户一段时间，并产生报警信息；                                        </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16980.00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16980.00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综合管理平台</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大华、DH-DSS7016S2-D</w:t>
            </w:r>
          </w:p>
        </w:tc>
        <w:tc>
          <w:tcPr>
            <w:tcW w:w="2095" w:type="pct"/>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1、平台采用专有软硬件一体化设计，服务程序部署于linux系统，非windows系统，支持电源、风扇、磁盘等模块热插拔；</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★2、平台具有64位4核处理器，标配8G内存，单槽位支持16G内存，具有128G的SSD；</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★3、支持管理5000路视频监控，200路卡口；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★4、支持接入、存储、转发各1600Mbps，转发和存储性能相互独立；</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★5、支持16个硬盘和Raid功能，包括Raid0、Raid1、Raid5、Raid6、Raid10、Raid50、Raid60、JBOD，支持全局热备和本地热备。支持1TB、2TB、3TB、4TB、5TB、6TB、8TB、10TB硬盘； </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★6、支持存储配额设置，淡忘存储，将对指定天数的录像进行抽帧存储，支持小文件存储；</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7、支持与前端设备间的语音对讲功能，对前端设备的语音广播功能；</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8、支持按组织结构、收藏夹、逻辑组织三种类型区分各种设备资源；</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9、支持按厂商、域名、IP地址、主动注册、onvif、国标协议等方式直接接入设备；</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10、支持H.264、H.265、SVAC、MPEG4、MJPEG视频编码格式的IPC接入；</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11、支持G.711a、G.711u、G.726、AAC音频编码格式的IPC接入；</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12、支持B/S、C/S等多个客户端同时访问平台，支持iphone、ipad、android等访问客户端；</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13、支持1/4/6/8/9/13/16/20/25/36/64多分屏画面显示，支持自定义分屏；</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14、支持密码复杂的等级设置；</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15、支持账号锁定机制，启用后可设置账户非法登录次数，以及账户锁定时长；</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16、具有视频质量诊断功能，能够分析图像的亮度、偏色、对比度、清晰度等属性，识别视频丢失情况，并图形化展示统计结果；</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支持行为分析服务器的接入，实现伴线入侵、区域入侵、人员聚集、快速移动、物品遗留、物品保全、非法停车、违章停车、徘徊侦测、场景变更、音频异常等，并支持检索报警图片，录像搜索结果支持图片和列表两种展现形式；</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18、支持人脸侦测报警联动，可按通道、时间检索图片，并支持从原始图片中扣取人脸图片；</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★19、支持资源重配功能，可以重新分配设备资源；</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★20、支持对平台名称、LOGO图片、LOGO小图片、登录背景、登录背景色、管理员端名称自定义；</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21、支持平台数据、参数备份、还原。   </w:t>
            </w:r>
          </w:p>
          <w:p>
            <w:pPr>
              <w:pStyle w:val="3"/>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 xml:space="preserve"> ★22、签订合同时需提供样机测试及厂家出具的售后服务承诺书</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17960.00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17960.00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智慧管理服务器</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联想、M428-A320</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1、运行内存≥4G，1、机械硬盘≥500G，配置22寸监视器、支持多级人员组织管理，支持学生、教职工、访客和自定义类型管理</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2、★支持学生的学籍信息一键录入宿舍安排：可以进行宿舍楼栋、房间信息、床位信息设置。可以查看房间住宿情况，可以进行住宿统计，导出excel表、可以将住宿人员下发到AI摄像头等。</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3、★支持微信终端自助上传个人头像等信息</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4、床位安排：可以按班级自动进行床位分配，</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5、打印床位表：可以根据模板自动生成床位表、打印床位表，系统根据住宿信息自动提取住宿人员姓名、床号、照片等信息进行打印，可以下载word住宿文档进行编辑等操作</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6、宿舍出入记录：可以通过人脸识别摄像头实时记录宿舍出入情况，可以查看宿舍出入信息。可以对晚归的人员进行记录，系统自动生成流程推送给班主任或辅导员等相关人员。</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7、支持统计查询：可以查看住宿、晚归等统计图表</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8、★移动端：可以通过微信或钉钉移动端查看班级宿舍住宿安排情况，查看宿舍出入记录情况等信息</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9、统计图表：支持学生考勤库的管理，支持以微信消息的形式向学生家长、学生教师推送进出校门的信息，支持指定学生范围、时间段内的考勤统计和考勤趋势，可以查看住宿、晚归等统计图表。</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 xml:space="preserve">10、★可与校园访客、出入口管理等系统无缝对接，为二次开发提供技术支持。            </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 xml:space="preserve"> ★11、签订合同时需提供样机测试</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3980.00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3980.00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32路网络录像机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大华、DH-NVR4432</w:t>
            </w:r>
          </w:p>
        </w:tc>
        <w:tc>
          <w:tcPr>
            <w:tcW w:w="2095" w:type="pct"/>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★1、可接入4块接口为SATA的硬盘，单硬盘容量支持最大支持8TB，并支持SSD固态硬盘；支持1TB、2TB、3TB、4TB、6TB、8TB磁盘类型。</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2、可接入、转发并存储总码率不超过网络接口带宽70%的网络视频图像；</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3、最大接入总带宽160Mbps的32路H.265编码、1080p格式的视频图像，视频按正常速度播放，其他视频自动按高倍速播放，且播放倍速可配置。</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4、可同时正放或倒放16路H.265编码、1080p格式的视频图像，支持9/8/16/4/1分屏预览。</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5、支持1路HDMI、1路VGA输出，支持4个SATA接口，支持1路音频输入输出接口。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★6、双网口设计，可配置不同的网段。</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7、支持录像打包时间1-280分钟可设。</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8、支持将IPC接入配置以CSV格式文件导入或导出本机，CSV格式文件允许用户编辑。</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★9、支持4K高清网络视频的预览、存储与回放。</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10、支持H.265、H.264编码前端自适应接入；</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11、支持1路HDMI或DVI接口独立输出，支持4K高清分辨率输出；</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12、支持Smart IPC接入、绊线入侵、区域入侵、场景变化、移动侦测、人脸检测、物品遗留和物品搬移时，可给出报警提示。</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2018.00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10090.00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55寸监视器</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大华、DH-LM55-F400</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1、工业级宽视角面板，适合7*18小时连续工作</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2、领先算法技术，色彩靓丽、逼真</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3、55寸</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4、9ms快速响应时间，画面真正无拖尾</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5、自动消除残影功能，保护液晶屏的长期使用</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6、专业散热设计，延长设备使用寿命</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7、支持HDMI、USB等多种信号输入</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8、按键控制、红外遥控双重控制</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 xml:space="preserve">9、内置电源，能耗低，静音                     </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3045.00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15225.00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6U层设备箱</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图腾、300*550*400MM</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6U层设备箱 300*550*400MM   防水加厚墙柜</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148.00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592.00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室外防水机柜</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新安、400*500*180mm</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400*500*180mm、不锈钢 厚度0.6mm  冷轧钢</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5000.00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核心机柜</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新安、1200*600*600mm   </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 xml:space="preserve">24U 核心设备机柜 1200*600*600mm   </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645.00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超五类非屏蔽网线</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华夏盛世、LSZH-HSYV4*2*0.5</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cat5、无氧铜、国标</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箱</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550.00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27500.00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超五类非屏蔽水晶头</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华夏盛世、超五类W型</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50U镀金纯无氧铜，国标</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盒</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74.00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444.00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设备电源线</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华夏盛世、RVV 2*1.0mm²  </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设备电原线 RVV2*1.0AL</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米</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9000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2.40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21600.00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排插</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大华、DH-PFM396-C</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5孔6位、国标、1.8米</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38.00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760.00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23</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立杆</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晨松、定制</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4米、包含50㎝横臂、含地笼、避雷针（镀锌钢管、全杆烤漆）</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条</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15</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448.00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6720.00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光纤</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华夏盛世、HXSS-GB-GYXTW-8B</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8芯单模室外光缆</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米</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1200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3600.00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线管/线槽</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联塑、25MPVC</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PVC材质 25M线槽/线管</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米</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6000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2.80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16800.00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26</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插头</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公牛、三孔插头</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工业级三孔插头、防雷、额定电流10A、3C认证</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100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施工胶布</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光辉、3cm*80m</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3cm*80m  防水 、环保材质、耐高温</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100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1500.00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线管接头</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联塑</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PVC材质 弯头 管径25M</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100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3.90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390.00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sz w:val="20"/>
                <w:szCs w:val="20"/>
              </w:rPr>
              <w:t>二、无线网络设备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网络出口路由</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锐捷、RG-NBR6215-E</w:t>
            </w:r>
          </w:p>
        </w:tc>
        <w:tc>
          <w:tcPr>
            <w:tcW w:w="2095" w:type="pct"/>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标准1U设备，非X86多核硬件体系架构，固化千兆电口≥8个，千兆光口 ≥1个，万兆光口 ≥1个，2个USB口；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 内存≥2G，并可配置1TB硬盘； </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 典型配置吞吐量≥2.5GB，用户规模≥1500终端；4、 ★为保证在多条外网线路情况下带宽的合理分配使用，设备必须支持多链路负载均衡</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 为满足数据包按照用户指定的策略进行转发，必须支持策略路由，如：一个策略可以指定从某个网络发出的数据包只能转发到某个特定的接口；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 为满足增量（补盲）网络下实现，行为/流控/认证/VPN 等等需求</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 内置无线控制器功能，直接管理AP，最大支持管理128个AP，对接入点支持配置工作模式、射频参数、负载均衡。支持常规防火墙功能</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 ★支持特定外部网络资源和内部特定用户的免认证功能</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 ★设备能够发现私接路由（或者共享软件等）共享网络的行为；</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 ★能够实时看到各级流控策略的状态：包括所属线路、瞬时速率、通道占用比例、用户数、保证带宽、最大带宽、启用状态等。</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11、 ★支持通过抑制P2P流量，能够有对P2P软件进行限速从而避免流量浪费，提升外网带宽利用率。12、 ★为方便用户远程接入，设备需支持SSL VPN，并提供500路免费SSL VPN接入授权； </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 ★为了可以对全网设备进行统一的可视化集中管理，要求所投路由设备支持管理平台的集中管理，能够实现拓扑呈现，实时反馈CPU内存情况，远程配置等，要求实配网管平台；</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14、 ★为方便新建项目开局，要求设备支持对全网同品牌设备进行统一的发现，并通过网关对交换、AP、AC进行集中化的调试，避免各区域分别调试的麻烦。如需要依赖于外部软件实现，需免费提供软件；15、 ★为保证设备在不同应用场景达到最佳使用效果，要求设备支持一键化的场景网优功能，且场景数不得低于五；                                </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★16、签订合同时需提供样机测试及厂家出具的售后服务承诺书；</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18480.00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18480.00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1"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top"/>
          </w:tcPr>
          <w:p>
            <w:pPr>
              <w:pStyle w:val="4"/>
              <w:jc w:val="center"/>
              <w:rPr>
                <w:rFonts w:hint="eastAsia" w:asciiTheme="minorEastAsia" w:hAnsiTheme="minorEastAsia" w:eastAsiaTheme="minorEastAsia" w:cstheme="minorEastAsia"/>
                <w:sz w:val="20"/>
                <w:szCs w:val="20"/>
                <w:lang w:val="en-US" w:eastAsia="zh-CN"/>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kern w:val="2"/>
                <w:sz w:val="20"/>
                <w:szCs w:val="20"/>
                <w:lang w:val="en-US" w:eastAsia="zh-CN" w:bidi="ar-SA"/>
              </w:rPr>
            </w:pPr>
          </w:p>
          <w:p>
            <w:pPr>
              <w:pStyle w:val="4"/>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2"/>
                <w:sz w:val="20"/>
                <w:szCs w:val="20"/>
                <w:lang w:val="en-US" w:eastAsia="zh-CN" w:bidi="ar-SA"/>
              </w:rPr>
              <w:t>2</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上网行为管理系统</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天融信、TopACM 3000</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★1U机箱，千兆电口≥6个，1对Bypass接口；日志存储空间不小有1TB，支持用户数≥600个；</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 支持路由模式，旁路模式、网桥模式、混合模式部署；支持双机主主的部署模式；</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 支持即插即用功能。不管电脑的IP如何配置，开启即插即用功能后，只要插上网线，即可上网；</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 支持基于链路的上行、下行、总流量自动均衡的多链路负载均衡算法，基于固定指派链路的自动均衡算法，基于最佳路径的多链路负载均衡算法；</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 xml:space="preserve">5、 ★支持智能DNS,对内部服务器负载均衡，按应用服务的负载均衡多链路冗余切换； </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 桥模式下必须支持接口联动，配置同步；</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 ★支持将多个以太网物理端口捆绑成一条逻辑端口（即将多个端口捆绑成一个逻辑的端口以增加带宽，同时增加链路备份），支持基于mac、轮循、主备、哈希、广播、802.3ad、发送自适应、双向自适应等等多种负载方式；（请在投标文件中提供产品功能截图证明）</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 支持l2tp、gre vpn、pptp、ipsec等VPN协议；</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9、 支持分布式部署，通过部署集中管理平台，加入集中管理设备之后，可以实现策略下发、设备状态监控、设备日志、用户日志上传。</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10、 支持设备接入集中管控平台，并通过APP管理集中管理平台并查各个局点的ACM的状态和告警信息。</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11、 ★必须支持URL分类库、应用识别库基于域名方式自动在线升级。</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12、 支持直接显示已认证且在组织结构中、已认证但不在组织结构中、以及未通过的认证的用户状态。支持以用户名、所属组、ip、mac、用户类型、绑定检查、时间等参数查询用户。</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13、 支持移动终端发现后拒绝移动终端接入并支持启用事件告警。支持移动终端列表添加信任列表。</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14、 ★支持接口配置ipv6地址、支持ipv6地址簿、支持ipv6策略路由、NAT64、NAT66、DNS64等相关配置；支持ipv6环境下认证、流量控制、行为控制和防火墙策略；支持IPv6流量审计。</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15、 ★支持临时账号自动申请功能，方便外来的临时用户使用。支持自动审核和管理员手动审核的核定方法将临时帐户加入到组织结构中。支持网页发送和邮件方式通知临时用户账号和密码；</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16、 支持临时账户、绑定账户、认证账户等多种用户身份的有效期设置，支持过期冻结、支持无流量自动下线。</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17、 支持本地认证、第三方服务器认证（AD域、LDAP、Radius、POP3、Proxy等）；</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18、 支持短信认证、微信认证、二维码接入认证;支持指纹认证、刷卡认证等识别用户身份，并对用户做控制。</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19、 支持https网站识别，支持加密网站搜索，支持ssl论坛加密发帖内容识别，支持基于关键字的控制。</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20、 ★支持防火墙模块阻断、流量模块阻断、行为管控模块阻断；（请在投标文件中提供产品功能截图证明）</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21、 支持ip白名单，添加到白名单的ip不受策略控制和审计。</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22、 设备必须支持内置报表中心，默认自带数据库无需再安装数据库。</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 xml:space="preserve">23、 基于个人的所有行为监控报表，包括：网页标题记录、发贴记录、网页评论记录、在搜索引擎上的搜索记录、网页文件上传记录、URL访问记录、即时通讯的登录信息/聊天内容/文件传输记录、邮件记录（详细内容、附件）、FTP登录信息/上传记录/下载记录； </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24、 针对员工在工作时段的浏览内容、访问应用的特征进行时长统计，根据预定义的规则判定员工的低效工作状态和时长。针对工作效率低下的员工，可以详细查看具体上网的网站和应用，以及时长，判定消极怠工有据可查。</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25、为保障产品的技术先进性，要求所投上网行为管理系统原生产厂家具备质量管理体系认证TL9000认证证书，请在投标文件中提供上述证件的复印件并加盖投标人公章。</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26、为满足后续产品定制开发需求，所投上网行为管理系统产品原生产厂商具备软件开发能力成熟度五级（CMMI5）认证, 请在投标文件中提供上述证件的复印件并加盖投标人公章。</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27、★签订合同时需提供样机测试及厂家出具的售后服务承诺书</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23950.00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23950.00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防火墙</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锐捷、RG-WALL 1600-S3700</w:t>
            </w:r>
          </w:p>
        </w:tc>
        <w:tc>
          <w:tcPr>
            <w:tcW w:w="2095" w:type="pct"/>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系统应采用非插卡式设备，不需要业务卡即可实现下一代防火墙业务</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 为保证防火墙运行的稳定性和处理能力，要求设备采用非X86架构对各项安全功能进行加速优化处理</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 ★系统具有良好的可扩展性，能够扩展支持病毒防御、入侵防御、应用识别、垃圾邮件过滤、文件防泄漏、上网行为管理、APT防御、僵尸主机检测、IPSEC VPN与SSL VPN等功能</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 ★要求固化千兆电口数量≥42个；千兆光口数量≥2个；为保障接口稳定性，所投产品必须是固化接口，而非板卡接口。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 ★三层网络吞吐≥4Gbps ，IPS吞吐量≥2.1Gbps ，最大并发连接≥320万，最大新建连接≥7.7万；</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 ★IPSEC VPN隧道数≥2000，设备本身要求自带2000个 IPSec VPN授权；SSL VPN并发用户数≥300，设备本身要求自带300个 SSL VPN授权； </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 要求支持虚拟防火墙，且每个虚拟防火墙独立管理；</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 为保障业务可用性，HA方案支持双机会话同步，实现无感知切换</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 支持策略路由、组播路由、静态路由、RIP(v1/v2)、OSPF、BGP、IS-IS等；</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 支持SYN Flood、UDP Flood、ICMP Flood、LAND攻击、Smurf攻击、Fraggle攻击、Winnuke等攻击防护；具备硬件TCP SYN FLOOD防护加速能力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 策略具备接口、地址、服务、时间、用户、带宽等的配置。</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 支持基于特定源地址、目的地址、应用端口组合的会话数限制。</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 ★为保障语音系统效果，支持VoIP防护，可基于SIP与SCCP协议防护，可限制SIP的注册请求，可限制SCCP的呼叫建立；</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 支持用户自定义攻击特征；</w:t>
            </w:r>
          </w:p>
          <w:p>
            <w:pPr>
              <w:rPr>
                <w:rFonts w:hint="eastAsia" w:asciiTheme="minorEastAsia" w:hAnsiTheme="minorEastAsia" w:eastAsiaTheme="minorEastAsia" w:cstheme="minorEastAsia"/>
                <w:sz w:val="20"/>
                <w:szCs w:val="20"/>
                <w:highlight w:val="red"/>
              </w:rPr>
            </w:pPr>
            <w:r>
              <w:rPr>
                <w:rFonts w:hint="eastAsia" w:asciiTheme="minorEastAsia" w:hAnsiTheme="minorEastAsia" w:eastAsiaTheme="minorEastAsia" w:cstheme="minorEastAsia"/>
                <w:sz w:val="20"/>
                <w:szCs w:val="20"/>
              </w:rPr>
              <w:t>15、 入侵检测特征库≥5000种；</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 ★支持HTTP、FTP、IMAP、POP3、SMTP、IM、HTTPS、IMAPS、POP3S、SMTPS协议病毒过滤；</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 支持深达10级以上的文件压缩。可以限制过滤文件的大小，对超大文件采取“通过”或“阻止”动作。</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 支持对VPN传输隧道内容进行病毒过滤；</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 支持基于代理模式、流模式的垃圾邮件检测过20、 防垃圾邮件功能支持IP地址过滤、邮件地址过滤、MIME头信息、邮件内容过滤、RBL实时黑名单、域名解析等多种方法。</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 支持防数据泄漏功能，能对HTTP、FTP、SMTP、POP3等协议中的敏感内容进行过滤和阻断。</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 ★要求支持文件指纹识别、文件水印检测</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23、 要求对HTTP信息进行保护，HTTP可检测GET/POST、html头、URL、CGI、Cookie、内容和用户等</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 支持Web分类和Web页面过滤，要求URL数量≥2.5亿个</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 应用程序列表数量大于2900种；</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26、 支持基于应用防御、入侵防御、恶意软件防御的统计结果定义用户的信誉值</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 支持僵尸主机、C&amp;C客户端检测功能</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 ★支持0-day恶意软件变种、可疑文件等APT高级可持续威胁的统计功能；</w:t>
            </w:r>
          </w:p>
          <w:p>
            <w:pPr>
              <w:rPr>
                <w:rFonts w:hint="eastAsia" w:asciiTheme="minorEastAsia" w:hAnsiTheme="minorEastAsia" w:eastAsiaTheme="minorEastAsia" w:cstheme="minorEastAsia"/>
                <w:sz w:val="20"/>
                <w:szCs w:val="20"/>
                <w:highlight w:val="red"/>
              </w:rPr>
            </w:pPr>
            <w:r>
              <w:rPr>
                <w:rFonts w:hint="eastAsia" w:asciiTheme="minorEastAsia" w:hAnsiTheme="minorEastAsia" w:eastAsiaTheme="minorEastAsia" w:cstheme="minorEastAsia"/>
                <w:sz w:val="20"/>
                <w:szCs w:val="20"/>
              </w:rPr>
              <w:t>29、 为了支持业务扩展，要求支持IPv4/IPv6双栈</w:t>
            </w:r>
          </w:p>
          <w:p>
            <w:pPr>
              <w:pStyle w:val="3"/>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30、签订合同时需提供样机测试及厂家出具的售后服务承诺书</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20050.00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20050.00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防火墙病毒库</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锐捷、RG-WALL 1600-S3700-LIS-1Y</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病毒库、攻击库、应用识别库、垃圾邮件库、网页分类库特征库升级服务授权1年</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套</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3980.00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11940.00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核心交换机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锐捷、RG-S7505</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★1、整机独立主控引擎插槽≥2个，独立业务插槽≥3个，系统电源槽位≥2个；提供产品清晰正、背面实物照片各1张。</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2、★为提高机房空间利用率，节约空间成本，要求采用紧凑型机框设计，设备高度&lt;=4U；</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3、★交换容量≥40Tbps，包转发性能≥14000Mpp；4、★设备防雷不低于6KV；</w:t>
            </w:r>
            <w:r>
              <w:rPr>
                <w:rFonts w:hint="eastAsia" w:asciiTheme="minorEastAsia" w:hAnsiTheme="minorEastAsia" w:eastAsiaTheme="minorEastAsia" w:cstheme="minorEastAsia"/>
                <w:sz w:val="20"/>
                <w:szCs w:val="20"/>
                <w:highlight w:val="red"/>
              </w:rPr>
              <w:br w:type="textWrapping"/>
            </w:r>
            <w:r>
              <w:rPr>
                <w:rFonts w:hint="eastAsia" w:asciiTheme="minorEastAsia" w:hAnsiTheme="minorEastAsia" w:eastAsiaTheme="minorEastAsia" w:cstheme="minorEastAsia"/>
                <w:sz w:val="20"/>
                <w:szCs w:val="20"/>
              </w:rPr>
              <w:t>5、为实现网络资源按需分配，要求所投交换机支持“一虚多”、“多虚一”虚拟化功能。</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6、★为了提高设备可靠性，要求设备主控板支持1+1冗余备份，电源支持N+M冗余备份、风扇支持1+1冗余备份，各组件支持热插拔，支持热补丁功能，可在线进行补丁升级；</w:t>
            </w:r>
            <w:r>
              <w:rPr>
                <w:rFonts w:hint="eastAsia" w:asciiTheme="minorEastAsia" w:hAnsiTheme="minorEastAsia" w:eastAsiaTheme="minorEastAsia" w:cstheme="minorEastAsia"/>
                <w:sz w:val="20"/>
                <w:szCs w:val="20"/>
                <w:highlight w:val="red"/>
              </w:rPr>
              <w:br w:type="textWrapping"/>
            </w:r>
            <w:r>
              <w:rPr>
                <w:rFonts w:hint="eastAsia" w:asciiTheme="minorEastAsia" w:hAnsiTheme="minorEastAsia" w:eastAsiaTheme="minorEastAsia" w:cstheme="minorEastAsia"/>
                <w:sz w:val="20"/>
                <w:szCs w:val="20"/>
              </w:rPr>
              <w:t>7、★为了方便管理，要求设备支持Console /SSH2.0/AUX Modem/Telnet命令行配置，支持SNMP V1/V2c/V3 ，支持Xmodem、 FTP、TFTP文件上下载管理，支持RMON ，支持NTP时钟，支持故障后报警和自恢复，支持sFlow。</w:t>
            </w:r>
            <w:r>
              <w:rPr>
                <w:rFonts w:hint="eastAsia" w:asciiTheme="minorEastAsia" w:hAnsiTheme="minorEastAsia" w:eastAsiaTheme="minorEastAsia" w:cstheme="minorEastAsia"/>
                <w:sz w:val="20"/>
                <w:szCs w:val="20"/>
                <w:highlight w:val="red"/>
              </w:rPr>
              <w:br w:type="textWrapping"/>
            </w:r>
            <w:r>
              <w:rPr>
                <w:rFonts w:hint="eastAsia" w:asciiTheme="minorEastAsia" w:hAnsiTheme="minorEastAsia" w:eastAsiaTheme="minorEastAsia" w:cstheme="minorEastAsia"/>
                <w:sz w:val="20"/>
                <w:szCs w:val="20"/>
              </w:rPr>
              <w:t>8、★为了保证业务可扩展性，要求设备支持静态路由、RIP、OSPF，支持VRRP，支持等价路由，支持策略路由，支持GRE隧道。</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9、支持CPU安全保护策略 ，可实现ARP、DHCP、ICMP、IP扫描、DHCPv6、ND等各种攻击的自动防御；</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10. ★为方便新建项目开局，要求设备支持对全网同品牌设备进行统一的发现，并通过网关对交换、AP、AC进行集中化的调试，避免各区域分别调试的麻烦。如需要依赖于外部软件实现，需免费提供软件；</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6940.00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6940.00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核心交换机电源</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锐捷、RG-PA300I-F</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通用电源模块(交流，300W) ，适配于核心主机</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块</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2990.00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5980.00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7</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主控引擎</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锐捷、M7505-CM</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高性能一代主控引擎，适配于核心主机</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块</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3335.00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6670.00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8</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业务办卡</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锐捷、M7500-24GT/24SFP4XS-EA</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 xml:space="preserve">24个10/100/1000M自适应电口+24个SFP千兆通用接口+4个SFP+万兆接口线卡 </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块</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32480.00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32480.00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9</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无线控制器</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锐捷、RG-NBC 256</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1、★默认可管理AP数256个，免License授权.</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2、★默认可管理全网设备数（包括：网关+交换机+AP）共256个，免License授权；</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3、固化千兆电口数≥5；</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4、单台设备最大支持的在线无线用户数目≥2K；</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5、要求设备可使用AP的本地数据转发技术模式，根据网络的SSID和用户VLAN的规划，数据可直接进入有线网络进行本地交换，从而更好的适应未来无线网络更高流量传输的要求；</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6、AP和AC之间支持L2/L3层网络拓扑</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7、要求设备可以支持二层和三层的组网，支持跨AP跨三层快速漫游，三层漫游可支持基于SSID生效。</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8、★要设备在不连外网环境中，可以支持全网设备(包括网关，交换机，无线ap)自动发现，全网设备统一集中配置和管理，包括全网设备集中配置，全网设备升级，全网设备密码管理；</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9、★要求设备内置云控制模式，该模式支持以真实拓扑为入口对全网设备进行可视化配置，可视化监控，可视化管理，包括网关，交换机，无线AP；可实时监测网络环境，故障告警定位，支持内网监控摄像头扫描与智能识别，支持内网穿透远程管理；</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15910.00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15910.00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10</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 xml:space="preserve">教室无线面板AP </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锐捷、RG-RAP1200(F)</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numPr>
                <w:ilvl w:val="0"/>
                <w:numId w:val="4"/>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支持标准的802.11ac协议，采用双频设计，可同时工作在802.11ac和802.11a/b/g/n模式；</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2、支持2条空间流,整机最大接入速率1267Mbps；</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3、内置天线根据房间结构优化，发射功率≤20dBm；</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4、采用国际标准86（86x86mm）面板盒设计，面板不突出于墙面；</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5、支持1个百兆以太网下行接口，接口在面板正面，以及1个百兆以太网上行接口；</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6、支持PoE以太网供电（支持802.3af/802.3at兼容供电），整机功耗小于8w；</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7、支持云AC管理，支持云AC三层漫游，保留测试权力。</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8、支持APP本地或者远程统一运维管理，能够呈现设备的在线状态、相关网络拓扑、无线功能配置等；</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9、★要求所投产品可以通过同一品牌的网管软件实现：在线状态查询、配置修改，无线用户终端详情：包含用户mac地址、信号强度、频段、总流量、终端os类型、终端厂商等，实配网管平台；</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10、★要求所投产品支持网管平台集中管理，实配网管平台，出现设备掉线、CPU状态、内存状态等问题通过微信告警推送；</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11、★为方便新建项目开局，要求设备支持对全网同品牌设备整网一体化统一组网，并通过网关对交换、AP、AC进行集中化的调试，避免各区域分别调试的麻烦。如需要依赖于外部软件实现，需免费提供软件；                               ★ 12、签订合同时需提供样机测试及厂家出具的售后服务承诺书</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125</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47500.00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11</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走廊过道吸顶无线AP</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锐捷、RG-RAP2200(F)</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numPr>
                <w:ilvl w:val="0"/>
                <w:numId w:val="5"/>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支持标准支持802.11a/n/ac和802.11b/g/n，同时支持支持802.11ac Wave2协议；</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2、支持双流双频, 2.4G提供最高提供400Mbps的接入速率，5G提供最高提供867Mbps的接入速率。整机提供1.267Gbp的接入速率;</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3、实配2个10/100Base-T以太网口；</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4、支持PoE以太网供电（支持802.3af/802.3at兼容供电）和本地供电（DC 12V）；</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5、★支持云AC管理，支持云AC三层漫游保留测试权力。</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6、支持APP本地或者远程统一运维管理，能够呈现设备的在线状态、相关网络拓扑、无线功能配置等；</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7、★要求所投产品可以通过同一品牌的网管软件实现：在线状态查询、配置修改，无线用户终端详情：包含用户mac地址、信号强度、频段、总流量、终端os类型、终端厂商等，实配网管平台；</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8、要求所投产品支持网管平台集中管理，实配网管平台，出现设备掉线、CPU状态、内存状态等问题通过微信告警推送；</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9、★为方便新建项目开局，要求设备支持对全网同品牌设备整网一体化统一组网，并通过网关对交换、AP、AC进行集中化的调试，避免各区域分别调试的麻烦。如需要依赖于外部软件实现，需免费提供软件★ 10、签订合同时需提供样机测试及厂家出具的售后服务承诺书</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57</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829.00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47253.00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12</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阶梯教室无线AP</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锐捷、RG-RAP2200(E)</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1、支持标准支持802.11a/n/ac和802.11b/g/n，同时支持支持802.11ac Wave2协；</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2、支持双流双频,单频最大接入速率≥867Mbps,整机最大接入速率≥1267Mbps；</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3、实配2个10/100/1000Base-T以太网口；</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4、支持PoE以太网供电（支持802.3af/802.3at兼容供电）和本地供电（DC 12V）；</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5、★支持云AC管理，支持云AC三层漫游，保留测试权力。</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6、支持APP本地或者远程统一运维管理，能够呈现设备的在线状态、相关网络拓扑、无线功能配置等；</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7、★要求所投产品可以通过同一品牌的网管软件实现：在线状态查询、配置修改，无线用户终端详情：包含用户mac地址、信号强度、频段、总流量、终端os类型、终端厂商等，实配网管平台，提供功能截图；</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8、要求所投产品支持网管平台集中管理，实配网管平台，出现设备掉线、CPU状态、内存状态等问题通过微信告警推送；</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9、★为方便新建项目开局，要求设备支持对全网同品牌设备整网一体化统一组网，并通过网关对交换、AP、AC进行集中化的调试，避免各区域分别调试的麻烦，如需要依赖于外部软件实现，需免费提供软件；</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1995.00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11970.00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13</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室内球场无线AP</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锐捷、RG-RAP2200(E)</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1、支持标准支持802.11a/n/ac和802.11b/g/n，同时支持支持802.11ac Wave2协议；</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2、支持双流双频,单频最大接入速率≥867Mbps,整机最大接入速率≥1267Mbps；</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3、实配2个10/100/1000Base-T以太网口；</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4、支持PoE以太网供电（支持802.3af/802.3at兼容供电）和本地供电（DC 12V）；</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5、★支持云AC管理，支持云AC三层漫游，保留测试权力。</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6、支持APP本地或者远程统一运维管理，能够呈现设备的在线状态、相关网络拓扑、无线功能配置等；</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7、★要求所投产品可以通过同一品牌的网管软件实现：在线状态查询、配置修改，无线用户终端详情：包含用户mac地址、信号强度、频段、总流量、终端os类型、终端厂商等，实配网管平台；</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8、要求所投产品支持网管平台集中管理，实配网管平台，出现设备掉线、CPU状态、内存状态等问题通过微信告警推送；</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9、★为方便新建项目开局，要求设备支持对全网同品牌设备整网一体化统一组网，并通过网关对交换、AP、AC进行集中化的调试，避免各区域分别调试的麻烦。如需要依赖于外部软件实现，需免费提供软件；</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333333"/>
                <w:kern w:val="2"/>
                <w:sz w:val="20"/>
                <w:szCs w:val="20"/>
                <w:lang w:val="en-US" w:eastAsia="zh-CN" w:bidi="ar-SA"/>
              </w:rPr>
            </w:pPr>
            <w:r>
              <w:rPr>
                <w:rFonts w:hint="eastAsia" w:asciiTheme="minorEastAsia" w:hAnsiTheme="minorEastAsia" w:eastAsiaTheme="minorEastAsia" w:cstheme="minorEastAsia"/>
                <w:color w:val="333333"/>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333333"/>
                <w:kern w:val="2"/>
                <w:sz w:val="20"/>
                <w:szCs w:val="20"/>
                <w:lang w:val="en-US" w:eastAsia="zh-CN" w:bidi="ar-SA"/>
              </w:rPr>
            </w:pPr>
            <w:r>
              <w:rPr>
                <w:rFonts w:hint="eastAsia" w:asciiTheme="minorEastAsia" w:hAnsiTheme="minorEastAsia" w:eastAsiaTheme="minorEastAsia" w:cstheme="minorEastAsia"/>
                <w:color w:val="333333"/>
                <w:sz w:val="20"/>
                <w:szCs w:val="20"/>
              </w:rPr>
              <w:t>4</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1995.00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7980.00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14</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室外无线AP</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锐捷、RG-EAP602</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numPr>
                <w:ilvl w:val="0"/>
                <w:numId w:val="6"/>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室外型802.11ac无线AP，采用双路双频设计，可同时工作在802.11ac/a/n和802.11b/g/n模式，整机最大传输速率≥1.167Gbps；</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2、内置全向天线系统，并且可外接2.4GHz和5GHz天线；</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3、10/100/1000Mbps的电接口≥2个；</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4、为保障设备稳定运行，支持IP68防护等级；</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5、★支持云平台统一管理，能够呈现设备的在线状态、相关性能参数。</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6、 为便于后期的管理，要求无线接入点须和网络管理系统进行联动，可以通过网管软件进行配置和拓扑发现，并能进行状态监测和告警，还能实现有线无线一体化网管平台，要求实配网管平台；</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7、能与安全计费管理系统联动，实现准入认证和计费的功能；</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8、支持mac认证、Web认证、802.1X认证；</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333333"/>
                <w:kern w:val="2"/>
                <w:sz w:val="20"/>
                <w:szCs w:val="20"/>
                <w:lang w:val="en-US" w:eastAsia="zh-CN" w:bidi="ar-SA"/>
              </w:rPr>
            </w:pPr>
            <w:r>
              <w:rPr>
                <w:rFonts w:hint="eastAsia" w:asciiTheme="minorEastAsia" w:hAnsiTheme="minorEastAsia" w:eastAsiaTheme="minorEastAsia" w:cstheme="minorEastAsia"/>
                <w:color w:val="333333"/>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333333"/>
                <w:kern w:val="2"/>
                <w:sz w:val="20"/>
                <w:szCs w:val="20"/>
                <w:lang w:val="en-US" w:eastAsia="zh-CN" w:bidi="ar-SA"/>
              </w:rPr>
            </w:pPr>
            <w:r>
              <w:rPr>
                <w:rFonts w:hint="eastAsia" w:asciiTheme="minorEastAsia" w:hAnsiTheme="minorEastAsia" w:eastAsiaTheme="minorEastAsia" w:cstheme="minorEastAsia"/>
                <w:color w:val="333333"/>
                <w:sz w:val="20"/>
                <w:szCs w:val="20"/>
              </w:rPr>
              <w:t>8</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1195.00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9560.00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15</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8口POE交换机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锐捷、RG-NBS3100-8GT2SFP-P</w:t>
            </w:r>
          </w:p>
        </w:tc>
        <w:tc>
          <w:tcPr>
            <w:tcW w:w="2095" w:type="pct"/>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支持固化千兆电口≥8个，固化千兆光口≥2个，桌面型设备;</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 支持PoE供电口≥8个，整机输出功率≥125W, 单口最大输出功率≥30W</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 交换缓存≥4.1Mbit</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 内存≥256MB，交换容量≥192Gbps，包转发率≥15Mpps</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 支持 MAC地址容量≥8K；支持ACL条目≥1200</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 了方便设备的运维，支持通过APP进行远程管理PoE，支持远程重启PoE端口，并保留测试权力。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 支持生成树 STP / RSTP ; 提高容错能力，保证网络的稳定运行和链路的负载均衡，合理使用网络通道，提供冗余链路利用率。</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 支持静态链路聚合</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 支持端口镜像，一对一镜像，多对一镜像</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 支持支持DHCP Snooping；很好的避免了上网终端从非法DHCP服务器分配的IP地址，引起的网络异常或安全隐患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 支持VLAN划分，最大支持4094个VLAN</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 ★支持高效节能以太网（EEE），端口如果在连续一段时间之内空闲，系统会将该端口设置为节能模式，当有报文收发时再通过定时发送的监听码流唤醒端口恢复业务，达到节能的效果</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 支持防雷等级≥6KV</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 ★为了可以对交换机进行统一的可视化集中管理，要求所投交换机支持管理平台的集中管理，能够实现拓扑呈现，链路状态呈现，远程配置等，实配网管平台，保留测试权力；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 考虑设备兼容性、项目实施、交付及售后服务，采用与核心交换机同一品牌。</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 要求所投交换机可以通过同一品牌的网管软件及手机APP实现CPU，内存利用率的查看，以及交换机VLAN划分等功能，实配网管平台，保留测试权力；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 ★要求所投产品支持网管平台和手机APP集中管理，实配网管平台，出现交换机端口状态改变、网络出现环路、交换机端口流量过阀值等问题通过微信告警推送，保留测试权力；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 ★为方便新建项目开局，要求设备支持对全网同品牌设备进行统一的发现，并通过网关对交换、AP、AC进行集中化的调试，避免各区域分别调试的麻烦。如需要依赖于外部软件实现，需免费提供软件，保留测试权力；</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19. ★为方便新建项目开局，要求设备支持APP进行统一的发现、调试、运维，保留测试权力；22. 工作温度范围-0ºC ~ 50ºC，；</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333333"/>
                <w:kern w:val="2"/>
                <w:sz w:val="20"/>
                <w:szCs w:val="20"/>
                <w:lang w:val="en-US" w:eastAsia="zh-CN" w:bidi="ar-SA"/>
              </w:rPr>
            </w:pPr>
            <w:r>
              <w:rPr>
                <w:rFonts w:hint="eastAsia" w:asciiTheme="minorEastAsia" w:hAnsiTheme="minorEastAsia" w:eastAsiaTheme="minorEastAsia" w:cstheme="minorEastAsia"/>
                <w:color w:val="333333"/>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333333"/>
                <w:kern w:val="2"/>
                <w:sz w:val="20"/>
                <w:szCs w:val="20"/>
                <w:lang w:val="en-US" w:eastAsia="zh-CN" w:bidi="ar-SA"/>
              </w:rPr>
            </w:pPr>
            <w:r>
              <w:rPr>
                <w:rFonts w:hint="eastAsia" w:asciiTheme="minorEastAsia" w:hAnsiTheme="minorEastAsia" w:eastAsiaTheme="minorEastAsia" w:cstheme="minorEastAsia"/>
                <w:color w:val="333333"/>
                <w:sz w:val="20"/>
                <w:szCs w:val="20"/>
              </w:rPr>
              <w:t>3</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1385.00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4155.00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18"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16</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24口POE交换机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锐捷、RG-NBS3100-24GT4SFP-P</w:t>
            </w:r>
          </w:p>
        </w:tc>
        <w:tc>
          <w:tcPr>
            <w:tcW w:w="2095" w:type="pct"/>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支持固化千兆电口≥24个，固化千兆光口≥4个，标准1U设备;</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 支持PoE供电口≥24个，整机输出功率≥370W, 单口最大输出功率≥30W</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 交换缓存≥4.1Mbit</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 内存≥256MB，交换容量≥336Gbps，包转发率≥42Mpps</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 支持 MAC地址容量≥8K；支持ACL条目≥1200 </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 为了方便设备的运维，支持通过APP进行远程管理PoE，支持远程重启PoE端口，并保留测试权力。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 支持生成树 STP / RSTP ; 提高容错能力，保证网络的稳定运行和链路的负载均衡，合理使用网络通道，提供冗余链路利用率。</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 支持静态链路聚合</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 支持端口镜像，一对一镜像，多对一镜像</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 支持支持DHCP Snooping；很好的避免了上网终端从非法DHCP服务器分配的IP地址，引起的网络异常或安全隐患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 支持VLAN划分，最大支持4094个VLAN</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 ★支持高效节能以太网（EEE），端口如果在连续一段时间之内空闲，系统会将该端口设置为节能模式，当有报文收发时再通过定时发送的监听码流唤醒端口恢复业务，达到节能的效果</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 支持防雷等级≥6KV</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 ★为了可以对交换机进行统一的可视化集中管理，要求所投交换机支持管理平台的集中管理，能够实现拓扑呈现，链路状态呈现，远程配置等，实配网管平台，保留测试权力；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 考虑设备兼容性、项目实施、交付及售后服务，采用与核心交换机同一品牌。</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 要求所投交换机可以通过同一品牌的网管软件及手机APP实现CPU，内存利用率的查看，以及交换机VLAN划分等功能，实配网管平台，保留测试权力；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 ★要求所投产品支持网管平台和手机APP集中管理，实配网管平台，出现交换机端口状态改变、网络出现环路、交换机端口流量过阀值等问题通过微信告警推送，保留测试权力；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 ★为方便新建项目开局，要求设备支持对全网同品牌设备进行统一的发现，并通过网关对交换、AP、AC进行集中化的调试，避免各区域分别调试的麻烦。如需要依赖于外部软件实现，需免费提供软保留测试权力；</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 ★为方便新建项目开局，要求设备支持APP进行统一的发现、调试、运维、保留测试权力；</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20. 工作温度范围-0ºC ~ 50ºC，。</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2300.00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23000.00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9"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17</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汇聚交换机</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锐捷、RG-NBS5710-24GT4SFP-E</w:t>
            </w:r>
          </w:p>
        </w:tc>
        <w:tc>
          <w:tcPr>
            <w:tcW w:w="2095" w:type="pct"/>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1、固化10/100/1000M以太网电端口≥24，固化1G SFP光接口≥4个，整机最大可用千兆口≥28；</w:t>
            </w:r>
          </w:p>
          <w:p>
            <w:pPr>
              <w:rPr>
                <w:rFonts w:hint="eastAsia" w:asciiTheme="minorEastAsia" w:hAnsiTheme="minorEastAsia" w:eastAsiaTheme="minorEastAsia" w:cstheme="minorEastAsia"/>
                <w:sz w:val="20"/>
                <w:szCs w:val="20"/>
                <w:highlight w:val="red"/>
              </w:rPr>
            </w:pPr>
            <w:r>
              <w:rPr>
                <w:rFonts w:hint="eastAsia" w:asciiTheme="minorEastAsia" w:hAnsiTheme="minorEastAsia" w:eastAsiaTheme="minorEastAsia" w:cstheme="minorEastAsia"/>
                <w:sz w:val="20"/>
                <w:szCs w:val="20"/>
              </w:rPr>
              <w:t>2、交换容量≥3.3Tbps，包转发率≥120Mpps；</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3、要求所投设备MAC地址≥12K；</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4、要求设备采用静音无风扇节能设计，且支持IEEE 802.3az标准的 EEE节能技术；</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5、为了保证交换机使用寿命，要求所投产品的端口防雷≥10KV；</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6、支持专门针对CPU的保护机制，能够针对发往CPU处理的各种报文进行流量控制和优先级处理，保护交换机在各种环境下稳定工作；</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7、支持虚拟路由器冗余协议VRRP，有效保障网络稳定。</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8、支持虚拟化技术，可将多台物理设备虚拟化为一台逻辑设备统一管理；</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9、★为了可以对交换机进行统一的可视化集中管理，要求所投交换机支持管理平台的集中管理，能够实现拓扑呈现，链路状态呈现，远程配置等，实配网管平台；</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10、要求所投产品支持ITU-TG.8032国际公有环网协议ERPS,并且链路故障的收敛时间≤50ms，；</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11、要求所投产品支持快速链路检测协议，可快速检测链路的通断和光纤链路的单向性，并支持端口下的环路检测功能；</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12、考虑设备兼容性、项目实施、交付及售后服务，采用与核心交换机同一品牌。</w:t>
            </w:r>
          </w:p>
          <w:p>
            <w:pPr>
              <w:rPr>
                <w:rFonts w:hint="eastAsia" w:asciiTheme="minorEastAsia" w:hAnsiTheme="minorEastAsia" w:eastAsiaTheme="minorEastAsia" w:cstheme="minorEastAsia"/>
                <w:sz w:val="20"/>
                <w:szCs w:val="20"/>
                <w:highlight w:val="red"/>
              </w:rPr>
            </w:pPr>
            <w:r>
              <w:rPr>
                <w:rFonts w:hint="eastAsia" w:asciiTheme="minorEastAsia" w:hAnsiTheme="minorEastAsia" w:eastAsiaTheme="minorEastAsia" w:cstheme="minorEastAsia"/>
                <w:sz w:val="20"/>
                <w:szCs w:val="20"/>
              </w:rPr>
              <w:t>13、要求所投交换机可以通过同一品牌的网管软件实现CPU，内存利用率的查看，以及交换机VLAN划分等功能，实配网管平台；</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14、★要求所投产品支持网管平台集中管理，实配网管平台，出现交换机端口状态改变、网络出现环路、交换机端口流量过阀值等问题通过微信告警推送；</w:t>
            </w:r>
          </w:p>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15、★为方便新建项目开局，要求设备支持对全网同品牌设备进行统一的发现，并通过网关对交换、AP、AC进行集中化的调试，避免各区域分别调试的麻烦。如需要依赖于外部软件实现，需免费提供软件；</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台</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2345.00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2345.00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18</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千兆单模光模块</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锐捷、SFP-SM1310</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千兆单模SFP光模块，波长1310nm，最大传输距离10km</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对</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5</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396.00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1980.00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19</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设备箱</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晨松、CS-J1-9U</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9U网机柜  450*550*400  防水设备箱 冷轧钢</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9</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425.00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3825.00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20</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网络核心机柜</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晨松、CS-J1-42U</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42U  2000*600*600MM  冷轧钢  两层夹板</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980.00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980.00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21</w:t>
            </w:r>
          </w:p>
        </w:tc>
        <w:tc>
          <w:tcPr>
            <w:tcW w:w="40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六类网络双绞线</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华夏盛世、UTP6-HSYV4*2*0.58</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六类网络双绞线</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箱</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38</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600.00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22800.00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22</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六类水晶头</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华夏盛世、超六类W型</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超六类带屏蔽水晶头全镀金+3U</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盒</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80.00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23</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光纤配线架</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华夏盛世、HXSS-PXJ3050</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112口光纤配线盒</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8</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117.00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936.00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24</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光纤尾纤</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华夏盛世、LC</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3M LC接头光纤尾纤</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根</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900.00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25</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光纤跳线</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华夏盛世、LC-LC</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3M LC接头光纤跳线</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根</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12.50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750.00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26</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光纤耦合器</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华夏盛世、LC-LC-L</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LC转LC接口耦合器</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60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27</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线槽/线管</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联塑、25M</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25M线槽/线管</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米</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3000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7500.00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28</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插头</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公牛、三孔插头</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工业级三孔插头、防雷、额定电流10A、3C认证</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80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29</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施工胶布</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光辉、3cm*80m</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3cm*80m  防水 、环保材质、耐高温</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100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15.00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1500.00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30</w:t>
            </w:r>
          </w:p>
        </w:tc>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线管接头</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联塑</w:t>
            </w:r>
          </w:p>
        </w:tc>
        <w:tc>
          <w:tcPr>
            <w:tcW w:w="2095"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PVC材质 弯头 管径25M</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个</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120</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3.90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468.00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sz w:val="20"/>
                <w:szCs w:val="20"/>
              </w:rPr>
              <w:t>三、安装调试费用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912"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根据现场安装需要</w:t>
            </w:r>
          </w:p>
        </w:tc>
        <w:tc>
          <w:tcPr>
            <w:tcW w:w="2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项</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29400.00 </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29400.00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spacing w:val="-6"/>
                <w:sz w:val="20"/>
                <w:szCs w:val="20"/>
              </w:rPr>
              <w:t>总报价（人民币大写）：</w:t>
            </w:r>
            <w:r>
              <w:rPr>
                <w:rFonts w:hint="eastAsia" w:asciiTheme="minorEastAsia" w:hAnsiTheme="minorEastAsia" w:eastAsiaTheme="minorEastAsia" w:cstheme="minorEastAsia"/>
                <w:spacing w:val="-6"/>
                <w:sz w:val="20"/>
                <w:szCs w:val="20"/>
                <w:u w:val="single"/>
              </w:rPr>
              <w:t xml:space="preserve">  </w:t>
            </w:r>
            <w:r>
              <w:rPr>
                <w:rFonts w:hint="eastAsia" w:asciiTheme="minorEastAsia" w:hAnsiTheme="minorEastAsia" w:eastAsiaTheme="minorEastAsia" w:cstheme="minorEastAsia"/>
                <w:spacing w:val="-6"/>
                <w:sz w:val="20"/>
                <w:szCs w:val="20"/>
                <w:u w:val="single"/>
                <w:lang w:eastAsia="zh-CN"/>
              </w:rPr>
              <w:t>人民币柒拾肆万零玖佰伍拾元整</w:t>
            </w:r>
            <w:r>
              <w:rPr>
                <w:rFonts w:hint="eastAsia" w:asciiTheme="minorEastAsia" w:hAnsiTheme="minorEastAsia" w:eastAsiaTheme="minorEastAsia" w:cstheme="minorEastAsia"/>
                <w:spacing w:val="-6"/>
                <w:sz w:val="20"/>
                <w:szCs w:val="20"/>
                <w:u w:val="single"/>
              </w:rPr>
              <w:t xml:space="preserve">   </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pacing w:val="-6"/>
                <w:sz w:val="20"/>
                <w:szCs w:val="20"/>
                <w:u w:val="single"/>
              </w:rPr>
              <w:t xml:space="preserve">   </w:t>
            </w:r>
            <w:r>
              <w:rPr>
                <w:rFonts w:hint="eastAsia" w:asciiTheme="minorEastAsia" w:hAnsiTheme="minorEastAsia" w:eastAsiaTheme="minorEastAsia" w:cstheme="minorEastAsia"/>
                <w:spacing w:val="-6"/>
                <w:sz w:val="20"/>
                <w:szCs w:val="20"/>
                <w:u w:val="single"/>
                <w:lang w:val="en-US" w:eastAsia="zh-CN"/>
              </w:rPr>
              <w:t>740950.00</w:t>
            </w:r>
            <w:r>
              <w:rPr>
                <w:rFonts w:hint="eastAsia" w:asciiTheme="minorEastAsia" w:hAnsiTheme="minorEastAsia" w:eastAsiaTheme="minorEastAsia" w:cstheme="minorEastAsia"/>
                <w:spacing w:val="-6"/>
                <w:sz w:val="20"/>
                <w:szCs w:val="20"/>
                <w:u w:val="single"/>
              </w:rPr>
              <w:t xml:space="preserve">    </w:t>
            </w:r>
            <w:r>
              <w:rPr>
                <w:rFonts w:hint="eastAsia" w:asciiTheme="minorEastAsia" w:hAnsiTheme="minorEastAsia" w:eastAsiaTheme="minorEastAsia" w:cstheme="minorEastAsia"/>
                <w:spacing w:val="-6"/>
                <w:sz w:val="20"/>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sz w:val="20"/>
                <w:szCs w:val="20"/>
              </w:rPr>
              <w:t>交货完工时间：</w:t>
            </w:r>
            <w:r>
              <w:rPr>
                <w:rFonts w:hint="eastAsia" w:asciiTheme="minorEastAsia" w:hAnsiTheme="minorEastAsia" w:eastAsiaTheme="minorEastAsia" w:cstheme="minorEastAsia"/>
                <w:spacing w:val="0"/>
                <w:sz w:val="20"/>
                <w:szCs w:val="20"/>
                <w:lang w:val="en-US" w:eastAsia="zh-CN"/>
              </w:rPr>
              <w:t>签订合同后15个工作日内供货安装完毕。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spacing w:val="-6"/>
                <w:sz w:val="20"/>
                <w:szCs w:val="20"/>
              </w:rPr>
              <w:t>交货地点：</w:t>
            </w:r>
            <w:r>
              <w:rPr>
                <w:rFonts w:hint="eastAsia" w:asciiTheme="minorEastAsia" w:hAnsiTheme="minorEastAsia" w:eastAsiaTheme="minorEastAsia" w:cstheme="minorEastAsia"/>
                <w:sz w:val="20"/>
                <w:szCs w:val="20"/>
              </w:rPr>
              <w:t>广西玉林市采购人指定地点。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sz w:val="20"/>
                <w:szCs w:val="20"/>
              </w:rPr>
              <w:t>竞标报价包含货物、随配附件、备品备件以及运抵指定交货地点的各种费用和售后服务、税金及其他所有成本费用的总和。</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9212F"/>
    <w:multiLevelType w:val="singleLevel"/>
    <w:tmpl w:val="B6A9212F"/>
    <w:lvl w:ilvl="0" w:tentative="0">
      <w:start w:val="1"/>
      <w:numFmt w:val="decimal"/>
      <w:suff w:val="nothing"/>
      <w:lvlText w:val="%1、"/>
      <w:lvlJc w:val="left"/>
    </w:lvl>
  </w:abstractNum>
  <w:abstractNum w:abstractNumId="1">
    <w:nsid w:val="C1CBA4FC"/>
    <w:multiLevelType w:val="singleLevel"/>
    <w:tmpl w:val="C1CBA4FC"/>
    <w:lvl w:ilvl="0" w:tentative="0">
      <w:start w:val="1"/>
      <w:numFmt w:val="decimal"/>
      <w:suff w:val="space"/>
      <w:lvlText w:val="%1、"/>
      <w:lvlJc w:val="left"/>
    </w:lvl>
  </w:abstractNum>
  <w:abstractNum w:abstractNumId="2">
    <w:nsid w:val="DFC7297F"/>
    <w:multiLevelType w:val="singleLevel"/>
    <w:tmpl w:val="DFC7297F"/>
    <w:lvl w:ilvl="0" w:tentative="0">
      <w:start w:val="1"/>
      <w:numFmt w:val="decimal"/>
      <w:suff w:val="nothing"/>
      <w:lvlText w:val="%1、"/>
      <w:lvlJc w:val="left"/>
    </w:lvl>
  </w:abstractNum>
  <w:abstractNum w:abstractNumId="3">
    <w:nsid w:val="37B30BC0"/>
    <w:multiLevelType w:val="singleLevel"/>
    <w:tmpl w:val="37B30BC0"/>
    <w:lvl w:ilvl="0" w:tentative="0">
      <w:start w:val="1"/>
      <w:numFmt w:val="decimal"/>
      <w:suff w:val="nothing"/>
      <w:lvlText w:val="%1、"/>
      <w:lvlJc w:val="left"/>
    </w:lvl>
  </w:abstractNum>
  <w:abstractNum w:abstractNumId="4">
    <w:nsid w:val="43A53CE0"/>
    <w:multiLevelType w:val="singleLevel"/>
    <w:tmpl w:val="43A53CE0"/>
    <w:lvl w:ilvl="0" w:tentative="0">
      <w:start w:val="3"/>
      <w:numFmt w:val="decimal"/>
      <w:suff w:val="nothing"/>
      <w:lvlText w:val="%1、"/>
      <w:lvlJc w:val="left"/>
    </w:lvl>
  </w:abstractNum>
  <w:abstractNum w:abstractNumId="5">
    <w:nsid w:val="533293EE"/>
    <w:multiLevelType w:val="singleLevel"/>
    <w:tmpl w:val="533293EE"/>
    <w:lvl w:ilvl="0" w:tentative="0">
      <w:start w:val="1"/>
      <w:numFmt w:val="decimal"/>
      <w:suff w:val="nothing"/>
      <w:lvlText w:val="%1、"/>
      <w:lvlJc w:val="left"/>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B7014"/>
    <w:rsid w:val="6BB42ED7"/>
    <w:rsid w:val="773C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2020-10-09T07:33:00Z</dcterms:created>
  <dc:creator>LX</dc:creator>
  <cp:lastModifiedBy>LX</cp:lastModifiedBy>
  <dcterms:modified xsi:type="dcterms:W3CDTF">2020-10-09T07:42:15Z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