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highlight w:val="none"/>
        </w:rPr>
      </w:pPr>
      <w:bookmarkStart w:id="85" w:name="_GoBack"/>
      <w:bookmarkEnd w:id="85"/>
    </w:p>
    <w:p>
      <w:pPr>
        <w:pStyle w:val="28"/>
        <w:rPr>
          <w:rFonts w:hint="eastAsia" w:ascii="宋体" w:hAnsi="宋体" w:eastAsia="宋体" w:cs="宋体"/>
          <w:color w:val="auto"/>
          <w:highlight w:val="none"/>
        </w:rPr>
      </w:pPr>
    </w:p>
    <w:p>
      <w:pPr>
        <w:pStyle w:val="28"/>
        <w:rPr>
          <w:rFonts w:hint="eastAsia" w:ascii="宋体" w:hAnsi="宋体" w:eastAsia="宋体" w:cs="宋体"/>
          <w:color w:val="auto"/>
          <w:highlight w:val="none"/>
        </w:rPr>
      </w:pPr>
    </w:p>
    <w:p>
      <w:pPr>
        <w:pStyle w:val="28"/>
        <w:rPr>
          <w:rFonts w:hint="eastAsia" w:ascii="宋体" w:hAnsi="宋体" w:eastAsia="宋体" w:cs="宋体"/>
          <w:color w:val="auto"/>
          <w:highlight w:val="none"/>
        </w:rPr>
      </w:pPr>
    </w:p>
    <w:p>
      <w:pPr>
        <w:pStyle w:val="28"/>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rPr>
          <w:rFonts w:hint="eastAsia" w:ascii="宋体" w:hAnsi="宋体" w:eastAsia="宋体" w:cs="宋体"/>
          <w:b/>
          <w:color w:val="auto"/>
          <w:kern w:val="1"/>
          <w:sz w:val="52"/>
          <w:szCs w:val="52"/>
          <w:highlight w:val="none"/>
        </w:rPr>
      </w:pPr>
      <w:r>
        <w:rPr>
          <w:rFonts w:hint="eastAsia" w:ascii="宋体" w:hAnsi="宋体" w:eastAsia="宋体" w:cs="宋体"/>
          <w:b/>
          <w:color w:val="auto"/>
          <w:kern w:val="1"/>
          <w:sz w:val="72"/>
          <w:szCs w:val="72"/>
          <w:highlight w:val="none"/>
        </w:rPr>
        <w:drawing>
          <wp:inline distT="0" distB="0" distL="114300" distR="114300">
            <wp:extent cx="810895" cy="689610"/>
            <wp:effectExtent l="0" t="0" r="8255" b="15240"/>
            <wp:docPr id="6" name="图片 1" descr="QQ图片20151022155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51022155355"/>
                    <pic:cNvPicPr>
                      <a:picLocks noChangeAspect="1"/>
                    </pic:cNvPicPr>
                  </pic:nvPicPr>
                  <pic:blipFill>
                    <a:blip r:embed="rId12"/>
                    <a:stretch>
                      <a:fillRect/>
                    </a:stretch>
                  </pic:blipFill>
                  <pic:spPr>
                    <a:xfrm>
                      <a:off x="0" y="0"/>
                      <a:ext cx="810895" cy="689610"/>
                    </a:xfrm>
                    <a:prstGeom prst="rect">
                      <a:avLst/>
                    </a:prstGeom>
                    <a:noFill/>
                    <a:ln>
                      <a:noFill/>
                    </a:ln>
                  </pic:spPr>
                </pic:pic>
              </a:graphicData>
            </a:graphic>
          </wp:inline>
        </w:drawing>
      </w:r>
      <w:r>
        <w:rPr>
          <w:rFonts w:hint="eastAsia" w:ascii="宋体" w:hAnsi="宋体" w:eastAsia="宋体" w:cs="宋体"/>
          <w:b/>
          <w:color w:val="auto"/>
          <w:kern w:val="1"/>
          <w:sz w:val="52"/>
          <w:szCs w:val="52"/>
          <w:highlight w:val="none"/>
        </w:rPr>
        <w:t>广西建荣工程项目管理有限公司</w:t>
      </w:r>
    </w:p>
    <w:p>
      <w:pPr>
        <w:tabs>
          <w:tab w:val="left" w:pos="417"/>
        </w:tabs>
        <w:autoSpaceDE w:val="0"/>
        <w:autoSpaceDN w:val="0"/>
        <w:spacing w:line="360" w:lineRule="auto"/>
        <w:jc w:val="center"/>
        <w:rPr>
          <w:rFonts w:hint="eastAsia" w:ascii="宋体" w:hAnsi="宋体" w:eastAsia="宋体" w:cs="宋体"/>
          <w:b/>
          <w:color w:val="auto"/>
          <w:sz w:val="18"/>
          <w:szCs w:val="18"/>
          <w:highlight w:val="none"/>
        </w:rPr>
      </w:pPr>
      <w:r>
        <w:rPr>
          <w:rFonts w:hint="eastAsia" w:ascii="宋体" w:hAnsi="宋体" w:eastAsia="宋体" w:cs="宋体"/>
          <w:color w:val="auto"/>
          <w:sz w:val="18"/>
          <w:szCs w:val="18"/>
          <w:highlight w:val="none"/>
        </w:rPr>
        <mc:AlternateContent>
          <mc:Choice Requires="wps">
            <w:drawing>
              <wp:anchor distT="0" distB="0" distL="114300" distR="114300" simplePos="0" relativeHeight="251661312" behindDoc="0" locked="0" layoutInCell="0" allowOverlap="1">
                <wp:simplePos x="0" y="0"/>
                <wp:positionH relativeFrom="column">
                  <wp:posOffset>798830</wp:posOffset>
                </wp:positionH>
                <wp:positionV relativeFrom="paragraph">
                  <wp:posOffset>144780</wp:posOffset>
                </wp:positionV>
                <wp:extent cx="5271135" cy="0"/>
                <wp:effectExtent l="0" t="28575" r="5715" b="28575"/>
                <wp:wrapNone/>
                <wp:docPr id="2" name="直接连接符 2"/>
                <wp:cNvGraphicFramePr/>
                <a:graphic xmlns:a="http://schemas.openxmlformats.org/drawingml/2006/main">
                  <a:graphicData uri="http://schemas.microsoft.com/office/word/2010/wordprocessingShape">
                    <wps:wsp>
                      <wps:cNvCnPr/>
                      <wps:spPr>
                        <a:xfrm>
                          <a:off x="0" y="0"/>
                          <a:ext cx="5271135"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2.9pt;margin-top:11.4pt;height:0pt;width:415.05pt;z-index:251661312;mso-width-relative:page;mso-height-relative:page;" filled="f" stroked="t" coordsize="21600,21600" o:allowincell="f" o:gfxdata="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H9s8HZAAAACQEAAA8AAAAAAAAAAQAgAAAAIgAAAGRycy9kb3ducmV2LnhtbFBLAQIU&#10;ABQAAAAIAIdO4kAHUjjZ8gEAAN8DAAAOAAAAAAAAAAEAIAAAACgBAABkcnMvZTJvRG9jLnhtbFBL&#10;BQYAAAAABgAGAFkBAACMBQAAAAA=&#10;">
                <v:fill on="f" focussize="0,0"/>
                <v:stroke weight="4.5pt" color="#000000" linestyle="thinThick" joinstyle="round"/>
                <v:imagedata o:title=""/>
                <o:lock v:ext="edit" aspectratio="f"/>
              </v:line>
            </w:pict>
          </mc:Fallback>
        </mc:AlternateContent>
      </w:r>
    </w:p>
    <w:p>
      <w:pPr>
        <w:ind w:firstLine="1370" w:firstLineChars="650"/>
        <w:jc w:val="center"/>
        <w:rPr>
          <w:rFonts w:hint="eastAsia" w:ascii="宋体" w:hAnsi="宋体" w:eastAsia="宋体" w:cs="宋体"/>
          <w:b/>
          <w:color w:val="auto"/>
          <w:kern w:val="1"/>
          <w:szCs w:val="21"/>
          <w:highlight w:val="none"/>
        </w:rPr>
      </w:pPr>
      <w:r>
        <w:rPr>
          <w:rFonts w:hint="eastAsia" w:ascii="宋体" w:hAnsi="宋体" w:eastAsia="宋体" w:cs="宋体"/>
          <w:b/>
          <w:color w:val="auto"/>
          <w:kern w:val="1"/>
          <w:szCs w:val="21"/>
          <w:highlight w:val="none"/>
        </w:rPr>
        <w:t>GUANGXI JIANRONG ENGINEERING PROJECT MANAGEMENT CO,LTD</w:t>
      </w:r>
    </w:p>
    <w:p>
      <w:pPr>
        <w:spacing w:line="360" w:lineRule="auto"/>
        <w:jc w:val="center"/>
        <w:rPr>
          <w:rFonts w:hint="eastAsia" w:ascii="宋体" w:hAnsi="宋体" w:eastAsia="宋体" w:cs="宋体"/>
          <w:color w:val="auto"/>
          <w:sz w:val="48"/>
          <w:szCs w:val="48"/>
          <w:highlight w:val="none"/>
        </w:rPr>
      </w:pPr>
    </w:p>
    <w:p>
      <w:pPr>
        <w:spacing w:line="400" w:lineRule="exact"/>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                                           </w:t>
      </w:r>
    </w:p>
    <w:p>
      <w:pPr>
        <w:spacing w:line="400" w:lineRule="exact"/>
        <w:rPr>
          <w:rFonts w:hint="eastAsia" w:ascii="宋体" w:hAnsi="宋体" w:eastAsia="宋体" w:cs="宋体"/>
          <w:b/>
          <w:color w:val="auto"/>
          <w:sz w:val="28"/>
          <w:highlight w:val="none"/>
        </w:rPr>
      </w:pPr>
    </w:p>
    <w:p>
      <w:pPr>
        <w:spacing w:line="400" w:lineRule="exact"/>
        <w:rPr>
          <w:rFonts w:hint="eastAsia" w:ascii="宋体" w:hAnsi="宋体" w:eastAsia="宋体" w:cs="宋体"/>
          <w:b/>
          <w:color w:val="auto"/>
          <w:sz w:val="28"/>
          <w:highlight w:val="none"/>
        </w:rPr>
      </w:pPr>
    </w:p>
    <w:p>
      <w:pPr>
        <w:spacing w:line="600" w:lineRule="exact"/>
        <w:ind w:firstLine="1533" w:firstLineChars="347"/>
        <w:rPr>
          <w:rFonts w:hint="eastAsia" w:ascii="宋体" w:hAnsi="宋体" w:eastAsia="宋体" w:cs="宋体"/>
          <w:b/>
          <w:color w:val="auto"/>
          <w:sz w:val="44"/>
          <w:szCs w:val="44"/>
          <w:highlight w:val="none"/>
        </w:rPr>
      </w:pPr>
    </w:p>
    <w:p>
      <w:pPr>
        <w:autoSpaceDE w:val="0"/>
        <w:autoSpaceDN w:val="0"/>
        <w:jc w:val="center"/>
        <w:rPr>
          <w:rFonts w:hint="eastAsia" w:ascii="宋体" w:hAnsi="宋体" w:eastAsia="宋体" w:cs="宋体"/>
          <w:b/>
          <w:color w:val="auto"/>
          <w:sz w:val="90"/>
          <w:highlight w:val="none"/>
        </w:rPr>
      </w:pPr>
      <w:r>
        <w:rPr>
          <w:rFonts w:hint="eastAsia" w:ascii="宋体" w:hAnsi="宋体" w:eastAsia="宋体" w:cs="宋体"/>
          <w:b/>
          <w:color w:val="auto"/>
          <w:sz w:val="70"/>
          <w:szCs w:val="70"/>
          <w:highlight w:val="none"/>
        </w:rPr>
        <w:t>竞争性磋商采购文件</w:t>
      </w:r>
      <w:r>
        <w:rPr>
          <w:rFonts w:hint="eastAsia" w:ascii="宋体" w:hAnsi="宋体" w:eastAsia="宋体" w:cs="宋体"/>
          <w:b/>
          <w:color w:val="auto"/>
          <w:sz w:val="44"/>
          <w:szCs w:val="44"/>
          <w:highlight w:val="none"/>
        </w:rPr>
        <w:t xml:space="preserve">       </w:t>
      </w:r>
    </w:p>
    <w:p>
      <w:pPr>
        <w:spacing w:line="400" w:lineRule="exact"/>
        <w:jc w:val="center"/>
        <w:rPr>
          <w:rFonts w:hint="eastAsia" w:ascii="宋体" w:hAnsi="宋体" w:eastAsia="宋体" w:cs="宋体"/>
          <w:b/>
          <w:color w:val="auto"/>
          <w:sz w:val="32"/>
          <w:szCs w:val="32"/>
          <w:highlight w:val="none"/>
        </w:rPr>
      </w:pPr>
    </w:p>
    <w:p>
      <w:pPr>
        <w:pStyle w:val="12"/>
        <w:spacing w:line="400" w:lineRule="exact"/>
        <w:jc w:val="center"/>
        <w:rPr>
          <w:rFonts w:hint="eastAsia" w:ascii="宋体" w:hAnsi="宋体" w:eastAsia="宋体" w:cs="宋体"/>
          <w:b/>
          <w:color w:val="auto"/>
          <w:sz w:val="32"/>
          <w:szCs w:val="32"/>
          <w:highlight w:val="none"/>
        </w:rPr>
      </w:pPr>
    </w:p>
    <w:p>
      <w:pPr>
        <w:pStyle w:val="12"/>
        <w:spacing w:line="400" w:lineRule="exact"/>
        <w:jc w:val="center"/>
        <w:rPr>
          <w:rFonts w:hint="eastAsia" w:ascii="宋体" w:hAnsi="宋体" w:eastAsia="宋体" w:cs="宋体"/>
          <w:b/>
          <w:color w:val="auto"/>
          <w:sz w:val="32"/>
          <w:szCs w:val="32"/>
          <w:highlight w:val="none"/>
        </w:rPr>
      </w:pPr>
    </w:p>
    <w:p>
      <w:pPr>
        <w:pStyle w:val="12"/>
        <w:spacing w:line="400" w:lineRule="exact"/>
        <w:jc w:val="center"/>
        <w:rPr>
          <w:rFonts w:hint="eastAsia" w:ascii="宋体" w:hAnsi="宋体" w:eastAsia="宋体" w:cs="宋体"/>
          <w:b/>
          <w:color w:val="auto"/>
          <w:sz w:val="32"/>
          <w:szCs w:val="32"/>
          <w:highlight w:val="none"/>
        </w:rPr>
      </w:pPr>
    </w:p>
    <w:p>
      <w:pPr>
        <w:pStyle w:val="12"/>
        <w:spacing w:line="400" w:lineRule="exact"/>
        <w:ind w:left="3170" w:leftChars="666" w:hanging="1771" w:hangingChars="63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项目名称：</w:t>
      </w:r>
      <w:bookmarkStart w:id="0" w:name="_Hlk87184801"/>
      <w:bookmarkStart w:id="1" w:name="_Toc251051298"/>
      <w:r>
        <w:rPr>
          <w:rFonts w:hint="eastAsia" w:ascii="宋体" w:hAnsi="宋体" w:eastAsia="宋体" w:cs="宋体"/>
          <w:b/>
          <w:color w:val="auto"/>
          <w:sz w:val="28"/>
          <w:szCs w:val="28"/>
          <w:highlight w:val="none"/>
        </w:rPr>
        <w:t>贺州市盘谷河一体化污水处理设施2年运维服务</w:t>
      </w:r>
      <w:bookmarkEnd w:id="0"/>
    </w:p>
    <w:p>
      <w:pPr>
        <w:spacing w:line="400" w:lineRule="exact"/>
        <w:ind w:firstLine="562" w:firstLineChars="200"/>
        <w:rPr>
          <w:rFonts w:hint="eastAsia" w:ascii="宋体" w:hAnsi="宋体" w:eastAsia="宋体" w:cs="宋体"/>
          <w:b/>
          <w:color w:val="auto"/>
          <w:sz w:val="28"/>
          <w:szCs w:val="28"/>
          <w:highlight w:val="none"/>
        </w:rPr>
      </w:pPr>
    </w:p>
    <w:p>
      <w:pPr>
        <w:pStyle w:val="12"/>
        <w:spacing w:line="400" w:lineRule="exact"/>
        <w:ind w:firstLine="1405" w:firstLineChars="5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bookmarkEnd w:id="1"/>
      <w:r>
        <w:rPr>
          <w:rFonts w:hint="eastAsia" w:hAnsi="宋体" w:cs="宋体"/>
          <w:b/>
          <w:color w:val="auto"/>
          <w:sz w:val="28"/>
          <w:szCs w:val="28"/>
          <w:highlight w:val="none"/>
          <w:lang w:eastAsia="zh-CN"/>
        </w:rPr>
        <w:t>HZZC2021-C3-000480-GXJR</w:t>
      </w:r>
      <w:r>
        <w:rPr>
          <w:rFonts w:hint="eastAsia" w:ascii="宋体" w:hAnsi="宋体" w:eastAsia="宋体" w:cs="宋体"/>
          <w:b/>
          <w:color w:val="auto"/>
          <w:sz w:val="28"/>
          <w:szCs w:val="28"/>
          <w:highlight w:val="none"/>
        </w:rPr>
        <w:t xml:space="preserve"> </w:t>
      </w:r>
    </w:p>
    <w:p>
      <w:pPr>
        <w:spacing w:line="400" w:lineRule="exact"/>
        <w:jc w:val="center"/>
        <w:rPr>
          <w:rFonts w:hint="eastAsia" w:ascii="宋体" w:hAnsi="宋体" w:eastAsia="宋体" w:cs="宋体"/>
          <w:b/>
          <w:color w:val="auto"/>
          <w:sz w:val="28"/>
          <w:szCs w:val="28"/>
          <w:highlight w:val="none"/>
        </w:rPr>
      </w:pPr>
    </w:p>
    <w:p>
      <w:pPr>
        <w:spacing w:line="400" w:lineRule="exact"/>
        <w:jc w:val="center"/>
        <w:rPr>
          <w:rFonts w:hint="eastAsia" w:ascii="宋体" w:hAnsi="宋体" w:eastAsia="宋体" w:cs="宋体"/>
          <w:b/>
          <w:color w:val="auto"/>
          <w:sz w:val="28"/>
          <w:szCs w:val="28"/>
          <w:highlight w:val="none"/>
        </w:rPr>
      </w:pPr>
    </w:p>
    <w:p>
      <w:pPr>
        <w:pStyle w:val="28"/>
        <w:rPr>
          <w:rFonts w:hint="eastAsia" w:ascii="宋体" w:hAnsi="宋体" w:eastAsia="宋体" w:cs="宋体"/>
          <w:color w:val="auto"/>
          <w:highlight w:val="none"/>
        </w:rPr>
      </w:pPr>
    </w:p>
    <w:p>
      <w:pPr>
        <w:spacing w:line="400" w:lineRule="exact"/>
        <w:ind w:firstLine="551" w:firstLineChars="196"/>
        <w:rPr>
          <w:rFonts w:hint="eastAsia" w:ascii="宋体" w:hAnsi="宋体" w:eastAsia="宋体" w:cs="宋体"/>
          <w:b/>
          <w:color w:val="auto"/>
          <w:sz w:val="28"/>
          <w:szCs w:val="28"/>
          <w:highlight w:val="none"/>
          <w:u w:val="double"/>
        </w:rPr>
      </w:pPr>
      <w:r>
        <w:rPr>
          <w:rFonts w:hint="eastAsia" w:ascii="宋体" w:hAnsi="宋体" w:eastAsia="宋体" w:cs="宋体"/>
          <w:b/>
          <w:color w:val="auto"/>
          <w:sz w:val="28"/>
          <w:szCs w:val="28"/>
          <w:highlight w:val="none"/>
        </w:rPr>
        <w:t xml:space="preserve">  </w:t>
      </w:r>
    </w:p>
    <w:p>
      <w:pPr>
        <w:spacing w:line="400" w:lineRule="exact"/>
        <w:jc w:val="left"/>
        <w:rPr>
          <w:rFonts w:hint="eastAsia" w:ascii="宋体" w:hAnsi="宋体" w:eastAsia="宋体" w:cs="宋体"/>
          <w:bCs/>
          <w:color w:val="auto"/>
          <w:sz w:val="28"/>
          <w:szCs w:val="28"/>
          <w:highlight w:val="none"/>
          <w:u w:val="double"/>
        </w:rPr>
      </w:pPr>
      <w:r>
        <w:rPr>
          <w:rFonts w:hint="eastAsia" w:ascii="宋体" w:hAnsi="宋体" w:eastAsia="宋体" w:cs="宋体"/>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567055</wp:posOffset>
                </wp:positionH>
                <wp:positionV relativeFrom="paragraph">
                  <wp:posOffset>25400</wp:posOffset>
                </wp:positionV>
                <wp:extent cx="5514975" cy="28575"/>
                <wp:effectExtent l="0" t="4445" r="9525" b="5080"/>
                <wp:wrapNone/>
                <wp:docPr id="4" name="直接连接符 4"/>
                <wp:cNvGraphicFramePr/>
                <a:graphic xmlns:a="http://schemas.openxmlformats.org/drawingml/2006/main">
                  <a:graphicData uri="http://schemas.microsoft.com/office/word/2010/wordprocessingShape">
                    <wps:wsp>
                      <wps:cNvCnPr/>
                      <wps:spPr>
                        <a:xfrm>
                          <a:off x="0" y="0"/>
                          <a:ext cx="5514975" cy="285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4.65pt;margin-top:2pt;height:2.25pt;width:434.25pt;z-index:251660288;mso-width-relative:page;mso-height-relative:page;" filled="f" stroked="t" coordsize="21600,21600" o:gfxdata="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I6&#10;U/nVAAAABgEAAA8AAAAAAAAAAQAgAAAAIgAAAGRycy9kb3ducmV2LnhtbFBLAQIUABQAAAAIAIdO&#10;4kCbL8e67QEAANw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宋体"/>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559435</wp:posOffset>
                </wp:positionH>
                <wp:positionV relativeFrom="paragraph">
                  <wp:posOffset>82550</wp:posOffset>
                </wp:positionV>
                <wp:extent cx="5532120" cy="28575"/>
                <wp:effectExtent l="0" t="4445" r="11430" b="5080"/>
                <wp:wrapNone/>
                <wp:docPr id="3" name="直接连接符 3"/>
                <wp:cNvGraphicFramePr/>
                <a:graphic xmlns:a="http://schemas.openxmlformats.org/drawingml/2006/main">
                  <a:graphicData uri="http://schemas.microsoft.com/office/word/2010/wordprocessingShape">
                    <wps:wsp>
                      <wps:cNvCnPr/>
                      <wps:spPr>
                        <a:xfrm>
                          <a:off x="0" y="0"/>
                          <a:ext cx="5532120" cy="285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4.05pt;margin-top:6.5pt;height:2.25pt;width:435.6pt;z-index:251659264;mso-width-relative:page;mso-height-relative:page;" filled="f" stroked="t" coordsize="21600,21600" o:gfxdata="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wWKtYAAAAIAQAADwAAAAAAAAABACAAAAAiAAAAZHJzL2Rvd25yZXYueG1sUEsBAhQAFAAAAAgA&#10;h07iQMijfVPuAQAA3AMAAA4AAAAAAAAAAQAgAAAAJQ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 w:val="28"/>
          <w:szCs w:val="28"/>
          <w:highlight w:val="none"/>
        </w:rPr>
        <w:t xml:space="preserve">   </w:t>
      </w:r>
    </w:p>
    <w:p>
      <w:pPr>
        <w:spacing w:line="400" w:lineRule="exact"/>
        <w:ind w:firstLine="1687" w:firstLineChars="600"/>
        <w:rPr>
          <w:rFonts w:hint="eastAsia" w:ascii="宋体" w:hAnsi="宋体" w:eastAsia="宋体" w:cs="宋体"/>
          <w:color w:val="auto"/>
          <w:sz w:val="28"/>
          <w:szCs w:val="28"/>
          <w:highlight w:val="none"/>
        </w:rPr>
      </w:pPr>
      <w:bookmarkStart w:id="2" w:name="_Toc251051300"/>
      <w:r>
        <w:rPr>
          <w:rFonts w:hint="eastAsia" w:ascii="宋体" w:hAnsi="宋体" w:eastAsia="宋体" w:cs="宋体"/>
          <w:b/>
          <w:bCs/>
          <w:color w:val="auto"/>
          <w:sz w:val="28"/>
          <w:szCs w:val="28"/>
          <w:highlight w:val="none"/>
        </w:rPr>
        <w:t>采购人:</w:t>
      </w:r>
      <w:bookmarkEnd w:id="2"/>
      <w:r>
        <w:rPr>
          <w:rFonts w:hint="eastAsia" w:ascii="宋体" w:hAnsi="宋体" w:eastAsia="宋体" w:cs="宋体"/>
          <w:b/>
          <w:bCs/>
          <w:color w:val="auto"/>
          <w:sz w:val="28"/>
          <w:szCs w:val="28"/>
          <w:highlight w:val="none"/>
        </w:rPr>
        <w:t xml:space="preserve"> </w:t>
      </w:r>
      <w:bookmarkStart w:id="3" w:name="_Toc251051301"/>
      <w:r>
        <w:rPr>
          <w:rFonts w:hint="eastAsia" w:ascii="宋体" w:hAnsi="宋体" w:eastAsia="宋体" w:cs="宋体"/>
          <w:b/>
          <w:bCs/>
          <w:color w:val="auto"/>
          <w:sz w:val="28"/>
          <w:szCs w:val="28"/>
          <w:highlight w:val="none"/>
        </w:rPr>
        <w:t>贺州市城市管理局</w:t>
      </w:r>
    </w:p>
    <w:p>
      <w:pPr>
        <w:spacing w:line="400" w:lineRule="exact"/>
        <w:ind w:firstLine="1687" w:firstLineChars="6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采购代理机构:</w:t>
      </w:r>
      <w:bookmarkEnd w:id="3"/>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z w:val="28"/>
          <w:szCs w:val="28"/>
          <w:highlight w:val="none"/>
        </w:rPr>
        <w:t>广西建荣工程项目管理有限公司</w:t>
      </w:r>
    </w:p>
    <w:p>
      <w:pPr>
        <w:spacing w:line="400" w:lineRule="exact"/>
        <w:rPr>
          <w:rFonts w:hint="eastAsia" w:ascii="宋体" w:hAnsi="宋体" w:eastAsia="宋体" w:cs="宋体"/>
          <w:b/>
          <w:color w:val="auto"/>
          <w:sz w:val="44"/>
          <w:highlight w:val="none"/>
          <w:lang w:val="en-US" w:eastAsia="zh-CN"/>
        </w:rPr>
        <w:sectPr>
          <w:headerReference r:id="rId3" w:type="default"/>
          <w:footerReference r:id="rId4" w:type="default"/>
          <w:pgSz w:w="11906" w:h="16838"/>
          <w:pgMar w:top="1134" w:right="1062" w:bottom="1134" w:left="964" w:header="851" w:footer="552" w:gutter="0"/>
          <w:pgNumType w:start="1"/>
          <w:cols w:space="720" w:num="1"/>
          <w:titlePg/>
          <w:docGrid w:type="lines" w:linePitch="312" w:charSpace="0"/>
        </w:sectPr>
      </w:pPr>
      <w:r>
        <w:rPr>
          <w:rFonts w:hint="eastAsia" w:ascii="宋体" w:hAnsi="宋体" w:eastAsia="宋体" w:cs="宋体"/>
          <w:b/>
          <w:bCs/>
          <w:color w:val="auto"/>
          <w:sz w:val="28"/>
          <w:szCs w:val="28"/>
          <w:highlight w:val="none"/>
        </w:rPr>
        <w:t xml:space="preserve">            发布日期：2021年</w:t>
      </w:r>
      <w:r>
        <w:rPr>
          <w:rFonts w:hint="eastAsia" w:ascii="宋体" w:hAnsi="宋体" w:eastAsia="宋体" w:cs="宋体"/>
          <w:b/>
          <w:bCs/>
          <w:color w:val="auto"/>
          <w:sz w:val="28"/>
          <w:szCs w:val="28"/>
          <w:highlight w:val="none"/>
          <w:lang w:val="en-US" w:eastAsia="zh-CN"/>
        </w:rPr>
        <w:t>12</w:t>
      </w:r>
      <w:r>
        <w:rPr>
          <w:rFonts w:hint="eastAsia" w:ascii="宋体" w:hAnsi="宋体" w:eastAsia="宋体" w:cs="宋体"/>
          <w:b/>
          <w:bCs/>
          <w:color w:val="auto"/>
          <w:sz w:val="28"/>
          <w:szCs w:val="28"/>
          <w:highlight w:val="none"/>
        </w:rPr>
        <w:t>月</w:t>
      </w:r>
      <w:r>
        <w:rPr>
          <w:rFonts w:hint="eastAsia" w:ascii="宋体" w:hAnsi="宋体" w:eastAsia="宋体" w:cs="宋体"/>
          <w:b/>
          <w:bCs/>
          <w:color w:val="auto"/>
          <w:sz w:val="28"/>
          <w:szCs w:val="28"/>
          <w:highlight w:val="none"/>
          <w:lang w:val="en-US" w:eastAsia="zh-CN"/>
        </w:rPr>
        <w:t>13日</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pPr>
        <w:spacing w:line="400" w:lineRule="exact"/>
        <w:jc w:val="center"/>
        <w:rPr>
          <w:rFonts w:hint="eastAsia" w:ascii="宋体" w:hAnsi="宋体" w:eastAsia="宋体" w:cs="宋体"/>
          <w:b/>
          <w:color w:val="auto"/>
          <w:sz w:val="44"/>
          <w:szCs w:val="44"/>
          <w:highlight w:val="none"/>
        </w:rPr>
      </w:pPr>
    </w:p>
    <w:p>
      <w:pPr>
        <w:pStyle w:val="17"/>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TOC \o "1-3" \h \z \u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"_Toc44229877" </w:instrText>
      </w:r>
      <w:r>
        <w:rPr>
          <w:rFonts w:hint="eastAsia" w:ascii="宋体" w:hAnsi="宋体" w:eastAsia="宋体" w:cs="宋体"/>
          <w:color w:val="auto"/>
          <w:highlight w:val="none"/>
        </w:rPr>
        <w:fldChar w:fldCharType="separate"/>
      </w:r>
      <w:r>
        <w:rPr>
          <w:rStyle w:val="24"/>
          <w:rFonts w:hint="eastAsia" w:ascii="宋体" w:hAnsi="宋体" w:eastAsia="宋体" w:cs="宋体"/>
          <w:color w:val="auto"/>
          <w:sz w:val="28"/>
          <w:szCs w:val="28"/>
          <w:highlight w:val="none"/>
        </w:rPr>
        <w:t>第一章 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_Toc44229877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7"/>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"_Toc44229894" </w:instrText>
      </w:r>
      <w:r>
        <w:rPr>
          <w:rFonts w:hint="eastAsia" w:ascii="宋体" w:hAnsi="宋体" w:eastAsia="宋体" w:cs="宋体"/>
          <w:color w:val="auto"/>
          <w:highlight w:val="none"/>
        </w:rPr>
        <w:fldChar w:fldCharType="separate"/>
      </w:r>
      <w:r>
        <w:rPr>
          <w:rStyle w:val="24"/>
          <w:rFonts w:hint="eastAsia" w:ascii="宋体" w:hAnsi="宋体" w:eastAsia="宋体" w:cs="宋体"/>
          <w:color w:val="auto"/>
          <w:sz w:val="28"/>
          <w:szCs w:val="28"/>
          <w:highlight w:val="none"/>
        </w:rPr>
        <w:t>第二章 供应商须</w:t>
      </w:r>
      <w:bookmarkStart w:id="4" w:name="_Hlt45187173"/>
      <w:bookmarkStart w:id="5" w:name="_Hlt45187174"/>
      <w:r>
        <w:rPr>
          <w:rStyle w:val="24"/>
          <w:rFonts w:hint="eastAsia" w:ascii="宋体" w:hAnsi="宋体" w:eastAsia="宋体" w:cs="宋体"/>
          <w:color w:val="auto"/>
          <w:sz w:val="28"/>
          <w:szCs w:val="28"/>
          <w:highlight w:val="none"/>
        </w:rPr>
        <w:t>知</w:t>
      </w:r>
      <w:bookmarkEnd w:id="4"/>
      <w:bookmarkEnd w:id="5"/>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_Toc44229894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7"/>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"_Toc44229895" </w:instrText>
      </w:r>
      <w:r>
        <w:rPr>
          <w:rFonts w:hint="eastAsia" w:ascii="宋体" w:hAnsi="宋体" w:eastAsia="宋体" w:cs="宋体"/>
          <w:color w:val="auto"/>
          <w:highlight w:val="none"/>
        </w:rPr>
        <w:fldChar w:fldCharType="separate"/>
      </w:r>
      <w:r>
        <w:rPr>
          <w:rStyle w:val="24"/>
          <w:rFonts w:hint="eastAsia" w:ascii="宋体" w:hAnsi="宋体" w:eastAsia="宋体" w:cs="宋体"/>
          <w:color w:val="auto"/>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_Toc44229895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7"/>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"_Toc44229896" </w:instrText>
      </w:r>
      <w:r>
        <w:rPr>
          <w:rFonts w:hint="eastAsia" w:ascii="宋体" w:hAnsi="宋体" w:eastAsia="宋体" w:cs="宋体"/>
          <w:color w:val="auto"/>
          <w:highlight w:val="none"/>
        </w:rPr>
        <w:fldChar w:fldCharType="separate"/>
      </w:r>
      <w:r>
        <w:rPr>
          <w:rStyle w:val="24"/>
          <w:rFonts w:hint="eastAsia" w:ascii="宋体" w:hAnsi="宋体" w:eastAsia="宋体" w:cs="宋体"/>
          <w:color w:val="auto"/>
          <w:sz w:val="28"/>
          <w:szCs w:val="28"/>
          <w:highlight w:val="none"/>
        </w:rPr>
        <w:t>第四章 评审程序、评审方法和</w:t>
      </w:r>
      <w:bookmarkStart w:id="6" w:name="_Hlt44924517"/>
      <w:bookmarkStart w:id="7" w:name="_Hlt44924516"/>
      <w:r>
        <w:rPr>
          <w:rStyle w:val="24"/>
          <w:rFonts w:hint="eastAsia" w:ascii="宋体" w:hAnsi="宋体" w:eastAsia="宋体" w:cs="宋体"/>
          <w:color w:val="auto"/>
          <w:sz w:val="28"/>
          <w:szCs w:val="28"/>
          <w:highlight w:val="none"/>
        </w:rPr>
        <w:t>评</w:t>
      </w:r>
      <w:bookmarkEnd w:id="6"/>
      <w:bookmarkEnd w:id="7"/>
      <w:r>
        <w:rPr>
          <w:rStyle w:val="24"/>
          <w:rFonts w:hint="eastAsia" w:ascii="宋体" w:hAnsi="宋体" w:eastAsia="宋体" w:cs="宋体"/>
          <w:color w:val="auto"/>
          <w:sz w:val="28"/>
          <w:szCs w:val="28"/>
          <w:highlight w:val="none"/>
        </w:rPr>
        <w:t>审标准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8</w:t>
      </w:r>
    </w:p>
    <w:p>
      <w:pPr>
        <w:pStyle w:val="17"/>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"_Toc44229897" </w:instrText>
      </w:r>
      <w:r>
        <w:rPr>
          <w:rFonts w:hint="eastAsia" w:ascii="宋体" w:hAnsi="宋体" w:eastAsia="宋体" w:cs="宋体"/>
          <w:color w:val="auto"/>
          <w:highlight w:val="none"/>
        </w:rPr>
        <w:fldChar w:fldCharType="separate"/>
      </w:r>
      <w:r>
        <w:rPr>
          <w:rStyle w:val="24"/>
          <w:rFonts w:hint="eastAsia" w:ascii="宋体" w:hAnsi="宋体" w:eastAsia="宋体" w:cs="宋体"/>
          <w:color w:val="auto"/>
          <w:sz w:val="28"/>
          <w:szCs w:val="28"/>
          <w:highlight w:val="none"/>
        </w:rPr>
        <w:t xml:space="preserve">第五章 </w:t>
      </w:r>
      <w:bookmarkStart w:id="8" w:name="_Hlk65837638"/>
      <w:r>
        <w:rPr>
          <w:rStyle w:val="24"/>
          <w:rFonts w:hint="eastAsia" w:ascii="宋体" w:hAnsi="宋体" w:eastAsia="宋体" w:cs="宋体"/>
          <w:color w:val="auto"/>
          <w:sz w:val="28"/>
          <w:szCs w:val="28"/>
          <w:highlight w:val="none"/>
        </w:rPr>
        <w:t>响应文件格式</w:t>
      </w:r>
      <w:bookmarkEnd w:id="8"/>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_Toc44229897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7"/>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"_Toc44229900" </w:instrText>
      </w:r>
      <w:r>
        <w:rPr>
          <w:rFonts w:hint="eastAsia" w:ascii="宋体" w:hAnsi="宋体" w:eastAsia="宋体" w:cs="宋体"/>
          <w:color w:val="auto"/>
          <w:highlight w:val="none"/>
        </w:rPr>
        <w:fldChar w:fldCharType="separate"/>
      </w:r>
      <w:r>
        <w:rPr>
          <w:rStyle w:val="24"/>
          <w:rFonts w:hint="eastAsia" w:ascii="宋体" w:hAnsi="宋体" w:eastAsia="宋体" w:cs="宋体"/>
          <w:color w:val="auto"/>
          <w:sz w:val="28"/>
          <w:szCs w:val="28"/>
          <w:highlight w:val="none"/>
        </w:rPr>
        <w:t>第六章 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9</w:t>
      </w:r>
    </w:p>
    <w:p>
      <w:pPr>
        <w:pStyle w:val="17"/>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fldChar w:fldCharType="end"/>
      </w:r>
    </w:p>
    <w:p>
      <w:pPr>
        <w:spacing w:line="400" w:lineRule="exact"/>
        <w:jc w:val="left"/>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sectPr>
          <w:headerReference r:id="rId6" w:type="first"/>
          <w:footerReference r:id="rId8" w:type="first"/>
          <w:headerReference r:id="rId5" w:type="default"/>
          <w:footerReference r:id="rId7" w:type="default"/>
          <w:pgSz w:w="11906" w:h="16838"/>
          <w:pgMar w:top="1134" w:right="1134" w:bottom="1134" w:left="1134" w:header="851" w:footer="992" w:gutter="0"/>
          <w:pgNumType w:start="0"/>
          <w:cols w:space="0" w:num="1"/>
          <w:titlePg/>
          <w:docGrid w:type="lines" w:linePitch="312" w:charSpace="0"/>
        </w:sectPr>
      </w:pPr>
    </w:p>
    <w:p>
      <w:pPr>
        <w:pStyle w:val="4"/>
        <w:numPr>
          <w:ilvl w:val="0"/>
          <w:numId w:val="2"/>
        </w:numPr>
        <w:jc w:val="center"/>
        <w:rPr>
          <w:rFonts w:hint="eastAsia" w:ascii="宋体" w:hAnsi="宋体" w:eastAsia="宋体" w:cs="宋体"/>
          <w:color w:val="auto"/>
          <w:szCs w:val="21"/>
          <w:highlight w:val="none"/>
        </w:rPr>
      </w:pPr>
      <w:bookmarkStart w:id="9" w:name="_Toc44229877"/>
      <w:r>
        <w:rPr>
          <w:rFonts w:hint="eastAsia" w:ascii="宋体" w:hAnsi="宋体" w:eastAsia="宋体" w:cs="宋体"/>
          <w:color w:val="auto"/>
          <w:highlight w:val="none"/>
        </w:rPr>
        <w:t>竞争性磋商公告</w:t>
      </w:r>
      <w:bookmarkEnd w:id="9"/>
    </w:p>
    <w:p>
      <w:pPr>
        <w:pStyle w:val="4"/>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广西建荣工程项目管理有限公司</w:t>
      </w:r>
    </w:p>
    <w:p>
      <w:pPr>
        <w:pStyle w:val="4"/>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关于贺州市盘谷河一体化污水处理设施</w:t>
      </w:r>
      <w:bookmarkStart w:id="10" w:name="_Hlk87184886"/>
      <w:r>
        <w:rPr>
          <w:rFonts w:hint="eastAsia" w:ascii="宋体" w:hAnsi="宋体" w:eastAsia="宋体" w:cs="宋体"/>
          <w:color w:val="auto"/>
          <w:sz w:val="24"/>
          <w:szCs w:val="24"/>
          <w:highlight w:val="none"/>
        </w:rPr>
        <w:t>2年</w:t>
      </w:r>
      <w:bookmarkEnd w:id="10"/>
      <w:r>
        <w:rPr>
          <w:rFonts w:hint="eastAsia" w:ascii="宋体" w:hAnsi="宋体" w:eastAsia="宋体" w:cs="宋体"/>
          <w:color w:val="auto"/>
          <w:sz w:val="24"/>
          <w:szCs w:val="24"/>
          <w:highlight w:val="none"/>
        </w:rPr>
        <w:t>运维服务竞争性磋商公告</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hint="eastAsia" w:ascii="宋体" w:hAnsi="宋体" w:eastAsia="宋体" w:cs="宋体"/>
          <w:color w:val="auto"/>
          <w:szCs w:val="21"/>
          <w:highlight w:val="none"/>
        </w:rPr>
      </w:pPr>
      <w:bookmarkStart w:id="11" w:name="_Hlk37430271"/>
      <w:r>
        <w:rPr>
          <w:rFonts w:hint="eastAsia" w:ascii="宋体" w:hAnsi="宋体" w:eastAsia="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贺州市盘谷河一体化污水处理设施2年运维服务</w:t>
      </w:r>
      <w:r>
        <w:rPr>
          <w:rFonts w:hint="eastAsia" w:ascii="宋体" w:hAnsi="宋体" w:eastAsia="宋体" w:cs="宋体"/>
          <w:color w:val="auto"/>
          <w:szCs w:val="21"/>
          <w:highlight w:val="none"/>
        </w:rPr>
        <w:t>项目的潜在供应商应在</w:t>
      </w:r>
      <w:r>
        <w:rPr>
          <w:rFonts w:hint="eastAsia" w:ascii="宋体" w:hAnsi="宋体" w:eastAsia="宋体" w:cs="宋体"/>
          <w:color w:val="auto"/>
          <w:szCs w:val="21"/>
          <w:highlight w:val="none"/>
          <w:u w:val="singl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"https://www.zcygov.cn/）下载竞争性磋商文件，并于2021年？月" </w:instrText>
      </w:r>
      <w:r>
        <w:rPr>
          <w:rFonts w:hint="eastAsia" w:ascii="宋体" w:hAnsi="宋体" w:eastAsia="宋体" w:cs="宋体"/>
          <w:color w:val="auto"/>
          <w:highlight w:val="none"/>
        </w:rPr>
        <w:fldChar w:fldCharType="separate"/>
      </w:r>
      <w:r>
        <w:rPr>
          <w:rStyle w:val="24"/>
          <w:rFonts w:hint="eastAsia" w:ascii="宋体" w:hAnsi="宋体" w:eastAsia="宋体" w:cs="宋体"/>
          <w:color w:val="auto"/>
          <w:szCs w:val="21"/>
          <w:highlight w:val="none"/>
        </w:rPr>
        <w:t>https://www.zcygov.cn/）下载竞争性磋商文件，并于2021年</w:t>
      </w:r>
      <w:r>
        <w:rPr>
          <w:rStyle w:val="24"/>
          <w:rFonts w:hint="eastAsia" w:ascii="宋体" w:hAnsi="宋体" w:eastAsia="宋体" w:cs="宋体"/>
          <w:color w:val="auto"/>
          <w:szCs w:val="21"/>
          <w:highlight w:val="none"/>
          <w:lang w:val="en-US" w:eastAsia="zh-CN"/>
        </w:rPr>
        <w:t>12</w:t>
      </w:r>
      <w:r>
        <w:rPr>
          <w:rStyle w:val="24"/>
          <w:rFonts w:hint="eastAsia" w:ascii="宋体" w:hAnsi="宋体" w:eastAsia="宋体" w:cs="宋体"/>
          <w:color w:val="auto"/>
          <w:szCs w:val="21"/>
          <w:highlight w:val="none"/>
        </w:rPr>
        <w:t>月</w:t>
      </w:r>
      <w:r>
        <w:rPr>
          <w:rStyle w:val="24"/>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u w:val="single"/>
          <w:lang w:val="en-US" w:eastAsia="zh-CN"/>
        </w:rPr>
        <w:t>24</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single"/>
        </w:rPr>
        <w:t>时</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u w:val="single"/>
        </w:rPr>
        <w:t>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pPr>
        <w:pStyle w:val="4"/>
        <w:spacing w:before="0" w:after="0" w:line="400" w:lineRule="exact"/>
        <w:ind w:firstLine="422" w:firstLineChars="200"/>
        <w:rPr>
          <w:rFonts w:hint="eastAsia" w:ascii="宋体" w:hAnsi="宋体" w:eastAsia="宋体" w:cs="宋体"/>
          <w:bCs w:val="0"/>
          <w:color w:val="auto"/>
          <w:sz w:val="21"/>
          <w:szCs w:val="21"/>
          <w:highlight w:val="none"/>
        </w:rPr>
      </w:pPr>
      <w:bookmarkStart w:id="12" w:name="_Toc28359089"/>
      <w:bookmarkStart w:id="13" w:name="_Toc44229878"/>
      <w:bookmarkStart w:id="14" w:name="_Toc28359012"/>
      <w:bookmarkStart w:id="15" w:name="_Toc35393629"/>
      <w:bookmarkStart w:id="16" w:name="_Toc35393798"/>
      <w:r>
        <w:rPr>
          <w:rFonts w:hint="eastAsia" w:ascii="宋体" w:hAnsi="宋体" w:eastAsia="宋体" w:cs="宋体"/>
          <w:bCs w:val="0"/>
          <w:color w:val="auto"/>
          <w:sz w:val="21"/>
          <w:szCs w:val="21"/>
          <w:highlight w:val="none"/>
        </w:rPr>
        <w:t>一、项目基本情况</w:t>
      </w:r>
      <w:bookmarkEnd w:id="12"/>
      <w:bookmarkEnd w:id="13"/>
      <w:bookmarkEnd w:id="14"/>
      <w:bookmarkEnd w:id="15"/>
      <w:bookmarkEnd w:id="16"/>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1.项目编号：</w:t>
      </w:r>
      <w:r>
        <w:rPr>
          <w:rFonts w:hint="eastAsia" w:ascii="宋体" w:hAnsi="宋体" w:cs="宋体"/>
          <w:color w:val="auto"/>
          <w:szCs w:val="21"/>
          <w:highlight w:val="none"/>
          <w:lang w:eastAsia="zh-CN"/>
        </w:rPr>
        <w:t>HZZC2021-C3-000480-GXJR</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2.项目名称：贺州市盘谷河一体化污水处理设施2年运维服务</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3.采购方式：竞争性磋商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4.预算金额：</w:t>
      </w:r>
      <w:r>
        <w:rPr>
          <w:rFonts w:hint="eastAsia" w:ascii="宋体" w:hAnsi="宋体" w:eastAsia="宋体" w:cs="宋体"/>
          <w:color w:val="auto"/>
          <w:szCs w:val="21"/>
          <w:highlight w:val="none"/>
          <w:u w:val="single"/>
        </w:rPr>
        <w:t>143万</w:t>
      </w:r>
      <w:r>
        <w:rPr>
          <w:rFonts w:hint="eastAsia" w:ascii="宋体" w:hAnsi="宋体" w:eastAsia="宋体" w:cs="宋体"/>
          <w:color w:val="auto"/>
          <w:szCs w:val="21"/>
          <w:highlight w:val="none"/>
        </w:rPr>
        <w:t>元</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5.最高限价：</w:t>
      </w:r>
      <w:r>
        <w:rPr>
          <w:rFonts w:hint="eastAsia" w:ascii="宋体" w:hAnsi="宋体" w:eastAsia="宋体" w:cs="宋体"/>
          <w:color w:val="auto"/>
          <w:szCs w:val="21"/>
          <w:highlight w:val="none"/>
          <w:u w:val="single"/>
        </w:rPr>
        <w:t>143万</w:t>
      </w:r>
      <w:r>
        <w:rPr>
          <w:rFonts w:hint="eastAsia" w:ascii="宋体" w:hAnsi="宋体" w:eastAsia="宋体" w:cs="宋体"/>
          <w:color w:val="auto"/>
          <w:szCs w:val="21"/>
          <w:highlight w:val="none"/>
        </w:rPr>
        <w:t>元</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6.采购需求：</w:t>
      </w:r>
      <w:r>
        <w:rPr>
          <w:rFonts w:hint="eastAsia" w:ascii="宋体" w:hAnsi="宋体" w:eastAsia="宋体" w:cs="宋体"/>
          <w:color w:val="auto"/>
          <w:szCs w:val="21"/>
          <w:highlight w:val="none"/>
          <w:u w:val="single"/>
        </w:rPr>
        <w:t>贺州市盘谷河一体化污水处理设施2年运维服务，（详见第三章“采购需求和说明”）。</w:t>
      </w:r>
      <w:r>
        <w:rPr>
          <w:rFonts w:hint="eastAsia" w:ascii="宋体" w:hAnsi="宋体" w:eastAsia="宋体" w:cs="宋体"/>
          <w:color w:val="auto"/>
          <w:szCs w:val="21"/>
          <w:highlight w:val="none"/>
        </w:rPr>
        <w:t xml:space="preserve"> </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7.运营服务时间：2022年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日至2024年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日（共2年，具体以签订合同之日为准）。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8.本项目不接受联合体。</w:t>
      </w:r>
    </w:p>
    <w:p>
      <w:pPr>
        <w:pStyle w:val="4"/>
        <w:spacing w:before="0" w:after="0" w:line="400" w:lineRule="exact"/>
        <w:ind w:firstLine="422" w:firstLineChars="200"/>
        <w:rPr>
          <w:rFonts w:hint="eastAsia" w:ascii="宋体" w:hAnsi="宋体" w:eastAsia="宋体" w:cs="宋体"/>
          <w:bCs w:val="0"/>
          <w:color w:val="auto"/>
          <w:sz w:val="21"/>
          <w:szCs w:val="21"/>
          <w:highlight w:val="none"/>
        </w:rPr>
      </w:pPr>
      <w:bookmarkStart w:id="17" w:name="_Toc28359090"/>
      <w:bookmarkStart w:id="18" w:name="_Toc35393630"/>
      <w:bookmarkStart w:id="19" w:name="_Toc28359013"/>
      <w:bookmarkStart w:id="20" w:name="_Toc35393799"/>
      <w:bookmarkStart w:id="21" w:name="_Toc44229879"/>
      <w:r>
        <w:rPr>
          <w:rFonts w:hint="eastAsia" w:ascii="宋体" w:hAnsi="宋体" w:eastAsia="宋体" w:cs="宋体"/>
          <w:bCs w:val="0"/>
          <w:color w:val="auto"/>
          <w:sz w:val="21"/>
          <w:szCs w:val="21"/>
          <w:highlight w:val="none"/>
        </w:rPr>
        <w:t>二、供应商的资格条件：</w:t>
      </w:r>
      <w:bookmarkEnd w:id="17"/>
      <w:bookmarkEnd w:id="18"/>
      <w:bookmarkEnd w:id="19"/>
      <w:bookmarkEnd w:id="20"/>
      <w:bookmarkEnd w:id="21"/>
    </w:p>
    <w:p>
      <w:pPr>
        <w:spacing w:line="400" w:lineRule="exact"/>
        <w:ind w:firstLine="420" w:firstLineChars="200"/>
        <w:rPr>
          <w:rFonts w:hint="eastAsia" w:ascii="宋体" w:hAnsi="宋体" w:eastAsia="宋体" w:cs="宋体"/>
          <w:color w:val="auto"/>
          <w:szCs w:val="21"/>
          <w:highlight w:val="none"/>
        </w:rPr>
      </w:pPr>
      <w:bookmarkStart w:id="22" w:name="_Toc35393800"/>
      <w:bookmarkStart w:id="23" w:name="_Toc28359091"/>
      <w:bookmarkStart w:id="24" w:name="_Toc35393631"/>
      <w:bookmarkStart w:id="25" w:name="_Toc44229880"/>
      <w:bookmarkStart w:id="26" w:name="_Toc28359014"/>
      <w:r>
        <w:rPr>
          <w:rFonts w:hint="eastAsia" w:ascii="宋体" w:hAnsi="宋体" w:eastAsia="宋体" w:cs="宋体"/>
          <w:color w:val="auto"/>
          <w:szCs w:val="21"/>
          <w:highlight w:val="none"/>
        </w:rPr>
        <w:t>1.满足《中华人民共和国政府采购法》第二十二条规定；</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2.落实政府采购政策需满足的资格要求：非专门面向中小企业采购的项目</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3.国内注册（指按国家有关规定要求注册的）具备法人资格的供应商。具有环保设施运营、或环保设施运营管理、或水处理设施运营管理经营范围的服务商。</w:t>
      </w:r>
    </w:p>
    <w:p>
      <w:pPr>
        <w:spacing w:line="400" w:lineRule="exact"/>
        <w:ind w:firstLine="420" w:firstLineChars="200"/>
        <w:rPr>
          <w:rFonts w:hint="eastAsia" w:ascii="宋体" w:hAnsi="宋体" w:eastAsia="宋体" w:cs="宋体"/>
          <w:b w:val="0"/>
          <w:bCs w:val="0"/>
          <w:color w:val="auto"/>
          <w:kern w:val="1"/>
          <w:highlight w:val="none"/>
        </w:rPr>
      </w:pPr>
      <w:r>
        <w:rPr>
          <w:rFonts w:hint="eastAsia" w:ascii="宋体" w:hAnsi="宋体" w:eastAsia="宋体" w:cs="宋体"/>
          <w:b w:val="0"/>
          <w:bCs w:val="0"/>
          <w:color w:val="auto"/>
          <w:kern w:val="1"/>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1"/>
          <w:szCs w:val="21"/>
          <w:highlight w:val="none"/>
        </w:rPr>
        <w:t>5.</w:t>
      </w:r>
      <w:r>
        <w:rPr>
          <w:rFonts w:hint="eastAsia" w:ascii="宋体" w:hAnsi="宋体" w:eastAsia="宋体" w:cs="宋体"/>
          <w:color w:val="auto"/>
          <w:szCs w:val="21"/>
          <w:highlight w:val="none"/>
        </w:rPr>
        <w:t>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以评标阶段在“信用中国”网站（www.creditchina.gov.cn）或中国政府采购网（www.ccgp.gov.cn）的信用记录查询结果为准）</w:t>
      </w:r>
    </w:p>
    <w:p>
      <w:pPr>
        <w:pStyle w:val="4"/>
        <w:spacing w:before="0" w:after="0" w:line="400" w:lineRule="exact"/>
        <w:ind w:firstLine="422" w:firstLineChars="200"/>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三、获取竞争性磋商文件</w:t>
      </w:r>
      <w:bookmarkEnd w:id="22"/>
      <w:bookmarkEnd w:id="23"/>
      <w:bookmarkEnd w:id="24"/>
      <w:bookmarkEnd w:id="25"/>
      <w:bookmarkEnd w:id="26"/>
    </w:p>
    <w:p>
      <w:pPr>
        <w:snapToGrid w:val="0"/>
        <w:spacing w:line="400" w:lineRule="exact"/>
        <w:ind w:firstLine="420" w:firstLineChars="200"/>
        <w:rPr>
          <w:rFonts w:hint="eastAsia" w:ascii="宋体" w:hAnsi="宋体" w:eastAsia="宋体" w:cs="宋体"/>
          <w:color w:val="auto"/>
          <w:szCs w:val="21"/>
          <w:highlight w:val="none"/>
        </w:rPr>
      </w:pPr>
      <w:bookmarkStart w:id="27" w:name="_Toc35393793"/>
      <w:r>
        <w:rPr>
          <w:rFonts w:hint="eastAsia" w:ascii="宋体" w:hAnsi="宋体" w:eastAsia="宋体" w:cs="宋体"/>
          <w:color w:val="auto"/>
          <w:szCs w:val="21"/>
          <w:highlight w:val="none"/>
        </w:rPr>
        <w:t>1.时间：</w:t>
      </w:r>
      <w:bookmarkEnd w:id="27"/>
      <w:r>
        <w:rPr>
          <w:rFonts w:hint="eastAsia" w:ascii="宋体" w:hAnsi="宋体" w:eastAsia="宋体" w:cs="宋体"/>
          <w:color w:val="auto"/>
          <w:szCs w:val="21"/>
          <w:highlight w:val="none"/>
        </w:rPr>
        <w:t>公告发布之时至2021年</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日18:00（北京时间）。</w:t>
      </w:r>
    </w:p>
    <w:p>
      <w:pPr>
        <w:spacing w:line="400" w:lineRule="exact"/>
        <w:ind w:firstLine="420" w:firstLineChars="200"/>
        <w:rPr>
          <w:rFonts w:hint="eastAsia" w:ascii="宋体" w:hAnsi="宋体" w:eastAsia="宋体" w:cs="宋体"/>
          <w:b/>
          <w:bCs/>
          <w:color w:val="auto"/>
          <w:szCs w:val="21"/>
          <w:highlight w:val="none"/>
        </w:rPr>
      </w:pPr>
      <w:bookmarkStart w:id="28" w:name="_Toc35393632"/>
      <w:bookmarkStart w:id="29" w:name="_Toc44229881"/>
      <w:bookmarkStart w:id="30" w:name="_Toc35393801"/>
      <w:bookmarkStart w:id="31" w:name="_Toc28359015"/>
      <w:bookmarkStart w:id="32" w:name="_Toc28359092"/>
      <w:r>
        <w:rPr>
          <w:rFonts w:hint="eastAsia" w:ascii="宋体" w:hAnsi="宋体" w:eastAsia="宋体" w:cs="宋体"/>
          <w:color w:val="auto"/>
          <w:szCs w:val="21"/>
          <w:highlight w:val="none"/>
        </w:rPr>
        <w:t>2.地点：自行登录政采云平台（https://www.zcygov.cn/）在线获取磋商文件。尚未注册的供应商可在政采云平台完成注册后在线获取磋商文件（政采云平台-商家入驻-注册），如在操作过程中遇到问题或需技术支持，请致电政采云客服热线：400-881-7190。</w:t>
      </w:r>
    </w:p>
    <w:p>
      <w:pPr>
        <w:snapToGrid w:val="0"/>
        <w:spacing w:line="400" w:lineRule="exact"/>
        <w:ind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3.方式：网上在线报名获取。</w:t>
      </w:r>
    </w:p>
    <w:p>
      <w:pPr>
        <w:snapToGrid w:val="0"/>
        <w:spacing w:line="400" w:lineRule="exact"/>
        <w:ind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4.售价：0元。</w:t>
      </w:r>
    </w:p>
    <w:p>
      <w:pPr>
        <w:pStyle w:val="4"/>
        <w:spacing w:before="0" w:after="0" w:line="400" w:lineRule="exact"/>
        <w:ind w:firstLine="422" w:firstLineChars="200"/>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四、响应文件提交</w:t>
      </w:r>
      <w:bookmarkEnd w:id="28"/>
      <w:bookmarkEnd w:id="29"/>
      <w:bookmarkEnd w:id="30"/>
      <w:bookmarkEnd w:id="31"/>
      <w:bookmarkEnd w:id="32"/>
      <w:r>
        <w:rPr>
          <w:rFonts w:hint="eastAsia" w:ascii="宋体" w:hAnsi="宋体" w:eastAsia="宋体" w:cs="宋体"/>
          <w:bCs w:val="0"/>
          <w:color w:val="auto"/>
          <w:sz w:val="21"/>
          <w:szCs w:val="21"/>
          <w:highlight w:val="none"/>
        </w:rPr>
        <w:t>截止时间、开标时间和地点</w:t>
      </w:r>
    </w:p>
    <w:p>
      <w:pPr>
        <w:spacing w:line="400" w:lineRule="exact"/>
        <w:ind w:firstLine="420" w:firstLineChars="200"/>
        <w:rPr>
          <w:rFonts w:hint="eastAsia" w:ascii="宋体" w:hAnsi="宋体" w:eastAsia="宋体" w:cs="宋体"/>
          <w:color w:val="auto"/>
          <w:szCs w:val="21"/>
          <w:highlight w:val="none"/>
          <w:u w:val="single"/>
        </w:rPr>
      </w:pPr>
      <w:bookmarkStart w:id="33" w:name="_Toc35393802"/>
      <w:bookmarkStart w:id="34" w:name="_Toc35393633"/>
      <w:bookmarkStart w:id="35" w:name="_Toc44229882"/>
      <w:bookmarkStart w:id="36" w:name="_Toc28359016"/>
      <w:bookmarkStart w:id="37" w:name="_Toc28359093"/>
      <w:r>
        <w:rPr>
          <w:rFonts w:hint="eastAsia" w:ascii="宋体" w:hAnsi="宋体" w:eastAsia="宋体" w:cs="宋体"/>
          <w:bCs/>
          <w:color w:val="auto"/>
          <w:szCs w:val="21"/>
          <w:highlight w:val="none"/>
        </w:rPr>
        <w:t>1.提交响应文件截止时间和开标时间：</w:t>
      </w:r>
      <w:bookmarkStart w:id="38" w:name="PO_3000001866_PM015_1"/>
      <w:bookmarkEnd w:id="38"/>
      <w:r>
        <w:rPr>
          <w:rFonts w:hint="eastAsia" w:ascii="宋体" w:hAnsi="宋体" w:eastAsia="宋体" w:cs="宋体"/>
          <w:bCs/>
          <w:color w:val="auto"/>
          <w:szCs w:val="21"/>
          <w:highlight w:val="none"/>
          <w:u w:val="single"/>
        </w:rPr>
        <w:t>2021年</w:t>
      </w:r>
      <w:r>
        <w:rPr>
          <w:rFonts w:hint="eastAsia" w:ascii="宋体" w:hAnsi="宋体" w:eastAsia="宋体" w:cs="宋体"/>
          <w:bCs/>
          <w:color w:val="auto"/>
          <w:szCs w:val="21"/>
          <w:highlight w:val="none"/>
          <w:u w:val="single"/>
          <w:lang w:val="en-US" w:eastAsia="zh-CN"/>
        </w:rPr>
        <w:t>12</w:t>
      </w:r>
      <w:r>
        <w:rPr>
          <w:rFonts w:hint="eastAsia" w:ascii="宋体" w:hAnsi="宋体" w:eastAsia="宋体" w:cs="宋体"/>
          <w:bCs/>
          <w:color w:val="auto"/>
          <w:szCs w:val="21"/>
          <w:highlight w:val="none"/>
          <w:u w:val="single"/>
        </w:rPr>
        <w:t>月</w:t>
      </w:r>
      <w:r>
        <w:rPr>
          <w:rFonts w:hint="eastAsia" w:ascii="宋体" w:hAnsi="宋体" w:eastAsia="宋体" w:cs="宋体"/>
          <w:bCs/>
          <w:color w:val="auto"/>
          <w:szCs w:val="21"/>
          <w:highlight w:val="none"/>
          <w:u w:val="single"/>
          <w:lang w:val="en-US" w:eastAsia="zh-CN"/>
        </w:rPr>
        <w:t>24</w:t>
      </w:r>
      <w:r>
        <w:rPr>
          <w:rFonts w:hint="eastAsia" w:ascii="宋体" w:hAnsi="宋体" w:eastAsia="宋体" w:cs="宋体"/>
          <w:bCs/>
          <w:color w:val="auto"/>
          <w:szCs w:val="21"/>
          <w:highlight w:val="none"/>
          <w:u w:val="single"/>
        </w:rPr>
        <w:t>日</w:t>
      </w:r>
      <w:r>
        <w:rPr>
          <w:rFonts w:hint="eastAsia" w:ascii="宋体" w:hAnsi="宋体" w:eastAsia="宋体" w:cs="宋体"/>
          <w:bCs/>
          <w:color w:val="auto"/>
          <w:szCs w:val="21"/>
          <w:highlight w:val="none"/>
          <w:u w:val="single"/>
          <w:lang w:val="en-US" w:eastAsia="zh-CN"/>
        </w:rPr>
        <w:t>9</w:t>
      </w:r>
      <w:r>
        <w:rPr>
          <w:rFonts w:hint="eastAsia" w:ascii="宋体" w:hAnsi="宋体" w:eastAsia="宋体" w:cs="宋体"/>
          <w:bCs/>
          <w:color w:val="auto"/>
          <w:szCs w:val="21"/>
          <w:highlight w:val="none"/>
          <w:u w:val="single"/>
        </w:rPr>
        <w:t>时</w:t>
      </w:r>
      <w:r>
        <w:rPr>
          <w:rFonts w:hint="eastAsia" w:ascii="宋体" w:hAnsi="宋体" w:eastAsia="宋体" w:cs="宋体"/>
          <w:bCs/>
          <w:color w:val="auto"/>
          <w:szCs w:val="21"/>
          <w:highlight w:val="none"/>
          <w:u w:val="single"/>
          <w:lang w:val="en-US" w:eastAsia="zh-CN"/>
        </w:rPr>
        <w:t>00</w:t>
      </w:r>
      <w:r>
        <w:rPr>
          <w:rFonts w:hint="eastAsia" w:ascii="宋体" w:hAnsi="宋体" w:eastAsia="宋体" w:cs="宋体"/>
          <w:bCs/>
          <w:color w:val="auto"/>
          <w:szCs w:val="21"/>
          <w:highlight w:val="none"/>
          <w:u w:val="single"/>
        </w:rPr>
        <w:t>分</w:t>
      </w:r>
      <w:r>
        <w:rPr>
          <w:rFonts w:hint="eastAsia" w:ascii="宋体" w:hAnsi="宋体" w:eastAsia="宋体" w:cs="宋体"/>
          <w:bCs/>
          <w:color w:val="auto"/>
          <w:szCs w:val="21"/>
          <w:highlight w:val="none"/>
        </w:rPr>
        <w:t>（北京时间）</w:t>
      </w:r>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2.地点：政采云平台（https://www.zcygov.cn/）</w:t>
      </w:r>
      <w:r>
        <w:rPr>
          <w:rFonts w:hint="eastAsia" w:ascii="宋体" w:hAnsi="宋体" w:cs="宋体"/>
          <w:color w:val="auto"/>
          <w:szCs w:val="21"/>
          <w:highlight w:val="none"/>
          <w:lang w:eastAsia="zh-CN"/>
        </w:rPr>
        <w:t>开标大厅。</w:t>
      </w:r>
      <w:r>
        <w:rPr>
          <w:rFonts w:hint="eastAsia" w:ascii="宋体" w:hAnsi="宋体" w:eastAsia="宋体" w:cs="宋体"/>
          <w:color w:val="auto"/>
          <w:szCs w:val="21"/>
          <w:highlight w:val="none"/>
        </w:rPr>
        <w:t xml:space="preserve"> </w:t>
      </w:r>
    </w:p>
    <w:bookmarkEnd w:id="33"/>
    <w:bookmarkEnd w:id="34"/>
    <w:bookmarkEnd w:id="35"/>
    <w:bookmarkEnd w:id="36"/>
    <w:bookmarkEnd w:id="37"/>
    <w:p>
      <w:pPr>
        <w:pStyle w:val="4"/>
        <w:spacing w:before="0" w:after="0" w:line="400" w:lineRule="exact"/>
        <w:ind w:firstLine="422" w:firstLineChars="200"/>
        <w:rPr>
          <w:rFonts w:hint="eastAsia" w:ascii="宋体" w:hAnsi="宋体" w:eastAsia="宋体" w:cs="宋体"/>
          <w:bCs w:val="0"/>
          <w:color w:val="auto"/>
          <w:sz w:val="21"/>
          <w:szCs w:val="21"/>
          <w:highlight w:val="none"/>
        </w:rPr>
      </w:pPr>
      <w:bookmarkStart w:id="39" w:name="_Toc44229883"/>
      <w:bookmarkStart w:id="40" w:name="_Toc35393803"/>
      <w:bookmarkStart w:id="41" w:name="_Toc28359017"/>
      <w:bookmarkStart w:id="42" w:name="_Toc35393634"/>
      <w:bookmarkStart w:id="43" w:name="_Toc28359094"/>
      <w:r>
        <w:rPr>
          <w:rFonts w:hint="eastAsia" w:ascii="宋体" w:hAnsi="宋体" w:eastAsia="宋体" w:cs="宋体"/>
          <w:bCs w:val="0"/>
          <w:color w:val="auto"/>
          <w:sz w:val="21"/>
          <w:szCs w:val="21"/>
          <w:highlight w:val="none"/>
        </w:rPr>
        <w:t>五、公告期限</w:t>
      </w:r>
      <w:bookmarkEnd w:id="39"/>
      <w:bookmarkEnd w:id="40"/>
      <w:bookmarkEnd w:id="41"/>
      <w:bookmarkEnd w:id="42"/>
      <w:bookmarkEnd w:id="43"/>
    </w:p>
    <w:p>
      <w:pPr>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pStyle w:val="4"/>
        <w:spacing w:before="0" w:after="0" w:line="400" w:lineRule="exact"/>
        <w:ind w:firstLine="422" w:firstLineChars="200"/>
        <w:rPr>
          <w:rFonts w:hint="eastAsia" w:ascii="宋体" w:hAnsi="宋体" w:eastAsia="宋体" w:cs="宋体"/>
          <w:bCs w:val="0"/>
          <w:color w:val="auto"/>
          <w:sz w:val="21"/>
          <w:szCs w:val="21"/>
          <w:highlight w:val="none"/>
        </w:rPr>
      </w:pPr>
      <w:bookmarkStart w:id="44" w:name="_Toc35393635"/>
      <w:bookmarkStart w:id="45" w:name="_Toc35393804"/>
      <w:bookmarkStart w:id="46" w:name="_Toc44229884"/>
      <w:r>
        <w:rPr>
          <w:rFonts w:hint="eastAsia" w:ascii="宋体" w:hAnsi="宋体" w:eastAsia="宋体" w:cs="宋体"/>
          <w:bCs w:val="0"/>
          <w:color w:val="auto"/>
          <w:sz w:val="21"/>
          <w:szCs w:val="21"/>
          <w:highlight w:val="none"/>
        </w:rPr>
        <w:t>六、其他补充事宜</w:t>
      </w:r>
      <w:bookmarkEnd w:id="44"/>
      <w:bookmarkEnd w:id="45"/>
      <w:bookmarkEnd w:id="46"/>
    </w:p>
    <w:p>
      <w:pPr>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w:t>
      </w:r>
      <w:r>
        <w:rPr>
          <w:rFonts w:hint="eastAsia" w:ascii="宋体" w:hAnsi="宋体" w:eastAsia="宋体" w:cs="宋体"/>
          <w:b/>
          <w:bCs/>
          <w:color w:val="auto"/>
          <w:kern w:val="0"/>
          <w:szCs w:val="21"/>
          <w:highlight w:val="none"/>
        </w:rPr>
        <w:t>壹万元整（￥10000.00）</w:t>
      </w:r>
      <w:r>
        <w:rPr>
          <w:rFonts w:hint="eastAsia" w:ascii="宋体" w:hAnsi="宋体" w:eastAsia="宋体" w:cs="宋体"/>
          <w:bCs/>
          <w:color w:val="auto"/>
          <w:kern w:val="0"/>
          <w:szCs w:val="21"/>
          <w:highlight w:val="none"/>
        </w:rPr>
        <w:t>。</w:t>
      </w:r>
    </w:p>
    <w:p>
      <w:pPr>
        <w:pStyle w:val="12"/>
        <w:spacing w:line="400" w:lineRule="exact"/>
        <w:ind w:left="-5" w:firstLine="420" w:firstLineChars="200"/>
        <w:jc w:val="left"/>
        <w:rPr>
          <w:rFonts w:hint="eastAsia" w:ascii="宋体" w:hAnsi="宋体" w:eastAsia="宋体" w:cs="宋体"/>
          <w:bCs/>
          <w:color w:val="auto"/>
          <w:sz w:val="21"/>
          <w:highlight w:val="none"/>
        </w:rPr>
      </w:pPr>
      <w:r>
        <w:rPr>
          <w:rFonts w:hint="eastAsia" w:ascii="宋体" w:hAnsi="宋体" w:eastAsia="宋体" w:cs="宋体"/>
          <w:color w:val="auto"/>
          <w:kern w:val="2"/>
          <w:sz w:val="21"/>
          <w:highlight w:val="none"/>
        </w:rPr>
        <w:t>供应商应于投标截止时间前将投标保证金以电汇或转帐或支票或汇票或本票或保函或保险等非现金形式交至以下账户，并于投标截止时间前到账，到账时间以银行确认的到账时间为准(注：若以支票或汇票或本票或保函方式提交的，交款人必须是供应商；若以转账或电汇方式提交的，必须从供应商银行账户转出；若以现金方式交纳或者没有足额交纳的视为无效投标。办理投标保证金手续时，需在交纳凭据上注明项目名称（或项目编号），以免耽误投标和退还保证金。【备注：受疫情影响的中小微企业（在提供真实可信证明材料的前提下），不收取投标保证金和履约保证金。】</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开户名称：贺州市公共资源交易中心</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开户银行：邮政储蓄银行贺州市分行营业部</w:t>
      </w:r>
    </w:p>
    <w:p>
      <w:pPr>
        <w:tabs>
          <w:tab w:val="left" w:pos="412"/>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账号：945009010008838888</w:t>
      </w:r>
    </w:p>
    <w:p>
      <w:pPr>
        <w:spacing w:line="400" w:lineRule="exact"/>
        <w:ind w:firstLine="420" w:firstLineChars="200"/>
        <w:rPr>
          <w:rFonts w:hint="eastAsia" w:ascii="宋体" w:hAnsi="宋体" w:eastAsia="宋体" w:cs="宋体"/>
          <w:color w:val="auto"/>
          <w:szCs w:val="21"/>
          <w:highlight w:val="none"/>
        </w:rPr>
      </w:pPr>
      <w:bookmarkStart w:id="47" w:name="_Toc28359018"/>
      <w:bookmarkStart w:id="48" w:name="_Toc35393805"/>
      <w:bookmarkStart w:id="49" w:name="_Toc35393636"/>
      <w:bookmarkStart w:id="50" w:name="_Toc44229885"/>
      <w:bookmarkStart w:id="51" w:name="_Toc28359095"/>
      <w:r>
        <w:rPr>
          <w:rFonts w:hint="eastAsia" w:ascii="宋体" w:hAnsi="宋体" w:eastAsia="宋体" w:cs="宋体"/>
          <w:color w:val="auto"/>
          <w:kern w:val="0"/>
          <w:szCs w:val="21"/>
          <w:highlight w:val="none"/>
        </w:rPr>
        <w:t>2.本项目需要落实的政府采购政策：</w:t>
      </w:r>
      <w:r>
        <w:rPr>
          <w:rFonts w:hint="eastAsia" w:ascii="宋体" w:hAnsi="宋体" w:eastAsia="宋体" w:cs="宋体"/>
          <w:color w:val="auto"/>
          <w:szCs w:val="21"/>
          <w:highlight w:val="none"/>
        </w:rPr>
        <w:t>《政府采购促进中小企业发展管理办法》（财库[2020]46号）、《关于政府采购支持监狱企业展有关问题的通知（财库[2014]68号）》、《关于促进残疾人就业政府采购政策的通知（财库 [2017]141号）》：扶持中小企业政策：评审时小型、微型企业（提供本企业服务）的价格给予10%的扣除。监狱企业、残疾人福利性单位视同小型、微型企业，其价格在评审时给予相同的扣除。</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3.在线投标响应（电子投标）说明：</w:t>
      </w:r>
    </w:p>
    <w:p>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本项目通过政采云平台实行在线投标响应（电子投标），供应商需要先安装“政采云电子交易客户端”，并按照本竞争性磋商采购文件和政采云平台的要求，通过“政采云电子交易客户端”编制并加密响应文件。供应商未按规定编制并加密的响应文件，政采云平台将予以拒收。</w:t>
      </w:r>
    </w:p>
    <w:p>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w:t>
      </w:r>
    </w:p>
    <w:p>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为确保网上操作合法、有效和安全，磋商供应商应当在开标截止时间前完成在“政府采购云平台”的身份认证，确保在电子投标过程中能够对相关数据电文进行加密和使用电子签章。使用“政采云电子交易客户端”需要提前申领CA数字证书，申领流程请自行前往相关网站进行查阅（完成CA数字证书办理预计一周左右，建议供应商获取竞争性磋商采购文件后立即办理）。</w:t>
      </w:r>
    </w:p>
    <w:p>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磋商供应商应当在开标截止时间前，将生成的“电子加密响应文件”上传递交至政采云平台。响应文件递交截止时间前可以补充、修改或者撤回电子磋商响应文件。补充或者修改电子磋商响应文件的，应当先行撤回原文件，补充、修改后重新传输递交，开标截止时间前未完成传输的，视为撤回响应文件。</w:t>
      </w:r>
    </w:p>
    <w:p>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响应文件递交截止时间后，政采云（电子交易平台）自动提取所有响应文件，各供应商须在提交响应文件截止后30分钟内对上传政采云的响应文件进行解密，所有供应商在规定的解密时限内解密完成或解密时限到后，采购代理机构开启响应文件；供应商超过解密时限的，系统默认自动放弃。</w:t>
      </w:r>
    </w:p>
    <w:p>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w:t>
      </w:r>
      <w:r>
        <w:rPr>
          <w:rFonts w:hint="eastAsia" w:ascii="宋体" w:hAnsi="宋体" w:cs="宋体"/>
          <w:bCs/>
          <w:color w:val="auto"/>
          <w:szCs w:val="21"/>
          <w:highlight w:val="none"/>
          <w:lang w:eastAsia="zh-CN"/>
        </w:rPr>
        <w:t>供应商</w:t>
      </w:r>
      <w:r>
        <w:rPr>
          <w:rFonts w:hint="eastAsia" w:ascii="宋体" w:hAnsi="宋体" w:eastAsia="宋体" w:cs="宋体"/>
          <w:color w:val="auto"/>
          <w:szCs w:val="21"/>
          <w:highlight w:val="none"/>
        </w:rPr>
        <w:t>通过政采云平台实行在线投标响应（本项目不要求竞标供应商到达开标现场，但供应商应派法定代表人或委托代理人准时在线出席电子开评标会议，随时关注开评标进度，如在开评标过程中有电子询标，应在规定的时间内对电子询标函进行澄清回复。）</w:t>
      </w:r>
      <w:r>
        <w:rPr>
          <w:rFonts w:hint="eastAsia" w:ascii="宋体" w:hAnsi="宋体" w:eastAsia="宋体" w:cs="宋体"/>
          <w:bCs/>
          <w:color w:val="auto"/>
          <w:szCs w:val="21"/>
          <w:highlight w:val="none"/>
        </w:rPr>
        <w:t>供应商</w:t>
      </w:r>
      <w:r>
        <w:rPr>
          <w:rFonts w:hint="eastAsia" w:ascii="宋体" w:hAnsi="宋体" w:cs="宋体"/>
          <w:bCs/>
          <w:color w:val="auto"/>
          <w:szCs w:val="21"/>
          <w:highlight w:val="none"/>
          <w:lang w:eastAsia="zh-CN"/>
        </w:rPr>
        <w:t>也</w:t>
      </w:r>
      <w:r>
        <w:rPr>
          <w:rFonts w:hint="eastAsia" w:ascii="宋体" w:hAnsi="宋体" w:eastAsia="宋体" w:cs="宋体"/>
          <w:bCs/>
          <w:color w:val="auto"/>
          <w:szCs w:val="21"/>
          <w:highlight w:val="none"/>
        </w:rPr>
        <w:t>可以参与现场开标，所需在线投标响应及解密开启设备自带。</w:t>
      </w:r>
    </w:p>
    <w:p>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（7）在供应商提交了电子备份响应文件后，如通过政采云平台上传递交的电子加密响应文件无法按时解密且无法通过政采云“异常处理”端口处理的视为响应文件撤回，所造成的后果由供应商自行承担。                 </w:t>
      </w:r>
    </w:p>
    <w:p>
      <w:pPr>
        <w:spacing w:line="400" w:lineRule="exact"/>
        <w:ind w:left="420" w:leftChars="20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4.发布公告的媒介：中国政府采购网、广西壮族自治区政府采购网、全国公共资源交易平台（广西贺州）。</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八、凡对本次采购提出询问，请按以下方式联系。</w:t>
      </w:r>
      <w:bookmarkEnd w:id="47"/>
      <w:bookmarkEnd w:id="48"/>
      <w:bookmarkEnd w:id="49"/>
      <w:bookmarkEnd w:id="50"/>
      <w:bookmarkEnd w:id="51"/>
    </w:p>
    <w:bookmarkEnd w:id="11"/>
    <w:p>
      <w:pPr>
        <w:spacing w:line="33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1.采购人信息</w:t>
      </w:r>
    </w:p>
    <w:p>
      <w:pPr>
        <w:spacing w:line="33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名 称：</w:t>
      </w:r>
      <w:r>
        <w:rPr>
          <w:rFonts w:hint="eastAsia" w:ascii="宋体" w:hAnsi="宋体" w:eastAsia="宋体" w:cs="宋体"/>
          <w:color w:val="auto"/>
          <w:szCs w:val="21"/>
          <w:highlight w:val="none"/>
        </w:rPr>
        <w:t>贺州市城市管理局</w:t>
      </w:r>
    </w:p>
    <w:p>
      <w:pPr>
        <w:spacing w:line="330" w:lineRule="exact"/>
        <w:ind w:firstLine="42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地 </w:t>
      </w:r>
      <w:r>
        <w:rPr>
          <w:rFonts w:hint="eastAsia" w:ascii="宋体" w:hAnsi="宋体" w:eastAsia="宋体" w:cs="宋体"/>
          <w:color w:val="auto"/>
          <w:szCs w:val="21"/>
          <w:highlight w:val="none"/>
        </w:rPr>
        <w:t>址：贺州市生态环境局大院内</w:t>
      </w:r>
    </w:p>
    <w:p>
      <w:pPr>
        <w:spacing w:line="33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联系方式：杨工，0774-52777</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  </w:t>
      </w:r>
    </w:p>
    <w:p>
      <w:pPr>
        <w:spacing w:line="33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2.采购代理机构信息</w:t>
      </w:r>
    </w:p>
    <w:p>
      <w:pPr>
        <w:spacing w:line="33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名 称：</w:t>
      </w:r>
      <w:r>
        <w:rPr>
          <w:rFonts w:hint="eastAsia" w:ascii="宋体" w:hAnsi="宋体" w:eastAsia="宋体" w:cs="宋体"/>
          <w:color w:val="auto"/>
          <w:szCs w:val="21"/>
          <w:highlight w:val="none"/>
        </w:rPr>
        <w:t>广西建荣工程项目管理有限公司</w:t>
      </w:r>
    </w:p>
    <w:p>
      <w:pPr>
        <w:spacing w:line="330" w:lineRule="exact"/>
        <w:ind w:firstLine="424" w:firstLineChars="202"/>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地 址：</w:t>
      </w:r>
      <w:r>
        <w:rPr>
          <w:rFonts w:hint="eastAsia" w:ascii="宋体" w:hAnsi="宋体" w:eastAsia="宋体" w:cs="宋体"/>
          <w:color w:val="auto"/>
          <w:szCs w:val="21"/>
          <w:highlight w:val="none"/>
        </w:rPr>
        <w:t>贺州市八步区贺州大道111号1楼</w:t>
      </w:r>
    </w:p>
    <w:p>
      <w:pPr>
        <w:spacing w:line="33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联系人及电话：</w:t>
      </w:r>
      <w:r>
        <w:rPr>
          <w:rFonts w:hint="eastAsia" w:ascii="宋体" w:hAnsi="宋体" w:eastAsia="宋体" w:cs="宋体"/>
          <w:color w:val="auto"/>
          <w:highlight w:val="none"/>
        </w:rPr>
        <w:t>罗工，0774-5139336</w:t>
      </w:r>
    </w:p>
    <w:p>
      <w:pPr>
        <w:spacing w:line="33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3.监督部门：</w:t>
      </w:r>
      <w:r>
        <w:rPr>
          <w:rFonts w:hint="eastAsia" w:ascii="宋体" w:hAnsi="宋体" w:eastAsia="宋体" w:cs="宋体"/>
          <w:color w:val="auto"/>
          <w:szCs w:val="21"/>
          <w:highlight w:val="none"/>
        </w:rPr>
        <w:t>贺州市财政局政府采购监督管理科  联系方式: 0774-5135551</w:t>
      </w:r>
    </w:p>
    <w:p>
      <w:pPr>
        <w:spacing w:line="33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4.项目联系方式   项目联系人：</w:t>
      </w:r>
      <w:r>
        <w:rPr>
          <w:rFonts w:hint="eastAsia" w:ascii="宋体" w:hAnsi="宋体" w:eastAsia="宋体" w:cs="宋体"/>
          <w:color w:val="auto"/>
          <w:highlight w:val="none"/>
        </w:rPr>
        <w:t>罗工，0774-5139336</w:t>
      </w:r>
    </w:p>
    <w:p>
      <w:pPr>
        <w:spacing w:line="400" w:lineRule="exact"/>
        <w:ind w:firstLine="424" w:firstLineChars="20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采购人：贺州市城市管理局                          </w:t>
      </w:r>
    </w:p>
    <w:p>
      <w:pPr>
        <w:spacing w:line="400" w:lineRule="exact"/>
        <w:ind w:firstLine="424" w:firstLineChars="20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采购代理机构：广西建荣工程项目管理有限公司</w:t>
      </w:r>
    </w:p>
    <w:p>
      <w:pPr>
        <w:spacing w:line="400" w:lineRule="exact"/>
        <w:ind w:firstLine="424" w:firstLineChars="202"/>
        <w:jc w:val="center"/>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                                                                       2021年</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rPr>
        <w:br w:type="page"/>
      </w:r>
      <w:bookmarkStart w:id="52" w:name="_Toc44229894"/>
      <w:r>
        <w:rPr>
          <w:rFonts w:hint="eastAsia" w:ascii="宋体" w:hAnsi="宋体" w:eastAsia="宋体" w:cs="宋体"/>
          <w:b/>
          <w:color w:val="auto"/>
          <w:sz w:val="32"/>
          <w:szCs w:val="32"/>
          <w:highlight w:val="none"/>
        </w:rPr>
        <w:t>第二章 供应商须知</w:t>
      </w:r>
      <w:bookmarkEnd w:id="52"/>
    </w:p>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供应商须知前附表</w:t>
      </w:r>
    </w:p>
    <w:p>
      <w:pPr>
        <w:spacing w:line="400" w:lineRule="exact"/>
        <w:jc w:val="center"/>
        <w:rPr>
          <w:rFonts w:hint="eastAsia" w:ascii="宋体" w:hAnsi="宋体" w:eastAsia="宋体" w:cs="宋体"/>
          <w:b/>
          <w:color w:val="auto"/>
          <w:szCs w:val="21"/>
          <w:highlight w:val="none"/>
        </w:rPr>
      </w:pPr>
    </w:p>
    <w:tbl>
      <w:tblPr>
        <w:tblStyle w:val="21"/>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7912" w:type="dxa"/>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912"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供应商的资格条件</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专门面向中小企业采购的项目（供应商应为中小微企业、监狱企业、残疾人福利性单位)</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☑非专门面向中小企业采购的项目</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3.国内注册（指按国家有关规定要求注册的）具备法人资格的供应商。具有环保设施运营、或环保设施运营管理、或水处理设施运营管理经营范围的服务商。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 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以评标阶段在“信用中国”网站（www.creditchina.gov.cn）或中国政府采购网（www.ccgp.gov.cn）的信用记录查询结果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7912" w:type="dxa"/>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 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7912" w:type="dxa"/>
            <w:vAlign w:val="center"/>
          </w:tcPr>
          <w:p>
            <w:pPr>
              <w:pStyle w:val="8"/>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不允许分包</w:t>
            </w:r>
          </w:p>
          <w:p>
            <w:pPr>
              <w:pStyle w:val="8"/>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□允许分包</w:t>
            </w:r>
          </w:p>
          <w:p>
            <w:pPr>
              <w:pStyle w:val="8"/>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分包内容：</w:t>
            </w:r>
            <w:r>
              <w:rPr>
                <w:rFonts w:hint="eastAsia" w:ascii="宋体" w:hAnsi="宋体" w:eastAsia="宋体" w:cs="宋体"/>
                <w:color w:val="auto"/>
                <w:szCs w:val="21"/>
                <w:highlight w:val="none"/>
                <w:u w:val="single"/>
              </w:rPr>
              <w:t xml:space="preserve">      /                               。</w:t>
            </w:r>
          </w:p>
          <w:p>
            <w:pPr>
              <w:pStyle w:val="8"/>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分包金额或者比例：</w:t>
            </w:r>
            <w:r>
              <w:rPr>
                <w:rFonts w:hint="eastAsia" w:ascii="宋体" w:hAnsi="宋体" w:eastAsia="宋体" w:cs="宋体"/>
                <w:color w:val="auto"/>
                <w:szCs w:val="21"/>
                <w:highlight w:val="none"/>
                <w:u w:val="single"/>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7912" w:type="dxa"/>
            <w:vAlign w:val="center"/>
          </w:tcPr>
          <w:p>
            <w:pPr>
              <w:snapToGrid w:val="0"/>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w:t>
            </w:r>
          </w:p>
          <w:p>
            <w:pPr>
              <w:pStyle w:val="8"/>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1.供应商为法人或者其他组织的提供其营业执照副本复印件等证明文件（如营业执照或者事业单位法人证书或者执业许可证等）；（</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2.磋商之日前半年内连续三个月供应商依法缴纳税收证明</w:t>
            </w:r>
            <w:r>
              <w:rPr>
                <w:rFonts w:hint="eastAsia" w:ascii="宋体" w:hAnsi="宋体" w:eastAsia="宋体" w:cs="宋体"/>
                <w:color w:val="auto"/>
                <w:szCs w:val="21"/>
                <w:highlight w:val="none"/>
                <w:lang w:eastAsia="zh-CN"/>
              </w:rPr>
              <w:t>或税收完税证明或无欠税证明</w:t>
            </w:r>
            <w:r>
              <w:rPr>
                <w:rFonts w:hint="eastAsia" w:ascii="宋体" w:hAnsi="宋体" w:eastAsia="宋体" w:cs="宋体"/>
                <w:color w:val="auto"/>
                <w:szCs w:val="21"/>
                <w:highlight w:val="none"/>
              </w:rPr>
              <w:t>；依法免税的供应商，必须提供相应文件证明其依法免税。从取得营业执照时间起到首次响应文件提交截止时间为止不足要求月数的，只需提供从取得营业执照起的依法缴纳税收相应证明文件）；（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3.供应商依法缴纳社会保障资金的相关材料[磋商之日前半年内连续三个月的依法缴纳社会保障资金的缴费凭证（专用收据或者社会保险缴</w:t>
            </w:r>
            <w:r>
              <w:rPr>
                <w:rFonts w:hint="eastAsia" w:ascii="宋体" w:hAnsi="宋体" w:eastAsia="宋体" w:cs="宋体"/>
                <w:color w:val="auto"/>
                <w:szCs w:val="21"/>
                <w:highlight w:val="none"/>
                <w:lang w:eastAsia="zh-CN"/>
              </w:rPr>
              <w:t>费</w:t>
            </w:r>
            <w:r>
              <w:rPr>
                <w:rFonts w:hint="eastAsia" w:ascii="宋体" w:hAnsi="宋体" w:eastAsia="宋体" w:cs="宋体"/>
                <w:color w:val="auto"/>
                <w:szCs w:val="21"/>
                <w:highlight w:val="none"/>
              </w:rPr>
              <w:t>证明）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400" w:lineRule="exact"/>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4.供应商财务状况报告[2020年财务状况报告复印件，提供经审计的财务报告或者其基本开户银行出具的资信证明</w:t>
            </w:r>
            <w:r>
              <w:rPr>
                <w:rFonts w:hint="eastAsia" w:ascii="宋体" w:hAnsi="宋体" w:eastAsia="宋体" w:cs="宋体"/>
                <w:color w:val="auto"/>
                <w:szCs w:val="21"/>
                <w:highlight w:val="none"/>
                <w:lang w:eastAsia="zh-CN"/>
              </w:rPr>
              <w:t>书</w:t>
            </w:r>
            <w:r>
              <w:rPr>
                <w:rFonts w:hint="eastAsia" w:ascii="宋体" w:hAnsi="宋体" w:eastAsia="宋体" w:cs="宋体"/>
                <w:color w:val="auto"/>
                <w:szCs w:val="21"/>
                <w:highlight w:val="none"/>
              </w:rPr>
              <w:t>（注明有效期的，应在有效期内；未注明有效期的，出具时间至竞标截止时间不超过一年）；（</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bCs/>
                <w:color w:val="auto"/>
                <w:szCs w:val="21"/>
                <w:highlight w:val="none"/>
              </w:rPr>
              <w:t>）</w:t>
            </w:r>
          </w:p>
          <w:p>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 竞标声明（格式后附）；（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 除磋商文件规定必须提供以外，供应商认为需要提供的其他证明材料；</w:t>
            </w:r>
          </w:p>
          <w:p>
            <w:pPr>
              <w:snapToGrid w:val="0"/>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pPr>
              <w:snapToGrid w:val="0"/>
              <w:spacing w:line="40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1.以上标明“必须提供”的材料属于复印件的，必须加盖供应商公章，否则响应文件按无效响应处理。</w:t>
            </w:r>
          </w:p>
          <w:p>
            <w:pPr>
              <w:snapToGrid w:val="0"/>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2.竞标声明必须由法定代表人在规定签章处签字并加盖供应商公章，否则响应文件按无效响应处理。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7912" w:type="dxa"/>
            <w:vAlign w:val="center"/>
          </w:tcPr>
          <w:p>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报价商务技术文件</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2.竞标报价表（格式后附）；（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3.法定代表人身份证明书及法定代表人有效身份证正反面复印件（格式后附）；（</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40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4.法定代表人授权委托书及委托代理人有效身份证正反面复印件（格式后附）；（</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5.磋商保证金提交凭证；（</w:t>
            </w:r>
            <w:r>
              <w:rPr>
                <w:rFonts w:hint="eastAsia" w:ascii="宋体" w:hAnsi="宋体" w:eastAsia="宋体" w:cs="宋体"/>
                <w:b/>
                <w:bCs/>
                <w:color w:val="auto"/>
                <w:szCs w:val="21"/>
                <w:highlight w:val="none"/>
              </w:rPr>
              <w:t>如要求提交则必须提供</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6.技术方案；（</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 拟订各项管理规章制度及档案资料的建立与管理；（</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8.服务承诺方案；（</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9.供应商业绩（如有请提供）； </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10.供应商认为需要提供的其他有关资料。</w:t>
            </w:r>
          </w:p>
          <w:p>
            <w:pPr>
              <w:snapToGrid w:val="0"/>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pPr>
              <w:snapToGrid w:val="0"/>
              <w:spacing w:line="40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pPr>
              <w:spacing w:line="40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2.以上标明“必须提供”的材料属于复印件的，必须加盖供应商公章，否则响应文件按无效响应处理。</w:t>
            </w:r>
          </w:p>
          <w:p>
            <w:pPr>
              <w:spacing w:line="400" w:lineRule="exact"/>
              <w:ind w:firstLine="413" w:firstLineChars="196"/>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3.以上材料未附格式的，由供应商自行拟定。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7912" w:type="dxa"/>
            <w:vAlign w:val="center"/>
          </w:tcPr>
          <w:p>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响应文件应按资格证明文件、报价商务技术文件分别编制，资格证明文件、报价商务技术文件按顺序合并生成电子文件。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7912" w:type="dxa"/>
            <w:vAlign w:val="center"/>
          </w:tcPr>
          <w:p>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eastAsia="宋体" w:cs="宋体"/>
                <w:b/>
                <w:color w:val="auto"/>
                <w:szCs w:val="21"/>
                <w:highlight w:val="none"/>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7912" w:type="dxa"/>
            <w:vAlign w:val="center"/>
          </w:tcPr>
          <w:p>
            <w:pPr>
              <w:pStyle w:val="6"/>
              <w:tabs>
                <w:tab w:val="left" w:pos="720"/>
                <w:tab w:val="left" w:pos="840"/>
              </w:tabs>
              <w:snapToGrid w:val="0"/>
              <w:spacing w:line="400" w:lineRule="exact"/>
              <w:ind w:left="283" w:hanging="283" w:hangingChars="135"/>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竞标有效期：自首次响应文件提交截止之日起</w:t>
            </w:r>
            <w:r>
              <w:rPr>
                <w:rFonts w:hint="eastAsia" w:ascii="宋体" w:hAnsi="宋体" w:eastAsia="宋体" w:cs="宋体"/>
                <w:color w:val="auto"/>
                <w:szCs w:val="21"/>
                <w:highlight w:val="none"/>
                <w:u w:val="single"/>
              </w:rPr>
              <w:t xml:space="preserve"> 60 </w:t>
            </w:r>
            <w:r>
              <w:rPr>
                <w:rFonts w:hint="eastAsia" w:ascii="宋体" w:hAnsi="宋体" w:eastAsia="宋体" w:cs="宋体"/>
                <w:color w:val="auto"/>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7912" w:type="dxa"/>
            <w:vAlign w:val="center"/>
          </w:tcPr>
          <w:p>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本项目收取磋商保证金，具体规定如下：</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磋商保证金的交纳方式：详见竞争性磋商公告。</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磋商保证金的金额：详见竞争性磋商公告。</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相关要求：</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1.磋商保证金采用银行转账交纳方式的，在首次响应文件提交截止时间前交至采购代理机构指定账户并且到账，供应商应将银行转账底单的复印件作为磋商保证金提交凭证，放置于报价商务技术文件中，</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宋体" w:hAnsi="宋体" w:eastAsia="宋体" w:cs="宋体"/>
                <w:b/>
                <w:color w:val="auto"/>
                <w:szCs w:val="21"/>
                <w:highlight w:val="none"/>
              </w:rPr>
              <w:t>否则竞标无效</w:t>
            </w:r>
            <w:r>
              <w:rPr>
                <w:rFonts w:hint="eastAsia" w:ascii="宋体" w:hAnsi="宋体" w:eastAsia="宋体" w:cs="宋体"/>
                <w:color w:val="auto"/>
                <w:szCs w:val="21"/>
                <w:highlight w:val="none"/>
              </w:rPr>
              <w:t>。供应商必须于递交竞标文件时将支票、汇票、本票或者金融、担保机构出具的保函原件提交给采购人或者采购代理机构，由采购人或者采购代理机构向供应商出具回执，并妥善保管。</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3.磋商保证金指定帐户：详见竞争性磋商公告。</w:t>
            </w:r>
          </w:p>
          <w:p>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1.磋商保证金在首次响应文件提交截止时间后提交的，或者不按规定交纳方式交纳的，或者未足额交纳的（包含保函额度不足的），视为无效磋商保证金。</w:t>
            </w:r>
          </w:p>
          <w:p>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2.供应商采用现钞方式或者从个人账户（自然人竞标除外）转出的磋商保证金，视为无效磋商保证金。</w:t>
            </w:r>
          </w:p>
          <w:p>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3.支票、汇票或者本票出现无效或者背书情形的，视为无效磋商保证金。</w:t>
            </w:r>
          </w:p>
          <w:p>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4.保函有效期低于竞标有效期的，视为无效磋商保证金。</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5.采用金融、担保机构出具保函的，必须为无条件保函，否则视为无效磋商保证金。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w:t>
            </w:r>
          </w:p>
        </w:tc>
        <w:tc>
          <w:tcPr>
            <w:tcW w:w="7912" w:type="dxa"/>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7912" w:type="dxa"/>
            <w:vAlign w:val="center"/>
          </w:tcPr>
          <w:p>
            <w:pPr>
              <w:snapToGrid w:val="0"/>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首次响应文件提交起止时间：详见竞争性磋商公告。</w:t>
            </w:r>
          </w:p>
          <w:p>
            <w:pPr>
              <w:snapToGrid w:val="0"/>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首次响应文件提交截止时间：详见竞争性磋商公告。</w:t>
            </w:r>
          </w:p>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首次响应文件提交地点：详见竞争性磋商公告。</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在首次响应文件提交截止时间后提交的响应文件为无效文件，采购代理机构应当拒收。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w:t>
            </w:r>
          </w:p>
        </w:tc>
        <w:tc>
          <w:tcPr>
            <w:tcW w:w="7912" w:type="dxa"/>
            <w:vAlign w:val="center"/>
          </w:tcPr>
          <w:p>
            <w:pPr>
              <w:snapToGrid w:val="0"/>
              <w:spacing w:line="40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磋商小组的人数：</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7912" w:type="dxa"/>
            <w:vAlign w:val="center"/>
          </w:tcPr>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服务需求评审中允许负偏离的条款数为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400" w:lineRule="exact"/>
              <w:jc w:val="center"/>
              <w:rPr>
                <w:rFonts w:hint="eastAsia" w:ascii="宋体" w:hAnsi="宋体" w:eastAsia="宋体" w:cs="宋体"/>
                <w:color w:val="auto"/>
                <w:szCs w:val="21"/>
                <w:highlight w:val="none"/>
              </w:rPr>
            </w:pPr>
          </w:p>
        </w:tc>
        <w:tc>
          <w:tcPr>
            <w:tcW w:w="7912" w:type="dxa"/>
            <w:vAlign w:val="center"/>
          </w:tcPr>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pPr>
              <w:pStyle w:val="8"/>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□按照提交首次响应文件的顺序，通知磋商时，若某供应商不在通知现场时（该供应商排序到最后磋商），按照签到的顺序由其下一位供应商先参与磋商。</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随机排序。</w:t>
            </w:r>
          </w:p>
          <w:p>
            <w:pPr>
              <w:pStyle w:val="8"/>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w:t>
            </w:r>
          </w:p>
        </w:tc>
        <w:tc>
          <w:tcPr>
            <w:tcW w:w="7912" w:type="dxa"/>
            <w:vAlign w:val="center"/>
          </w:tcPr>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履约保证金金额：按成交金额的 </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供应商为</w:t>
            </w:r>
            <w:r>
              <w:rPr>
                <w:rFonts w:hint="eastAsia" w:ascii="宋体" w:hAnsi="宋体" w:eastAsia="宋体" w:cs="宋体"/>
                <w:b/>
                <w:bCs/>
                <w:color w:val="auto"/>
                <w:szCs w:val="21"/>
                <w:highlight w:val="none"/>
              </w:rPr>
              <w:t>中小微企业免收取履约保证金</w:t>
            </w:r>
            <w:r>
              <w:rPr>
                <w:rFonts w:hint="eastAsia" w:ascii="宋体" w:hAnsi="宋体" w:eastAsia="宋体" w:cs="宋体"/>
                <w:color w:val="auto"/>
                <w:szCs w:val="21"/>
                <w:highlight w:val="none"/>
              </w:rPr>
              <w:t>）。</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履约保证金提交方式：银行转账、支票、汇票、本票或者金融、担保机构出具的保函等非现金方式（参照磋商保证金）。</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履约保证金退付方式、时间及条件： </w:t>
            </w:r>
            <w:r>
              <w:rPr>
                <w:rFonts w:hint="eastAsia" w:ascii="宋体" w:hAnsi="宋体" w:eastAsia="宋体" w:cs="宋体"/>
                <w:color w:val="auto"/>
                <w:szCs w:val="21"/>
                <w:highlight w:val="none"/>
                <w:lang w:eastAsia="zh-CN"/>
              </w:rPr>
              <w:t>合同履行完毕采购人出具退付意见书后</w:t>
            </w:r>
            <w:r>
              <w:rPr>
                <w:rFonts w:hint="eastAsia" w:ascii="宋体" w:hAnsi="宋体" w:eastAsia="宋体" w:cs="宋体"/>
                <w:color w:val="auto"/>
                <w:szCs w:val="21"/>
                <w:highlight w:val="none"/>
              </w:rPr>
              <w:t xml:space="preserve"> 。</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由成交供应商向履约保证金收取单位提供《广西壮族自治区政府采购项目合同验收书》及《政府采购项目履约保证金退付意见书》，保证金收取单位在收到合格材料后5个工作日内办理退还手续（不计利息）。</w:t>
            </w:r>
          </w:p>
          <w:p>
            <w:pPr>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履约保证金指定账户：</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开户名称： 贺州市公共资源交易中心 </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邮政储蓄银行贺州市分行营业部 </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银行账号： 945006010030198890 </w:t>
            </w:r>
          </w:p>
          <w:p>
            <w:pPr>
              <w:pStyle w:val="8"/>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pPr>
              <w:pStyle w:val="8"/>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 </w:t>
            </w:r>
            <w:bookmarkStart w:id="53" w:name="_Hlk54170335"/>
            <w:r>
              <w:rPr>
                <w:rFonts w:hint="eastAsia" w:ascii="宋体" w:hAnsi="宋体" w:eastAsia="宋体" w:cs="宋体"/>
                <w:b/>
                <w:color w:val="auto"/>
                <w:szCs w:val="21"/>
                <w:highlight w:val="none"/>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53"/>
          </w:p>
          <w:p>
            <w:pPr>
              <w:pStyle w:val="8"/>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pPr>
              <w:pStyle w:val="8"/>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3.采用金融、担保机构出具保函的，必须为无条件保函，否则视为未按规定提交履约保证金。</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4.供应商为联合体的，可由联合体任意一方或者联合体各方共同提交的履约保证金，视为有效履约保证金。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7912" w:type="dxa"/>
            <w:vAlign w:val="center"/>
          </w:tcPr>
          <w:p>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签订合同携带的证明材料： </w:t>
            </w:r>
          </w:p>
          <w:p>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委托代理人负责签订合同的，须携带授权委托书及委托代理人身份证原件等其他资格证件。</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7912" w:type="dxa"/>
            <w:vAlign w:val="center"/>
          </w:tcPr>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接收质疑函方式：以书面形式。</w:t>
            </w:r>
          </w:p>
          <w:p>
            <w:pPr>
              <w:pStyle w:val="12"/>
              <w:snapToGrid w:val="0"/>
              <w:spacing w:line="400" w:lineRule="exact"/>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质疑联系部门及联系方式：</w:t>
            </w:r>
            <w:r>
              <w:rPr>
                <w:rFonts w:hint="eastAsia" w:ascii="宋体" w:hAnsi="宋体" w:eastAsia="宋体" w:cs="宋体"/>
                <w:color w:val="auto"/>
                <w:kern w:val="2"/>
                <w:sz w:val="21"/>
                <w:highlight w:val="none"/>
                <w:u w:val="single"/>
              </w:rPr>
              <w:t>广西建荣工程项目管理有限公司贺州分公司</w:t>
            </w:r>
            <w:r>
              <w:rPr>
                <w:rFonts w:hint="eastAsia" w:ascii="宋体" w:hAnsi="宋体" w:eastAsia="宋体" w:cs="宋体"/>
                <w:color w:val="auto"/>
                <w:kern w:val="2"/>
                <w:sz w:val="21"/>
                <w:highlight w:val="none"/>
              </w:rPr>
              <w:t>，联系电话：0774-5139336，通讯地址：贺州市八步区贺州大道111号1楼</w:t>
            </w:r>
          </w:p>
          <w:p>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业务时间：上午8时00分到12时00分，下午3时00分到6时00分，业务时间以外、双休日和法定节假日不办理业务。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w:t>
            </w:r>
          </w:p>
        </w:tc>
        <w:tc>
          <w:tcPr>
            <w:tcW w:w="7912" w:type="dxa"/>
            <w:vAlign w:val="center"/>
          </w:tcPr>
          <w:p>
            <w:pPr>
              <w:pStyle w:val="12"/>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1.采购代理费支付方式：</w:t>
            </w:r>
          </w:p>
          <w:p>
            <w:pPr>
              <w:pStyle w:val="12"/>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sym w:font="Wingdings 2" w:char="0052"/>
            </w:r>
            <w:r>
              <w:rPr>
                <w:rFonts w:hint="eastAsia" w:ascii="宋体" w:hAnsi="宋体" w:eastAsia="宋体" w:cs="宋体"/>
                <w:color w:val="auto"/>
                <w:sz w:val="21"/>
                <w:highlight w:val="none"/>
              </w:rPr>
              <w:t>本项目代理服务费由</w:t>
            </w:r>
            <w:r>
              <w:rPr>
                <w:rFonts w:hint="eastAsia" w:ascii="宋体" w:hAnsi="宋体" w:eastAsia="宋体" w:cs="宋体"/>
                <w:color w:val="auto"/>
                <w:sz w:val="21"/>
                <w:highlight w:val="none"/>
                <w:u w:val="single"/>
              </w:rPr>
              <w:t>成交供应商</w:t>
            </w:r>
            <w:r>
              <w:rPr>
                <w:rFonts w:hint="eastAsia" w:ascii="宋体" w:hAnsi="宋体" w:eastAsia="宋体" w:cs="宋体"/>
                <w:color w:val="auto"/>
                <w:sz w:val="21"/>
                <w:highlight w:val="none"/>
              </w:rPr>
              <w:t>领取成交通知书前，一次性向采购代理机构支付。</w:t>
            </w:r>
          </w:p>
          <w:p>
            <w:pPr>
              <w:pStyle w:val="12"/>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□采购人支付。</w:t>
            </w:r>
          </w:p>
          <w:p>
            <w:pPr>
              <w:pStyle w:val="12"/>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2.采购代理费收取标准：</w:t>
            </w:r>
          </w:p>
          <w:p>
            <w:pPr>
              <w:pStyle w:val="12"/>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以（</w:t>
            </w:r>
            <w:r>
              <w:rPr>
                <w:rFonts w:hint="eastAsia" w:ascii="宋体" w:hAnsi="宋体" w:eastAsia="宋体" w:cs="宋体"/>
                <w:color w:val="auto"/>
                <w:sz w:val="21"/>
                <w:highlight w:val="none"/>
              </w:rPr>
              <w:sym w:font="Wingdings 2" w:char="0052"/>
            </w:r>
            <w:r>
              <w:rPr>
                <w:rFonts w:hint="eastAsia" w:ascii="宋体" w:hAnsi="宋体" w:eastAsia="宋体" w:cs="宋体"/>
                <w:color w:val="auto"/>
                <w:sz w:val="21"/>
                <w:highlight w:val="none"/>
              </w:rPr>
              <w:t>成交金额/□采购预算/□暂定成交金额/□其他</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）为计费额，按本须知正文第32.2条规定的收费计算标准（□货物类/</w:t>
            </w:r>
            <w:r>
              <w:rPr>
                <w:rFonts w:hint="eastAsia" w:ascii="宋体" w:hAnsi="宋体" w:eastAsia="宋体" w:cs="宋体"/>
                <w:color w:val="auto"/>
                <w:sz w:val="21"/>
                <w:highlight w:val="none"/>
              </w:rPr>
              <w:sym w:font="Wingdings 2" w:char="0052"/>
            </w:r>
            <w:r>
              <w:rPr>
                <w:rFonts w:hint="eastAsia" w:ascii="宋体" w:hAnsi="宋体" w:eastAsia="宋体" w:cs="宋体"/>
                <w:color w:val="auto"/>
                <w:sz w:val="21"/>
                <w:highlight w:val="none"/>
              </w:rPr>
              <w:t>服务类/□工程类）采用差额定率累进法计算出收费基准价格，采购代理收费以（</w:t>
            </w:r>
            <w:r>
              <w:rPr>
                <w:rFonts w:hint="eastAsia" w:ascii="宋体" w:hAnsi="宋体" w:eastAsia="宋体" w:cs="宋体"/>
                <w:color w:val="auto"/>
                <w:sz w:val="21"/>
                <w:highlight w:val="none"/>
              </w:rPr>
              <w:sym w:font="Wingdings 2" w:char="0052"/>
            </w:r>
            <w:r>
              <w:rPr>
                <w:rFonts w:hint="eastAsia" w:ascii="宋体" w:hAnsi="宋体" w:eastAsia="宋体" w:cs="宋体"/>
                <w:color w:val="auto"/>
                <w:sz w:val="21"/>
                <w:highlight w:val="none"/>
              </w:rPr>
              <w:t>收费基准价格）收取。</w:t>
            </w:r>
          </w:p>
          <w:p>
            <w:pPr>
              <w:pStyle w:val="12"/>
              <w:snapToGrid w:val="0"/>
              <w:spacing w:line="400" w:lineRule="exact"/>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rPr>
              <w:t>□固定采购代理收费</w:t>
            </w:r>
            <w:r>
              <w:rPr>
                <w:rFonts w:hint="eastAsia" w:ascii="宋体" w:hAnsi="宋体" w:eastAsia="宋体" w:cs="宋体"/>
                <w:color w:val="auto"/>
                <w:sz w:val="21"/>
                <w:highlight w:val="none"/>
                <w:u w:val="single"/>
              </w:rPr>
              <w:t xml:space="preserve">              。</w:t>
            </w:r>
          </w:p>
          <w:p>
            <w:pPr>
              <w:pStyle w:val="12"/>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3.采购代理费收取银行账户</w:t>
            </w:r>
          </w:p>
          <w:p>
            <w:pPr>
              <w:pStyle w:val="12"/>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开户名称：广西建荣工程项目管理有限公司贺州分公司</w:t>
            </w:r>
          </w:p>
          <w:p>
            <w:pPr>
              <w:pStyle w:val="12"/>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开户银行：工行贺州市建设路支行 </w:t>
            </w:r>
          </w:p>
          <w:p>
            <w:pPr>
              <w:pStyle w:val="12"/>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银行账号：2109 3800 0910 0209 443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w:t>
            </w:r>
          </w:p>
        </w:tc>
        <w:tc>
          <w:tcPr>
            <w:tcW w:w="7912" w:type="dxa"/>
            <w:vAlign w:val="center"/>
          </w:tcPr>
          <w:p>
            <w:pPr>
              <w:pStyle w:val="12"/>
              <w:snapToGrid w:val="0"/>
              <w:spacing w:line="400" w:lineRule="exact"/>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w:t>
            </w:r>
          </w:p>
        </w:tc>
        <w:tc>
          <w:tcPr>
            <w:tcW w:w="7912" w:type="dxa"/>
            <w:vAlign w:val="center"/>
          </w:tcPr>
          <w:p>
            <w:pPr>
              <w:pStyle w:val="12"/>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2"/>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2"/>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pPr>
              <w:pStyle w:val="12"/>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4.自然人竞标的，磋商文件规定盖公章处由自然人摁手指指印。</w:t>
            </w:r>
          </w:p>
          <w:p>
            <w:pPr>
              <w:pStyle w:val="12"/>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5.本磋商文件所称的“以上”“以下”“以内”“届满”，包括本数；所称的“不满”“超过”“以外”，不包括本数。</w:t>
            </w:r>
          </w:p>
        </w:tc>
      </w:tr>
    </w:tbl>
    <w:p>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 w:val="32"/>
          <w:szCs w:val="32"/>
          <w:highlight w:val="none"/>
        </w:rPr>
        <w:t>供应商须知正文</w:t>
      </w:r>
    </w:p>
    <w:p>
      <w:pPr>
        <w:spacing w:line="400" w:lineRule="exact"/>
        <w:jc w:val="center"/>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一、总则</w:t>
      </w:r>
    </w:p>
    <w:p>
      <w:pPr>
        <w:spacing w:line="400" w:lineRule="exact"/>
        <w:rPr>
          <w:rFonts w:hint="eastAsia" w:ascii="宋体" w:hAnsi="宋体" w:eastAsia="宋体" w:cs="宋体"/>
          <w:color w:val="auto"/>
          <w:szCs w:val="21"/>
          <w:highlight w:val="none"/>
        </w:rPr>
      </w:pP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2.5“竞标”是指供应商按照本项目竞争性磋商公告规定的方式获取磋商文件、提交响应文件并希望获得标的的行为。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4.竞标费用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bookmarkStart w:id="54" w:name="_Hlk66782192"/>
      <w:r>
        <w:rPr>
          <w:rFonts w:hint="eastAsia" w:ascii="宋体" w:hAnsi="宋体" w:eastAsia="宋体" w:cs="宋体"/>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54"/>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6.1本项目不允许转包。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6.2本项目是否允许分包详见“供应商须知前附表”，</w:t>
      </w:r>
      <w:r>
        <w:rPr>
          <w:rFonts w:hint="eastAsia" w:ascii="宋体" w:hAnsi="宋体" w:eastAsia="宋体" w:cs="宋体"/>
          <w:color w:val="auto"/>
          <w:szCs w:val="21"/>
          <w:highlight w:val="none"/>
          <w:u w:val="single"/>
        </w:rPr>
        <w:t>本项目不允许违法分包。</w:t>
      </w:r>
    </w:p>
    <w:p>
      <w:pPr>
        <w:spacing w:line="360" w:lineRule="auto"/>
        <w:ind w:firstLine="482" w:firstLineChars="200"/>
        <w:rPr>
          <w:rFonts w:hint="eastAsia" w:ascii="宋体" w:hAnsi="宋体" w:eastAsia="宋体" w:cs="宋体"/>
          <w:b/>
          <w:bCs/>
          <w:color w:val="auto"/>
          <w:sz w:val="24"/>
          <w:highlight w:val="none"/>
        </w:rPr>
      </w:pPr>
      <w:bookmarkStart w:id="55" w:name="_Toc254970532"/>
      <w:bookmarkStart w:id="56" w:name="_Toc254970673"/>
      <w:r>
        <w:rPr>
          <w:rFonts w:hint="eastAsia" w:ascii="宋体" w:hAnsi="宋体" w:eastAsia="宋体" w:cs="宋体"/>
          <w:b/>
          <w:bCs/>
          <w:color w:val="auto"/>
          <w:sz w:val="24"/>
          <w:highlight w:val="none"/>
        </w:rPr>
        <w:t>7.特别说明</w:t>
      </w:r>
      <w:bookmarkEnd w:id="55"/>
      <w:bookmarkEnd w:id="56"/>
    </w:p>
    <w:p>
      <w:pPr>
        <w:spacing w:line="360" w:lineRule="auto"/>
        <w:ind w:firstLine="420" w:firstLineChars="200"/>
        <w:rPr>
          <w:rFonts w:hint="eastAsia" w:ascii="宋体" w:hAnsi="宋体" w:eastAsia="宋体" w:cs="宋体"/>
          <w:color w:val="auto"/>
          <w:szCs w:val="21"/>
          <w:highlight w:val="none"/>
        </w:rPr>
      </w:pPr>
      <w:bookmarkStart w:id="57" w:name="_8.1提供相同品牌产品且通过资格审查、符合性审查的不同投标人参加同一合"/>
      <w:bookmarkEnd w:id="57"/>
      <w:r>
        <w:rPr>
          <w:rFonts w:hint="eastAsia" w:ascii="宋体" w:hAnsi="宋体" w:eastAsia="宋体" w:cs="宋体"/>
          <w:color w:val="auto"/>
          <w:szCs w:val="21"/>
          <w:highlight w:val="none"/>
        </w:rPr>
        <w:t>7.1</w:t>
      </w:r>
      <w:bookmarkStart w:id="58"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58"/>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pPr>
        <w:spacing w:line="360" w:lineRule="auto"/>
        <w:jc w:val="center"/>
        <w:rPr>
          <w:rFonts w:hint="eastAsia" w:ascii="宋体" w:hAnsi="宋体" w:eastAsia="宋体" w:cs="宋体"/>
          <w:b/>
          <w:bCs/>
          <w:color w:val="auto"/>
          <w:sz w:val="32"/>
          <w:szCs w:val="32"/>
          <w:highlight w:val="none"/>
        </w:rPr>
      </w:pPr>
      <w:bookmarkStart w:id="59" w:name="_Toc254970675"/>
      <w:bookmarkStart w:id="60" w:name="_Toc254970534"/>
      <w:r>
        <w:rPr>
          <w:rFonts w:hint="eastAsia" w:ascii="宋体" w:hAnsi="宋体" w:eastAsia="宋体" w:cs="宋体"/>
          <w:b/>
          <w:bCs/>
          <w:color w:val="auto"/>
          <w:sz w:val="32"/>
          <w:szCs w:val="32"/>
          <w:highlight w:val="none"/>
        </w:rPr>
        <w:t>二、磋商文件</w:t>
      </w:r>
      <w:bookmarkEnd w:id="59"/>
      <w:bookmarkEnd w:id="60"/>
    </w:p>
    <w:p>
      <w:pPr>
        <w:spacing w:line="360" w:lineRule="auto"/>
        <w:rPr>
          <w:rFonts w:hint="eastAsia" w:ascii="宋体" w:hAnsi="宋体" w:eastAsia="宋体" w:cs="宋体"/>
          <w:color w:val="auto"/>
          <w:szCs w:val="21"/>
          <w:highlight w:val="none"/>
        </w:rPr>
      </w:pP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（2）供应商须知； </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（4）评审程序、评审方法和评审标准；</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（5）响应文件格式；</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（6）合同文本。</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pPr>
        <w:spacing w:line="360" w:lineRule="auto"/>
        <w:rPr>
          <w:rFonts w:hint="eastAsia" w:ascii="宋体" w:hAnsi="宋体" w:eastAsia="宋体" w:cs="宋体"/>
          <w:color w:val="auto"/>
          <w:szCs w:val="21"/>
          <w:highlight w:val="none"/>
        </w:rPr>
      </w:pPr>
    </w:p>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 w:val="32"/>
          <w:szCs w:val="32"/>
          <w:highlight w:val="none"/>
        </w:rPr>
        <w:t>三、响应文件的编制</w:t>
      </w:r>
    </w:p>
    <w:p>
      <w:pPr>
        <w:spacing w:line="360" w:lineRule="auto"/>
        <w:rPr>
          <w:rFonts w:hint="eastAsia" w:ascii="宋体" w:hAnsi="宋体" w:eastAsia="宋体" w:cs="宋体"/>
          <w:color w:val="auto"/>
          <w:szCs w:val="21"/>
          <w:highlight w:val="none"/>
        </w:rPr>
      </w:pP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12.1响应文件由资格证明文件、报价商务技术文件两部分组成。</w:t>
      </w:r>
    </w:p>
    <w:p>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12.1.2报价商务技术文件：详见须知前附表</w:t>
      </w:r>
    </w:p>
    <w:p>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15.竞标报价要求和构成</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15.1竞标报价应按磋商文件中“竞标报价表”格式填写。</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15.2竞标报价的价格构成见“供应商须知前附表”。</w:t>
      </w:r>
    </w:p>
    <w:p>
      <w:pPr>
        <w:spacing w:line="360" w:lineRule="auto"/>
        <w:ind w:left="426" w:leftChars="203"/>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15.3竞标报价要求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15.3.1供应商的竞标报价应符合以下要求，否则响应文件按无效响应处理：</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不得存在漏项报价；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15.3.2竞标报价（包含首次报价、最后报价）超过所竞标分标规定的采购预算金额或者最高限价的，其响应文件将作无效处理。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61" w:name="_Hlk42592874"/>
      <w:r>
        <w:rPr>
          <w:rFonts w:hint="eastAsia" w:ascii="宋体" w:hAnsi="宋体" w:eastAsia="宋体" w:cs="宋体"/>
          <w:color w:val="auto"/>
          <w:szCs w:val="21"/>
          <w:highlight w:val="none"/>
        </w:rPr>
        <w:t>竞标报价（包含首次报价、最后报价）超过分项采购预算金额或者最高限价的，其响应文件将作无效处理。</w:t>
      </w:r>
    </w:p>
    <w:bookmarkEnd w:id="61"/>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17.1供应商须按“供应商须知前附表”的规定提交磋商保证金。</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17.2磋商保证金的退还</w:t>
      </w:r>
    </w:p>
    <w:p>
      <w:pPr>
        <w:spacing w:line="360" w:lineRule="auto"/>
        <w:ind w:firstLine="420" w:firstLineChars="200"/>
        <w:rPr>
          <w:rFonts w:hint="eastAsia" w:ascii="宋体" w:hAnsi="宋体" w:eastAsia="宋体" w:cs="宋体"/>
          <w:color w:val="auto"/>
          <w:szCs w:val="21"/>
          <w:highlight w:val="none"/>
        </w:rPr>
      </w:pPr>
      <w:bookmarkStart w:id="62" w:name="_Hlk66782243"/>
      <w:r>
        <w:rPr>
          <w:rFonts w:hint="eastAsia" w:ascii="宋体" w:hAnsi="宋体" w:eastAsia="宋体" w:cs="宋体"/>
          <w:color w:val="auto"/>
          <w:szCs w:val="21"/>
          <w:highlight w:val="none"/>
        </w:rPr>
        <w:t>未</w:t>
      </w:r>
      <w:r>
        <w:rPr>
          <w:rFonts w:hint="eastAsia" w:ascii="宋体" w:hAnsi="宋体" w:eastAsia="宋体" w:cs="宋体"/>
          <w:color w:val="auto"/>
          <w:spacing w:val="-6"/>
          <w:szCs w:val="21"/>
          <w:highlight w:val="none"/>
        </w:rPr>
        <w:t>成交供应商的竞标保证金自成交通知书发出之日起5个工作日内退还；</w:t>
      </w:r>
      <w:r>
        <w:rPr>
          <w:rFonts w:hint="eastAsia" w:ascii="宋体" w:hAnsi="宋体" w:eastAsia="宋体" w:cs="宋体"/>
          <w:color w:val="auto"/>
          <w:szCs w:val="21"/>
          <w:highlight w:val="none"/>
        </w:rPr>
        <w:t>成交供应商的磋商保证金自签订合同之日起5个工作日内退还。</w:t>
      </w:r>
      <w:bookmarkEnd w:id="62"/>
      <w:r>
        <w:rPr>
          <w:rFonts w:hint="eastAsia" w:ascii="宋体" w:hAnsi="宋体" w:eastAsia="宋体" w:cs="宋体"/>
          <w:color w:val="auto"/>
          <w:szCs w:val="21"/>
          <w:highlight w:val="none"/>
        </w:rPr>
        <w:t xml:space="preserve"> </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17.3磋商保证金不计息。</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17.4供应商有下列情形之一的，磋商保证金将不予退还： </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（3）除因不可抗力或者磋商文件认可的情形以外，成交供应商不与采购人签订合同的；</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（4）供应商与采购人、其他供应商或者采购代理机构恶意串通的；</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（5）磋商文件规定的其他情形。</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18.1响应文件编制要求详见“供应商须知前附表”。供应商应按本采购文件规定的格式和顺序编制、装订响应文件并标注页码，响应文件内容不完整、编排混乱导致响应文件被误读、漏读或者查找不到相关内容的，由此引发的后果由供应商承担。</w:t>
      </w:r>
      <w:bookmarkStart w:id="63" w:name="_19.2投标文件应按报价文件、资格证明文件、商务文件、技术文件分别编制"/>
      <w:bookmarkEnd w:id="63"/>
      <w:r>
        <w:rPr>
          <w:rFonts w:hint="eastAsia" w:ascii="宋体" w:hAnsi="宋体" w:eastAsia="宋体" w:cs="宋体"/>
          <w:color w:val="auto"/>
          <w:szCs w:val="21"/>
          <w:highlight w:val="none"/>
        </w:rPr>
        <w:t xml:space="preserve"> </w:t>
      </w:r>
    </w:p>
    <w:p>
      <w:pPr>
        <w:pStyle w:val="27"/>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18.2响应文件按照采购文件第五章响应文件格式要求在规定位置进行签署、盖章。供应商的响应文件未按照采购文件要求签署、盖章的，</w:t>
      </w:r>
      <w:r>
        <w:rPr>
          <w:rFonts w:hint="eastAsia" w:ascii="宋体" w:hAnsi="宋体" w:eastAsia="宋体" w:cs="宋体"/>
          <w:b/>
          <w:color w:val="auto"/>
          <w:sz w:val="21"/>
          <w:szCs w:val="21"/>
          <w:highlight w:val="none"/>
        </w:rPr>
        <w:t>其响应文件按无效响应处理。</w:t>
      </w:r>
      <w:r>
        <w:rPr>
          <w:rFonts w:hint="eastAsia" w:ascii="宋体" w:hAnsi="宋体" w:eastAsia="宋体" w:cs="宋体"/>
          <w:color w:val="auto"/>
          <w:sz w:val="21"/>
          <w:szCs w:val="21"/>
          <w:highlight w:val="none"/>
        </w:rPr>
        <w:t>骑缝盖公章不视为在规定位置盖章。</w:t>
      </w:r>
    </w:p>
    <w:p>
      <w:pPr>
        <w:pStyle w:val="27"/>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18.3为确保网上操作合法、有效和安全，供应商应当在投标截止时间前完成在“政采云”平台的身份认证，确保在电子投标过程中能够对相关数据电文进行加密和使用电子签名。</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18.4响应文件中标注的供应商名称应与主体资格证明（如营业执照、事业单位法人证书、执业许可证、自然人身份证等）及公章一致，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18.5响应文件应避免涂改、行间插字或者删除，</w:t>
      </w:r>
      <w:r>
        <w:rPr>
          <w:rFonts w:hint="eastAsia" w:ascii="宋体" w:hAnsi="宋体" w:eastAsia="宋体" w:cs="宋体"/>
          <w:b/>
          <w:color w:val="auto"/>
          <w:szCs w:val="21"/>
          <w:highlight w:val="none"/>
        </w:rPr>
        <w:t>否则其投标无效。</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18.6 对采购文件的实质性要求和条件作出响应是指供应商必须对采购文件中标注为实质性要求和条件的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18.7本项目为贺州市电子化项目，异常情况见“供应商须知正文”中“25.3开标程序。</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19.备份响应文件</w:t>
      </w:r>
    </w:p>
    <w:p>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详见在“供应商须知前附表”。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20.1</w:t>
      </w:r>
      <w:r>
        <w:rPr>
          <w:rFonts w:hint="eastAsia" w:ascii="宋体" w:hAnsi="宋体" w:eastAsia="宋体" w:cs="宋体"/>
          <w:bCs/>
          <w:color w:val="auto"/>
          <w:szCs w:val="21"/>
          <w:highlight w:val="none"/>
        </w:rPr>
        <w:t xml:space="preserve">供应商必须在“供应商须知前附表”规定的响应文件接收时间和投标地点提交电子版响应文件。电子响应文件应在制作完成后，在投标截止时间前通过有效数字证书（CA认证锁）进行电子签章、加密，然后通过网络将加密的电子响应文件递交至“政采云平台”。 </w:t>
      </w:r>
    </w:p>
    <w:p>
      <w:pPr>
        <w:spacing w:line="360" w:lineRule="auto"/>
        <w:ind w:firstLine="422" w:firstLineChars="200"/>
        <w:rPr>
          <w:rFonts w:hint="eastAsia" w:ascii="宋体" w:hAnsi="宋体" w:eastAsia="宋体" w:cs="宋体"/>
          <w:b/>
          <w:color w:val="auto"/>
          <w:szCs w:val="20"/>
          <w:highlight w:val="none"/>
        </w:rPr>
      </w:pPr>
      <w:r>
        <w:rPr>
          <w:rFonts w:hint="eastAsia" w:ascii="宋体" w:hAnsi="宋体" w:eastAsia="宋体" w:cs="宋体"/>
          <w:b/>
          <w:color w:val="auto"/>
          <w:szCs w:val="21"/>
          <w:highlight w:val="none"/>
        </w:rPr>
        <w:t>21.2未在规定时间内提交或者未按照招标文件要求密封或者标记的电子响应文件，“政采云”平台将拒收。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21.3电子版响应文件提交方式见“竞争性磋商公告”中“四、提交响应文件截止时间、开标时间和地点”</w:t>
      </w:r>
      <w:r>
        <w:rPr>
          <w:rFonts w:hint="eastAsia" w:ascii="宋体" w:hAnsi="宋体" w:eastAsia="宋体" w:cs="宋体"/>
          <w:b/>
          <w:color w:val="auto"/>
          <w:szCs w:val="21"/>
          <w:highlight w:val="none"/>
        </w:rPr>
        <w:t>。</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360" w:lineRule="auto"/>
        <w:ind w:firstLine="482" w:firstLineChars="200"/>
        <w:rPr>
          <w:rFonts w:hint="eastAsia" w:ascii="宋体" w:hAnsi="宋体" w:eastAsia="宋体" w:cs="宋体"/>
          <w:b/>
          <w:bCs/>
          <w:color w:val="auto"/>
          <w:sz w:val="24"/>
          <w:highlight w:val="none"/>
        </w:rPr>
      </w:pPr>
      <w:bookmarkStart w:id="64" w:name="_Hlk45702405"/>
      <w:r>
        <w:rPr>
          <w:rFonts w:hint="eastAsia" w:ascii="宋体" w:hAnsi="宋体" w:eastAsia="宋体" w:cs="宋体"/>
          <w:b/>
          <w:bCs/>
          <w:color w:val="auto"/>
          <w:sz w:val="24"/>
          <w:highlight w:val="none"/>
        </w:rPr>
        <w:t>22. 首次响应文件的退回</w:t>
      </w:r>
    </w:p>
    <w:p>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22.1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政采云”平台将拒收。（补充、修改或者撤回方式见公告附件“电子响应文件制作与投送教程”）</w:t>
      </w:r>
    </w:p>
    <w:p>
      <w:pPr>
        <w:pStyle w:val="27"/>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22.2“政采云”平台收到响应文件，将妥善保存并即时向供应商发出确认回执通知。在投标截止时间前，除供应商补充、修改或者撤回响应文件外，任何单位和个人不得解密或提取响应文件。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22.3在投标截止时间止提交电子版响应文件的供应商不足3家时，电子版响应文件由代理机构在“政采云”平台操作退回，除此之外采购人和采购代理机构对已提交的响应文件概不退回。</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供应商在首次响应文件提交截止时间后向采购人、采购代理机构书面申请撤回响应文件的，将根据本须知正文17.4的规定不予退还其磋商保证金。</w:t>
      </w:r>
    </w:p>
    <w:bookmarkEnd w:id="64"/>
    <w:p>
      <w:pPr>
        <w:spacing w:line="360" w:lineRule="auto"/>
        <w:rPr>
          <w:rFonts w:hint="eastAsia" w:ascii="宋体" w:hAnsi="宋体" w:eastAsia="宋体" w:cs="宋体"/>
          <w:color w:val="auto"/>
          <w:szCs w:val="21"/>
          <w:highlight w:val="none"/>
        </w:rPr>
      </w:pPr>
    </w:p>
    <w:p>
      <w:pPr>
        <w:spacing w:line="360" w:lineRule="auto"/>
        <w:ind w:left="420" w:firstLine="42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四、评审及磋商</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25.</w:t>
      </w:r>
      <w:r>
        <w:rPr>
          <w:rFonts w:hint="eastAsia" w:ascii="宋体" w:hAnsi="宋体" w:eastAsia="宋体" w:cs="宋体"/>
          <w:color w:val="auto"/>
          <w:sz w:val="24"/>
          <w:highlight w:val="none"/>
        </w:rPr>
        <w:t>开标时间和地点</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25.1开标时间及地点详见“供应商须知前附表”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25.2如</w:t>
      </w:r>
      <w:r>
        <w:rPr>
          <w:rFonts w:hint="eastAsia" w:ascii="宋体" w:hAnsi="宋体" w:eastAsia="宋体" w:cs="宋体"/>
          <w:bCs/>
          <w:color w:val="auto"/>
          <w:highlight w:val="none"/>
        </w:rPr>
        <w:t>供应商成功解密响应文件，但未在“政采云”电子开标大厅参加开标的，视同认可开标过程和结果，</w:t>
      </w:r>
      <w:r>
        <w:rPr>
          <w:rFonts w:hint="eastAsia" w:ascii="宋体" w:hAnsi="宋体" w:eastAsia="宋体" w:cs="宋体"/>
          <w:color w:val="auto"/>
          <w:highlight w:val="none"/>
        </w:rPr>
        <w:t>由此产生的后果由供应商自行负责。 供应商不足3家的，不得开标。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25.3开标程序</w:t>
      </w:r>
    </w:p>
    <w:p>
      <w:pPr>
        <w:autoSpaceDE w:val="0"/>
        <w:autoSpaceDN w:val="0"/>
        <w:adjustRightIn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25.3.1</w:t>
      </w:r>
      <w:r>
        <w:rPr>
          <w:rFonts w:hint="eastAsia" w:ascii="宋体" w:hAnsi="宋体" w:eastAsia="宋体" w:cs="宋体"/>
          <w:color w:val="auto"/>
          <w:kern w:val="0"/>
          <w:szCs w:val="21"/>
          <w:highlight w:val="none"/>
        </w:rPr>
        <w:t>开标形式：</w:t>
      </w:r>
    </w:p>
    <w:p>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开标的准备工作由采购代理机构负责落实，采购代理机构必须基于“政采云”平台选取评审专家，如采购代理机构未按规定选取专家的，视为本次开评标无效，应当重新采购；</w:t>
      </w:r>
    </w:p>
    <w:p>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购代理机构将按照采购文件规定的时间通过“政采云”平台组织线上开标活动、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25.3.2开标程序：</w:t>
      </w:r>
    </w:p>
    <w:p>
      <w:pPr>
        <w:pStyle w:val="12"/>
        <w:snapToGrid w:val="0"/>
        <w:spacing w:line="440" w:lineRule="exact"/>
        <w:ind w:firstLine="402" w:firstLineChars="200"/>
        <w:rPr>
          <w:rFonts w:hint="eastAsia" w:ascii="宋体" w:hAnsi="宋体" w:eastAsia="宋体" w:cs="宋体"/>
          <w:color w:val="auto"/>
          <w:highlight w:val="none"/>
        </w:rPr>
      </w:pPr>
      <w:r>
        <w:rPr>
          <w:rFonts w:hint="eastAsia" w:ascii="宋体" w:hAnsi="宋体" w:eastAsia="宋体" w:cs="宋体"/>
          <w:b/>
          <w:color w:val="auto"/>
          <w:highlight w:val="none"/>
        </w:rPr>
        <w:t>（1）解密电子响应文件。“</w:t>
      </w:r>
      <w:r>
        <w:rPr>
          <w:rFonts w:hint="eastAsia" w:ascii="宋体" w:hAnsi="宋体" w:eastAsia="宋体" w:cs="宋体"/>
          <w:color w:val="auto"/>
          <w:highlight w:val="none"/>
        </w:rPr>
        <w:t>政采云”平台按开标时间自动提取所有响应文件。采购代理机构依托“政采云”平台向各供应商发出电子加密响应文件【开始解密】通知，由供应商按采购文件规定的时间内自行进行响应文件解密。供应商的法定代表人或其委托代理人</w:t>
      </w:r>
      <w:r>
        <w:rPr>
          <w:rFonts w:hint="eastAsia" w:ascii="宋体" w:hAnsi="宋体" w:eastAsia="宋体" w:cs="宋体"/>
          <w:b/>
          <w:color w:val="auto"/>
          <w:highlight w:val="none"/>
        </w:rPr>
        <w:t>须携带加密时所用的CA锁准时登录到“政采云”平台电子开标大厅签到并对电子响应文件解密</w:t>
      </w:r>
      <w:r>
        <w:rPr>
          <w:rFonts w:hint="eastAsia" w:ascii="宋体" w:hAnsi="宋体" w:eastAsia="宋体" w:cs="宋体"/>
          <w:color w:val="auto"/>
          <w:highlight w:val="none"/>
        </w:rPr>
        <w:t>。开标后5分钟供应商还未进行解密的，代理机构要通知供应商。通知后，响应文件仍未按时解密，或者供应商没预留联系方式或预留联系方式无效，导致代理机构无法联系到供应商进行解密的，</w:t>
      </w:r>
      <w:r>
        <w:rPr>
          <w:rFonts w:hint="eastAsia" w:ascii="宋体" w:hAnsi="宋体" w:eastAsia="宋体" w:cs="宋体"/>
          <w:b/>
          <w:color w:val="auto"/>
          <w:highlight w:val="none"/>
        </w:rPr>
        <w:t>均视为无效投标。</w:t>
      </w:r>
    </w:p>
    <w:p>
      <w:pPr>
        <w:pStyle w:val="12"/>
        <w:snapToGrid w:val="0"/>
        <w:spacing w:line="44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（解密</w:t>
      </w:r>
      <w:r>
        <w:rPr>
          <w:rFonts w:hint="eastAsia" w:ascii="宋体" w:hAnsi="宋体" w:eastAsia="宋体" w:cs="宋体"/>
          <w:bCs/>
          <w:color w:val="auto"/>
          <w:highlight w:val="none"/>
        </w:rPr>
        <w:t>异常情况处理：详见本章26.4评标方法及评标标准（3）</w:t>
      </w:r>
      <w:r>
        <w:rPr>
          <w:rFonts w:hint="eastAsia" w:ascii="宋体" w:hAnsi="宋体" w:eastAsia="宋体" w:cs="宋体"/>
          <w:color w:val="auto"/>
          <w:highlight w:val="none"/>
        </w:rPr>
        <w:t>电子交易活动的中止。）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color w:val="auto"/>
          <w:szCs w:val="21"/>
          <w:highlight w:val="none"/>
        </w:rPr>
        <w:t>电子唱标。</w:t>
      </w:r>
      <w:r>
        <w:rPr>
          <w:rFonts w:hint="eastAsia" w:ascii="宋体" w:hAnsi="宋体" w:eastAsia="宋体" w:cs="宋体"/>
          <w:color w:val="auto"/>
          <w:szCs w:val="21"/>
          <w:highlight w:val="none"/>
        </w:rPr>
        <w:t>响应文件解密结束，各投标供应商报价均在“政采云”平台远程不见面开标大厅展示；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color w:val="auto"/>
          <w:szCs w:val="21"/>
          <w:highlight w:val="none"/>
        </w:rPr>
        <w:t>签署电子《政府采购活动现场确认声明书》。</w:t>
      </w:r>
      <w:r>
        <w:rPr>
          <w:rFonts w:hint="eastAsia" w:ascii="宋体" w:hAnsi="宋体" w:eastAsia="宋体" w:cs="宋体"/>
          <w:color w:val="auto"/>
          <w:szCs w:val="21"/>
          <w:highlight w:val="none"/>
        </w:rPr>
        <w:t>通过邮件形式在远程不见面开标大厅发送各供应商签署电子《政府采购活动现场确认声明书》。</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（4）开标过程由采购代理机构如实记录，并电子留痕，由参加电子开标的各供应商代表对电子开标记录在开标记录公布后15分钟内进行当场校核及勘误，并线上确认，未确认的视同认可开标结果。</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供应商代表对开标过程和开标记录有疑义，以及认为采购人、采购代理机构相关工作人员有需要回避的情形的，应当场提出在线询问或者回避申请。采购人、采购代理机构对供应商代表提出的询问或者回避申请应当及时处理。</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（6）开标结束。</w:t>
      </w:r>
    </w:p>
    <w:p>
      <w:pPr>
        <w:pStyle w:val="12"/>
        <w:snapToGrid w:val="0"/>
        <w:spacing w:line="440" w:lineRule="exact"/>
        <w:ind w:firstLine="402" w:firstLineChars="200"/>
        <w:rPr>
          <w:rFonts w:hint="eastAsia" w:ascii="宋体" w:hAnsi="宋体" w:eastAsia="宋体" w:cs="宋体"/>
          <w:color w:val="auto"/>
          <w:highlight w:val="none"/>
        </w:rPr>
      </w:pPr>
      <w:r>
        <w:rPr>
          <w:rFonts w:hint="eastAsia" w:ascii="宋体" w:hAnsi="宋体" w:eastAsia="宋体" w:cs="宋体"/>
          <w:b/>
          <w:bCs/>
          <w:color w:val="auto"/>
          <w:highlight w:val="none"/>
        </w:rPr>
        <w:t>特别说明：</w:t>
      </w:r>
      <w:r>
        <w:rPr>
          <w:rFonts w:hint="eastAsia" w:ascii="宋体" w:hAnsi="宋体" w:eastAsia="宋体" w:cs="宋体"/>
          <w:color w:val="auto"/>
          <w:highlight w:val="none"/>
        </w:rPr>
        <w:t>如遇“政采云”平台电子化开标或评审程序调整的，按调整后执行。</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26.1本项目的评审方法为综合评分法。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26.2磋商小组按照“第四章 评审程序、评审方法和评审标准”规定的方法、评审因素、标准和程序对响应文件进行评审。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26.3评标原则</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评标原则。磋商小组评标时必须公平、公正、客观，不带任何倾向性和启发性；不得向外界透露任何与评标有关的内容；任何单位和个人不得干扰、影响评标的正常进行；磋商小组及有关工作人员不得私下与供应商接触，不得收受利害关系人的财物或者其他好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评委表决。在评标过程中出现法律法规和采购文件均没有明确规定的情形时，由磋商小组现场协商解决，协商不一致的，由全体评委投票表决，以得票率二分之一以上专家的意见为准并由采购代理机构作记录。</w:t>
      </w:r>
      <w:bookmarkStart w:id="65" w:name="_28.3评标方法。本项目将按须知前附表规定的评标办法进行评标，具体评标"/>
      <w:bookmarkEnd w:id="65"/>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（4）评标过程的监控。本项目电子评标过程实行网上留痕、全程录音、录像监控，供应商在评标过程中所进行的试图影响评标结果的不公正活动，可能导致其投标按无效处理。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26.4评标方法及评标标准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（1）本项目的评标方法详见</w:t>
      </w:r>
      <w:r>
        <w:rPr>
          <w:rFonts w:hint="eastAsia" w:ascii="宋体" w:hAnsi="宋体" w:eastAsia="宋体" w:cs="宋体"/>
          <w:b/>
          <w:bCs/>
          <w:color w:val="auto"/>
          <w:highlight w:val="none"/>
        </w:rPr>
        <w:t>“供应商须知前附表”。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（2）磋商小组按照</w:t>
      </w:r>
      <w:r>
        <w:rPr>
          <w:rFonts w:hint="eastAsia" w:ascii="宋体" w:hAnsi="宋体" w:eastAsia="宋体" w:cs="宋体"/>
          <w:b/>
          <w:color w:val="auto"/>
          <w:highlight w:val="none"/>
        </w:rPr>
        <w:t>“第四章 评审程序、评审方法和评审标准”</w:t>
      </w:r>
      <w:r>
        <w:rPr>
          <w:rFonts w:hint="eastAsia" w:ascii="宋体" w:hAnsi="宋体" w:eastAsia="宋体" w:cs="宋体"/>
          <w:color w:val="auto"/>
          <w:highlight w:val="none"/>
        </w:rPr>
        <w:t>规定的方法、评审因素、标准和程序对响应文件进行评审。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电子交易活动的中止。采购过程中出现以下情形，导致电子交易平台无法正常运行，或者无法保证电子交易的公平、公正和安全时，采购机构可中止电子交易活动：</w:t>
      </w:r>
    </w:p>
    <w:p>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5）其他无法保证电子交易的公平、公正和安全的情况。</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w:t>
      </w: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6"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66"/>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 履约保证金的金额、提交方式、退付的时间和条件详见 “供应商须知前附表”。成交供应商未按规定提交履约保证金的，视为拒绝</w:t>
      </w:r>
      <w:r>
        <w:rPr>
          <w:rFonts w:hint="eastAsia" w:ascii="宋体" w:hAnsi="宋体" w:eastAsia="宋体" w:cs="宋体"/>
          <w:color w:val="auto"/>
          <w:highlight w:val="none"/>
        </w:rPr>
        <w:t>与采购人</w:t>
      </w:r>
      <w:r>
        <w:rPr>
          <w:rFonts w:hint="eastAsia" w:ascii="宋体" w:hAnsi="宋体" w:eastAsia="宋体" w:cs="宋体"/>
          <w:color w:val="auto"/>
          <w:szCs w:val="21"/>
          <w:highlight w:val="none"/>
        </w:rPr>
        <w:t>签订合同，采购人可以按照评审报告推荐的成交候选人名单排序，确定下一候选人为成交供应商，也可以重新开展政府采购活动。</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28.2签订合同后，如成交供应商不按双方签订的合同规定履约，则没收其全部履约保证金，履约保证金不足以赔偿损失的，按实际损失赔偿。</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28.3在履约保证金退还日期前，若成交供应商的开户名称、开户银行、帐号有变动的，请以书面形式通知履约保证金收取单位，否则由此产生的后果由成交供应商自行承担。</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29.1成交供应商在收到成交通知书后，应当在签订合同时向采购人出示相关证明材料，具体内容详见 “供应商须知前附表”，经采购人核验合格后方可签订合同。</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签订合同时间：按成交通知书规定的时间与采购人签订政府采购合同。</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32.其他内容</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32.1代理服务收费标准及缴费账户详见“供应商须知前附表”，供应商为联合体的，可以由联合体中的一方或者多方共同交纳代理服务费。</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32.2代理服务费收费计算标准：</w:t>
      </w:r>
    </w:p>
    <w:tbl>
      <w:tblPr>
        <w:tblStyle w:val="21"/>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vAlign w:val="center"/>
          </w:tcPr>
          <w:p>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例如：某服务采购代理业务成交金额或者暂定价为150万元，计算采购代理收费额如下：</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100 万元 ×l.5 %＝ 1.5 万元</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150 － 100 ）万元 ×0.8%＝ 0.4万元</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合计收费＝ 1.5 ＋ 0.4＝ 1.9 万元</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33.需要补充的其他内容</w:t>
      </w:r>
    </w:p>
    <w:p>
      <w:pPr>
        <w:pStyle w:val="12"/>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33.1本磋商文件解释规则详见“供应商须知前附表”。</w:t>
      </w:r>
    </w:p>
    <w:p>
      <w:pPr>
        <w:pStyle w:val="12"/>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33.2 其他事项详见“供应商须知前附表”。</w:t>
      </w:r>
    </w:p>
    <w:p>
      <w:pPr>
        <w:pStyle w:val="12"/>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33.3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kern w:val="2"/>
          <w:sz w:val="21"/>
          <w:highlight w:val="none"/>
        </w:rPr>
        <w:t>，享受本文件规定的中小企业扶持政策。</w:t>
      </w:r>
    </w:p>
    <w:p>
      <w:pPr>
        <w:pStyle w:val="12"/>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依据本文件规定享受扶持政策获得政府采购合同的，小微企业不得将合同分包给大中型企业，中型企业不得将合同分包给大型企业。</w:t>
      </w:r>
    </w:p>
    <w:p>
      <w:pPr>
        <w:spacing w:line="360" w:lineRule="auto"/>
        <w:ind w:firstLine="420" w:firstLineChars="200"/>
        <w:rPr>
          <w:rFonts w:hint="eastAsia" w:ascii="宋体" w:hAnsi="宋体" w:eastAsia="宋体" w:cs="宋体"/>
          <w:color w:val="auto"/>
          <w:kern w:val="2"/>
          <w:sz w:val="21"/>
          <w:highlight w:val="none"/>
        </w:rPr>
      </w:pPr>
    </w:p>
    <w:p>
      <w:pPr>
        <w:spacing w:line="360" w:lineRule="auto"/>
        <w:ind w:firstLine="420" w:firstLineChars="200"/>
        <w:rPr>
          <w:rFonts w:hint="eastAsia" w:ascii="宋体" w:hAnsi="宋体" w:eastAsia="宋体" w:cs="宋体"/>
          <w:color w:val="auto"/>
          <w:kern w:val="2"/>
          <w:sz w:val="21"/>
          <w:highlight w:val="none"/>
        </w:rPr>
      </w:pPr>
    </w:p>
    <w:p>
      <w:pPr>
        <w:spacing w:line="360" w:lineRule="auto"/>
        <w:ind w:firstLine="420" w:firstLineChars="200"/>
        <w:rPr>
          <w:rFonts w:hint="eastAsia" w:ascii="宋体" w:hAnsi="宋体" w:eastAsia="宋体" w:cs="宋体"/>
          <w:color w:val="auto"/>
          <w:kern w:val="2"/>
          <w:sz w:val="21"/>
          <w:highlight w:val="none"/>
        </w:rPr>
      </w:pPr>
    </w:p>
    <w:p>
      <w:pPr>
        <w:spacing w:line="360" w:lineRule="auto"/>
        <w:ind w:firstLine="420" w:firstLineChars="200"/>
        <w:rPr>
          <w:rFonts w:hint="eastAsia" w:ascii="宋体" w:hAnsi="宋体" w:eastAsia="宋体" w:cs="宋体"/>
          <w:color w:val="auto"/>
          <w:kern w:val="2"/>
          <w:sz w:val="21"/>
          <w:highlight w:val="none"/>
        </w:rPr>
      </w:pPr>
    </w:p>
    <w:p>
      <w:pPr>
        <w:spacing w:line="360" w:lineRule="auto"/>
        <w:ind w:firstLine="420" w:firstLineChars="200"/>
        <w:rPr>
          <w:rFonts w:hint="eastAsia" w:ascii="宋体" w:hAnsi="宋体" w:eastAsia="宋体" w:cs="宋体"/>
          <w:color w:val="auto"/>
          <w:kern w:val="2"/>
          <w:sz w:val="21"/>
          <w:highlight w:val="none"/>
        </w:rPr>
      </w:pPr>
    </w:p>
    <w:p>
      <w:pPr>
        <w:spacing w:line="360" w:lineRule="auto"/>
        <w:ind w:firstLine="420" w:firstLineChars="200"/>
        <w:rPr>
          <w:rFonts w:hint="eastAsia" w:ascii="宋体" w:hAnsi="宋体" w:eastAsia="宋体" w:cs="宋体"/>
          <w:color w:val="auto"/>
          <w:kern w:val="2"/>
          <w:sz w:val="21"/>
          <w:highlight w:val="none"/>
        </w:rPr>
      </w:pPr>
    </w:p>
    <w:p>
      <w:pPr>
        <w:spacing w:line="360" w:lineRule="auto"/>
        <w:ind w:firstLine="640" w:firstLineChars="200"/>
        <w:rPr>
          <w:rFonts w:hint="eastAsia" w:ascii="宋体" w:hAnsi="宋体" w:eastAsia="宋体" w:cs="宋体"/>
          <w:color w:val="auto"/>
          <w:highlight w:val="none"/>
        </w:rPr>
      </w:pPr>
      <w:r>
        <w:rPr>
          <w:rFonts w:hint="eastAsia" w:ascii="宋体" w:hAnsi="宋体" w:eastAsia="宋体" w:cs="宋体"/>
          <w:bCs/>
          <w:color w:val="auto"/>
          <w:sz w:val="32"/>
          <w:szCs w:val="32"/>
          <w:highlight w:val="none"/>
        </w:rPr>
        <w:t>附件1：</w:t>
      </w:r>
    </w:p>
    <w:p>
      <w:pPr>
        <w:widowControl/>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广西壮族自治区政府采购项目合同验收书（格式）</w:t>
      </w:r>
    </w:p>
    <w:p>
      <w:pPr>
        <w:widowControl/>
        <w:shd w:val="clear" w:color="auto" w:fill="FFFFFF"/>
        <w:spacing w:line="480" w:lineRule="atLeast"/>
        <w:jc w:val="center"/>
        <w:rPr>
          <w:rFonts w:hint="eastAsia" w:ascii="宋体" w:hAnsi="宋体" w:eastAsia="宋体" w:cs="宋体"/>
          <w:color w:val="auto"/>
          <w:kern w:val="0"/>
          <w:sz w:val="32"/>
          <w:szCs w:val="32"/>
          <w:highlight w:val="none"/>
        </w:rPr>
      </w:pPr>
    </w:p>
    <w:p>
      <w:pPr>
        <w:widowControl/>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政府采购项目成交供应商（</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1"/>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自行验收</w:t>
            </w: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合计大写金额：仟佰拾万仟佰拾元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监督人员或者其他相关人员签字：</w:t>
            </w:r>
          </w:p>
          <w:p>
            <w:pPr>
              <w:widowControl/>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成交供应商负责人签字或者盖章：</w:t>
            </w:r>
          </w:p>
          <w:p>
            <w:pPr>
              <w:widowControl/>
              <w:spacing w:before="100" w:beforeAutospacing="1" w:after="100" w:afterAutospacing="1" w:line="320" w:lineRule="atLeast"/>
              <w:jc w:val="left"/>
              <w:rPr>
                <w:rFonts w:hint="eastAsia" w:ascii="宋体" w:hAnsi="宋体" w:eastAsia="宋体" w:cs="宋体"/>
                <w:color w:val="auto"/>
                <w:kern w:val="0"/>
                <w:szCs w:val="21"/>
                <w:highlight w:val="none"/>
              </w:rPr>
            </w:pPr>
          </w:p>
          <w:p>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联系电话：年月日</w:t>
            </w:r>
          </w:p>
        </w:tc>
        <w:tc>
          <w:tcPr>
            <w:tcW w:w="4293"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p>
          <w:p>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联系电话：年月日</w:t>
            </w:r>
          </w:p>
        </w:tc>
      </w:tr>
    </w:tbl>
    <w:p>
      <w:pPr>
        <w:pStyle w:val="12"/>
        <w:snapToGrid w:val="0"/>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附件2：</w:t>
      </w: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政府采购项目履约保证金退付意见书</w:t>
      </w:r>
    </w:p>
    <w:p>
      <w:pPr>
        <w:jc w:val="center"/>
        <w:rPr>
          <w:rFonts w:hint="eastAsia" w:ascii="宋体" w:hAnsi="宋体" w:eastAsia="宋体" w:cs="宋体"/>
          <w:color w:val="auto"/>
          <w:sz w:val="36"/>
          <w:szCs w:val="36"/>
          <w:highlight w:val="none"/>
        </w:rPr>
      </w:pPr>
    </w:p>
    <w:tbl>
      <w:tblPr>
        <w:tblStyle w:val="21"/>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应</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申</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请</w:t>
            </w:r>
          </w:p>
        </w:tc>
        <w:tc>
          <w:tcPr>
            <w:tcW w:w="8009"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rPr>
                <w:rFonts w:hint="eastAsia" w:ascii="宋体" w:hAnsi="宋体" w:eastAsia="宋体" w:cs="宋体"/>
                <w:color w:val="auto"/>
                <w:sz w:val="24"/>
                <w:highlight w:val="none"/>
              </w:rPr>
            </w:pPr>
          </w:p>
        </w:tc>
        <w:tc>
          <w:tcPr>
            <w:tcW w:w="8009"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pPr>
              <w:rPr>
                <w:rFonts w:hint="eastAsia" w:ascii="宋体" w:hAnsi="宋体" w:eastAsia="宋体" w:cs="宋体"/>
                <w:color w:val="auto"/>
                <w:sz w:val="24"/>
                <w:highlight w:val="none"/>
              </w:rPr>
            </w:pPr>
          </w:p>
        </w:tc>
        <w:tc>
          <w:tcPr>
            <w:tcW w:w="8009" w:type="dxa"/>
          </w:tcPr>
          <w:p>
            <w:pPr>
              <w:rPr>
                <w:rFonts w:hint="eastAsia" w:ascii="宋体" w:hAnsi="宋体" w:eastAsia="宋体" w:cs="宋体"/>
                <w:color w:val="auto"/>
                <w:sz w:val="24"/>
                <w:highlight w:val="none"/>
              </w:rPr>
            </w:pPr>
          </w:p>
          <w:p>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该项目已于年月日验收并交付使用。根据合同规定，该项目的履约保证金期限于年月日已满，请将履约保证金</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（大写）¥（小写）退付到达以下帐户。</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帐号：</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w:t>
            </w:r>
          </w:p>
          <w:p>
            <w:pP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供应商签章：</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购</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位</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意</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w:t>
            </w:r>
          </w:p>
        </w:tc>
        <w:tc>
          <w:tcPr>
            <w:tcW w:w="8009"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退付意见：是否同意退付履约保证金及退付金额：</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w:t>
            </w:r>
          </w:p>
          <w:p>
            <w:pPr>
              <w:rPr>
                <w:rFonts w:hint="eastAsia" w:ascii="宋体" w:hAnsi="宋体" w:eastAsia="宋体" w:cs="宋体"/>
                <w:color w:val="auto"/>
                <w:sz w:val="24"/>
                <w:highlight w:val="none"/>
              </w:rPr>
            </w:pPr>
          </w:p>
          <w:p>
            <w:pPr>
              <w:ind w:firstLine="4560" w:firstLineChars="19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采购人签章：</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8009" w:type="dxa"/>
          </w:tcPr>
          <w:p>
            <w:pPr>
              <w:rPr>
                <w:rFonts w:hint="eastAsia" w:ascii="宋体" w:hAnsi="宋体" w:eastAsia="宋体" w:cs="宋体"/>
                <w:color w:val="auto"/>
                <w:sz w:val="24"/>
                <w:highlight w:val="none"/>
              </w:rPr>
            </w:pPr>
          </w:p>
        </w:tc>
      </w:tr>
    </w:tbl>
    <w:p>
      <w:pPr>
        <w:pStyle w:val="2"/>
        <w:ind w:left="1" w:firstLine="2" w:firstLineChars="1"/>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注：供应商凭经采购人审批的退付意见书到履约保证金收取单位财务部门办理履约保证金退付事宜。</w:t>
      </w:r>
    </w:p>
    <w:p>
      <w:pPr>
        <w:pStyle w:val="12"/>
        <w:snapToGrid w:val="0"/>
        <w:spacing w:before="120" w:after="120"/>
        <w:rPr>
          <w:rFonts w:hint="eastAsia" w:ascii="宋体" w:hAnsi="宋体" w:eastAsia="宋体" w:cs="宋体"/>
          <w:color w:val="auto"/>
          <w:highlight w:val="none"/>
        </w:rPr>
      </w:pPr>
    </w:p>
    <w:p>
      <w:pPr>
        <w:pStyle w:val="12"/>
        <w:spacing w:line="360" w:lineRule="auto"/>
        <w:ind w:firstLine="420" w:firstLineChars="200"/>
        <w:textAlignment w:val="center"/>
        <w:rPr>
          <w:rFonts w:hint="eastAsia" w:ascii="宋体" w:hAnsi="宋体" w:eastAsia="宋体" w:cs="宋体"/>
          <w:color w:val="auto"/>
          <w:kern w:val="2"/>
          <w:sz w:val="21"/>
          <w:highlight w:val="none"/>
        </w:rPr>
      </w:pPr>
    </w:p>
    <w:p>
      <w:pPr>
        <w:spacing w:line="360" w:lineRule="auto"/>
        <w:ind w:firstLine="422" w:firstLineChars="200"/>
        <w:rPr>
          <w:rFonts w:hint="eastAsia" w:ascii="宋体" w:hAnsi="宋体" w:eastAsia="宋体" w:cs="宋体"/>
          <w:b/>
          <w:color w:val="auto"/>
          <w:sz w:val="32"/>
          <w:szCs w:val="32"/>
          <w:highlight w:val="none"/>
        </w:rPr>
      </w:pPr>
      <w:r>
        <w:rPr>
          <w:rFonts w:hint="eastAsia" w:ascii="宋体" w:hAnsi="宋体" w:eastAsia="宋体" w:cs="宋体"/>
          <w:b/>
          <w:color w:val="auto"/>
          <w:highlight w:val="none"/>
        </w:rPr>
        <w:br w:type="page"/>
      </w:r>
    </w:p>
    <w:p>
      <w:pPr>
        <w:pStyle w:val="4"/>
        <w:numPr>
          <w:ilvl w:val="0"/>
          <w:numId w:val="3"/>
        </w:numPr>
        <w:jc w:val="center"/>
        <w:rPr>
          <w:rFonts w:hint="eastAsia" w:ascii="宋体" w:hAnsi="宋体" w:eastAsia="宋体" w:cs="宋体"/>
          <w:color w:val="auto"/>
          <w:highlight w:val="none"/>
        </w:rPr>
      </w:pPr>
      <w:bookmarkStart w:id="67" w:name="_Toc44229895"/>
      <w:r>
        <w:rPr>
          <w:rFonts w:hint="eastAsia" w:ascii="宋体" w:hAnsi="宋体" w:eastAsia="宋体" w:cs="宋体"/>
          <w:color w:val="auto"/>
          <w:highlight w:val="none"/>
        </w:rPr>
        <w:t>采购需求</w:t>
      </w:r>
      <w:bookmarkEnd w:id="67"/>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为落实政府采购政策需满足的要求（根据项目实际情况填写内容）</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（1）本竞争性磋商采购文件所称中小企业必须符合《政府采购促进中小企业发展管理办法》（财库〔2020〕46号）的规定。</w:t>
      </w:r>
    </w:p>
    <w:p>
      <w:pPr>
        <w:tabs>
          <w:tab w:val="left" w:pos="180"/>
          <w:tab w:val="left" w:pos="1620"/>
        </w:tabs>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项目中伴随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pPr>
        <w:spacing w:line="360" w:lineRule="auto"/>
        <w:ind w:firstLine="426" w:firstLineChars="202"/>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2.“实质性要求”是指采购需求中带“▲”的条款或者不能负偏离的条款或者已经指明不满足按响应文件作无效处理的条款。</w:t>
      </w:r>
    </w:p>
    <w:p>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3.采购需求中出现的品牌、型号或者生产供应商仅起参考作用，不属于指定品牌、型号或者生产供应商的情形。供应商可参照或者选用其他相当的品牌、型号或者生产供应商替代。</w:t>
      </w:r>
    </w:p>
    <w:p>
      <w:pPr>
        <w:spacing w:line="360" w:lineRule="auto"/>
        <w:ind w:firstLine="426" w:firstLineChars="202"/>
        <w:jc w:val="left"/>
        <w:rPr>
          <w:rFonts w:hint="eastAsia" w:ascii="宋体" w:hAnsi="宋体" w:eastAsia="宋体" w:cs="宋体"/>
          <w:color w:val="auto"/>
          <w:highlight w:val="none"/>
        </w:rPr>
      </w:pPr>
      <w:r>
        <w:rPr>
          <w:rFonts w:hint="eastAsia" w:ascii="宋体" w:hAnsi="宋体" w:eastAsia="宋体" w:cs="宋体"/>
          <w:b/>
          <w:bCs/>
          <w:color w:val="auto"/>
          <w:szCs w:val="21"/>
          <w:highlight w:val="none"/>
        </w:rPr>
        <w:t>4.供应商应根据自身实际情况如实响应竞争性磋商文件，不得仅将竞争性磋商文件内容简单复制粘贴作为竞标响应，还应当提供相关证明材料，否则将作无效响应处理（定制采购项目不适用本条款）。</w:t>
      </w:r>
      <w:r>
        <w:rPr>
          <w:rFonts w:hint="eastAsia" w:ascii="宋体" w:hAnsi="宋体" w:eastAsia="宋体" w:cs="宋体"/>
          <w:b/>
          <w:bCs/>
          <w:color w:val="auto"/>
          <w:highlight w:val="none"/>
        </w:rPr>
        <w:t>对于重要技术条款或技术参数应当在响应文件中提供技术支持资料，技术支持资料以竞争性磋商文件中规定的形式为准，否则将视为无效技术支持资料。</w:t>
      </w:r>
    </w:p>
    <w:p>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highlight w:val="none"/>
        </w:rPr>
        <w:t>供应商必须自行为其竞标产品侵犯他人的知识产权或者专利成果的行为承担相应法律责任。</w:t>
      </w:r>
    </w:p>
    <w:p>
      <w:pPr>
        <w:tabs>
          <w:tab w:val="left" w:pos="180"/>
          <w:tab w:val="left" w:pos="1620"/>
        </w:tabs>
        <w:spacing w:line="360" w:lineRule="auto"/>
        <w:ind w:firstLine="422" w:firstLineChars="200"/>
        <w:rPr>
          <w:rFonts w:hint="eastAsia" w:ascii="宋体" w:hAnsi="宋体" w:eastAsia="宋体" w:cs="宋体"/>
          <w:b/>
          <w:bCs/>
          <w:color w:val="auto"/>
          <w:szCs w:val="21"/>
          <w:highlight w:val="none"/>
        </w:rPr>
      </w:pPr>
    </w:p>
    <w:p>
      <w:pPr>
        <w:tabs>
          <w:tab w:val="left" w:pos="180"/>
          <w:tab w:val="left" w:pos="1620"/>
        </w:tabs>
        <w:spacing w:line="360" w:lineRule="auto"/>
        <w:ind w:firstLine="422" w:firstLineChars="20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 w:val="28"/>
          <w:szCs w:val="28"/>
          <w:highlight w:val="none"/>
        </w:rPr>
        <w:t>一、采购项目需求一览表</w:t>
      </w:r>
    </w:p>
    <w:p>
      <w:pPr>
        <w:pStyle w:val="7"/>
        <w:rPr>
          <w:rFonts w:hint="eastAsia" w:ascii="宋体" w:hAnsi="宋体" w:eastAsia="宋体" w:cs="宋体"/>
          <w:color w:val="auto"/>
          <w:highlight w:val="none"/>
        </w:rPr>
      </w:pPr>
    </w:p>
    <w:tbl>
      <w:tblPr>
        <w:tblStyle w:val="21"/>
        <w:tblW w:w="9597"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958"/>
        <w:gridCol w:w="3622"/>
        <w:gridCol w:w="999"/>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11" w:type="dxa"/>
            <w:vAlign w:val="center"/>
          </w:tcPr>
          <w:p>
            <w:pPr>
              <w:pStyle w:val="12"/>
              <w:spacing w:line="380" w:lineRule="exact"/>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2958" w:type="dxa"/>
            <w:vAlign w:val="center"/>
          </w:tcPr>
          <w:p>
            <w:pPr>
              <w:pStyle w:val="12"/>
              <w:spacing w:line="380" w:lineRule="exact"/>
              <w:ind w:firstLine="422"/>
              <w:jc w:val="center"/>
              <w:rPr>
                <w:rFonts w:hint="eastAsia" w:ascii="宋体" w:hAnsi="宋体" w:eastAsia="宋体" w:cs="宋体"/>
                <w:b/>
                <w:color w:val="auto"/>
                <w:highlight w:val="none"/>
              </w:rPr>
            </w:pPr>
            <w:r>
              <w:rPr>
                <w:rFonts w:hint="eastAsia" w:ascii="宋体" w:hAnsi="宋体" w:eastAsia="宋体" w:cs="宋体"/>
                <w:b/>
                <w:color w:val="auto"/>
                <w:highlight w:val="none"/>
              </w:rPr>
              <w:t>服务项目名称</w:t>
            </w:r>
          </w:p>
        </w:tc>
        <w:tc>
          <w:tcPr>
            <w:tcW w:w="3622" w:type="dxa"/>
            <w:vAlign w:val="center"/>
          </w:tcPr>
          <w:p>
            <w:pPr>
              <w:pStyle w:val="12"/>
              <w:spacing w:line="380" w:lineRule="exact"/>
              <w:ind w:firstLine="422"/>
              <w:rPr>
                <w:rFonts w:hint="eastAsia" w:ascii="宋体" w:hAnsi="宋体" w:eastAsia="宋体" w:cs="宋体"/>
                <w:b/>
                <w:color w:val="auto"/>
                <w:highlight w:val="none"/>
              </w:rPr>
            </w:pPr>
            <w:r>
              <w:rPr>
                <w:rFonts w:hint="eastAsia" w:ascii="宋体" w:hAnsi="宋体" w:eastAsia="宋体" w:cs="宋体"/>
                <w:b/>
                <w:color w:val="auto"/>
                <w:highlight w:val="none"/>
              </w:rPr>
              <w:t>工作服务期</w:t>
            </w:r>
          </w:p>
        </w:tc>
        <w:tc>
          <w:tcPr>
            <w:tcW w:w="999" w:type="dxa"/>
            <w:vAlign w:val="center"/>
          </w:tcPr>
          <w:p>
            <w:pPr>
              <w:pStyle w:val="12"/>
              <w:spacing w:line="38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数量</w:t>
            </w:r>
          </w:p>
        </w:tc>
        <w:tc>
          <w:tcPr>
            <w:tcW w:w="1207" w:type="dxa"/>
            <w:vAlign w:val="center"/>
          </w:tcPr>
          <w:p>
            <w:pPr>
              <w:pStyle w:val="12"/>
              <w:spacing w:line="38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11" w:type="dxa"/>
            <w:vAlign w:val="center"/>
          </w:tcPr>
          <w:p>
            <w:pPr>
              <w:pStyle w:val="12"/>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958" w:type="dxa"/>
            <w:vAlign w:val="center"/>
          </w:tcPr>
          <w:p>
            <w:pPr>
              <w:pStyle w:val="12"/>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贺州市盘谷河一体化污水处理设施2年运维服务</w:t>
            </w:r>
          </w:p>
        </w:tc>
        <w:tc>
          <w:tcPr>
            <w:tcW w:w="3622" w:type="dxa"/>
            <w:vAlign w:val="center"/>
          </w:tcPr>
          <w:p>
            <w:pPr>
              <w:pStyle w:val="12"/>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2年【20</w:t>
            </w:r>
            <w:r>
              <w:rPr>
                <w:rFonts w:hint="eastAsia" w:ascii="宋体" w:hAnsi="宋体" w:eastAsia="宋体" w:cs="宋体"/>
                <w:color w:val="auto"/>
                <w:highlight w:val="none"/>
                <w:lang w:val="en-US" w:eastAsia="zh-CN"/>
              </w:rPr>
              <w:t>22</w:t>
            </w:r>
            <w:r>
              <w:rPr>
                <w:rFonts w:hint="eastAsia" w:ascii="宋体" w:hAnsi="宋体" w:eastAsia="宋体" w:cs="宋体"/>
                <w:color w:val="auto"/>
                <w:highlight w:val="none"/>
              </w:rPr>
              <w:t>年 月  日-202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 月  日</w:t>
            </w:r>
          </w:p>
          <w:p>
            <w:pPr>
              <w:pStyle w:val="12"/>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（具体以签订合同之日为准）】</w:t>
            </w:r>
          </w:p>
        </w:tc>
        <w:tc>
          <w:tcPr>
            <w:tcW w:w="999" w:type="dxa"/>
            <w:vAlign w:val="center"/>
          </w:tcPr>
          <w:p>
            <w:pPr>
              <w:pStyle w:val="12"/>
              <w:spacing w:line="3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07" w:type="dxa"/>
            <w:vAlign w:val="center"/>
          </w:tcPr>
          <w:p>
            <w:pPr>
              <w:pStyle w:val="12"/>
              <w:spacing w:line="3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597" w:type="dxa"/>
            <w:gridSpan w:val="5"/>
            <w:vAlign w:val="center"/>
          </w:tcPr>
          <w:p>
            <w:pPr>
              <w:adjustRightInd w:val="0"/>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项目内容：</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一、一体化污水处理设施运维管理要求</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1、一体化污水处理设施设计处理规模为1000吨/天，运维方需确保污水处理设备及配套设施正常运行。执行《中华人民共和国水污染防治法》的相关法律法规要求，确保污水处理后出水指标达到《城镇污水处理厂污染物排放标准》(GB18918-2002)的一级B标准或者设计标准。</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2、主要设备维护保养，配电设备维护保养，主要构筑物完好无损。</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3、一体化污水处理设施范围环境卫生管理。</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4、按要求对污泥进行处置，避免二次污染事故的发生。</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5、运行台帐记录齐全。根据一体化污水处理设施运维的实际情况，安排好具体的运行维护计划，做好日常运行维护工作及安全管理。</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6.负责项目区域内治安秩序，运维管理、设备巡视等。</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二、一体化污水处理设施运维管理组织机构</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根据一体化污水处理设施运维要求配备管理人员</w:t>
            </w:r>
            <w:r>
              <w:rPr>
                <w:rFonts w:hint="eastAsia" w:ascii="宋体" w:hAnsi="宋体" w:eastAsia="宋体" w:cs="宋体"/>
                <w:color w:val="auto"/>
                <w:highlight w:val="none"/>
                <w:lang w:eastAsia="zh-CN"/>
              </w:rPr>
              <w:t>（不少于</w:t>
            </w:r>
            <w:r>
              <w:rPr>
                <w:rFonts w:hint="eastAsia" w:ascii="宋体" w:hAnsi="宋体" w:eastAsia="宋体" w:cs="宋体"/>
                <w:color w:val="auto"/>
                <w:highlight w:val="none"/>
                <w:lang w:val="en-US" w:eastAsia="zh-CN"/>
              </w:rPr>
              <w:t>2人）</w:t>
            </w:r>
            <w:r>
              <w:rPr>
                <w:rFonts w:hint="eastAsia" w:ascii="宋体" w:hAnsi="宋体" w:eastAsia="宋体" w:cs="宋体"/>
                <w:color w:val="auto"/>
                <w:highlight w:val="none"/>
              </w:rPr>
              <w:t>。负责现污水处理设施的运行操作、日常巡检、设备的维修维护保养等工作。</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三、委托运维管理范围</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1. 一体化污水处理设施的管理维护及运行、构筑物。围栏、宣传牌、标志标识、安全警示牌等附属设施。</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2. 一体化污水处理设施的所有供电、电气设备、机械设备的管理维护及运行。</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四、运维方职责</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1.运维方应负责污水处理所有设施的管理维护工作。</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2.运维方应对管理人员按照《操作规程》进行培训，合格后上岗，保证按规定进行维护管理。</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3．运维方应依法保护一体化污水处理设施，维护设施的运行，负责各项设施的日常维修维护保养。具体内容如下：</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1）保证各设施、设备的完整。</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2）检查和维护一体化污水处理设施及水泵等设备，确保设施正常运行，做好设备管理工作。</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3）在发生设备事故、故障时，及时向委托方汇报，按相关规程进行事故、故障的处理，以确保人身、设备的安全。</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4）根据需要协助委托方做好一体化污水处理设施与其他部门之间的相关工作。</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5）负责委托一体化污水处理设施合同期内出水水质监测工作。</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五、运维成本的构成</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 xml:space="preserve"> 运维服务费用包含贺州市盘谷河一体化污水处理设施运维的电费、药剂费、人员工资及福利、检测费、污泥培养及处理费、泵站及管网维修维护费，一体化处理设备维修维护费、设备大修费、管理费及其他费用、税金等所有运维管理产生的费用，费用实行包干制。设备正常运行交付后，如出现故障或者出现设备遗失的，由中标单位自行负责维修或者自行购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如遇不可抗力造成1台调节池（型号BSC-TJC-49）、4套一体化污水处理设备(BSC-YTHWSCL-10)主体设备严重损坏且无法使用，则由甲方负责修复或购买更换。</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六、项目预算金额：人民币壹佰肆拾叁万元整（¥1430000元）。</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七、结算方式：合同签订后，结算方式</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按每三个月向</w:t>
            </w:r>
            <w:r>
              <w:rPr>
                <w:rFonts w:hint="eastAsia" w:ascii="宋体" w:hAnsi="宋体" w:eastAsia="宋体" w:cs="宋体"/>
                <w:color w:val="auto"/>
                <w:highlight w:val="none"/>
                <w:lang w:eastAsia="zh-CN"/>
              </w:rPr>
              <w:t>项目中标单位</w:t>
            </w:r>
            <w:r>
              <w:rPr>
                <w:rFonts w:hint="eastAsia" w:ascii="宋体" w:hAnsi="宋体" w:eastAsia="宋体" w:cs="宋体"/>
                <w:color w:val="auto"/>
                <w:highlight w:val="none"/>
              </w:rPr>
              <w:t>支付期间的运维服务费。申请支付运维费用时由</w:t>
            </w:r>
            <w:r>
              <w:rPr>
                <w:rFonts w:hint="eastAsia" w:ascii="宋体" w:hAnsi="宋体" w:eastAsia="宋体" w:cs="宋体"/>
                <w:color w:val="auto"/>
                <w:highlight w:val="none"/>
                <w:lang w:eastAsia="zh-CN"/>
              </w:rPr>
              <w:t>中标单位</w:t>
            </w:r>
            <w:r>
              <w:rPr>
                <w:rFonts w:hint="eastAsia" w:ascii="宋体" w:hAnsi="宋体" w:eastAsia="宋体" w:cs="宋体"/>
                <w:color w:val="auto"/>
                <w:highlight w:val="none"/>
              </w:rPr>
              <w:t>向</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提供期间运行台账，以及期间由</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委托具有资质的第三方检测机构</w:t>
            </w:r>
            <w:r>
              <w:rPr>
                <w:rFonts w:hint="eastAsia" w:ascii="宋体" w:hAnsi="宋体" w:eastAsia="宋体" w:cs="宋体"/>
                <w:color w:val="auto"/>
                <w:highlight w:val="none"/>
                <w:lang w:eastAsia="zh-CN"/>
              </w:rPr>
              <w:t>每月</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次对出水水样检测的合格报告。</w:t>
            </w:r>
            <w:r>
              <w:rPr>
                <w:rFonts w:hint="eastAsia" w:ascii="宋体" w:hAnsi="宋体" w:eastAsia="宋体" w:cs="宋体"/>
                <w:color w:val="auto"/>
                <w:highlight w:val="none"/>
                <w:lang w:val="en-US" w:eastAsia="zh-CN"/>
              </w:rPr>
              <w:t>若非客观原因，</w:t>
            </w:r>
            <w:r>
              <w:rPr>
                <w:rFonts w:hint="eastAsia" w:ascii="宋体" w:hAnsi="宋体" w:eastAsia="宋体" w:cs="宋体"/>
                <w:color w:val="auto"/>
                <w:highlight w:val="none"/>
                <w:lang w:eastAsia="zh-CN"/>
              </w:rPr>
              <w:t>如出水检测不达标，责令乙方12小时内做出整改及调试直至出水检测达标，从出水检测不达标至整改及调试达标（确认达标的水质检测费用由乙方承担，检测机构由甲方委托有资质的第三方检测机构负责）期间的运维服务时间不计算在本合同服务期的运维服务时间（即在最近一期支付运维服务费用时直接顺延相应的运维服务时间），并额外无偿延长运维服务</w:t>
            </w:r>
            <w:r>
              <w:rPr>
                <w:rFonts w:hint="eastAsia" w:ascii="宋体" w:hAnsi="宋体" w:eastAsia="宋体" w:cs="宋体"/>
                <w:color w:val="auto"/>
                <w:highlight w:val="none"/>
                <w:lang w:val="en-US" w:eastAsia="zh-CN"/>
              </w:rPr>
              <w:t>7天</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每次付款需经</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贺州市城市管理局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审核确认，并根据审核结果支付</w:t>
            </w:r>
            <w:r>
              <w:rPr>
                <w:rFonts w:hint="eastAsia" w:ascii="宋体" w:hAnsi="宋体" w:eastAsia="宋体" w:cs="宋体"/>
                <w:color w:val="auto"/>
                <w:highlight w:val="none"/>
                <w:lang w:eastAsia="zh-CN"/>
              </w:rPr>
              <w:t>中标单位</w:t>
            </w:r>
            <w:r>
              <w:rPr>
                <w:rFonts w:hint="eastAsia" w:ascii="宋体" w:hAnsi="宋体" w:eastAsia="宋体" w:cs="宋体"/>
                <w:color w:val="auto"/>
                <w:highlight w:val="none"/>
              </w:rPr>
              <w:t>的运维服务费用。</w:t>
            </w:r>
          </w:p>
          <w:p>
            <w:pPr>
              <w:pStyle w:val="7"/>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八、定期巡查和维护现有污水直排口临时处理设施（管网、集污箱）及水泵等设备，确保设施正常运行，做好设备管理工作，并对盘谷河一体化污水处理设施点位盘谷河上下游200米内沿岸直排口进行排查，</w:t>
            </w:r>
            <w:r>
              <w:rPr>
                <w:rFonts w:hint="eastAsia" w:ascii="宋体" w:hAnsi="宋体" w:eastAsia="宋体" w:cs="宋体"/>
                <w:color w:val="auto"/>
                <w:sz w:val="21"/>
                <w:szCs w:val="21"/>
                <w:highlight w:val="none"/>
                <w:lang w:val="en-US" w:eastAsia="zh-CN"/>
              </w:rPr>
              <w:t>若现发现新增生活污水直排口则中标单位及时截污纳管（费用由乙方承担）。</w:t>
            </w:r>
          </w:p>
          <w:p>
            <w:pPr>
              <w:pStyle w:val="7"/>
              <w:rPr>
                <w:rFonts w:hint="eastAsia" w:ascii="宋体" w:hAnsi="宋体" w:eastAsia="宋体" w:cs="宋体"/>
                <w:color w:val="auto"/>
                <w:highlight w:val="none"/>
              </w:rPr>
            </w:pPr>
            <w:r>
              <w:rPr>
                <w:rFonts w:hint="eastAsia" w:ascii="宋体" w:hAnsi="宋体" w:eastAsia="宋体" w:cs="宋体"/>
                <w:color w:val="auto"/>
                <w:highlight w:val="none"/>
                <w:lang w:eastAsia="zh-CN"/>
              </w:rPr>
              <w:t>九</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其他</w:t>
            </w:r>
            <w:r>
              <w:rPr>
                <w:rFonts w:hint="eastAsia" w:ascii="宋体" w:hAnsi="宋体" w:eastAsia="宋体" w:cs="宋体"/>
                <w:color w:val="auto"/>
                <w:highlight w:val="none"/>
              </w:rPr>
              <w:t>事项：</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1、中标单位中标后甲乙双方需对一体化污水处理设施进行运维工作交接，在确认所有设施正常运行后运维工作交付给中标单位；若有设施未正常运行，采购人和中标单位双方协商，由采购人负责在规定时间内将设施维修调整至正常使用后，交付中标单位开展运维维护管理工作；若规定时间内无法将设施修复至正常状态，则自动免除中标单位对该处设施的运行维护责任。</w:t>
            </w:r>
          </w:p>
          <w:p>
            <w:pPr>
              <w:pStyle w:val="7"/>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因项目地理环境复杂、污水收集管网分散等情况，各服务商在投标前可自行到现场对一体化污水处理设施进行勘察现场。若不现场勘察的投标单位，须对文件中无法完全写明确的内容、偏差及损失自行承担相应责任。</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4、本次招标采购预算中已经包含一体化污水处理设施在运维过程中产生的电费，在今后项目委托运维后，采购人不再另行支付电费。</w:t>
            </w:r>
          </w:p>
          <w:p>
            <w:pPr>
              <w:pStyle w:val="7"/>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、本项目服务商投标前须自行对项目地进行现场勘察。</w:t>
            </w:r>
          </w:p>
          <w:p>
            <w:pPr>
              <w:pStyle w:val="7"/>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r>
              <w:rPr>
                <w:rFonts w:hint="eastAsia" w:ascii="宋体" w:hAnsi="宋体" w:eastAsia="宋体" w:cs="宋体"/>
                <w:color w:val="auto"/>
                <w:sz w:val="21"/>
                <w:szCs w:val="21"/>
                <w:highlight w:val="none"/>
                <w:lang w:val="en-US" w:eastAsia="zh-CN"/>
              </w:rPr>
              <w:t>配合、协助甲方向有关单位提供相应的材料，包括但不仅限于运行台账、照片、视频、水质检测报告、维修维护台账等。</w:t>
            </w:r>
          </w:p>
          <w:p>
            <w:pPr>
              <w:pStyle w:val="7"/>
              <w:rPr>
                <w:rFonts w:hint="eastAsia" w:ascii="宋体" w:hAnsi="宋体" w:eastAsia="宋体" w:cs="宋体"/>
                <w:color w:val="auto"/>
                <w:highlight w:val="none"/>
              </w:rPr>
            </w:pPr>
          </w:p>
        </w:tc>
      </w:tr>
    </w:tbl>
    <w:p>
      <w:pPr>
        <w:tabs>
          <w:tab w:val="left" w:pos="180"/>
          <w:tab w:val="left" w:pos="1620"/>
        </w:tabs>
        <w:spacing w:line="360" w:lineRule="auto"/>
        <w:ind w:firstLine="422" w:firstLineChars="200"/>
        <w:rPr>
          <w:rFonts w:hint="eastAsia" w:ascii="宋体" w:hAnsi="宋体" w:eastAsia="宋体" w:cs="宋体"/>
          <w:b/>
          <w:bCs/>
          <w:color w:val="auto"/>
          <w:szCs w:val="21"/>
          <w:highlight w:val="none"/>
        </w:rPr>
      </w:pPr>
    </w:p>
    <w:p>
      <w:pPr>
        <w:tabs>
          <w:tab w:val="left" w:pos="180"/>
          <w:tab w:val="left" w:pos="1620"/>
        </w:tabs>
        <w:spacing w:line="360" w:lineRule="auto"/>
        <w:ind w:firstLine="420" w:firstLineChars="200"/>
        <w:rPr>
          <w:rFonts w:hint="eastAsia" w:ascii="宋体" w:hAnsi="宋体" w:eastAsia="宋体" w:cs="宋体"/>
          <w:color w:val="auto"/>
          <w:highlight w:val="none"/>
        </w:rPr>
      </w:pPr>
    </w:p>
    <w:p>
      <w:pPr>
        <w:pStyle w:val="16"/>
        <w:rPr>
          <w:rFonts w:hint="eastAsia" w:ascii="宋体" w:hAnsi="宋体" w:eastAsia="宋体" w:cs="宋体"/>
          <w:b/>
          <w:bCs/>
          <w:color w:val="auto"/>
          <w:szCs w:val="21"/>
          <w:highlight w:val="none"/>
        </w:rPr>
      </w:pPr>
    </w:p>
    <w:p>
      <w:pPr>
        <w:rPr>
          <w:rFonts w:hint="eastAsia" w:ascii="宋体" w:hAnsi="宋体" w:eastAsia="宋体" w:cs="宋体"/>
          <w:b/>
          <w:bCs/>
          <w:color w:val="auto"/>
          <w:szCs w:val="21"/>
          <w:highlight w:val="none"/>
        </w:rPr>
      </w:pPr>
    </w:p>
    <w:p>
      <w:pPr>
        <w:pStyle w:val="16"/>
        <w:rPr>
          <w:rFonts w:hint="eastAsia" w:ascii="宋体" w:hAnsi="宋体" w:eastAsia="宋体" w:cs="宋体"/>
          <w:b/>
          <w:bCs/>
          <w:color w:val="auto"/>
          <w:szCs w:val="21"/>
          <w:highlight w:val="none"/>
        </w:rPr>
      </w:pPr>
    </w:p>
    <w:p>
      <w:pPr>
        <w:rPr>
          <w:rFonts w:hint="eastAsia" w:ascii="宋体" w:hAnsi="宋体" w:eastAsia="宋体" w:cs="宋体"/>
          <w:b/>
          <w:bCs/>
          <w:color w:val="auto"/>
          <w:szCs w:val="21"/>
          <w:highlight w:val="none"/>
        </w:rPr>
      </w:pPr>
    </w:p>
    <w:p>
      <w:pPr>
        <w:pStyle w:val="16"/>
        <w:rPr>
          <w:rFonts w:hint="eastAsia" w:ascii="宋体" w:hAnsi="宋体" w:eastAsia="宋体" w:cs="宋体"/>
          <w:b/>
          <w:bCs/>
          <w:color w:val="auto"/>
          <w:szCs w:val="21"/>
          <w:highlight w:val="none"/>
        </w:rPr>
      </w:pPr>
    </w:p>
    <w:p>
      <w:pPr>
        <w:rPr>
          <w:rFonts w:hint="eastAsia" w:ascii="宋体" w:hAnsi="宋体" w:eastAsia="宋体" w:cs="宋体"/>
          <w:b/>
          <w:bCs/>
          <w:color w:val="auto"/>
          <w:szCs w:val="21"/>
          <w:highlight w:val="none"/>
        </w:rPr>
      </w:pPr>
    </w:p>
    <w:p>
      <w:pPr>
        <w:pStyle w:val="16"/>
        <w:rPr>
          <w:rFonts w:hint="eastAsia" w:ascii="宋体" w:hAnsi="宋体" w:eastAsia="宋体" w:cs="宋体"/>
          <w:b/>
          <w:bCs/>
          <w:color w:val="auto"/>
          <w:szCs w:val="21"/>
          <w:highlight w:val="none"/>
        </w:rPr>
      </w:pPr>
    </w:p>
    <w:p>
      <w:pPr>
        <w:rPr>
          <w:rFonts w:hint="eastAsia" w:ascii="宋体" w:hAnsi="宋体" w:eastAsia="宋体" w:cs="宋体"/>
          <w:b/>
          <w:bCs/>
          <w:color w:val="auto"/>
          <w:szCs w:val="21"/>
          <w:highlight w:val="none"/>
        </w:rPr>
      </w:pPr>
    </w:p>
    <w:p>
      <w:pPr>
        <w:pStyle w:val="7"/>
        <w:rPr>
          <w:rFonts w:hint="eastAsia" w:ascii="宋体" w:hAnsi="宋体" w:eastAsia="宋体" w:cs="宋体"/>
          <w:b/>
          <w:bCs/>
          <w:color w:val="auto"/>
          <w:szCs w:val="21"/>
          <w:highlight w:val="none"/>
        </w:rPr>
      </w:pPr>
    </w:p>
    <w:p>
      <w:pPr>
        <w:pStyle w:val="7"/>
        <w:rPr>
          <w:rFonts w:hint="eastAsia" w:ascii="宋体" w:hAnsi="宋体" w:eastAsia="宋体" w:cs="宋体"/>
          <w:b/>
          <w:bCs/>
          <w:color w:val="auto"/>
          <w:szCs w:val="21"/>
          <w:highlight w:val="none"/>
        </w:rPr>
      </w:pPr>
    </w:p>
    <w:p>
      <w:pPr>
        <w:pStyle w:val="7"/>
        <w:rPr>
          <w:rFonts w:hint="eastAsia" w:ascii="宋体" w:hAnsi="宋体" w:eastAsia="宋体" w:cs="宋体"/>
          <w:b/>
          <w:bCs/>
          <w:color w:val="auto"/>
          <w:szCs w:val="21"/>
          <w:highlight w:val="none"/>
        </w:rPr>
      </w:pPr>
    </w:p>
    <w:p>
      <w:pPr>
        <w:pStyle w:val="7"/>
        <w:rPr>
          <w:rFonts w:hint="eastAsia" w:ascii="宋体" w:hAnsi="宋体" w:eastAsia="宋体" w:cs="宋体"/>
          <w:b/>
          <w:bCs/>
          <w:color w:val="auto"/>
          <w:szCs w:val="21"/>
          <w:highlight w:val="none"/>
        </w:rPr>
      </w:pPr>
    </w:p>
    <w:p>
      <w:pPr>
        <w:pStyle w:val="16"/>
        <w:rPr>
          <w:rFonts w:hint="eastAsia" w:ascii="宋体" w:hAnsi="宋体" w:eastAsia="宋体" w:cs="宋体"/>
          <w:color w:val="auto"/>
          <w:highlight w:val="none"/>
        </w:rPr>
      </w:pPr>
    </w:p>
    <w:p>
      <w:pPr>
        <w:pStyle w:val="4"/>
        <w:jc w:val="center"/>
        <w:rPr>
          <w:rFonts w:hint="eastAsia" w:ascii="宋体" w:hAnsi="宋体" w:eastAsia="宋体" w:cs="宋体"/>
          <w:color w:val="auto"/>
          <w:highlight w:val="none"/>
        </w:rPr>
      </w:pPr>
      <w:r>
        <w:rPr>
          <w:rFonts w:hint="eastAsia" w:ascii="宋体" w:hAnsi="宋体" w:eastAsia="宋体" w:cs="宋体"/>
          <w:color w:val="auto"/>
          <w:highlight w:val="none"/>
        </w:rPr>
        <w:t>第四章  评审程序、评审方法和评审标准</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一、评审程序和评审方法</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1.资格审查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1.1响应文件开启后，磋商小组依法对供应商的资格证明文件进行审查。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注：采购人或者采购代理机构在资格审查结束前，对供应商进行信用查询。</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 、中国政府采购网(www.ccgp.gov.cn)。</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查询记录和证据留存方式：在查询网站中直接打印查询记录，打印材料作为评审资料保存。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1.3供应商有下列情形之一的，资格审查不通过，其响应文件按无效响应处理：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1.4通过资格审查的合格供应商不足3家的，不得进入符合性审查环节，采购人或者采购代理机构应当重新开展采购活动。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2.符合性审查</w:t>
      </w:r>
    </w:p>
    <w:p>
      <w:pPr>
        <w:spacing w:line="360" w:lineRule="auto"/>
        <w:ind w:firstLine="420" w:firstLineChars="200"/>
        <w:rPr>
          <w:rFonts w:hint="eastAsia" w:ascii="宋体" w:hAnsi="宋体" w:eastAsia="宋体" w:cs="宋体"/>
          <w:color w:val="auto"/>
          <w:szCs w:val="21"/>
          <w:highlight w:val="none"/>
        </w:rPr>
      </w:pPr>
      <w:bookmarkStart w:id="68" w:name="_Hlk42528882"/>
      <w:r>
        <w:rPr>
          <w:rFonts w:hint="eastAsia" w:ascii="宋体" w:hAnsi="宋体" w:eastAsia="宋体" w:cs="宋体"/>
          <w:color w:val="auto"/>
          <w:szCs w:val="21"/>
          <w:highlight w:val="none"/>
        </w:rPr>
        <w:t>2.1由磋商小组对通过资格审查的合格供应商的响应文件的竞标报价、商务、技术等实质性要求进行符合性审查，以确定其是否满足磋商文件的实质性要求。</w:t>
      </w:r>
    </w:p>
    <w:bookmarkEnd w:id="68"/>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eastAsia="宋体" w:cs="宋体"/>
          <w:bCs/>
          <w:color w:val="auto"/>
          <w:szCs w:val="21"/>
          <w:highlight w:val="none"/>
        </w:rPr>
        <w:t>若委托代理人不是响应文件中授权的委托代理人时，必须同时出示有效的法定代表人授权委托书原件</w:t>
      </w:r>
      <w:r>
        <w:rPr>
          <w:rFonts w:hint="eastAsia" w:ascii="宋体" w:hAnsi="宋体" w:eastAsia="宋体" w:cs="宋体"/>
          <w:color w:val="auto"/>
          <w:spacing w:val="-6"/>
          <w:szCs w:val="21"/>
          <w:highlight w:val="none"/>
        </w:rPr>
        <w:t>。供应商为自然人的，必须由本人签字并附身份证明。</w:t>
      </w:r>
    </w:p>
    <w:p>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2.4</w:t>
      </w:r>
      <w:r>
        <w:rPr>
          <w:rFonts w:hint="eastAsia" w:ascii="宋体" w:hAnsi="宋体" w:eastAsia="宋体" w:cs="宋体"/>
          <w:color w:val="auto"/>
          <w:szCs w:val="21"/>
          <w:highlight w:val="none"/>
        </w:rPr>
        <w:t xml:space="preserve">首次响应文件报价出现前后不一致的，按照下列规定修正：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2.5商务技术报价评审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3）提交的磋商保证金无效的或者未按照磋商文件的规定提交磋商保证金；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6）未对竞标有效期作出响应或者响应文件承诺的竞标有效期不满足磋商文件要求；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7）响应文件的实质性内容未使用中文表述、使用计量单位不符合磋商文件要求；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8）响应文件中的文件资料因填写不齐全或者内容虚假或者出现其他情形而导致被磋商小组认定无效；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9）响应文件含有采购人不能接受的附加条件；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10）属于“供应商须知正文”第7.5条情形；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11）技术需求允许负偏离的条款数超过“供应商须知前附表”规定项数；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12）虚假竞标，或者出现其他情形而导致被磋商小组认定无效；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13）竞标技术方案不明确，磋商文件未允许但响应文件中存在一个或者一个以上备选（替代）竞标方案；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14）响应文件标注的项目名称或者项目编号与竞争性磋商文件标注的项目名称或者项目编号不一致的；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15）未响应磋商文件实质性要求；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16）法律、法规和磋商文件规定的其他无效情形。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报价商务技术文件中规定的“竞标报价表”；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4）竞标报价（包含首次报价、最后报价）超过所竞标分标规定的采购预算金额或者最高限价的（如本项目公布了最高限价）；</w:t>
      </w:r>
      <w:bookmarkStart w:id="69" w:name="_Hlk42596405"/>
      <w:r>
        <w:rPr>
          <w:rFonts w:hint="eastAsia" w:ascii="宋体" w:hAnsi="宋体" w:eastAsia="宋体" w:cs="宋体"/>
          <w:color w:val="auto"/>
          <w:szCs w:val="21"/>
          <w:highlight w:val="none"/>
        </w:rPr>
        <w:t>竞标报价（包含首次报价、最后报价）</w:t>
      </w:r>
      <w:bookmarkEnd w:id="69"/>
      <w:bookmarkStart w:id="70" w:name="_Hlk42596276"/>
      <w:r>
        <w:rPr>
          <w:rFonts w:hint="eastAsia" w:ascii="宋体" w:hAnsi="宋体" w:eastAsia="宋体" w:cs="宋体"/>
          <w:color w:val="auto"/>
          <w:szCs w:val="21"/>
          <w:highlight w:val="none"/>
        </w:rPr>
        <w:t>超过磋商文件分项采购预算金额或者最高限价的</w:t>
      </w:r>
      <w:bookmarkEnd w:id="70"/>
      <w:r>
        <w:rPr>
          <w:rFonts w:hint="eastAsia" w:ascii="宋体" w:hAnsi="宋体" w:eastAsia="宋体" w:cs="宋体"/>
          <w:color w:val="auto"/>
          <w:szCs w:val="21"/>
          <w:highlight w:val="none"/>
        </w:rPr>
        <w:t>（如本项目公布了最高限价）；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2.7通过符合性审查的合格供应商不足3家的，不得进入磋商环节，采购人或者采购代理机构应当重新开展采购活动。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3.磋商程序</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3.3对磋商文件作出的实质性变动是磋商文件的有效组成部分，由磋商小组及时以书面形式同时通知所有参加磋商的供应商。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3.4供应商必须按照磋商文件的变动情况和磋商小组的要求重新提交响应文件，并由其法定代表人或者授权代表签字或者加盖公章。由委托代理人签字的，</w:t>
      </w:r>
      <w:r>
        <w:rPr>
          <w:rFonts w:hint="eastAsia" w:ascii="宋体" w:hAnsi="宋体" w:eastAsia="宋体" w:cs="宋体"/>
          <w:bCs/>
          <w:color w:val="auto"/>
          <w:szCs w:val="21"/>
          <w:highlight w:val="none"/>
        </w:rPr>
        <w:t>若委托代理人不是响应文件中授权的委托代理人时，必须同时出示有效的法定代表人授权委托书原件</w:t>
      </w:r>
      <w:r>
        <w:rPr>
          <w:rFonts w:hint="eastAsia" w:ascii="宋体" w:hAnsi="宋体" w:eastAsia="宋体" w:cs="宋体"/>
          <w:color w:val="auto"/>
          <w:szCs w:val="21"/>
          <w:highlight w:val="none"/>
        </w:rPr>
        <w:t>。供应商为自然人的，必须由本人签字并附身份证明。参加磋商的供应商未在规定时间内重新提交响应文件的，视同退出磋商。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3.6采购代理机构对磋商过程和重要磋商内容进行记录，磋商双方在记录上签字确认。</w:t>
      </w:r>
    </w:p>
    <w:p>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3.7磋商过程中重新提交的响应文件，供应商可以在开启前补充、修改。</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3.8对磋商过程提交的响应文件进行有效性、完整性和响应程度审查，通过审查的合格供应商不足3家的，采购人或者采购代理机构应当重新开展采购活动。</w:t>
      </w:r>
    </w:p>
    <w:p>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4. 最后报价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磋商文件能够详细列明采购标的的技术、服务要求的，磋商结束后，由磋商小组要求所有继续参加磋商的供应商在规定时间内密封提交最后报价，除本章第4.3条外，提交最后报价的供应商不得少于3家，否则必须重新采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4.5供应商未在规定时间内提交最后报价的，视同退出磋商。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4.6磋商小组收齐某一分标最后报价后统一开启，磋商小组对最后报价进行有效性、完整性和响应程度的审查。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4.7响应文件最后报价出现前后不一致的，按照本章第2.4条的规定修正。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4.8修正后的报价出现下列情形的，按无效响应处理：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（3）经供应商确认修正后的竞标报价（包含首次报价、最后报价）超过分项采购预算金额或者最高限价的（如本项目公布了最高限价）。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4.9经供应商确认修正后的最后报价作为评审及签订合同的依据。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5.比较与评价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5.1评审方法：综合评分法。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5.3评审时，磋商小组各成员应当独立对每个有效响应的文件进行评价、打分，然后汇总每个供应商每项评分因素的得分。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jc w:val="center"/>
        <w:rPr>
          <w:rFonts w:hint="eastAsia" w:ascii="宋体" w:hAnsi="宋体" w:eastAsia="宋体" w:cs="宋体"/>
          <w:b/>
          <w:color w:val="auto"/>
          <w:sz w:val="32"/>
          <w:szCs w:val="32"/>
          <w:highlight w:val="none"/>
        </w:rPr>
      </w:pPr>
    </w:p>
    <w:p>
      <w:pPr>
        <w:pStyle w:val="16"/>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二、评审标准</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6.评审依据：磋商小组将以磋商响应文件为评审依据，对供应商的报价、技术、业绩等方面内容按百分制打分。（计分方法按四舍五入取至百分位）</w:t>
      </w:r>
    </w:p>
    <w:tbl>
      <w:tblPr>
        <w:tblStyle w:val="21"/>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87"/>
        <w:gridCol w:w="6462"/>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287" w:type="dxa"/>
            <w:vAlign w:val="center"/>
          </w:tcPr>
          <w:p>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评审因素</w:t>
            </w:r>
          </w:p>
        </w:tc>
        <w:tc>
          <w:tcPr>
            <w:tcW w:w="6462" w:type="dxa"/>
            <w:vAlign w:val="center"/>
          </w:tcPr>
          <w:p>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评审因素具体内容</w:t>
            </w:r>
          </w:p>
        </w:tc>
        <w:tc>
          <w:tcPr>
            <w:tcW w:w="808" w:type="dxa"/>
            <w:vAlign w:val="center"/>
          </w:tcPr>
          <w:p>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287" w:type="dxa"/>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价格分</w:t>
            </w:r>
          </w:p>
        </w:tc>
        <w:tc>
          <w:tcPr>
            <w:tcW w:w="6462" w:type="dxa"/>
          </w:tcPr>
          <w:p>
            <w:pPr>
              <w:spacing w:line="35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1．评审价为供应商的最后报价进行政策性扣除后的价格，评审价只是作为评审时使用。最终成交供应商的成交金额等于最终磋商报价（如有修正，以确认修正后的最终磋商报价为准）。</w:t>
            </w:r>
          </w:p>
          <w:p>
            <w:pPr>
              <w:spacing w:line="35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2．政府采</w:t>
            </w:r>
            <w:r>
              <w:rPr>
                <w:rFonts w:hint="eastAsia" w:ascii="宋体" w:hAnsi="宋体" w:eastAsia="宋体" w:cs="宋体"/>
                <w:bCs/>
                <w:color w:val="auto"/>
                <w:szCs w:val="21"/>
                <w:highlight w:val="none"/>
              </w:rPr>
              <w:t>购政策性扣除计算方法</w:t>
            </w:r>
          </w:p>
          <w:p>
            <w:pPr>
              <w:spacing w:line="350" w:lineRule="atLeas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（1）按照《政府采购促进中小企业发展管理办法》（财库﹝2020﹞46 号）的规定，供应商为小型和微型企业，并在其响应文件中提供《中小企业声明函》，且其所竞标产品全部为小型和微型企业产品的，对其最后报价给予10%的扣除。</w:t>
            </w:r>
          </w:p>
          <w:p>
            <w:pPr>
              <w:spacing w:line="350" w:lineRule="atLeas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50" w:lineRule="atLeas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50" w:lineRule="atLeas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（4）政策性扣除计算方法：</w:t>
            </w:r>
          </w:p>
          <w:p>
            <w:pPr>
              <w:spacing w:line="350" w:lineRule="atLeas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被评定为监狱企业或者残疾人福利性单位或者小型和微型企业且其所竞标全部产品为小型和微型企业产品的，该供应商的最终磋商报价给予10%的扣除，扣除后的价格为评审价，即评审价=最终磋商报价×（1-10%）；大中型企业和其他自然人、法人或者其他组织与小型、微型企业组成联合体竞标，且联合体协议中约定小型、微型企业的协议合同金额占到联合体协议合同总金额30%以上的，联合体最终磋商报价给予2%的扣除，扣除后的价格为评审价，即评审价=最终磋商报价×（1-2%）；除上述情况外，评审价=最终磋商报价。</w:t>
            </w:r>
          </w:p>
          <w:p>
            <w:pPr>
              <w:snapToGrid w:val="0"/>
              <w:spacing w:line="350" w:lineRule="atLeas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（5）除上述情况外，评审价＝最终磋商报价。</w:t>
            </w:r>
          </w:p>
          <w:p>
            <w:pPr>
              <w:pStyle w:val="12"/>
              <w:spacing w:line="360" w:lineRule="auto"/>
              <w:ind w:firstLine="210" w:firstLineChars="1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（6）以进入比较与评价环节的最低的评审价为基准价，基准价得分为</w:t>
            </w:r>
            <w:r>
              <w:rPr>
                <w:rFonts w:hint="eastAsia" w:ascii="宋体" w:hAnsi="宋体" w:eastAsia="宋体" w:cs="宋体"/>
                <w:bCs/>
                <w:color w:val="auto"/>
                <w:kern w:val="2"/>
                <w:sz w:val="21"/>
                <w:highlight w:val="none"/>
                <w:u w:val="single"/>
              </w:rPr>
              <w:t xml:space="preserve"> 20 分</w:t>
            </w:r>
            <w:r>
              <w:rPr>
                <w:rFonts w:hint="eastAsia" w:ascii="宋体" w:hAnsi="宋体" w:eastAsia="宋体" w:cs="宋体"/>
                <w:bCs/>
                <w:color w:val="auto"/>
                <w:kern w:val="2"/>
                <w:sz w:val="21"/>
                <w:highlight w:val="none"/>
              </w:rPr>
              <w:t>。</w:t>
            </w:r>
          </w:p>
          <w:p>
            <w:pPr>
              <w:pStyle w:val="12"/>
              <w:spacing w:line="360" w:lineRule="auto"/>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（7）价格分计算公式：</w:t>
            </w:r>
          </w:p>
          <w:p>
            <w:pPr>
              <w:pStyle w:val="12"/>
              <w:spacing w:line="360" w:lineRule="auto"/>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报价得分=（基准价/评审价）×</w:t>
            </w:r>
            <w:r>
              <w:rPr>
                <w:rFonts w:hint="eastAsia" w:ascii="宋体" w:hAnsi="宋体" w:eastAsia="宋体" w:cs="宋体"/>
                <w:bCs/>
                <w:color w:val="auto"/>
                <w:kern w:val="2"/>
                <w:sz w:val="21"/>
                <w:highlight w:val="none"/>
                <w:u w:val="single"/>
              </w:rPr>
              <w:t xml:space="preserve">  20  分</w:t>
            </w:r>
          </w:p>
        </w:tc>
        <w:tc>
          <w:tcPr>
            <w:tcW w:w="808" w:type="dxa"/>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287" w:type="dxa"/>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技术分</w:t>
            </w:r>
          </w:p>
        </w:tc>
        <w:tc>
          <w:tcPr>
            <w:tcW w:w="6462" w:type="dxa"/>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评审因素</w:t>
            </w:r>
          </w:p>
        </w:tc>
        <w:tc>
          <w:tcPr>
            <w:tcW w:w="808" w:type="dxa"/>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33" w:type="dxa"/>
            <w:vAlign w:val="center"/>
          </w:tcPr>
          <w:p>
            <w:pPr>
              <w:adjustRightInd w:val="0"/>
              <w:spacing w:line="360" w:lineRule="auto"/>
              <w:ind w:left="-105" w:leftChars="-50" w:right="-105" w:rightChars="-50"/>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2.1</w:t>
            </w:r>
          </w:p>
        </w:tc>
        <w:tc>
          <w:tcPr>
            <w:tcW w:w="1287" w:type="dxa"/>
            <w:vAlign w:val="center"/>
          </w:tcPr>
          <w:p>
            <w:pPr>
              <w:adjustRightInd w:val="0"/>
              <w:snapToGrid w:val="0"/>
              <w:spacing w:line="360" w:lineRule="auto"/>
              <w:ind w:firstLine="105" w:firstLineChars="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技术方案</w:t>
            </w:r>
          </w:p>
        </w:tc>
        <w:tc>
          <w:tcPr>
            <w:tcW w:w="6462"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由磋商小组成员按下述评审标准横向比较各投标文件技术方案编制后集体讨论确定其所属档次后在该档次内独立评分。某服务商该评审项得分为各评委该评审项给分的算数平均值。</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一档（10分）：技术方案表述不清晰反映、不完整。</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二档（20分）：满足招标文件要求，技术方案表述基本清晰、基本完整。</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三档（30分）满足招标文件要求，技术方案表述基本清晰、基本完整，措施基本有效可行，能及时处置设备故障；</w:t>
            </w:r>
          </w:p>
          <w:p>
            <w:pPr>
              <w:widowControl/>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四档（40分）：技术方案表述清晰反映、完整，措施具体有效可行，迅速处置设备故障和安全生产，有应急方案预案解决突发故障，能够组织足够的服务力量</w:t>
            </w:r>
            <w:r>
              <w:rPr>
                <w:rFonts w:hint="eastAsia" w:ascii="宋体" w:hAnsi="宋体" w:eastAsia="宋体" w:cs="宋体"/>
                <w:color w:val="auto"/>
                <w:kern w:val="0"/>
                <w:szCs w:val="21"/>
                <w:highlight w:val="none"/>
              </w:rPr>
              <w:t>以保证设备正常运维</w:t>
            </w:r>
            <w:r>
              <w:rPr>
                <w:rFonts w:hint="eastAsia" w:ascii="宋体" w:hAnsi="宋体" w:eastAsia="宋体" w:cs="宋体"/>
                <w:color w:val="auto"/>
                <w:szCs w:val="21"/>
                <w:highlight w:val="none"/>
              </w:rPr>
              <w:t>。</w:t>
            </w:r>
          </w:p>
        </w:tc>
        <w:tc>
          <w:tcPr>
            <w:tcW w:w="808" w:type="dxa"/>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533" w:type="dxa"/>
            <w:vAlign w:val="center"/>
          </w:tcPr>
          <w:p>
            <w:pPr>
              <w:adjustRightInd w:val="0"/>
              <w:spacing w:line="360" w:lineRule="auto"/>
              <w:ind w:left="-105" w:leftChars="-50" w:right="-105" w:rightChars="-50"/>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2.2</w:t>
            </w:r>
          </w:p>
        </w:tc>
        <w:tc>
          <w:tcPr>
            <w:tcW w:w="1287" w:type="dxa"/>
            <w:vAlign w:val="center"/>
          </w:tcPr>
          <w:p>
            <w:pPr>
              <w:pStyle w:val="7"/>
              <w:ind w:firstLine="0"/>
              <w:rPr>
                <w:rFonts w:hint="eastAsia" w:ascii="宋体" w:hAnsi="宋体" w:eastAsia="宋体" w:cs="宋体"/>
                <w:color w:val="auto"/>
                <w:highlight w:val="none"/>
              </w:rPr>
            </w:pPr>
            <w:r>
              <w:rPr>
                <w:rFonts w:hint="eastAsia" w:ascii="宋体" w:hAnsi="宋体" w:eastAsia="宋体" w:cs="宋体"/>
                <w:color w:val="auto"/>
                <w:highlight w:val="none"/>
              </w:rPr>
              <w:t>拟订各项管理规章制度及档案资料的建立与管理</w:t>
            </w:r>
          </w:p>
        </w:tc>
        <w:tc>
          <w:tcPr>
            <w:tcW w:w="6462" w:type="dxa"/>
            <w:vAlign w:val="center"/>
          </w:tcPr>
          <w:p>
            <w:pPr>
              <w:widowControl/>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拟定各项内部岗位职责制度、管理运作制度、考核制度及标准等，要求符合规范，体现高标准、高档次、科学合理、详细完备，人员、设施、设备管理服务、业主方反馈资料、行政文件资料等档案的建立与管理等情况是否科学、合理、高效，由磋商小组讨论进档，并在相应档次内独立打分。</w:t>
            </w:r>
          </w:p>
          <w:p>
            <w:pPr>
              <w:widowControl/>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一档</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3 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方案一般，合理性一般，可操作性一般。</w:t>
            </w:r>
          </w:p>
          <w:p>
            <w:pPr>
              <w:widowControl/>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二档</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6 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方案良好、合理性较好、可操作性较强。</w:t>
            </w:r>
          </w:p>
          <w:p>
            <w:pPr>
              <w:widowControl/>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三档：</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10分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方案详细、合理性优秀、管理规章制度及档案资料详细，可操作性优秀。</w:t>
            </w:r>
          </w:p>
        </w:tc>
        <w:tc>
          <w:tcPr>
            <w:tcW w:w="808" w:type="dxa"/>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33" w:type="dxa"/>
            <w:vAlign w:val="center"/>
          </w:tcPr>
          <w:p>
            <w:pPr>
              <w:adjustRightInd w:val="0"/>
              <w:spacing w:line="360" w:lineRule="auto"/>
              <w:ind w:left="-105" w:leftChars="-50" w:right="-105" w:rightChars="-50"/>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2.3</w:t>
            </w:r>
          </w:p>
        </w:tc>
        <w:tc>
          <w:tcPr>
            <w:tcW w:w="1287" w:type="dxa"/>
            <w:vAlign w:val="center"/>
          </w:tcPr>
          <w:p>
            <w:pPr>
              <w:pStyle w:val="7"/>
              <w:ind w:firstLine="0"/>
              <w:rPr>
                <w:rFonts w:hint="eastAsia" w:ascii="宋体" w:hAnsi="宋体" w:eastAsia="宋体" w:cs="宋体"/>
                <w:color w:val="auto"/>
                <w:highlight w:val="none"/>
              </w:rPr>
            </w:pPr>
            <w:r>
              <w:rPr>
                <w:rFonts w:hint="eastAsia" w:ascii="宋体" w:hAnsi="宋体" w:eastAsia="宋体" w:cs="宋体"/>
                <w:bCs/>
                <w:color w:val="auto"/>
                <w:szCs w:val="21"/>
                <w:highlight w:val="none"/>
              </w:rPr>
              <w:t>服务承诺方案</w:t>
            </w:r>
          </w:p>
        </w:tc>
        <w:tc>
          <w:tcPr>
            <w:tcW w:w="6462" w:type="dxa"/>
            <w:vAlign w:val="center"/>
          </w:tcPr>
          <w:p>
            <w:pPr>
              <w:pStyle w:val="7"/>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由磋商小组成员按下述评审标准横向比较各投标文件服务承诺方案编制后集体讨论确定其所属档次后在该档次内独立评分。某服务商该评审项得分为各评委该评审项给分的算数平均值。</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一档（5分）：服务承诺方案表述不清晰反映、不完整。</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二档（</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0分）：满足招标文件要求，服务承诺方案表述基本清晰、基本完整。</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三档（15分）满足招标文件要求，服务承诺方案表述基本清晰、基本完整，措施基本有效可行，承诺及时处置设备故障；</w:t>
            </w:r>
          </w:p>
          <w:p>
            <w:pPr>
              <w:widowControl/>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四档（20分）：服务承诺方案表述清晰反映、完整，措施具体有效可行，承诺迅速处置设备故障和安全生产，有应急方案预案解决突发故障，能够组织足够的服务力量</w:t>
            </w:r>
            <w:r>
              <w:rPr>
                <w:rFonts w:hint="eastAsia" w:ascii="宋体" w:hAnsi="宋体" w:eastAsia="宋体" w:cs="宋体"/>
                <w:color w:val="auto"/>
                <w:kern w:val="0"/>
                <w:szCs w:val="21"/>
                <w:highlight w:val="none"/>
              </w:rPr>
              <w:t>以保证设备正常运维</w:t>
            </w:r>
            <w:r>
              <w:rPr>
                <w:rFonts w:hint="eastAsia" w:ascii="宋体" w:hAnsi="宋体" w:eastAsia="宋体" w:cs="宋体"/>
                <w:color w:val="auto"/>
                <w:szCs w:val="21"/>
                <w:highlight w:val="none"/>
              </w:rPr>
              <w:t>。</w:t>
            </w:r>
          </w:p>
        </w:tc>
        <w:tc>
          <w:tcPr>
            <w:tcW w:w="808" w:type="dxa"/>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287" w:type="dxa"/>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业绩分</w:t>
            </w:r>
          </w:p>
        </w:tc>
        <w:tc>
          <w:tcPr>
            <w:tcW w:w="6462" w:type="dxa"/>
          </w:tcPr>
          <w:p>
            <w:pPr>
              <w:pStyle w:val="12"/>
              <w:spacing w:line="360" w:lineRule="auto"/>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供应商同类项目业绩，每项得</w:t>
            </w:r>
            <w:r>
              <w:rPr>
                <w:rFonts w:hint="eastAsia" w:ascii="宋体" w:hAnsi="宋体" w:eastAsia="宋体" w:cs="宋体"/>
                <w:bCs/>
                <w:color w:val="auto"/>
                <w:kern w:val="2"/>
                <w:sz w:val="21"/>
                <w:highlight w:val="none"/>
                <w:lang w:val="en-US" w:eastAsia="zh-CN"/>
              </w:rPr>
              <w:t>5</w:t>
            </w:r>
            <w:r>
              <w:rPr>
                <w:rFonts w:hint="eastAsia" w:ascii="宋体" w:hAnsi="宋体" w:eastAsia="宋体" w:cs="宋体"/>
                <w:bCs/>
                <w:color w:val="auto"/>
                <w:kern w:val="2"/>
                <w:sz w:val="21"/>
                <w:highlight w:val="none"/>
              </w:rPr>
              <w:t>分，满分</w:t>
            </w:r>
            <w:r>
              <w:rPr>
                <w:rFonts w:hint="eastAsia" w:ascii="宋体" w:hAnsi="宋体" w:eastAsia="宋体" w:cs="宋体"/>
                <w:bCs/>
                <w:color w:val="auto"/>
                <w:kern w:val="2"/>
                <w:sz w:val="21"/>
                <w:highlight w:val="none"/>
                <w:lang w:val="en-US" w:eastAsia="zh-CN"/>
              </w:rPr>
              <w:t>10</w:t>
            </w:r>
            <w:r>
              <w:rPr>
                <w:rFonts w:hint="eastAsia" w:ascii="宋体" w:hAnsi="宋体" w:eastAsia="宋体" w:cs="宋体"/>
                <w:bCs/>
                <w:color w:val="auto"/>
                <w:kern w:val="2"/>
                <w:sz w:val="21"/>
                <w:highlight w:val="none"/>
              </w:rPr>
              <w:t>分。[以合同或者中标（成交）通知书复印件为准，并加盖供应商公章]。</w:t>
            </w:r>
          </w:p>
        </w:tc>
        <w:tc>
          <w:tcPr>
            <w:tcW w:w="808" w:type="dxa"/>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82" w:type="dxa"/>
            <w:gridSpan w:val="3"/>
          </w:tcPr>
          <w:p>
            <w:pPr>
              <w:pStyle w:val="12"/>
              <w:spacing w:line="360" w:lineRule="auto"/>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总得分＝1＋2＋3</w:t>
            </w:r>
          </w:p>
        </w:tc>
        <w:tc>
          <w:tcPr>
            <w:tcW w:w="808" w:type="dxa"/>
            <w:vAlign w:val="center"/>
          </w:tcPr>
          <w:p>
            <w:pPr>
              <w:widowControl/>
              <w:spacing w:line="360" w:lineRule="auto"/>
              <w:jc w:val="center"/>
              <w:rPr>
                <w:rFonts w:hint="eastAsia" w:ascii="宋体" w:hAnsi="宋体" w:eastAsia="宋体" w:cs="宋体"/>
                <w:color w:val="auto"/>
                <w:kern w:val="0"/>
                <w:szCs w:val="21"/>
                <w:highlight w:val="none"/>
              </w:rPr>
            </w:pPr>
          </w:p>
        </w:tc>
      </w:tr>
    </w:tbl>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7.由磋商小组根据综合评分情况，按照评审</w:t>
      </w:r>
      <w:r>
        <w:rPr>
          <w:rFonts w:hint="eastAsia" w:ascii="宋体" w:hAnsi="宋体" w:eastAsia="宋体" w:cs="宋体"/>
          <w:color w:val="auto"/>
          <w:highlight w:val="none"/>
        </w:rPr>
        <w:t>总得分</w:t>
      </w:r>
      <w:r>
        <w:rPr>
          <w:rFonts w:hint="eastAsia" w:ascii="宋体" w:hAnsi="宋体" w:eastAsia="宋体" w:cs="宋体"/>
          <w:bCs/>
          <w:color w:val="auto"/>
          <w:szCs w:val="21"/>
          <w:highlight w:val="none"/>
        </w:rPr>
        <w:t>由高到低顺序推荐3名以上成交候选供应商，并编写评审报告。符合本章第4.3条情形的，可以推荐2家成交候选供应商。评审得分相同的，按照</w:t>
      </w:r>
      <w:r>
        <w:rPr>
          <w:rFonts w:hint="eastAsia" w:ascii="宋体" w:hAnsi="宋体" w:eastAsia="宋体" w:cs="宋体"/>
          <w:color w:val="auto"/>
          <w:szCs w:val="21"/>
          <w:highlight w:val="none"/>
        </w:rPr>
        <w:t>最终磋商报价</w:t>
      </w:r>
      <w:r>
        <w:rPr>
          <w:rFonts w:hint="eastAsia" w:ascii="宋体" w:hAnsi="宋体" w:eastAsia="宋体" w:cs="宋体"/>
          <w:bCs/>
          <w:color w:val="auto"/>
          <w:szCs w:val="21"/>
          <w:highlight w:val="none"/>
        </w:rPr>
        <w:t>（不计算价格折扣）由低到高的顺序推荐。评审得分且</w:t>
      </w:r>
      <w:r>
        <w:rPr>
          <w:rFonts w:hint="eastAsia" w:ascii="宋体" w:hAnsi="宋体" w:eastAsia="宋体" w:cs="宋体"/>
          <w:color w:val="auto"/>
          <w:szCs w:val="21"/>
          <w:highlight w:val="none"/>
        </w:rPr>
        <w:t>最终磋商报价</w:t>
      </w:r>
      <w:r>
        <w:rPr>
          <w:rFonts w:hint="eastAsia" w:ascii="宋体" w:hAnsi="宋体" w:eastAsia="宋体" w:cs="宋体"/>
          <w:bCs/>
          <w:color w:val="auto"/>
          <w:szCs w:val="21"/>
          <w:highlight w:val="none"/>
        </w:rPr>
        <w:t>（不计算价格折扣）相同的，</w:t>
      </w:r>
      <w:r>
        <w:rPr>
          <w:rFonts w:hint="eastAsia" w:ascii="宋体" w:hAnsi="宋体" w:eastAsia="宋体" w:cs="宋体"/>
          <w:color w:val="auto"/>
          <w:highlight w:val="none"/>
        </w:rPr>
        <w:t>依次按照技术分、业绩分高优先排名。</w:t>
      </w:r>
      <w:r>
        <w:rPr>
          <w:rFonts w:hint="eastAsia" w:ascii="宋体" w:hAnsi="宋体" w:eastAsia="宋体" w:cs="宋体"/>
          <w:bCs/>
          <w:color w:val="auto"/>
          <w:szCs w:val="21"/>
          <w:highlight w:val="none"/>
        </w:rPr>
        <w:t>评审得分、</w:t>
      </w:r>
      <w:r>
        <w:rPr>
          <w:rFonts w:hint="eastAsia" w:ascii="宋体" w:hAnsi="宋体" w:eastAsia="宋体" w:cs="宋体"/>
          <w:color w:val="auto"/>
          <w:szCs w:val="21"/>
          <w:highlight w:val="none"/>
        </w:rPr>
        <w:t>最终磋商报价</w:t>
      </w:r>
      <w:r>
        <w:rPr>
          <w:rFonts w:hint="eastAsia" w:ascii="宋体" w:hAnsi="宋体" w:eastAsia="宋体" w:cs="宋体"/>
          <w:bCs/>
          <w:color w:val="auto"/>
          <w:szCs w:val="21"/>
          <w:highlight w:val="none"/>
        </w:rPr>
        <w:t>（不计算价格折扣）、技术分、业绩分均相同的，由磋商小组随机抽取推荐。</w:t>
      </w:r>
    </w:p>
    <w:p>
      <w:pPr>
        <w:spacing w:line="400" w:lineRule="exact"/>
        <w:ind w:firstLine="42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71" w:name="_Toc44229897"/>
    </w:p>
    <w:p>
      <w:pPr>
        <w:ind w:firstLine="420" w:firstLineChars="200"/>
        <w:rPr>
          <w:rFonts w:hint="eastAsia" w:ascii="宋体" w:hAnsi="宋体" w:eastAsia="宋体" w:cs="宋体"/>
          <w:color w:val="auto"/>
          <w:highlight w:val="none"/>
        </w:rPr>
      </w:pPr>
    </w:p>
    <w:p>
      <w:pPr>
        <w:ind w:firstLine="1044" w:firstLineChars="200"/>
        <w:jc w:val="center"/>
        <w:rPr>
          <w:rFonts w:hint="eastAsia" w:ascii="宋体" w:hAnsi="宋体" w:eastAsia="宋体" w:cs="宋体"/>
          <w:color w:val="auto"/>
          <w:highlight w:val="none"/>
        </w:rPr>
      </w:pPr>
      <w:r>
        <w:rPr>
          <w:rFonts w:hint="eastAsia" w:ascii="宋体" w:hAnsi="宋体" w:eastAsia="宋体" w:cs="宋体"/>
          <w:b/>
          <w:bCs/>
          <w:color w:val="auto"/>
          <w:sz w:val="52"/>
          <w:szCs w:val="72"/>
          <w:highlight w:val="none"/>
        </w:rPr>
        <w:t>第五章 响应文件格式</w:t>
      </w:r>
      <w:bookmarkEnd w:id="71"/>
    </w:p>
    <w:p>
      <w:pPr>
        <w:spacing w:line="240" w:lineRule="atLeast"/>
        <w:rPr>
          <w:rFonts w:hint="eastAsia" w:ascii="宋体" w:hAnsi="宋体" w:eastAsia="宋体" w:cs="宋体"/>
          <w:b/>
          <w:color w:val="auto"/>
          <w:sz w:val="32"/>
          <w:szCs w:val="32"/>
          <w:highlight w:val="none"/>
        </w:rPr>
      </w:pPr>
    </w:p>
    <w:p>
      <w:pPr>
        <w:snapToGrid w:val="0"/>
        <w:spacing w:before="50" w:after="50"/>
        <w:outlineLvl w:val="1"/>
        <w:rPr>
          <w:rFonts w:hint="eastAsia" w:ascii="宋体" w:hAnsi="宋体" w:eastAsia="宋体" w:cs="宋体"/>
          <w:b/>
          <w:bCs/>
          <w:color w:val="auto"/>
          <w:sz w:val="24"/>
          <w:highlight w:val="none"/>
        </w:rPr>
      </w:pPr>
    </w:p>
    <w:p>
      <w:pPr>
        <w:snapToGrid w:val="0"/>
        <w:spacing w:before="50" w:after="50"/>
        <w:outlineLvl w:val="1"/>
        <w:rPr>
          <w:rFonts w:hint="eastAsia" w:ascii="宋体" w:hAnsi="宋体" w:eastAsia="宋体" w:cs="宋体"/>
          <w:b/>
          <w:bCs/>
          <w:color w:val="auto"/>
          <w:sz w:val="32"/>
          <w:szCs w:val="32"/>
          <w:highlight w:val="none"/>
        </w:rPr>
      </w:pPr>
      <w:bookmarkStart w:id="72" w:name="_Toc44229898"/>
      <w:r>
        <w:rPr>
          <w:rFonts w:hint="eastAsia" w:ascii="宋体" w:hAnsi="宋体" w:eastAsia="宋体" w:cs="宋体"/>
          <w:b/>
          <w:color w:val="auto"/>
          <w:sz w:val="32"/>
          <w:szCs w:val="32"/>
          <w:highlight w:val="none"/>
        </w:rPr>
        <w:t>（</w:t>
      </w:r>
      <w:bookmarkStart w:id="73" w:name="_Toc35611437"/>
      <w:bookmarkStart w:id="74" w:name="_Toc35611515"/>
      <w:r>
        <w:rPr>
          <w:rFonts w:hint="eastAsia" w:ascii="宋体" w:hAnsi="宋体" w:eastAsia="宋体" w:cs="宋体"/>
          <w:b/>
          <w:bCs/>
          <w:color w:val="auto"/>
          <w:sz w:val="32"/>
          <w:szCs w:val="32"/>
          <w:highlight w:val="none"/>
        </w:rPr>
        <w:t>响应文件外层包装封面格式</w:t>
      </w:r>
      <w:bookmarkEnd w:id="73"/>
      <w:bookmarkEnd w:id="74"/>
      <w:r>
        <w:rPr>
          <w:rFonts w:hint="eastAsia" w:ascii="宋体" w:hAnsi="宋体" w:eastAsia="宋体" w:cs="宋体"/>
          <w:b/>
          <w:color w:val="auto"/>
          <w:sz w:val="32"/>
          <w:szCs w:val="32"/>
          <w:highlight w:val="none"/>
        </w:rPr>
        <w:t xml:space="preserve"> ）</w:t>
      </w:r>
      <w:bookmarkEnd w:id="72"/>
    </w:p>
    <w:p>
      <w:pPr>
        <w:snapToGrid w:val="0"/>
        <w:spacing w:before="156" w:beforeLines="50" w:after="50"/>
        <w:rPr>
          <w:rFonts w:hint="eastAsia" w:ascii="宋体" w:hAnsi="宋体" w:eastAsia="宋体" w:cs="宋体"/>
          <w:color w:val="auto"/>
          <w:sz w:val="24"/>
          <w:szCs w:val="20"/>
          <w:highlight w:val="none"/>
        </w:rPr>
      </w:pPr>
    </w:p>
    <w:p>
      <w:pPr>
        <w:snapToGrid w:val="0"/>
        <w:spacing w:before="156" w:beforeLines="50" w:after="50"/>
        <w:jc w:val="center"/>
        <w:rPr>
          <w:rFonts w:hint="eastAsia" w:ascii="宋体" w:hAnsi="宋体" w:eastAsia="宋体" w:cs="宋体"/>
          <w:bCs/>
          <w:color w:val="auto"/>
          <w:sz w:val="24"/>
          <w:szCs w:val="20"/>
          <w:highlight w:val="none"/>
        </w:rPr>
      </w:pPr>
    </w:p>
    <w:p>
      <w:pPr>
        <w:snapToGrid w:val="0"/>
        <w:spacing w:before="156"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pPr>
        <w:snapToGrid w:val="0"/>
        <w:spacing w:before="156" w:beforeLines="50" w:after="50"/>
        <w:rPr>
          <w:rFonts w:hint="eastAsia" w:ascii="宋体" w:hAnsi="宋体" w:eastAsia="宋体" w:cs="宋体"/>
          <w:bCs/>
          <w:color w:val="auto"/>
          <w:sz w:val="24"/>
          <w:szCs w:val="20"/>
          <w:highlight w:val="none"/>
        </w:rPr>
      </w:pP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（电子响应文件）</w:t>
      </w:r>
    </w:p>
    <w:p>
      <w:pPr>
        <w:snapToGrid w:val="0"/>
        <w:spacing w:before="156" w:beforeLines="50" w:after="50"/>
        <w:rPr>
          <w:rFonts w:hint="eastAsia" w:ascii="宋体" w:hAnsi="宋体" w:eastAsia="宋体" w:cs="宋体"/>
          <w:bCs/>
          <w:color w:val="auto"/>
          <w:sz w:val="24"/>
          <w:szCs w:val="20"/>
          <w:highlight w:val="none"/>
        </w:rPr>
      </w:pPr>
    </w:p>
    <w:p>
      <w:pPr>
        <w:snapToGrid w:val="0"/>
        <w:spacing w:before="156" w:beforeLines="50" w:after="50"/>
        <w:rPr>
          <w:rFonts w:hint="eastAsia" w:ascii="宋体" w:hAnsi="宋体" w:eastAsia="宋体" w:cs="宋体"/>
          <w:bCs/>
          <w:color w:val="auto"/>
          <w:sz w:val="32"/>
          <w:szCs w:val="32"/>
          <w:highlight w:val="none"/>
        </w:rPr>
      </w:pPr>
    </w:p>
    <w:p>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pPr>
        <w:snapToGrid w:val="0"/>
        <w:spacing w:before="156" w:beforeLines="50" w:after="50"/>
        <w:ind w:firstLine="480" w:firstLineChars="150"/>
        <w:rPr>
          <w:rFonts w:hint="eastAsia" w:ascii="宋体" w:hAnsi="宋体" w:eastAsia="宋体" w:cs="宋体"/>
          <w:bCs/>
          <w:color w:val="auto"/>
          <w:sz w:val="32"/>
          <w:szCs w:val="32"/>
          <w:highlight w:val="none"/>
        </w:rPr>
      </w:pPr>
    </w:p>
    <w:p>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pPr>
        <w:snapToGrid w:val="0"/>
        <w:spacing w:before="156" w:beforeLines="50" w:after="50"/>
        <w:ind w:firstLine="480" w:firstLineChars="150"/>
        <w:rPr>
          <w:rFonts w:hint="eastAsia" w:ascii="宋体" w:hAnsi="宋体" w:eastAsia="宋体" w:cs="宋体"/>
          <w:bCs/>
          <w:color w:val="auto"/>
          <w:sz w:val="32"/>
          <w:szCs w:val="32"/>
          <w:highlight w:val="none"/>
        </w:rPr>
      </w:pPr>
    </w:p>
    <w:p>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pPr>
        <w:snapToGrid w:val="0"/>
        <w:spacing w:before="156" w:beforeLines="50" w:after="50"/>
        <w:rPr>
          <w:rFonts w:hint="eastAsia" w:ascii="宋体" w:hAnsi="宋体" w:eastAsia="宋体" w:cs="宋体"/>
          <w:bCs/>
          <w:color w:val="auto"/>
          <w:sz w:val="32"/>
          <w:szCs w:val="32"/>
          <w:highlight w:val="none"/>
        </w:rPr>
      </w:pPr>
    </w:p>
    <w:p>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snapToGrid w:val="0"/>
        <w:spacing w:before="156" w:beforeLines="50" w:after="50"/>
        <w:rPr>
          <w:rFonts w:hint="eastAsia" w:ascii="宋体" w:hAnsi="宋体" w:eastAsia="宋体" w:cs="宋体"/>
          <w:bCs/>
          <w:color w:val="auto"/>
          <w:sz w:val="32"/>
          <w:szCs w:val="32"/>
          <w:highlight w:val="none"/>
        </w:rPr>
      </w:pPr>
    </w:p>
    <w:p>
      <w:pPr>
        <w:snapToGrid w:val="0"/>
        <w:spacing w:before="156"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pPr>
        <w:snapToGrid w:val="0"/>
        <w:spacing w:before="156" w:beforeLines="50" w:after="50"/>
        <w:ind w:firstLine="5440" w:firstLineChars="1700"/>
        <w:jc w:val="center"/>
        <w:rPr>
          <w:rFonts w:hint="eastAsia" w:ascii="宋体" w:hAnsi="宋体" w:eastAsia="宋体" w:cs="宋体"/>
          <w:bCs/>
          <w:color w:val="auto"/>
          <w:sz w:val="32"/>
          <w:szCs w:val="32"/>
          <w:highlight w:val="none"/>
        </w:rPr>
      </w:pPr>
    </w:p>
    <w:p>
      <w:pPr>
        <w:snapToGrid w:val="0"/>
        <w:spacing w:before="156"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pPr>
        <w:spacing w:line="240" w:lineRule="atLeast"/>
        <w:rPr>
          <w:rFonts w:hint="eastAsia" w:ascii="宋体" w:hAnsi="宋体" w:eastAsia="宋体" w:cs="宋体"/>
          <w:bCs/>
          <w:color w:val="auto"/>
          <w:sz w:val="32"/>
          <w:szCs w:val="32"/>
          <w:highlight w:val="none"/>
        </w:rPr>
      </w:pPr>
      <w:r>
        <w:rPr>
          <w:rFonts w:hint="eastAsia" w:ascii="宋体" w:hAnsi="宋体" w:eastAsia="宋体" w:cs="宋体"/>
          <w:bCs/>
          <w:color w:val="auto"/>
          <w:sz w:val="24"/>
          <w:highlight w:val="none"/>
        </w:rPr>
        <w:br w:type="page"/>
      </w:r>
      <w:r>
        <w:rPr>
          <w:rFonts w:hint="eastAsia" w:ascii="宋体" w:hAnsi="宋体" w:eastAsia="宋体" w:cs="宋体"/>
          <w:b/>
          <w:bCs/>
          <w:color w:val="auto"/>
          <w:sz w:val="32"/>
          <w:szCs w:val="32"/>
          <w:highlight w:val="none"/>
        </w:rPr>
        <w:t>（响应文件封面格式）</w:t>
      </w:r>
    </w:p>
    <w:p>
      <w:pPr>
        <w:spacing w:line="240" w:lineRule="atLeast"/>
        <w:jc w:val="center"/>
        <w:rPr>
          <w:rFonts w:hint="eastAsia" w:ascii="宋体" w:hAnsi="宋体" w:eastAsia="宋体" w:cs="宋体"/>
          <w:bCs/>
          <w:color w:val="auto"/>
          <w:sz w:val="24"/>
          <w:highlight w:val="none"/>
        </w:rPr>
      </w:pPr>
    </w:p>
    <w:p>
      <w:pPr>
        <w:spacing w:line="240" w:lineRule="atLeast"/>
        <w:jc w:val="center"/>
        <w:rPr>
          <w:rFonts w:hint="eastAsia" w:ascii="宋体" w:hAnsi="宋体" w:eastAsia="宋体" w:cs="宋体"/>
          <w:bCs/>
          <w:color w:val="auto"/>
          <w:sz w:val="24"/>
          <w:highlight w:val="none"/>
        </w:rPr>
      </w:pPr>
    </w:p>
    <w:p>
      <w:pPr>
        <w:spacing w:line="240" w:lineRule="atLeast"/>
        <w:jc w:val="center"/>
        <w:rPr>
          <w:rFonts w:hint="eastAsia" w:ascii="宋体" w:hAnsi="宋体" w:eastAsia="宋体" w:cs="宋体"/>
          <w:bCs/>
          <w:color w:val="auto"/>
          <w:sz w:val="24"/>
          <w:highlight w:val="none"/>
        </w:rPr>
      </w:pPr>
    </w:p>
    <w:p>
      <w:pPr>
        <w:spacing w:line="240" w:lineRule="atLeast"/>
        <w:jc w:val="center"/>
        <w:rPr>
          <w:rFonts w:hint="eastAsia" w:ascii="宋体" w:hAnsi="宋体" w:eastAsia="宋体" w:cs="宋体"/>
          <w:bCs/>
          <w:color w:val="auto"/>
          <w:sz w:val="44"/>
          <w:szCs w:val="44"/>
          <w:highlight w:val="none"/>
        </w:rPr>
      </w:pPr>
    </w:p>
    <w:p>
      <w:pPr>
        <w:spacing w:line="240" w:lineRule="atLeast"/>
        <w:jc w:val="center"/>
        <w:rPr>
          <w:rFonts w:hint="eastAsia" w:ascii="宋体" w:hAnsi="宋体" w:eastAsia="宋体" w:cs="宋体"/>
          <w:bCs/>
          <w:color w:val="auto"/>
          <w:sz w:val="44"/>
          <w:szCs w:val="44"/>
          <w:highlight w:val="none"/>
        </w:rPr>
      </w:pPr>
    </w:p>
    <w:p>
      <w:pPr>
        <w:spacing w:line="240" w:lineRule="atLeas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响  应  文  件</w:t>
      </w:r>
      <w:r>
        <w:rPr>
          <w:rFonts w:hint="eastAsia" w:ascii="宋体" w:hAnsi="宋体" w:eastAsia="宋体" w:cs="宋体"/>
          <w:b/>
          <w:color w:val="auto"/>
          <w:sz w:val="32"/>
          <w:szCs w:val="32"/>
          <w:highlight w:val="none"/>
        </w:rPr>
        <w:t xml:space="preserve"> </w:t>
      </w:r>
      <w:r>
        <w:rPr>
          <w:rFonts w:hint="eastAsia" w:ascii="宋体" w:hAnsi="宋体" w:eastAsia="宋体" w:cs="宋体"/>
          <w:color w:val="auto"/>
          <w:szCs w:val="21"/>
          <w:highlight w:val="none"/>
        </w:rPr>
        <w:t>(封面)</w:t>
      </w: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left"/>
        <w:rPr>
          <w:rFonts w:hint="eastAsia" w:ascii="宋体" w:hAnsi="宋体" w:eastAsia="宋体" w:cs="宋体"/>
          <w:color w:val="auto"/>
          <w:sz w:val="32"/>
          <w:szCs w:val="32"/>
          <w:highlight w:val="none"/>
        </w:rPr>
      </w:pPr>
    </w:p>
    <w:p>
      <w:pPr>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p>
      <w:pPr>
        <w:spacing w:line="360" w:lineRule="auto"/>
        <w:ind w:firstLine="640" w:firstLineChars="200"/>
        <w:jc w:val="left"/>
        <w:rPr>
          <w:rFonts w:hint="eastAsia" w:ascii="宋体" w:hAnsi="宋体" w:eastAsia="宋体" w:cs="宋体"/>
          <w:color w:val="auto"/>
          <w:sz w:val="32"/>
          <w:szCs w:val="32"/>
          <w:highlight w:val="none"/>
          <w:u w:val="single"/>
        </w:rPr>
      </w:pPr>
    </w:p>
    <w:p>
      <w:pPr>
        <w:tabs>
          <w:tab w:val="left" w:pos="3240"/>
        </w:tabs>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w:t>
      </w:r>
    </w:p>
    <w:p>
      <w:pPr>
        <w:tabs>
          <w:tab w:val="left" w:pos="3240"/>
        </w:tabs>
        <w:spacing w:line="360" w:lineRule="auto"/>
        <w:ind w:firstLine="640" w:firstLineChars="200"/>
        <w:jc w:val="left"/>
        <w:rPr>
          <w:rFonts w:hint="eastAsia" w:ascii="宋体" w:hAnsi="宋体" w:eastAsia="宋体" w:cs="宋体"/>
          <w:color w:val="auto"/>
          <w:sz w:val="32"/>
          <w:szCs w:val="32"/>
          <w:highlight w:val="none"/>
          <w:u w:val="single"/>
        </w:rPr>
      </w:pPr>
    </w:p>
    <w:p>
      <w:pPr>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所竞分标</w:t>
      </w:r>
      <w:r>
        <w:rPr>
          <w:rFonts w:hint="eastAsia" w:ascii="宋体" w:hAnsi="宋体" w:eastAsia="宋体" w:cs="宋体"/>
          <w:bCs/>
          <w:color w:val="auto"/>
          <w:sz w:val="32"/>
          <w:szCs w:val="32"/>
          <w:highlight w:val="none"/>
        </w:rPr>
        <w:t>（如有则填写，无分标时填写“无”或者留空）</w:t>
      </w:r>
      <w:r>
        <w:rPr>
          <w:rFonts w:hint="eastAsia" w:ascii="宋体" w:hAnsi="宋体" w:eastAsia="宋体" w:cs="宋体"/>
          <w:color w:val="auto"/>
          <w:sz w:val="32"/>
          <w:szCs w:val="32"/>
          <w:highlight w:val="none"/>
        </w:rPr>
        <w:t>：</w:t>
      </w:r>
    </w:p>
    <w:p>
      <w:pPr>
        <w:spacing w:line="360" w:lineRule="auto"/>
        <w:ind w:firstLine="640" w:firstLineChars="200"/>
        <w:jc w:val="left"/>
        <w:rPr>
          <w:rFonts w:hint="eastAsia" w:ascii="宋体" w:hAnsi="宋体" w:eastAsia="宋体" w:cs="宋体"/>
          <w:color w:val="auto"/>
          <w:sz w:val="32"/>
          <w:szCs w:val="32"/>
          <w:highlight w:val="none"/>
          <w:u w:val="single"/>
        </w:rPr>
      </w:pPr>
    </w:p>
    <w:p>
      <w:pPr>
        <w:spacing w:line="360" w:lineRule="auto"/>
        <w:ind w:firstLine="640" w:firstLineChars="200"/>
        <w:jc w:val="left"/>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供应商名称：</w:t>
      </w:r>
    </w:p>
    <w:p>
      <w:pPr>
        <w:snapToGrid w:val="0"/>
        <w:spacing w:before="156" w:beforeLines="50" w:after="50"/>
        <w:rPr>
          <w:rFonts w:hint="eastAsia" w:ascii="宋体" w:hAnsi="宋体" w:eastAsia="宋体" w:cs="宋体"/>
          <w:color w:val="auto"/>
          <w:sz w:val="32"/>
          <w:szCs w:val="32"/>
          <w:highlight w:val="none"/>
        </w:rPr>
      </w:pPr>
    </w:p>
    <w:p>
      <w:pPr>
        <w:snapToGrid w:val="0"/>
        <w:spacing w:before="156" w:beforeLines="50" w:after="50"/>
        <w:rPr>
          <w:rFonts w:hint="eastAsia" w:ascii="宋体" w:hAnsi="宋体" w:eastAsia="宋体" w:cs="宋体"/>
          <w:color w:val="auto"/>
          <w:sz w:val="32"/>
          <w:szCs w:val="32"/>
          <w:highlight w:val="none"/>
        </w:rPr>
      </w:pPr>
    </w:p>
    <w:p>
      <w:pPr>
        <w:snapToGrid w:val="0"/>
        <w:spacing w:before="156" w:beforeLines="50" w:after="50"/>
        <w:rPr>
          <w:rFonts w:hint="eastAsia" w:ascii="宋体" w:hAnsi="宋体" w:eastAsia="宋体" w:cs="宋体"/>
          <w:color w:val="auto"/>
          <w:sz w:val="32"/>
          <w:szCs w:val="32"/>
          <w:highlight w:val="none"/>
        </w:rPr>
      </w:pPr>
    </w:p>
    <w:p>
      <w:pPr>
        <w:snapToGrid w:val="0"/>
        <w:spacing w:before="156"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snapToGrid w:val="0"/>
        <w:spacing w:before="156"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snapToGrid w:val="0"/>
        <w:spacing w:before="156" w:beforeLines="50" w:after="50" w:line="360" w:lineRule="auto"/>
        <w:outlineLvl w:val="1"/>
        <w:rPr>
          <w:rFonts w:hint="eastAsia" w:ascii="宋体" w:hAnsi="宋体" w:eastAsia="宋体" w:cs="宋体"/>
          <w:b/>
          <w:bCs/>
          <w:color w:val="auto"/>
          <w:sz w:val="32"/>
          <w:szCs w:val="32"/>
          <w:highlight w:val="none"/>
        </w:rPr>
      </w:pPr>
      <w:bookmarkStart w:id="75" w:name="_Toc35611516"/>
      <w:bookmarkStart w:id="76" w:name="_Toc35611438"/>
      <w:bookmarkStart w:id="77" w:name="_Toc31728084"/>
      <w:bookmarkStart w:id="78" w:name="_Toc44229899"/>
      <w:bookmarkStart w:id="79" w:name="_Toc31723070"/>
      <w:r>
        <w:rPr>
          <w:rFonts w:hint="eastAsia" w:ascii="宋体" w:hAnsi="宋体" w:eastAsia="宋体" w:cs="宋体"/>
          <w:b/>
          <w:bCs/>
          <w:color w:val="auto"/>
          <w:sz w:val="32"/>
          <w:szCs w:val="32"/>
          <w:highlight w:val="none"/>
        </w:rPr>
        <w:t>一、资格证明文件格式</w:t>
      </w:r>
      <w:bookmarkEnd w:id="75"/>
      <w:bookmarkEnd w:id="76"/>
      <w:bookmarkEnd w:id="77"/>
      <w:bookmarkEnd w:id="78"/>
      <w:bookmarkEnd w:id="79"/>
    </w:p>
    <w:p>
      <w:pPr>
        <w:snapToGrid w:val="0"/>
        <w:spacing w:before="156" w:beforeLines="50" w:after="50" w:line="360" w:lineRule="auto"/>
        <w:jc w:val="left"/>
        <w:rPr>
          <w:rFonts w:hint="eastAsia" w:ascii="宋体" w:hAnsi="宋体" w:eastAsia="宋体" w:cs="宋体"/>
          <w:b/>
          <w:color w:val="auto"/>
          <w:sz w:val="32"/>
          <w:szCs w:val="32"/>
          <w:highlight w:val="none"/>
        </w:rPr>
      </w:pPr>
    </w:p>
    <w:p>
      <w:pPr>
        <w:snapToGrid w:val="0"/>
        <w:spacing w:before="156" w:beforeLines="50" w:after="50"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资格证明文件封面格式</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24"/>
          <w:highlight w:val="none"/>
        </w:rPr>
        <w:t xml:space="preserve"> </w:t>
      </w:r>
    </w:p>
    <w:p>
      <w:pPr>
        <w:snapToGrid w:val="0"/>
        <w:spacing w:before="156"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电子响应文件</w:t>
      </w:r>
    </w:p>
    <w:p>
      <w:pPr>
        <w:snapToGrid w:val="0"/>
        <w:spacing w:before="156" w:beforeLines="50" w:after="50"/>
        <w:rPr>
          <w:rFonts w:hint="eastAsia" w:ascii="宋体" w:hAnsi="宋体" w:eastAsia="宋体" w:cs="宋体"/>
          <w:color w:val="auto"/>
          <w:sz w:val="24"/>
          <w:szCs w:val="20"/>
          <w:highlight w:val="none"/>
        </w:rPr>
      </w:pPr>
    </w:p>
    <w:p>
      <w:pPr>
        <w:snapToGrid w:val="0"/>
        <w:spacing w:before="156" w:beforeLines="50" w:after="50"/>
        <w:rPr>
          <w:rFonts w:hint="eastAsia" w:ascii="宋体" w:hAnsi="宋体" w:eastAsia="宋体" w:cs="宋体"/>
          <w:color w:val="auto"/>
          <w:sz w:val="24"/>
          <w:szCs w:val="20"/>
          <w:highlight w:val="none"/>
        </w:rPr>
      </w:pPr>
    </w:p>
    <w:p>
      <w:pPr>
        <w:snapToGrid w:val="0"/>
        <w:spacing w:before="156"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w:t>
      </w:r>
    </w:p>
    <w:p>
      <w:pPr>
        <w:snapToGrid w:val="0"/>
        <w:spacing w:before="156" w:beforeLines="50" w:after="50"/>
        <w:rPr>
          <w:rFonts w:hint="eastAsia" w:ascii="宋体" w:hAnsi="宋体" w:eastAsia="宋体" w:cs="宋体"/>
          <w:bCs/>
          <w:color w:val="auto"/>
          <w:sz w:val="24"/>
          <w:szCs w:val="20"/>
          <w:highlight w:val="none"/>
        </w:rPr>
      </w:pPr>
    </w:p>
    <w:p>
      <w:pPr>
        <w:snapToGrid w:val="0"/>
        <w:spacing w:before="156" w:beforeLines="50" w:after="50"/>
        <w:rPr>
          <w:rFonts w:hint="eastAsia" w:ascii="宋体" w:hAnsi="宋体" w:eastAsia="宋体" w:cs="宋体"/>
          <w:bCs/>
          <w:color w:val="auto"/>
          <w:sz w:val="24"/>
          <w:szCs w:val="20"/>
          <w:highlight w:val="none"/>
        </w:rPr>
      </w:pPr>
    </w:p>
    <w:p>
      <w:pPr>
        <w:snapToGrid w:val="0"/>
        <w:spacing w:before="156" w:beforeLines="50" w:after="50"/>
        <w:rPr>
          <w:rFonts w:hint="eastAsia" w:ascii="宋体" w:hAnsi="宋体" w:eastAsia="宋体" w:cs="宋体"/>
          <w:bCs/>
          <w:color w:val="auto"/>
          <w:sz w:val="24"/>
          <w:szCs w:val="20"/>
          <w:highlight w:val="none"/>
        </w:rPr>
      </w:pPr>
    </w:p>
    <w:p>
      <w:pPr>
        <w:snapToGrid w:val="0"/>
        <w:spacing w:before="156" w:beforeLines="50" w:after="50"/>
        <w:rPr>
          <w:rFonts w:hint="eastAsia" w:ascii="宋体" w:hAnsi="宋体" w:eastAsia="宋体" w:cs="宋体"/>
          <w:bCs/>
          <w:color w:val="auto"/>
          <w:sz w:val="24"/>
          <w:szCs w:val="20"/>
          <w:highlight w:val="none"/>
        </w:rPr>
      </w:pPr>
    </w:p>
    <w:p>
      <w:pPr>
        <w:snapToGrid w:val="0"/>
        <w:spacing w:before="156" w:beforeLines="50" w:after="50"/>
        <w:rPr>
          <w:rFonts w:hint="eastAsia" w:ascii="宋体" w:hAnsi="宋体" w:eastAsia="宋体" w:cs="宋体"/>
          <w:bCs/>
          <w:color w:val="auto"/>
          <w:sz w:val="24"/>
          <w:szCs w:val="20"/>
          <w:highlight w:val="none"/>
        </w:rPr>
      </w:pPr>
    </w:p>
    <w:p>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pPr>
        <w:snapToGrid w:val="0"/>
        <w:spacing w:before="156" w:beforeLines="50" w:after="50"/>
        <w:ind w:firstLine="720" w:firstLineChars="225"/>
        <w:rPr>
          <w:rFonts w:hint="eastAsia" w:ascii="宋体" w:hAnsi="宋体" w:eastAsia="宋体" w:cs="宋体"/>
          <w:bCs/>
          <w:color w:val="auto"/>
          <w:sz w:val="32"/>
          <w:szCs w:val="32"/>
          <w:highlight w:val="none"/>
        </w:rPr>
      </w:pPr>
    </w:p>
    <w:p>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pPr>
        <w:snapToGrid w:val="0"/>
        <w:spacing w:before="156" w:beforeLines="50" w:after="50"/>
        <w:ind w:firstLine="720" w:firstLineChars="225"/>
        <w:rPr>
          <w:rFonts w:hint="eastAsia" w:ascii="宋体" w:hAnsi="宋体" w:eastAsia="宋体" w:cs="宋体"/>
          <w:bCs/>
          <w:color w:val="auto"/>
          <w:sz w:val="32"/>
          <w:szCs w:val="32"/>
          <w:highlight w:val="none"/>
        </w:rPr>
      </w:pPr>
    </w:p>
    <w:p>
      <w:pPr>
        <w:pStyle w:val="7"/>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pStyle w:val="7"/>
        <w:snapToGrid w:val="0"/>
        <w:spacing w:before="50" w:after="50"/>
        <w:ind w:firstLine="720" w:firstLineChars="225"/>
        <w:rPr>
          <w:rFonts w:hint="eastAsia" w:ascii="宋体" w:hAnsi="宋体" w:eastAsia="宋体" w:cs="宋体"/>
          <w:bCs/>
          <w:color w:val="auto"/>
          <w:sz w:val="32"/>
          <w:szCs w:val="32"/>
          <w:highlight w:val="none"/>
        </w:rPr>
      </w:pPr>
    </w:p>
    <w:p>
      <w:pPr>
        <w:pStyle w:val="7"/>
        <w:snapToGrid w:val="0"/>
        <w:spacing w:before="50" w:after="50"/>
        <w:ind w:firstLine="720" w:firstLineChars="225"/>
        <w:rPr>
          <w:rFonts w:hint="eastAsia" w:ascii="宋体" w:hAnsi="宋体" w:eastAsia="宋体" w:cs="宋体"/>
          <w:bCs/>
          <w:color w:val="auto"/>
          <w:sz w:val="32"/>
          <w:szCs w:val="32"/>
          <w:highlight w:val="none"/>
        </w:rPr>
      </w:pPr>
    </w:p>
    <w:p>
      <w:pPr>
        <w:pStyle w:val="7"/>
        <w:snapToGrid w:val="0"/>
        <w:spacing w:before="50" w:after="50"/>
        <w:ind w:firstLine="720" w:firstLineChars="225"/>
        <w:rPr>
          <w:rFonts w:hint="eastAsia" w:ascii="宋体" w:hAnsi="宋体" w:eastAsia="宋体" w:cs="宋体"/>
          <w:bCs/>
          <w:color w:val="auto"/>
          <w:sz w:val="32"/>
          <w:szCs w:val="32"/>
          <w:highlight w:val="none"/>
        </w:rPr>
      </w:pPr>
    </w:p>
    <w:p>
      <w:pPr>
        <w:pStyle w:val="7"/>
        <w:snapToGrid w:val="0"/>
        <w:spacing w:before="50" w:after="50"/>
        <w:ind w:firstLine="1280" w:firstLineChars="400"/>
        <w:rPr>
          <w:rFonts w:hint="eastAsia" w:ascii="宋体" w:hAnsi="宋体" w:eastAsia="宋体" w:cs="宋体"/>
          <w:bCs/>
          <w:color w:val="auto"/>
          <w:sz w:val="32"/>
          <w:szCs w:val="32"/>
          <w:highlight w:val="none"/>
        </w:rPr>
      </w:pPr>
    </w:p>
    <w:p>
      <w:pPr>
        <w:snapToGrid w:val="0"/>
        <w:spacing w:before="156"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snapToGrid w:val="0"/>
        <w:spacing w:before="156" w:beforeLines="50" w:after="5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目录</w:t>
      </w:r>
    </w:p>
    <w:p>
      <w:pPr>
        <w:pStyle w:val="2"/>
        <w:rPr>
          <w:rFonts w:hint="eastAsia" w:ascii="宋体" w:hAnsi="宋体" w:eastAsia="宋体" w:cs="宋体"/>
          <w:color w:val="auto"/>
          <w:highlight w:val="none"/>
        </w:rPr>
      </w:pPr>
    </w:p>
    <w:p>
      <w:pPr>
        <w:spacing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1.供应商有效的营业执照副本复印件（必须提供）</w:t>
      </w:r>
    </w:p>
    <w:p>
      <w:pPr>
        <w:spacing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2.磋商之日前半年内连续三个月供应商依法缴纳税收证明（必须提供）</w:t>
      </w:r>
    </w:p>
    <w:p>
      <w:pPr>
        <w:spacing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3.供应商依法缴纳社会保障资金的相关材料（必须提供）</w:t>
      </w:r>
    </w:p>
    <w:p>
      <w:pPr>
        <w:spacing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4.供应商经审计的财务报告或者其基本开户银行出具的资信证明（必须提供）</w:t>
      </w:r>
    </w:p>
    <w:p>
      <w:pPr>
        <w:spacing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 竞标声明；（必须提供）</w:t>
      </w:r>
    </w:p>
    <w:p>
      <w:pPr>
        <w:spacing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 供应商认为需要提供的其他证明材料</w:t>
      </w:r>
    </w:p>
    <w:p>
      <w:pPr>
        <w:pStyle w:val="2"/>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pStyle w:val="2"/>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资格证明文件</w:t>
      </w:r>
    </w:p>
    <w:p>
      <w:pPr>
        <w:snapToGrid w:val="0"/>
        <w:spacing w:before="156" w:beforeLines="50" w:after="50"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根据磋商文件规定及供应商提供的材料自行编写（部分格式后附）。</w:t>
      </w:r>
    </w:p>
    <w:p>
      <w:pPr>
        <w:pStyle w:val="2"/>
        <w:rPr>
          <w:rFonts w:hint="eastAsia" w:ascii="宋体" w:hAnsi="宋体" w:eastAsia="宋体" w:cs="宋体"/>
          <w:color w:val="auto"/>
          <w:highlight w:val="none"/>
        </w:rPr>
      </w:pPr>
    </w:p>
    <w:p>
      <w:pPr>
        <w:pStyle w:val="2"/>
        <w:numPr>
          <w:ilvl w:val="0"/>
          <w:numId w:val="0"/>
        </w:num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供应商有效的营业执照副本复印件（必须提供）</w:t>
      </w:r>
    </w:p>
    <w:p>
      <w:pPr>
        <w:pStyle w:val="2"/>
        <w:widowControl w:val="0"/>
        <w:numPr>
          <w:ilvl w:val="0"/>
          <w:numId w:val="0"/>
        </w:numPr>
        <w:spacing w:after="120"/>
        <w:jc w:val="both"/>
        <w:rPr>
          <w:rFonts w:hint="eastAsia" w:ascii="宋体" w:hAnsi="宋体" w:eastAsia="宋体" w:cs="宋体"/>
          <w:color w:val="auto"/>
          <w:sz w:val="32"/>
          <w:szCs w:val="32"/>
          <w:highlight w:val="none"/>
        </w:rPr>
      </w:pPr>
    </w:p>
    <w:p>
      <w:pPr>
        <w:pStyle w:val="2"/>
        <w:widowControl w:val="0"/>
        <w:numPr>
          <w:ilvl w:val="0"/>
          <w:numId w:val="0"/>
        </w:numPr>
        <w:spacing w:after="120"/>
        <w:jc w:val="both"/>
        <w:rPr>
          <w:rFonts w:hint="eastAsia" w:ascii="宋体" w:hAnsi="宋体" w:eastAsia="宋体" w:cs="宋体"/>
          <w:color w:val="auto"/>
          <w:sz w:val="32"/>
          <w:szCs w:val="32"/>
          <w:highlight w:val="none"/>
        </w:rPr>
      </w:pPr>
    </w:p>
    <w:p>
      <w:pPr>
        <w:pStyle w:val="2"/>
        <w:widowControl w:val="0"/>
        <w:numPr>
          <w:ilvl w:val="0"/>
          <w:numId w:val="0"/>
        </w:numPr>
        <w:spacing w:after="120"/>
        <w:jc w:val="both"/>
        <w:rPr>
          <w:rFonts w:hint="eastAsia" w:ascii="宋体" w:hAnsi="宋体" w:eastAsia="宋体" w:cs="宋体"/>
          <w:color w:val="auto"/>
          <w:sz w:val="32"/>
          <w:szCs w:val="32"/>
          <w:highlight w:val="none"/>
        </w:rPr>
      </w:pPr>
    </w:p>
    <w:p>
      <w:pPr>
        <w:pStyle w:val="2"/>
        <w:widowControl w:val="0"/>
        <w:numPr>
          <w:ilvl w:val="0"/>
          <w:numId w:val="0"/>
        </w:numPr>
        <w:spacing w:after="120"/>
        <w:jc w:val="both"/>
        <w:rPr>
          <w:rFonts w:hint="eastAsia" w:ascii="宋体" w:hAnsi="宋体" w:eastAsia="宋体" w:cs="宋体"/>
          <w:color w:val="auto"/>
          <w:sz w:val="32"/>
          <w:szCs w:val="32"/>
          <w:highlight w:val="none"/>
        </w:rPr>
      </w:pPr>
    </w:p>
    <w:p>
      <w:pPr>
        <w:pStyle w:val="2"/>
        <w:widowControl w:val="0"/>
        <w:numPr>
          <w:ilvl w:val="0"/>
          <w:numId w:val="0"/>
        </w:numPr>
        <w:spacing w:after="120"/>
        <w:jc w:val="both"/>
        <w:rPr>
          <w:rFonts w:hint="eastAsia" w:ascii="宋体" w:hAnsi="宋体" w:eastAsia="宋体" w:cs="宋体"/>
          <w:color w:val="auto"/>
          <w:sz w:val="32"/>
          <w:szCs w:val="32"/>
          <w:highlight w:val="none"/>
        </w:rPr>
      </w:pPr>
    </w:p>
    <w:p>
      <w:pPr>
        <w:pStyle w:val="2"/>
        <w:widowControl w:val="0"/>
        <w:numPr>
          <w:ilvl w:val="0"/>
          <w:numId w:val="0"/>
        </w:numPr>
        <w:spacing w:after="120"/>
        <w:jc w:val="both"/>
        <w:rPr>
          <w:rFonts w:hint="eastAsia" w:ascii="宋体" w:hAnsi="宋体" w:eastAsia="宋体" w:cs="宋体"/>
          <w:color w:val="auto"/>
          <w:sz w:val="32"/>
          <w:szCs w:val="32"/>
          <w:highlight w:val="none"/>
        </w:rPr>
      </w:pPr>
    </w:p>
    <w:p>
      <w:pPr>
        <w:pStyle w:val="2"/>
        <w:widowControl w:val="0"/>
        <w:numPr>
          <w:ilvl w:val="0"/>
          <w:numId w:val="0"/>
        </w:numPr>
        <w:spacing w:after="120"/>
        <w:jc w:val="both"/>
        <w:rPr>
          <w:rFonts w:hint="eastAsia" w:ascii="宋体" w:hAnsi="宋体" w:eastAsia="宋体" w:cs="宋体"/>
          <w:color w:val="auto"/>
          <w:sz w:val="32"/>
          <w:szCs w:val="32"/>
          <w:highlight w:val="none"/>
        </w:rPr>
      </w:pPr>
    </w:p>
    <w:p>
      <w:pPr>
        <w:pStyle w:val="2"/>
        <w:widowControl w:val="0"/>
        <w:numPr>
          <w:ilvl w:val="0"/>
          <w:numId w:val="0"/>
        </w:numPr>
        <w:spacing w:after="120"/>
        <w:jc w:val="both"/>
        <w:rPr>
          <w:rFonts w:hint="eastAsia" w:ascii="宋体" w:hAnsi="宋体" w:eastAsia="宋体" w:cs="宋体"/>
          <w:color w:val="auto"/>
          <w:sz w:val="32"/>
          <w:szCs w:val="32"/>
          <w:highlight w:val="none"/>
        </w:rPr>
      </w:pPr>
    </w:p>
    <w:p>
      <w:pPr>
        <w:pStyle w:val="2"/>
        <w:widowControl w:val="0"/>
        <w:numPr>
          <w:ilvl w:val="0"/>
          <w:numId w:val="0"/>
        </w:numPr>
        <w:spacing w:after="120"/>
        <w:jc w:val="both"/>
        <w:rPr>
          <w:rFonts w:hint="eastAsia" w:ascii="宋体" w:hAnsi="宋体" w:eastAsia="宋体" w:cs="宋体"/>
          <w:color w:val="auto"/>
          <w:sz w:val="32"/>
          <w:szCs w:val="32"/>
          <w:highlight w:val="none"/>
        </w:rPr>
      </w:pPr>
    </w:p>
    <w:p>
      <w:pPr>
        <w:pStyle w:val="2"/>
        <w:widowControl w:val="0"/>
        <w:numPr>
          <w:ilvl w:val="0"/>
          <w:numId w:val="0"/>
        </w:numPr>
        <w:spacing w:after="120"/>
        <w:jc w:val="both"/>
        <w:rPr>
          <w:rFonts w:hint="eastAsia" w:ascii="宋体" w:hAnsi="宋体" w:eastAsia="宋体" w:cs="宋体"/>
          <w:color w:val="auto"/>
          <w:sz w:val="32"/>
          <w:szCs w:val="32"/>
          <w:highlight w:val="none"/>
        </w:rPr>
      </w:pPr>
    </w:p>
    <w:p>
      <w:pPr>
        <w:pStyle w:val="2"/>
        <w:widowControl w:val="0"/>
        <w:numPr>
          <w:ilvl w:val="0"/>
          <w:numId w:val="0"/>
        </w:numPr>
        <w:spacing w:after="120"/>
        <w:jc w:val="both"/>
        <w:rPr>
          <w:rFonts w:hint="eastAsia" w:ascii="宋体" w:hAnsi="宋体" w:eastAsia="宋体" w:cs="宋体"/>
          <w:color w:val="auto"/>
          <w:sz w:val="32"/>
          <w:szCs w:val="32"/>
          <w:highlight w:val="none"/>
        </w:rPr>
      </w:pPr>
    </w:p>
    <w:p>
      <w:pPr>
        <w:pStyle w:val="2"/>
        <w:widowControl w:val="0"/>
        <w:numPr>
          <w:ilvl w:val="0"/>
          <w:numId w:val="0"/>
        </w:numPr>
        <w:spacing w:after="120"/>
        <w:jc w:val="both"/>
        <w:rPr>
          <w:rFonts w:hint="eastAsia" w:ascii="宋体" w:hAnsi="宋体" w:eastAsia="宋体" w:cs="宋体"/>
          <w:color w:val="auto"/>
          <w:sz w:val="32"/>
          <w:szCs w:val="32"/>
          <w:highlight w:val="none"/>
        </w:rPr>
      </w:pPr>
    </w:p>
    <w:p>
      <w:pPr>
        <w:pStyle w:val="2"/>
        <w:widowControl w:val="0"/>
        <w:numPr>
          <w:ilvl w:val="0"/>
          <w:numId w:val="0"/>
        </w:numPr>
        <w:spacing w:after="120"/>
        <w:jc w:val="both"/>
        <w:rPr>
          <w:rFonts w:hint="eastAsia" w:ascii="宋体" w:hAnsi="宋体" w:eastAsia="宋体" w:cs="宋体"/>
          <w:color w:val="auto"/>
          <w:sz w:val="32"/>
          <w:szCs w:val="32"/>
          <w:highlight w:val="none"/>
        </w:rPr>
      </w:pPr>
    </w:p>
    <w:p>
      <w:pPr>
        <w:pStyle w:val="2"/>
        <w:widowControl w:val="0"/>
        <w:numPr>
          <w:ilvl w:val="0"/>
          <w:numId w:val="0"/>
        </w:numPr>
        <w:spacing w:after="120"/>
        <w:jc w:val="both"/>
        <w:rPr>
          <w:rFonts w:hint="eastAsia" w:ascii="宋体" w:hAnsi="宋体" w:eastAsia="宋体" w:cs="宋体"/>
          <w:color w:val="auto"/>
          <w:sz w:val="32"/>
          <w:szCs w:val="32"/>
          <w:highlight w:val="none"/>
        </w:rPr>
      </w:pPr>
    </w:p>
    <w:p>
      <w:pPr>
        <w:pStyle w:val="2"/>
        <w:widowControl w:val="0"/>
        <w:numPr>
          <w:ilvl w:val="0"/>
          <w:numId w:val="0"/>
        </w:numPr>
        <w:spacing w:after="120"/>
        <w:jc w:val="both"/>
        <w:rPr>
          <w:rFonts w:hint="eastAsia" w:ascii="宋体" w:hAnsi="宋体" w:eastAsia="宋体" w:cs="宋体"/>
          <w:color w:val="auto"/>
          <w:sz w:val="32"/>
          <w:szCs w:val="32"/>
          <w:highlight w:val="none"/>
        </w:rPr>
      </w:pPr>
    </w:p>
    <w:p>
      <w:pPr>
        <w:pStyle w:val="2"/>
        <w:widowControl w:val="0"/>
        <w:numPr>
          <w:ilvl w:val="0"/>
          <w:numId w:val="0"/>
        </w:numPr>
        <w:spacing w:after="120"/>
        <w:jc w:val="both"/>
        <w:rPr>
          <w:rFonts w:hint="eastAsia" w:ascii="宋体" w:hAnsi="宋体" w:eastAsia="宋体" w:cs="宋体"/>
          <w:color w:val="auto"/>
          <w:sz w:val="32"/>
          <w:szCs w:val="32"/>
          <w:highlight w:val="none"/>
        </w:rPr>
      </w:pPr>
    </w:p>
    <w:p>
      <w:pPr>
        <w:pStyle w:val="2"/>
        <w:numPr>
          <w:ilvl w:val="0"/>
          <w:numId w:val="0"/>
        </w:num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2.磋商之日前半年内连续三个月供应商依法缴纳税收证明（必须提供）</w:t>
      </w: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2"/>
        <w:numPr>
          <w:ilvl w:val="0"/>
          <w:numId w:val="0"/>
        </w:numPr>
        <w:rPr>
          <w:rFonts w:hint="eastAsia" w:ascii="宋体" w:hAnsi="宋体" w:eastAsia="宋体" w:cs="宋体"/>
          <w:color w:val="auto"/>
          <w:highlight w:val="none"/>
        </w:rPr>
      </w:pPr>
    </w:p>
    <w:p>
      <w:pPr>
        <w:pStyle w:val="2"/>
        <w:numPr>
          <w:ilvl w:val="0"/>
          <w:numId w:val="0"/>
        </w:numPr>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numPr>
          <w:ilvl w:val="0"/>
          <w:numId w:val="0"/>
        </w:numPr>
        <w:bidi w:val="0"/>
        <w:ind w:leftChars="-135"/>
        <w:rPr>
          <w:rFonts w:hint="eastAsia" w:ascii="宋体" w:hAnsi="宋体" w:eastAsia="宋体" w:cs="宋体"/>
          <w:color w:val="auto"/>
          <w:highlight w:val="none"/>
        </w:rPr>
      </w:pPr>
    </w:p>
    <w:p>
      <w:pPr>
        <w:pStyle w:val="6"/>
        <w:bidi w:val="0"/>
        <w:ind w:left="378" w:leftChars="0" w:hanging="378" w:hangingChars="13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供应商依法缴纳社会保障资金的相关材料（必须提供）</w:t>
      </w: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6"/>
        <w:widowControl w:val="0"/>
        <w:numPr>
          <w:ilvl w:val="0"/>
          <w:numId w:val="0"/>
        </w:numPr>
        <w:bidi w:val="0"/>
        <w:jc w:val="both"/>
        <w:rPr>
          <w:rFonts w:hint="eastAsia" w:ascii="宋体" w:hAnsi="宋体" w:eastAsia="宋体" w:cs="宋体"/>
          <w:color w:val="auto"/>
          <w:highlight w:val="none"/>
        </w:rPr>
      </w:pPr>
    </w:p>
    <w:p>
      <w:pPr>
        <w:pStyle w:val="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4.供应商经审计的财务报告或者其基本开户银行出具的资信证明（必须提供）</w:t>
      </w: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numPr>
          <w:ilvl w:val="0"/>
          <w:numId w:val="4"/>
        </w:num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竞标声明；（必须提供）</w:t>
      </w:r>
    </w:p>
    <w:p>
      <w:pPr>
        <w:spacing w:line="3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竞标声明</w:t>
      </w:r>
    </w:p>
    <w:p>
      <w:pPr>
        <w:spacing w:line="320" w:lineRule="exact"/>
        <w:jc w:val="center"/>
        <w:rPr>
          <w:rFonts w:hint="eastAsia" w:ascii="宋体" w:hAnsi="宋体" w:eastAsia="宋体" w:cs="宋体"/>
          <w:color w:val="auto"/>
          <w:sz w:val="24"/>
          <w:szCs w:val="20"/>
          <w:highlight w:val="none"/>
        </w:rPr>
      </w:pPr>
    </w:p>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（3）同意提供按照贵方可能要求的与磋商有关的一切数据或者资料；</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4.我方承诺符合《中华人民共和国政府采购法》第二十二条规定：</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12"/>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7.与本磋商有关的一切正式往来信函请寄：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pPr>
        <w:pStyle w:val="12"/>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11"/>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pPr>
        <w:pStyle w:val="11"/>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pPr>
        <w:pStyle w:val="11"/>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pStyle w:val="11"/>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pPr>
        <w:pStyle w:val="11"/>
        <w:tabs>
          <w:tab w:val="left" w:pos="939"/>
        </w:tabs>
        <w:spacing w:line="360" w:lineRule="auto"/>
        <w:ind w:left="0" w:leftChars="0" w:firstLine="480" w:firstLineChars="200"/>
        <w:rPr>
          <w:rFonts w:hint="eastAsia" w:ascii="宋体" w:hAnsi="宋体" w:eastAsia="宋体" w:cs="宋体"/>
          <w:color w:val="auto"/>
          <w:sz w:val="24"/>
          <w:highlight w:val="none"/>
        </w:rPr>
      </w:pPr>
    </w:p>
    <w:p>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w:t>
      </w:r>
      <w:r>
        <w:rPr>
          <w:rFonts w:hint="eastAsia" w:ascii="宋体" w:hAnsi="宋体" w:eastAsia="宋体" w:cs="宋体"/>
          <w:color w:val="auto"/>
          <w:spacing w:val="20"/>
          <w:sz w:val="24"/>
          <w:highlight w:val="none"/>
        </w:rPr>
        <w:t>电子签章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360" w:lineRule="auto"/>
        <w:ind w:firstLine="4320" w:firstLineChars="18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供应商(电子签章)：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年    月    日</w:t>
      </w:r>
    </w:p>
    <w:p>
      <w:pPr>
        <w:pStyle w:val="2"/>
        <w:widowControl w:val="0"/>
        <w:numPr>
          <w:ilvl w:val="0"/>
          <w:numId w:val="0"/>
        </w:numPr>
        <w:spacing w:after="120"/>
        <w:jc w:val="both"/>
        <w:rPr>
          <w:rFonts w:hint="eastAsia" w:ascii="宋体" w:hAnsi="宋体" w:eastAsia="宋体" w:cs="宋体"/>
          <w:color w:val="auto"/>
          <w:sz w:val="32"/>
          <w:szCs w:val="32"/>
          <w:highlight w:val="none"/>
        </w:rPr>
      </w:pPr>
    </w:p>
    <w:p>
      <w:pPr>
        <w:pStyle w:val="2"/>
        <w:widowControl w:val="0"/>
        <w:numPr>
          <w:ilvl w:val="0"/>
          <w:numId w:val="0"/>
        </w:numPr>
        <w:spacing w:after="120"/>
        <w:jc w:val="both"/>
        <w:rPr>
          <w:rFonts w:hint="eastAsia" w:ascii="宋体" w:hAnsi="宋体" w:eastAsia="宋体" w:cs="宋体"/>
          <w:color w:val="auto"/>
          <w:sz w:val="32"/>
          <w:szCs w:val="32"/>
          <w:highlight w:val="none"/>
        </w:rPr>
      </w:pPr>
    </w:p>
    <w:p>
      <w:pPr>
        <w:pStyle w:val="2"/>
        <w:widowControl w:val="0"/>
        <w:numPr>
          <w:ilvl w:val="0"/>
          <w:numId w:val="0"/>
        </w:numPr>
        <w:spacing w:after="120"/>
        <w:jc w:val="both"/>
        <w:rPr>
          <w:rFonts w:hint="eastAsia" w:ascii="宋体" w:hAnsi="宋体" w:eastAsia="宋体" w:cs="宋体"/>
          <w:color w:val="auto"/>
          <w:sz w:val="32"/>
          <w:szCs w:val="32"/>
          <w:highlight w:val="none"/>
        </w:rPr>
      </w:pPr>
    </w:p>
    <w:p>
      <w:pPr>
        <w:pStyle w:val="2"/>
        <w:widowControl w:val="0"/>
        <w:numPr>
          <w:ilvl w:val="0"/>
          <w:numId w:val="0"/>
        </w:numPr>
        <w:spacing w:after="120"/>
        <w:jc w:val="both"/>
        <w:rPr>
          <w:rFonts w:hint="eastAsia" w:ascii="宋体" w:hAnsi="宋体" w:eastAsia="宋体" w:cs="宋体"/>
          <w:color w:val="auto"/>
          <w:sz w:val="32"/>
          <w:szCs w:val="32"/>
          <w:highlight w:val="none"/>
        </w:rPr>
      </w:pPr>
    </w:p>
    <w:p>
      <w:pPr>
        <w:pStyle w:val="2"/>
        <w:widowControl w:val="0"/>
        <w:numPr>
          <w:ilvl w:val="0"/>
          <w:numId w:val="0"/>
        </w:numPr>
        <w:spacing w:after="120"/>
        <w:jc w:val="both"/>
        <w:rPr>
          <w:rFonts w:hint="eastAsia" w:ascii="宋体" w:hAnsi="宋体" w:eastAsia="宋体" w:cs="宋体"/>
          <w:color w:val="auto"/>
          <w:sz w:val="32"/>
          <w:szCs w:val="32"/>
          <w:highlight w:val="none"/>
        </w:rPr>
      </w:pPr>
    </w:p>
    <w:p>
      <w:pPr>
        <w:pStyle w:val="2"/>
        <w:widowControl w:val="0"/>
        <w:numPr>
          <w:ilvl w:val="0"/>
          <w:numId w:val="0"/>
        </w:numPr>
        <w:spacing w:after="120"/>
        <w:jc w:val="both"/>
        <w:rPr>
          <w:rFonts w:hint="eastAsia" w:ascii="宋体" w:hAnsi="宋体" w:eastAsia="宋体" w:cs="宋体"/>
          <w:color w:val="auto"/>
          <w:sz w:val="32"/>
          <w:szCs w:val="32"/>
          <w:highlight w:val="none"/>
        </w:rPr>
      </w:pPr>
    </w:p>
    <w:p>
      <w:pPr>
        <w:pStyle w:val="2"/>
        <w:widowControl w:val="0"/>
        <w:numPr>
          <w:ilvl w:val="0"/>
          <w:numId w:val="0"/>
        </w:numPr>
        <w:spacing w:after="120"/>
        <w:jc w:val="both"/>
        <w:rPr>
          <w:rFonts w:hint="eastAsia" w:ascii="宋体" w:hAnsi="宋体" w:eastAsia="宋体" w:cs="宋体"/>
          <w:color w:val="auto"/>
          <w:sz w:val="32"/>
          <w:szCs w:val="32"/>
          <w:highlight w:val="none"/>
        </w:rPr>
      </w:pPr>
    </w:p>
    <w:p>
      <w:pPr>
        <w:pStyle w:val="2"/>
        <w:widowControl w:val="0"/>
        <w:numPr>
          <w:ilvl w:val="0"/>
          <w:numId w:val="0"/>
        </w:numPr>
        <w:spacing w:after="120"/>
        <w:jc w:val="both"/>
        <w:rPr>
          <w:rFonts w:hint="eastAsia" w:ascii="宋体" w:hAnsi="宋体" w:eastAsia="宋体" w:cs="宋体"/>
          <w:color w:val="auto"/>
          <w:sz w:val="32"/>
          <w:szCs w:val="32"/>
          <w:highlight w:val="none"/>
        </w:rPr>
      </w:pPr>
    </w:p>
    <w:p>
      <w:pPr>
        <w:pStyle w:val="2"/>
        <w:widowControl w:val="0"/>
        <w:numPr>
          <w:ilvl w:val="0"/>
          <w:numId w:val="0"/>
        </w:numPr>
        <w:spacing w:after="120"/>
        <w:jc w:val="both"/>
        <w:rPr>
          <w:rFonts w:hint="eastAsia" w:ascii="宋体" w:hAnsi="宋体" w:eastAsia="宋体" w:cs="宋体"/>
          <w:color w:val="auto"/>
          <w:sz w:val="32"/>
          <w:szCs w:val="32"/>
          <w:highlight w:val="none"/>
        </w:rPr>
      </w:pPr>
    </w:p>
    <w:p>
      <w:pPr>
        <w:pStyle w:val="2"/>
        <w:widowControl w:val="0"/>
        <w:numPr>
          <w:ilvl w:val="0"/>
          <w:numId w:val="0"/>
        </w:numPr>
        <w:spacing w:after="120"/>
        <w:jc w:val="both"/>
        <w:rPr>
          <w:rFonts w:hint="eastAsia" w:ascii="宋体" w:hAnsi="宋体" w:eastAsia="宋体" w:cs="宋体"/>
          <w:color w:val="auto"/>
          <w:sz w:val="32"/>
          <w:szCs w:val="32"/>
          <w:highlight w:val="none"/>
        </w:rPr>
      </w:pPr>
    </w:p>
    <w:p>
      <w:pPr>
        <w:pStyle w:val="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 供应商认为需要提供的其他证明材料</w:t>
      </w:r>
    </w:p>
    <w:p>
      <w:pPr>
        <w:snapToGrid w:val="0"/>
        <w:spacing w:before="156" w:beforeLines="50" w:after="5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2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br w:type="page"/>
      </w:r>
    </w:p>
    <w:p>
      <w:pPr>
        <w:snapToGrid w:val="0"/>
        <w:spacing w:before="156" w:beforeLines="50" w:after="50" w:line="360" w:lineRule="auto"/>
        <w:ind w:right="480" w:firstLine="321" w:firstLineChars="100"/>
        <w:jc w:val="center"/>
        <w:rPr>
          <w:rFonts w:hint="eastAsia" w:ascii="宋体" w:hAnsi="宋体" w:eastAsia="宋体" w:cs="宋体"/>
          <w:b/>
          <w:bCs/>
          <w:color w:val="auto"/>
          <w:sz w:val="32"/>
          <w:szCs w:val="32"/>
          <w:highlight w:val="none"/>
        </w:rPr>
      </w:pPr>
    </w:p>
    <w:p>
      <w:pPr>
        <w:numPr>
          <w:ilvl w:val="0"/>
          <w:numId w:val="5"/>
        </w:numPr>
        <w:snapToGrid w:val="0"/>
        <w:spacing w:before="156" w:beforeLines="50" w:after="50" w:line="360" w:lineRule="auto"/>
        <w:ind w:right="480" w:firstLine="321" w:firstLineChars="1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报价商务技术文件格式</w:t>
      </w:r>
    </w:p>
    <w:p>
      <w:pPr>
        <w:pStyle w:val="2"/>
        <w:numPr>
          <w:ilvl w:val="0"/>
          <w:numId w:val="0"/>
        </w:numPr>
        <w:rPr>
          <w:rFonts w:hint="eastAsia" w:ascii="宋体" w:hAnsi="宋体" w:eastAsia="宋体" w:cs="宋体"/>
          <w:color w:val="auto"/>
          <w:highlight w:val="none"/>
        </w:rPr>
      </w:pPr>
    </w:p>
    <w:p>
      <w:pPr>
        <w:snapToGrid w:val="0"/>
        <w:spacing w:before="156" w:beforeLines="50" w:after="50" w:line="360" w:lineRule="auto"/>
        <w:jc w:val="left"/>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报价商务技术文件封面格式</w:t>
      </w:r>
      <w:r>
        <w:rPr>
          <w:rFonts w:hint="eastAsia" w:ascii="宋体" w:hAnsi="宋体" w:eastAsia="宋体" w:cs="宋体"/>
          <w:b/>
          <w:color w:val="auto"/>
          <w:sz w:val="32"/>
          <w:szCs w:val="32"/>
          <w:highlight w:val="none"/>
          <w:lang w:eastAsia="zh-CN"/>
        </w:rPr>
        <w:t>）</w:t>
      </w:r>
    </w:p>
    <w:p>
      <w:pPr>
        <w:snapToGrid w:val="0"/>
        <w:spacing w:before="156"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电子响应文件</w:t>
      </w:r>
    </w:p>
    <w:p>
      <w:pPr>
        <w:snapToGrid w:val="0"/>
        <w:spacing w:before="156" w:beforeLines="50" w:after="50"/>
        <w:rPr>
          <w:rFonts w:hint="eastAsia" w:ascii="宋体" w:hAnsi="宋体" w:eastAsia="宋体" w:cs="宋体"/>
          <w:color w:val="auto"/>
          <w:sz w:val="24"/>
          <w:szCs w:val="20"/>
          <w:highlight w:val="none"/>
        </w:rPr>
      </w:pPr>
    </w:p>
    <w:p>
      <w:pPr>
        <w:snapToGrid w:val="0"/>
        <w:spacing w:before="156" w:beforeLines="50" w:after="50"/>
        <w:rPr>
          <w:rFonts w:hint="eastAsia" w:ascii="宋体" w:hAnsi="宋体" w:eastAsia="宋体" w:cs="宋体"/>
          <w:color w:val="auto"/>
          <w:sz w:val="24"/>
          <w:szCs w:val="20"/>
          <w:highlight w:val="none"/>
        </w:rPr>
      </w:pPr>
    </w:p>
    <w:p>
      <w:pPr>
        <w:snapToGrid w:val="0"/>
        <w:spacing w:before="156" w:beforeLines="50" w:after="50"/>
        <w:rPr>
          <w:rFonts w:hint="eastAsia" w:ascii="宋体" w:hAnsi="宋体" w:eastAsia="宋体" w:cs="宋体"/>
          <w:color w:val="auto"/>
          <w:sz w:val="24"/>
          <w:szCs w:val="20"/>
          <w:highlight w:val="none"/>
        </w:rPr>
      </w:pPr>
    </w:p>
    <w:p>
      <w:pPr>
        <w:snapToGrid w:val="0"/>
        <w:spacing w:before="156"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商  务  技  术  文  件</w:t>
      </w:r>
    </w:p>
    <w:p>
      <w:pPr>
        <w:snapToGrid w:val="0"/>
        <w:spacing w:before="156" w:beforeLines="50" w:after="50"/>
        <w:rPr>
          <w:rFonts w:hint="eastAsia" w:ascii="宋体" w:hAnsi="宋体" w:eastAsia="宋体" w:cs="宋体"/>
          <w:bCs/>
          <w:color w:val="auto"/>
          <w:sz w:val="24"/>
          <w:szCs w:val="20"/>
          <w:highlight w:val="none"/>
        </w:rPr>
      </w:pPr>
    </w:p>
    <w:p>
      <w:pPr>
        <w:snapToGrid w:val="0"/>
        <w:spacing w:before="156" w:beforeLines="50" w:after="50"/>
        <w:rPr>
          <w:rFonts w:hint="eastAsia" w:ascii="宋体" w:hAnsi="宋体" w:eastAsia="宋体" w:cs="宋体"/>
          <w:bCs/>
          <w:color w:val="auto"/>
          <w:sz w:val="24"/>
          <w:szCs w:val="20"/>
          <w:highlight w:val="none"/>
        </w:rPr>
      </w:pPr>
    </w:p>
    <w:p>
      <w:pPr>
        <w:snapToGrid w:val="0"/>
        <w:spacing w:before="156" w:beforeLines="50" w:after="50"/>
        <w:rPr>
          <w:rFonts w:hint="eastAsia" w:ascii="宋体" w:hAnsi="宋体" w:eastAsia="宋体" w:cs="宋体"/>
          <w:bCs/>
          <w:color w:val="auto"/>
          <w:sz w:val="24"/>
          <w:szCs w:val="20"/>
          <w:highlight w:val="none"/>
        </w:rPr>
      </w:pPr>
    </w:p>
    <w:p>
      <w:pPr>
        <w:snapToGrid w:val="0"/>
        <w:spacing w:before="156" w:beforeLines="50" w:after="50"/>
        <w:rPr>
          <w:rFonts w:hint="eastAsia" w:ascii="宋体" w:hAnsi="宋体" w:eastAsia="宋体" w:cs="宋体"/>
          <w:bCs/>
          <w:color w:val="auto"/>
          <w:sz w:val="24"/>
          <w:szCs w:val="20"/>
          <w:highlight w:val="none"/>
        </w:rPr>
      </w:pPr>
    </w:p>
    <w:p>
      <w:pPr>
        <w:snapToGrid w:val="0"/>
        <w:spacing w:before="156" w:beforeLines="50" w:after="50"/>
        <w:rPr>
          <w:rFonts w:hint="eastAsia" w:ascii="宋体" w:hAnsi="宋体" w:eastAsia="宋体" w:cs="宋体"/>
          <w:bCs/>
          <w:color w:val="auto"/>
          <w:sz w:val="24"/>
          <w:szCs w:val="20"/>
          <w:highlight w:val="none"/>
        </w:rPr>
      </w:pPr>
    </w:p>
    <w:p>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pPr>
        <w:snapToGrid w:val="0"/>
        <w:spacing w:before="156" w:beforeLines="50" w:after="50"/>
        <w:ind w:firstLine="720" w:firstLineChars="225"/>
        <w:rPr>
          <w:rFonts w:hint="eastAsia" w:ascii="宋体" w:hAnsi="宋体" w:eastAsia="宋体" w:cs="宋体"/>
          <w:bCs/>
          <w:color w:val="auto"/>
          <w:sz w:val="32"/>
          <w:szCs w:val="32"/>
          <w:highlight w:val="none"/>
        </w:rPr>
      </w:pPr>
    </w:p>
    <w:p>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pPr>
        <w:snapToGrid w:val="0"/>
        <w:spacing w:before="156" w:beforeLines="50" w:after="50"/>
        <w:ind w:firstLine="720" w:firstLineChars="225"/>
        <w:rPr>
          <w:rFonts w:hint="eastAsia" w:ascii="宋体" w:hAnsi="宋体" w:eastAsia="宋体" w:cs="宋体"/>
          <w:bCs/>
          <w:color w:val="auto"/>
          <w:sz w:val="32"/>
          <w:szCs w:val="32"/>
          <w:highlight w:val="none"/>
        </w:rPr>
      </w:pPr>
    </w:p>
    <w:p>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pStyle w:val="7"/>
        <w:snapToGrid w:val="0"/>
        <w:spacing w:before="50" w:after="50"/>
        <w:ind w:firstLine="720" w:firstLineChars="225"/>
        <w:rPr>
          <w:rFonts w:hint="eastAsia" w:ascii="宋体" w:hAnsi="宋体" w:eastAsia="宋体" w:cs="宋体"/>
          <w:bCs/>
          <w:color w:val="auto"/>
          <w:sz w:val="32"/>
          <w:szCs w:val="32"/>
          <w:highlight w:val="none"/>
        </w:rPr>
      </w:pPr>
    </w:p>
    <w:p>
      <w:pPr>
        <w:pStyle w:val="7"/>
        <w:snapToGrid w:val="0"/>
        <w:spacing w:before="50" w:after="50"/>
        <w:ind w:firstLine="720" w:firstLineChars="225"/>
        <w:rPr>
          <w:rFonts w:hint="eastAsia" w:ascii="宋体" w:hAnsi="宋体" w:eastAsia="宋体" w:cs="宋体"/>
          <w:bCs/>
          <w:color w:val="auto"/>
          <w:sz w:val="32"/>
          <w:szCs w:val="32"/>
          <w:highlight w:val="none"/>
        </w:rPr>
      </w:pPr>
    </w:p>
    <w:p>
      <w:pPr>
        <w:pStyle w:val="7"/>
        <w:snapToGrid w:val="0"/>
        <w:spacing w:before="50" w:after="50"/>
        <w:ind w:firstLine="1280" w:firstLineChars="400"/>
        <w:rPr>
          <w:rFonts w:hint="eastAsia" w:ascii="宋体" w:hAnsi="宋体" w:eastAsia="宋体" w:cs="宋体"/>
          <w:bCs/>
          <w:color w:val="auto"/>
          <w:sz w:val="32"/>
          <w:szCs w:val="32"/>
          <w:highlight w:val="none"/>
        </w:rPr>
      </w:pPr>
    </w:p>
    <w:p>
      <w:pPr>
        <w:snapToGrid w:val="0"/>
        <w:spacing w:before="156"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snapToGrid w:val="0"/>
        <w:spacing w:before="156" w:beforeLines="50" w:after="50" w:line="360" w:lineRule="auto"/>
        <w:ind w:left="142"/>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目录</w:t>
      </w:r>
    </w:p>
    <w:p>
      <w:pPr>
        <w:pStyle w:val="2"/>
        <w:rPr>
          <w:rFonts w:hint="eastAsia" w:ascii="宋体" w:hAnsi="宋体" w:eastAsia="宋体" w:cs="宋体"/>
          <w:color w:val="auto"/>
          <w:highlight w:val="none"/>
        </w:rPr>
      </w:pPr>
    </w:p>
    <w:p>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1.无串通竞标行为的承诺函（必须提供）</w:t>
      </w:r>
    </w:p>
    <w:p>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2.竞标报价表；（必须提供）</w:t>
      </w:r>
    </w:p>
    <w:p>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3.法定代表人身份证明书及法定代表人有效身份证正反面复印件（必须提供）</w:t>
      </w:r>
    </w:p>
    <w:p>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4.法定代表人授权委托书及委托代理人有效身份证正反面复印件（必须提供）</w:t>
      </w:r>
    </w:p>
    <w:p>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5.磋商保证金提交凭证（必须提供）</w:t>
      </w:r>
    </w:p>
    <w:p>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6.技术方案（必须提供）</w:t>
      </w:r>
    </w:p>
    <w:p>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7.拟订各项管理规章制度及档案资料的建立与管理（必须提供）</w:t>
      </w:r>
    </w:p>
    <w:p>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8.服务承诺方案（必须提供）</w:t>
      </w:r>
    </w:p>
    <w:p>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9.供应商业绩（如有请提供）； </w:t>
      </w:r>
    </w:p>
    <w:p>
      <w:pPr>
        <w:pStyle w:val="2"/>
        <w:spacing w:line="48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10.供应商认为需要提供的其他有关资料。</w:t>
      </w:r>
    </w:p>
    <w:p>
      <w:pPr>
        <w:pStyle w:val="2"/>
        <w:spacing w:line="480" w:lineRule="auto"/>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pStyle w:val="2"/>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报价商务技术</w:t>
      </w:r>
    </w:p>
    <w:p>
      <w:pPr>
        <w:snapToGrid w:val="0"/>
        <w:spacing w:before="156" w:beforeLines="50" w:after="5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根据磋商文件规定及供应商提供的材料自行编写目录（部分格式后附）。</w:t>
      </w:r>
    </w:p>
    <w:p>
      <w:pPr>
        <w:numPr>
          <w:ilvl w:val="0"/>
          <w:numId w:val="6"/>
        </w:numPr>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无串通竞标行为的承诺函（必须提供）</w:t>
      </w:r>
    </w:p>
    <w:p>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无串通竞标行为的承诺函</w:t>
      </w:r>
    </w:p>
    <w:p>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同供应商的响应文件异常一致或者竞标报价呈规律性差异；</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pPr>
        <w:spacing w:line="360" w:lineRule="auto"/>
        <w:ind w:firstLine="480" w:firstLineChars="200"/>
        <w:contextualSpacing/>
        <w:rPr>
          <w:rFonts w:hint="eastAsia" w:ascii="宋体" w:hAnsi="宋体" w:eastAsia="宋体" w:cs="宋体"/>
          <w:color w:val="auto"/>
          <w:sz w:val="24"/>
          <w:highlight w:val="none"/>
        </w:rPr>
      </w:pPr>
    </w:p>
    <w:p>
      <w:pPr>
        <w:spacing w:line="360" w:lineRule="auto"/>
        <w:ind w:firstLine="482" w:firstLineChars="200"/>
        <w:contextualSpacing/>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pPr>
        <w:spacing w:line="360" w:lineRule="auto"/>
        <w:ind w:firstLine="3600" w:firstLineChars="15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供应商(电子签章)：</w:t>
      </w:r>
    </w:p>
    <w:p>
      <w:pPr>
        <w:spacing w:line="360" w:lineRule="auto"/>
        <w:ind w:firstLine="480" w:firstLineChars="200"/>
        <w:contextualSpacing/>
        <w:jc w:val="center"/>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t xml:space="preserve">                               年   月   日</w:t>
      </w:r>
    </w:p>
    <w:p>
      <w:pPr>
        <w:pStyle w:val="2"/>
        <w:numPr>
          <w:ilvl w:val="0"/>
          <w:numId w:val="0"/>
        </w:numPr>
        <w:rPr>
          <w:rFonts w:hint="eastAsia" w:ascii="宋体" w:hAnsi="宋体" w:eastAsia="宋体" w:cs="宋体"/>
          <w:color w:val="auto"/>
          <w:highlight w:val="none"/>
        </w:rPr>
      </w:pPr>
      <w:r>
        <w:rPr>
          <w:rFonts w:hint="eastAsia" w:ascii="宋体" w:hAnsi="宋体" w:eastAsia="宋体" w:cs="宋体"/>
          <w:bCs/>
          <w:color w:val="auto"/>
          <w:sz w:val="44"/>
          <w:szCs w:val="44"/>
          <w:highlight w:val="none"/>
        </w:rPr>
        <w:br w:type="page"/>
      </w:r>
    </w:p>
    <w:p>
      <w:pPr>
        <w:numPr>
          <w:ilvl w:val="0"/>
          <w:numId w:val="6"/>
        </w:numPr>
        <w:spacing w:line="480" w:lineRule="auto"/>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竞标报价表；（必须提供）</w:t>
      </w:r>
    </w:p>
    <w:p>
      <w:pPr>
        <w:spacing w:line="520" w:lineRule="exact"/>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44"/>
          <w:szCs w:val="44"/>
          <w:highlight w:val="none"/>
        </w:rPr>
        <w:t>竞  标  报  价  表</w:t>
      </w:r>
    </w:p>
    <w:p>
      <w:pPr>
        <w:spacing w:line="440" w:lineRule="exact"/>
        <w:jc w:val="center"/>
        <w:rPr>
          <w:rFonts w:hint="eastAsia" w:ascii="宋体" w:hAnsi="宋体" w:eastAsia="宋体" w:cs="宋体"/>
          <w:bCs/>
          <w:color w:val="auto"/>
          <w:sz w:val="32"/>
          <w:szCs w:val="32"/>
          <w:highlight w:val="none"/>
        </w:rPr>
      </w:pPr>
    </w:p>
    <w:p>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贺州市盘谷河一体化污水处理设施2年运维服务 </w:t>
      </w:r>
    </w:p>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pPr>
        <w:pStyle w:val="2"/>
        <w:rPr>
          <w:rFonts w:hint="eastAsia" w:ascii="宋体" w:hAnsi="宋体" w:eastAsia="宋体" w:cs="宋体"/>
          <w:color w:val="auto"/>
          <w:highlight w:val="none"/>
        </w:rPr>
      </w:pPr>
    </w:p>
    <w:tbl>
      <w:tblPr>
        <w:tblStyle w:val="21"/>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31"/>
        <w:gridCol w:w="503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828" w:type="dxa"/>
            <w:vAlign w:val="center"/>
          </w:tcPr>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731" w:type="dxa"/>
            <w:vAlign w:val="center"/>
          </w:tcPr>
          <w:p>
            <w:pPr>
              <w:ind w:left="141" w:leftChars="67" w:firstLine="103" w:firstLineChars="49"/>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  目</w:t>
            </w:r>
          </w:p>
        </w:tc>
        <w:tc>
          <w:tcPr>
            <w:tcW w:w="5035" w:type="dxa"/>
            <w:vAlign w:val="center"/>
          </w:tcPr>
          <w:p>
            <w:pPr>
              <w:ind w:firstLine="422"/>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c>
          <w:tcPr>
            <w:tcW w:w="654"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828" w:type="dxa"/>
            <w:vMerge w:val="restart"/>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2731" w:type="dxa"/>
            <w:vMerge w:val="restart"/>
            <w:vAlign w:val="center"/>
          </w:tcPr>
          <w:p>
            <w:pPr>
              <w:ind w:firstLine="422"/>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投标报价（元）</w:t>
            </w:r>
          </w:p>
        </w:tc>
        <w:tc>
          <w:tcPr>
            <w:tcW w:w="5035" w:type="dxa"/>
            <w:vAlign w:val="center"/>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p>
        </w:tc>
        <w:tc>
          <w:tcPr>
            <w:tcW w:w="654" w:type="dxa"/>
            <w:vMerge w:val="restart"/>
            <w:vAlign w:val="center"/>
          </w:tcPr>
          <w:p>
            <w:pPr>
              <w:ind w:firstLine="42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828" w:type="dxa"/>
            <w:vMerge w:val="continue"/>
            <w:vAlign w:val="center"/>
          </w:tcPr>
          <w:p>
            <w:pPr>
              <w:ind w:firstLine="422"/>
              <w:jc w:val="center"/>
              <w:rPr>
                <w:rFonts w:hint="eastAsia" w:ascii="宋体" w:hAnsi="宋体" w:eastAsia="宋体" w:cs="宋体"/>
                <w:b/>
                <w:color w:val="auto"/>
                <w:szCs w:val="21"/>
                <w:highlight w:val="none"/>
              </w:rPr>
            </w:pPr>
          </w:p>
        </w:tc>
        <w:tc>
          <w:tcPr>
            <w:tcW w:w="2731" w:type="dxa"/>
            <w:vMerge w:val="continue"/>
            <w:vAlign w:val="center"/>
          </w:tcPr>
          <w:p>
            <w:pPr>
              <w:ind w:firstLine="422"/>
              <w:jc w:val="center"/>
              <w:rPr>
                <w:rFonts w:hint="eastAsia" w:ascii="宋体" w:hAnsi="宋体" w:eastAsia="宋体" w:cs="宋体"/>
                <w:b/>
                <w:color w:val="auto"/>
                <w:szCs w:val="21"/>
                <w:highlight w:val="none"/>
              </w:rPr>
            </w:pPr>
          </w:p>
        </w:tc>
        <w:tc>
          <w:tcPr>
            <w:tcW w:w="5035"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c>
          <w:tcPr>
            <w:tcW w:w="654" w:type="dxa"/>
            <w:vMerge w:val="continue"/>
            <w:vAlign w:val="center"/>
          </w:tcPr>
          <w:p>
            <w:pPr>
              <w:ind w:firstLine="42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828"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p>
        </w:tc>
        <w:tc>
          <w:tcPr>
            <w:tcW w:w="2731" w:type="dxa"/>
            <w:vAlign w:val="center"/>
          </w:tcPr>
          <w:p>
            <w:pPr>
              <w:ind w:firstLine="422"/>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服务期限（日历天）</w:t>
            </w:r>
          </w:p>
        </w:tc>
        <w:tc>
          <w:tcPr>
            <w:tcW w:w="5035" w:type="dxa"/>
            <w:vAlign w:val="center"/>
          </w:tcPr>
          <w:p>
            <w:pPr>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2 年  </w:t>
            </w:r>
          </w:p>
        </w:tc>
        <w:tc>
          <w:tcPr>
            <w:tcW w:w="654" w:type="dxa"/>
            <w:vAlign w:val="center"/>
          </w:tcPr>
          <w:p>
            <w:pPr>
              <w:ind w:firstLine="420"/>
              <w:jc w:val="center"/>
              <w:rPr>
                <w:rFonts w:hint="eastAsia" w:ascii="宋体" w:hAnsi="宋体" w:eastAsia="宋体" w:cs="宋体"/>
                <w:color w:val="auto"/>
                <w:szCs w:val="21"/>
                <w:highlight w:val="none"/>
              </w:rPr>
            </w:pPr>
          </w:p>
        </w:tc>
      </w:tr>
    </w:tbl>
    <w:p>
      <w:pPr>
        <w:pStyle w:val="2"/>
        <w:rPr>
          <w:rFonts w:hint="eastAsia" w:ascii="宋体" w:hAnsi="宋体" w:eastAsia="宋体" w:cs="宋体"/>
          <w:color w:val="auto"/>
          <w:highlight w:val="none"/>
        </w:rPr>
      </w:pPr>
    </w:p>
    <w:p>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注: </w:t>
      </w:r>
    </w:p>
    <w:p>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1.供应商的报价表必须加盖供应商公章并由法定代表人或者委托代理人签字，</w:t>
      </w:r>
      <w:r>
        <w:rPr>
          <w:rFonts w:hint="eastAsia" w:ascii="宋体" w:hAnsi="宋体" w:eastAsia="宋体" w:cs="宋体"/>
          <w:b/>
          <w:color w:val="auto"/>
          <w:sz w:val="24"/>
          <w:highlight w:val="none"/>
        </w:rPr>
        <w:t>否则其响应文件按无效响应处理</w:t>
      </w:r>
      <w:r>
        <w:rPr>
          <w:rFonts w:hint="eastAsia" w:ascii="宋体" w:hAnsi="宋体" w:eastAsia="宋体" w:cs="宋体"/>
          <w:color w:val="auto"/>
          <w:sz w:val="24"/>
          <w:highlight w:val="none"/>
        </w:rPr>
        <w:t>。</w:t>
      </w:r>
    </w:p>
    <w:p>
      <w:pPr>
        <w:spacing w:line="360" w:lineRule="auto"/>
        <w:ind w:firstLine="480" w:firstLineChars="200"/>
        <w:contextualSpacing/>
        <w:jc w:val="left"/>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color w:val="auto"/>
          <w:sz w:val="24"/>
          <w:highlight w:val="none"/>
        </w:rPr>
        <w:t>报价一经涂改，应在涂改处加盖供应商公章或者由法定代表人或者委托代理人签字或者盖章</w:t>
      </w:r>
      <w:r>
        <w:rPr>
          <w:rFonts w:hint="eastAsia" w:ascii="宋体" w:hAnsi="宋体" w:eastAsia="宋体" w:cs="宋体"/>
          <w:b/>
          <w:color w:val="auto"/>
          <w:sz w:val="24"/>
          <w:highlight w:val="none"/>
        </w:rPr>
        <w:t>，否则其响应文件按无效响应处理。</w:t>
      </w:r>
    </w:p>
    <w:p>
      <w:pPr>
        <w:spacing w:line="360" w:lineRule="auto"/>
        <w:ind w:firstLine="480" w:firstLineChars="200"/>
        <w:contextualSpacing/>
        <w:rPr>
          <w:rFonts w:hint="eastAsia" w:ascii="宋体" w:hAnsi="宋体" w:eastAsia="宋体" w:cs="宋体"/>
          <w:color w:val="auto"/>
          <w:sz w:val="24"/>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pacing w:line="360" w:lineRule="auto"/>
        <w:ind w:right="-817" w:rightChars="-389"/>
        <w:contextualSpacing/>
        <w:rPr>
          <w:rFonts w:hint="eastAsia" w:ascii="宋体" w:hAnsi="宋体" w:eastAsia="宋体" w:cs="宋体"/>
          <w:color w:val="auto"/>
          <w:sz w:val="24"/>
          <w:highlight w:val="none"/>
        </w:rPr>
      </w:pPr>
    </w:p>
    <w:p>
      <w:pPr>
        <w:spacing w:line="360" w:lineRule="auto"/>
        <w:ind w:right="-817" w:rightChars="-389" w:firstLine="2640" w:firstLineChars="1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法定代表人或者委托代理人（签字或</w:t>
      </w:r>
      <w:r>
        <w:rPr>
          <w:rFonts w:hint="eastAsia" w:ascii="宋体" w:hAnsi="宋体" w:eastAsia="宋体" w:cs="宋体"/>
          <w:color w:val="auto"/>
          <w:spacing w:val="20"/>
          <w:sz w:val="24"/>
          <w:highlight w:val="none"/>
        </w:rPr>
        <w:t>电子签章</w:t>
      </w:r>
      <w:r>
        <w:rPr>
          <w:rFonts w:hint="eastAsia" w:ascii="宋体" w:hAnsi="宋体" w:eastAsia="宋体" w:cs="宋体"/>
          <w:color w:val="auto"/>
          <w:sz w:val="24"/>
          <w:highlight w:val="none"/>
        </w:rPr>
        <w:t xml:space="preserve">）：             </w:t>
      </w:r>
    </w:p>
    <w:p>
      <w:pPr>
        <w:spacing w:line="360" w:lineRule="auto"/>
        <w:ind w:right="-817" w:rightChars="-389" w:firstLine="2640" w:firstLineChars="1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供应商(电子签章)：      </w:t>
      </w:r>
    </w:p>
    <w:p>
      <w:pPr>
        <w:spacing w:line="360" w:lineRule="auto"/>
        <w:ind w:right="-817" w:rightChars="-389" w:firstLine="4080" w:firstLineChars="17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p>
      <w:pPr>
        <w:pStyle w:val="2"/>
        <w:widowControl w:val="0"/>
        <w:numPr>
          <w:ilvl w:val="0"/>
          <w:numId w:val="0"/>
        </w:numPr>
        <w:spacing w:after="120"/>
        <w:jc w:val="both"/>
        <w:rPr>
          <w:rFonts w:hint="eastAsia" w:ascii="宋体" w:hAnsi="宋体" w:eastAsia="宋体" w:cs="宋体"/>
          <w:color w:val="auto"/>
          <w:highlight w:val="none"/>
        </w:rPr>
      </w:pPr>
      <w:r>
        <w:rPr>
          <w:rFonts w:hint="eastAsia" w:ascii="宋体" w:hAnsi="宋体" w:eastAsia="宋体" w:cs="宋体"/>
          <w:b/>
          <w:color w:val="auto"/>
          <w:sz w:val="32"/>
          <w:szCs w:val="32"/>
          <w:highlight w:val="none"/>
        </w:rPr>
        <w:br w:type="page"/>
      </w:r>
    </w:p>
    <w:p>
      <w:pPr>
        <w:numPr>
          <w:ilvl w:val="0"/>
          <w:numId w:val="6"/>
        </w:numPr>
        <w:spacing w:line="480" w:lineRule="auto"/>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法定代表人身份证明书及法定代表人有效身份证正反面复印件（必须提供）</w:t>
      </w:r>
    </w:p>
    <w:p>
      <w:pPr>
        <w:spacing w:before="312" w:beforeLines="100" w:after="156" w:afterLines="50" w:line="520" w:lineRule="exact"/>
        <w:ind w:left="540"/>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p>
    <w:p>
      <w:pPr>
        <w:spacing w:line="360" w:lineRule="auto"/>
        <w:ind w:left="540"/>
        <w:contextualSpacing/>
        <w:rPr>
          <w:rFonts w:hint="eastAsia" w:ascii="宋体" w:hAnsi="宋体" w:eastAsia="宋体" w:cs="宋体"/>
          <w:color w:val="auto"/>
          <w:sz w:val="32"/>
          <w:szCs w:val="32"/>
          <w:highlight w:val="none"/>
        </w:rPr>
      </w:pP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spacing w:line="360" w:lineRule="auto"/>
        <w:ind w:left="540"/>
        <w:contextualSpacing/>
        <w:rPr>
          <w:rFonts w:hint="eastAsia" w:ascii="宋体" w:hAnsi="宋体" w:eastAsia="宋体" w:cs="宋体"/>
          <w:color w:val="auto"/>
          <w:sz w:val="24"/>
          <w:highlight w:val="none"/>
        </w:rPr>
      </w:pPr>
    </w:p>
    <w:p>
      <w:pPr>
        <w:spacing w:line="360" w:lineRule="auto"/>
        <w:ind w:left="540"/>
        <w:contextualSpacing/>
        <w:rPr>
          <w:rFonts w:hint="eastAsia" w:ascii="宋体" w:hAnsi="宋体" w:eastAsia="宋体" w:cs="宋体"/>
          <w:color w:val="auto"/>
          <w:sz w:val="24"/>
          <w:highlight w:val="none"/>
        </w:rPr>
      </w:pPr>
    </w:p>
    <w:p>
      <w:pPr>
        <w:spacing w:line="360" w:lineRule="auto"/>
        <w:ind w:left="540"/>
        <w:contextualSpacing/>
        <w:rPr>
          <w:rFonts w:hint="eastAsia" w:ascii="宋体" w:hAnsi="宋体" w:eastAsia="宋体" w:cs="宋体"/>
          <w:color w:val="auto"/>
          <w:sz w:val="24"/>
          <w:highlight w:val="none"/>
        </w:rPr>
      </w:pP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pPr>
        <w:spacing w:line="360" w:lineRule="auto"/>
        <w:ind w:left="540"/>
        <w:contextualSpacing/>
        <w:rPr>
          <w:rFonts w:hint="eastAsia" w:ascii="宋体" w:hAnsi="宋体" w:eastAsia="宋体" w:cs="宋体"/>
          <w:color w:val="auto"/>
          <w:sz w:val="24"/>
          <w:highlight w:val="none"/>
        </w:rPr>
      </w:pPr>
    </w:p>
    <w:p>
      <w:pPr>
        <w:spacing w:line="360" w:lineRule="auto"/>
        <w:ind w:left="540"/>
        <w:contextualSpacing/>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供应商(电子签章)：</w:t>
      </w:r>
      <w:r>
        <w:rPr>
          <w:rFonts w:hint="eastAsia" w:ascii="宋体" w:hAnsi="宋体" w:eastAsia="宋体" w:cs="宋体"/>
          <w:color w:val="auto"/>
          <w:sz w:val="24"/>
          <w:highlight w:val="none"/>
          <w:u w:val="single"/>
        </w:rPr>
        <w:t xml:space="preserve">               </w:t>
      </w:r>
    </w:p>
    <w:p>
      <w:pPr>
        <w:spacing w:line="360" w:lineRule="auto"/>
        <w:ind w:firstLine="4080" w:firstLineChars="17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360" w:lineRule="auto"/>
        <w:contextualSpacing/>
        <w:jc w:val="center"/>
        <w:rPr>
          <w:rFonts w:hint="eastAsia" w:ascii="宋体" w:hAnsi="宋体" w:eastAsia="宋体" w:cs="宋体"/>
          <w:b/>
          <w:color w:val="auto"/>
          <w:sz w:val="24"/>
          <w:highlight w:val="none"/>
        </w:rPr>
      </w:pPr>
    </w:p>
    <w:p>
      <w:pPr>
        <w:spacing w:line="360" w:lineRule="auto"/>
        <w:contextualSpacing/>
        <w:jc w:val="left"/>
        <w:rPr>
          <w:rFonts w:hint="eastAsia" w:ascii="宋体" w:hAnsi="宋体" w:eastAsia="宋体" w:cs="宋体"/>
          <w:color w:val="auto"/>
          <w:sz w:val="24"/>
          <w:highlight w:val="none"/>
        </w:rPr>
      </w:pPr>
    </w:p>
    <w:p>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pPr>
        <w:spacing w:line="360" w:lineRule="auto"/>
        <w:ind w:firstLine="480"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adjustRightInd w:val="0"/>
        <w:snapToGrid w:val="0"/>
        <w:spacing w:line="300" w:lineRule="auto"/>
        <w:jc w:val="left"/>
        <w:rPr>
          <w:rFonts w:hint="eastAsia" w:ascii="宋体" w:hAnsi="宋体" w:eastAsia="宋体" w:cs="宋体"/>
          <w:b/>
          <w:color w:val="auto"/>
          <w:szCs w:val="21"/>
          <w:highlight w:val="none"/>
        </w:rPr>
      </w:pPr>
    </w:p>
    <w:p>
      <w:pPr>
        <w:pStyle w:val="2"/>
        <w:widowControl w:val="0"/>
        <w:numPr>
          <w:ilvl w:val="0"/>
          <w:numId w:val="0"/>
        </w:numPr>
        <w:spacing w:after="120"/>
        <w:jc w:val="both"/>
        <w:rPr>
          <w:rFonts w:hint="eastAsia" w:ascii="宋体" w:hAnsi="宋体" w:eastAsia="宋体" w:cs="宋体"/>
          <w:color w:val="auto"/>
          <w:highlight w:val="none"/>
        </w:rPr>
      </w:pPr>
      <w:r>
        <w:rPr>
          <w:rFonts w:hint="eastAsia" w:ascii="宋体" w:hAnsi="宋体" w:eastAsia="宋体" w:cs="宋体"/>
          <w:color w:val="auto"/>
          <w:sz w:val="44"/>
          <w:szCs w:val="44"/>
          <w:highlight w:val="none"/>
        </w:rPr>
        <w:br w:type="page"/>
      </w:r>
    </w:p>
    <w:p>
      <w:pPr>
        <w:numPr>
          <w:ilvl w:val="0"/>
          <w:numId w:val="6"/>
        </w:numPr>
        <w:spacing w:line="480" w:lineRule="auto"/>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法定代表人授权委托书及委托代理人有效身份证正反面复印件（必须提供）</w:t>
      </w:r>
    </w:p>
    <w:p>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授权委托书（非联合体竞标格式）</w:t>
      </w:r>
    </w:p>
    <w:p>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pPr>
        <w:spacing w:line="520" w:lineRule="exact"/>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委托代理人（签字或盖章）：         法定代表人（签字或盖章）：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供应商（盖公章）：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 </w:t>
      </w:r>
      <w:bookmarkStart w:id="80" w:name="_Hlk65853109"/>
      <w:bookmarkStart w:id="81" w:name="_Hlk65853542"/>
      <w:r>
        <w:rPr>
          <w:rFonts w:hint="eastAsia" w:ascii="宋体" w:hAnsi="宋体" w:eastAsia="宋体" w:cs="宋体"/>
          <w:color w:val="auto"/>
          <w:sz w:val="24"/>
          <w:highlight w:val="none"/>
        </w:rPr>
        <w:t>法人、其他组织竞标时“我方”是指“我单位”，自然人竞标时“我方”是指“本人”。</w:t>
      </w:r>
      <w:bookmarkEnd w:id="80"/>
    </w:p>
    <w:bookmarkEnd w:id="81"/>
    <w:p>
      <w:pPr>
        <w:spacing w:line="360" w:lineRule="auto"/>
        <w:ind w:firstLine="420" w:firstLineChars="200"/>
        <w:jc w:val="left"/>
        <w:rPr>
          <w:rFonts w:hint="eastAsia" w:ascii="宋体" w:hAnsi="宋体" w:eastAsia="宋体" w:cs="宋体"/>
          <w:color w:val="auto"/>
          <w:szCs w:val="21"/>
          <w:highlight w:val="none"/>
        </w:rPr>
      </w:pPr>
    </w:p>
    <w:p>
      <w:pPr>
        <w:pStyle w:val="2"/>
        <w:numPr>
          <w:ilvl w:val="0"/>
          <w:numId w:val="0"/>
        </w:numPr>
        <w:ind w:leftChars="0"/>
        <w:rPr>
          <w:rFonts w:hint="eastAsia" w:ascii="宋体" w:hAnsi="宋体" w:eastAsia="宋体" w:cs="宋体"/>
          <w:color w:val="auto"/>
          <w:highlight w:val="none"/>
        </w:rPr>
      </w:pPr>
    </w:p>
    <w:p>
      <w:pPr>
        <w:pStyle w:val="2"/>
        <w:numPr>
          <w:ilvl w:val="0"/>
          <w:numId w:val="0"/>
        </w:numPr>
        <w:ind w:leftChars="0"/>
        <w:rPr>
          <w:rFonts w:hint="eastAsia" w:ascii="宋体" w:hAnsi="宋体" w:eastAsia="宋体" w:cs="宋体"/>
          <w:color w:val="auto"/>
          <w:highlight w:val="none"/>
        </w:rPr>
      </w:pPr>
    </w:p>
    <w:p>
      <w:pPr>
        <w:pStyle w:val="2"/>
        <w:numPr>
          <w:ilvl w:val="0"/>
          <w:numId w:val="0"/>
        </w:numPr>
        <w:ind w:leftChars="0"/>
        <w:rPr>
          <w:rFonts w:hint="eastAsia" w:ascii="宋体" w:hAnsi="宋体" w:eastAsia="宋体" w:cs="宋体"/>
          <w:color w:val="auto"/>
          <w:highlight w:val="none"/>
        </w:rPr>
      </w:pPr>
    </w:p>
    <w:p>
      <w:pPr>
        <w:numPr>
          <w:ilvl w:val="0"/>
          <w:numId w:val="6"/>
        </w:numPr>
        <w:spacing w:line="480" w:lineRule="auto"/>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磋商保证金提交凭证（必须提供）</w:t>
      </w: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numPr>
          <w:ilvl w:val="0"/>
          <w:numId w:val="6"/>
        </w:numPr>
        <w:spacing w:line="480" w:lineRule="auto"/>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技术方案（必须提供）</w:t>
      </w: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numPr>
          <w:ilvl w:val="0"/>
          <w:numId w:val="6"/>
        </w:numPr>
        <w:spacing w:line="480" w:lineRule="auto"/>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拟订各项管理规章制度及档案资料的建立与管理（必须提供）</w:t>
      </w: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numPr>
          <w:ilvl w:val="0"/>
          <w:numId w:val="6"/>
        </w:numPr>
        <w:spacing w:line="480" w:lineRule="auto"/>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服务承诺方案（必须提供）</w:t>
      </w: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numPr>
          <w:ilvl w:val="0"/>
          <w:numId w:val="6"/>
        </w:numPr>
        <w:spacing w:line="480" w:lineRule="auto"/>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供应商业绩（如有请提供）； </w:t>
      </w: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widowControl w:val="0"/>
        <w:numPr>
          <w:ilvl w:val="0"/>
          <w:numId w:val="0"/>
        </w:numPr>
        <w:spacing w:after="120"/>
        <w:jc w:val="both"/>
        <w:rPr>
          <w:rFonts w:hint="eastAsia" w:ascii="宋体" w:hAnsi="宋体" w:eastAsia="宋体" w:cs="宋体"/>
          <w:color w:val="auto"/>
          <w:highlight w:val="none"/>
        </w:rPr>
      </w:pPr>
    </w:p>
    <w:p>
      <w:pPr>
        <w:pStyle w:val="2"/>
        <w:spacing w:line="480" w:lineRule="auto"/>
        <w:rPr>
          <w:rFonts w:hint="eastAsia" w:ascii="宋体" w:hAnsi="宋体" w:eastAsia="宋体" w:cs="宋体"/>
          <w:bCs/>
          <w:color w:val="auto"/>
          <w:sz w:val="44"/>
          <w:szCs w:val="44"/>
          <w:highlight w:val="none"/>
        </w:rPr>
      </w:pPr>
      <w:r>
        <w:rPr>
          <w:rFonts w:hint="eastAsia" w:ascii="宋体" w:hAnsi="宋体" w:eastAsia="宋体" w:cs="宋体"/>
          <w:color w:val="auto"/>
          <w:sz w:val="28"/>
          <w:szCs w:val="28"/>
          <w:highlight w:val="none"/>
        </w:rPr>
        <w:t>10.供应商认为需要提供的其他有关资料。</w:t>
      </w:r>
      <w:bookmarkStart w:id="82" w:name="_Hlk65853643"/>
      <w:r>
        <w:rPr>
          <w:rFonts w:hint="eastAsia" w:ascii="宋体" w:hAnsi="宋体" w:eastAsia="宋体" w:cs="宋体"/>
          <w:color w:val="auto"/>
          <w:szCs w:val="21"/>
          <w:highlight w:val="none"/>
        </w:rPr>
        <w:br w:type="page"/>
      </w:r>
      <w:bookmarkEnd w:id="82"/>
    </w:p>
    <w:p>
      <w:pPr>
        <w:spacing w:line="300" w:lineRule="auto"/>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其他文书、文件格式</w:t>
      </w:r>
    </w:p>
    <w:p>
      <w:pPr>
        <w:pStyle w:val="3"/>
        <w:spacing w:before="146" w:line="500" w:lineRule="exact"/>
        <w:ind w:right="142"/>
        <w:jc w:val="center"/>
        <w:rPr>
          <w:rFonts w:hint="eastAsia" w:ascii="宋体" w:hAnsi="宋体" w:eastAsia="宋体" w:cs="宋体"/>
          <w:b w:val="0"/>
          <w:bCs w:val="0"/>
          <w:color w:val="auto"/>
          <w:highlight w:val="none"/>
        </w:rPr>
      </w:pPr>
      <w:r>
        <w:rPr>
          <w:rFonts w:hint="eastAsia" w:ascii="宋体" w:hAnsi="宋体" w:eastAsia="宋体" w:cs="宋体"/>
          <w:color w:val="auto"/>
          <w:highlight w:val="none"/>
        </w:rPr>
        <w:t>中小企业声明函（服务）</w:t>
      </w:r>
    </w:p>
    <w:p>
      <w:pPr>
        <w:spacing w:before="2" w:line="500" w:lineRule="exact"/>
        <w:ind w:firstLine="708" w:firstLineChars="294"/>
        <w:rPr>
          <w:rFonts w:hint="eastAsia" w:ascii="宋体" w:hAnsi="宋体" w:eastAsia="宋体" w:cs="宋体"/>
          <w:b/>
          <w:bCs/>
          <w:color w:val="auto"/>
          <w:sz w:val="24"/>
          <w:highlight w:val="none"/>
        </w:rPr>
      </w:pPr>
    </w:p>
    <w:p>
      <w:pPr>
        <w:pStyle w:val="2"/>
        <w:spacing w:line="500" w:lineRule="exact"/>
        <w:ind w:right="142" w:firstLine="705" w:firstLineChars="294"/>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772" w:firstLineChars="322"/>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贺州市盘谷河一体化污水处理设施2年运维服务</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其他未列明行业</w:t>
      </w:r>
      <w:r>
        <w:rPr>
          <w:rFonts w:hint="eastAsia" w:ascii="宋体" w:hAnsi="宋体" w:eastAsia="宋体" w:cs="宋体"/>
          <w:color w:val="auto"/>
          <w:sz w:val="24"/>
          <w:highlight w:val="none"/>
        </w:rPr>
        <w:t>；承接企业为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pPr>
        <w:pStyle w:val="2"/>
        <w:spacing w:before="34" w:line="500" w:lineRule="exact"/>
        <w:ind w:right="142" w:firstLine="705" w:firstLineChars="294"/>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2"/>
        <w:spacing w:before="34" w:line="500" w:lineRule="exact"/>
        <w:ind w:right="142" w:firstLine="705" w:firstLineChars="294"/>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pStyle w:val="2"/>
        <w:spacing w:before="25" w:line="500" w:lineRule="exact"/>
        <w:ind w:right="142" w:firstLine="705" w:firstLineChars="294"/>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pStyle w:val="2"/>
        <w:spacing w:before="56" w:line="500" w:lineRule="exact"/>
        <w:ind w:right="1808" w:firstLine="705" w:firstLineChars="294"/>
        <w:rPr>
          <w:rFonts w:hint="eastAsia" w:ascii="宋体" w:hAnsi="宋体" w:eastAsia="宋体" w:cs="宋体"/>
          <w:color w:val="auto"/>
          <w:sz w:val="24"/>
          <w:highlight w:val="none"/>
        </w:rPr>
      </w:pPr>
    </w:p>
    <w:p>
      <w:pPr>
        <w:pStyle w:val="2"/>
        <w:spacing w:before="56" w:line="500" w:lineRule="exact"/>
        <w:ind w:right="650" w:firstLine="5625" w:firstLineChars="2344"/>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w:t>
      </w:r>
      <w:r>
        <w:rPr>
          <w:rFonts w:hint="eastAsia" w:ascii="宋体" w:hAnsi="宋体" w:eastAsia="宋体" w:cs="宋体"/>
          <w:color w:val="auto"/>
          <w:spacing w:val="20"/>
          <w:sz w:val="24"/>
          <w:highlight w:val="none"/>
        </w:rPr>
        <w:t>电子签章</w:t>
      </w:r>
      <w:r>
        <w:rPr>
          <w:rFonts w:hint="eastAsia" w:ascii="宋体" w:hAnsi="宋体" w:eastAsia="宋体" w:cs="宋体"/>
          <w:color w:val="auto"/>
          <w:sz w:val="24"/>
          <w:highlight w:val="none"/>
        </w:rPr>
        <w:t xml:space="preserve">）： </w:t>
      </w:r>
    </w:p>
    <w:p>
      <w:pPr>
        <w:pStyle w:val="2"/>
        <w:spacing w:before="56" w:line="500" w:lineRule="exact"/>
        <w:ind w:right="1808" w:firstLine="5625" w:firstLineChars="2344"/>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52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44"/>
          <w:szCs w:val="44"/>
          <w:highlight w:val="none"/>
        </w:rPr>
        <w:t>残疾人福利性单位声明函</w:t>
      </w:r>
    </w:p>
    <w:p>
      <w:pPr>
        <w:spacing w:line="360" w:lineRule="auto"/>
        <w:contextualSpacing/>
        <w:rPr>
          <w:rFonts w:hint="eastAsia" w:ascii="宋体" w:hAnsi="宋体" w:eastAsia="宋体" w:cs="宋体"/>
          <w:color w:val="auto"/>
          <w:sz w:val="32"/>
          <w:szCs w:val="32"/>
          <w:highlight w:val="none"/>
        </w:rPr>
      </w:pP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contextualSpacing/>
        <w:rPr>
          <w:rFonts w:hint="eastAsia" w:ascii="宋体" w:hAnsi="宋体" w:eastAsia="宋体" w:cs="宋体"/>
          <w:color w:val="auto"/>
          <w:sz w:val="24"/>
          <w:highlight w:val="none"/>
        </w:rPr>
      </w:pPr>
    </w:p>
    <w:p>
      <w:pPr>
        <w:spacing w:line="360" w:lineRule="auto"/>
        <w:contextualSpacing/>
        <w:rPr>
          <w:rFonts w:hint="eastAsia" w:ascii="宋体" w:hAnsi="宋体" w:eastAsia="宋体" w:cs="宋体"/>
          <w:color w:val="auto"/>
          <w:sz w:val="24"/>
          <w:highlight w:val="none"/>
        </w:rPr>
      </w:pPr>
    </w:p>
    <w:p>
      <w:pPr>
        <w:spacing w:line="360" w:lineRule="auto"/>
        <w:contextualSpacing/>
        <w:rPr>
          <w:rFonts w:hint="eastAsia" w:ascii="宋体" w:hAnsi="宋体" w:eastAsia="宋体" w:cs="宋体"/>
          <w:color w:val="auto"/>
          <w:sz w:val="24"/>
          <w:highlight w:val="none"/>
        </w:rPr>
      </w:pPr>
    </w:p>
    <w:p>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单位名称(电子签章)：</w:t>
      </w:r>
    </w:p>
    <w:p>
      <w:pPr>
        <w:spacing w:line="360" w:lineRule="auto"/>
        <w:ind w:firstLine="3600" w:firstLineChars="15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contextualSpacing/>
        <w:rPr>
          <w:rFonts w:hint="eastAsia" w:ascii="宋体" w:hAnsi="宋体" w:eastAsia="宋体" w:cs="宋体"/>
          <w:color w:val="auto"/>
          <w:sz w:val="24"/>
          <w:highlight w:val="none"/>
        </w:rPr>
      </w:pPr>
    </w:p>
    <w:p>
      <w:pPr>
        <w:spacing w:line="360" w:lineRule="auto"/>
        <w:contextualSpacing/>
        <w:rPr>
          <w:rFonts w:hint="eastAsia" w:ascii="宋体" w:hAnsi="宋体" w:eastAsia="宋体" w:cs="宋体"/>
          <w:color w:val="auto"/>
          <w:sz w:val="24"/>
          <w:highlight w:val="none"/>
        </w:rPr>
      </w:pPr>
    </w:p>
    <w:p>
      <w:pPr>
        <w:spacing w:line="360" w:lineRule="auto"/>
        <w:contextualSpacing/>
        <w:rPr>
          <w:rFonts w:hint="eastAsia" w:ascii="宋体" w:hAnsi="宋体" w:eastAsia="宋体" w:cs="宋体"/>
          <w:color w:val="auto"/>
          <w:sz w:val="24"/>
          <w:highlight w:val="none"/>
        </w:rPr>
      </w:pPr>
    </w:p>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质疑函（格式）</w:t>
      </w:r>
    </w:p>
    <w:p>
      <w:pPr>
        <w:pStyle w:val="12"/>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pPr>
        <w:pStyle w:val="12"/>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2"/>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2"/>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2"/>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pPr>
        <w:pStyle w:val="12"/>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2"/>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2"/>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pPr>
        <w:pStyle w:val="12"/>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pPr>
        <w:pStyle w:val="12"/>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pPr>
        <w:pStyle w:val="12"/>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pPr>
        <w:pStyle w:val="12"/>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pPr>
        <w:pStyle w:val="12"/>
        <w:spacing w:line="360" w:lineRule="auto"/>
        <w:ind w:left="25" w:leftChars="12" w:firstLine="352" w:firstLineChars="147"/>
        <w:contextualSpacing/>
        <w:rPr>
          <w:rFonts w:hint="eastAsia" w:ascii="宋体" w:hAnsi="宋体" w:eastAsia="宋体" w:cs="宋体"/>
          <w:color w:val="auto"/>
          <w:sz w:val="24"/>
          <w:szCs w:val="24"/>
          <w:highlight w:val="none"/>
        </w:rPr>
      </w:pPr>
    </w:p>
    <w:p>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pPr>
        <w:pStyle w:val="12"/>
        <w:spacing w:line="360" w:lineRule="auto"/>
        <w:ind w:left="25" w:leftChars="12" w:firstLine="352" w:firstLineChars="147"/>
        <w:contextualSpacing/>
        <w:rPr>
          <w:rFonts w:hint="eastAsia" w:ascii="宋体" w:hAnsi="宋体" w:eastAsia="宋体" w:cs="宋体"/>
          <w:color w:val="auto"/>
          <w:sz w:val="24"/>
          <w:szCs w:val="24"/>
          <w:highlight w:val="none"/>
        </w:rPr>
      </w:pPr>
    </w:p>
    <w:p>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pStyle w:val="12"/>
        <w:spacing w:line="360" w:lineRule="auto"/>
        <w:contextualSpacing/>
        <w:rPr>
          <w:rFonts w:hint="eastAsia" w:ascii="宋体" w:hAnsi="宋体" w:eastAsia="宋体" w:cs="宋体"/>
          <w:b/>
          <w:color w:val="auto"/>
          <w:sz w:val="24"/>
          <w:szCs w:val="24"/>
          <w:highlight w:val="none"/>
        </w:rPr>
      </w:pPr>
    </w:p>
    <w:p>
      <w:pPr>
        <w:pStyle w:val="12"/>
        <w:spacing w:line="360" w:lineRule="auto"/>
        <w:contextualSpacing/>
        <w:rPr>
          <w:rFonts w:hint="eastAsia" w:ascii="宋体" w:hAnsi="宋体" w:eastAsia="宋体" w:cs="宋体"/>
          <w:b/>
          <w:color w:val="auto"/>
          <w:sz w:val="24"/>
          <w:szCs w:val="24"/>
          <w:highlight w:val="none"/>
        </w:rPr>
      </w:pPr>
    </w:p>
    <w:p>
      <w:pPr>
        <w:pStyle w:val="12"/>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pPr>
        <w:pStyle w:val="12"/>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pPr>
        <w:pStyle w:val="12"/>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2"/>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pPr>
        <w:pStyle w:val="12"/>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pPr>
        <w:pStyle w:val="12"/>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pPr>
        <w:pStyle w:val="12"/>
        <w:snapToGrid w:val="0"/>
        <w:rPr>
          <w:rFonts w:hint="eastAsia" w:ascii="宋体" w:hAnsi="宋体" w:eastAsia="宋体" w:cs="宋体"/>
          <w:b/>
          <w:color w:val="auto"/>
          <w:sz w:val="24"/>
          <w:szCs w:val="24"/>
          <w:highlight w:val="none"/>
        </w:rPr>
      </w:pPr>
    </w:p>
    <w:p>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pPr>
        <w:pStyle w:val="12"/>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pPr>
        <w:pStyle w:val="12"/>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2"/>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2"/>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2"/>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pPr>
        <w:pStyle w:val="12"/>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2"/>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pPr>
        <w:pStyle w:val="12"/>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pPr>
        <w:pStyle w:val="12"/>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2"/>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pPr>
        <w:pStyle w:val="12"/>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pPr>
        <w:pStyle w:val="12"/>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pPr>
        <w:pStyle w:val="12"/>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pPr>
        <w:pStyle w:val="12"/>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pPr>
        <w:pStyle w:val="12"/>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pPr>
        <w:pStyle w:val="12"/>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2"/>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pPr>
        <w:pStyle w:val="12"/>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pPr>
        <w:pStyle w:val="12"/>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pPr>
        <w:pStyle w:val="12"/>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pPr>
        <w:pStyle w:val="12"/>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2"/>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2"/>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pPr>
        <w:pStyle w:val="12"/>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pPr>
        <w:pStyle w:val="12"/>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pPr>
        <w:pStyle w:val="12"/>
        <w:spacing w:line="360" w:lineRule="auto"/>
        <w:ind w:left="25" w:leftChars="12" w:firstLine="352" w:firstLineChars="147"/>
        <w:rPr>
          <w:rFonts w:hint="eastAsia" w:ascii="宋体" w:hAnsi="宋体" w:eastAsia="宋体" w:cs="宋体"/>
          <w:color w:val="auto"/>
          <w:sz w:val="24"/>
          <w:szCs w:val="24"/>
          <w:highlight w:val="none"/>
        </w:rPr>
      </w:pPr>
    </w:p>
    <w:p>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pPr>
        <w:pStyle w:val="12"/>
        <w:spacing w:line="360" w:lineRule="auto"/>
        <w:ind w:left="25" w:leftChars="12" w:firstLine="352" w:firstLineChars="147"/>
        <w:rPr>
          <w:rFonts w:hint="eastAsia" w:ascii="宋体" w:hAnsi="宋体" w:eastAsia="宋体" w:cs="宋体"/>
          <w:color w:val="auto"/>
          <w:sz w:val="24"/>
          <w:szCs w:val="24"/>
          <w:highlight w:val="none"/>
        </w:rPr>
      </w:pPr>
    </w:p>
    <w:p>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pPr>
        <w:pStyle w:val="12"/>
        <w:snapToGrid w:val="0"/>
        <w:spacing w:line="360" w:lineRule="auto"/>
        <w:rPr>
          <w:rFonts w:hint="eastAsia" w:ascii="宋体" w:hAnsi="宋体" w:eastAsia="宋体" w:cs="宋体"/>
          <w:b/>
          <w:color w:val="auto"/>
          <w:sz w:val="24"/>
          <w:szCs w:val="24"/>
          <w:highlight w:val="none"/>
        </w:rPr>
      </w:pPr>
    </w:p>
    <w:p>
      <w:pPr>
        <w:pStyle w:val="12"/>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pPr>
        <w:pStyle w:val="12"/>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pPr>
        <w:pStyle w:val="12"/>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2"/>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pPr>
        <w:pStyle w:val="12"/>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pPr>
        <w:pStyle w:val="12"/>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pPr>
        <w:pStyle w:val="12"/>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pPr>
        <w:pStyle w:val="4"/>
        <w:spacing w:line="520" w:lineRule="exact"/>
        <w:jc w:val="center"/>
        <w:rPr>
          <w:rFonts w:hint="eastAsia" w:ascii="宋体" w:hAnsi="宋体" w:eastAsia="宋体" w:cs="宋体"/>
          <w:color w:val="auto"/>
          <w:highlight w:val="none"/>
        </w:rPr>
      </w:pPr>
      <w:bookmarkStart w:id="83" w:name="_Toc44229900"/>
      <w:r>
        <w:rPr>
          <w:rFonts w:hint="eastAsia" w:ascii="宋体" w:hAnsi="宋体" w:eastAsia="宋体" w:cs="宋体"/>
          <w:color w:val="auto"/>
          <w:highlight w:val="none"/>
        </w:rPr>
        <w:t>第六章 合同文本</w:t>
      </w:r>
      <w:bookmarkEnd w:id="83"/>
    </w:p>
    <w:p>
      <w:pPr>
        <w:pStyle w:val="12"/>
        <w:jc w:val="center"/>
        <w:outlineLvl w:val="0"/>
        <w:rPr>
          <w:rFonts w:hint="eastAsia" w:ascii="宋体" w:hAnsi="宋体" w:eastAsia="宋体" w:cs="宋体"/>
          <w:b/>
          <w:color w:val="auto"/>
          <w:sz w:val="44"/>
          <w:highlight w:val="none"/>
        </w:rPr>
      </w:pPr>
      <w:r>
        <w:rPr>
          <w:rFonts w:hint="eastAsia" w:ascii="宋体" w:hAnsi="宋体" w:eastAsia="宋体" w:cs="宋体"/>
          <w:b/>
          <w:bCs/>
          <w:color w:val="auto"/>
          <w:kern w:val="2"/>
          <w:sz w:val="32"/>
          <w:szCs w:val="32"/>
          <w:highlight w:val="none"/>
        </w:rPr>
        <w:t>合同协议书（格式）</w:t>
      </w:r>
    </w:p>
    <w:p>
      <w:pPr>
        <w:pStyle w:val="12"/>
        <w:jc w:val="center"/>
        <w:rPr>
          <w:rFonts w:hint="eastAsia" w:ascii="宋体" w:hAnsi="宋体" w:eastAsia="宋体" w:cs="宋体"/>
          <w:color w:val="auto"/>
          <w:sz w:val="52"/>
          <w:highlight w:val="none"/>
        </w:rPr>
      </w:pPr>
    </w:p>
    <w:p>
      <w:pPr>
        <w:pStyle w:val="4"/>
        <w:spacing w:line="520" w:lineRule="exact"/>
        <w:jc w:val="center"/>
        <w:rPr>
          <w:rFonts w:hint="eastAsia" w:ascii="宋体" w:hAnsi="宋体" w:eastAsia="宋体" w:cs="宋体"/>
          <w:color w:val="auto"/>
          <w:sz w:val="52"/>
          <w:highlight w:val="none"/>
        </w:rPr>
      </w:pPr>
    </w:p>
    <w:p>
      <w:pPr>
        <w:pStyle w:val="12"/>
        <w:rPr>
          <w:rFonts w:hint="eastAsia" w:ascii="宋体" w:hAnsi="宋体" w:eastAsia="宋体" w:cs="宋体"/>
          <w:color w:val="auto"/>
          <w:sz w:val="32"/>
          <w:szCs w:val="32"/>
          <w:highlight w:val="none"/>
        </w:rPr>
      </w:pPr>
    </w:p>
    <w:p>
      <w:pPr>
        <w:pStyle w:val="12"/>
        <w:snapToGrid w:val="0"/>
        <w:ind w:firstLine="472" w:firstLineChars="147"/>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项目名称： </w:t>
      </w:r>
    </w:p>
    <w:p>
      <w:pPr>
        <w:snapToGrid w:val="0"/>
        <w:rPr>
          <w:rFonts w:hint="eastAsia" w:ascii="宋体" w:hAnsi="宋体" w:eastAsia="宋体" w:cs="宋体"/>
          <w:b/>
          <w:color w:val="auto"/>
          <w:sz w:val="32"/>
          <w:szCs w:val="32"/>
          <w:highlight w:val="none"/>
        </w:rPr>
      </w:pPr>
    </w:p>
    <w:p>
      <w:pPr>
        <w:snapToGrid w:val="0"/>
        <w:ind w:firstLine="315" w:firstLineChars="98"/>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项目编号： </w:t>
      </w:r>
    </w:p>
    <w:p>
      <w:pPr>
        <w:rPr>
          <w:rFonts w:hint="eastAsia" w:ascii="宋体" w:hAnsi="宋体" w:eastAsia="宋体" w:cs="宋体"/>
          <w:b/>
          <w:color w:val="auto"/>
          <w:sz w:val="32"/>
          <w:szCs w:val="32"/>
          <w:highlight w:val="none"/>
          <w:u w:val="single"/>
        </w:rPr>
      </w:pP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pPr>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spacing w:line="360" w:lineRule="auto"/>
        <w:ind w:firstLine="157" w:firstLineChars="4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签订协议书地点：</w:t>
      </w:r>
    </w:p>
    <w:p>
      <w:pPr>
        <w:spacing w:line="360" w:lineRule="auto"/>
        <w:ind w:firstLine="157" w:firstLineChars="49"/>
        <w:rPr>
          <w:rFonts w:hint="eastAsia" w:ascii="宋体" w:hAnsi="宋体" w:eastAsia="宋体" w:cs="宋体"/>
          <w:b/>
          <w:color w:val="auto"/>
          <w:sz w:val="32"/>
          <w:szCs w:val="32"/>
          <w:highlight w:val="none"/>
        </w:rPr>
      </w:pPr>
    </w:p>
    <w:p>
      <w:pPr>
        <w:spacing w:line="360" w:lineRule="auto"/>
        <w:ind w:firstLine="472" w:firstLineChars="147"/>
        <w:rPr>
          <w:rFonts w:hint="eastAsia" w:ascii="宋体" w:hAnsi="宋体" w:eastAsia="宋体" w:cs="宋体"/>
          <w:color w:val="auto"/>
          <w:sz w:val="44"/>
          <w:szCs w:val="44"/>
          <w:highlight w:val="none"/>
        </w:rPr>
      </w:pPr>
      <w:r>
        <w:rPr>
          <w:rFonts w:hint="eastAsia" w:ascii="宋体" w:hAnsi="宋体" w:eastAsia="宋体" w:cs="宋体"/>
          <w:b/>
          <w:color w:val="auto"/>
          <w:sz w:val="32"/>
          <w:szCs w:val="32"/>
          <w:highlight w:val="none"/>
        </w:rPr>
        <w:t>签订协议书时间：</w:t>
      </w:r>
      <w:r>
        <w:rPr>
          <w:rFonts w:hint="eastAsia" w:ascii="宋体" w:hAnsi="宋体" w:eastAsia="宋体" w:cs="宋体"/>
          <w:b/>
          <w:color w:val="auto"/>
          <w:sz w:val="32"/>
          <w:szCs w:val="32"/>
          <w:highlight w:val="none"/>
          <w:u w:val="single"/>
        </w:rPr>
        <w:t xml:space="preserve">                   </w:t>
      </w:r>
    </w:p>
    <w:p>
      <w:pPr>
        <w:pStyle w:val="12"/>
        <w:ind w:left="720"/>
        <w:jc w:val="center"/>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2"/>
        <w:rPr>
          <w:rFonts w:hint="eastAsia" w:ascii="宋体" w:hAnsi="宋体" w:eastAsia="宋体" w:cs="宋体"/>
          <w:b/>
          <w:color w:val="auto"/>
          <w:sz w:val="32"/>
          <w:highlight w:val="none"/>
        </w:rPr>
      </w:pPr>
    </w:p>
    <w:p>
      <w:pPr>
        <w:pStyle w:val="2"/>
        <w:rPr>
          <w:rFonts w:hint="eastAsia" w:ascii="宋体" w:hAnsi="宋体" w:eastAsia="宋体" w:cs="宋体"/>
          <w:b/>
          <w:color w:val="auto"/>
          <w:sz w:val="32"/>
          <w:highlight w:val="none"/>
        </w:rPr>
      </w:pPr>
    </w:p>
    <w:p>
      <w:pPr>
        <w:pStyle w:val="2"/>
        <w:rPr>
          <w:rFonts w:hint="eastAsia" w:ascii="宋体" w:hAnsi="宋体" w:eastAsia="宋体" w:cs="宋体"/>
          <w:b/>
          <w:color w:val="auto"/>
          <w:sz w:val="32"/>
          <w:highlight w:val="none"/>
        </w:rPr>
      </w:pPr>
    </w:p>
    <w:p>
      <w:pPr>
        <w:pStyle w:val="2"/>
        <w:rPr>
          <w:rFonts w:hint="eastAsia" w:ascii="宋体" w:hAnsi="宋体" w:eastAsia="宋体" w:cs="宋体"/>
          <w:b/>
          <w:color w:val="auto"/>
          <w:sz w:val="32"/>
          <w:highlight w:val="none"/>
        </w:rPr>
      </w:pPr>
    </w:p>
    <w:p>
      <w:pPr>
        <w:pStyle w:val="2"/>
        <w:rPr>
          <w:rFonts w:hint="eastAsia" w:ascii="宋体" w:hAnsi="宋体" w:eastAsia="宋体" w:cs="宋体"/>
          <w:b/>
          <w:color w:val="auto"/>
          <w:sz w:val="32"/>
          <w:highlight w:val="none"/>
        </w:rPr>
      </w:pPr>
    </w:p>
    <w:p>
      <w:pPr>
        <w:pStyle w:val="2"/>
        <w:rPr>
          <w:rFonts w:hint="eastAsia" w:ascii="宋体" w:hAnsi="宋体" w:eastAsia="宋体" w:cs="宋体"/>
          <w:b/>
          <w:color w:val="auto"/>
          <w:sz w:val="32"/>
          <w:highlight w:val="none"/>
        </w:rPr>
      </w:pPr>
    </w:p>
    <w:p>
      <w:pPr>
        <w:spacing w:line="360" w:lineRule="auto"/>
        <w:ind w:right="-401" w:rightChars="-191"/>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政府采购合同</w:t>
      </w:r>
    </w:p>
    <w:p>
      <w:pPr>
        <w:spacing w:line="360" w:lineRule="auto"/>
        <w:ind w:right="-401" w:rightChars="-19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本合同双方当事人：</w:t>
      </w:r>
    </w:p>
    <w:p>
      <w:pPr>
        <w:spacing w:line="360" w:lineRule="auto"/>
        <w:ind w:right="-401" w:rightChars="-191"/>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委托方：                                       （以下简称甲方）</w:t>
      </w:r>
    </w:p>
    <w:p>
      <w:pPr>
        <w:spacing w:line="360" w:lineRule="auto"/>
        <w:ind w:right="-401" w:rightChars="-191"/>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受托方：                                       （以下简称乙方）</w:t>
      </w:r>
    </w:p>
    <w:p>
      <w:pPr>
        <w:spacing w:line="360" w:lineRule="auto"/>
        <w:ind w:right="-401" w:rightChars="-191"/>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根据《中华人民共和国政府采购法》、《中华人民共和国民法典》等法律、法规规定，按照投标文件、响应文件规定条款和乙方响应文件及其承诺，甲乙双方签订本合同。</w:t>
      </w:r>
    </w:p>
    <w:p>
      <w:pPr>
        <w:spacing w:line="360" w:lineRule="auto"/>
        <w:rPr>
          <w:rFonts w:hint="eastAsia" w:ascii="宋体" w:hAnsi="宋体" w:eastAsia="宋体" w:cs="宋体"/>
          <w:b/>
          <w:color w:val="auto"/>
          <w:spacing w:val="20"/>
          <w:szCs w:val="21"/>
          <w:highlight w:val="none"/>
        </w:rPr>
      </w:pPr>
    </w:p>
    <w:p>
      <w:pPr>
        <w:spacing w:line="500" w:lineRule="exact"/>
        <w:jc w:val="center"/>
        <w:rPr>
          <w:rFonts w:hint="eastAsia"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委托服务的项目</w:t>
      </w:r>
    </w:p>
    <w:p>
      <w:pPr>
        <w:pStyle w:val="12"/>
        <w:spacing w:line="500" w:lineRule="exact"/>
        <w:rPr>
          <w:rFonts w:hint="eastAsia" w:ascii="宋体" w:hAnsi="宋体" w:eastAsia="宋体" w:cs="宋体"/>
          <w:b/>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highlight w:val="none"/>
        </w:rPr>
        <w:t xml:space="preserve"> 第一条  服务项目名称</w:t>
      </w:r>
    </w:p>
    <w:p>
      <w:pPr>
        <w:pStyle w:val="12"/>
        <w:spacing w:line="5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项目名称：贺州市盘谷河一体化污水处理设施2年运维服务。</w:t>
      </w:r>
    </w:p>
    <w:p>
      <w:pPr>
        <w:spacing w:line="500" w:lineRule="exact"/>
        <w:rPr>
          <w:rFonts w:hint="eastAsia" w:ascii="宋体" w:hAnsi="宋体" w:eastAsia="宋体" w:cs="宋体"/>
          <w:color w:val="auto"/>
          <w:szCs w:val="21"/>
          <w:highlight w:val="none"/>
          <w:lang w:eastAsia="zh-CN"/>
        </w:rPr>
      </w:pPr>
    </w:p>
    <w:p>
      <w:pPr>
        <w:pStyle w:val="12"/>
        <w:spacing w:line="500" w:lineRule="exact"/>
        <w:rPr>
          <w:rFonts w:hint="eastAsia"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服务期限</w:t>
      </w:r>
    </w:p>
    <w:p>
      <w:pPr>
        <w:spacing w:line="5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第二条</w:t>
      </w:r>
      <w:r>
        <w:rPr>
          <w:rFonts w:hint="eastAsia" w:ascii="宋体" w:hAnsi="宋体" w:eastAsia="宋体" w:cs="宋体"/>
          <w:color w:val="auto"/>
          <w:szCs w:val="21"/>
          <w:highlight w:val="none"/>
        </w:rPr>
        <w:t xml:space="preserve">  合同期限</w:t>
      </w:r>
    </w:p>
    <w:p>
      <w:pPr>
        <w:spacing w:line="500" w:lineRule="exact"/>
        <w:ind w:firstLine="435"/>
        <w:rPr>
          <w:rFonts w:hint="eastAsia" w:ascii="宋体" w:hAnsi="宋体" w:eastAsia="宋体" w:cs="宋体"/>
          <w:b/>
          <w:i/>
          <w:color w:val="auto"/>
          <w:szCs w:val="21"/>
          <w:highlight w:val="none"/>
          <w:u w:val="single"/>
        </w:rPr>
      </w:pPr>
      <w:r>
        <w:rPr>
          <w:rFonts w:hint="eastAsia" w:ascii="宋体" w:hAnsi="宋体" w:eastAsia="宋体" w:cs="宋体"/>
          <w:color w:val="auto"/>
          <w:szCs w:val="21"/>
          <w:highlight w:val="none"/>
        </w:rPr>
        <w:t>甲方和乙方签订的合同服务期限为2年</w:t>
      </w:r>
      <w:r>
        <w:rPr>
          <w:rFonts w:hint="eastAsia" w:ascii="宋体" w:hAnsi="宋体" w:eastAsia="宋体" w:cs="宋体"/>
          <w:color w:val="auto"/>
          <w:kern w:val="0"/>
          <w:szCs w:val="21"/>
          <w:highlight w:val="none"/>
        </w:rPr>
        <w:t>（2022年    月    日-2024年    月    日）</w:t>
      </w:r>
      <w:r>
        <w:rPr>
          <w:rFonts w:hint="eastAsia" w:ascii="宋体" w:hAnsi="宋体" w:eastAsia="宋体" w:cs="宋体"/>
          <w:color w:val="auto"/>
          <w:szCs w:val="21"/>
          <w:highlight w:val="none"/>
        </w:rPr>
        <w:t>。</w:t>
      </w:r>
    </w:p>
    <w:p>
      <w:pPr>
        <w:spacing w:line="500" w:lineRule="exact"/>
        <w:ind w:firstLine="435"/>
        <w:rPr>
          <w:rFonts w:hint="eastAsia" w:ascii="宋体" w:hAnsi="宋体" w:eastAsia="宋体" w:cs="宋体"/>
          <w:i/>
          <w:color w:val="auto"/>
          <w:szCs w:val="21"/>
          <w:highlight w:val="none"/>
          <w:u w:val="single"/>
        </w:rPr>
      </w:pPr>
    </w:p>
    <w:p>
      <w:pPr>
        <w:spacing w:line="500" w:lineRule="exact"/>
        <w:ind w:left="720"/>
        <w:jc w:val="center"/>
        <w:rPr>
          <w:rFonts w:hint="eastAsia" w:ascii="宋体" w:hAnsi="宋体" w:eastAsia="宋体" w:cs="宋体"/>
          <w:b/>
          <w:color w:val="auto"/>
          <w:szCs w:val="21"/>
          <w:highlight w:val="none"/>
        </w:rPr>
      </w:pPr>
      <w:r>
        <w:rPr>
          <w:rFonts w:hint="eastAsia" w:ascii="宋体" w:hAnsi="宋体" w:eastAsia="宋体" w:cs="宋体"/>
          <w:b/>
          <w:color w:val="auto"/>
          <w:spacing w:val="20"/>
          <w:szCs w:val="21"/>
          <w:highlight w:val="none"/>
        </w:rPr>
        <w:t>服务事项</w:t>
      </w:r>
    </w:p>
    <w:p>
      <w:pPr>
        <w:adjustRightInd w:val="0"/>
        <w:spacing w:line="500" w:lineRule="exact"/>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 xml:space="preserve">   第三条</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一体化污水处理设施运维管理要求</w:t>
      </w:r>
    </w:p>
    <w:p>
      <w:pPr>
        <w:adjustRightInd w:val="0"/>
        <w:spacing w:line="50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1、一体化污水处理设施设计处理规模为1000吨/天，乙方需确保污水处理设备及配套设施</w:t>
      </w:r>
      <w:r>
        <w:rPr>
          <w:rFonts w:hint="eastAsia" w:ascii="宋体" w:hAnsi="宋体" w:eastAsia="宋体" w:cs="宋体"/>
          <w:color w:val="auto"/>
          <w:szCs w:val="21"/>
          <w:highlight w:val="none"/>
        </w:rPr>
        <w:t>正常运行。</w:t>
      </w:r>
      <w:r>
        <w:rPr>
          <w:rFonts w:hint="eastAsia" w:ascii="宋体" w:hAnsi="宋体" w:eastAsia="宋体" w:cs="宋体"/>
          <w:color w:val="auto"/>
          <w:kern w:val="0"/>
          <w:szCs w:val="21"/>
          <w:highlight w:val="none"/>
        </w:rPr>
        <w:t>执行《中华人民共和国水污染防治法》的相关法律法规要求，确保污水处理后出水指标达到《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"http://wenku.baidu.com/view/0cebebceda38376baf1fae88.html" \t "_blank"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Cs w:val="21"/>
          <w:highlight w:val="none"/>
        </w:rPr>
        <w:t>城镇污水处理厂污染物排放标准》(GB18918-2002</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)的一级B标准或者设计标准（两个标准不一致的按最高标准执行）。</w:t>
      </w:r>
    </w:p>
    <w:p>
      <w:pPr>
        <w:adjustRightInd w:val="0"/>
        <w:spacing w:line="5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2、</w:t>
      </w:r>
      <w:r>
        <w:rPr>
          <w:rFonts w:hint="eastAsia" w:ascii="宋体" w:hAnsi="宋体" w:eastAsia="宋体" w:cs="宋体"/>
          <w:color w:val="auto"/>
          <w:szCs w:val="21"/>
          <w:highlight w:val="none"/>
        </w:rPr>
        <w:t>主要设备维护保养，配电设备维护保养，主要构筑物完好无损。</w:t>
      </w:r>
    </w:p>
    <w:p>
      <w:pPr>
        <w:adjustRightInd w:val="0"/>
        <w:spacing w:line="50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3、一体化污水处理设施</w:t>
      </w:r>
      <w:r>
        <w:rPr>
          <w:rFonts w:hint="eastAsia" w:ascii="宋体" w:hAnsi="宋体" w:eastAsia="宋体" w:cs="宋体"/>
          <w:color w:val="auto"/>
          <w:szCs w:val="21"/>
          <w:highlight w:val="none"/>
        </w:rPr>
        <w:t>范围环境卫生管理。</w:t>
      </w:r>
    </w:p>
    <w:p>
      <w:pPr>
        <w:adjustRightInd w:val="0"/>
        <w:spacing w:line="5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4、按要求对</w:t>
      </w:r>
      <w:r>
        <w:rPr>
          <w:rFonts w:hint="eastAsia" w:ascii="宋体" w:hAnsi="宋体" w:eastAsia="宋体" w:cs="宋体"/>
          <w:color w:val="auto"/>
          <w:szCs w:val="21"/>
          <w:highlight w:val="none"/>
        </w:rPr>
        <w:t>污泥进行处置</w:t>
      </w:r>
      <w:r>
        <w:rPr>
          <w:rFonts w:hint="eastAsia" w:ascii="宋体" w:hAnsi="宋体" w:eastAsia="宋体" w:cs="宋体"/>
          <w:color w:val="auto"/>
          <w:kern w:val="0"/>
          <w:szCs w:val="21"/>
          <w:highlight w:val="none"/>
        </w:rPr>
        <w:t>，避免二次污染事故的发生。</w:t>
      </w:r>
    </w:p>
    <w:p>
      <w:pPr>
        <w:spacing w:line="5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5、</w:t>
      </w:r>
      <w:r>
        <w:rPr>
          <w:rFonts w:hint="eastAsia" w:ascii="宋体" w:hAnsi="宋体" w:eastAsia="宋体" w:cs="宋体"/>
          <w:color w:val="auto"/>
          <w:szCs w:val="21"/>
          <w:highlight w:val="none"/>
        </w:rPr>
        <w:t>运行台帐记录齐全。</w:t>
      </w:r>
      <w:r>
        <w:rPr>
          <w:rFonts w:hint="eastAsia" w:ascii="宋体" w:hAnsi="宋体" w:eastAsia="宋体" w:cs="宋体"/>
          <w:color w:val="auto"/>
          <w:kern w:val="0"/>
          <w:szCs w:val="21"/>
          <w:highlight w:val="none"/>
        </w:rPr>
        <w:t>根据一体化污水处理设施的实际情况，安排好具体的运行维护计划，做好日常运行维护工作及安全管理。</w:t>
      </w:r>
    </w:p>
    <w:p>
      <w:pPr>
        <w:adjustRightInd w:val="0"/>
        <w:spacing w:line="500" w:lineRule="exact"/>
        <w:ind w:firstLine="422"/>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 xml:space="preserve">第四条  </w:t>
      </w:r>
      <w:r>
        <w:rPr>
          <w:rFonts w:hint="eastAsia" w:ascii="宋体" w:hAnsi="宋体" w:eastAsia="宋体" w:cs="宋体"/>
          <w:color w:val="auto"/>
          <w:kern w:val="0"/>
          <w:szCs w:val="21"/>
          <w:highlight w:val="none"/>
        </w:rPr>
        <w:t>一体化污水处理设施运维管理组织机构</w:t>
      </w:r>
    </w:p>
    <w:p>
      <w:pPr>
        <w:adjustRightInd w:val="0"/>
        <w:spacing w:line="5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kern w:val="0"/>
          <w:szCs w:val="21"/>
          <w:highlight w:val="none"/>
        </w:rPr>
        <w:t>一体化污水处理设施运维要求配备管理人员</w:t>
      </w:r>
      <w:r>
        <w:rPr>
          <w:rFonts w:hint="eastAsia" w:ascii="宋体" w:hAnsi="宋体" w:eastAsia="宋体" w:cs="宋体"/>
          <w:color w:val="auto"/>
          <w:szCs w:val="21"/>
          <w:highlight w:val="none"/>
        </w:rPr>
        <w:t>。负责现污水处理设施的场运行操作、日常巡检、设备的维修维护保养等工作。</w:t>
      </w:r>
    </w:p>
    <w:p>
      <w:pPr>
        <w:adjustRightInd w:val="0"/>
        <w:spacing w:line="500" w:lineRule="exact"/>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 xml:space="preserve">    第五条</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委托运维管理范围</w:t>
      </w:r>
    </w:p>
    <w:p>
      <w:pPr>
        <w:adjustRightInd w:val="0"/>
        <w:spacing w:line="50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一体化污水处理设施的运行及管理维护设施、构筑物、围栏、宣传牌、标志标识、安全警示牌等附属设施。</w:t>
      </w:r>
    </w:p>
    <w:p>
      <w:pPr>
        <w:adjustRightInd w:val="0"/>
        <w:spacing w:line="50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2.一体化污水处理设施的所有供电、电气设备、机械设备的管理维护及运行。</w:t>
      </w:r>
    </w:p>
    <w:p>
      <w:pPr>
        <w:adjustRightInd w:val="0"/>
        <w:spacing w:line="500" w:lineRule="exact"/>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 xml:space="preserve">     第六条</w:t>
      </w:r>
      <w:r>
        <w:rPr>
          <w:rFonts w:hint="eastAsia" w:ascii="宋体" w:hAnsi="宋体" w:eastAsia="宋体" w:cs="宋体"/>
          <w:color w:val="auto"/>
          <w:szCs w:val="21"/>
          <w:highlight w:val="none"/>
        </w:rPr>
        <w:t xml:space="preserve">  乙方</w:t>
      </w:r>
      <w:r>
        <w:rPr>
          <w:rFonts w:hint="eastAsia" w:ascii="宋体" w:hAnsi="宋体" w:eastAsia="宋体" w:cs="宋体"/>
          <w:color w:val="auto"/>
          <w:kern w:val="0"/>
          <w:szCs w:val="21"/>
          <w:highlight w:val="none"/>
        </w:rPr>
        <w:t>职责</w:t>
      </w:r>
    </w:p>
    <w:p>
      <w:pPr>
        <w:adjustRightInd w:val="0"/>
        <w:spacing w:line="5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1. </w:t>
      </w:r>
      <w:r>
        <w:rPr>
          <w:rFonts w:hint="eastAsia" w:ascii="宋体" w:hAnsi="宋体" w:eastAsia="宋体" w:cs="宋体"/>
          <w:color w:val="auto"/>
          <w:szCs w:val="21"/>
          <w:highlight w:val="none"/>
        </w:rPr>
        <w:t>乙方</w:t>
      </w:r>
      <w:r>
        <w:rPr>
          <w:rFonts w:hint="eastAsia" w:ascii="宋体" w:hAnsi="宋体" w:eastAsia="宋体" w:cs="宋体"/>
          <w:color w:val="auto"/>
          <w:kern w:val="0"/>
          <w:szCs w:val="21"/>
          <w:highlight w:val="none"/>
        </w:rPr>
        <w:t>应负责污水处理所有设施的管理维护工作，不得转让本项目。</w:t>
      </w:r>
    </w:p>
    <w:p>
      <w:pPr>
        <w:adjustRightInd w:val="0"/>
        <w:spacing w:line="5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2. </w:t>
      </w:r>
      <w:r>
        <w:rPr>
          <w:rFonts w:hint="eastAsia" w:ascii="宋体" w:hAnsi="宋体" w:eastAsia="宋体" w:cs="宋体"/>
          <w:color w:val="auto"/>
          <w:szCs w:val="21"/>
          <w:highlight w:val="none"/>
        </w:rPr>
        <w:t>乙方</w:t>
      </w:r>
      <w:r>
        <w:rPr>
          <w:rFonts w:hint="eastAsia" w:ascii="宋体" w:hAnsi="宋体" w:eastAsia="宋体" w:cs="宋体"/>
          <w:color w:val="auto"/>
          <w:kern w:val="0"/>
          <w:szCs w:val="21"/>
          <w:highlight w:val="none"/>
        </w:rPr>
        <w:t>应对管理人员按照《操作规程》进行培训，合格后上岗，保证按规定进行运维服务管理。</w:t>
      </w:r>
    </w:p>
    <w:p>
      <w:pPr>
        <w:adjustRightInd w:val="0"/>
        <w:spacing w:line="5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3. 乙方应依法保护一体化污水处理设施，维护设施的运行，负责各项设施的日常维修维护保养。具体内容如下：</w:t>
      </w:r>
    </w:p>
    <w:p>
      <w:pPr>
        <w:adjustRightInd w:val="0"/>
        <w:spacing w:line="5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1）保证各设施、设备的完整。</w:t>
      </w:r>
    </w:p>
    <w:p>
      <w:pPr>
        <w:adjustRightInd w:val="0"/>
        <w:spacing w:line="5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2）检查和维护一体化污水处理设施及水泵等设备，确保设施正常运行，做好设备管理工作。</w:t>
      </w:r>
    </w:p>
    <w:p>
      <w:pPr>
        <w:adjustRightInd w:val="0"/>
        <w:spacing w:line="5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3）在发生设备事故、故障时，及时向委托方汇报并同时按相关规程进行事故、故障的处理，以确保人身、设备的安全。</w:t>
      </w:r>
    </w:p>
    <w:p>
      <w:pPr>
        <w:adjustRightInd w:val="0"/>
        <w:spacing w:line="5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4）根据需要协助委托方做好一体化污水处理设施与其他部门之间的相关工作。</w:t>
      </w:r>
    </w:p>
    <w:p>
      <w:pPr>
        <w:adjustRightInd w:val="0"/>
        <w:spacing w:line="5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5）根据实际情况，以防止泥沙淤积造成水泵堵塞。</w:t>
      </w:r>
    </w:p>
    <w:p>
      <w:pPr>
        <w:adjustRightIn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6）根据需要协助做好一体化污水处理设施</w:t>
      </w:r>
      <w:r>
        <w:rPr>
          <w:rFonts w:hint="eastAsia" w:ascii="宋体" w:hAnsi="宋体" w:eastAsia="宋体" w:cs="宋体"/>
          <w:color w:val="auto"/>
          <w:szCs w:val="21"/>
          <w:highlight w:val="none"/>
        </w:rPr>
        <w:t>合同期内进出水水质监测工作。</w:t>
      </w:r>
    </w:p>
    <w:p>
      <w:pPr>
        <w:adjustRightInd w:val="0"/>
        <w:spacing w:line="5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7）制定科学服务方案并交甲方保存一份，服务过程中承担安全管理责任，出现安全事故由乙方承担。同时按照安全、环保等行政部门的规定履行相应的职责。</w:t>
      </w:r>
    </w:p>
    <w:p>
      <w:pPr>
        <w:adjustRightInd w:val="0"/>
        <w:spacing w:line="500" w:lineRule="exact"/>
        <w:ind w:firstLine="480"/>
        <w:rPr>
          <w:rFonts w:hint="eastAsia" w:ascii="宋体" w:hAnsi="宋体" w:eastAsia="宋体" w:cs="宋体"/>
          <w:b/>
          <w:color w:val="auto"/>
          <w:szCs w:val="21"/>
          <w:highlight w:val="none"/>
        </w:rPr>
      </w:pPr>
    </w:p>
    <w:p>
      <w:pPr>
        <w:spacing w:line="50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b/>
          <w:color w:val="auto"/>
          <w:spacing w:val="20"/>
          <w:szCs w:val="21"/>
          <w:highlight w:val="none"/>
        </w:rPr>
        <w:t>服务费用</w:t>
      </w:r>
    </w:p>
    <w:p>
      <w:pPr>
        <w:spacing w:line="5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p>
    <w:p>
      <w:pPr>
        <w:spacing w:line="500" w:lineRule="exact"/>
        <w:ind w:firstLine="480"/>
        <w:jc w:val="left"/>
        <w:rPr>
          <w:rFonts w:hint="eastAsia" w:ascii="宋体" w:hAnsi="宋体" w:eastAsia="宋体" w:cs="宋体"/>
          <w:b/>
          <w:color w:val="auto"/>
          <w:spacing w:val="20"/>
          <w:szCs w:val="21"/>
          <w:highlight w:val="none"/>
        </w:rPr>
      </w:pPr>
      <w:r>
        <w:rPr>
          <w:rFonts w:hint="eastAsia" w:ascii="宋体" w:hAnsi="宋体" w:eastAsia="宋体" w:cs="宋体"/>
          <w:b/>
          <w:color w:val="auto"/>
          <w:szCs w:val="21"/>
          <w:highlight w:val="none"/>
        </w:rPr>
        <w:t>第七条  委托运维服务费</w:t>
      </w:r>
      <w:r>
        <w:rPr>
          <w:rFonts w:hint="eastAsia" w:ascii="宋体" w:hAnsi="宋体" w:eastAsia="宋体" w:cs="宋体"/>
          <w:b/>
          <w:color w:val="auto"/>
          <w:szCs w:val="21"/>
          <w:highlight w:val="none"/>
          <w:lang w:eastAsia="zh-CN"/>
        </w:rPr>
        <w:t>用</w:t>
      </w:r>
      <w:r>
        <w:rPr>
          <w:rFonts w:hint="eastAsia" w:ascii="宋体" w:hAnsi="宋体" w:eastAsia="宋体" w:cs="宋体"/>
          <w:b/>
          <w:color w:val="auto"/>
          <w:szCs w:val="21"/>
          <w:highlight w:val="none"/>
        </w:rPr>
        <w:t>及支付方式</w:t>
      </w:r>
    </w:p>
    <w:p>
      <w:pPr>
        <w:pStyle w:val="7"/>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 xml:space="preserve"> 甲方支付乙方2年委托运维服务费：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元。合同签订后，结算方式按每三个月向</w:t>
      </w:r>
      <w:r>
        <w:rPr>
          <w:rFonts w:hint="eastAsia" w:ascii="宋体" w:hAnsi="宋体" w:eastAsia="宋体" w:cs="宋体"/>
          <w:color w:val="auto"/>
          <w:kern w:val="0"/>
          <w:szCs w:val="21"/>
          <w:highlight w:val="none"/>
          <w:lang w:eastAsia="zh-CN"/>
        </w:rPr>
        <w:t>乙方</w:t>
      </w:r>
      <w:r>
        <w:rPr>
          <w:rFonts w:hint="eastAsia" w:ascii="宋体" w:hAnsi="宋体" w:eastAsia="宋体" w:cs="宋体"/>
          <w:color w:val="auto"/>
          <w:kern w:val="0"/>
          <w:szCs w:val="21"/>
          <w:highlight w:val="none"/>
        </w:rPr>
        <w:t>支付期间的运维服务费。申请支付运维费用时由</w:t>
      </w:r>
      <w:r>
        <w:rPr>
          <w:rFonts w:hint="eastAsia" w:ascii="宋体" w:hAnsi="宋体" w:eastAsia="宋体" w:cs="宋体"/>
          <w:color w:val="auto"/>
          <w:kern w:val="0"/>
          <w:szCs w:val="21"/>
          <w:highlight w:val="none"/>
          <w:lang w:eastAsia="zh-CN"/>
        </w:rPr>
        <w:t>乙方</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甲方</w:t>
      </w:r>
      <w:r>
        <w:rPr>
          <w:rFonts w:hint="eastAsia" w:ascii="宋体" w:hAnsi="宋体" w:eastAsia="宋体" w:cs="宋体"/>
          <w:color w:val="auto"/>
          <w:kern w:val="0"/>
          <w:szCs w:val="21"/>
          <w:highlight w:val="none"/>
        </w:rPr>
        <w:t>提供期间运行台账，以及期间由</w:t>
      </w:r>
      <w:r>
        <w:rPr>
          <w:rFonts w:hint="eastAsia" w:ascii="宋体" w:hAnsi="宋体" w:eastAsia="宋体" w:cs="宋体"/>
          <w:color w:val="auto"/>
          <w:kern w:val="0"/>
          <w:szCs w:val="21"/>
          <w:highlight w:val="none"/>
          <w:lang w:eastAsia="zh-CN"/>
        </w:rPr>
        <w:t>甲方</w:t>
      </w:r>
      <w:r>
        <w:rPr>
          <w:rFonts w:hint="eastAsia" w:ascii="宋体" w:hAnsi="宋体" w:eastAsia="宋体" w:cs="宋体"/>
          <w:color w:val="auto"/>
          <w:kern w:val="0"/>
          <w:szCs w:val="21"/>
          <w:highlight w:val="none"/>
        </w:rPr>
        <w:t>委托具有资质的第三方检测机构</w:t>
      </w:r>
      <w:r>
        <w:rPr>
          <w:rFonts w:hint="eastAsia" w:ascii="宋体" w:hAnsi="宋体" w:eastAsia="宋体" w:cs="宋体"/>
          <w:color w:val="auto"/>
          <w:highlight w:val="none"/>
          <w:lang w:eastAsia="zh-CN"/>
        </w:rPr>
        <w:t>每月</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次对出水水样检测的合格报告。</w:t>
      </w:r>
      <w:r>
        <w:rPr>
          <w:rFonts w:hint="eastAsia" w:ascii="宋体" w:hAnsi="宋体" w:eastAsia="宋体" w:cs="宋体"/>
          <w:color w:val="auto"/>
          <w:highlight w:val="none"/>
          <w:lang w:val="en-US" w:eastAsia="zh-CN"/>
        </w:rPr>
        <w:t>若非客观原因，</w:t>
      </w:r>
      <w:r>
        <w:rPr>
          <w:rFonts w:hint="eastAsia" w:ascii="宋体" w:hAnsi="宋体" w:eastAsia="宋体" w:cs="宋体"/>
          <w:color w:val="auto"/>
          <w:highlight w:val="none"/>
          <w:lang w:eastAsia="zh-CN"/>
        </w:rPr>
        <w:t>如出水检测不达标，责令乙方12小时内做出整改及调试直至出水检测达标，从出水检测不达标至整改及调试达标（确认达标的水质检测费用由乙方承担，检测机构由甲方委托有资质的第三方检测机构负责）期间的运维服务时间不计算在本合同服务期的运维服务时间（即在最近一期支付运维服务费用时直接顺延相应的运维服务时间），并额外无偿延长运维服务</w:t>
      </w:r>
      <w:r>
        <w:rPr>
          <w:rFonts w:hint="eastAsia" w:ascii="宋体" w:hAnsi="宋体" w:eastAsia="宋体" w:cs="宋体"/>
          <w:color w:val="auto"/>
          <w:highlight w:val="none"/>
          <w:lang w:val="en-US" w:eastAsia="zh-CN"/>
        </w:rPr>
        <w:t>7天</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每次付款需经</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贺州市城市管理局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审核确认，并根据审核结果支付</w:t>
      </w:r>
      <w:r>
        <w:rPr>
          <w:rFonts w:hint="eastAsia" w:ascii="宋体" w:hAnsi="宋体" w:eastAsia="宋体" w:cs="宋体"/>
          <w:color w:val="auto"/>
          <w:highlight w:val="none"/>
          <w:lang w:eastAsia="zh-CN"/>
        </w:rPr>
        <w:t>中标单位</w:t>
      </w:r>
      <w:r>
        <w:rPr>
          <w:rFonts w:hint="eastAsia" w:ascii="宋体" w:hAnsi="宋体" w:eastAsia="宋体" w:cs="宋体"/>
          <w:color w:val="auto"/>
          <w:highlight w:val="none"/>
        </w:rPr>
        <w:t>的运维服务费用。</w:t>
      </w:r>
    </w:p>
    <w:p>
      <w:pPr>
        <w:snapToGrid w:val="0"/>
        <w:spacing w:line="5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运维服务费用包含贺州市盘谷河一体化污水处理设施运维的电费、药剂费、人员工资及福利、检测费、污泥培养及处理费、泵站及管网维修维护费，一体化处理设备维修维护费、设备大修费、管理费及其他费用、税金等所有运维管理产生的费用，费用实行包干制。</w:t>
      </w:r>
      <w:r>
        <w:rPr>
          <w:rFonts w:hint="eastAsia" w:ascii="宋体" w:hAnsi="宋体" w:eastAsia="宋体" w:cs="宋体"/>
          <w:color w:val="auto"/>
          <w:szCs w:val="21"/>
          <w:highlight w:val="none"/>
        </w:rPr>
        <w:t>如遇不可抗力造成1台调节池（型号BSC-TJC-49）、4套一体化污水处理设备(BSC-YTHWSCL-10)主体设备严重损坏且无法使用，则由甲方负责修复或购买更换，</w:t>
      </w:r>
      <w:r>
        <w:rPr>
          <w:rFonts w:hint="eastAsia" w:ascii="宋体" w:hAnsi="宋体" w:eastAsia="宋体" w:cs="宋体"/>
          <w:color w:val="auto"/>
          <w:szCs w:val="21"/>
          <w:highlight w:val="none"/>
          <w:lang w:eastAsia="zh-CN"/>
        </w:rPr>
        <w:t>或委托</w:t>
      </w:r>
      <w:r>
        <w:rPr>
          <w:rFonts w:hint="eastAsia" w:ascii="宋体" w:hAnsi="宋体" w:eastAsia="宋体" w:cs="宋体"/>
          <w:color w:val="auto"/>
          <w:szCs w:val="21"/>
          <w:highlight w:val="none"/>
        </w:rPr>
        <w:t>乙方负责修复和更换。</w:t>
      </w:r>
    </w:p>
    <w:p>
      <w:pPr>
        <w:snapToGrid w:val="0"/>
        <w:spacing w:line="5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 乙方成交后10天内需对贺州市盘谷河</w:t>
      </w:r>
      <w:r>
        <w:rPr>
          <w:rFonts w:hint="eastAsia" w:ascii="宋体" w:hAnsi="宋体" w:eastAsia="宋体" w:cs="宋体"/>
          <w:color w:val="auto"/>
          <w:kern w:val="0"/>
          <w:szCs w:val="21"/>
          <w:highlight w:val="none"/>
        </w:rPr>
        <w:t>一体化污水处理设施运维进行交接</w:t>
      </w:r>
      <w:r>
        <w:rPr>
          <w:rFonts w:hint="eastAsia" w:ascii="宋体" w:hAnsi="宋体" w:eastAsia="宋体" w:cs="宋体"/>
          <w:color w:val="auto"/>
          <w:szCs w:val="21"/>
          <w:highlight w:val="none"/>
        </w:rPr>
        <w:t>，在确认所有设施正常运行后，完成交接工作；若有设施未正常运行，甲方和乙方双方协商，由甲方负责在规定时间内将设施维修调整至正常使用后，交付乙方开展运维管理工作；若规定时间内无法将设施修复至正常状态，则自动免除乙方对该设施的运维责任。</w:t>
      </w:r>
    </w:p>
    <w:p>
      <w:pPr>
        <w:snapToGrid w:val="0"/>
        <w:spacing w:line="5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4.在运维务中乙方必须做好管理人员的人身安全保障，管理人员的工伤或人身意外事故由乙方承担，甲方不承担相应责任。</w:t>
      </w:r>
    </w:p>
    <w:p>
      <w:pPr>
        <w:spacing w:line="500" w:lineRule="exact"/>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 xml:space="preserve">    5.乙方人员在完成合同内规定的服务工作情况后，如甲方需要另外增加工作量，或超出原有工作范围，甲方视情况确定支付相应的费用。</w:t>
      </w:r>
    </w:p>
    <w:p>
      <w:pPr>
        <w:spacing w:line="500" w:lineRule="exact"/>
        <w:rPr>
          <w:rFonts w:hint="eastAsia" w:ascii="宋体" w:hAnsi="宋体" w:eastAsia="宋体" w:cs="宋体"/>
          <w:b/>
          <w:color w:val="auto"/>
          <w:spacing w:val="20"/>
          <w:szCs w:val="21"/>
          <w:highlight w:val="none"/>
        </w:rPr>
      </w:pPr>
      <w:r>
        <w:rPr>
          <w:rFonts w:hint="eastAsia" w:ascii="宋体" w:hAnsi="宋体" w:eastAsia="宋体" w:cs="宋体"/>
          <w:color w:val="auto"/>
          <w:szCs w:val="21"/>
          <w:highlight w:val="none"/>
        </w:rPr>
        <w:t xml:space="preserve">    6.乙方收到委托运维服务费后在五个工作日内开具税票给甲方。</w:t>
      </w:r>
    </w:p>
    <w:p>
      <w:pPr>
        <w:spacing w:line="500" w:lineRule="exact"/>
        <w:jc w:val="center"/>
        <w:rPr>
          <w:rFonts w:hint="eastAsia" w:ascii="宋体" w:hAnsi="宋体" w:eastAsia="宋体" w:cs="宋体"/>
          <w:b/>
          <w:color w:val="auto"/>
          <w:szCs w:val="21"/>
          <w:highlight w:val="none"/>
        </w:rPr>
      </w:pPr>
      <w:r>
        <w:rPr>
          <w:rFonts w:hint="eastAsia" w:ascii="宋体" w:hAnsi="宋体" w:eastAsia="宋体" w:cs="宋体"/>
          <w:b/>
          <w:color w:val="auto"/>
          <w:spacing w:val="20"/>
          <w:szCs w:val="21"/>
          <w:highlight w:val="none"/>
        </w:rPr>
        <w:t>双方权利和义务</w:t>
      </w:r>
    </w:p>
    <w:p>
      <w:pPr>
        <w:numPr>
          <w:ilvl w:val="0"/>
          <w:numId w:val="7"/>
        </w:numPr>
        <w:spacing w:line="500" w:lineRule="exact"/>
        <w:ind w:left="421"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甲方的权利和义务</w:t>
      </w:r>
    </w:p>
    <w:p>
      <w:pPr>
        <w:numPr>
          <w:ilvl w:val="0"/>
          <w:numId w:val="0"/>
        </w:numPr>
        <w:spacing w:line="500" w:lineRule="exact"/>
        <w:ind w:left="421"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一、检查监督乙方服务工作的执行情况。甲方有权对乙方的服务工作进行监督和检查，对不满意现象提出改进意见和建议。 </w:t>
      </w:r>
    </w:p>
    <w:p>
      <w:pPr>
        <w:spacing w:line="5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     二、甲方</w:t>
      </w:r>
      <w:r>
        <w:rPr>
          <w:rFonts w:hint="eastAsia" w:ascii="宋体" w:hAnsi="宋体" w:eastAsia="宋体" w:cs="宋体"/>
          <w:color w:val="auto"/>
          <w:kern w:val="0"/>
          <w:szCs w:val="21"/>
          <w:highlight w:val="none"/>
        </w:rPr>
        <w:t>根据运维服务审核情况按每三个月支付一次委托运维服务费用。</w:t>
      </w:r>
    </w:p>
    <w:p>
      <w:pPr>
        <w:spacing w:line="5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三、甲方负责对一体化污水处理设施在交付乙方前进行检查，确保设施正常运行。若有设施未正常运行，甲方需将设施维修调整至正常使用后，交付乙方管理。</w:t>
      </w:r>
    </w:p>
    <w:p>
      <w:pPr>
        <w:spacing w:line="5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四、甲方在合同期内，每月安排</w:t>
      </w:r>
      <w:r>
        <w:rPr>
          <w:rFonts w:hint="eastAsia" w:ascii="宋体" w:hAnsi="宋体" w:eastAsia="宋体" w:cs="宋体"/>
          <w:color w:val="auto"/>
          <w:szCs w:val="21"/>
          <w:highlight w:val="none"/>
          <w:lang w:val="en-US" w:eastAsia="zh-CN"/>
        </w:rPr>
        <w:t>1次</w:t>
      </w:r>
      <w:r>
        <w:rPr>
          <w:rFonts w:hint="eastAsia" w:ascii="宋体" w:hAnsi="宋体" w:eastAsia="宋体" w:cs="宋体"/>
          <w:color w:val="auto"/>
          <w:szCs w:val="21"/>
          <w:highlight w:val="none"/>
          <w:lang w:eastAsia="zh-CN"/>
        </w:rPr>
        <w:t>有资质的第三方检测机构对污水处理设施出水口水质情况进行检测（检测费用由乙方支付），检测机构和检测时间由甲方安排。</w:t>
      </w:r>
    </w:p>
    <w:p>
      <w:pPr>
        <w:pStyle w:val="2"/>
        <w:ind w:firstLine="420" w:firstLineChars="200"/>
        <w:jc w:val="left"/>
        <w:rPr>
          <w:rFonts w:hint="eastAsia" w:ascii="宋体" w:hAnsi="宋体" w:eastAsia="宋体" w:cs="宋体"/>
          <w:color w:val="auto"/>
          <w:szCs w:val="21"/>
          <w:highlight w:val="none"/>
          <w:lang w:eastAsia="zh-CN"/>
        </w:rPr>
      </w:pPr>
    </w:p>
    <w:p>
      <w:pPr>
        <w:spacing w:line="5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第九条</w:t>
      </w:r>
      <w:r>
        <w:rPr>
          <w:rFonts w:hint="eastAsia" w:ascii="宋体" w:hAnsi="宋体" w:eastAsia="宋体" w:cs="宋体"/>
          <w:color w:val="auto"/>
          <w:szCs w:val="21"/>
          <w:highlight w:val="none"/>
        </w:rPr>
        <w:t xml:space="preserve">    乙方的权利和义务</w:t>
      </w:r>
    </w:p>
    <w:p>
      <w:pPr>
        <w:spacing w:line="500" w:lineRule="exact"/>
        <w:ind w:left="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一、根据有关法律法规及本合同的相关条款完成委托运维服务。</w:t>
      </w:r>
    </w:p>
    <w:p>
      <w:pPr>
        <w:widowControl/>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二、落实安全防范措施，认真做好安全生产工作并承担设施、设备和人员的安全管理责任。</w:t>
      </w:r>
    </w:p>
    <w:p>
      <w:pPr>
        <w:pStyle w:val="41"/>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三、有义务配合甲方协调处理与本合同及各具体服务条款有关的事宜；</w:t>
      </w:r>
    </w:p>
    <w:p>
      <w:pPr>
        <w:pStyle w:val="41"/>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四、按各项规范向甲方提供一体化污水处理设施</w:t>
      </w:r>
      <w:r>
        <w:rPr>
          <w:rFonts w:hint="eastAsia" w:ascii="宋体" w:hAnsi="宋体" w:eastAsia="宋体" w:cs="宋体"/>
          <w:color w:val="auto"/>
          <w:szCs w:val="21"/>
          <w:highlight w:val="none"/>
        </w:rPr>
        <w:t>运维</w:t>
      </w:r>
      <w:r>
        <w:rPr>
          <w:rFonts w:hint="eastAsia" w:ascii="宋体" w:hAnsi="宋体" w:eastAsia="宋体" w:cs="宋体"/>
          <w:color w:val="auto"/>
          <w:sz w:val="21"/>
          <w:szCs w:val="21"/>
          <w:highlight w:val="none"/>
        </w:rPr>
        <w:t>服务，保证及时性和有效性。</w:t>
      </w:r>
    </w:p>
    <w:p>
      <w:pPr>
        <w:pStyle w:val="2"/>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五、</w:t>
      </w:r>
      <w:r>
        <w:rPr>
          <w:rFonts w:hint="eastAsia" w:ascii="宋体" w:hAnsi="宋体" w:eastAsia="宋体" w:cs="宋体"/>
          <w:color w:val="auto"/>
          <w:highlight w:val="none"/>
          <w:lang w:val="en-US" w:eastAsia="zh-CN"/>
        </w:rPr>
        <w:t>八、定期巡查和维护现有污水直排口临时处理设施（管网、集污箱）及水泵等设备，确保设施正常运行，做好设备管理工作，并对盘谷河一体化污水处理设施点位盘谷河上下游200米内沿岸直排口进行排查，</w:t>
      </w:r>
      <w:r>
        <w:rPr>
          <w:rFonts w:hint="eastAsia" w:ascii="宋体" w:hAnsi="宋体" w:eastAsia="宋体" w:cs="宋体"/>
          <w:color w:val="auto"/>
          <w:sz w:val="21"/>
          <w:szCs w:val="21"/>
          <w:highlight w:val="none"/>
          <w:lang w:val="en-US" w:eastAsia="zh-CN"/>
        </w:rPr>
        <w:t>若现发现新增生活污水直排口则中标单位及时截污纳管（费用由乙方承担）。</w:t>
      </w:r>
    </w:p>
    <w:p>
      <w:pPr>
        <w:pStyle w:val="41"/>
        <w:spacing w:line="50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六、配合、协助甲方向有关单位提供相应的材料，包括但不仅限于运行台账、照片、视频、水质检测报告、维修维护台账等。</w:t>
      </w:r>
    </w:p>
    <w:p>
      <w:pPr>
        <w:pStyle w:val="41"/>
        <w:spacing w:line="50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七、 合同结束后，甲方在重新招标过程中，没有确定中标方之前，乙方要继续延期服务，甲方仍按原合同服务费用标准根据运行处理的时间和质量支付给乙方。</w:t>
      </w:r>
    </w:p>
    <w:p>
      <w:pPr>
        <w:pStyle w:val="41"/>
        <w:spacing w:line="500" w:lineRule="exact"/>
        <w:jc w:val="both"/>
        <w:rPr>
          <w:rFonts w:hint="eastAsia" w:ascii="宋体" w:hAnsi="宋体" w:eastAsia="宋体" w:cs="宋体"/>
          <w:color w:val="auto"/>
          <w:sz w:val="21"/>
          <w:szCs w:val="21"/>
          <w:highlight w:val="none"/>
        </w:rPr>
      </w:pPr>
    </w:p>
    <w:p>
      <w:pPr>
        <w:tabs>
          <w:tab w:val="left" w:pos="2940"/>
        </w:tabs>
        <w:spacing w:line="500" w:lineRule="exact"/>
        <w:jc w:val="center"/>
        <w:rPr>
          <w:rFonts w:hint="eastAsia" w:ascii="宋体" w:hAnsi="宋体" w:eastAsia="宋体" w:cs="宋体"/>
          <w:b/>
          <w:color w:val="auto"/>
          <w:szCs w:val="21"/>
          <w:highlight w:val="none"/>
        </w:rPr>
      </w:pPr>
      <w:r>
        <w:rPr>
          <w:rFonts w:hint="eastAsia" w:ascii="宋体" w:hAnsi="宋体" w:eastAsia="宋体" w:cs="宋体"/>
          <w:b/>
          <w:color w:val="auto"/>
          <w:spacing w:val="20"/>
          <w:szCs w:val="21"/>
          <w:highlight w:val="none"/>
        </w:rPr>
        <w:t>违约责任及其他</w:t>
      </w:r>
    </w:p>
    <w:p>
      <w:pPr>
        <w:spacing w:line="50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第十条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除不可抗力因素外，双方均不得单方擅自提前解除本合同，违约方应当支付合同总金额</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%的违约金。如法律法规变化、政府或上级文件要求导致不能履行合同的，双方互不追究责任，据实</w:t>
      </w:r>
      <w:r>
        <w:rPr>
          <w:rFonts w:hint="eastAsia" w:ascii="宋体" w:hAnsi="宋体" w:eastAsia="宋体" w:cs="宋体"/>
          <w:color w:val="auto"/>
          <w:sz w:val="21"/>
          <w:szCs w:val="21"/>
          <w:highlight w:val="none"/>
          <w:lang w:eastAsia="zh-CN"/>
        </w:rPr>
        <w:t>支付</w:t>
      </w:r>
      <w:r>
        <w:rPr>
          <w:rFonts w:hint="eastAsia" w:ascii="宋体" w:hAnsi="宋体" w:eastAsia="宋体" w:cs="宋体"/>
          <w:color w:val="auto"/>
          <w:sz w:val="21"/>
          <w:szCs w:val="21"/>
          <w:highlight w:val="none"/>
        </w:rPr>
        <w:t>乙方费用。</w:t>
      </w:r>
    </w:p>
    <w:p>
      <w:pPr>
        <w:spacing w:line="500" w:lineRule="exact"/>
        <w:ind w:firstLine="435"/>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第十一条 </w:t>
      </w:r>
      <w:r>
        <w:rPr>
          <w:rFonts w:hint="eastAsia" w:ascii="宋体" w:hAnsi="宋体" w:eastAsia="宋体" w:cs="宋体"/>
          <w:color w:val="auto"/>
          <w:szCs w:val="21"/>
          <w:highlight w:val="none"/>
        </w:rPr>
        <w:t xml:space="preserve"> 鉴于贺州市政府将推进江南片区市政污水管网和江南污水处理厂建设，建成后直排口污水将被截污不再外排，</w:t>
      </w:r>
      <w:r>
        <w:rPr>
          <w:rFonts w:hint="eastAsia" w:ascii="宋体" w:hAnsi="宋体" w:eastAsia="宋体" w:cs="宋体"/>
          <w:color w:val="auto"/>
          <w:highlight w:val="none"/>
        </w:rPr>
        <w:t>双方按如下约定处理</w:t>
      </w:r>
      <w:r>
        <w:rPr>
          <w:rFonts w:hint="eastAsia" w:ascii="宋体" w:hAnsi="宋体" w:eastAsia="宋体" w:cs="宋体"/>
          <w:color w:val="auto"/>
          <w:szCs w:val="21"/>
          <w:highlight w:val="none"/>
        </w:rPr>
        <w:t>：</w:t>
      </w:r>
    </w:p>
    <w:p>
      <w:pPr>
        <w:spacing w:line="5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如若合同未到期限而贺州市盘谷河一体化污水处理设施周边直排口污水完全收集到拟建市政污水管网进入江南污水处理厂进行处理，直排口污水彻底截污不再外排后通过市政府或政府职能部门下达通知停止运行贺州市盘谷河一体化污水处理设施，甲方可向乙方协商提前终止合同，运维服务费则支付至终止合同时；</w:t>
      </w:r>
    </w:p>
    <w:p>
      <w:pPr>
        <w:spacing w:line="5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若合同期限满而拟建市政污水管网和江南污水处理厂未能及时建成，仍无法收集一体化污水处理设施周边直排口污水，污水依然存在外排现象，一体化污水处理设施需要延期运维服务时间预计不足一年则参照本合同双方提前三个月协商直接续签运维服务事宜，如延期运维服务时间预计超过一年则需重新招标采购服务。</w:t>
      </w:r>
    </w:p>
    <w:p>
      <w:pPr>
        <w:spacing w:line="5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   则</w:t>
      </w:r>
    </w:p>
    <w:p>
      <w:pPr>
        <w:spacing w:line="5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第十二条</w:t>
      </w:r>
      <w:r>
        <w:rPr>
          <w:rFonts w:hint="eastAsia" w:ascii="宋体" w:hAnsi="宋体" w:eastAsia="宋体" w:cs="宋体"/>
          <w:color w:val="auto"/>
          <w:szCs w:val="21"/>
          <w:highlight w:val="none"/>
        </w:rPr>
        <w:t xml:space="preserve">  双方可对本合同的条款进行补充，以书面形式签订补充协议，补充协议与本合同具有同等效力。</w:t>
      </w:r>
    </w:p>
    <w:p>
      <w:pPr>
        <w:spacing w:line="5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第十三条　</w:t>
      </w:r>
      <w:r>
        <w:rPr>
          <w:rFonts w:hint="eastAsia" w:ascii="宋体" w:hAnsi="宋体" w:eastAsia="宋体" w:cs="宋体"/>
          <w:color w:val="auto"/>
          <w:szCs w:val="21"/>
          <w:highlight w:val="none"/>
        </w:rPr>
        <w:t>在本合同执行期间，如遇不可抗力致使合同无法履行时，双方应按有关法律规定及时友好协商处理。</w:t>
      </w:r>
    </w:p>
    <w:p>
      <w:pPr>
        <w:spacing w:line="5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第十四条　</w:t>
      </w:r>
      <w:r>
        <w:rPr>
          <w:rFonts w:hint="eastAsia" w:ascii="宋体" w:hAnsi="宋体" w:eastAsia="宋体" w:cs="宋体"/>
          <w:color w:val="auto"/>
          <w:szCs w:val="21"/>
          <w:highlight w:val="none"/>
        </w:rPr>
        <w:t>本合同在履行过程中如发生争议，双方应协商解决，或报请相关行政主管部门进行调解，协商或调解不成的，同意向甲方所在地人民法院提请诉讼。</w:t>
      </w:r>
    </w:p>
    <w:p>
      <w:pPr>
        <w:snapToGrid w:val="0"/>
        <w:spacing w:line="5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第十五条  </w:t>
      </w:r>
      <w:r>
        <w:rPr>
          <w:rFonts w:hint="eastAsia" w:ascii="宋体" w:hAnsi="宋体" w:eastAsia="宋体" w:cs="宋体"/>
          <w:color w:val="auto"/>
          <w:szCs w:val="21"/>
          <w:highlight w:val="none"/>
        </w:rPr>
        <w:t>本合同一式捌份，具有同等法律效力。政府采购监管部门、招标代理机构各壹份，甲乙双方各叁份（可根据需要另增加）。</w:t>
      </w:r>
    </w:p>
    <w:p>
      <w:pPr>
        <w:snapToGrid w:val="0"/>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本合同甲乙双方签字盖章后生效，自签订之日起七个工作日内，采购人或采购代理机构应当将合同副本报同级财政部门备案。</w:t>
      </w:r>
    </w:p>
    <w:tbl>
      <w:tblPr>
        <w:tblStyle w:val="21"/>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甲方（章）           </w:t>
            </w:r>
          </w:p>
          <w:p>
            <w:pPr>
              <w:snapToGrid w:val="0"/>
              <w:ind w:firstLine="420"/>
              <w:rPr>
                <w:rFonts w:hint="eastAsia" w:ascii="宋体" w:hAnsi="宋体" w:eastAsia="宋体" w:cs="宋体"/>
                <w:color w:val="auto"/>
                <w:szCs w:val="21"/>
                <w:highlight w:val="none"/>
              </w:rPr>
            </w:pPr>
          </w:p>
          <w:p>
            <w:pPr>
              <w:snapToGrid w:val="0"/>
              <w:ind w:firstLine="945" w:firstLineChars="4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517" w:type="dxa"/>
            <w:vAlign w:val="center"/>
          </w:tcPr>
          <w:p>
            <w:pPr>
              <w:snapToGrid w:val="0"/>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pPr>
              <w:snapToGrid w:val="0"/>
              <w:ind w:firstLine="420"/>
              <w:rPr>
                <w:rFonts w:hint="eastAsia" w:ascii="宋体" w:hAnsi="宋体" w:eastAsia="宋体" w:cs="宋体"/>
                <w:color w:val="auto"/>
                <w:szCs w:val="21"/>
                <w:highlight w:val="none"/>
              </w:rPr>
            </w:pPr>
          </w:p>
          <w:p>
            <w:pPr>
              <w:snapToGrid w:val="0"/>
              <w:ind w:firstLine="42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c>
          <w:tcPr>
            <w:tcW w:w="4517" w:type="dxa"/>
            <w:vAlign w:val="center"/>
          </w:tcPr>
          <w:p>
            <w:pPr>
              <w:snapToGrid w:val="0"/>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napToGrid w:val="0"/>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4517" w:type="dxa"/>
            <w:vAlign w:val="center"/>
          </w:tcPr>
          <w:p>
            <w:pPr>
              <w:snapToGrid w:val="0"/>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napToGrid w:val="0"/>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517" w:type="dxa"/>
            <w:vAlign w:val="center"/>
          </w:tcPr>
          <w:p>
            <w:pPr>
              <w:snapToGrid w:val="0"/>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17" w:type="dxa"/>
            <w:vAlign w:val="center"/>
          </w:tcPr>
          <w:p>
            <w:pPr>
              <w:snapToGrid w:val="0"/>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4517" w:type="dxa"/>
            <w:vAlign w:val="center"/>
          </w:tcPr>
          <w:p>
            <w:pPr>
              <w:snapToGrid w:val="0"/>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517" w:type="dxa"/>
            <w:vAlign w:val="center"/>
          </w:tcPr>
          <w:p>
            <w:pPr>
              <w:snapToGrid w:val="0"/>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517" w:type="dxa"/>
            <w:vAlign w:val="center"/>
          </w:tcPr>
          <w:p>
            <w:pPr>
              <w:snapToGrid w:val="0"/>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517" w:type="dxa"/>
            <w:vAlign w:val="center"/>
          </w:tcPr>
          <w:p>
            <w:pPr>
              <w:snapToGrid w:val="0"/>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pPr>
        <w:rPr>
          <w:rFonts w:hint="eastAsia" w:ascii="宋体" w:hAnsi="宋体" w:eastAsia="宋体" w:cs="宋体"/>
          <w:color w:val="auto"/>
          <w:highlight w:val="none"/>
        </w:rPr>
      </w:pPr>
    </w:p>
    <w:sectPr>
      <w:footerReference r:id="rId10" w:type="first"/>
      <w:footerReference r:id="rId9" w:type="default"/>
      <w:pgSz w:w="11906" w:h="16838"/>
      <w:pgMar w:top="1134" w:right="1134" w:bottom="1004" w:left="1134"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吀">
    <w:altName w:val="黑体"/>
    <w:panose1 w:val="00000000000000000000"/>
    <w:charset w:val="86"/>
    <w:family w:val="decorative"/>
    <w:pitch w:val="default"/>
    <w:sig w:usb0="00000000" w:usb1="00000000" w:usb2="00000010" w:usb3="00000000" w:csb0="00040000" w:csb1="00000000"/>
  </w:font>
  <w:font w:name="Wingdings 2">
    <w:panose1 w:val="050201020105070707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7950"/>
        <w:tab w:val="clear" w:pos="4153"/>
        <w:tab w:val="clear" w:pos="8306"/>
      </w:tabs>
      <w:ind w:right="45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39"/>
        <w:tab w:val="clear" w:pos="4153"/>
      </w:tabs>
      <w:jc w:val="both"/>
    </w:pP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hAnsi="宋体" w:eastAsia="仿宋_GB2312"/>
        <w:sz w:val="18"/>
        <w:szCs w:val="18"/>
        <w:u w:val="single"/>
      </w:rPr>
    </w:pPr>
    <w:r>
      <w:rPr>
        <w:rFonts w:hint="eastAsia" w:hAnsi="宋体"/>
      </w:rPr>
      <w:t>项目名称：2021年贺州市市政桥梁常规性检测和灵峰大桥斜拉索、贺州大桥吊索专业检测项目                           项目编号：</w:t>
    </w:r>
    <w:r>
      <w:rPr>
        <w:rFonts w:hint="eastAsia" w:hAnsi="宋体"/>
        <w:lang w:eastAsia="zh-CN"/>
      </w:rPr>
      <w:t>HZZC2021-C3-000480-GXJR</w:t>
    </w:r>
    <w:r>
      <w:rPr>
        <w:rFonts w:ascii="仿宋_GB2312" w:hAnsi="宋体" w:eastAsia="仿宋_GB2312"/>
        <w:bCs/>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Fonts w:hint="eastAsia" w:eastAsiaTheme="minorEastAsia"/>
        <w:highlight w:val="none"/>
        <w:u w:val="single"/>
        <w:lang w:eastAsia="zh-CN"/>
      </w:rPr>
    </w:pP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贺州市盘谷河一体化污水处理设施2年运维服务</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项目编号：</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HZZC2021-C3-000480-GXJR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rPr>
        <w:rFonts w:hint="eastAsia" w:eastAsiaTheme="minorEastAsia"/>
        <w:highlight w:val="none"/>
        <w:lang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项目名称：</w:t>
    </w:r>
    <w:bookmarkStart w:id="84" w:name="_Hlk87388323"/>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贺州市盘谷河一体化污水处理设施2年运维服务</w:t>
    </w:r>
    <w:bookmarkEnd w:id="84"/>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HZZC2021-C3-000480-GXJR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7E4DD"/>
    <w:multiLevelType w:val="singleLevel"/>
    <w:tmpl w:val="8AD7E4DD"/>
    <w:lvl w:ilvl="0" w:tentative="0">
      <w:start w:val="8"/>
      <w:numFmt w:val="chineseCounting"/>
      <w:suff w:val="space"/>
      <w:lvlText w:val="第%1条"/>
      <w:lvlJc w:val="left"/>
      <w:pPr>
        <w:ind w:left="421" w:leftChars="0" w:firstLine="0" w:firstLineChars="0"/>
      </w:pPr>
      <w:rPr>
        <w:rFonts w:hint="eastAsia"/>
      </w:rPr>
    </w:lvl>
  </w:abstractNum>
  <w:abstractNum w:abstractNumId="1">
    <w:nsid w:val="C67ADFB0"/>
    <w:multiLevelType w:val="singleLevel"/>
    <w:tmpl w:val="C67ADFB0"/>
    <w:lvl w:ilvl="0" w:tentative="0">
      <w:start w:val="5"/>
      <w:numFmt w:val="decimal"/>
      <w:suff w:val="space"/>
      <w:lvlText w:val="%1."/>
      <w:lvlJc w:val="left"/>
    </w:lvl>
  </w:abstractNum>
  <w:abstractNum w:abstractNumId="2">
    <w:nsid w:val="DB368B00"/>
    <w:multiLevelType w:val="singleLevel"/>
    <w:tmpl w:val="DB368B00"/>
    <w:lvl w:ilvl="0" w:tentative="0">
      <w:start w:val="1"/>
      <w:numFmt w:val="chineseCounting"/>
      <w:suff w:val="space"/>
      <w:lvlText w:val="第%1章"/>
      <w:lvlJc w:val="left"/>
      <w:rPr>
        <w:rFonts w:hint="eastAsia"/>
      </w:rPr>
    </w:lvl>
  </w:abstractNum>
  <w:abstractNum w:abstractNumId="3">
    <w:nsid w:val="E31BBA13"/>
    <w:multiLevelType w:val="singleLevel"/>
    <w:tmpl w:val="E31BBA13"/>
    <w:lvl w:ilvl="0" w:tentative="0">
      <w:start w:val="2"/>
      <w:numFmt w:val="chineseCounting"/>
      <w:suff w:val="nothing"/>
      <w:lvlText w:val="%1、"/>
      <w:lvlJc w:val="left"/>
      <w:rPr>
        <w:rFonts w:hint="eastAsia"/>
      </w:rPr>
    </w:lvl>
  </w:abstractNum>
  <w:abstractNum w:abstractNumId="4">
    <w:nsid w:val="EB8CEB78"/>
    <w:multiLevelType w:val="singleLevel"/>
    <w:tmpl w:val="EB8CEB78"/>
    <w:lvl w:ilvl="0" w:tentative="0">
      <w:start w:val="3"/>
      <w:numFmt w:val="chineseCounting"/>
      <w:suff w:val="space"/>
      <w:lvlText w:val="第%1章"/>
      <w:lvlJc w:val="left"/>
      <w:rPr>
        <w:rFonts w:hint="eastAsia"/>
      </w:rPr>
    </w:lvl>
  </w:abstractNum>
  <w:abstractNum w:abstractNumId="5">
    <w:nsid w:val="EDEA4B4D"/>
    <w:multiLevelType w:val="singleLevel"/>
    <w:tmpl w:val="EDEA4B4D"/>
    <w:lvl w:ilvl="0" w:tentative="0">
      <w:start w:val="1"/>
      <w:numFmt w:val="decimal"/>
      <w:lvlText w:val="%1."/>
      <w:lvlJc w:val="left"/>
      <w:pPr>
        <w:tabs>
          <w:tab w:val="left" w:pos="312"/>
        </w:tabs>
      </w:pPr>
    </w:lvl>
  </w:abstractNum>
  <w:abstractNum w:abstractNumId="6">
    <w:nsid w:val="3BC73028"/>
    <w:multiLevelType w:val="singleLevel"/>
    <w:tmpl w:val="3BC73028"/>
    <w:lvl w:ilvl="0" w:tentative="0">
      <w:start w:val="1"/>
      <w:numFmt w:val="decimal"/>
      <w:pStyle w:val="6"/>
      <w:lvlText w:val="%1."/>
      <w:lvlJc w:val="left"/>
      <w:pPr>
        <w:tabs>
          <w:tab w:val="left" w:pos="360"/>
        </w:tabs>
        <w:ind w:left="360" w:hanging="360"/>
      </w:pPr>
    </w:lvl>
  </w:abstractNum>
  <w:num w:numId="1">
    <w:abstractNumId w:val="6"/>
  </w:num>
  <w:num w:numId="2">
    <w:abstractNumId w:val="2"/>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forms" w:enforcement="1" w:cryptProviderType="rsaFull" w:cryptAlgorithmClass="hash" w:cryptAlgorithmType="typeAny" w:cryptAlgorithmSid="4" w:cryptSpinCount="0" w:hash="kSnSbY+dJaXlLyVJZLUjFEfsB8Y=" w:salt="EePqrMQ38r3ecPDlrnB5jw=="/>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E728F"/>
    <w:rsid w:val="00007B24"/>
    <w:rsid w:val="00032510"/>
    <w:rsid w:val="000668EB"/>
    <w:rsid w:val="00066F88"/>
    <w:rsid w:val="000E02CF"/>
    <w:rsid w:val="000F1F19"/>
    <w:rsid w:val="001573F0"/>
    <w:rsid w:val="0018352D"/>
    <w:rsid w:val="00210F50"/>
    <w:rsid w:val="00240C75"/>
    <w:rsid w:val="002613A3"/>
    <w:rsid w:val="002813F9"/>
    <w:rsid w:val="002916FA"/>
    <w:rsid w:val="002958BC"/>
    <w:rsid w:val="002A6B14"/>
    <w:rsid w:val="002C0D6B"/>
    <w:rsid w:val="002C562A"/>
    <w:rsid w:val="002D2BF6"/>
    <w:rsid w:val="00330FA3"/>
    <w:rsid w:val="00362EB5"/>
    <w:rsid w:val="00477D32"/>
    <w:rsid w:val="00486DB3"/>
    <w:rsid w:val="00496088"/>
    <w:rsid w:val="004A1721"/>
    <w:rsid w:val="004A3834"/>
    <w:rsid w:val="00514508"/>
    <w:rsid w:val="00525546"/>
    <w:rsid w:val="00553C5E"/>
    <w:rsid w:val="005978E8"/>
    <w:rsid w:val="005A4066"/>
    <w:rsid w:val="005C5AF9"/>
    <w:rsid w:val="006239FF"/>
    <w:rsid w:val="00671F8D"/>
    <w:rsid w:val="00685DA1"/>
    <w:rsid w:val="007002D1"/>
    <w:rsid w:val="00766538"/>
    <w:rsid w:val="00775E2D"/>
    <w:rsid w:val="0077747D"/>
    <w:rsid w:val="00777A22"/>
    <w:rsid w:val="007830F4"/>
    <w:rsid w:val="007D6194"/>
    <w:rsid w:val="007D72EC"/>
    <w:rsid w:val="00857EE4"/>
    <w:rsid w:val="00930807"/>
    <w:rsid w:val="00933867"/>
    <w:rsid w:val="00960B79"/>
    <w:rsid w:val="00962BA6"/>
    <w:rsid w:val="009964FB"/>
    <w:rsid w:val="009B2001"/>
    <w:rsid w:val="00A42B9B"/>
    <w:rsid w:val="00A757C6"/>
    <w:rsid w:val="00A8247D"/>
    <w:rsid w:val="00AF306F"/>
    <w:rsid w:val="00B00F45"/>
    <w:rsid w:val="00B51971"/>
    <w:rsid w:val="00B53173"/>
    <w:rsid w:val="00C743B3"/>
    <w:rsid w:val="00C91088"/>
    <w:rsid w:val="00CE2172"/>
    <w:rsid w:val="00D25AD3"/>
    <w:rsid w:val="00D92FDF"/>
    <w:rsid w:val="00DF7219"/>
    <w:rsid w:val="00E0121F"/>
    <w:rsid w:val="00E151A7"/>
    <w:rsid w:val="00F147A3"/>
    <w:rsid w:val="00F24873"/>
    <w:rsid w:val="00F57A51"/>
    <w:rsid w:val="00F82457"/>
    <w:rsid w:val="00FA1219"/>
    <w:rsid w:val="024F5393"/>
    <w:rsid w:val="03272497"/>
    <w:rsid w:val="03B517B6"/>
    <w:rsid w:val="05520C12"/>
    <w:rsid w:val="07365059"/>
    <w:rsid w:val="096206D2"/>
    <w:rsid w:val="0AA83137"/>
    <w:rsid w:val="0B643F1C"/>
    <w:rsid w:val="0B88487B"/>
    <w:rsid w:val="0BCD4DA9"/>
    <w:rsid w:val="0C2421BF"/>
    <w:rsid w:val="0C503A33"/>
    <w:rsid w:val="11FC7765"/>
    <w:rsid w:val="12B64912"/>
    <w:rsid w:val="134901D1"/>
    <w:rsid w:val="13590611"/>
    <w:rsid w:val="13D851B1"/>
    <w:rsid w:val="15F7586B"/>
    <w:rsid w:val="168F5243"/>
    <w:rsid w:val="17852FD5"/>
    <w:rsid w:val="17E26574"/>
    <w:rsid w:val="17E45DBB"/>
    <w:rsid w:val="182E34E6"/>
    <w:rsid w:val="1A6D6992"/>
    <w:rsid w:val="1B8E07FC"/>
    <w:rsid w:val="1DD33984"/>
    <w:rsid w:val="1F0D246D"/>
    <w:rsid w:val="1F8419D2"/>
    <w:rsid w:val="21757B73"/>
    <w:rsid w:val="22695CF9"/>
    <w:rsid w:val="259B2D2F"/>
    <w:rsid w:val="26650806"/>
    <w:rsid w:val="269E504B"/>
    <w:rsid w:val="27286A04"/>
    <w:rsid w:val="27D52B08"/>
    <w:rsid w:val="28804919"/>
    <w:rsid w:val="294615CF"/>
    <w:rsid w:val="29E26FE7"/>
    <w:rsid w:val="2A3E728F"/>
    <w:rsid w:val="2AE51476"/>
    <w:rsid w:val="2B51208F"/>
    <w:rsid w:val="2BE05B1D"/>
    <w:rsid w:val="2D6C1523"/>
    <w:rsid w:val="2EDD2F8E"/>
    <w:rsid w:val="2F4D08D9"/>
    <w:rsid w:val="30585291"/>
    <w:rsid w:val="3120068D"/>
    <w:rsid w:val="312F10B4"/>
    <w:rsid w:val="339D0712"/>
    <w:rsid w:val="33C87072"/>
    <w:rsid w:val="345C1C37"/>
    <w:rsid w:val="349231AB"/>
    <w:rsid w:val="34951E3C"/>
    <w:rsid w:val="34A7656A"/>
    <w:rsid w:val="34A93091"/>
    <w:rsid w:val="351F3A71"/>
    <w:rsid w:val="369915A3"/>
    <w:rsid w:val="386356C0"/>
    <w:rsid w:val="3A6B3BCC"/>
    <w:rsid w:val="3ADE40AC"/>
    <w:rsid w:val="3BB86B21"/>
    <w:rsid w:val="3DA62379"/>
    <w:rsid w:val="3E0520BF"/>
    <w:rsid w:val="3F3A3882"/>
    <w:rsid w:val="408B1D9F"/>
    <w:rsid w:val="41B05244"/>
    <w:rsid w:val="420F57DD"/>
    <w:rsid w:val="43574ED9"/>
    <w:rsid w:val="43F16B09"/>
    <w:rsid w:val="45107462"/>
    <w:rsid w:val="458A0FC3"/>
    <w:rsid w:val="46DC4631"/>
    <w:rsid w:val="47276C60"/>
    <w:rsid w:val="483C1A81"/>
    <w:rsid w:val="48CB6985"/>
    <w:rsid w:val="49217C44"/>
    <w:rsid w:val="4DBC29E8"/>
    <w:rsid w:val="4DC85BF6"/>
    <w:rsid w:val="4EB240CF"/>
    <w:rsid w:val="4ED953B7"/>
    <w:rsid w:val="4EEA0D24"/>
    <w:rsid w:val="504670AA"/>
    <w:rsid w:val="50D33D01"/>
    <w:rsid w:val="5166793B"/>
    <w:rsid w:val="52BB41F4"/>
    <w:rsid w:val="52BF3005"/>
    <w:rsid w:val="52E238E4"/>
    <w:rsid w:val="53B67427"/>
    <w:rsid w:val="566B5D32"/>
    <w:rsid w:val="56833AAE"/>
    <w:rsid w:val="57D34D5D"/>
    <w:rsid w:val="58723F6E"/>
    <w:rsid w:val="5B025FEB"/>
    <w:rsid w:val="5B1410F6"/>
    <w:rsid w:val="5B623451"/>
    <w:rsid w:val="5CA70254"/>
    <w:rsid w:val="5CF94DA3"/>
    <w:rsid w:val="5DC015CE"/>
    <w:rsid w:val="5F3D6B0C"/>
    <w:rsid w:val="5FC62014"/>
    <w:rsid w:val="62DE22E5"/>
    <w:rsid w:val="637D1336"/>
    <w:rsid w:val="64471B1E"/>
    <w:rsid w:val="66A7350F"/>
    <w:rsid w:val="66BB2590"/>
    <w:rsid w:val="6702148B"/>
    <w:rsid w:val="682F3192"/>
    <w:rsid w:val="691553C3"/>
    <w:rsid w:val="69F115BE"/>
    <w:rsid w:val="6CBE3CD8"/>
    <w:rsid w:val="6D1A2F7C"/>
    <w:rsid w:val="6D336388"/>
    <w:rsid w:val="6ED533BF"/>
    <w:rsid w:val="6FA723BB"/>
    <w:rsid w:val="70A12645"/>
    <w:rsid w:val="71E24A96"/>
    <w:rsid w:val="73522CE9"/>
    <w:rsid w:val="74382916"/>
    <w:rsid w:val="75030AB3"/>
    <w:rsid w:val="772B3B51"/>
    <w:rsid w:val="7AB035DA"/>
    <w:rsid w:val="7B42644C"/>
    <w:rsid w:val="7BBF3E70"/>
    <w:rsid w:val="7E510F1D"/>
    <w:rsid w:val="7E82079B"/>
    <w:rsid w:val="7EF503F0"/>
    <w:rsid w:val="7FE32490"/>
    <w:rsid w:val="7FE77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line="600" w:lineRule="exact"/>
      <w:ind w:firstLine="643" w:firstLineChars="200"/>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link w:val="31"/>
    <w:qFormat/>
    <w:uiPriority w:val="0"/>
    <w:pPr>
      <w:jc w:val="left"/>
    </w:pPr>
  </w:style>
  <w:style w:type="paragraph" w:styleId="9">
    <w:name w:val="Body Text 3"/>
    <w:basedOn w:val="1"/>
    <w:unhideWhenUsed/>
    <w:qFormat/>
    <w:uiPriority w:val="99"/>
    <w:pPr>
      <w:spacing w:after="120"/>
    </w:pPr>
    <w:rPr>
      <w:sz w:val="16"/>
      <w:szCs w:val="16"/>
    </w:rPr>
  </w:style>
  <w:style w:type="paragraph" w:styleId="10">
    <w:name w:val="Body Text Indent"/>
    <w:basedOn w:val="1"/>
    <w:qFormat/>
    <w:uiPriority w:val="0"/>
    <w:pPr>
      <w:ind w:firstLine="830" w:firstLineChars="352"/>
    </w:pPr>
    <w:rPr>
      <w:rFonts w:ascii="仿宋_GB2312" w:eastAsia="仿宋_GB2312"/>
      <w:kern w:val="0"/>
      <w:sz w:val="32"/>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next w:val="1"/>
    <w:link w:val="34"/>
    <w:qFormat/>
    <w:uiPriority w:val="99"/>
    <w:rPr>
      <w:rFonts w:ascii="宋体" w:hAnsi="Courier New"/>
      <w:kern w:val="0"/>
      <w:sz w:val="20"/>
      <w:szCs w:val="21"/>
    </w:rPr>
  </w:style>
  <w:style w:type="paragraph" w:styleId="13">
    <w:name w:val="Balloon Text"/>
    <w:basedOn w:val="1"/>
    <w:link w:val="33"/>
    <w:qFormat/>
    <w:uiPriority w:val="0"/>
    <w:rPr>
      <w:sz w:val="18"/>
      <w:szCs w:val="18"/>
    </w:rPr>
  </w:style>
  <w:style w:type="paragraph" w:styleId="14">
    <w:name w:val="footer"/>
    <w:basedOn w:val="1"/>
    <w:next w:val="1"/>
    <w:unhideWhenUsed/>
    <w:qFormat/>
    <w:uiPriority w:val="99"/>
    <w:pPr>
      <w:tabs>
        <w:tab w:val="center" w:pos="4153"/>
        <w:tab w:val="right" w:pos="8306"/>
      </w:tabs>
      <w:snapToGrid w:val="0"/>
      <w:jc w:val="left"/>
    </w:pPr>
    <w:rPr>
      <w:kern w:val="0"/>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0"/>
    <w:rPr>
      <w:sz w:val="28"/>
    </w:rPr>
  </w:style>
  <w:style w:type="paragraph" w:styleId="17">
    <w:name w:val="toc 2"/>
    <w:basedOn w:val="1"/>
    <w:next w:val="1"/>
    <w:unhideWhenUsed/>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Arial Unicode MS" w:hAnsi="Arial Unicode MS" w:eastAsia="Arial Unicode MS"/>
      <w:color w:val="000000"/>
      <w:kern w:val="0"/>
      <w:sz w:val="24"/>
    </w:rPr>
  </w:style>
  <w:style w:type="paragraph" w:styleId="19">
    <w:name w:val="Title"/>
    <w:basedOn w:val="1"/>
    <w:next w:val="1"/>
    <w:qFormat/>
    <w:uiPriority w:val="0"/>
    <w:pPr>
      <w:spacing w:line="400" w:lineRule="exact"/>
      <w:ind w:firstLine="720" w:firstLineChars="200"/>
      <w:jc w:val="left"/>
      <w:outlineLvl w:val="0"/>
    </w:pPr>
    <w:rPr>
      <w:rFonts w:ascii="Cambria" w:hAnsi="Cambria"/>
      <w:b/>
      <w:bCs/>
      <w:szCs w:val="32"/>
    </w:rPr>
  </w:style>
  <w:style w:type="paragraph" w:styleId="20">
    <w:name w:val="annotation subject"/>
    <w:basedOn w:val="8"/>
    <w:next w:val="8"/>
    <w:link w:val="32"/>
    <w:qFormat/>
    <w:uiPriority w:val="0"/>
    <w:rPr>
      <w:b/>
      <w:bCs/>
    </w:rPr>
  </w:style>
  <w:style w:type="character" w:styleId="23">
    <w:name w:val="page number"/>
    <w:basedOn w:val="22"/>
    <w:qFormat/>
    <w:uiPriority w:val="0"/>
  </w:style>
  <w:style w:type="character" w:styleId="24">
    <w:name w:val="Hyperlink"/>
    <w:unhideWhenUsed/>
    <w:qFormat/>
    <w:uiPriority w:val="99"/>
    <w:rPr>
      <w:color w:val="0000FF"/>
      <w:u w:val="single"/>
    </w:rPr>
  </w:style>
  <w:style w:type="character" w:styleId="25">
    <w:name w:val="annotation reference"/>
    <w:basedOn w:val="22"/>
    <w:qFormat/>
    <w:uiPriority w:val="0"/>
    <w:rPr>
      <w:sz w:val="21"/>
      <w:szCs w:val="21"/>
    </w:rPr>
  </w:style>
  <w:style w:type="paragraph" w:customStyle="1" w:styleId="26">
    <w:name w:val="font10"/>
    <w:basedOn w:val="1"/>
    <w:qFormat/>
    <w:uiPriority w:val="0"/>
    <w:pPr>
      <w:widowControl/>
      <w:spacing w:before="100" w:beforeAutospacing="1" w:after="100" w:afterAutospacing="1"/>
      <w:jc w:val="left"/>
    </w:pPr>
    <w:rPr>
      <w:rFonts w:ascii="宋体" w:hAnsi="宋体" w:cs="宋体"/>
      <w:b/>
      <w:bCs/>
      <w:szCs w:val="21"/>
    </w:rPr>
  </w:style>
  <w:style w:type="paragraph" w:customStyle="1" w:styleId="27">
    <w:name w:val="正文2"/>
    <w:basedOn w:val="1"/>
    <w:qFormat/>
    <w:uiPriority w:val="0"/>
    <w:pPr>
      <w:adjustRightInd w:val="0"/>
      <w:spacing w:before="156" w:line="360" w:lineRule="auto"/>
      <w:ind w:firstLine="510" w:firstLineChars="200"/>
    </w:pPr>
    <w:rPr>
      <w:sz w:val="24"/>
      <w:szCs w:val="20"/>
    </w:rPr>
  </w:style>
  <w:style w:type="paragraph" w:customStyle="1" w:styleId="28">
    <w:name w:val="正文1"/>
    <w:basedOn w:val="1"/>
    <w:qFormat/>
    <w:uiPriority w:val="0"/>
    <w:pPr>
      <w:adjustRightInd w:val="0"/>
      <w:spacing w:line="318" w:lineRule="atLeast"/>
      <w:ind w:left="369" w:firstLine="369"/>
      <w:textAlignment w:val="baseline"/>
    </w:pPr>
    <w:rPr>
      <w:rFonts w:ascii="宋体"/>
      <w:szCs w:val="20"/>
    </w:rPr>
  </w:style>
  <w:style w:type="paragraph" w:styleId="29">
    <w:name w:val="List Paragraph"/>
    <w:basedOn w:val="1"/>
    <w:qFormat/>
    <w:uiPriority w:val="34"/>
    <w:pPr>
      <w:ind w:firstLine="420" w:firstLineChars="200"/>
    </w:pPr>
  </w:style>
  <w:style w:type="paragraph" w:customStyle="1" w:styleId="30">
    <w:name w:val="正文3"/>
    <w:basedOn w:val="1"/>
    <w:qFormat/>
    <w:uiPriority w:val="0"/>
    <w:pPr>
      <w:adjustRightInd w:val="0"/>
      <w:spacing w:line="318" w:lineRule="atLeast"/>
      <w:ind w:left="369" w:firstLine="369"/>
      <w:textAlignment w:val="baseline"/>
    </w:pPr>
    <w:rPr>
      <w:rFonts w:ascii="宋体"/>
      <w:szCs w:val="20"/>
    </w:rPr>
  </w:style>
  <w:style w:type="character" w:customStyle="1" w:styleId="31">
    <w:name w:val="批注文字 字符"/>
    <w:basedOn w:val="22"/>
    <w:link w:val="8"/>
    <w:qFormat/>
    <w:uiPriority w:val="0"/>
    <w:rPr>
      <w:kern w:val="2"/>
      <w:sz w:val="21"/>
      <w:szCs w:val="24"/>
    </w:rPr>
  </w:style>
  <w:style w:type="character" w:customStyle="1" w:styleId="32">
    <w:name w:val="批注主题 字符"/>
    <w:basedOn w:val="31"/>
    <w:link w:val="20"/>
    <w:qFormat/>
    <w:uiPriority w:val="0"/>
    <w:rPr>
      <w:b/>
      <w:bCs/>
      <w:kern w:val="2"/>
      <w:sz w:val="21"/>
      <w:szCs w:val="24"/>
    </w:rPr>
  </w:style>
  <w:style w:type="character" w:customStyle="1" w:styleId="33">
    <w:name w:val="批注框文本 字符"/>
    <w:basedOn w:val="22"/>
    <w:link w:val="13"/>
    <w:qFormat/>
    <w:uiPriority w:val="0"/>
    <w:rPr>
      <w:kern w:val="2"/>
      <w:sz w:val="18"/>
      <w:szCs w:val="18"/>
    </w:rPr>
  </w:style>
  <w:style w:type="character" w:customStyle="1" w:styleId="34">
    <w:name w:val="纯文本 字符"/>
    <w:link w:val="12"/>
    <w:qFormat/>
    <w:uiPriority w:val="99"/>
    <w:rPr>
      <w:rFonts w:ascii="宋体" w:hAnsi="Courier New"/>
      <w:szCs w:val="21"/>
    </w:rPr>
  </w:style>
  <w:style w:type="paragraph" w:customStyle="1" w:styleId="35">
    <w:name w:val="Table Paragraph"/>
    <w:basedOn w:val="1"/>
    <w:qFormat/>
    <w:uiPriority w:val="1"/>
  </w:style>
  <w:style w:type="paragraph" w:customStyle="1" w:styleId="36">
    <w:name w:val="UserStyle_3"/>
    <w:basedOn w:val="1"/>
    <w:qFormat/>
    <w:uiPriority w:val="0"/>
    <w:pPr>
      <w:textAlignment w:val="baseline"/>
    </w:pPr>
    <w:rPr>
      <w:rFonts w:ascii="宋体" w:hAnsi="Courier New"/>
      <w:szCs w:val="21"/>
    </w:rPr>
  </w:style>
  <w:style w:type="character" w:customStyle="1" w:styleId="37">
    <w:name w:val="NormalCharacter"/>
    <w:qFormat/>
    <w:uiPriority w:val="0"/>
    <w:rPr>
      <w:kern w:val="2"/>
      <w:sz w:val="21"/>
      <w:szCs w:val="24"/>
      <w:lang w:val="en-US" w:eastAsia="zh-CN" w:bidi="ar-SA"/>
    </w:rPr>
  </w:style>
  <w:style w:type="paragraph" w:customStyle="1" w:styleId="38">
    <w:name w:val="UserStyle_11"/>
    <w:qFormat/>
    <w:uiPriority w:val="0"/>
    <w:pPr>
      <w:tabs>
        <w:tab w:val="left" w:pos="360"/>
      </w:tabs>
      <w:textAlignment w:val="baseline"/>
    </w:pPr>
    <w:rPr>
      <w:rFonts w:ascii="Times New Roman" w:hAnsi="Times New Roman" w:eastAsia="宋体" w:cs="Times New Roman"/>
      <w:color w:val="000000"/>
      <w:sz w:val="24"/>
      <w:szCs w:val="24"/>
      <w:lang w:val="en-US" w:eastAsia="zh-CN" w:bidi="ar-SA"/>
    </w:rPr>
  </w:style>
  <w:style w:type="paragraph" w:customStyle="1" w:styleId="39">
    <w:name w:val="UserStyle_10"/>
    <w:basedOn w:val="1"/>
    <w:qFormat/>
    <w:uiPriority w:val="0"/>
    <w:pPr>
      <w:textAlignment w:val="baseline"/>
    </w:pPr>
    <w:rPr>
      <w:sz w:val="24"/>
    </w:rPr>
  </w:style>
  <w:style w:type="character" w:customStyle="1" w:styleId="40">
    <w:name w:val="未处理的提及1"/>
    <w:basedOn w:val="22"/>
    <w:semiHidden/>
    <w:unhideWhenUsed/>
    <w:qFormat/>
    <w:uiPriority w:val="99"/>
    <w:rPr>
      <w:color w:val="605E5C"/>
      <w:shd w:val="clear" w:color="auto" w:fill="E1DFDD"/>
    </w:rPr>
  </w:style>
  <w:style w:type="paragraph" w:customStyle="1" w:styleId="41">
    <w:name w:val="Default"/>
    <w:qFormat/>
    <w:uiPriority w:val="0"/>
    <w:pPr>
      <w:widowControl w:val="0"/>
      <w:autoSpaceDE w:val="0"/>
      <w:autoSpaceDN w:val="0"/>
      <w:adjustRightInd w:val="0"/>
    </w:pPr>
    <w:rPr>
      <w:rFonts w:ascii="微软雅黑吀" w:hAnsi="Times New Roman" w:eastAsia="微软雅黑吀" w:cs="微软雅黑吀"/>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411C1-3C12-4324-9F05-B0F1BC9E3DE3}">
  <ds:schemaRefs/>
</ds:datastoreItem>
</file>

<file path=docProps/app.xml><?xml version="1.0" encoding="utf-8"?>
<Properties xmlns="http://schemas.openxmlformats.org/officeDocument/2006/extended-properties" xmlns:vt="http://schemas.openxmlformats.org/officeDocument/2006/docPropsVTypes">
  <Template>Normal</Template>
  <Pages>58</Pages>
  <Words>6514</Words>
  <Characters>37130</Characters>
  <Lines>309</Lines>
  <Paragraphs>87</Paragraphs>
  <TotalTime>149</TotalTime>
  <ScaleCrop>false</ScaleCrop>
  <LinksUpToDate>false</LinksUpToDate>
  <CharactersWithSpaces>43557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2021-09-23T01:04:00Z</dcterms:created>
  <dc:creator>Administrator</dc:creator>
  <cp:lastModifiedBy>黄秩飞</cp:lastModifiedBy>
  <cp:lastPrinted>2021-09-24T01:06:00Z</cp:lastPrinted>
  <dcterms:modified xsi:type="dcterms:W3CDTF">2021-12-27T00:13:36Z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A8D0A3BD969544C8B930557B5227C1DC</vt:lpwstr>
  </property>
</Properties>
</file>