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olor w:val="000000" w:themeColor="text1"/>
          <w:sz w:val="28"/>
          <w:szCs w:val="28"/>
        </w:rPr>
      </w:pPr>
      <w:bookmarkStart w:id="0" w:name="_Hlk57104891"/>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jc w:val="center"/>
        <w:rPr>
          <w:rFonts w:ascii="黑体" w:hAnsi="黑体" w:eastAsia="黑体"/>
          <w:color w:val="000000" w:themeColor="text1"/>
          <w:sz w:val="48"/>
          <w:szCs w:val="48"/>
        </w:rPr>
      </w:pPr>
      <w:r>
        <w:rPr>
          <w:rFonts w:hint="eastAsia" w:ascii="黑体" w:hAnsi="黑体" w:eastAsia="黑体"/>
          <w:color w:val="000000" w:themeColor="text1"/>
          <w:sz w:val="48"/>
          <w:szCs w:val="48"/>
        </w:rPr>
        <w:t>桂平西出口至龙门工业园区一级公路</w:t>
      </w:r>
      <w:r>
        <w:rPr>
          <w:rFonts w:ascii="黑体" w:hAnsi="黑体" w:eastAsia="黑体"/>
          <w:color w:val="000000" w:themeColor="text1"/>
          <w:sz w:val="48"/>
          <w:szCs w:val="48"/>
        </w:rPr>
        <w:t>项目</w:t>
      </w:r>
    </w:p>
    <w:p>
      <w:pPr>
        <w:jc w:val="center"/>
        <w:rPr>
          <w:rFonts w:ascii="黑体" w:hAnsi="黑体" w:eastAsia="黑体"/>
          <w:b/>
          <w:bCs/>
          <w:color w:val="000000" w:themeColor="text1"/>
          <w:sz w:val="48"/>
          <w:szCs w:val="48"/>
        </w:rPr>
      </w:pPr>
    </w:p>
    <w:p>
      <w:pPr>
        <w:jc w:val="center"/>
        <w:rPr>
          <w:rFonts w:ascii="黑体" w:hAnsi="黑体" w:eastAsia="黑体"/>
          <w:b/>
          <w:bCs/>
          <w:color w:val="000000" w:themeColor="text1"/>
          <w:sz w:val="48"/>
          <w:szCs w:val="48"/>
        </w:rPr>
      </w:pPr>
    </w:p>
    <w:p>
      <w:pPr>
        <w:jc w:val="center"/>
        <w:rPr>
          <w:rFonts w:ascii="黑体" w:hAnsi="黑体" w:eastAsia="黑体"/>
          <w:color w:val="000000" w:themeColor="text1"/>
          <w:sz w:val="72"/>
          <w:szCs w:val="72"/>
        </w:rPr>
      </w:pPr>
      <w:r>
        <w:rPr>
          <w:rFonts w:hint="eastAsia" w:ascii="黑体" w:hAnsi="黑体" w:eastAsia="黑体"/>
          <w:color w:val="000000" w:themeColor="text1"/>
          <w:sz w:val="72"/>
          <w:szCs w:val="72"/>
        </w:rPr>
        <w:t>投资合作协议</w:t>
      </w:r>
    </w:p>
    <w:p>
      <w:pPr>
        <w:jc w:val="center"/>
        <w:rPr>
          <w:rFonts w:ascii="仿宋" w:hAnsi="仿宋" w:eastAsia="仿宋"/>
          <w:b/>
          <w:bCs/>
          <w:color w:val="000000" w:themeColor="text1"/>
          <w:sz w:val="36"/>
          <w:szCs w:val="36"/>
        </w:rPr>
      </w:pPr>
      <w:r>
        <w:rPr>
          <w:rFonts w:hint="eastAsia" w:ascii="仿宋" w:hAnsi="仿宋" w:eastAsia="仿宋"/>
          <w:b/>
          <w:bCs/>
          <w:color w:val="000000" w:themeColor="text1"/>
          <w:sz w:val="36"/>
          <w:szCs w:val="36"/>
        </w:rPr>
        <w:t>（草案）</w:t>
      </w:r>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rPr>
          <w:rFonts w:ascii="仿宋" w:hAnsi="仿宋" w:eastAsia="仿宋"/>
          <w:color w:val="000000" w:themeColor="text1"/>
          <w:sz w:val="28"/>
          <w:szCs w:val="28"/>
        </w:rPr>
      </w:pPr>
    </w:p>
    <w:p>
      <w:pPr>
        <w:jc w:val="center"/>
        <w:rPr>
          <w:rFonts w:ascii="仿宋" w:hAnsi="仿宋" w:eastAsia="仿宋"/>
          <w:b/>
          <w:bCs/>
          <w:color w:val="000000" w:themeColor="text1"/>
          <w:sz w:val="32"/>
          <w:szCs w:val="32"/>
        </w:rPr>
      </w:pPr>
      <w:r>
        <w:rPr>
          <w:rFonts w:hint="eastAsia" w:ascii="仿宋" w:hAnsi="仿宋" w:eastAsia="仿宋"/>
          <w:b/>
          <w:bCs/>
          <w:color w:val="000000" w:themeColor="text1"/>
          <w:sz w:val="32"/>
          <w:szCs w:val="32"/>
        </w:rPr>
        <w:t>广西·桂平</w:t>
      </w:r>
    </w:p>
    <w:p>
      <w:pPr>
        <w:jc w:val="center"/>
        <w:rPr>
          <w:rFonts w:ascii="仿宋" w:hAnsi="仿宋" w:eastAsia="仿宋"/>
          <w:b/>
          <w:bCs/>
          <w:color w:val="000000" w:themeColor="text1"/>
          <w:sz w:val="32"/>
          <w:szCs w:val="32"/>
        </w:rPr>
      </w:pPr>
      <w:r>
        <w:rPr>
          <w:rFonts w:hint="eastAsia" w:ascii="仿宋" w:hAnsi="仿宋" w:eastAsia="仿宋"/>
          <w:b/>
          <w:bCs/>
          <w:color w:val="000000" w:themeColor="text1"/>
          <w:sz w:val="32"/>
          <w:szCs w:val="32"/>
        </w:rPr>
        <w:t xml:space="preserve">二〇二〇年 </w:t>
      </w:r>
      <w:r>
        <w:rPr>
          <w:rFonts w:ascii="仿宋" w:hAnsi="仿宋" w:eastAsia="仿宋"/>
          <w:b/>
          <w:bCs/>
          <w:color w:val="000000" w:themeColor="text1"/>
          <w:sz w:val="32"/>
          <w:szCs w:val="32"/>
        </w:rPr>
        <w:t xml:space="preserve"> </w:t>
      </w:r>
      <w:r>
        <w:rPr>
          <w:rFonts w:hint="eastAsia" w:ascii="仿宋" w:hAnsi="仿宋" w:eastAsia="仿宋"/>
          <w:b/>
          <w:bCs/>
          <w:color w:val="000000" w:themeColor="text1"/>
          <w:sz w:val="32"/>
          <w:szCs w:val="32"/>
        </w:rPr>
        <w:t>月</w:t>
      </w:r>
    </w:p>
    <w:p>
      <w:pPr>
        <w:rPr>
          <w:rFonts w:ascii="仿宋" w:hAnsi="仿宋" w:eastAsia="仿宋"/>
          <w:color w:val="000000" w:themeColor="text1"/>
          <w:sz w:val="28"/>
          <w:szCs w:val="28"/>
        </w:rPr>
      </w:pPr>
      <w:r>
        <w:rPr>
          <w:rFonts w:ascii="仿宋" w:hAnsi="仿宋" w:eastAsia="仿宋"/>
          <w:color w:val="000000" w:themeColor="text1"/>
          <w:sz w:val="28"/>
          <w:szCs w:val="28"/>
        </w:rPr>
        <w:br w:type="page"/>
      </w:r>
    </w:p>
    <w:p>
      <w:pPr>
        <w:spacing w:beforeLines="100" w:afterLines="100"/>
        <w:jc w:val="center"/>
        <w:rPr>
          <w:rFonts w:ascii="黑体" w:hAnsi="黑体" w:eastAsia="黑体"/>
          <w:color w:val="000000" w:themeColor="text1"/>
          <w:sz w:val="36"/>
          <w:szCs w:val="36"/>
        </w:rPr>
      </w:pPr>
      <w:bookmarkStart w:id="1" w:name="_Toc57054301"/>
      <w:bookmarkStart w:id="2" w:name="_Toc57054413"/>
      <w:bookmarkStart w:id="3" w:name="_Toc57054201"/>
      <w:bookmarkStart w:id="4" w:name="_Toc57054526"/>
      <w:bookmarkStart w:id="5" w:name="_Toc57057031"/>
      <w:bookmarkStart w:id="6" w:name="_Toc57056891"/>
      <w:bookmarkStart w:id="7" w:name="_Toc57056996"/>
      <w:r>
        <w:rPr>
          <w:rFonts w:hint="eastAsia" w:ascii="黑体" w:hAnsi="黑体" w:eastAsia="黑体"/>
          <w:color w:val="000000" w:themeColor="text1"/>
          <w:sz w:val="36"/>
          <w:szCs w:val="36"/>
        </w:rPr>
        <w:t>目 录</w:t>
      </w:r>
      <w:bookmarkEnd w:id="1"/>
      <w:bookmarkEnd w:id="2"/>
      <w:bookmarkEnd w:id="3"/>
      <w:bookmarkEnd w:id="4"/>
      <w:bookmarkEnd w:id="5"/>
      <w:bookmarkEnd w:id="6"/>
      <w:bookmarkEnd w:id="7"/>
    </w:p>
    <w:p>
      <w:pPr>
        <w:pStyle w:val="19"/>
        <w:rPr>
          <w:rFonts w:eastAsiaTheme="minorEastAsia"/>
          <w:color w:val="000000" w:themeColor="text1"/>
          <w:sz w:val="21"/>
          <w:szCs w:val="22"/>
        </w:rPr>
      </w:pPr>
      <w:r>
        <w:rPr>
          <w:rFonts w:ascii="仿宋" w:hAnsi="仿宋"/>
          <w:color w:val="000000" w:themeColor="text1"/>
          <w:sz w:val="28"/>
          <w:szCs w:val="28"/>
        </w:rPr>
        <w:fldChar w:fldCharType="begin"/>
      </w:r>
      <w:r>
        <w:rPr>
          <w:rFonts w:ascii="仿宋" w:hAnsi="仿宋"/>
          <w:color w:val="000000" w:themeColor="text1"/>
          <w:sz w:val="28"/>
          <w:szCs w:val="28"/>
        </w:rPr>
        <w:instrText xml:space="preserve"> TOC \h \z \t "样式节一级,2" </w:instrText>
      </w:r>
      <w:r>
        <w:rPr>
          <w:rFonts w:ascii="仿宋" w:hAnsi="仿宋"/>
          <w:color w:val="000000" w:themeColor="text1"/>
          <w:sz w:val="28"/>
          <w:szCs w:val="28"/>
        </w:rPr>
        <w:fldChar w:fldCharType="separate"/>
      </w:r>
      <w:r>
        <w:rPr>
          <w:color w:val="000000" w:themeColor="text1"/>
        </w:rPr>
        <w:fldChar w:fldCharType="begin"/>
      </w:r>
      <w:r>
        <w:rPr>
          <w:color w:val="000000" w:themeColor="text1"/>
        </w:rPr>
        <w:instrText xml:space="preserve"> HYPERLINK \l "_Toc58337318" </w:instrText>
      </w:r>
      <w:r>
        <w:rPr>
          <w:color w:val="000000" w:themeColor="text1"/>
        </w:rPr>
        <w:fldChar w:fldCharType="separate"/>
      </w:r>
      <w:r>
        <w:rPr>
          <w:rStyle w:val="25"/>
          <w:color w:val="000000" w:themeColor="text1"/>
        </w:rPr>
        <w:t>一、 合同主体</w:t>
      </w:r>
      <w:r>
        <w:rPr>
          <w:color w:val="000000" w:themeColor="text1"/>
        </w:rPr>
        <w:tab/>
      </w:r>
      <w:r>
        <w:rPr>
          <w:color w:val="000000" w:themeColor="text1"/>
        </w:rPr>
        <w:fldChar w:fldCharType="begin"/>
      </w:r>
      <w:r>
        <w:rPr>
          <w:color w:val="000000" w:themeColor="text1"/>
        </w:rPr>
        <w:instrText xml:space="preserve"> PAGEREF _Toc58337318 \h </w:instrText>
      </w:r>
      <w:r>
        <w:rPr>
          <w:color w:val="000000" w:themeColor="text1"/>
        </w:rPr>
        <w:fldChar w:fldCharType="separate"/>
      </w:r>
      <w:r>
        <w:rPr>
          <w:color w:val="000000" w:themeColor="text1"/>
        </w:rPr>
        <w:t>1</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"_Toc58337319" </w:instrText>
      </w:r>
      <w:r>
        <w:rPr>
          <w:color w:val="000000" w:themeColor="text1"/>
        </w:rPr>
        <w:fldChar w:fldCharType="separate"/>
      </w:r>
      <w:r>
        <w:rPr>
          <w:rStyle w:val="25"/>
          <w:color w:val="000000" w:themeColor="text1"/>
        </w:rPr>
        <w:t>二、 甲方的权利与义务</w:t>
      </w:r>
      <w:r>
        <w:rPr>
          <w:color w:val="000000" w:themeColor="text1"/>
        </w:rPr>
        <w:tab/>
      </w:r>
      <w:r>
        <w:rPr>
          <w:color w:val="000000" w:themeColor="text1"/>
        </w:rPr>
        <w:fldChar w:fldCharType="begin"/>
      </w:r>
      <w:r>
        <w:rPr>
          <w:color w:val="000000" w:themeColor="text1"/>
        </w:rPr>
        <w:instrText xml:space="preserve"> PAGEREF _Toc58337319 \h </w:instrText>
      </w:r>
      <w:r>
        <w:rPr>
          <w:color w:val="000000" w:themeColor="text1"/>
        </w:rPr>
        <w:fldChar w:fldCharType="separate"/>
      </w:r>
      <w:r>
        <w:rPr>
          <w:color w:val="000000" w:themeColor="text1"/>
        </w:rPr>
        <w:t>2</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"_Toc58337320" </w:instrText>
      </w:r>
      <w:r>
        <w:rPr>
          <w:color w:val="000000" w:themeColor="text1"/>
        </w:rPr>
        <w:fldChar w:fldCharType="separate"/>
      </w:r>
      <w:r>
        <w:rPr>
          <w:rStyle w:val="25"/>
          <w:color w:val="000000" w:themeColor="text1"/>
        </w:rPr>
        <w:t>三、 乙方的权利与义务</w:t>
      </w:r>
      <w:r>
        <w:rPr>
          <w:color w:val="000000" w:themeColor="text1"/>
        </w:rPr>
        <w:tab/>
      </w:r>
      <w:r>
        <w:rPr>
          <w:color w:val="000000" w:themeColor="text1"/>
        </w:rPr>
        <w:fldChar w:fldCharType="begin"/>
      </w:r>
      <w:r>
        <w:rPr>
          <w:color w:val="000000" w:themeColor="text1"/>
        </w:rPr>
        <w:instrText xml:space="preserve"> PAGEREF _Toc58337320 \h </w:instrText>
      </w:r>
      <w:r>
        <w:rPr>
          <w:color w:val="000000" w:themeColor="text1"/>
        </w:rPr>
        <w:fldChar w:fldCharType="separate"/>
      </w:r>
      <w:r>
        <w:rPr>
          <w:color w:val="000000" w:themeColor="text1"/>
        </w:rPr>
        <w:t>3</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"_Toc58337321" </w:instrText>
      </w:r>
      <w:r>
        <w:rPr>
          <w:color w:val="000000" w:themeColor="text1"/>
        </w:rPr>
        <w:fldChar w:fldCharType="separate"/>
      </w:r>
      <w:r>
        <w:rPr>
          <w:rStyle w:val="25"/>
          <w:color w:val="000000" w:themeColor="text1"/>
        </w:rPr>
        <w:t>四、 甲乙双方共同权利和义务</w:t>
      </w:r>
      <w:r>
        <w:rPr>
          <w:color w:val="000000" w:themeColor="text1"/>
        </w:rPr>
        <w:tab/>
      </w:r>
      <w:r>
        <w:rPr>
          <w:color w:val="000000" w:themeColor="text1"/>
        </w:rPr>
        <w:fldChar w:fldCharType="begin"/>
      </w:r>
      <w:r>
        <w:rPr>
          <w:color w:val="000000" w:themeColor="text1"/>
        </w:rPr>
        <w:instrText xml:space="preserve"> PAGEREF _Toc58337321 \h </w:instrText>
      </w:r>
      <w:r>
        <w:rPr>
          <w:color w:val="000000" w:themeColor="text1"/>
        </w:rPr>
        <w:fldChar w:fldCharType="separate"/>
      </w:r>
      <w:r>
        <w:rPr>
          <w:color w:val="000000" w:themeColor="text1"/>
        </w:rPr>
        <w:t>7</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"_Toc58337322" </w:instrText>
      </w:r>
      <w:r>
        <w:rPr>
          <w:color w:val="000000" w:themeColor="text1"/>
        </w:rPr>
        <w:fldChar w:fldCharType="separate"/>
      </w:r>
      <w:r>
        <w:rPr>
          <w:rStyle w:val="25"/>
          <w:color w:val="000000" w:themeColor="text1"/>
        </w:rPr>
        <w:t>五、 项目公司</w:t>
      </w:r>
      <w:r>
        <w:rPr>
          <w:color w:val="000000" w:themeColor="text1"/>
        </w:rPr>
        <w:tab/>
      </w:r>
      <w:r>
        <w:rPr>
          <w:color w:val="000000" w:themeColor="text1"/>
        </w:rPr>
        <w:fldChar w:fldCharType="begin"/>
      </w:r>
      <w:r>
        <w:rPr>
          <w:color w:val="000000" w:themeColor="text1"/>
        </w:rPr>
        <w:instrText xml:space="preserve"> PAGEREF _Toc58337322 \h </w:instrText>
      </w:r>
      <w:r>
        <w:rPr>
          <w:color w:val="000000" w:themeColor="text1"/>
        </w:rPr>
        <w:fldChar w:fldCharType="separate"/>
      </w:r>
      <w:r>
        <w:rPr>
          <w:color w:val="000000" w:themeColor="text1"/>
        </w:rPr>
        <w:t>7</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"_Toc58337323" </w:instrText>
      </w:r>
      <w:r>
        <w:rPr>
          <w:color w:val="000000" w:themeColor="text1"/>
        </w:rPr>
        <w:fldChar w:fldCharType="separate"/>
      </w:r>
      <w:r>
        <w:rPr>
          <w:rStyle w:val="25"/>
          <w:color w:val="000000" w:themeColor="text1"/>
        </w:rPr>
        <w:t>六、 项目前期工作</w:t>
      </w:r>
      <w:r>
        <w:rPr>
          <w:color w:val="000000" w:themeColor="text1"/>
        </w:rPr>
        <w:tab/>
      </w:r>
      <w:r>
        <w:rPr>
          <w:color w:val="000000" w:themeColor="text1"/>
        </w:rPr>
        <w:fldChar w:fldCharType="begin"/>
      </w:r>
      <w:r>
        <w:rPr>
          <w:color w:val="000000" w:themeColor="text1"/>
        </w:rPr>
        <w:instrText xml:space="preserve"> PAGEREF _Toc58337323 \h </w:instrText>
      </w:r>
      <w:r>
        <w:rPr>
          <w:color w:val="000000" w:themeColor="text1"/>
        </w:rPr>
        <w:fldChar w:fldCharType="separate"/>
      </w:r>
      <w:r>
        <w:rPr>
          <w:color w:val="000000" w:themeColor="text1"/>
        </w:rPr>
        <w:t>8</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"_Toc58337324" </w:instrText>
      </w:r>
      <w:r>
        <w:rPr>
          <w:color w:val="000000" w:themeColor="text1"/>
        </w:rPr>
        <w:fldChar w:fldCharType="separate"/>
      </w:r>
      <w:r>
        <w:rPr>
          <w:rStyle w:val="25"/>
          <w:color w:val="000000" w:themeColor="text1"/>
        </w:rPr>
        <w:t>七、 项目建设资金</w:t>
      </w:r>
      <w:r>
        <w:rPr>
          <w:color w:val="000000" w:themeColor="text1"/>
        </w:rPr>
        <w:tab/>
      </w:r>
      <w:r>
        <w:rPr>
          <w:color w:val="000000" w:themeColor="text1"/>
        </w:rPr>
        <w:fldChar w:fldCharType="begin"/>
      </w:r>
      <w:r>
        <w:rPr>
          <w:color w:val="000000" w:themeColor="text1"/>
        </w:rPr>
        <w:instrText xml:space="preserve"> PAGEREF _Toc58337324 \h </w:instrText>
      </w:r>
      <w:r>
        <w:rPr>
          <w:color w:val="000000" w:themeColor="text1"/>
        </w:rPr>
        <w:fldChar w:fldCharType="separate"/>
      </w:r>
      <w:r>
        <w:rPr>
          <w:color w:val="000000" w:themeColor="text1"/>
        </w:rPr>
        <w:t>9</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"_Toc58337325" </w:instrText>
      </w:r>
      <w:r>
        <w:rPr>
          <w:color w:val="000000" w:themeColor="text1"/>
        </w:rPr>
        <w:fldChar w:fldCharType="separate"/>
      </w:r>
      <w:r>
        <w:rPr>
          <w:rStyle w:val="25"/>
          <w:color w:val="000000" w:themeColor="text1"/>
        </w:rPr>
        <w:t>八、 项目核准</w:t>
      </w:r>
      <w:r>
        <w:rPr>
          <w:color w:val="000000" w:themeColor="text1"/>
        </w:rPr>
        <w:tab/>
      </w:r>
      <w:r>
        <w:rPr>
          <w:color w:val="000000" w:themeColor="text1"/>
        </w:rPr>
        <w:fldChar w:fldCharType="begin"/>
      </w:r>
      <w:r>
        <w:rPr>
          <w:color w:val="000000" w:themeColor="text1"/>
        </w:rPr>
        <w:instrText xml:space="preserve"> PAGEREF _Toc58337325 \h </w:instrText>
      </w:r>
      <w:r>
        <w:rPr>
          <w:color w:val="000000" w:themeColor="text1"/>
        </w:rPr>
        <w:fldChar w:fldCharType="separate"/>
      </w:r>
      <w:r>
        <w:rPr>
          <w:color w:val="000000" w:themeColor="text1"/>
        </w:rPr>
        <w:t>10</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"_Toc58337326" </w:instrText>
      </w:r>
      <w:r>
        <w:rPr>
          <w:color w:val="000000" w:themeColor="text1"/>
        </w:rPr>
        <w:fldChar w:fldCharType="separate"/>
      </w:r>
      <w:r>
        <w:rPr>
          <w:rStyle w:val="25"/>
          <w:color w:val="000000" w:themeColor="text1"/>
        </w:rPr>
        <w:t>九、 PPP项目合同</w:t>
      </w:r>
      <w:r>
        <w:rPr>
          <w:color w:val="000000" w:themeColor="text1"/>
        </w:rPr>
        <w:tab/>
      </w:r>
      <w:r>
        <w:rPr>
          <w:color w:val="000000" w:themeColor="text1"/>
        </w:rPr>
        <w:fldChar w:fldCharType="begin"/>
      </w:r>
      <w:r>
        <w:rPr>
          <w:color w:val="000000" w:themeColor="text1"/>
        </w:rPr>
        <w:instrText xml:space="preserve"> PAGEREF _Toc58337326 \h </w:instrText>
      </w:r>
      <w:r>
        <w:rPr>
          <w:color w:val="000000" w:themeColor="text1"/>
        </w:rPr>
        <w:fldChar w:fldCharType="separate"/>
      </w:r>
      <w:r>
        <w:rPr>
          <w:color w:val="000000" w:themeColor="text1"/>
        </w:rPr>
        <w:t>10</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"_Toc58337327" </w:instrText>
      </w:r>
      <w:r>
        <w:rPr>
          <w:color w:val="000000" w:themeColor="text1"/>
        </w:rPr>
        <w:fldChar w:fldCharType="separate"/>
      </w:r>
      <w:r>
        <w:rPr>
          <w:rStyle w:val="25"/>
          <w:color w:val="000000" w:themeColor="text1"/>
        </w:rPr>
        <w:t>十、 项目质量目标、运营管理目标、安全目标、环保目标和服务质量目标</w:t>
      </w:r>
      <w:r>
        <w:rPr>
          <w:color w:val="000000" w:themeColor="text1"/>
        </w:rPr>
        <w:tab/>
      </w:r>
      <w:r>
        <w:rPr>
          <w:color w:val="000000" w:themeColor="text1"/>
        </w:rPr>
        <w:fldChar w:fldCharType="begin"/>
      </w:r>
      <w:r>
        <w:rPr>
          <w:color w:val="000000" w:themeColor="text1"/>
        </w:rPr>
        <w:instrText xml:space="preserve"> PAGEREF _Toc58337327 \h </w:instrText>
      </w:r>
      <w:r>
        <w:rPr>
          <w:color w:val="000000" w:themeColor="text1"/>
        </w:rPr>
        <w:fldChar w:fldCharType="separate"/>
      </w:r>
      <w:r>
        <w:rPr>
          <w:color w:val="000000" w:themeColor="text1"/>
        </w:rPr>
        <w:t>10</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"_Toc58337328" </w:instrText>
      </w:r>
      <w:r>
        <w:rPr>
          <w:color w:val="000000" w:themeColor="text1"/>
        </w:rPr>
        <w:fldChar w:fldCharType="separate"/>
      </w:r>
      <w:r>
        <w:rPr>
          <w:rStyle w:val="25"/>
          <w:color w:val="000000" w:themeColor="text1"/>
        </w:rPr>
        <w:t>十一、 违约责任</w:t>
      </w:r>
      <w:r>
        <w:rPr>
          <w:color w:val="000000" w:themeColor="text1"/>
        </w:rPr>
        <w:tab/>
      </w:r>
      <w:r>
        <w:rPr>
          <w:color w:val="000000" w:themeColor="text1"/>
        </w:rPr>
        <w:fldChar w:fldCharType="begin"/>
      </w:r>
      <w:r>
        <w:rPr>
          <w:color w:val="000000" w:themeColor="text1"/>
        </w:rPr>
        <w:instrText xml:space="preserve"> PAGEREF _Toc58337328 \h </w:instrText>
      </w:r>
      <w:r>
        <w:rPr>
          <w:color w:val="000000" w:themeColor="text1"/>
        </w:rPr>
        <w:fldChar w:fldCharType="separate"/>
      </w:r>
      <w:r>
        <w:rPr>
          <w:color w:val="000000" w:themeColor="text1"/>
        </w:rPr>
        <w:t>11</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"_Toc58337329" </w:instrText>
      </w:r>
      <w:r>
        <w:rPr>
          <w:color w:val="000000" w:themeColor="text1"/>
        </w:rPr>
        <w:fldChar w:fldCharType="separate"/>
      </w:r>
      <w:r>
        <w:rPr>
          <w:rStyle w:val="25"/>
          <w:color w:val="000000" w:themeColor="text1"/>
        </w:rPr>
        <w:t>十二、 免责条款</w:t>
      </w:r>
      <w:r>
        <w:rPr>
          <w:color w:val="000000" w:themeColor="text1"/>
        </w:rPr>
        <w:tab/>
      </w:r>
      <w:r>
        <w:rPr>
          <w:color w:val="000000" w:themeColor="text1"/>
        </w:rPr>
        <w:fldChar w:fldCharType="begin"/>
      </w:r>
      <w:r>
        <w:rPr>
          <w:color w:val="000000" w:themeColor="text1"/>
        </w:rPr>
        <w:instrText xml:space="preserve"> PAGEREF _Toc58337329 \h </w:instrText>
      </w:r>
      <w:r>
        <w:rPr>
          <w:color w:val="000000" w:themeColor="text1"/>
        </w:rPr>
        <w:fldChar w:fldCharType="separate"/>
      </w:r>
      <w:r>
        <w:rPr>
          <w:color w:val="000000" w:themeColor="text1"/>
        </w:rPr>
        <w:t>13</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"_Toc58337330" </w:instrText>
      </w:r>
      <w:r>
        <w:rPr>
          <w:color w:val="000000" w:themeColor="text1"/>
        </w:rPr>
        <w:fldChar w:fldCharType="separate"/>
      </w:r>
      <w:r>
        <w:rPr>
          <w:rStyle w:val="25"/>
          <w:color w:val="000000" w:themeColor="text1"/>
        </w:rPr>
        <w:t>十三、 其他条款</w:t>
      </w:r>
      <w:r>
        <w:rPr>
          <w:color w:val="000000" w:themeColor="text1"/>
        </w:rPr>
        <w:tab/>
      </w:r>
      <w:r>
        <w:rPr>
          <w:color w:val="000000" w:themeColor="text1"/>
        </w:rPr>
        <w:fldChar w:fldCharType="begin"/>
      </w:r>
      <w:r>
        <w:rPr>
          <w:color w:val="000000" w:themeColor="text1"/>
        </w:rPr>
        <w:instrText xml:space="preserve"> PAGEREF _Toc58337330 \h </w:instrText>
      </w:r>
      <w:r>
        <w:rPr>
          <w:color w:val="000000" w:themeColor="text1"/>
        </w:rPr>
        <w:fldChar w:fldCharType="separate"/>
      </w:r>
      <w:r>
        <w:rPr>
          <w:color w:val="000000" w:themeColor="text1"/>
        </w:rPr>
        <w:t>13</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"_Toc58337331" </w:instrText>
      </w:r>
      <w:r>
        <w:rPr>
          <w:color w:val="000000" w:themeColor="text1"/>
        </w:rPr>
        <w:fldChar w:fldCharType="separate"/>
      </w:r>
      <w:r>
        <w:rPr>
          <w:rStyle w:val="25"/>
          <w:color w:val="000000" w:themeColor="text1"/>
        </w:rPr>
        <w:t>十四、 争议的解决</w:t>
      </w:r>
      <w:r>
        <w:rPr>
          <w:color w:val="000000" w:themeColor="text1"/>
        </w:rPr>
        <w:tab/>
      </w:r>
      <w:r>
        <w:rPr>
          <w:color w:val="000000" w:themeColor="text1"/>
        </w:rPr>
        <w:fldChar w:fldCharType="begin"/>
      </w:r>
      <w:r>
        <w:rPr>
          <w:color w:val="000000" w:themeColor="text1"/>
        </w:rPr>
        <w:instrText xml:space="preserve"> PAGEREF _Toc58337331 \h </w:instrText>
      </w:r>
      <w:r>
        <w:rPr>
          <w:color w:val="000000" w:themeColor="text1"/>
        </w:rPr>
        <w:fldChar w:fldCharType="separate"/>
      </w:r>
      <w:r>
        <w:rPr>
          <w:color w:val="000000" w:themeColor="text1"/>
        </w:rPr>
        <w:t>14</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"_Toc58337332" </w:instrText>
      </w:r>
      <w:r>
        <w:rPr>
          <w:color w:val="000000" w:themeColor="text1"/>
        </w:rPr>
        <w:fldChar w:fldCharType="separate"/>
      </w:r>
      <w:r>
        <w:rPr>
          <w:rStyle w:val="25"/>
          <w:color w:val="000000" w:themeColor="text1"/>
        </w:rPr>
        <w:t>十五、 其他事项</w:t>
      </w:r>
      <w:r>
        <w:rPr>
          <w:color w:val="000000" w:themeColor="text1"/>
        </w:rPr>
        <w:tab/>
      </w:r>
      <w:r>
        <w:rPr>
          <w:color w:val="000000" w:themeColor="text1"/>
        </w:rPr>
        <w:fldChar w:fldCharType="begin"/>
      </w:r>
      <w:r>
        <w:rPr>
          <w:color w:val="000000" w:themeColor="text1"/>
        </w:rPr>
        <w:instrText xml:space="preserve"> PAGEREF _Toc58337332 \h </w:instrText>
      </w:r>
      <w:r>
        <w:rPr>
          <w:color w:val="000000" w:themeColor="text1"/>
        </w:rPr>
        <w:fldChar w:fldCharType="separate"/>
      </w:r>
      <w:r>
        <w:rPr>
          <w:color w:val="000000" w:themeColor="text1"/>
        </w:rPr>
        <w:t>14</w:t>
      </w:r>
      <w:r>
        <w:rPr>
          <w:color w:val="000000" w:themeColor="text1"/>
        </w:rPr>
        <w:fldChar w:fldCharType="end"/>
      </w:r>
      <w:r>
        <w:rPr>
          <w:color w:val="000000" w:themeColor="text1"/>
        </w:rPr>
        <w:fldChar w:fldCharType="end"/>
      </w:r>
    </w:p>
    <w:p>
      <w:pPr>
        <w:pStyle w:val="19"/>
        <w:rPr>
          <w:rFonts w:eastAsiaTheme="minorEastAsia"/>
          <w:color w:val="000000" w:themeColor="text1"/>
          <w:sz w:val="21"/>
          <w:szCs w:val="22"/>
        </w:rPr>
      </w:pPr>
      <w:r>
        <w:rPr>
          <w:color w:val="000000" w:themeColor="text1"/>
        </w:rPr>
        <w:fldChar w:fldCharType="begin"/>
      </w:r>
      <w:r>
        <w:rPr>
          <w:color w:val="000000" w:themeColor="text1"/>
        </w:rPr>
        <w:instrText xml:space="preserve"> HYPERLINK \l "_Toc58337333" </w:instrText>
      </w:r>
      <w:r>
        <w:rPr>
          <w:color w:val="000000" w:themeColor="text1"/>
        </w:rPr>
        <w:fldChar w:fldCharType="separate"/>
      </w:r>
      <w:r>
        <w:rPr>
          <w:rStyle w:val="25"/>
          <w:color w:val="000000" w:themeColor="text1"/>
        </w:rPr>
        <w:t>十六、 附件</w:t>
      </w:r>
      <w:r>
        <w:rPr>
          <w:color w:val="000000" w:themeColor="text1"/>
        </w:rPr>
        <w:tab/>
      </w:r>
      <w:r>
        <w:rPr>
          <w:color w:val="000000" w:themeColor="text1"/>
        </w:rPr>
        <w:fldChar w:fldCharType="begin"/>
      </w:r>
      <w:r>
        <w:rPr>
          <w:color w:val="000000" w:themeColor="text1"/>
        </w:rPr>
        <w:instrText xml:space="preserve"> PAGEREF _Toc58337333 \h </w:instrText>
      </w:r>
      <w:r>
        <w:rPr>
          <w:color w:val="000000" w:themeColor="text1"/>
        </w:rPr>
        <w:fldChar w:fldCharType="separate"/>
      </w:r>
      <w:r>
        <w:rPr>
          <w:color w:val="000000" w:themeColor="text1"/>
        </w:rPr>
        <w:t>16</w:t>
      </w:r>
      <w:r>
        <w:rPr>
          <w:color w:val="000000" w:themeColor="text1"/>
        </w:rPr>
        <w:fldChar w:fldCharType="end"/>
      </w:r>
      <w:r>
        <w:rPr>
          <w:color w:val="000000" w:themeColor="text1"/>
        </w:rPr>
        <w:fldChar w:fldCharType="end"/>
      </w:r>
    </w:p>
    <w:p>
      <w:pPr>
        <w:rPr>
          <w:rFonts w:ascii="仿宋" w:hAnsi="仿宋" w:eastAsia="仿宋"/>
          <w:color w:val="000000" w:themeColor="text1"/>
          <w:sz w:val="28"/>
          <w:szCs w:val="28"/>
        </w:rPr>
      </w:pPr>
      <w:r>
        <w:rPr>
          <w:rFonts w:ascii="仿宋" w:hAnsi="仿宋" w:eastAsia="仿宋"/>
          <w:color w:val="000000" w:themeColor="text1"/>
          <w:sz w:val="28"/>
          <w:szCs w:val="28"/>
        </w:rPr>
        <w:fldChar w:fldCharType="end"/>
      </w:r>
    </w:p>
    <w:p>
      <w:pPr>
        <w:rPr>
          <w:rFonts w:ascii="仿宋" w:hAnsi="仿宋" w:eastAsia="仿宋"/>
          <w:color w:val="000000" w:themeColor="text1"/>
          <w:sz w:val="28"/>
          <w:szCs w:val="28"/>
        </w:rPr>
        <w:sectPr>
          <w:headerReference r:id="rId5" w:type="first"/>
          <w:footerReference r:id="rId7" w:type="first"/>
          <w:headerReference r:id="rId3" w:type="default"/>
          <w:headerReference r:id="rId4" w:type="even"/>
          <w:footerReference r:id="rId6" w:type="even"/>
          <w:pgSz w:w="11906" w:h="16838"/>
          <w:pgMar w:top="1361" w:right="1418" w:bottom="1361" w:left="1418" w:header="851" w:footer="737" w:gutter="0"/>
          <w:cols w:space="425" w:num="1"/>
          <w:docGrid w:type="lines" w:linePitch="312" w:charSpace="0"/>
        </w:sectPr>
      </w:pPr>
    </w:p>
    <w:p>
      <w:pPr>
        <w:keepNext/>
        <w:spacing w:before="60" w:after="60"/>
        <w:jc w:val="center"/>
        <w:rPr>
          <w:rFonts w:ascii="黑体" w:hAnsi="黑体" w:eastAsia="黑体"/>
          <w:color w:val="000000" w:themeColor="text1"/>
          <w:sz w:val="44"/>
          <w:szCs w:val="44"/>
          <w:u w:color="000000"/>
          <w:lang w:val="zh-TW"/>
        </w:rPr>
      </w:pPr>
      <w:bookmarkStart w:id="8" w:name="_Hlk57057275"/>
      <w:r>
        <w:rPr>
          <w:rFonts w:hint="eastAsia" w:ascii="黑体" w:hAnsi="黑体" w:eastAsia="黑体"/>
          <w:color w:val="000000" w:themeColor="text1"/>
          <w:sz w:val="44"/>
          <w:szCs w:val="44"/>
          <w:u w:color="000000"/>
          <w:lang w:val="zh-TW" w:eastAsia="zh-TW"/>
        </w:rPr>
        <w:t>桂平西出口至龙门工业园区一级公路项目</w:t>
      </w:r>
      <w:bookmarkEnd w:id="8"/>
      <w:r>
        <w:rPr>
          <w:rFonts w:ascii="黑体" w:hAnsi="黑体" w:eastAsia="黑体"/>
          <w:color w:val="000000" w:themeColor="text1"/>
          <w:sz w:val="44"/>
          <w:szCs w:val="44"/>
          <w:u w:color="000000"/>
          <w:lang w:val="zh-TW" w:eastAsia="zh-TW"/>
        </w:rPr>
        <w:t>投资合作协议</w:t>
      </w:r>
    </w:p>
    <w:p>
      <w:pPr>
        <w:pStyle w:val="35"/>
        <w:spacing w:before="312" w:after="312"/>
        <w:rPr>
          <w:color w:val="000000" w:themeColor="text1"/>
        </w:rPr>
      </w:pPr>
      <w:bookmarkStart w:id="9" w:name="_Toc58337318"/>
      <w:r>
        <w:rPr>
          <w:rFonts w:hint="eastAsia"/>
          <w:color w:val="000000" w:themeColor="text1"/>
        </w:rPr>
        <w:t>合同主体</w:t>
      </w:r>
      <w:bookmarkEnd w:id="9"/>
    </w:p>
    <w:p>
      <w:pPr>
        <w:rPr>
          <w:rFonts w:ascii="仿宋" w:hAnsi="仿宋" w:eastAsia="仿宋"/>
          <w:color w:val="000000" w:themeColor="text1"/>
          <w:sz w:val="28"/>
          <w:szCs w:val="28"/>
          <w:lang w:val="zh-TW"/>
        </w:rPr>
      </w:pPr>
      <w:r>
        <w:rPr>
          <w:rFonts w:hint="eastAsia" w:ascii="仿宋" w:hAnsi="仿宋" w:eastAsia="仿宋"/>
          <w:color w:val="000000" w:themeColor="text1"/>
          <w:sz w:val="28"/>
          <w:szCs w:val="28"/>
          <w:lang w:val="zh-TW"/>
        </w:rPr>
        <w:t>甲方</w:t>
      </w:r>
      <w:r>
        <w:rPr>
          <w:rFonts w:hint="eastAsia" w:ascii="仿宋" w:hAnsi="仿宋" w:eastAsia="仿宋"/>
          <w:color w:val="000000" w:themeColor="text1"/>
          <w:sz w:val="28"/>
          <w:szCs w:val="28"/>
          <w:u w:color="000000"/>
          <w:lang w:val="zh-TW" w:eastAsia="zh-TW"/>
        </w:rPr>
        <w:t>：</w:t>
      </w:r>
      <w:r>
        <w:rPr>
          <w:rFonts w:hint="eastAsia" w:ascii="仿宋" w:hAnsi="仿宋" w:eastAsia="仿宋"/>
          <w:color w:val="000000" w:themeColor="text1"/>
          <w:sz w:val="28"/>
          <w:szCs w:val="28"/>
          <w:u w:color="000000"/>
        </w:rPr>
        <w:t>桂平市交通运输局</w:t>
      </w:r>
    </w:p>
    <w:p>
      <w:pPr>
        <w:rPr>
          <w:rFonts w:ascii="仿宋" w:hAnsi="仿宋" w:eastAsia="仿宋"/>
          <w:color w:val="000000" w:themeColor="text1"/>
          <w:sz w:val="28"/>
          <w:szCs w:val="28"/>
          <w:lang w:val="zh-TW"/>
        </w:rPr>
      </w:pPr>
      <w:r>
        <w:rPr>
          <w:rFonts w:hint="eastAsia" w:ascii="仿宋" w:hAnsi="仿宋" w:eastAsia="仿宋"/>
          <w:color w:val="000000" w:themeColor="text1"/>
          <w:sz w:val="28"/>
          <w:szCs w:val="28"/>
          <w:lang w:val="zh-TW"/>
        </w:rPr>
        <w:t>地址：广西桂平市西山镇郁江东路84号</w:t>
      </w:r>
    </w:p>
    <w:p>
      <w:pPr>
        <w:rPr>
          <w:rFonts w:ascii="仿宋" w:hAnsi="仿宋" w:eastAsia="PMingLiU"/>
          <w:color w:val="000000" w:themeColor="text1"/>
          <w:sz w:val="28"/>
          <w:szCs w:val="28"/>
          <w:lang w:val="zh-TW" w:eastAsia="zh-TW"/>
        </w:rPr>
      </w:pPr>
      <w:r>
        <w:rPr>
          <w:rFonts w:hint="eastAsia" w:ascii="仿宋" w:hAnsi="仿宋" w:eastAsia="仿宋"/>
          <w:color w:val="000000" w:themeColor="text1"/>
          <w:sz w:val="28"/>
          <w:szCs w:val="28"/>
          <w:lang w:val="zh-TW"/>
        </w:rPr>
        <w:t>法定代表人：</w:t>
      </w:r>
    </w:p>
    <w:bookmarkEnd w:id="0"/>
    <w:p>
      <w:pPr>
        <w:rPr>
          <w:rFonts w:ascii="仿宋" w:hAnsi="仿宋" w:eastAsia="仿宋"/>
          <w:color w:val="000000" w:themeColor="text1"/>
          <w:sz w:val="28"/>
          <w:szCs w:val="28"/>
        </w:rPr>
      </w:pPr>
    </w:p>
    <w:p>
      <w:pPr>
        <w:rPr>
          <w:rFonts w:ascii="仿宋" w:hAnsi="仿宋" w:eastAsia="仿宋"/>
          <w:color w:val="000000" w:themeColor="text1"/>
          <w:sz w:val="28"/>
          <w:szCs w:val="28"/>
          <w:u w:color="000000"/>
          <w:lang w:val="zh-TW"/>
        </w:rPr>
      </w:pPr>
      <w:r>
        <w:rPr>
          <w:rFonts w:hint="eastAsia" w:ascii="仿宋" w:hAnsi="仿宋" w:eastAsia="仿宋"/>
          <w:color w:val="000000" w:themeColor="text1"/>
          <w:sz w:val="28"/>
          <w:szCs w:val="28"/>
          <w:lang w:val="zh-TW"/>
        </w:rPr>
        <w:t>乙方</w:t>
      </w:r>
      <w:r>
        <w:rPr>
          <w:rFonts w:hint="eastAsia" w:ascii="仿宋" w:hAnsi="仿宋" w:eastAsia="仿宋"/>
          <w:color w:val="000000" w:themeColor="text1"/>
          <w:sz w:val="28"/>
          <w:szCs w:val="28"/>
          <w:u w:color="000000"/>
          <w:lang w:val="zh-TW" w:eastAsia="zh-TW"/>
        </w:rPr>
        <w:t>：（中标人全称）（联合体中标的，为联合体牵头人和全部成员，分别列出各方）</w:t>
      </w:r>
    </w:p>
    <w:p>
      <w:pPr>
        <w:rPr>
          <w:rFonts w:ascii="仿宋" w:hAnsi="仿宋" w:eastAsia="仿宋"/>
          <w:color w:val="000000" w:themeColor="text1"/>
          <w:sz w:val="28"/>
          <w:szCs w:val="28"/>
          <w:lang w:val="zh-TW"/>
        </w:rPr>
      </w:pPr>
      <w:r>
        <w:rPr>
          <w:rFonts w:hint="eastAsia" w:ascii="仿宋" w:hAnsi="仿宋" w:eastAsia="仿宋"/>
          <w:color w:val="000000" w:themeColor="text1"/>
          <w:sz w:val="28"/>
          <w:szCs w:val="28"/>
          <w:lang w:val="zh-TW"/>
        </w:rPr>
        <w:t>地址：详见“签章页”</w:t>
      </w:r>
    </w:p>
    <w:p>
      <w:pPr>
        <w:rPr>
          <w:rFonts w:ascii="仿宋" w:hAnsi="仿宋" w:eastAsia="仿宋"/>
          <w:color w:val="000000" w:themeColor="text1"/>
          <w:sz w:val="28"/>
          <w:szCs w:val="28"/>
          <w:lang w:val="zh-TW"/>
        </w:rPr>
      </w:pPr>
      <w:r>
        <w:rPr>
          <w:rFonts w:hint="eastAsia" w:ascii="仿宋" w:hAnsi="仿宋" w:eastAsia="仿宋"/>
          <w:color w:val="000000" w:themeColor="text1"/>
          <w:sz w:val="28"/>
          <w:szCs w:val="28"/>
          <w:lang w:val="zh-TW"/>
        </w:rPr>
        <w:t>法定代表人：详见“签章页”</w:t>
      </w:r>
    </w:p>
    <w:p>
      <w:pPr>
        <w:ind w:firstLine="560" w:firstLineChars="200"/>
        <w:rPr>
          <w:rFonts w:ascii="仿宋" w:hAnsi="仿宋" w:eastAsia="仿宋"/>
          <w:color w:val="000000" w:themeColor="text1"/>
          <w:sz w:val="28"/>
          <w:szCs w:val="28"/>
          <w:u w:color="000000"/>
          <w:lang w:val="zh-TW" w:eastAsia="zh-TW"/>
        </w:rPr>
      </w:pP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根据桂平市人民政府关于桂平西出口至龙门工业园区一级公路项目实施模式的批复精神（见附件一），桂平西出口至龙门工业园区一级公路工程项目按政府和社会资本合作（PPP）模式实施，通过公开招标选择项目的</w:t>
      </w:r>
      <w:r>
        <w:rPr>
          <w:rFonts w:hint="eastAsia" w:ascii="仿宋" w:hAnsi="仿宋" w:eastAsia="仿宋" w:cs="仿宋"/>
          <w:color w:val="000000" w:themeColor="text1"/>
          <w:sz w:val="28"/>
          <w:szCs w:val="28"/>
        </w:rPr>
        <w:t>社会资本方</w:t>
      </w:r>
      <w:r>
        <w:rPr>
          <w:rFonts w:hint="eastAsia"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甲方通过依法招标，并经桂平市人民政府批准同意，确定乙方为桂平西出口至龙门工业园区一级公路项目（以下简称“项目”或“本项目”）社会资本招标的中标人（见附件二）。</w:t>
      </w:r>
    </w:p>
    <w:p>
      <w:pPr>
        <w:ind w:firstLine="560" w:firstLineChars="200"/>
        <w:rPr>
          <w:color w:val="000000" w:themeColor="text1"/>
          <w:sz w:val="28"/>
          <w:szCs w:val="28"/>
          <w:lang w:bidi="en-US"/>
        </w:rPr>
      </w:pPr>
      <w:r>
        <w:rPr>
          <w:rFonts w:hint="eastAsia" w:ascii="仿宋" w:hAnsi="仿宋" w:eastAsia="仿宋"/>
          <w:color w:val="000000" w:themeColor="text1"/>
          <w:sz w:val="28"/>
          <w:szCs w:val="28"/>
        </w:rPr>
        <w:t>甲方与乙方就本项目的投资、建设、运维等有关权利、义务达成一致意见，签订本协议。</w:t>
      </w:r>
      <w:r>
        <w:rPr>
          <w:color w:val="000000" w:themeColor="text1"/>
          <w:sz w:val="28"/>
          <w:szCs w:val="28"/>
          <w:lang w:bidi="en-US"/>
        </w:rPr>
        <w:br w:type="page"/>
      </w:r>
    </w:p>
    <w:p>
      <w:pPr>
        <w:pStyle w:val="35"/>
        <w:spacing w:before="312" w:after="312"/>
        <w:rPr>
          <w:color w:val="000000" w:themeColor="text1"/>
        </w:rPr>
      </w:pPr>
      <w:bookmarkStart w:id="10" w:name="_Toc57056997"/>
      <w:bookmarkStart w:id="11" w:name="_Toc54187437"/>
      <w:bookmarkStart w:id="12" w:name="_Toc16186"/>
      <w:bookmarkStart w:id="13" w:name="_Toc57054414"/>
      <w:bookmarkStart w:id="14" w:name="_Toc57057458"/>
      <w:bookmarkStart w:id="15" w:name="_Toc54193906"/>
      <w:bookmarkStart w:id="16" w:name="_Toc57057042"/>
      <w:bookmarkStart w:id="17" w:name="_Toc57057134"/>
      <w:bookmarkStart w:id="18" w:name="_Toc57054302"/>
      <w:bookmarkStart w:id="19" w:name="_Toc57054202"/>
      <w:bookmarkStart w:id="20" w:name="_Toc528668038"/>
      <w:bookmarkStart w:id="21" w:name="_Toc58337319"/>
      <w:bookmarkStart w:id="22" w:name="_Hlk57104897"/>
      <w:r>
        <w:rPr>
          <w:rFonts w:hint="eastAsia"/>
          <w:color w:val="000000" w:themeColor="text1"/>
        </w:rPr>
        <w:t>甲方的权利与义务</w:t>
      </w:r>
      <w:bookmarkEnd w:id="10"/>
      <w:bookmarkEnd w:id="11"/>
      <w:bookmarkEnd w:id="12"/>
      <w:bookmarkEnd w:id="13"/>
      <w:bookmarkEnd w:id="14"/>
      <w:bookmarkEnd w:id="15"/>
      <w:bookmarkEnd w:id="16"/>
      <w:bookmarkEnd w:id="17"/>
      <w:bookmarkEnd w:id="18"/>
      <w:bookmarkEnd w:id="19"/>
      <w:bookmarkEnd w:id="20"/>
      <w:bookmarkEnd w:id="21"/>
    </w:p>
    <w:p>
      <w:pPr>
        <w:pStyle w:val="41"/>
        <w:ind w:firstLine="560"/>
        <w:rPr>
          <w:color w:val="000000" w:themeColor="text1"/>
        </w:rPr>
      </w:pPr>
      <w:bookmarkStart w:id="23" w:name="_Toc57054203"/>
      <w:bookmarkStart w:id="24" w:name="_Toc57054415"/>
      <w:bookmarkStart w:id="25" w:name="_Toc57054303"/>
      <w:r>
        <w:rPr>
          <w:rFonts w:hint="eastAsia"/>
          <w:color w:val="000000" w:themeColor="text1"/>
        </w:rPr>
        <w:t>自行或委托专业机构对乙方出资情况、项目公司的设立、项目的筹划、资金筹措、建设实施、运营管理、债务偿还、收益分配和资产管理等进行监督管理。</w:t>
      </w:r>
      <w:bookmarkEnd w:id="23"/>
      <w:bookmarkEnd w:id="24"/>
      <w:bookmarkEnd w:id="25"/>
    </w:p>
    <w:p>
      <w:pPr>
        <w:pStyle w:val="41"/>
        <w:ind w:firstLine="560"/>
        <w:rPr>
          <w:color w:val="000000" w:themeColor="text1"/>
        </w:rPr>
      </w:pPr>
      <w:bookmarkStart w:id="26" w:name="_Toc57054304"/>
      <w:bookmarkStart w:id="27" w:name="_Toc57054416"/>
      <w:bookmarkStart w:id="28" w:name="_Toc57054204"/>
      <w:r>
        <w:rPr>
          <w:rFonts w:hint="eastAsia"/>
          <w:color w:val="000000" w:themeColor="text1"/>
        </w:rPr>
        <w:t>自行或委托中介机构查阅、复制与本项目建设经营活动有关的财务资料、建设经营计划和报告、承包（服务）合同、项目公司股东会和（或）董事会决议资料及其他与本项目经营相关的资料。</w:t>
      </w:r>
      <w:bookmarkEnd w:id="26"/>
      <w:bookmarkEnd w:id="27"/>
      <w:bookmarkEnd w:id="28"/>
    </w:p>
    <w:p>
      <w:pPr>
        <w:pStyle w:val="41"/>
        <w:ind w:firstLine="560"/>
        <w:rPr>
          <w:color w:val="000000" w:themeColor="text1"/>
        </w:rPr>
      </w:pPr>
      <w:bookmarkStart w:id="29" w:name="_Toc57054205"/>
      <w:bookmarkStart w:id="30" w:name="_Toc57054305"/>
      <w:bookmarkStart w:id="31" w:name="_Toc57054417"/>
      <w:r>
        <w:rPr>
          <w:rFonts w:hint="eastAsia"/>
          <w:color w:val="000000" w:themeColor="text1"/>
        </w:rPr>
        <w:t>对于不涉及国家秘密、商业秘密的PPP项目合同条款、绩效监测报告、中期评估报告和项目重大变更或终止等情况向社会公众进行公开披露。</w:t>
      </w:r>
      <w:bookmarkEnd w:id="29"/>
      <w:bookmarkEnd w:id="30"/>
      <w:bookmarkEnd w:id="31"/>
    </w:p>
    <w:p>
      <w:pPr>
        <w:pStyle w:val="41"/>
        <w:ind w:firstLine="560"/>
        <w:rPr>
          <w:color w:val="000000" w:themeColor="text1"/>
        </w:rPr>
      </w:pPr>
      <w:bookmarkStart w:id="32" w:name="_Toc57054418"/>
      <w:bookmarkStart w:id="33" w:name="_Toc57054306"/>
      <w:bookmarkStart w:id="34" w:name="_Toc57054206"/>
      <w:r>
        <w:rPr>
          <w:rFonts w:hint="eastAsia"/>
          <w:color w:val="000000" w:themeColor="text1"/>
        </w:rPr>
        <w:t>自行或委托中介机</w:t>
      </w:r>
      <w:bookmarkEnd w:id="22"/>
      <w:r>
        <w:rPr>
          <w:rFonts w:hint="eastAsia"/>
          <w:color w:val="000000" w:themeColor="text1"/>
        </w:rPr>
        <w:t>构派员进入项目进行检查，包括建设工程的质量、安全、环保、进度、费用、农民工工资发放及公路养护、配套服务设施、经营环境、经营服务等情况进行检查，并将相关检查结果纳入项目绩效考核。</w:t>
      </w:r>
      <w:bookmarkEnd w:id="32"/>
      <w:bookmarkEnd w:id="33"/>
      <w:bookmarkEnd w:id="34"/>
    </w:p>
    <w:p>
      <w:pPr>
        <w:pStyle w:val="41"/>
        <w:ind w:firstLine="560"/>
        <w:rPr>
          <w:color w:val="000000" w:themeColor="text1"/>
        </w:rPr>
      </w:pPr>
      <w:bookmarkStart w:id="35" w:name="_Toc57054419"/>
      <w:bookmarkStart w:id="36" w:name="_Toc57054307"/>
      <w:bookmarkStart w:id="37" w:name="_Toc57054207"/>
      <w:r>
        <w:rPr>
          <w:rFonts w:hint="eastAsia"/>
          <w:color w:val="000000" w:themeColor="text1"/>
        </w:rPr>
        <w:t>除乙方或其联合体成员在其资质许可范围内依法自行承担的工程和服务或自行提供的货物外，其他工程和服务、货物应在甲方的监督下依法进行发包。</w:t>
      </w:r>
      <w:bookmarkEnd w:id="35"/>
      <w:bookmarkEnd w:id="36"/>
      <w:bookmarkEnd w:id="37"/>
    </w:p>
    <w:p>
      <w:pPr>
        <w:pStyle w:val="41"/>
        <w:ind w:firstLine="560"/>
        <w:rPr>
          <w:color w:val="000000" w:themeColor="text1"/>
        </w:rPr>
      </w:pPr>
      <w:bookmarkStart w:id="38" w:name="_Toc57054208"/>
      <w:bookmarkStart w:id="39" w:name="_Toc57054308"/>
      <w:bookmarkStart w:id="40" w:name="_Toc57054420"/>
      <w:r>
        <w:rPr>
          <w:rFonts w:hint="eastAsia"/>
          <w:color w:val="000000" w:themeColor="text1"/>
        </w:rPr>
        <w:t>在项目合作期内，甲方有权委托第三方审计机构依照国家法律、法规、审计准则等相关规定，对本项目的建设经营管理活动和财务收支及其相关资料的真实性、正确性、合规性、合法性、效益性进行审查和监督。</w:t>
      </w:r>
      <w:bookmarkStart w:id="41" w:name="_Hlk47084772"/>
      <w:r>
        <w:rPr>
          <w:rFonts w:hint="eastAsia"/>
          <w:color w:val="000000" w:themeColor="text1"/>
        </w:rPr>
        <w:t>将项目纳入动态审计、造价监督</w:t>
      </w:r>
      <w:bookmarkEnd w:id="41"/>
      <w:r>
        <w:rPr>
          <w:rFonts w:hint="eastAsia"/>
          <w:color w:val="000000" w:themeColor="text1"/>
        </w:rPr>
        <w:t>，审计结果应用于本项目绩效考核。</w:t>
      </w:r>
      <w:bookmarkEnd w:id="38"/>
      <w:bookmarkEnd w:id="39"/>
      <w:bookmarkEnd w:id="40"/>
    </w:p>
    <w:p>
      <w:pPr>
        <w:pStyle w:val="41"/>
        <w:ind w:firstLine="560"/>
        <w:rPr>
          <w:color w:val="000000" w:themeColor="text1"/>
        </w:rPr>
      </w:pPr>
      <w:bookmarkStart w:id="42" w:name="_Toc57054421"/>
      <w:bookmarkStart w:id="43" w:name="_Toc57054209"/>
      <w:bookmarkStart w:id="44" w:name="_Toc57054309"/>
      <w:r>
        <w:rPr>
          <w:rFonts w:hint="eastAsia"/>
          <w:color w:val="000000" w:themeColor="text1"/>
        </w:rPr>
        <w:t>甲方对出现下列情况独立行使否决权：基于项目质量和安全考虑，对有关工程设计变更否决；基于公众通行服务需要，对项目建设标准及范围调整否决；基于国家相关法律法规或危害社会公共利益，对本项目建设、经营事项否决；基于农民工工资和资金支付安全考虑，对项目资金支付否决。其他未尽情况另行协商。</w:t>
      </w:r>
      <w:bookmarkEnd w:id="42"/>
      <w:bookmarkEnd w:id="43"/>
      <w:bookmarkEnd w:id="44"/>
    </w:p>
    <w:p>
      <w:pPr>
        <w:pStyle w:val="41"/>
        <w:ind w:firstLine="560"/>
        <w:rPr>
          <w:color w:val="000000" w:themeColor="text1"/>
        </w:rPr>
      </w:pPr>
      <w:bookmarkStart w:id="45" w:name="_Toc57054310"/>
      <w:bookmarkStart w:id="46" w:name="_Toc57054210"/>
      <w:bookmarkStart w:id="47" w:name="_Toc57054422"/>
      <w:r>
        <w:rPr>
          <w:rFonts w:hint="eastAsia"/>
          <w:color w:val="000000" w:themeColor="text1"/>
        </w:rPr>
        <w:t>参与协调、协助解决乙方和项目公司在项目建设、经营过程中出现的各种矛盾，协调解决与其他公路或道路的连接事宜。</w:t>
      </w:r>
      <w:bookmarkEnd w:id="45"/>
      <w:bookmarkEnd w:id="46"/>
      <w:bookmarkEnd w:id="47"/>
    </w:p>
    <w:p>
      <w:pPr>
        <w:pStyle w:val="41"/>
        <w:ind w:firstLine="560"/>
        <w:rPr>
          <w:color w:val="000000" w:themeColor="text1"/>
        </w:rPr>
      </w:pPr>
      <w:bookmarkStart w:id="48" w:name="_Toc57054311"/>
      <w:bookmarkStart w:id="49" w:name="_Toc57054423"/>
      <w:bookmarkStart w:id="50" w:name="_Toc57054211"/>
      <w:r>
        <w:rPr>
          <w:rFonts w:hint="eastAsia"/>
          <w:color w:val="000000" w:themeColor="text1"/>
        </w:rPr>
        <w:t>甲方不得违反本协议约定干预项目的建设经营，除非是为保护公众健康和公共安全以及履行甲方法定职责的需要；应乙方的要求，甲方应尽最大努力减少和制止第三方对项目的非法干预。</w:t>
      </w:r>
      <w:bookmarkEnd w:id="48"/>
      <w:bookmarkEnd w:id="49"/>
      <w:bookmarkEnd w:id="50"/>
    </w:p>
    <w:p>
      <w:pPr>
        <w:pStyle w:val="41"/>
        <w:ind w:firstLine="560"/>
        <w:rPr>
          <w:color w:val="000000" w:themeColor="text1"/>
        </w:rPr>
      </w:pPr>
      <w:bookmarkStart w:id="51" w:name="_Toc57054312"/>
      <w:bookmarkStart w:id="52" w:name="_Toc57054212"/>
      <w:bookmarkStart w:id="53" w:name="_Toc57054424"/>
      <w:r>
        <w:rPr>
          <w:rFonts w:hint="eastAsia"/>
          <w:color w:val="000000" w:themeColor="text1"/>
        </w:rPr>
        <w:t>甲方应按照国家及项目所在地的有关法律及法规,在其权限和管辖范围内尽力协助乙方及时获得设立项目公司、投资以及项目公司进行项目融资贷款、设计、建设、运营、养护及管理所必需的批文；协助项目公司办理项目核准手续，协调审批程序，以获得本项目所需的其他批准。</w:t>
      </w:r>
      <w:bookmarkEnd w:id="51"/>
      <w:bookmarkEnd w:id="52"/>
      <w:bookmarkEnd w:id="53"/>
    </w:p>
    <w:p>
      <w:pPr>
        <w:pStyle w:val="41"/>
        <w:ind w:firstLine="560"/>
        <w:rPr>
          <w:color w:val="000000" w:themeColor="text1"/>
        </w:rPr>
      </w:pPr>
      <w:bookmarkStart w:id="54" w:name="_Toc57054213"/>
      <w:bookmarkStart w:id="55" w:name="_Toc57054313"/>
      <w:bookmarkStart w:id="56" w:name="_Toc57054425"/>
      <w:r>
        <w:rPr>
          <w:rFonts w:hint="eastAsia"/>
          <w:color w:val="000000" w:themeColor="text1"/>
        </w:rPr>
        <w:t>甲方应将本项目纳入财政部政府和社会资本合作中心PPP综合信息平台项目管理库和国家发展改革委PPP项目信息监测平台。</w:t>
      </w:r>
      <w:bookmarkEnd w:id="54"/>
      <w:bookmarkEnd w:id="55"/>
      <w:bookmarkEnd w:id="56"/>
    </w:p>
    <w:p>
      <w:pPr>
        <w:pStyle w:val="41"/>
        <w:ind w:firstLine="560"/>
        <w:rPr>
          <w:color w:val="000000" w:themeColor="text1"/>
        </w:rPr>
      </w:pPr>
      <w:bookmarkStart w:id="57" w:name="_Toc57054214"/>
      <w:bookmarkStart w:id="58" w:name="_Toc57054314"/>
      <w:bookmarkStart w:id="59" w:name="_Toc57054426"/>
      <w:r>
        <w:rPr>
          <w:rFonts w:hint="eastAsia"/>
          <w:color w:val="000000" w:themeColor="text1"/>
        </w:rPr>
        <w:t>本项目运营维护期限十年。因本项目合作周期长，若国家出台新的政策对项目的合作范围等产生影响，则根据项目投资和实际评估情况调整，具体由甲乙双方另行协商，并按规定程序报批后执行。</w:t>
      </w:r>
      <w:bookmarkEnd w:id="57"/>
      <w:bookmarkEnd w:id="58"/>
      <w:bookmarkEnd w:id="59"/>
    </w:p>
    <w:p>
      <w:pPr>
        <w:pStyle w:val="41"/>
        <w:ind w:firstLine="560"/>
        <w:rPr>
          <w:color w:val="000000" w:themeColor="text1"/>
        </w:rPr>
      </w:pPr>
      <w:bookmarkStart w:id="60" w:name="_Toc57054427"/>
      <w:bookmarkStart w:id="61" w:name="_Toc57054315"/>
      <w:bookmarkStart w:id="62" w:name="_Toc57054215"/>
      <w:r>
        <w:rPr>
          <w:rFonts w:hint="eastAsia"/>
          <w:color w:val="000000" w:themeColor="text1"/>
        </w:rPr>
        <w:t>甲方有权联合相关部门建立项目评估调整机制，每5年委托第三方机构评估项目运维情况。在运营期内，甲方将根据项目运维情况和公路实际</w:t>
      </w:r>
      <w:r>
        <w:rPr>
          <w:color w:val="000000" w:themeColor="text1"/>
        </w:rPr>
        <w:t>条件</w:t>
      </w:r>
      <w:r>
        <w:rPr>
          <w:rFonts w:hint="eastAsia"/>
          <w:color w:val="000000" w:themeColor="text1"/>
        </w:rPr>
        <w:t>等对项目进行</w:t>
      </w:r>
      <w:r>
        <w:rPr>
          <w:color w:val="000000" w:themeColor="text1"/>
        </w:rPr>
        <w:t>评估</w:t>
      </w:r>
      <w:r>
        <w:rPr>
          <w:rFonts w:hint="eastAsia"/>
          <w:color w:val="000000" w:themeColor="text1"/>
        </w:rPr>
        <w:t>，具体事宜在PPP项目合同中约定。</w:t>
      </w:r>
      <w:bookmarkEnd w:id="60"/>
      <w:bookmarkEnd w:id="61"/>
      <w:bookmarkEnd w:id="62"/>
    </w:p>
    <w:p>
      <w:pPr>
        <w:pStyle w:val="35"/>
        <w:spacing w:before="312" w:after="312"/>
        <w:rPr>
          <w:color w:val="000000" w:themeColor="text1"/>
        </w:rPr>
      </w:pPr>
      <w:bookmarkStart w:id="63" w:name="_Toc57056998"/>
      <w:bookmarkStart w:id="64" w:name="_Toc57057043"/>
      <w:bookmarkStart w:id="65" w:name="_Toc57054316"/>
      <w:bookmarkStart w:id="66" w:name="_Toc57057459"/>
      <w:bookmarkStart w:id="67" w:name="_Toc58337320"/>
      <w:bookmarkStart w:id="68" w:name="_Toc57054216"/>
      <w:bookmarkStart w:id="69" w:name="_Toc57057135"/>
      <w:bookmarkStart w:id="70" w:name="_Toc54187438"/>
      <w:bookmarkStart w:id="71" w:name="_Toc57054428"/>
      <w:bookmarkStart w:id="72" w:name="_Toc54193907"/>
      <w:bookmarkStart w:id="73" w:name="_Hlk57104905"/>
      <w:r>
        <w:rPr>
          <w:rFonts w:hint="eastAsia"/>
          <w:color w:val="000000" w:themeColor="text1"/>
        </w:rPr>
        <w:t>乙方的权利与义务</w:t>
      </w:r>
      <w:bookmarkEnd w:id="63"/>
      <w:bookmarkEnd w:id="64"/>
      <w:bookmarkEnd w:id="65"/>
      <w:bookmarkEnd w:id="66"/>
      <w:bookmarkEnd w:id="67"/>
      <w:bookmarkEnd w:id="68"/>
      <w:bookmarkEnd w:id="69"/>
      <w:bookmarkEnd w:id="70"/>
      <w:bookmarkEnd w:id="71"/>
      <w:bookmarkEnd w:id="72"/>
    </w:p>
    <w:p>
      <w:pPr>
        <w:pStyle w:val="41"/>
        <w:ind w:firstLine="560"/>
        <w:rPr>
          <w:color w:val="000000" w:themeColor="text1"/>
        </w:rPr>
      </w:pPr>
      <w:bookmarkStart w:id="74" w:name="_Toc57054217"/>
      <w:bookmarkStart w:id="75" w:name="_Toc57054317"/>
      <w:bookmarkStart w:id="76" w:name="_Toc57054429"/>
      <w:r>
        <w:rPr>
          <w:rFonts w:hint="eastAsia"/>
          <w:color w:val="000000" w:themeColor="text1"/>
        </w:rPr>
        <w:t>乙方有权依法组建项目公司,作为桂平西出口至龙门工业园区一级公路项目的项目法人，具体负责本项目的资金筹措、前期工作（已由甲方组织执行的除外）、建设实施和运营管理。乙方应在</w:t>
      </w:r>
      <w:r>
        <w:rPr>
          <w:color w:val="000000" w:themeColor="text1"/>
        </w:rPr>
        <w:t>2</w:t>
      </w:r>
      <w:r>
        <w:rPr>
          <w:rFonts w:hint="eastAsia"/>
          <w:color w:val="000000" w:themeColor="text1"/>
        </w:rPr>
        <w:t>年（</w:t>
      </w:r>
      <w:r>
        <w:rPr>
          <w:color w:val="000000" w:themeColor="text1"/>
        </w:rPr>
        <w:t>24</w:t>
      </w:r>
      <w:r>
        <w:rPr>
          <w:rFonts w:hint="eastAsia"/>
          <w:color w:val="000000" w:themeColor="text1"/>
        </w:rPr>
        <w:t>个</w:t>
      </w:r>
      <w:r>
        <w:rPr>
          <w:color w:val="000000" w:themeColor="text1"/>
        </w:rPr>
        <w:t>月）</w:t>
      </w:r>
      <w:r>
        <w:rPr>
          <w:rFonts w:hint="eastAsia"/>
          <w:color w:val="000000" w:themeColor="text1"/>
        </w:rPr>
        <w:t>内通过项目公司依法依规完成项目投资建设任务。在此条件下，乙方和项目公司获得</w:t>
      </w:r>
      <w:r>
        <w:rPr>
          <w:color w:val="000000" w:themeColor="text1"/>
        </w:rPr>
        <w:t>10</w:t>
      </w:r>
      <w:r>
        <w:rPr>
          <w:rFonts w:hint="eastAsia"/>
          <w:color w:val="000000" w:themeColor="text1"/>
        </w:rPr>
        <w:t>年（</w:t>
      </w:r>
      <w:r>
        <w:rPr>
          <w:color w:val="000000" w:themeColor="text1"/>
        </w:rPr>
        <w:t>120</w:t>
      </w:r>
      <w:r>
        <w:rPr>
          <w:rFonts w:hint="eastAsia"/>
          <w:color w:val="000000" w:themeColor="text1"/>
        </w:rPr>
        <w:t>个月）的特许经营权，自交工验收合格且正式通车之日起至移交日为计算期限。建设期和运营期的起算时间以P</w:t>
      </w:r>
      <w:r>
        <w:rPr>
          <w:color w:val="000000" w:themeColor="text1"/>
        </w:rPr>
        <w:t>PP</w:t>
      </w:r>
      <w:r>
        <w:rPr>
          <w:rFonts w:hint="eastAsia"/>
          <w:color w:val="000000" w:themeColor="text1"/>
        </w:rPr>
        <w:t>项目合同相应条款为准。</w:t>
      </w:r>
      <w:bookmarkEnd w:id="74"/>
      <w:bookmarkEnd w:id="75"/>
      <w:bookmarkEnd w:id="76"/>
    </w:p>
    <w:bookmarkEnd w:id="73"/>
    <w:p>
      <w:pPr>
        <w:pStyle w:val="41"/>
        <w:ind w:firstLine="560"/>
        <w:rPr>
          <w:color w:val="000000" w:themeColor="text1"/>
        </w:rPr>
      </w:pPr>
      <w:bookmarkStart w:id="77" w:name="_Toc57054218"/>
      <w:bookmarkStart w:id="78" w:name="_Toc57054318"/>
      <w:bookmarkStart w:id="79" w:name="_Toc57054430"/>
      <w:r>
        <w:rPr>
          <w:rFonts w:hint="eastAsia"/>
          <w:color w:val="000000" w:themeColor="text1"/>
        </w:rPr>
        <w:t>乙方应在本协议签订之日起</w:t>
      </w:r>
      <w:r>
        <w:rPr>
          <w:color w:val="000000" w:themeColor="text1"/>
        </w:rPr>
        <w:t>30</w:t>
      </w:r>
      <w:r>
        <w:rPr>
          <w:rFonts w:hint="eastAsia"/>
          <w:color w:val="000000" w:themeColor="text1"/>
        </w:rPr>
        <w:t>日内，按照规定组建项目公司，在报请甲方审批后在桂平市市场监管部门进行注册登记获得法人资格。</w:t>
      </w:r>
      <w:bookmarkEnd w:id="77"/>
      <w:bookmarkEnd w:id="78"/>
      <w:bookmarkEnd w:id="79"/>
    </w:p>
    <w:p>
      <w:pPr>
        <w:pStyle w:val="41"/>
        <w:ind w:firstLine="560"/>
        <w:rPr>
          <w:color w:val="000000" w:themeColor="text1"/>
        </w:rPr>
      </w:pPr>
      <w:bookmarkStart w:id="80" w:name="_Toc57054319"/>
      <w:bookmarkStart w:id="81" w:name="_Toc57054431"/>
      <w:bookmarkStart w:id="82" w:name="_Toc57054219"/>
      <w:r>
        <w:rPr>
          <w:rFonts w:hint="eastAsia"/>
          <w:color w:val="000000" w:themeColor="text1"/>
        </w:rPr>
        <w:t>乙方设立项目公司的出资协议、项目公司章程应在签署前获得甲方认可。正式签署的出资协议（原件）、市场监管部门颁发的企业法人营业执照及登记备案的章程（复印件）应交甲方存档一份。</w:t>
      </w:r>
      <w:bookmarkEnd w:id="80"/>
      <w:bookmarkEnd w:id="81"/>
      <w:bookmarkEnd w:id="82"/>
    </w:p>
    <w:p>
      <w:pPr>
        <w:pStyle w:val="41"/>
        <w:ind w:firstLine="560"/>
        <w:rPr>
          <w:color w:val="000000" w:themeColor="text1"/>
        </w:rPr>
      </w:pPr>
      <w:bookmarkStart w:id="83" w:name="_Toc57054320"/>
      <w:bookmarkStart w:id="84" w:name="_Toc57054432"/>
      <w:bookmarkStart w:id="85" w:name="_Toc57054220"/>
      <w:r>
        <w:rPr>
          <w:rFonts w:hint="eastAsia"/>
          <w:color w:val="000000" w:themeColor="text1"/>
        </w:rPr>
        <w:t>乙方将出资不低于项目投资总额的20%（项目投资总额以贵港市相关政府部门批复的工程可行性研究报告估算为准）,暂定人民币（大写）叁仟伍佰陆拾伍万肆仟肆佰元整（￥</w:t>
      </w:r>
      <w:r>
        <w:rPr>
          <w:color w:val="000000" w:themeColor="text1"/>
        </w:rPr>
        <w:t>35,654,400.00</w:t>
      </w:r>
      <w:r>
        <w:rPr>
          <w:rFonts w:hint="eastAsia"/>
          <w:color w:val="000000" w:themeColor="text1"/>
        </w:rPr>
        <w:t>元）作为本项目的资本金。乙方应采取有效措施确保项目资本金按其中标方案注入，并满足金融机构融资需求。乙方承诺出资的项目资本金必须全部为其自有资金（不得为银行贷款或其他拆借资金）。乙方不得以任何方式通过项目公司筹措应由乙方出资的项目资本金。</w:t>
      </w:r>
      <w:bookmarkEnd w:id="83"/>
      <w:bookmarkEnd w:id="84"/>
      <w:bookmarkEnd w:id="85"/>
    </w:p>
    <w:p>
      <w:pPr>
        <w:pStyle w:val="41"/>
        <w:ind w:firstLine="560"/>
        <w:rPr>
          <w:color w:val="000000" w:themeColor="text1"/>
        </w:rPr>
      </w:pPr>
      <w:bookmarkStart w:id="86" w:name="_Toc57054433"/>
      <w:bookmarkStart w:id="87" w:name="_Toc57054221"/>
      <w:bookmarkStart w:id="88" w:name="_Toc57054321"/>
      <w:r>
        <w:rPr>
          <w:rFonts w:hint="eastAsia"/>
          <w:color w:val="000000" w:themeColor="text1"/>
        </w:rPr>
        <w:t>项目负债性资金不高于项目投资总额的</w:t>
      </w:r>
      <w:r>
        <w:rPr>
          <w:color w:val="000000" w:themeColor="text1"/>
        </w:rPr>
        <w:t>65</w:t>
      </w:r>
      <w:r>
        <w:rPr>
          <w:rFonts w:hint="eastAsia"/>
          <w:color w:val="000000" w:themeColor="text1"/>
        </w:rPr>
        <w:t>%</w:t>
      </w:r>
      <w:bookmarkStart w:id="409" w:name="_GoBack"/>
      <w:bookmarkEnd w:id="409"/>
      <w:r>
        <w:rPr>
          <w:rFonts w:hint="eastAsia"/>
          <w:color w:val="000000" w:themeColor="text1"/>
        </w:rPr>
        <w:t>,暂定人民币（大写）壹亿壹仟肆佰捌拾万元（￥</w:t>
      </w:r>
      <w:r>
        <w:rPr>
          <w:color w:val="000000" w:themeColor="text1"/>
        </w:rPr>
        <w:t>114,800,000.00</w:t>
      </w:r>
      <w:r>
        <w:rPr>
          <w:rFonts w:hint="eastAsia"/>
          <w:color w:val="000000" w:themeColor="text1"/>
        </w:rPr>
        <w:t>元)。项目公司应采取多种渠道合法筹集本项目资本金以外的其他建设资金。如果项目公司无法在规定的期限内全额获得本项目除了土地征拆费用和前期工作费用以外的其他建设资金，乙方则应负责为项目公司筹措该部分建设资金。</w:t>
      </w:r>
      <w:bookmarkEnd w:id="86"/>
      <w:bookmarkEnd w:id="87"/>
      <w:bookmarkEnd w:id="88"/>
    </w:p>
    <w:p>
      <w:pPr>
        <w:pStyle w:val="41"/>
        <w:ind w:firstLine="560"/>
        <w:rPr>
          <w:color w:val="000000" w:themeColor="text1"/>
        </w:rPr>
      </w:pPr>
      <w:bookmarkStart w:id="89" w:name="_Toc57054434"/>
      <w:bookmarkStart w:id="90" w:name="_Toc57054322"/>
      <w:bookmarkStart w:id="91" w:name="_Toc57054222"/>
      <w:r>
        <w:rPr>
          <w:rFonts w:hint="eastAsia"/>
          <w:color w:val="000000" w:themeColor="text1"/>
        </w:rPr>
        <w:t>在项目建设期间，由于物价上涨等原因造成项目总投资增加的，乙方应相应按比例增加项目资本金。</w:t>
      </w:r>
      <w:bookmarkEnd w:id="89"/>
      <w:bookmarkEnd w:id="90"/>
      <w:bookmarkEnd w:id="91"/>
    </w:p>
    <w:p>
      <w:pPr>
        <w:pStyle w:val="41"/>
        <w:ind w:firstLine="560"/>
        <w:rPr>
          <w:color w:val="000000" w:themeColor="text1"/>
        </w:rPr>
      </w:pPr>
      <w:bookmarkStart w:id="92" w:name="_Toc57054223"/>
      <w:bookmarkStart w:id="93" w:name="_Toc57054323"/>
      <w:bookmarkStart w:id="94" w:name="_Toc57054435"/>
      <w:r>
        <w:rPr>
          <w:rFonts w:hint="eastAsia"/>
          <w:color w:val="000000" w:themeColor="text1"/>
        </w:rPr>
        <w:t>乙方在本项目建设期内不得抽回、侵占和挪用项目资本金及其他建设资金。未经甲方同意，乙方不得实施将本项目公司的股权部分或者全部转让、质押给他人等变更股权结构的行为。本项目资本金及其余建设资金应按计划分期足额到位,乙方及项目公司应采取有效措施防止资金筹措不力，造成项目建设资金链中断。</w:t>
      </w:r>
      <w:bookmarkEnd w:id="92"/>
      <w:bookmarkEnd w:id="93"/>
      <w:bookmarkEnd w:id="94"/>
    </w:p>
    <w:p>
      <w:pPr>
        <w:pStyle w:val="41"/>
        <w:ind w:firstLine="560"/>
        <w:rPr>
          <w:color w:val="000000" w:themeColor="text1"/>
        </w:rPr>
      </w:pPr>
      <w:bookmarkStart w:id="95" w:name="_Toc57054224"/>
      <w:bookmarkStart w:id="96" w:name="_Toc57054324"/>
      <w:bookmarkStart w:id="97" w:name="_Toc57054436"/>
      <w:r>
        <w:rPr>
          <w:rFonts w:hint="eastAsia"/>
          <w:color w:val="000000" w:themeColor="text1"/>
        </w:rPr>
        <w:t>如项目公司经营发生困难,乙方有义务进行融资或注资；在项目公司盈利前，乙方不得从项目公司提取任何费用；如项目公司破产，乙方应负责项目公司经济纠纷的解决。</w:t>
      </w:r>
      <w:bookmarkEnd w:id="95"/>
      <w:bookmarkEnd w:id="96"/>
      <w:bookmarkEnd w:id="97"/>
    </w:p>
    <w:p>
      <w:pPr>
        <w:pStyle w:val="41"/>
        <w:ind w:firstLine="560"/>
        <w:rPr>
          <w:color w:val="000000" w:themeColor="text1"/>
        </w:rPr>
      </w:pPr>
      <w:bookmarkStart w:id="98" w:name="_Toc57054325"/>
      <w:bookmarkStart w:id="99" w:name="_Toc57054225"/>
      <w:bookmarkStart w:id="100" w:name="_Toc57054437"/>
      <w:r>
        <w:rPr>
          <w:rFonts w:hint="eastAsia"/>
          <w:color w:val="000000" w:themeColor="text1"/>
        </w:rPr>
        <w:t>乙方应确保项目公司按招标文件的规定，与甲方签订PPP项目合同及资金监管协议等合同文件,用以明确本项目在建设、运营、移交全过程中双方各项权利与义务。项目公司未与甲方签订PPP项目合同前不得行使对本项目的任何权利。</w:t>
      </w:r>
      <w:bookmarkEnd w:id="98"/>
      <w:bookmarkEnd w:id="99"/>
      <w:bookmarkEnd w:id="100"/>
    </w:p>
    <w:p>
      <w:pPr>
        <w:pStyle w:val="41"/>
        <w:ind w:firstLine="560"/>
        <w:rPr>
          <w:color w:val="000000" w:themeColor="text1"/>
        </w:rPr>
      </w:pPr>
      <w:bookmarkStart w:id="101" w:name="_Toc57054226"/>
      <w:bookmarkStart w:id="102" w:name="_Toc57054438"/>
      <w:bookmarkStart w:id="103" w:name="_Toc57054326"/>
      <w:r>
        <w:rPr>
          <w:rFonts w:hint="eastAsia"/>
          <w:color w:val="000000" w:themeColor="text1"/>
        </w:rPr>
        <w:t>本项目按“</w:t>
      </w:r>
      <w:r>
        <w:rPr>
          <w:color w:val="000000" w:themeColor="text1"/>
        </w:rPr>
        <w:t>BOT</w:t>
      </w:r>
      <w:r>
        <w:rPr>
          <w:rFonts w:hint="eastAsia"/>
          <w:color w:val="000000" w:themeColor="text1"/>
        </w:rPr>
        <w:t>”操作模式实施，根据相关法律、法规的规定，乙方已具备相应的资质和能力，依法能够自行建设、生产或者提供本项目勘察设计、施工、货物的，本项目相应的勘察设计、施工、货物可由乙方自行承担，不再招标。乙方承担施工任务的，不得同时承担监理、试验检测、监控量测、桥梁荷载试验和项目交（竣）工检测等具有相关利益关系的任务。</w:t>
      </w:r>
      <w:bookmarkEnd w:id="101"/>
      <w:bookmarkEnd w:id="102"/>
      <w:bookmarkEnd w:id="103"/>
    </w:p>
    <w:p>
      <w:pPr>
        <w:pStyle w:val="41"/>
        <w:ind w:firstLine="560"/>
        <w:rPr>
          <w:color w:val="000000" w:themeColor="text1"/>
        </w:rPr>
      </w:pPr>
      <w:bookmarkStart w:id="104" w:name="_Toc57054327"/>
      <w:bookmarkStart w:id="105" w:name="_Toc57054227"/>
      <w:bookmarkStart w:id="106" w:name="_Toc57054439"/>
      <w:r>
        <w:rPr>
          <w:rFonts w:hint="eastAsia"/>
          <w:color w:val="000000" w:themeColor="text1"/>
        </w:rPr>
        <w:t>乙方应协助项目公司做好项目的投资控制。由于甲方原因造成项目投资超过批复估算总投资的，则将超出部分纳入项目总投资。由于乙方原因造成投资超过批复估算总投资的，则超出部分由乙方负责承担。由于不可抗力等第三方原因造成投资超过批复估算总投资的，超出部分由双方另行协商解决。</w:t>
      </w:r>
      <w:bookmarkEnd w:id="104"/>
      <w:bookmarkEnd w:id="105"/>
      <w:bookmarkEnd w:id="106"/>
    </w:p>
    <w:p>
      <w:pPr>
        <w:pStyle w:val="41"/>
        <w:ind w:firstLine="560"/>
        <w:rPr>
          <w:color w:val="000000" w:themeColor="text1"/>
        </w:rPr>
      </w:pPr>
      <w:bookmarkStart w:id="107" w:name="_Toc57054440"/>
      <w:bookmarkStart w:id="108" w:name="_Toc57054328"/>
      <w:bookmarkStart w:id="109" w:name="_Toc57054228"/>
      <w:r>
        <w:rPr>
          <w:rFonts w:hint="eastAsia"/>
          <w:color w:val="000000" w:themeColor="text1"/>
        </w:rPr>
        <w:t>不得以降低工程质量、安全和项目服务功能等方式降低项目总投资。</w:t>
      </w:r>
      <w:bookmarkEnd w:id="107"/>
      <w:bookmarkEnd w:id="108"/>
      <w:bookmarkEnd w:id="109"/>
    </w:p>
    <w:p>
      <w:pPr>
        <w:pStyle w:val="41"/>
        <w:ind w:firstLine="560"/>
        <w:rPr>
          <w:color w:val="000000" w:themeColor="text1"/>
        </w:rPr>
      </w:pPr>
      <w:bookmarkStart w:id="110" w:name="_Toc57054329"/>
      <w:bookmarkStart w:id="111" w:name="_Toc57054229"/>
      <w:bookmarkStart w:id="112" w:name="_Toc57054441"/>
      <w:r>
        <w:rPr>
          <w:rFonts w:hint="eastAsia"/>
          <w:color w:val="000000" w:themeColor="text1"/>
        </w:rPr>
        <w:t>乙方应协助项目公司做好项目运营成本控制。</w:t>
      </w:r>
      <w:bookmarkEnd w:id="110"/>
      <w:bookmarkEnd w:id="111"/>
      <w:bookmarkEnd w:id="112"/>
    </w:p>
    <w:p>
      <w:pPr>
        <w:pStyle w:val="41"/>
        <w:ind w:firstLine="560"/>
        <w:rPr>
          <w:color w:val="000000" w:themeColor="text1"/>
        </w:rPr>
      </w:pPr>
      <w:bookmarkStart w:id="113" w:name="_Toc57054330"/>
      <w:bookmarkStart w:id="114" w:name="_Toc57054230"/>
      <w:bookmarkStart w:id="115" w:name="_Toc57054442"/>
      <w:r>
        <w:rPr>
          <w:rFonts w:hint="eastAsia"/>
          <w:color w:val="000000" w:themeColor="text1"/>
        </w:rPr>
        <w:t>乙方应充分发挥其金融资源优势，全权协助项目公司开展多渠道融资，降低项目全寿命周期内的融资成本。</w:t>
      </w:r>
      <w:bookmarkEnd w:id="113"/>
      <w:bookmarkEnd w:id="114"/>
      <w:bookmarkEnd w:id="115"/>
    </w:p>
    <w:p>
      <w:pPr>
        <w:pStyle w:val="41"/>
        <w:ind w:firstLine="560"/>
        <w:rPr>
          <w:color w:val="000000" w:themeColor="text1"/>
        </w:rPr>
      </w:pPr>
      <w:bookmarkStart w:id="116" w:name="_Toc57054443"/>
      <w:bookmarkStart w:id="117" w:name="_Toc57054331"/>
      <w:bookmarkStart w:id="118" w:name="_Toc57054231"/>
      <w:r>
        <w:rPr>
          <w:rFonts w:hint="eastAsia"/>
          <w:color w:val="000000" w:themeColor="text1"/>
        </w:rPr>
        <w:t>乙方应依法依规协助项目公司获取项目融资，确保资金链连续。在项目纳入财政部PPP管理库等项目融资合规性必要文件满足后180日（或甲方批准的时间）内，乙方应保证项目公司向甲方出具与金融机构签订的本项目的有效的融资合同。</w:t>
      </w:r>
      <w:bookmarkEnd w:id="116"/>
      <w:bookmarkEnd w:id="117"/>
      <w:bookmarkEnd w:id="118"/>
    </w:p>
    <w:p>
      <w:pPr>
        <w:pStyle w:val="41"/>
        <w:ind w:firstLine="560"/>
        <w:rPr>
          <w:color w:val="000000" w:themeColor="text1"/>
        </w:rPr>
      </w:pPr>
      <w:bookmarkStart w:id="119" w:name="_Toc57054232"/>
      <w:bookmarkStart w:id="120" w:name="_Toc57054332"/>
      <w:bookmarkStart w:id="121" w:name="_Toc57054444"/>
      <w:r>
        <w:rPr>
          <w:rFonts w:hint="eastAsia"/>
          <w:color w:val="000000" w:themeColor="text1"/>
        </w:rPr>
        <w:t>项目运营期内，若出现流动资金缺口，且项目公司无法自行筹集的，乙方应依法依规提供辅助措施，以保证项目的正常经营。</w:t>
      </w:r>
      <w:bookmarkEnd w:id="119"/>
      <w:bookmarkEnd w:id="120"/>
      <w:bookmarkEnd w:id="121"/>
    </w:p>
    <w:p>
      <w:pPr>
        <w:pStyle w:val="41"/>
        <w:ind w:firstLine="560"/>
        <w:rPr>
          <w:color w:val="000000" w:themeColor="text1"/>
        </w:rPr>
      </w:pPr>
      <w:bookmarkStart w:id="122" w:name="_Toc57054333"/>
      <w:bookmarkStart w:id="123" w:name="_Toc57054233"/>
      <w:bookmarkStart w:id="124" w:name="_Toc57054445"/>
      <w:r>
        <w:rPr>
          <w:rFonts w:hint="eastAsia"/>
          <w:color w:val="000000" w:themeColor="text1"/>
        </w:rPr>
        <w:t>乙方应自觉接受甲方的监督管理,并按要求提供相关的资料。必须严格执行国家规定的基本建设程序，必须严格执行公路建设行业的强制性标准、各类技术规范、标准及规程的要求，不得违反或者擅自简化基本建设程序。应当对本项目的工程质量和财产、人员安全负责。</w:t>
      </w:r>
      <w:bookmarkEnd w:id="122"/>
      <w:bookmarkEnd w:id="123"/>
      <w:bookmarkEnd w:id="124"/>
    </w:p>
    <w:p>
      <w:pPr>
        <w:pStyle w:val="41"/>
        <w:ind w:firstLine="560"/>
        <w:rPr>
          <w:color w:val="000000" w:themeColor="text1"/>
        </w:rPr>
      </w:pPr>
      <w:bookmarkStart w:id="125" w:name="_Toc57054234"/>
      <w:bookmarkStart w:id="126" w:name="_Toc57054334"/>
      <w:bookmarkStart w:id="127" w:name="_Toc57054446"/>
      <w:r>
        <w:rPr>
          <w:rFonts w:hint="eastAsia"/>
          <w:color w:val="000000" w:themeColor="text1"/>
        </w:rPr>
        <w:t>乙方承诺遵守本协议的规定，履行相关职责，保证项目公司按照PPP项目合同的规定完成项目建设及运营，合作期届满后无偿向甲方或其指定机构移交。</w:t>
      </w:r>
      <w:bookmarkEnd w:id="125"/>
      <w:bookmarkEnd w:id="126"/>
      <w:bookmarkEnd w:id="127"/>
      <w:bookmarkStart w:id="128" w:name="_Toc57054335"/>
      <w:bookmarkStart w:id="129" w:name="_Toc57054447"/>
      <w:bookmarkStart w:id="130" w:name="_Toc57054235"/>
    </w:p>
    <w:bookmarkEnd w:id="128"/>
    <w:bookmarkEnd w:id="129"/>
    <w:bookmarkEnd w:id="130"/>
    <w:p>
      <w:pPr>
        <w:pStyle w:val="35"/>
        <w:spacing w:before="312" w:after="312"/>
        <w:rPr>
          <w:color w:val="000000" w:themeColor="text1"/>
        </w:rPr>
      </w:pPr>
      <w:bookmarkStart w:id="131" w:name="_Toc58337321"/>
      <w:bookmarkStart w:id="132" w:name="_Toc57057044"/>
      <w:bookmarkStart w:id="133" w:name="_Toc54193908"/>
      <w:bookmarkStart w:id="134" w:name="_Toc57054448"/>
      <w:bookmarkStart w:id="135" w:name="_Toc57057136"/>
      <w:bookmarkStart w:id="136" w:name="_Toc57056999"/>
      <w:bookmarkStart w:id="137" w:name="_Toc57054336"/>
      <w:bookmarkStart w:id="138" w:name="_Toc57054236"/>
      <w:bookmarkStart w:id="139" w:name="_Toc54187439"/>
      <w:bookmarkStart w:id="140" w:name="_Toc57057460"/>
      <w:r>
        <w:rPr>
          <w:rFonts w:hint="eastAsia"/>
          <w:color w:val="000000" w:themeColor="text1"/>
        </w:rPr>
        <w:t>甲乙双方共同权利和义务</w:t>
      </w:r>
      <w:bookmarkEnd w:id="131"/>
      <w:bookmarkEnd w:id="132"/>
      <w:bookmarkEnd w:id="133"/>
      <w:bookmarkEnd w:id="134"/>
      <w:bookmarkEnd w:id="135"/>
      <w:bookmarkEnd w:id="136"/>
      <w:bookmarkEnd w:id="137"/>
      <w:bookmarkEnd w:id="138"/>
      <w:bookmarkEnd w:id="139"/>
      <w:bookmarkEnd w:id="140"/>
    </w:p>
    <w:p>
      <w:pPr>
        <w:pStyle w:val="41"/>
        <w:ind w:firstLine="560"/>
        <w:rPr>
          <w:color w:val="000000" w:themeColor="text1"/>
        </w:rPr>
      </w:pPr>
      <w:bookmarkStart w:id="141" w:name="_Toc57054449"/>
      <w:bookmarkStart w:id="142" w:name="_Toc57054237"/>
      <w:bookmarkStart w:id="143" w:name="_Toc57054337"/>
      <w:r>
        <w:rPr>
          <w:rFonts w:hint="eastAsia"/>
          <w:color w:val="000000" w:themeColor="text1"/>
        </w:rPr>
        <w:t>协议任何一方遇到不可抗力（指地震、台风、水灾、火灾、战争、社会动乱等不能预见、且对其发生和后果不能防止或不能避免的事件和情况，但社会资本方或承包人的人员骚乱或罢工除外），并因该不可抗力造成本协议不能履行或一方履行时必将遭受严重经济损失的，应在不可抗力发生后15日内书面通知对方。后续事宜由双方协商解决但协议另有约定的除外。</w:t>
      </w:r>
      <w:bookmarkEnd w:id="141"/>
      <w:bookmarkEnd w:id="142"/>
      <w:bookmarkEnd w:id="143"/>
    </w:p>
    <w:p>
      <w:pPr>
        <w:pStyle w:val="41"/>
        <w:ind w:firstLine="560"/>
        <w:rPr>
          <w:color w:val="000000" w:themeColor="text1"/>
        </w:rPr>
      </w:pPr>
      <w:bookmarkStart w:id="144" w:name="_Toc57054450"/>
      <w:bookmarkStart w:id="145" w:name="_Toc57054338"/>
      <w:bookmarkStart w:id="146" w:name="_Toc57054238"/>
      <w:r>
        <w:rPr>
          <w:rFonts w:hint="eastAsia"/>
          <w:color w:val="000000" w:themeColor="text1"/>
        </w:rPr>
        <w:t>未经对方事先书面同意，协议任何一方不得转让本协议项下的权利和义务，但本协议另有规定的除外。</w:t>
      </w:r>
      <w:bookmarkEnd w:id="144"/>
      <w:bookmarkEnd w:id="145"/>
      <w:bookmarkEnd w:id="146"/>
    </w:p>
    <w:p>
      <w:pPr>
        <w:pStyle w:val="41"/>
        <w:ind w:firstLine="560"/>
        <w:rPr>
          <w:color w:val="000000" w:themeColor="text1"/>
        </w:rPr>
      </w:pPr>
      <w:bookmarkStart w:id="147" w:name="_Toc57054339"/>
      <w:bookmarkStart w:id="148" w:name="_Toc57054239"/>
      <w:bookmarkStart w:id="149" w:name="_Toc57054451"/>
      <w:r>
        <w:rPr>
          <w:rFonts w:hint="eastAsia"/>
          <w:color w:val="000000" w:themeColor="text1"/>
        </w:rPr>
        <w:t>除非为履行本协议之需要，任何一方所获得的有关本协议的文件、资料未经协议各方书面同意，不得向第三方透露。</w:t>
      </w:r>
      <w:bookmarkEnd w:id="147"/>
      <w:bookmarkEnd w:id="148"/>
      <w:bookmarkEnd w:id="149"/>
    </w:p>
    <w:p>
      <w:pPr>
        <w:pStyle w:val="41"/>
        <w:ind w:firstLine="560"/>
        <w:rPr>
          <w:color w:val="000000" w:themeColor="text1"/>
        </w:rPr>
      </w:pPr>
      <w:bookmarkStart w:id="150" w:name="_Toc57054452"/>
      <w:bookmarkStart w:id="151" w:name="_Toc57054240"/>
      <w:bookmarkStart w:id="152" w:name="_Toc57054340"/>
      <w:r>
        <w:rPr>
          <w:rFonts w:hint="eastAsia"/>
          <w:color w:val="000000" w:themeColor="text1"/>
        </w:rPr>
        <w:t>项目拆迁工作由相关乡镇（街道）人民政府及相关部门负责，征地拆迁及前期工作费用由甲方自行负担，按规定编列入项目总投资</w:t>
      </w:r>
      <w:r>
        <w:rPr>
          <w:rFonts w:hint="eastAsia" w:cs="宋体"/>
          <w:color w:val="000000" w:themeColor="text1"/>
        </w:rPr>
        <w:t>。</w:t>
      </w:r>
      <w:bookmarkEnd w:id="150"/>
      <w:bookmarkEnd w:id="151"/>
      <w:bookmarkEnd w:id="152"/>
    </w:p>
    <w:p>
      <w:pPr>
        <w:pStyle w:val="35"/>
        <w:spacing w:before="312" w:after="312"/>
        <w:rPr>
          <w:color w:val="000000" w:themeColor="text1"/>
        </w:rPr>
      </w:pPr>
      <w:bookmarkStart w:id="153" w:name="_Toc57057045"/>
      <w:bookmarkStart w:id="154" w:name="_Toc54193909"/>
      <w:bookmarkStart w:id="155" w:name="_Toc57054241"/>
      <w:bookmarkStart w:id="156" w:name="_Toc57054341"/>
      <w:bookmarkStart w:id="157" w:name="_Toc57057461"/>
      <w:bookmarkStart w:id="158" w:name="_Toc54187440"/>
      <w:bookmarkStart w:id="159" w:name="_Toc57057137"/>
      <w:bookmarkStart w:id="160" w:name="_Toc57057000"/>
      <w:bookmarkStart w:id="161" w:name="_Toc58337322"/>
      <w:bookmarkStart w:id="162" w:name="_Toc57054453"/>
      <w:r>
        <w:rPr>
          <w:rFonts w:hint="eastAsia"/>
          <w:color w:val="000000" w:themeColor="text1"/>
        </w:rPr>
        <w:t>项目公司</w:t>
      </w:r>
      <w:bookmarkEnd w:id="153"/>
      <w:bookmarkEnd w:id="154"/>
      <w:bookmarkEnd w:id="155"/>
      <w:bookmarkEnd w:id="156"/>
      <w:bookmarkEnd w:id="157"/>
      <w:bookmarkEnd w:id="158"/>
      <w:bookmarkEnd w:id="159"/>
      <w:bookmarkEnd w:id="160"/>
      <w:bookmarkEnd w:id="161"/>
      <w:bookmarkEnd w:id="162"/>
    </w:p>
    <w:p>
      <w:pPr>
        <w:pStyle w:val="41"/>
        <w:ind w:firstLine="560"/>
        <w:rPr>
          <w:color w:val="000000" w:themeColor="text1"/>
        </w:rPr>
      </w:pPr>
      <w:bookmarkStart w:id="163" w:name="_Toc57054454"/>
      <w:bookmarkStart w:id="164" w:name="_Toc57054342"/>
      <w:bookmarkStart w:id="165" w:name="_Toc57054242"/>
      <w:r>
        <w:rPr>
          <w:rFonts w:hint="eastAsia"/>
          <w:color w:val="000000" w:themeColor="text1"/>
        </w:rPr>
        <w:t>乙方应在本协议签订生效之日起30日内，按照桂平西出口至龙门工业园区一级公路项目社会资本方招标文件的要求及乙方在投标文件中的承诺到市场监管部门办理项目公司注册登记手续，并取得市场监管部门颁发的营业执照。乙方在取得项目公司营业执照之日起5日内将项目公司营业执照、出资协议、公司章程等相关材料的复印件报甲方备查。</w:t>
      </w:r>
      <w:bookmarkEnd w:id="163"/>
      <w:bookmarkEnd w:id="164"/>
      <w:bookmarkEnd w:id="165"/>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（1）项目公司注册资本不低于</w:t>
      </w:r>
      <w:r>
        <w:rPr>
          <w:rFonts w:ascii="仿宋" w:hAnsi="仿宋" w:eastAsia="仿宋"/>
          <w:color w:val="000000" w:themeColor="text1"/>
          <w:sz w:val="28"/>
          <w:szCs w:val="28"/>
        </w:rPr>
        <w:t>3,565.44</w:t>
      </w:r>
      <w:r>
        <w:rPr>
          <w:rFonts w:hint="eastAsia" w:ascii="仿宋" w:hAnsi="仿宋" w:eastAsia="仿宋"/>
          <w:color w:val="000000" w:themeColor="text1"/>
          <w:sz w:val="28"/>
          <w:szCs w:val="28"/>
        </w:rPr>
        <w:t>万元，</w:t>
      </w:r>
      <w:r>
        <w:rPr>
          <w:rFonts w:ascii="仿宋" w:hAnsi="仿宋" w:eastAsia="仿宋"/>
          <w:color w:val="000000" w:themeColor="text1"/>
          <w:sz w:val="28"/>
          <w:szCs w:val="28"/>
        </w:rPr>
        <w:t>根据建设进度分期到位</w:t>
      </w:r>
      <w:r>
        <w:rPr>
          <w:rFonts w:hint="eastAsia" w:ascii="仿宋" w:hAnsi="仿宋" w:eastAsia="仿宋"/>
          <w:color w:val="000000" w:themeColor="text1"/>
          <w:sz w:val="28"/>
          <w:szCs w:val="28"/>
        </w:rPr>
        <w:t>。项目公司注册资本的增加、减少、股东变更、股权转让,应按国家有关规定执行并须经甲方批准。</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（2）项目公司机构设置和技术、管理、财务人员配置,必须满足乙方投标时所提交的项目实施计划中所承诺的条件,同时应满足项目建设管理、经营管理的需要,符合国家规定的公路建设市场准入条件。</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（3）项目公司应为具有独立法人资格的有限责任公司;项目公司以其全部资产对外承担债务,项目公司股东以其出资额为限对项目公司债务承担责任。</w:t>
      </w:r>
    </w:p>
    <w:p>
      <w:pPr>
        <w:pStyle w:val="41"/>
        <w:ind w:firstLine="560"/>
        <w:rPr>
          <w:color w:val="000000" w:themeColor="text1"/>
        </w:rPr>
      </w:pPr>
      <w:bookmarkStart w:id="166" w:name="_Toc57054243"/>
      <w:bookmarkStart w:id="167" w:name="_Toc57054455"/>
      <w:bookmarkStart w:id="168" w:name="_Toc57054343"/>
      <w:r>
        <w:rPr>
          <w:rFonts w:hint="eastAsia"/>
          <w:color w:val="000000" w:themeColor="text1"/>
        </w:rPr>
        <w:t>乙方以联合体形式共同出资、</w:t>
      </w:r>
      <w:r>
        <w:rPr>
          <w:color w:val="000000" w:themeColor="text1"/>
        </w:rPr>
        <w:t>施工图</w:t>
      </w:r>
      <w:r>
        <w:rPr>
          <w:rFonts w:hint="eastAsia"/>
          <w:color w:val="000000" w:themeColor="text1"/>
        </w:rPr>
        <w:t>勘察</w:t>
      </w:r>
      <w:r>
        <w:rPr>
          <w:color w:val="000000" w:themeColor="text1"/>
        </w:rPr>
        <w:t>设计、</w:t>
      </w:r>
      <w:r>
        <w:rPr>
          <w:rFonts w:hint="eastAsia"/>
          <w:color w:val="000000" w:themeColor="text1"/>
        </w:rPr>
        <w:t>建设、运营本项目。其中联合体牵头人一持有项目公司股权比例的</w:t>
      </w:r>
      <w:r>
        <w:rPr>
          <w:rFonts w:hint="eastAsia"/>
          <w:color w:val="000000" w:themeColor="text1"/>
          <w:u w:val="single"/>
        </w:rPr>
        <w:t xml:space="preserve"> </w:t>
      </w:r>
      <w:r>
        <w:rPr>
          <w:color w:val="000000" w:themeColor="text1"/>
          <w:u w:val="single"/>
        </w:rPr>
        <w:t xml:space="preserve">  </w:t>
      </w:r>
      <w:r>
        <w:rPr>
          <w:rFonts w:hint="eastAsia"/>
          <w:color w:val="000000" w:themeColor="text1"/>
        </w:rPr>
        <w:t>%；成员一持有项目公司股权比例的</w:t>
      </w:r>
      <w:r>
        <w:rPr>
          <w:rFonts w:hint="eastAsia"/>
          <w:color w:val="000000" w:themeColor="text1"/>
          <w:u w:val="single"/>
        </w:rPr>
        <w:t xml:space="preserve"> </w:t>
      </w:r>
      <w:r>
        <w:rPr>
          <w:color w:val="000000" w:themeColor="text1"/>
          <w:u w:val="single"/>
        </w:rPr>
        <w:t xml:space="preserve">  </w:t>
      </w:r>
      <w:r>
        <w:rPr>
          <w:rFonts w:hint="eastAsia"/>
          <w:color w:val="000000" w:themeColor="text1"/>
        </w:rPr>
        <w:t xml:space="preserve"> %；成员……持有项目公司股权比例的</w:t>
      </w:r>
      <w:r>
        <w:rPr>
          <w:rFonts w:hint="eastAsia"/>
          <w:color w:val="000000" w:themeColor="text1"/>
          <w:u w:val="single"/>
        </w:rPr>
        <w:t xml:space="preserve"> </w:t>
      </w:r>
      <w:r>
        <w:rPr>
          <w:color w:val="000000" w:themeColor="text1"/>
          <w:u w:val="single"/>
        </w:rPr>
        <w:t xml:space="preserve">  </w:t>
      </w:r>
      <w:r>
        <w:rPr>
          <w:rFonts w:hint="eastAsia"/>
          <w:color w:val="000000" w:themeColor="text1"/>
        </w:rPr>
        <w:t xml:space="preserve"> %；）。项目的项目资本金扣除注册资本后，应以资本公积方式进入项目公司，不得以其他方式进入。</w:t>
      </w:r>
      <w:bookmarkEnd w:id="166"/>
      <w:bookmarkEnd w:id="167"/>
      <w:bookmarkEnd w:id="168"/>
    </w:p>
    <w:p>
      <w:pPr>
        <w:pStyle w:val="41"/>
        <w:ind w:firstLine="560"/>
        <w:rPr>
          <w:color w:val="000000" w:themeColor="text1"/>
        </w:rPr>
      </w:pPr>
      <w:bookmarkStart w:id="169" w:name="_Ref57286648"/>
      <w:bookmarkStart w:id="170" w:name="_Toc57054244"/>
      <w:bookmarkStart w:id="171" w:name="_Toc57054456"/>
      <w:bookmarkStart w:id="172" w:name="_Toc57054344"/>
      <w:r>
        <w:rPr>
          <w:rFonts w:hint="eastAsia"/>
          <w:color w:val="000000" w:themeColor="text1"/>
        </w:rPr>
        <w:t>项目建设和运营期间，未经甲方书面同意，乙方不得实施变更或转让、质押项目公司股权等变更项目公司股权结构的行为。</w:t>
      </w:r>
      <w:bookmarkEnd w:id="169"/>
      <w:bookmarkEnd w:id="170"/>
      <w:bookmarkEnd w:id="171"/>
      <w:bookmarkEnd w:id="172"/>
    </w:p>
    <w:p>
      <w:pPr>
        <w:pStyle w:val="41"/>
        <w:ind w:firstLine="560"/>
        <w:rPr>
          <w:color w:val="000000" w:themeColor="text1"/>
        </w:rPr>
      </w:pPr>
      <w:bookmarkStart w:id="173" w:name="_Toc57054245"/>
      <w:bookmarkStart w:id="174" w:name="_Toc57054457"/>
      <w:bookmarkStart w:id="175" w:name="_Toc57054345"/>
      <w:r>
        <w:rPr>
          <w:rFonts w:hint="eastAsia"/>
          <w:color w:val="000000" w:themeColor="text1"/>
        </w:rPr>
        <w:t>项目公司获得市场监管部门颁发的营业执照之日起，除依法律、法规的规定或本协议的约定专属于乙方的权利、义务外，乙方在本协议项下的其他所有权利、义务，均转移给项目公司承继。</w:t>
      </w:r>
      <w:bookmarkEnd w:id="173"/>
      <w:bookmarkEnd w:id="174"/>
      <w:bookmarkEnd w:id="175"/>
    </w:p>
    <w:p>
      <w:pPr>
        <w:pStyle w:val="35"/>
        <w:spacing w:before="312" w:after="312"/>
        <w:rPr>
          <w:color w:val="000000" w:themeColor="text1"/>
        </w:rPr>
      </w:pPr>
      <w:bookmarkStart w:id="176" w:name="_Toc57057046"/>
      <w:bookmarkStart w:id="177" w:name="_Toc57057138"/>
      <w:bookmarkStart w:id="178" w:name="_Toc57057001"/>
      <w:bookmarkStart w:id="179" w:name="_Toc57057462"/>
      <w:bookmarkStart w:id="180" w:name="_Toc58337323"/>
      <w:bookmarkStart w:id="181" w:name="_Toc57054346"/>
      <w:bookmarkStart w:id="182" w:name="_Toc57054458"/>
      <w:bookmarkStart w:id="183" w:name="_Toc54193910"/>
      <w:bookmarkStart w:id="184" w:name="_Toc57054246"/>
      <w:bookmarkStart w:id="185" w:name="_Toc54187441"/>
      <w:r>
        <w:rPr>
          <w:rFonts w:hint="eastAsia"/>
          <w:color w:val="000000" w:themeColor="text1"/>
        </w:rPr>
        <w:t>项目前期工作</w:t>
      </w:r>
      <w:bookmarkEnd w:id="176"/>
      <w:bookmarkEnd w:id="177"/>
      <w:bookmarkEnd w:id="178"/>
      <w:bookmarkEnd w:id="179"/>
      <w:bookmarkEnd w:id="180"/>
      <w:bookmarkEnd w:id="181"/>
      <w:bookmarkEnd w:id="182"/>
      <w:bookmarkEnd w:id="183"/>
      <w:bookmarkEnd w:id="184"/>
      <w:bookmarkEnd w:id="185"/>
    </w:p>
    <w:p>
      <w:pPr>
        <w:pStyle w:val="41"/>
        <w:ind w:firstLine="560"/>
        <w:rPr>
          <w:color w:val="000000" w:themeColor="text1"/>
        </w:rPr>
      </w:pPr>
      <w:bookmarkStart w:id="186" w:name="_Toc57054459"/>
      <w:bookmarkStart w:id="187" w:name="_Toc57054247"/>
      <w:bookmarkStart w:id="188" w:name="_Toc57054347"/>
      <w:r>
        <w:rPr>
          <w:rFonts w:hint="eastAsia"/>
          <w:color w:val="000000" w:themeColor="text1"/>
        </w:rPr>
        <w:t>按桂平市人民政府批准的前期工作代办制方案的要求，甲方已完成的工程可行性研究报告、环境影响评价报告、水土保持方案报告、初步勘察设计等工作成果，在本协议生效后15日内,甲方将已完成的资料移交给乙方，双方做好移交记录。移交后，甲方已与前期工作单位签订的尚未执行完毕的相关合同，可由甲方将该合同中的权利、义务转让给乙方。</w:t>
      </w:r>
      <w:bookmarkEnd w:id="186"/>
      <w:bookmarkEnd w:id="187"/>
      <w:bookmarkEnd w:id="188"/>
    </w:p>
    <w:p>
      <w:pPr>
        <w:pStyle w:val="41"/>
        <w:ind w:firstLine="560"/>
        <w:rPr>
          <w:color w:val="000000" w:themeColor="text1"/>
        </w:rPr>
      </w:pPr>
      <w:bookmarkStart w:id="189" w:name="_Toc57054348"/>
      <w:bookmarkStart w:id="190" w:name="_Toc57054460"/>
      <w:bookmarkStart w:id="191" w:name="_Toc57054248"/>
      <w:r>
        <w:rPr>
          <w:rFonts w:hint="eastAsia"/>
          <w:color w:val="000000" w:themeColor="text1"/>
        </w:rPr>
        <w:t>甲方将前期工作成果移交给乙方后，乙方应积极开展项目前期工作并承担相关费用，争取项目各项前期工作尽快得到国家或自治区主管部门的批复。甲方有义务继续督促、协调设计单位尽快完成相关工作。</w:t>
      </w:r>
      <w:bookmarkEnd w:id="189"/>
      <w:bookmarkEnd w:id="190"/>
      <w:bookmarkEnd w:id="191"/>
    </w:p>
    <w:p>
      <w:pPr>
        <w:pStyle w:val="41"/>
        <w:ind w:firstLine="560"/>
        <w:rPr>
          <w:b/>
          <w:bCs/>
          <w:color w:val="000000" w:themeColor="text1"/>
        </w:rPr>
      </w:pPr>
      <w:bookmarkStart w:id="192" w:name="_Toc57054249"/>
      <w:bookmarkStart w:id="193" w:name="_Toc57054349"/>
      <w:bookmarkStart w:id="194" w:name="_Ref57286855"/>
      <w:bookmarkStart w:id="195" w:name="_Toc57054461"/>
      <w:r>
        <w:rPr>
          <w:rFonts w:hint="eastAsia"/>
          <w:color w:val="000000" w:themeColor="text1"/>
        </w:rPr>
        <w:t>甲方代办前期工作所发生的各项费用：包括项目建议书编制、工程可行性研究报告编制、初步勘察设计、设计文件咨询、项目环境影响评价报告编制、水土保持报告编制、地质灾害危险性评估报告编制、压覆矿产资源评估报告编制、用地预审报告编制、项目选址意见、防洪、行洪、社会稳定风险分析报告、社会稳定风险评估报告、安全预评价、安全条件论证、安全性评价（初步设计）、文物调查及勘探；占用林地、土地复垦、地震安全性评估等专业报告的编制、评审、报批费用、PPP项目咨询服务费（含招标代理）等为涉及本项目所产生的其他所有费用，由甲方承担，不计入项目公司投资范围。以实际发生（有合同或支付凭证和合法票据等）的金额为准，按规定计入项目工程建设费用。</w:t>
      </w:r>
      <w:bookmarkEnd w:id="192"/>
      <w:bookmarkEnd w:id="193"/>
      <w:bookmarkEnd w:id="194"/>
      <w:bookmarkEnd w:id="195"/>
    </w:p>
    <w:p>
      <w:pPr>
        <w:pStyle w:val="35"/>
        <w:spacing w:before="312" w:after="312"/>
        <w:rPr>
          <w:color w:val="000000" w:themeColor="text1"/>
        </w:rPr>
      </w:pPr>
      <w:bookmarkStart w:id="196" w:name="_Toc54187442"/>
      <w:bookmarkStart w:id="197" w:name="_Toc57057047"/>
      <w:bookmarkStart w:id="198" w:name="_Toc57057139"/>
      <w:bookmarkStart w:id="199" w:name="_Toc58337324"/>
      <w:bookmarkStart w:id="200" w:name="_Toc57054250"/>
      <w:bookmarkStart w:id="201" w:name="_Toc57054350"/>
      <w:bookmarkStart w:id="202" w:name="_Toc57054462"/>
      <w:bookmarkStart w:id="203" w:name="_Toc54193911"/>
      <w:bookmarkStart w:id="204" w:name="_Toc57057002"/>
      <w:bookmarkStart w:id="205" w:name="_Toc57057463"/>
      <w:r>
        <w:rPr>
          <w:rFonts w:hint="eastAsia"/>
          <w:color w:val="000000" w:themeColor="text1"/>
        </w:rPr>
        <w:t>项目建设资金</w:t>
      </w:r>
      <w:bookmarkEnd w:id="196"/>
      <w:bookmarkEnd w:id="197"/>
      <w:bookmarkEnd w:id="198"/>
      <w:bookmarkEnd w:id="199"/>
      <w:bookmarkEnd w:id="200"/>
      <w:bookmarkEnd w:id="201"/>
      <w:bookmarkEnd w:id="202"/>
      <w:bookmarkEnd w:id="203"/>
      <w:bookmarkEnd w:id="204"/>
      <w:bookmarkEnd w:id="205"/>
    </w:p>
    <w:p>
      <w:pPr>
        <w:pStyle w:val="41"/>
        <w:ind w:firstLine="560"/>
        <w:rPr>
          <w:color w:val="000000" w:themeColor="text1"/>
        </w:rPr>
      </w:pPr>
      <w:bookmarkStart w:id="206" w:name="_Toc57054351"/>
      <w:bookmarkStart w:id="207" w:name="_Toc57054251"/>
      <w:bookmarkStart w:id="208" w:name="_Toc57054463"/>
      <w:r>
        <w:rPr>
          <w:rFonts w:hint="eastAsia"/>
          <w:color w:val="000000" w:themeColor="text1"/>
        </w:rPr>
        <w:t>乙方负责筹措项目建设所需的土地征拆费用及项目前期工作费用以外的全部资金，项目资本金总额不低于项目总投资的20%（项目投资总额以贵港市相关政府部门批复的工程可行性研究报告估算为准），并满足金融机构融资需求。</w:t>
      </w:r>
      <w:bookmarkEnd w:id="206"/>
      <w:bookmarkEnd w:id="207"/>
      <w:bookmarkEnd w:id="208"/>
    </w:p>
    <w:p>
      <w:pPr>
        <w:pStyle w:val="41"/>
        <w:rPr>
          <w:color w:val="000000" w:themeColor="text1"/>
        </w:rPr>
      </w:pPr>
      <w:bookmarkStart w:id="209" w:name="_Toc57054352"/>
      <w:bookmarkStart w:id="210" w:name="_Toc57054464"/>
      <w:bookmarkStart w:id="211" w:name="_Toc57054252"/>
      <w:r>
        <w:rPr>
          <w:rFonts w:hint="eastAsia"/>
          <w:color w:val="000000" w:themeColor="text1"/>
        </w:rPr>
        <w:t>项目资本金</w:t>
      </w:r>
      <w:bookmarkEnd w:id="209"/>
      <w:bookmarkEnd w:id="210"/>
      <w:bookmarkEnd w:id="211"/>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首期项目资本金</w:t>
      </w:r>
      <w:r>
        <w:rPr>
          <w:rFonts w:ascii="仿宋" w:hAnsi="仿宋" w:eastAsia="仿宋"/>
          <w:color w:val="000000" w:themeColor="text1"/>
          <w:sz w:val="28"/>
          <w:szCs w:val="28"/>
        </w:rPr>
        <w:t>10</w:t>
      </w:r>
      <w:r>
        <w:rPr>
          <w:rFonts w:hint="eastAsia" w:ascii="仿宋" w:hAnsi="仿宋" w:eastAsia="仿宋"/>
          <w:color w:val="000000" w:themeColor="text1"/>
          <w:sz w:val="28"/>
          <w:szCs w:val="28"/>
        </w:rPr>
        <w:t>00万元人民币，在项目公司注册完成后2个月内支付到位，</w:t>
      </w:r>
      <w:r>
        <w:rPr>
          <w:rFonts w:ascii="仿宋" w:hAnsi="仿宋" w:eastAsia="仿宋"/>
          <w:color w:val="000000" w:themeColor="text1"/>
          <w:sz w:val="28"/>
          <w:szCs w:val="28"/>
        </w:rPr>
        <w:t>其余项目资本金按</w:t>
      </w:r>
      <w:r>
        <w:rPr>
          <w:rFonts w:hint="eastAsia" w:ascii="仿宋" w:hAnsi="仿宋" w:eastAsia="仿宋"/>
          <w:color w:val="000000" w:themeColor="text1"/>
          <w:sz w:val="28"/>
          <w:szCs w:val="28"/>
        </w:rPr>
        <w:t>项</w:t>
      </w:r>
      <w:r>
        <w:rPr>
          <w:rFonts w:ascii="仿宋" w:hAnsi="仿宋" w:eastAsia="仿宋"/>
          <w:color w:val="000000" w:themeColor="text1"/>
          <w:sz w:val="28"/>
          <w:szCs w:val="28"/>
        </w:rPr>
        <w:t>目建设进度分期到位</w:t>
      </w:r>
      <w:r>
        <w:rPr>
          <w:rFonts w:hint="eastAsia" w:ascii="仿宋" w:hAnsi="仿宋" w:eastAsia="仿宋"/>
          <w:color w:val="000000" w:themeColor="text1"/>
          <w:sz w:val="28"/>
          <w:szCs w:val="28"/>
        </w:rPr>
        <w:t>。若乙方为联合体，联合体各方不能及时足额筹集资本金，牵头人应代为履行出资义务确保资本金及时到位，乙方承诺出资的项目本金必须全部为其自有资金。</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项目资本金以外的其他建设资金可由项目公司采取经营权质押等合法途径进行筹措和投入。如果项目公司无法全额筹集本项目其他建设资金，乙方负责按本合同约定为项目公司筹措建设资金，直至项目全部建设资金按要求筹措到位。</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乙方不得以任何方式通过项目公司筹措应由乙方出资的项目资本金，也不得要求项目公司承担任何应由乙方承担的债务或费用。</w:t>
      </w:r>
    </w:p>
    <w:p>
      <w:pPr>
        <w:pStyle w:val="35"/>
        <w:spacing w:before="312" w:after="312"/>
        <w:rPr>
          <w:color w:val="000000" w:themeColor="text1"/>
        </w:rPr>
      </w:pPr>
      <w:bookmarkStart w:id="212" w:name="_Toc57054353"/>
      <w:bookmarkStart w:id="213" w:name="_Toc58337325"/>
      <w:bookmarkStart w:id="214" w:name="_Toc54187443"/>
      <w:bookmarkStart w:id="215" w:name="_Toc54193912"/>
      <w:bookmarkStart w:id="216" w:name="_Toc57057464"/>
      <w:bookmarkStart w:id="217" w:name="_Toc57057048"/>
      <w:bookmarkStart w:id="218" w:name="_Toc57057003"/>
      <w:bookmarkStart w:id="219" w:name="_Toc57054253"/>
      <w:bookmarkStart w:id="220" w:name="_Toc57054465"/>
      <w:bookmarkStart w:id="221" w:name="_Toc57057140"/>
      <w:r>
        <w:rPr>
          <w:rFonts w:hint="eastAsia"/>
          <w:color w:val="000000" w:themeColor="text1"/>
        </w:rPr>
        <w:t>项目核准</w:t>
      </w:r>
      <w:bookmarkEnd w:id="212"/>
      <w:bookmarkEnd w:id="213"/>
      <w:bookmarkEnd w:id="214"/>
      <w:bookmarkEnd w:id="215"/>
      <w:bookmarkEnd w:id="216"/>
      <w:bookmarkEnd w:id="217"/>
      <w:bookmarkEnd w:id="218"/>
      <w:bookmarkEnd w:id="219"/>
      <w:bookmarkEnd w:id="220"/>
      <w:bookmarkEnd w:id="221"/>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甲方协助乙方根据国家和广西壮族自治区的规定办理本项目核准手续。</w:t>
      </w:r>
      <w:r>
        <w:rPr>
          <w:rFonts w:ascii="仿宋" w:hAnsi="仿宋" w:eastAsia="仿宋"/>
          <w:color w:val="000000" w:themeColor="text1"/>
          <w:sz w:val="28"/>
          <w:szCs w:val="28"/>
        </w:rPr>
        <w:t>若项目未被核准，则双方另行协商。</w:t>
      </w:r>
    </w:p>
    <w:p>
      <w:pPr>
        <w:pStyle w:val="35"/>
        <w:spacing w:before="312" w:after="312"/>
        <w:rPr>
          <w:color w:val="000000" w:themeColor="text1"/>
        </w:rPr>
      </w:pPr>
      <w:bookmarkStart w:id="222" w:name="_Toc54187444"/>
      <w:bookmarkStart w:id="223" w:name="_Toc57054254"/>
      <w:bookmarkStart w:id="224" w:name="_Toc57057004"/>
      <w:bookmarkStart w:id="225" w:name="_Toc57054466"/>
      <w:bookmarkStart w:id="226" w:name="_Toc57054354"/>
      <w:bookmarkStart w:id="227" w:name="_Toc58337326"/>
      <w:bookmarkStart w:id="228" w:name="_Toc57057049"/>
      <w:bookmarkStart w:id="229" w:name="_Toc57057465"/>
      <w:bookmarkStart w:id="230" w:name="_Toc54193913"/>
      <w:bookmarkStart w:id="231" w:name="_Toc57057141"/>
      <w:r>
        <w:rPr>
          <w:rFonts w:hint="eastAsia"/>
          <w:color w:val="000000" w:themeColor="text1"/>
        </w:rPr>
        <w:t>P</w:t>
      </w:r>
      <w:r>
        <w:rPr>
          <w:color w:val="000000" w:themeColor="text1"/>
        </w:rPr>
        <w:t>PP</w:t>
      </w:r>
      <w:r>
        <w:rPr>
          <w:rFonts w:hint="eastAsia"/>
          <w:color w:val="000000" w:themeColor="text1"/>
        </w:rPr>
        <w:t>项目合同</w:t>
      </w:r>
      <w:bookmarkEnd w:id="222"/>
      <w:bookmarkEnd w:id="223"/>
      <w:bookmarkEnd w:id="224"/>
      <w:bookmarkEnd w:id="225"/>
      <w:bookmarkEnd w:id="226"/>
      <w:bookmarkEnd w:id="227"/>
      <w:bookmarkEnd w:id="228"/>
      <w:bookmarkEnd w:id="229"/>
      <w:bookmarkEnd w:id="230"/>
      <w:bookmarkEnd w:id="231"/>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乙方同意接受桂平西出口至龙门工业园区一级公路项目社会资本招标文件所附的PPP项目合同全部内容，该PPP项目合同亦是本协议的附件。乙方保证项目公司成立后30日内，由项目公司与甲方签订该项目PPP项目合同。</w:t>
      </w:r>
    </w:p>
    <w:p>
      <w:pPr>
        <w:pStyle w:val="35"/>
        <w:spacing w:before="312" w:after="312"/>
        <w:rPr>
          <w:color w:val="000000" w:themeColor="text1"/>
        </w:rPr>
      </w:pPr>
      <w:bookmarkStart w:id="232" w:name="_Toc54187445"/>
      <w:bookmarkStart w:id="233" w:name="_Toc57057466"/>
      <w:bookmarkStart w:id="234" w:name="_Toc58337327"/>
      <w:bookmarkStart w:id="235" w:name="_Toc57057142"/>
      <w:bookmarkStart w:id="236" w:name="_Toc57057050"/>
      <w:bookmarkStart w:id="237" w:name="_Toc57054467"/>
      <w:bookmarkStart w:id="238" w:name="_Toc57057005"/>
      <w:bookmarkStart w:id="239" w:name="_Toc57054355"/>
      <w:bookmarkStart w:id="240" w:name="_Toc57054255"/>
      <w:bookmarkStart w:id="241" w:name="_Toc54193914"/>
      <w:r>
        <w:rPr>
          <w:rFonts w:hint="eastAsia"/>
          <w:color w:val="000000" w:themeColor="text1"/>
        </w:rPr>
        <w:t>项目质量目标、运营管理目标、安全目标、环保目标和服务质量目标</w:t>
      </w:r>
      <w:bookmarkEnd w:id="232"/>
      <w:bookmarkEnd w:id="233"/>
      <w:bookmarkEnd w:id="234"/>
      <w:bookmarkEnd w:id="235"/>
      <w:bookmarkEnd w:id="236"/>
      <w:bookmarkEnd w:id="237"/>
      <w:bookmarkEnd w:id="238"/>
      <w:bookmarkEnd w:id="239"/>
      <w:bookmarkEnd w:id="240"/>
      <w:bookmarkEnd w:id="241"/>
    </w:p>
    <w:p>
      <w:pPr>
        <w:pStyle w:val="41"/>
        <w:ind w:firstLine="560"/>
        <w:rPr>
          <w:color w:val="000000" w:themeColor="text1"/>
        </w:rPr>
      </w:pPr>
      <w:bookmarkStart w:id="242" w:name="_Toc57054256"/>
      <w:bookmarkStart w:id="243" w:name="_Toc57054356"/>
      <w:bookmarkStart w:id="244" w:name="_Toc57054468"/>
      <w:r>
        <w:rPr>
          <w:rFonts w:hint="eastAsia"/>
          <w:color w:val="000000" w:themeColor="text1"/>
        </w:rPr>
        <w:t>交工验收的工程质量目标：必须依照中华人民共和国交通部最新发布的《公路工程质量检验评定标准》进行工程质量评定，达到合格标准。</w:t>
      </w:r>
      <w:bookmarkEnd w:id="242"/>
      <w:bookmarkEnd w:id="243"/>
      <w:bookmarkEnd w:id="244"/>
    </w:p>
    <w:p>
      <w:pPr>
        <w:pStyle w:val="41"/>
        <w:ind w:firstLine="560"/>
        <w:rPr>
          <w:color w:val="000000" w:themeColor="text1"/>
        </w:rPr>
      </w:pPr>
      <w:bookmarkStart w:id="245" w:name="_Toc57054357"/>
      <w:bookmarkStart w:id="246" w:name="_Toc57054469"/>
      <w:bookmarkStart w:id="247" w:name="_Toc57054257"/>
      <w:r>
        <w:rPr>
          <w:rFonts w:hint="eastAsia"/>
          <w:color w:val="000000" w:themeColor="text1"/>
        </w:rPr>
        <w:t>竣工验收的工程质量目标:必须依照中华人民共和国交通部最新发布的《公路工程质量检验评定标准》进行工程质量评定，达到合格标准。</w:t>
      </w:r>
      <w:bookmarkEnd w:id="245"/>
      <w:bookmarkEnd w:id="246"/>
      <w:bookmarkEnd w:id="247"/>
    </w:p>
    <w:p>
      <w:pPr>
        <w:pStyle w:val="41"/>
        <w:ind w:firstLine="560"/>
        <w:rPr>
          <w:color w:val="000000" w:themeColor="text1"/>
        </w:rPr>
      </w:pPr>
      <w:bookmarkStart w:id="248" w:name="_Toc57054258"/>
      <w:bookmarkStart w:id="249" w:name="_Toc57054470"/>
      <w:bookmarkStart w:id="250" w:name="_Toc57054358"/>
      <w:r>
        <w:rPr>
          <w:rFonts w:hint="eastAsia"/>
          <w:color w:val="000000" w:themeColor="text1"/>
        </w:rPr>
        <w:t>运营养护目标:按《公路技术状况评定标准》（JTG5210-2018）或国家交通运输主管部门公布的新标准，公路技术状况指数（MQI）保持不低于90分。</w:t>
      </w:r>
      <w:bookmarkEnd w:id="248"/>
      <w:bookmarkEnd w:id="249"/>
      <w:bookmarkEnd w:id="250"/>
    </w:p>
    <w:p>
      <w:pPr>
        <w:pStyle w:val="41"/>
        <w:ind w:firstLine="560"/>
        <w:rPr>
          <w:color w:val="000000" w:themeColor="text1"/>
        </w:rPr>
      </w:pPr>
      <w:bookmarkStart w:id="251" w:name="_Toc57054259"/>
      <w:bookmarkStart w:id="252" w:name="_Toc57054359"/>
      <w:bookmarkStart w:id="253" w:name="_Toc57054471"/>
      <w:r>
        <w:rPr>
          <w:rFonts w:hint="eastAsia"/>
          <w:color w:val="000000" w:themeColor="text1"/>
        </w:rPr>
        <w:t>服务质量目标:满足国家、广西壮族自治区行业管理部门对一级公路运营管理的服务质量要求，并达到《公路工程技术标准》(JTG B01—2014)规定的三级服务水平。</w:t>
      </w:r>
      <w:bookmarkEnd w:id="251"/>
      <w:bookmarkEnd w:id="252"/>
      <w:bookmarkEnd w:id="253"/>
    </w:p>
    <w:p>
      <w:pPr>
        <w:pStyle w:val="41"/>
        <w:ind w:firstLine="560"/>
        <w:rPr>
          <w:color w:val="000000" w:themeColor="text1"/>
        </w:rPr>
      </w:pPr>
      <w:bookmarkStart w:id="254" w:name="_Toc57054260"/>
      <w:bookmarkStart w:id="255" w:name="_Toc57054360"/>
      <w:bookmarkStart w:id="256" w:name="_Toc57054472"/>
      <w:r>
        <w:rPr>
          <w:rFonts w:hint="eastAsia" w:cs="仿宋"/>
          <w:color w:val="000000" w:themeColor="text1"/>
        </w:rPr>
        <w:t>安全目标：</w:t>
      </w:r>
      <w:r>
        <w:rPr>
          <w:rFonts w:hint="eastAsia"/>
          <w:color w:val="000000" w:themeColor="text1"/>
        </w:rPr>
        <w:t>杜绝重大及以上安全生产责任事故。</w:t>
      </w:r>
      <w:bookmarkEnd w:id="254"/>
      <w:bookmarkEnd w:id="255"/>
      <w:bookmarkEnd w:id="256"/>
    </w:p>
    <w:p>
      <w:pPr>
        <w:pStyle w:val="41"/>
        <w:ind w:firstLine="560"/>
        <w:rPr>
          <w:color w:val="000000" w:themeColor="text1"/>
        </w:rPr>
      </w:pPr>
      <w:bookmarkStart w:id="257" w:name="_Toc57054361"/>
      <w:bookmarkStart w:id="258" w:name="_Toc57054261"/>
      <w:bookmarkStart w:id="259" w:name="_Toc57054473"/>
      <w:r>
        <w:rPr>
          <w:rFonts w:hint="eastAsia"/>
          <w:color w:val="000000" w:themeColor="text1"/>
        </w:rPr>
        <w:t>环保目标</w:t>
      </w:r>
      <w:r>
        <w:rPr>
          <w:rFonts w:hint="eastAsia" w:cs="仿宋"/>
          <w:color w:val="000000" w:themeColor="text1"/>
        </w:rPr>
        <w:t>：</w:t>
      </w:r>
      <w:r>
        <w:rPr>
          <w:rFonts w:hint="eastAsia"/>
          <w:color w:val="000000" w:themeColor="text1"/>
        </w:rPr>
        <w:t>控制噪声、粉尘、危险废弃物、有毒有害气体、污水污染，排放达标；无严重扰民；无环保事件发生；通过环评验收；满足环保相关要求。</w:t>
      </w:r>
      <w:bookmarkEnd w:id="257"/>
      <w:bookmarkEnd w:id="258"/>
      <w:bookmarkEnd w:id="259"/>
    </w:p>
    <w:p>
      <w:pPr>
        <w:pStyle w:val="41"/>
        <w:ind w:firstLine="560"/>
        <w:rPr>
          <w:color w:val="000000" w:themeColor="text1"/>
        </w:rPr>
      </w:pPr>
      <w:bookmarkStart w:id="260" w:name="_Toc57054262"/>
      <w:bookmarkStart w:id="261" w:name="_Toc57054474"/>
      <w:bookmarkStart w:id="262" w:name="_Toc57054362"/>
      <w:r>
        <w:rPr>
          <w:rFonts w:hint="eastAsia"/>
          <w:color w:val="000000" w:themeColor="text1"/>
        </w:rPr>
        <w:t>养护工程质量目标：满足现行规范要求。</w:t>
      </w:r>
      <w:bookmarkEnd w:id="260"/>
      <w:bookmarkEnd w:id="261"/>
      <w:bookmarkEnd w:id="262"/>
    </w:p>
    <w:p>
      <w:pPr>
        <w:pStyle w:val="41"/>
        <w:ind w:firstLine="560"/>
        <w:rPr>
          <w:color w:val="000000" w:themeColor="text1"/>
        </w:rPr>
      </w:pPr>
      <w:bookmarkStart w:id="263" w:name="_Toc57054475"/>
      <w:bookmarkStart w:id="264" w:name="_Toc57054363"/>
      <w:bookmarkStart w:id="265" w:name="_Toc57054263"/>
      <w:r>
        <w:rPr>
          <w:rFonts w:hint="eastAsia"/>
          <w:color w:val="000000" w:themeColor="text1"/>
        </w:rPr>
        <w:t>若养护未达到9.3及9.4所约定的目标或等级，</w:t>
      </w:r>
      <w:r>
        <w:rPr>
          <w:color w:val="000000" w:themeColor="text1"/>
        </w:rPr>
        <w:t>甲方有权要求乙方或项目公司采取补救措施，额外产生费用由项目公司</w:t>
      </w:r>
      <w:r>
        <w:rPr>
          <w:rFonts w:hint="eastAsia"/>
          <w:color w:val="000000" w:themeColor="text1"/>
        </w:rPr>
        <w:t>自行</w:t>
      </w:r>
      <w:r>
        <w:rPr>
          <w:color w:val="000000" w:themeColor="text1"/>
        </w:rPr>
        <w:t>承担。</w:t>
      </w:r>
      <w:bookmarkEnd w:id="263"/>
      <w:bookmarkEnd w:id="264"/>
      <w:bookmarkEnd w:id="265"/>
    </w:p>
    <w:p>
      <w:pPr>
        <w:pStyle w:val="35"/>
        <w:spacing w:before="312" w:after="312"/>
        <w:rPr>
          <w:color w:val="000000" w:themeColor="text1"/>
        </w:rPr>
      </w:pPr>
      <w:bookmarkStart w:id="266" w:name="_Toc528668044"/>
      <w:bookmarkStart w:id="267" w:name="_Toc58337328"/>
      <w:bookmarkStart w:id="268" w:name="_Toc30939"/>
      <w:bookmarkStart w:id="269" w:name="_Toc57054268"/>
      <w:bookmarkStart w:id="270" w:name="_Toc57054480"/>
      <w:bookmarkStart w:id="271" w:name="_Toc57057052"/>
      <w:bookmarkStart w:id="272" w:name="_Toc54193916"/>
      <w:bookmarkStart w:id="273" w:name="_Toc57057144"/>
      <w:bookmarkStart w:id="274" w:name="_Toc57057468"/>
      <w:bookmarkStart w:id="275" w:name="_Toc57054368"/>
      <w:bookmarkStart w:id="276" w:name="_Toc54187447"/>
      <w:bookmarkStart w:id="277" w:name="_Toc57057007"/>
      <w:r>
        <w:rPr>
          <w:rFonts w:hint="eastAsia"/>
          <w:color w:val="000000" w:themeColor="text1"/>
        </w:rPr>
        <w:t>违约责任</w:t>
      </w:r>
      <w:bookmarkEnd w:id="266"/>
      <w:bookmarkEnd w:id="267"/>
      <w:bookmarkEnd w:id="268"/>
      <w:bookmarkEnd w:id="269"/>
      <w:bookmarkEnd w:id="270"/>
      <w:bookmarkEnd w:id="271"/>
      <w:bookmarkEnd w:id="272"/>
      <w:bookmarkEnd w:id="273"/>
      <w:bookmarkEnd w:id="274"/>
      <w:bookmarkEnd w:id="275"/>
      <w:bookmarkEnd w:id="276"/>
      <w:bookmarkEnd w:id="277"/>
    </w:p>
    <w:p>
      <w:pPr>
        <w:pStyle w:val="41"/>
        <w:ind w:firstLine="560"/>
        <w:rPr>
          <w:color w:val="000000" w:themeColor="text1"/>
        </w:rPr>
      </w:pPr>
      <w:bookmarkStart w:id="278" w:name="_Toc57054269"/>
      <w:bookmarkStart w:id="279" w:name="_Toc57054481"/>
      <w:bookmarkStart w:id="280" w:name="_Toc57054369"/>
      <w:r>
        <w:rPr>
          <w:rFonts w:hint="eastAsia"/>
          <w:color w:val="000000" w:themeColor="text1"/>
        </w:rPr>
        <w:t>如因乙方原因未能在本协议规定时间和条件内注册项目公司（指获得市场监管部门颁发的营业执照），或虽已遵守上述规定但甲方认为其尚无实施本项目的足够能力时,乙方应按甲方的要求完善项目公司的机构设置、人员配备、资金筹措等方面的工作,直至甲方批准同意为止。项目公司的注册每延期1日，乙方应向甲方支付50万元人民币的违约金。如在本协议签订后90日内，项目公司仍未进行注册,或虽已注册但不满足甲方的要求,则甲方有权与乙方解除协议,并追究其违约责任。</w:t>
      </w:r>
      <w:bookmarkEnd w:id="278"/>
      <w:bookmarkEnd w:id="279"/>
      <w:bookmarkEnd w:id="280"/>
    </w:p>
    <w:p>
      <w:pPr>
        <w:pStyle w:val="41"/>
        <w:ind w:firstLine="560"/>
        <w:rPr>
          <w:color w:val="000000" w:themeColor="text1"/>
        </w:rPr>
      </w:pPr>
      <w:bookmarkStart w:id="281" w:name="_Toc57054370"/>
      <w:bookmarkStart w:id="282" w:name="_Toc57054270"/>
      <w:bookmarkStart w:id="283" w:name="_Toc57054482"/>
      <w:r>
        <w:rPr>
          <w:rFonts w:hint="eastAsia"/>
          <w:color w:val="000000" w:themeColor="text1"/>
        </w:rPr>
        <w:t>项目公司成立后，乙方未能促使项目公司在约定的时间内与甲方签订PPP项目合同，每延期1日，乙方应向甲方支付50万元人民币的违约金。如延期时间超过30日，则甲方有权解除本协议，并追究其违约责任。</w:t>
      </w:r>
      <w:bookmarkEnd w:id="281"/>
      <w:bookmarkEnd w:id="282"/>
      <w:bookmarkEnd w:id="283"/>
    </w:p>
    <w:p>
      <w:pPr>
        <w:pStyle w:val="41"/>
        <w:ind w:firstLine="560"/>
        <w:rPr>
          <w:color w:val="000000" w:themeColor="text1"/>
        </w:rPr>
      </w:pPr>
      <w:bookmarkStart w:id="284" w:name="_Toc57054371"/>
      <w:bookmarkStart w:id="285" w:name="_Toc57054271"/>
      <w:bookmarkStart w:id="286" w:name="_Toc57054483"/>
      <w:r>
        <w:rPr>
          <w:rFonts w:hint="eastAsia"/>
          <w:color w:val="000000" w:themeColor="text1"/>
        </w:rPr>
        <w:t>乙方违反本协议第</w:t>
      </w:r>
      <w:r>
        <w:rPr>
          <w:color w:val="000000" w:themeColor="text1"/>
        </w:rPr>
        <w:fldChar w:fldCharType="begin"/>
      </w:r>
      <w:r>
        <w:rPr>
          <w:color w:val="000000" w:themeColor="text1"/>
        </w:rPr>
        <w:instrText xml:space="preserve"> </w:instrText>
      </w:r>
      <w:r>
        <w:rPr>
          <w:rFonts w:hint="eastAsia"/>
          <w:color w:val="000000" w:themeColor="text1"/>
        </w:rPr>
        <w:instrText xml:space="preserve">REF _Ref57286648 \r \h</w:instrText>
      </w:r>
      <w:r>
        <w:rPr>
          <w:color w:val="000000" w:themeColor="text1"/>
        </w:rPr>
        <w:instrText xml:space="preserve"> </w:instrText>
      </w:r>
      <w:r>
        <w:rPr>
          <w:color w:val="000000" w:themeColor="text1"/>
        </w:rPr>
        <w:fldChar w:fldCharType="separate"/>
      </w:r>
      <w:r>
        <w:rPr>
          <w:color w:val="000000" w:themeColor="text1"/>
        </w:rPr>
        <w:t>5.3</w:t>
      </w:r>
      <w:r>
        <w:rPr>
          <w:color w:val="000000" w:themeColor="text1"/>
        </w:rPr>
        <w:fldChar w:fldCharType="end"/>
      </w:r>
      <w:r>
        <w:rPr>
          <w:rFonts w:hint="eastAsia"/>
          <w:color w:val="000000" w:themeColor="text1"/>
        </w:rPr>
        <w:t>条的约定，未经甲方书面同意，自行实施变更或转让、质押项目公司股权等变更项目公司股权结构行为的，甲方有权要求乙方在30日内予以纠正。如乙方在30日内拒不纠正或未能纠正，甲方有权解除本协议和PPP项目合同。甲方解除本协议和PPP项目合同后的具体事宜以PPP项目合同内容为准。</w:t>
      </w:r>
      <w:bookmarkEnd w:id="284"/>
      <w:bookmarkEnd w:id="285"/>
      <w:bookmarkEnd w:id="286"/>
    </w:p>
    <w:p>
      <w:pPr>
        <w:pStyle w:val="41"/>
        <w:ind w:firstLine="560"/>
        <w:rPr>
          <w:color w:val="000000" w:themeColor="text1"/>
        </w:rPr>
      </w:pPr>
      <w:bookmarkStart w:id="287" w:name="_Toc57054373"/>
      <w:bookmarkStart w:id="288" w:name="_Toc57054485"/>
      <w:bookmarkStart w:id="289" w:name="_Toc57054273"/>
      <w:r>
        <w:rPr>
          <w:rFonts w:hint="eastAsia"/>
          <w:color w:val="000000" w:themeColor="text1"/>
        </w:rPr>
        <w:t>如乙方违反本协议第七条的违约责任：</w:t>
      </w:r>
      <w:bookmarkEnd w:id="287"/>
      <w:bookmarkEnd w:id="288"/>
      <w:bookmarkEnd w:id="289"/>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1）乙方未能通过项目公司按要求将首期项目资本金缴交到位，甲方有权要求乙方和项目公司在30日内予以补救完成。如乙方和项目公司在30日内仍未缴交，甲方有权解除本协议和PPP项目合同。甲方解除本协议和PPP项目合同的具体事宜以PPP项目合同内容为准。</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2）除首期项目资本金以外的其他项目资本金和建设资金无法按要求到位，甲方有权要求乙方和项目公司予以补救；如乙方和项目公司未能补救，并因此对项目工程造成实质性影响，甲方有权解除本协议和PPP项目合同。具体内容以PPP项目合同为准。</w:t>
      </w:r>
    </w:p>
    <w:p>
      <w:pPr>
        <w:pStyle w:val="41"/>
        <w:ind w:firstLine="560"/>
        <w:rPr>
          <w:color w:val="000000" w:themeColor="text1"/>
        </w:rPr>
      </w:pPr>
      <w:bookmarkStart w:id="290" w:name="_Toc57054374"/>
      <w:bookmarkStart w:id="291" w:name="_Toc57054274"/>
      <w:bookmarkStart w:id="292" w:name="_Toc57054486"/>
      <w:r>
        <w:rPr>
          <w:rFonts w:hint="eastAsia"/>
          <w:color w:val="000000" w:themeColor="text1"/>
        </w:rPr>
        <w:t>甲方违反本协议的约定，未能履行约定的义务，乙方有权要求甲方纠正其违约行为；如因甲方的违约行为给乙方造成实质性损失，乙方有权要求甲方进行补偿。</w:t>
      </w:r>
      <w:bookmarkEnd w:id="290"/>
      <w:bookmarkEnd w:id="291"/>
      <w:bookmarkEnd w:id="292"/>
    </w:p>
    <w:p>
      <w:pPr>
        <w:pStyle w:val="41"/>
        <w:ind w:firstLine="560"/>
        <w:rPr>
          <w:color w:val="000000" w:themeColor="text1"/>
        </w:rPr>
      </w:pPr>
      <w:bookmarkStart w:id="293" w:name="_Toc57054375"/>
      <w:bookmarkStart w:id="294" w:name="_Toc57054487"/>
      <w:bookmarkStart w:id="295" w:name="_Toc57054275"/>
      <w:r>
        <w:rPr>
          <w:rFonts w:hint="eastAsia"/>
          <w:color w:val="000000" w:themeColor="text1"/>
        </w:rPr>
        <w:t>本协议任何一方不履行或不完全履行协议约定的其他义务和责任，并在收到守约方的书面通知后30日内仍未履行，则守约方有权要求违约方按照本合同约定承担违约责任。本合同没有约定的，违约方应赔偿守约方因此而遭受到的实际损失。</w:t>
      </w:r>
      <w:bookmarkEnd w:id="293"/>
      <w:bookmarkEnd w:id="294"/>
      <w:bookmarkEnd w:id="295"/>
    </w:p>
    <w:p>
      <w:pPr>
        <w:pStyle w:val="35"/>
        <w:spacing w:before="312" w:after="312"/>
        <w:rPr>
          <w:color w:val="000000" w:themeColor="text1"/>
        </w:rPr>
      </w:pPr>
      <w:bookmarkStart w:id="296" w:name="_Toc57054376"/>
      <w:bookmarkStart w:id="297" w:name="_Toc57057008"/>
      <w:bookmarkStart w:id="298" w:name="_Toc57057469"/>
      <w:bookmarkStart w:id="299" w:name="_Toc54187448"/>
      <w:bookmarkStart w:id="300" w:name="_Toc57054488"/>
      <w:bookmarkStart w:id="301" w:name="_Toc57057145"/>
      <w:bookmarkStart w:id="302" w:name="_Toc57057053"/>
      <w:bookmarkStart w:id="303" w:name="_Toc54193917"/>
      <w:bookmarkStart w:id="304" w:name="_Toc58337329"/>
      <w:bookmarkStart w:id="305" w:name="_Toc57054276"/>
      <w:r>
        <w:rPr>
          <w:rFonts w:hint="eastAsia"/>
          <w:color w:val="000000" w:themeColor="text1"/>
        </w:rPr>
        <w:t>免责条款</w:t>
      </w:r>
      <w:bookmarkEnd w:id="296"/>
      <w:bookmarkEnd w:id="297"/>
      <w:bookmarkEnd w:id="298"/>
      <w:bookmarkEnd w:id="299"/>
      <w:bookmarkEnd w:id="300"/>
      <w:bookmarkEnd w:id="301"/>
      <w:bookmarkEnd w:id="302"/>
      <w:bookmarkEnd w:id="303"/>
      <w:bookmarkEnd w:id="304"/>
      <w:bookmarkEnd w:id="305"/>
    </w:p>
    <w:p>
      <w:pPr>
        <w:pStyle w:val="41"/>
        <w:ind w:firstLine="560"/>
        <w:rPr>
          <w:color w:val="000000" w:themeColor="text1"/>
        </w:rPr>
      </w:pPr>
      <w:bookmarkStart w:id="306" w:name="_Toc57054377"/>
      <w:bookmarkStart w:id="307" w:name="_Toc57054277"/>
      <w:bookmarkStart w:id="308" w:name="_Toc57054489"/>
      <w:r>
        <w:rPr>
          <w:rFonts w:hint="eastAsia"/>
          <w:color w:val="000000" w:themeColor="text1"/>
        </w:rPr>
        <w:t>不可抗力事件是指战争、动乱、地震、飓风、台风、火山爆发或水灾等不能预见、不能避免并不能克服的客观情况。</w:t>
      </w:r>
      <w:bookmarkEnd w:id="306"/>
      <w:bookmarkEnd w:id="307"/>
      <w:bookmarkEnd w:id="308"/>
    </w:p>
    <w:p>
      <w:pPr>
        <w:pStyle w:val="41"/>
        <w:ind w:firstLine="560"/>
        <w:rPr>
          <w:color w:val="000000" w:themeColor="text1"/>
        </w:rPr>
      </w:pPr>
      <w:bookmarkStart w:id="309" w:name="_Toc57054490"/>
      <w:bookmarkStart w:id="310" w:name="_Toc57054278"/>
      <w:bookmarkStart w:id="311" w:name="_Toc57054378"/>
      <w:r>
        <w:rPr>
          <w:rFonts w:hint="eastAsia"/>
          <w:color w:val="000000" w:themeColor="text1"/>
        </w:rPr>
        <w:t>因不可抗力致使当事人一方不能履行本协议的,应及时采取补救措施并通知对方,并在7日内提供证明。</w:t>
      </w:r>
      <w:bookmarkEnd w:id="309"/>
      <w:bookmarkEnd w:id="310"/>
      <w:bookmarkEnd w:id="311"/>
    </w:p>
    <w:p>
      <w:pPr>
        <w:pStyle w:val="41"/>
        <w:ind w:firstLine="560"/>
        <w:rPr>
          <w:color w:val="000000" w:themeColor="text1"/>
        </w:rPr>
      </w:pPr>
      <w:bookmarkStart w:id="312" w:name="_Toc57054279"/>
      <w:bookmarkStart w:id="313" w:name="_Toc57054379"/>
      <w:bookmarkStart w:id="314" w:name="_Toc57054491"/>
      <w:r>
        <w:rPr>
          <w:rFonts w:hint="eastAsia"/>
          <w:color w:val="000000" w:themeColor="text1"/>
        </w:rPr>
        <w:t>因不可抗力致使本协议无法按期履行或不能履行的,所造成的损失由各方自行承担。一方未及时采取补救措施的,应就扩大的损失负赔偿责任。</w:t>
      </w:r>
      <w:bookmarkEnd w:id="312"/>
      <w:bookmarkEnd w:id="313"/>
      <w:bookmarkEnd w:id="314"/>
    </w:p>
    <w:p>
      <w:pPr>
        <w:pStyle w:val="35"/>
        <w:spacing w:before="312" w:after="312"/>
        <w:rPr>
          <w:color w:val="000000" w:themeColor="text1"/>
        </w:rPr>
      </w:pPr>
      <w:bookmarkStart w:id="315" w:name="_Toc54187449"/>
      <w:bookmarkStart w:id="316" w:name="_Toc54193918"/>
      <w:bookmarkStart w:id="317" w:name="_Toc57054280"/>
      <w:bookmarkStart w:id="318" w:name="_Toc57054380"/>
      <w:bookmarkStart w:id="319" w:name="_Toc57054492"/>
      <w:bookmarkStart w:id="320" w:name="_Toc57057009"/>
      <w:bookmarkStart w:id="321" w:name="_Toc57057054"/>
      <w:bookmarkStart w:id="322" w:name="_Toc57057146"/>
      <w:bookmarkStart w:id="323" w:name="_Toc57057470"/>
      <w:bookmarkStart w:id="324" w:name="_Toc58337330"/>
      <w:r>
        <w:rPr>
          <w:rFonts w:hint="eastAsia"/>
          <w:color w:val="000000" w:themeColor="text1"/>
        </w:rPr>
        <w:t>其他条款</w:t>
      </w:r>
      <w:bookmarkEnd w:id="315"/>
      <w:bookmarkEnd w:id="316"/>
      <w:bookmarkEnd w:id="317"/>
      <w:bookmarkEnd w:id="318"/>
      <w:bookmarkEnd w:id="319"/>
      <w:bookmarkEnd w:id="320"/>
      <w:bookmarkEnd w:id="321"/>
      <w:bookmarkEnd w:id="322"/>
      <w:bookmarkEnd w:id="323"/>
      <w:bookmarkEnd w:id="324"/>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在项目合作期内，乙方有权享受国家、自治区、市各级政府的各项最新优惠政策，如税收减免、自治区和地方各类补贴等。</w:t>
      </w:r>
    </w:p>
    <w:p>
      <w:pPr>
        <w:pStyle w:val="35"/>
        <w:spacing w:before="312" w:after="312"/>
        <w:rPr>
          <w:color w:val="000000" w:themeColor="text1"/>
        </w:rPr>
      </w:pPr>
      <w:bookmarkStart w:id="325" w:name="_Toc54187450"/>
      <w:bookmarkStart w:id="326" w:name="_Toc54193919"/>
      <w:bookmarkStart w:id="327" w:name="_Toc57054281"/>
      <w:bookmarkStart w:id="328" w:name="_Toc57054381"/>
      <w:bookmarkStart w:id="329" w:name="_Toc57054493"/>
      <w:bookmarkStart w:id="330" w:name="_Toc57057010"/>
      <w:bookmarkStart w:id="331" w:name="_Toc57057055"/>
      <w:bookmarkStart w:id="332" w:name="_Toc57057147"/>
      <w:bookmarkStart w:id="333" w:name="_Toc57057471"/>
      <w:bookmarkStart w:id="334" w:name="_Toc58337331"/>
      <w:r>
        <w:rPr>
          <w:rFonts w:hint="eastAsia"/>
          <w:color w:val="000000" w:themeColor="text1"/>
        </w:rPr>
        <w:t>争议的解决</w:t>
      </w:r>
      <w:bookmarkEnd w:id="325"/>
      <w:bookmarkEnd w:id="326"/>
      <w:bookmarkEnd w:id="327"/>
      <w:bookmarkEnd w:id="328"/>
      <w:bookmarkEnd w:id="329"/>
      <w:bookmarkEnd w:id="330"/>
      <w:bookmarkEnd w:id="331"/>
      <w:bookmarkEnd w:id="332"/>
      <w:bookmarkEnd w:id="333"/>
      <w:bookmarkEnd w:id="334"/>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因执行本协议所发生的或与本协议有关的一切争议、分歧或索赔，应通过友好协商解决。如果经协商仍不能解决，任何一方有权将争议提交项目所在地的法院以诉讼方式解决。</w:t>
      </w:r>
    </w:p>
    <w:p>
      <w:pPr>
        <w:pStyle w:val="35"/>
        <w:spacing w:before="312" w:after="312"/>
        <w:rPr>
          <w:color w:val="000000" w:themeColor="text1"/>
        </w:rPr>
      </w:pPr>
      <w:bookmarkStart w:id="335" w:name="_Toc11952"/>
      <w:bookmarkStart w:id="336" w:name="_Toc528668048"/>
      <w:bookmarkStart w:id="337" w:name="_Toc54187451"/>
      <w:bookmarkStart w:id="338" w:name="_Toc54193920"/>
      <w:bookmarkStart w:id="339" w:name="_Toc57054282"/>
      <w:bookmarkStart w:id="340" w:name="_Toc57054382"/>
      <w:bookmarkStart w:id="341" w:name="_Toc57054494"/>
      <w:bookmarkStart w:id="342" w:name="_Toc57057011"/>
      <w:bookmarkStart w:id="343" w:name="_Toc57057056"/>
      <w:bookmarkStart w:id="344" w:name="_Toc57057148"/>
      <w:bookmarkStart w:id="345" w:name="_Toc57057472"/>
      <w:bookmarkStart w:id="346" w:name="_Toc58337332"/>
      <w:r>
        <w:rPr>
          <w:rFonts w:hint="eastAsia"/>
          <w:color w:val="000000" w:themeColor="text1"/>
        </w:rPr>
        <w:t>其他</w:t>
      </w:r>
      <w:bookmarkEnd w:id="335"/>
      <w:bookmarkEnd w:id="336"/>
      <w:r>
        <w:rPr>
          <w:rFonts w:hint="eastAsia"/>
          <w:color w:val="000000" w:themeColor="text1"/>
        </w:rPr>
        <w:t>事项</w:t>
      </w:r>
      <w:bookmarkEnd w:id="337"/>
      <w:bookmarkEnd w:id="338"/>
      <w:bookmarkEnd w:id="339"/>
      <w:bookmarkEnd w:id="340"/>
      <w:bookmarkEnd w:id="341"/>
      <w:bookmarkEnd w:id="342"/>
      <w:bookmarkEnd w:id="343"/>
      <w:bookmarkEnd w:id="344"/>
      <w:bookmarkEnd w:id="345"/>
      <w:bookmarkEnd w:id="346"/>
    </w:p>
    <w:p>
      <w:pPr>
        <w:pStyle w:val="41"/>
        <w:ind w:firstLine="560"/>
        <w:rPr>
          <w:color w:val="000000" w:themeColor="text1"/>
        </w:rPr>
      </w:pPr>
      <w:bookmarkStart w:id="347" w:name="_Toc57054283"/>
      <w:bookmarkStart w:id="348" w:name="_Toc57054383"/>
      <w:bookmarkStart w:id="349" w:name="_Toc57054495"/>
      <w:r>
        <w:rPr>
          <w:rFonts w:hint="eastAsia"/>
          <w:color w:val="000000" w:themeColor="text1"/>
        </w:rPr>
        <w:t>本协议未尽事宜,由双方协商解决。</w:t>
      </w:r>
      <w:bookmarkEnd w:id="347"/>
      <w:bookmarkEnd w:id="348"/>
      <w:bookmarkEnd w:id="349"/>
    </w:p>
    <w:p>
      <w:pPr>
        <w:pStyle w:val="41"/>
        <w:ind w:firstLine="560"/>
        <w:rPr>
          <w:color w:val="000000" w:themeColor="text1"/>
        </w:rPr>
      </w:pPr>
      <w:bookmarkStart w:id="350" w:name="_Toc57054384"/>
      <w:bookmarkStart w:id="351" w:name="_Toc57054496"/>
      <w:bookmarkStart w:id="352" w:name="_Toc57054284"/>
      <w:r>
        <w:rPr>
          <w:rFonts w:hint="eastAsia"/>
          <w:color w:val="000000" w:themeColor="text1"/>
        </w:rPr>
        <w:t>本协议由双方法定代表人或其授权的代理人签署并加盖单位公章后生效,在项目合作期满1年后本协议自动解除。</w:t>
      </w:r>
      <w:bookmarkEnd w:id="350"/>
      <w:bookmarkEnd w:id="351"/>
      <w:bookmarkEnd w:id="352"/>
    </w:p>
    <w:p>
      <w:pPr>
        <w:pStyle w:val="41"/>
        <w:ind w:firstLine="560"/>
        <w:rPr>
          <w:color w:val="000000" w:themeColor="text1"/>
        </w:rPr>
      </w:pPr>
      <w:bookmarkStart w:id="353" w:name="_Toc57054385"/>
      <w:bookmarkStart w:id="354" w:name="_Toc57054497"/>
      <w:bookmarkStart w:id="355" w:name="_Toc57054285"/>
      <w:r>
        <w:rPr>
          <w:rFonts w:hint="eastAsia"/>
          <w:color w:val="000000" w:themeColor="text1"/>
        </w:rPr>
        <w:t>本协议一式十份,甲方执五份，乙方执五份。</w:t>
      </w:r>
      <w:bookmarkEnd w:id="353"/>
      <w:bookmarkEnd w:id="354"/>
      <w:bookmarkEnd w:id="355"/>
    </w:p>
    <w:p>
      <w:pPr>
        <w:rPr>
          <w:color w:val="000000" w:themeColor="text1"/>
        </w:rPr>
      </w:pPr>
    </w:p>
    <w:p>
      <w:pPr>
        <w:pStyle w:val="41"/>
        <w:numPr>
          <w:ilvl w:val="0"/>
          <w:numId w:val="0"/>
        </w:numPr>
        <w:rPr>
          <w:color w:val="000000" w:themeColor="text1"/>
        </w:rPr>
      </w:pPr>
      <w:r>
        <w:rPr>
          <w:rFonts w:hint="eastAsia"/>
          <w:color w:val="000000" w:themeColor="text1"/>
        </w:rPr>
        <w:t>（以下无正文）</w:t>
      </w:r>
    </w:p>
    <w:p>
      <w:pPr>
        <w:keepNext/>
        <w:widowControl/>
        <w:ind w:firstLine="562" w:firstLineChars="200"/>
        <w:rPr>
          <w:rFonts w:ascii="仿宋" w:hAnsi="仿宋" w:eastAsia="仿宋"/>
          <w:color w:val="000000" w:themeColor="text1"/>
          <w:sz w:val="28"/>
          <w:szCs w:val="28"/>
        </w:rPr>
      </w:pPr>
      <w:r>
        <w:rPr>
          <w:rFonts w:ascii="仿宋" w:hAnsi="仿宋" w:eastAsia="仿宋"/>
          <w:b/>
          <w:color w:val="000000" w:themeColor="text1"/>
          <w:sz w:val="28"/>
          <w:szCs w:val="28"/>
        </w:rPr>
        <w:br w:type="page"/>
      </w:r>
      <w:r>
        <w:rPr>
          <w:rFonts w:hint="eastAsia" w:ascii="仿宋" w:hAnsi="仿宋" w:eastAsia="仿宋"/>
          <w:color w:val="000000" w:themeColor="text1"/>
          <w:sz w:val="28"/>
          <w:szCs w:val="28"/>
        </w:rPr>
        <w:t>（盖章签字页）</w:t>
      </w:r>
    </w:p>
    <w:p>
      <w:pPr>
        <w:ind w:firstLine="560" w:firstLineChars="200"/>
        <w:rPr>
          <w:rFonts w:ascii="仿宋" w:hAnsi="仿宋" w:eastAsia="仿宋"/>
          <w:color w:val="000000" w:themeColor="text1"/>
          <w:sz w:val="28"/>
          <w:szCs w:val="28"/>
        </w:rPr>
      </w:pP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甲方：桂平市交通运输局</w:t>
      </w:r>
      <w:r>
        <w:rPr>
          <w:rFonts w:ascii="仿宋" w:hAnsi="仿宋" w:eastAsia="仿宋"/>
          <w:color w:val="000000" w:themeColor="text1"/>
          <w:sz w:val="28"/>
          <w:szCs w:val="28"/>
        </w:rPr>
        <w:t>(</w:t>
      </w:r>
      <w:r>
        <w:rPr>
          <w:rFonts w:hint="eastAsia" w:ascii="仿宋" w:hAnsi="仿宋" w:eastAsia="仿宋"/>
          <w:color w:val="000000" w:themeColor="text1"/>
          <w:sz w:val="28"/>
          <w:szCs w:val="28"/>
        </w:rPr>
        <w:t>盖单位章</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法定代表人或其授权的代理人：</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地址：广西桂平市西山镇郁江东路84号</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邮编：</w:t>
      </w:r>
      <w:r>
        <w:rPr>
          <w:rFonts w:ascii="仿宋" w:hAnsi="仿宋" w:eastAsia="仿宋"/>
          <w:color w:val="000000" w:themeColor="text1"/>
          <w:sz w:val="28"/>
          <w:szCs w:val="28"/>
        </w:rPr>
        <w:t>537200</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电话：</w:t>
      </w:r>
      <w:r>
        <w:rPr>
          <w:rFonts w:ascii="仿宋" w:hAnsi="仿宋" w:eastAsia="仿宋"/>
          <w:color w:val="000000" w:themeColor="text1"/>
          <w:sz w:val="28"/>
          <w:szCs w:val="28"/>
        </w:rPr>
        <w:t>0775-3387662</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传真：</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日期：   年   月   日</w:t>
      </w:r>
    </w:p>
    <w:p>
      <w:pPr>
        <w:ind w:firstLine="560" w:firstLineChars="200"/>
        <w:rPr>
          <w:rFonts w:ascii="仿宋" w:hAnsi="仿宋" w:eastAsia="仿宋"/>
          <w:color w:val="000000" w:themeColor="text1"/>
          <w:sz w:val="28"/>
          <w:szCs w:val="28"/>
        </w:rPr>
      </w:pP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 xml:space="preserve">乙方： </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盖单位章</w:t>
      </w:r>
      <w:r>
        <w:rPr>
          <w:rFonts w:ascii="仿宋" w:hAnsi="仿宋" w:eastAsia="仿宋"/>
          <w:color w:val="000000" w:themeColor="text1"/>
          <w:sz w:val="28"/>
          <w:szCs w:val="28"/>
        </w:rPr>
        <w:t>)</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法定代表人或其授权的代理人：</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地址：</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邮编：</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电话：</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传真：</w:t>
      </w:r>
    </w:p>
    <w:p>
      <w:pPr>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日期：   年   月   日</w:t>
      </w:r>
    </w:p>
    <w:p>
      <w:pPr>
        <w:rPr>
          <w:rFonts w:cs="Times New Roman"/>
          <w:b/>
          <w:color w:val="000000" w:themeColor="text1"/>
        </w:rPr>
      </w:pPr>
      <w:r>
        <w:rPr>
          <w:rFonts w:cs="Times New Roman"/>
          <w:b/>
          <w:color w:val="000000" w:themeColor="text1"/>
        </w:rPr>
        <w:br w:type="page"/>
      </w:r>
    </w:p>
    <w:p>
      <w:pPr>
        <w:pStyle w:val="35"/>
        <w:spacing w:before="312" w:after="312"/>
        <w:rPr>
          <w:color w:val="000000" w:themeColor="text1"/>
        </w:rPr>
      </w:pPr>
      <w:bookmarkStart w:id="356" w:name="_Toc58337333"/>
      <w:bookmarkStart w:id="357" w:name="_Toc57057473"/>
      <w:bookmarkStart w:id="358" w:name="_Toc57054498"/>
      <w:bookmarkStart w:id="359" w:name="_Toc57057012"/>
      <w:bookmarkStart w:id="360" w:name="_Toc57054386"/>
      <w:bookmarkStart w:id="361" w:name="_Toc57057057"/>
      <w:bookmarkStart w:id="362" w:name="_Toc57057149"/>
      <w:bookmarkStart w:id="363" w:name="_Toc57054286"/>
      <w:bookmarkStart w:id="364" w:name="_Hlk57104912"/>
      <w:r>
        <w:rPr>
          <w:rFonts w:hint="eastAsia"/>
          <w:color w:val="000000" w:themeColor="text1"/>
        </w:rPr>
        <w:t>附件</w:t>
      </w:r>
      <w:bookmarkEnd w:id="356"/>
      <w:bookmarkEnd w:id="357"/>
      <w:bookmarkEnd w:id="358"/>
      <w:bookmarkEnd w:id="359"/>
      <w:bookmarkEnd w:id="360"/>
      <w:bookmarkEnd w:id="361"/>
      <w:bookmarkEnd w:id="362"/>
      <w:bookmarkEnd w:id="363"/>
    </w:p>
    <w:p>
      <w:pPr>
        <w:ind w:left="1600" w:leftChars="200" w:hanging="1120" w:hangingChars="400"/>
        <w:rPr>
          <w:rFonts w:ascii="仿宋" w:hAnsi="仿宋" w:eastAsia="仿宋"/>
          <w:color w:val="000000" w:themeColor="text1"/>
          <w:sz w:val="28"/>
          <w:szCs w:val="28"/>
        </w:rPr>
      </w:pPr>
      <w:r>
        <w:rPr>
          <w:rFonts w:hint="eastAsia" w:ascii="仿宋" w:hAnsi="仿宋" w:eastAsia="仿宋"/>
          <w:color w:val="000000" w:themeColor="text1"/>
          <w:sz w:val="28"/>
          <w:szCs w:val="28"/>
        </w:rPr>
        <w:t>附件：1</w:t>
      </w:r>
      <w:r>
        <w:rPr>
          <w:rFonts w:ascii="仿宋" w:hAnsi="仿宋" w:eastAsia="仿宋"/>
          <w:color w:val="000000" w:themeColor="text1"/>
          <w:sz w:val="28"/>
          <w:szCs w:val="28"/>
        </w:rPr>
        <w:t>.</w:t>
      </w:r>
      <w:r>
        <w:rPr>
          <w:rFonts w:hint="eastAsia" w:ascii="仿宋" w:hAnsi="仿宋" w:eastAsia="仿宋"/>
          <w:color w:val="000000" w:themeColor="text1"/>
          <w:sz w:val="28"/>
          <w:szCs w:val="28"/>
        </w:rPr>
        <w:t>桂平市人民政府关于桂平西出口至龙门工业园区一级公路建设模式的批复精神</w:t>
      </w:r>
    </w:p>
    <w:bookmarkEnd w:id="364"/>
    <w:p>
      <w:pPr>
        <w:ind w:left="1720" w:leftChars="600" w:hanging="280" w:hangingChars="100"/>
        <w:rPr>
          <w:rFonts w:ascii="仿宋" w:hAnsi="仿宋" w:eastAsia="仿宋"/>
          <w:color w:val="000000" w:themeColor="text1"/>
          <w:sz w:val="28"/>
          <w:szCs w:val="28"/>
        </w:rPr>
      </w:pPr>
      <w:r>
        <w:rPr>
          <w:rFonts w:ascii="仿宋" w:hAnsi="仿宋" w:eastAsia="仿宋"/>
          <w:color w:val="000000" w:themeColor="text1"/>
          <w:sz w:val="28"/>
          <w:szCs w:val="28"/>
        </w:rPr>
        <w:t>2.</w:t>
      </w:r>
      <w:r>
        <w:rPr>
          <w:rFonts w:hint="eastAsia" w:ascii="仿宋" w:hAnsi="仿宋" w:eastAsia="仿宋"/>
          <w:color w:val="000000" w:themeColor="text1"/>
          <w:sz w:val="28"/>
          <w:szCs w:val="28"/>
        </w:rPr>
        <w:t>桂平西出口至龙门工业园区一级公路</w:t>
      </w:r>
      <w:r>
        <w:rPr>
          <w:rFonts w:ascii="仿宋" w:hAnsi="仿宋" w:eastAsia="仿宋"/>
          <w:color w:val="000000" w:themeColor="text1"/>
          <w:sz w:val="28"/>
          <w:szCs w:val="28"/>
        </w:rPr>
        <w:t>项目社会资本招标中标通知书</w:t>
      </w:r>
    </w:p>
    <w:p>
      <w:pPr>
        <w:ind w:firstLine="560" w:firstLineChars="200"/>
        <w:rPr>
          <w:rFonts w:ascii="仿宋" w:hAnsi="仿宋" w:eastAsia="仿宋"/>
          <w:color w:val="000000" w:themeColor="text1"/>
          <w:sz w:val="28"/>
          <w:szCs w:val="28"/>
        </w:rPr>
      </w:pPr>
    </w:p>
    <w:p>
      <w:pPr>
        <w:ind w:firstLine="560" w:firstLineChars="200"/>
        <w:rPr>
          <w:rFonts w:ascii="仿宋" w:hAnsi="仿宋" w:eastAsia="仿宋"/>
          <w:color w:val="000000" w:themeColor="text1"/>
          <w:sz w:val="28"/>
          <w:szCs w:val="28"/>
        </w:rPr>
      </w:pPr>
      <w:r>
        <w:rPr>
          <w:rFonts w:ascii="仿宋" w:hAnsi="仿宋" w:eastAsia="仿宋"/>
          <w:color w:val="000000" w:themeColor="text1"/>
          <w:sz w:val="28"/>
          <w:szCs w:val="28"/>
        </w:rPr>
        <w:br w:type="page"/>
      </w:r>
    </w:p>
    <w:p>
      <w:pPr>
        <w:pStyle w:val="41"/>
        <w:numPr>
          <w:ilvl w:val="0"/>
          <w:numId w:val="0"/>
        </w:numPr>
        <w:rPr>
          <w:rFonts w:ascii="黑体" w:hAnsi="黑体" w:eastAsia="黑体"/>
          <w:b/>
          <w:bCs/>
          <w:color w:val="000000" w:themeColor="text1"/>
          <w:sz w:val="32"/>
          <w:szCs w:val="32"/>
        </w:rPr>
      </w:pPr>
      <w:bookmarkStart w:id="365" w:name="_Toc57057150"/>
      <w:bookmarkStart w:id="366" w:name="_Toc57057078"/>
      <w:bookmarkStart w:id="367" w:name="_Toc57054573"/>
      <w:bookmarkStart w:id="368" w:name="_Toc57057115"/>
      <w:bookmarkStart w:id="369" w:name="_Toc57057032"/>
      <w:bookmarkStart w:id="370" w:name="_Toc57056892"/>
      <w:bookmarkStart w:id="371" w:name="_Toc57057013"/>
      <w:bookmarkStart w:id="372" w:name="_Toc57054527"/>
      <w:bookmarkStart w:id="373" w:name="_Toc57057058"/>
      <w:bookmarkStart w:id="374" w:name="_Toc57054395"/>
      <w:bookmarkStart w:id="375" w:name="_Toc57054499"/>
      <w:bookmarkStart w:id="376" w:name="_Toc57054287"/>
      <w:bookmarkStart w:id="377" w:name="_Toc57052901"/>
      <w:bookmarkStart w:id="378" w:name="_Toc57054387"/>
      <w:bookmarkStart w:id="379" w:name="_Toc57052958"/>
      <w:bookmarkStart w:id="380" w:name="_Toc57057474"/>
      <w:r>
        <w:rPr>
          <w:rFonts w:hint="eastAsia" w:ascii="黑体" w:hAnsi="黑体" w:eastAsia="黑体"/>
          <w:b/>
          <w:bCs/>
          <w:color w:val="000000" w:themeColor="text1"/>
          <w:sz w:val="32"/>
          <w:szCs w:val="32"/>
        </w:rPr>
        <w:t>附件1</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pPr>
        <w:jc w:val="center"/>
        <w:rPr>
          <w:rFonts w:ascii="黑体" w:hAnsi="黑体" w:eastAsia="黑体"/>
          <w:color w:val="000000" w:themeColor="text1"/>
          <w:sz w:val="32"/>
          <w:szCs w:val="32"/>
        </w:rPr>
      </w:pPr>
      <w:bookmarkStart w:id="381" w:name="_Toc57054288"/>
      <w:bookmarkStart w:id="382" w:name="_Toc57057059"/>
      <w:bookmarkStart w:id="383" w:name="_Toc57057014"/>
      <w:bookmarkStart w:id="384" w:name="_Toc57054500"/>
      <w:bookmarkStart w:id="385" w:name="_Toc57057151"/>
      <w:bookmarkStart w:id="386" w:name="_Toc57054388"/>
      <w:r>
        <w:rPr>
          <w:rFonts w:hint="eastAsia" w:ascii="黑体" w:hAnsi="黑体" w:eastAsia="黑体"/>
          <w:color w:val="000000" w:themeColor="text1"/>
          <w:sz w:val="32"/>
          <w:szCs w:val="32"/>
        </w:rPr>
        <w:t>桂平市人民政府关于桂平西出口至龙门工业园区一级公路建设模式的批复精神</w:t>
      </w:r>
      <w:bookmarkEnd w:id="381"/>
      <w:bookmarkEnd w:id="382"/>
      <w:bookmarkEnd w:id="383"/>
      <w:bookmarkEnd w:id="384"/>
      <w:bookmarkEnd w:id="385"/>
      <w:bookmarkEnd w:id="386"/>
    </w:p>
    <w:p>
      <w:pPr>
        <w:rPr>
          <w:color w:val="000000" w:themeColor="text1"/>
        </w:rPr>
      </w:pPr>
    </w:p>
    <w:p>
      <w:pPr>
        <w:rPr>
          <w:color w:val="000000" w:themeColor="text1"/>
        </w:rPr>
      </w:pPr>
    </w:p>
    <w:p>
      <w:pPr>
        <w:rPr>
          <w:color w:val="000000" w:themeColor="text1"/>
        </w:rPr>
      </w:pPr>
    </w:p>
    <w:p>
      <w:pPr>
        <w:rPr>
          <w:color w:val="000000" w:themeColor="text1"/>
        </w:rPr>
      </w:pPr>
    </w:p>
    <w:p>
      <w:pPr>
        <w:pStyle w:val="41"/>
        <w:numPr>
          <w:ilvl w:val="0"/>
          <w:numId w:val="0"/>
        </w:numPr>
        <w:rPr>
          <w:rFonts w:ascii="黑体" w:hAnsi="黑体" w:eastAsia="黑体"/>
          <w:b/>
          <w:bCs/>
          <w:color w:val="000000" w:themeColor="text1"/>
          <w:sz w:val="32"/>
          <w:szCs w:val="32"/>
        </w:rPr>
      </w:pPr>
      <w:bookmarkStart w:id="387" w:name="_Toc57057116"/>
      <w:bookmarkStart w:id="388" w:name="_Toc57057033"/>
      <w:bookmarkStart w:id="389" w:name="_Toc57056893"/>
      <w:bookmarkStart w:id="390" w:name="_Toc57057079"/>
      <w:bookmarkStart w:id="391" w:name="_Toc57052902"/>
      <w:bookmarkStart w:id="392" w:name="_Toc57057152"/>
      <w:bookmarkStart w:id="393" w:name="_Toc57054396"/>
      <w:bookmarkStart w:id="394" w:name="_Toc57054389"/>
      <w:bookmarkStart w:id="395" w:name="_Toc57054289"/>
      <w:bookmarkStart w:id="396" w:name="_Toc57052959"/>
      <w:bookmarkStart w:id="397" w:name="_Toc57054528"/>
      <w:bookmarkStart w:id="398" w:name="_Toc57054501"/>
      <w:bookmarkStart w:id="399" w:name="_Toc57054574"/>
      <w:bookmarkStart w:id="400" w:name="_Toc57057475"/>
      <w:bookmarkStart w:id="401" w:name="_Toc57057015"/>
      <w:bookmarkStart w:id="402" w:name="_Toc57057060"/>
      <w:r>
        <w:rPr>
          <w:rFonts w:hint="eastAsia" w:ascii="黑体" w:hAnsi="黑体" w:eastAsia="黑体"/>
          <w:b/>
          <w:bCs/>
          <w:color w:val="000000" w:themeColor="text1"/>
          <w:sz w:val="32"/>
          <w:szCs w:val="32"/>
        </w:rPr>
        <w:t>附件2</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pPr>
        <w:jc w:val="center"/>
        <w:rPr>
          <w:rFonts w:hint="eastAsia" w:ascii="黑体" w:hAnsi="黑体" w:eastAsia="黑体"/>
          <w:color w:val="000000" w:themeColor="text1"/>
          <w:sz w:val="32"/>
          <w:szCs w:val="32"/>
        </w:rPr>
      </w:pPr>
      <w:bookmarkStart w:id="403" w:name="_Toc57057061"/>
      <w:bookmarkStart w:id="404" w:name="_Toc57054502"/>
      <w:bookmarkStart w:id="405" w:name="_Toc57054390"/>
      <w:bookmarkStart w:id="406" w:name="_Toc57054290"/>
      <w:bookmarkStart w:id="407" w:name="_Toc57057016"/>
      <w:bookmarkStart w:id="408" w:name="_Toc57057153"/>
      <w:r>
        <w:rPr>
          <w:rFonts w:hint="eastAsia" w:ascii="黑体" w:hAnsi="黑体" w:eastAsia="黑体"/>
          <w:color w:val="000000" w:themeColor="text1"/>
          <w:sz w:val="32"/>
          <w:szCs w:val="32"/>
        </w:rPr>
        <w:t>桂平西出口至龙门工业园区一级公路项目社会资本招标</w:t>
      </w:r>
    </w:p>
    <w:p>
      <w:pPr>
        <w:jc w:val="both"/>
        <w:rPr>
          <w:rFonts w:ascii="黑体" w:hAnsi="黑体" w:eastAsia="黑体"/>
          <w:color w:val="000000" w:themeColor="text1"/>
          <w:sz w:val="32"/>
          <w:szCs w:val="32"/>
        </w:rPr>
      </w:pPr>
      <w:r>
        <w:rPr>
          <w:rFonts w:hint="eastAsia" w:ascii="黑体" w:hAnsi="黑体" w:eastAsia="黑体"/>
          <w:color w:val="000000" w:themeColor="text1"/>
          <w:sz w:val="32"/>
          <w:szCs w:val="32"/>
        </w:rPr>
        <w:t>中标通知书</w:t>
      </w:r>
      <w:bookmarkEnd w:id="403"/>
      <w:bookmarkEnd w:id="404"/>
      <w:bookmarkEnd w:id="405"/>
      <w:bookmarkEnd w:id="406"/>
      <w:bookmarkEnd w:id="407"/>
      <w:bookmarkEnd w:id="408"/>
    </w:p>
    <w:p>
      <w:pPr>
        <w:jc w:val="center"/>
        <w:rPr>
          <w:rFonts w:ascii="黑体" w:hAnsi="黑体" w:eastAsia="黑体"/>
          <w:color w:val="000000" w:themeColor="text1"/>
          <w:sz w:val="32"/>
          <w:szCs w:val="32"/>
        </w:rPr>
      </w:pPr>
    </w:p>
    <w:p>
      <w:pPr>
        <w:jc w:val="center"/>
        <w:rPr>
          <w:rFonts w:ascii="黑体" w:hAnsi="黑体" w:eastAsia="黑体"/>
          <w:color w:val="000000" w:themeColor="text1"/>
          <w:sz w:val="32"/>
          <w:szCs w:val="32"/>
        </w:rPr>
      </w:pPr>
    </w:p>
    <w:p>
      <w:pPr>
        <w:spacing w:line="460" w:lineRule="exact"/>
        <w:rPr>
          <w:rFonts w:ascii="仿宋" w:hAnsi="仿宋" w:eastAsia="仿宋" w:cs="Times New Roman"/>
          <w:color w:val="000000" w:themeColor="text1"/>
          <w:szCs w:val="24"/>
        </w:rPr>
      </w:pPr>
    </w:p>
    <w:sectPr>
      <w:footerReference r:id="rId8" w:type="default"/>
      <w:pgSz w:w="11906" w:h="16838"/>
      <w:pgMar w:top="1361" w:right="1418" w:bottom="1361" w:left="1418" w:header="851" w:footer="73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1808571"/>
      <w:docPartObj>
        <w:docPartGallery w:val="autotext"/>
      </w:docPartObj>
    </w:sdtPr>
    <w:sdtContent>
      <w:p>
        <w:pPr>
          <w:pStyle w:val="13"/>
          <w:jc w:val="center"/>
        </w:pPr>
        <w:r>
          <w:fldChar w:fldCharType="begin"/>
        </w:r>
        <w:r>
          <w:instrText xml:space="preserve">PAGE   \* MERGEFORMAT</w:instrText>
        </w:r>
        <w:r>
          <w:fldChar w:fldCharType="separate"/>
        </w:r>
        <w:r>
          <w:rPr>
            <w:lang w:val="zh-CN"/>
          </w:rPr>
          <w:t>13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53D2C"/>
    <w:multiLevelType w:val="multilevel"/>
    <w:tmpl w:val="57D53D2C"/>
    <w:lvl w:ilvl="0" w:tentative="0">
      <w:start w:val="1"/>
      <w:numFmt w:val="decimal"/>
      <w:lvlText w:val="%1"/>
      <w:lvlJc w:val="left"/>
      <w:pPr>
        <w:ind w:left="425" w:hanging="425"/>
      </w:pPr>
      <w:rPr>
        <w:rFonts w:hint="eastAsia"/>
      </w:rPr>
    </w:lvl>
    <w:lvl w:ilvl="1" w:tentative="0">
      <w:start w:val="1"/>
      <w:numFmt w:val="chineseCountingThousand"/>
      <w:pStyle w:val="35"/>
      <w:suff w:val="nothing"/>
      <w:lvlText w:val="%2、"/>
      <w:lvlJc w:val="left"/>
      <w:pPr>
        <w:ind w:left="0" w:firstLine="0"/>
      </w:pPr>
      <w:rPr>
        <w:rFonts w:hint="eastAsia"/>
      </w:rPr>
    </w:lvl>
    <w:lvl w:ilvl="2" w:tentative="0">
      <w:start w:val="1"/>
      <w:numFmt w:val="decimal"/>
      <w:pStyle w:val="41"/>
      <w:isLgl/>
      <w:suff w:val="space"/>
      <w:lvlText w:val="%2.%3"/>
      <w:lvlJc w:val="left"/>
      <w:pPr>
        <w:ind w:left="0" w:firstLine="561"/>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595C"/>
    <w:rsid w:val="0009727E"/>
    <w:rsid w:val="000A2E09"/>
    <w:rsid w:val="000C1B74"/>
    <w:rsid w:val="000D39CC"/>
    <w:rsid w:val="000F4AA2"/>
    <w:rsid w:val="000F7C7C"/>
    <w:rsid w:val="00176986"/>
    <w:rsid w:val="002261D6"/>
    <w:rsid w:val="0026363B"/>
    <w:rsid w:val="00302120"/>
    <w:rsid w:val="00323301"/>
    <w:rsid w:val="003237D0"/>
    <w:rsid w:val="00330931"/>
    <w:rsid w:val="003616C9"/>
    <w:rsid w:val="0036251B"/>
    <w:rsid w:val="003D4CC7"/>
    <w:rsid w:val="004108D0"/>
    <w:rsid w:val="00440BE3"/>
    <w:rsid w:val="00456D37"/>
    <w:rsid w:val="00473D19"/>
    <w:rsid w:val="0049257C"/>
    <w:rsid w:val="004A38A2"/>
    <w:rsid w:val="00507D17"/>
    <w:rsid w:val="00522628"/>
    <w:rsid w:val="00542869"/>
    <w:rsid w:val="005851EC"/>
    <w:rsid w:val="00585258"/>
    <w:rsid w:val="005E7C65"/>
    <w:rsid w:val="00631C97"/>
    <w:rsid w:val="00642165"/>
    <w:rsid w:val="00644C95"/>
    <w:rsid w:val="00645031"/>
    <w:rsid w:val="00772A9C"/>
    <w:rsid w:val="007745EC"/>
    <w:rsid w:val="00780F1E"/>
    <w:rsid w:val="00795D00"/>
    <w:rsid w:val="007D0183"/>
    <w:rsid w:val="007E66D6"/>
    <w:rsid w:val="00812E4F"/>
    <w:rsid w:val="00814E83"/>
    <w:rsid w:val="00821208"/>
    <w:rsid w:val="00850E71"/>
    <w:rsid w:val="00885B1C"/>
    <w:rsid w:val="008A7194"/>
    <w:rsid w:val="008C0544"/>
    <w:rsid w:val="008C1EA9"/>
    <w:rsid w:val="008C23B7"/>
    <w:rsid w:val="00932903"/>
    <w:rsid w:val="00936E7C"/>
    <w:rsid w:val="009B7322"/>
    <w:rsid w:val="009C5D46"/>
    <w:rsid w:val="009C7A8F"/>
    <w:rsid w:val="009D0DBD"/>
    <w:rsid w:val="00A20F2B"/>
    <w:rsid w:val="00A21ADA"/>
    <w:rsid w:val="00A6595C"/>
    <w:rsid w:val="00A6692C"/>
    <w:rsid w:val="00A66B95"/>
    <w:rsid w:val="00A91A19"/>
    <w:rsid w:val="00B211CD"/>
    <w:rsid w:val="00B370A2"/>
    <w:rsid w:val="00B628D4"/>
    <w:rsid w:val="00B7266E"/>
    <w:rsid w:val="00B86EB2"/>
    <w:rsid w:val="00BF27AE"/>
    <w:rsid w:val="00BF2B61"/>
    <w:rsid w:val="00C01366"/>
    <w:rsid w:val="00C02178"/>
    <w:rsid w:val="00C205EF"/>
    <w:rsid w:val="00C30AE6"/>
    <w:rsid w:val="00C34BCC"/>
    <w:rsid w:val="00C37020"/>
    <w:rsid w:val="00C7051D"/>
    <w:rsid w:val="00C72A58"/>
    <w:rsid w:val="00C86C47"/>
    <w:rsid w:val="00C9439D"/>
    <w:rsid w:val="00CE1207"/>
    <w:rsid w:val="00CF7F1E"/>
    <w:rsid w:val="00D53447"/>
    <w:rsid w:val="00D772D2"/>
    <w:rsid w:val="00DC3491"/>
    <w:rsid w:val="00E15463"/>
    <w:rsid w:val="00E15B58"/>
    <w:rsid w:val="00E3780E"/>
    <w:rsid w:val="00E866C9"/>
    <w:rsid w:val="00E95B79"/>
    <w:rsid w:val="00EE4A9F"/>
    <w:rsid w:val="00F62F3F"/>
    <w:rsid w:val="00FD078E"/>
    <w:rsid w:val="00FD35D8"/>
    <w:rsid w:val="00FF513F"/>
    <w:rsid w:val="18186C80"/>
    <w:rsid w:val="1F181F0E"/>
    <w:rsid w:val="297A4695"/>
    <w:rsid w:val="3BF11D66"/>
    <w:rsid w:val="66695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1"/>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9"/>
    <w:pPr>
      <w:keepNext/>
      <w:keepLines/>
      <w:spacing w:beforeLines="50" w:afterLines="50"/>
      <w:jc w:val="left"/>
      <w:outlineLvl w:val="1"/>
    </w:pPr>
    <w:rPr>
      <w:rFonts w:eastAsia="黑体" w:cs="仿宋" w:asciiTheme="majorHAnsi" w:hAnsiTheme="majorHAnsi"/>
      <w:b/>
      <w:bCs/>
      <w:kern w:val="0"/>
      <w:sz w:val="32"/>
      <w:szCs w:val="28"/>
      <w:lang w:bidi="en-US"/>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style>
  <w:style w:type="paragraph" w:styleId="6">
    <w:name w:val="annotation text"/>
    <w:basedOn w:val="1"/>
    <w:link w:val="43"/>
    <w:semiHidden/>
    <w:unhideWhenUsed/>
    <w:qFormat/>
    <w:uiPriority w:val="99"/>
    <w:pPr>
      <w:jc w:val="left"/>
    </w:pPr>
  </w:style>
  <w:style w:type="paragraph" w:styleId="7">
    <w:name w:val="toc 5"/>
    <w:basedOn w:val="1"/>
    <w:next w:val="1"/>
    <w:unhideWhenUsed/>
    <w:qFormat/>
    <w:uiPriority w:val="39"/>
    <w:pPr>
      <w:ind w:left="1680" w:leftChars="800"/>
    </w:pPr>
  </w:style>
  <w:style w:type="paragraph" w:styleId="8">
    <w:name w:val="toc 3"/>
    <w:basedOn w:val="1"/>
    <w:next w:val="1"/>
    <w:unhideWhenUsed/>
    <w:qFormat/>
    <w:uiPriority w:val="39"/>
    <w:pPr>
      <w:ind w:firstLine="200" w:firstLineChars="200"/>
    </w:pPr>
    <w:rPr>
      <w:rFonts w:eastAsia="仿宋"/>
      <w:sz w:val="28"/>
    </w:rPr>
  </w:style>
  <w:style w:type="paragraph" w:styleId="9">
    <w:name w:val="Plain Text"/>
    <w:basedOn w:val="1"/>
    <w:link w:val="31"/>
    <w:unhideWhenUsed/>
    <w:qFormat/>
    <w:uiPriority w:val="99"/>
    <w:pPr>
      <w:spacing w:afterLines="50" w:line="312" w:lineRule="auto"/>
      <w:ind w:firstLine="200" w:firstLineChars="200"/>
      <w:jc w:val="left"/>
    </w:pPr>
    <w:rPr>
      <w:rFonts w:ascii="等线" w:hAnsi="等线" w:eastAsia="等线"/>
    </w:rPr>
  </w:style>
  <w:style w:type="paragraph" w:styleId="10">
    <w:name w:val="toc 8"/>
    <w:basedOn w:val="1"/>
    <w:next w:val="1"/>
    <w:unhideWhenUsed/>
    <w:qFormat/>
    <w:uiPriority w:val="39"/>
    <w:pPr>
      <w:ind w:left="2940" w:leftChars="1400"/>
    </w:pPr>
  </w:style>
  <w:style w:type="paragraph" w:styleId="11">
    <w:name w:val="Date"/>
    <w:basedOn w:val="1"/>
    <w:next w:val="1"/>
    <w:link w:val="30"/>
    <w:semiHidden/>
    <w:unhideWhenUsed/>
    <w:qFormat/>
    <w:uiPriority w:val="99"/>
    <w:pPr>
      <w:ind w:left="100" w:leftChars="2500"/>
    </w:pPr>
  </w:style>
  <w:style w:type="paragraph" w:styleId="12">
    <w:name w:val="Balloon Text"/>
    <w:basedOn w:val="1"/>
    <w:link w:val="42"/>
    <w:semiHidden/>
    <w:unhideWhenUsed/>
    <w:qFormat/>
    <w:uiPriority w:val="99"/>
    <w:pPr>
      <w:spacing w:line="240" w:lineRule="auto"/>
    </w:pPr>
    <w:rPr>
      <w:sz w:val="18"/>
      <w:szCs w:val="18"/>
    </w:rPr>
  </w:style>
  <w:style w:type="paragraph" w:styleId="13">
    <w:name w:val="footer"/>
    <w:basedOn w:val="1"/>
    <w:link w:val="32"/>
    <w:unhideWhenUsed/>
    <w:qFormat/>
    <w:uiPriority w:val="99"/>
    <w:pPr>
      <w:tabs>
        <w:tab w:val="center" w:pos="4153"/>
        <w:tab w:val="right" w:pos="8306"/>
      </w:tabs>
      <w:snapToGrid w:val="0"/>
      <w:jc w:val="left"/>
    </w:pPr>
    <w:rPr>
      <w:sz w:val="18"/>
      <w:szCs w:val="24"/>
    </w:rPr>
  </w:style>
  <w:style w:type="paragraph" w:styleId="14">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9060"/>
      </w:tabs>
    </w:pPr>
    <w:rPr>
      <w:rFonts w:eastAsia="仿宋"/>
      <w:sz w:val="30"/>
    </w:rPr>
  </w:style>
  <w:style w:type="paragraph" w:styleId="16">
    <w:name w:val="toc 4"/>
    <w:basedOn w:val="1"/>
    <w:next w:val="1"/>
    <w:unhideWhenUsed/>
    <w:qFormat/>
    <w:uiPriority w:val="39"/>
    <w:pPr>
      <w:ind w:left="1260" w:leftChars="600"/>
    </w:pPr>
  </w:style>
  <w:style w:type="paragraph" w:styleId="17">
    <w:name w:val="Subtitle"/>
    <w:basedOn w:val="1"/>
    <w:next w:val="1"/>
    <w:link w:val="37"/>
    <w:qFormat/>
    <w:uiPriority w:val="11"/>
    <w:pPr>
      <w:spacing w:before="240" w:after="60"/>
      <w:jc w:val="center"/>
      <w:outlineLvl w:val="1"/>
    </w:pPr>
    <w:rPr>
      <w:rFonts w:eastAsia="黑体"/>
      <w:bCs/>
      <w:kern w:val="28"/>
      <w:sz w:val="32"/>
      <w:szCs w:val="32"/>
    </w:rPr>
  </w:style>
  <w:style w:type="paragraph" w:styleId="18">
    <w:name w:val="toc 6"/>
    <w:basedOn w:val="1"/>
    <w:next w:val="1"/>
    <w:unhideWhenUsed/>
    <w:qFormat/>
    <w:uiPriority w:val="39"/>
    <w:pPr>
      <w:ind w:left="2100" w:leftChars="1000"/>
    </w:pPr>
  </w:style>
  <w:style w:type="paragraph" w:styleId="19">
    <w:name w:val="toc 2"/>
    <w:basedOn w:val="1"/>
    <w:next w:val="1"/>
    <w:unhideWhenUsed/>
    <w:qFormat/>
    <w:uiPriority w:val="39"/>
    <w:pPr>
      <w:tabs>
        <w:tab w:val="right" w:leader="dot" w:pos="9060"/>
      </w:tabs>
    </w:pPr>
    <w:rPr>
      <w:rFonts w:eastAsia="仿宋"/>
      <w:sz w:val="30"/>
    </w:rPr>
  </w:style>
  <w:style w:type="paragraph" w:styleId="20">
    <w:name w:val="toc 9"/>
    <w:basedOn w:val="1"/>
    <w:next w:val="1"/>
    <w:unhideWhenUsed/>
    <w:qFormat/>
    <w:uiPriority w:val="39"/>
    <w:pPr>
      <w:ind w:left="3360" w:leftChars="1600"/>
    </w:pPr>
  </w:style>
  <w:style w:type="paragraph" w:styleId="21">
    <w:name w:val="Title"/>
    <w:basedOn w:val="1"/>
    <w:next w:val="1"/>
    <w:link w:val="36"/>
    <w:qFormat/>
    <w:uiPriority w:val="10"/>
    <w:pPr>
      <w:spacing w:before="120" w:after="60"/>
      <w:jc w:val="center"/>
      <w:outlineLvl w:val="0"/>
    </w:pPr>
    <w:rPr>
      <w:rFonts w:eastAsia="黑体" w:asciiTheme="majorHAnsi" w:hAnsiTheme="majorHAnsi" w:cstheme="majorBidi"/>
      <w:bCs/>
      <w:sz w:val="32"/>
      <w:szCs w:val="32"/>
    </w:rPr>
  </w:style>
  <w:style w:type="paragraph" w:styleId="22">
    <w:name w:val="annotation subject"/>
    <w:basedOn w:val="6"/>
    <w:next w:val="6"/>
    <w:link w:val="44"/>
    <w:semiHidden/>
    <w:unhideWhenUsed/>
    <w:qFormat/>
    <w:uiPriority w:val="99"/>
    <w:rPr>
      <w:b/>
      <w:bCs/>
    </w:rPr>
  </w:style>
  <w:style w:type="character" w:styleId="25">
    <w:name w:val="Hyperlink"/>
    <w:basedOn w:val="24"/>
    <w:unhideWhenUsed/>
    <w:qFormat/>
    <w:uiPriority w:val="99"/>
    <w:rPr>
      <w:color w:val="0563C1" w:themeColor="hyperlink"/>
      <w:u w:val="single"/>
    </w:rPr>
  </w:style>
  <w:style w:type="character" w:styleId="26">
    <w:name w:val="annotation reference"/>
    <w:basedOn w:val="24"/>
    <w:semiHidden/>
    <w:unhideWhenUsed/>
    <w:qFormat/>
    <w:uiPriority w:val="99"/>
    <w:rPr>
      <w:sz w:val="21"/>
      <w:szCs w:val="21"/>
    </w:rPr>
  </w:style>
  <w:style w:type="character" w:customStyle="1" w:styleId="27">
    <w:name w:val="标题 1 Char"/>
    <w:basedOn w:val="24"/>
    <w:link w:val="2"/>
    <w:qFormat/>
    <w:uiPriority w:val="9"/>
    <w:rPr>
      <w:b/>
      <w:bCs/>
      <w:kern w:val="44"/>
      <w:sz w:val="44"/>
      <w:szCs w:val="44"/>
    </w:rPr>
  </w:style>
  <w:style w:type="character" w:customStyle="1" w:styleId="28">
    <w:name w:val="标题 2 Char"/>
    <w:basedOn w:val="24"/>
    <w:link w:val="3"/>
    <w:qFormat/>
    <w:uiPriority w:val="9"/>
    <w:rPr>
      <w:rFonts w:eastAsia="黑体" w:cs="仿宋" w:asciiTheme="majorHAnsi" w:hAnsiTheme="majorHAnsi"/>
      <w:b/>
      <w:bCs/>
      <w:kern w:val="0"/>
      <w:sz w:val="32"/>
      <w:szCs w:val="28"/>
      <w:lang w:bidi="en-US"/>
    </w:rPr>
  </w:style>
  <w:style w:type="character" w:customStyle="1" w:styleId="29">
    <w:name w:val="标题 3 Char"/>
    <w:basedOn w:val="24"/>
    <w:link w:val="4"/>
    <w:qFormat/>
    <w:uiPriority w:val="9"/>
    <w:rPr>
      <w:b/>
      <w:bCs/>
      <w:sz w:val="32"/>
      <w:szCs w:val="32"/>
    </w:rPr>
  </w:style>
  <w:style w:type="character" w:customStyle="1" w:styleId="30">
    <w:name w:val="日期 Char"/>
    <w:basedOn w:val="24"/>
    <w:link w:val="11"/>
    <w:semiHidden/>
    <w:qFormat/>
    <w:uiPriority w:val="99"/>
  </w:style>
  <w:style w:type="character" w:customStyle="1" w:styleId="31">
    <w:name w:val="纯文本 Char"/>
    <w:link w:val="9"/>
    <w:qFormat/>
    <w:uiPriority w:val="99"/>
    <w:rPr>
      <w:rFonts w:ascii="等线" w:hAnsi="等线" w:eastAsia="等线"/>
    </w:rPr>
  </w:style>
  <w:style w:type="character" w:customStyle="1" w:styleId="32">
    <w:name w:val="页脚 Char"/>
    <w:link w:val="13"/>
    <w:qFormat/>
    <w:uiPriority w:val="0"/>
    <w:rPr>
      <w:sz w:val="18"/>
      <w:szCs w:val="24"/>
    </w:rPr>
  </w:style>
  <w:style w:type="character" w:customStyle="1" w:styleId="33">
    <w:name w:val="页脚 字符"/>
    <w:basedOn w:val="24"/>
    <w:qFormat/>
    <w:uiPriority w:val="99"/>
    <w:rPr>
      <w:sz w:val="18"/>
      <w:szCs w:val="18"/>
    </w:rPr>
  </w:style>
  <w:style w:type="character" w:customStyle="1" w:styleId="34">
    <w:name w:val="纯文本 字符1"/>
    <w:basedOn w:val="24"/>
    <w:semiHidden/>
    <w:qFormat/>
    <w:uiPriority w:val="99"/>
    <w:rPr>
      <w:rFonts w:hAnsi="Courier New" w:cs="Courier New" w:asciiTheme="minorEastAsia"/>
    </w:rPr>
  </w:style>
  <w:style w:type="paragraph" w:customStyle="1" w:styleId="35">
    <w:name w:val="样式节一级"/>
    <w:basedOn w:val="1"/>
    <w:qFormat/>
    <w:uiPriority w:val="0"/>
    <w:pPr>
      <w:keepNext/>
      <w:numPr>
        <w:ilvl w:val="1"/>
        <w:numId w:val="1"/>
      </w:numPr>
      <w:spacing w:beforeLines="100" w:afterLines="100"/>
      <w:outlineLvl w:val="1"/>
    </w:pPr>
    <w:rPr>
      <w:rFonts w:eastAsia="黑体"/>
      <w:b/>
      <w:sz w:val="32"/>
      <w:u w:color="000000"/>
      <w:lang w:val="zh-TW" w:eastAsia="zh-TW"/>
    </w:rPr>
  </w:style>
  <w:style w:type="character" w:customStyle="1" w:styleId="36">
    <w:name w:val="标题 Char"/>
    <w:basedOn w:val="24"/>
    <w:link w:val="21"/>
    <w:qFormat/>
    <w:uiPriority w:val="10"/>
    <w:rPr>
      <w:rFonts w:eastAsia="黑体" w:asciiTheme="majorHAnsi" w:hAnsiTheme="majorHAnsi" w:cstheme="majorBidi"/>
      <w:bCs/>
      <w:sz w:val="32"/>
      <w:szCs w:val="32"/>
    </w:rPr>
  </w:style>
  <w:style w:type="character" w:customStyle="1" w:styleId="37">
    <w:name w:val="副标题 Char"/>
    <w:basedOn w:val="24"/>
    <w:link w:val="17"/>
    <w:qFormat/>
    <w:uiPriority w:val="11"/>
    <w:rPr>
      <w:rFonts w:eastAsia="黑体"/>
      <w:bCs/>
      <w:kern w:val="28"/>
      <w:sz w:val="32"/>
      <w:szCs w:val="32"/>
    </w:rPr>
  </w:style>
  <w:style w:type="character" w:customStyle="1" w:styleId="38">
    <w:name w:val="Unresolved Mention"/>
    <w:basedOn w:val="24"/>
    <w:semiHidden/>
    <w:unhideWhenUsed/>
    <w:qFormat/>
    <w:uiPriority w:val="99"/>
    <w:rPr>
      <w:color w:val="605E5C"/>
      <w:shd w:val="clear" w:color="auto" w:fill="E1DFDD"/>
    </w:rPr>
  </w:style>
  <w:style w:type="character" w:customStyle="1" w:styleId="39">
    <w:name w:val="页眉 Char"/>
    <w:basedOn w:val="24"/>
    <w:link w:val="14"/>
    <w:qFormat/>
    <w:uiPriority w:val="99"/>
    <w:rPr>
      <w:sz w:val="18"/>
      <w:szCs w:val="18"/>
    </w:rPr>
  </w:style>
  <w:style w:type="paragraph" w:customStyle="1" w:styleId="4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41">
    <w:name w:val="样式条一款"/>
    <w:basedOn w:val="1"/>
    <w:qFormat/>
    <w:uiPriority w:val="0"/>
    <w:pPr>
      <w:numPr>
        <w:ilvl w:val="2"/>
        <w:numId w:val="1"/>
      </w:numPr>
      <w:outlineLvl w:val="2"/>
    </w:pPr>
    <w:rPr>
      <w:rFonts w:ascii="仿宋" w:hAnsi="仿宋" w:eastAsia="仿宋"/>
      <w:sz w:val="28"/>
      <w:szCs w:val="28"/>
    </w:rPr>
  </w:style>
  <w:style w:type="character" w:customStyle="1" w:styleId="42">
    <w:name w:val="批注框文本 Char"/>
    <w:basedOn w:val="24"/>
    <w:link w:val="12"/>
    <w:semiHidden/>
    <w:qFormat/>
    <w:uiPriority w:val="99"/>
    <w:rPr>
      <w:rFonts w:eastAsia="宋体"/>
      <w:sz w:val="18"/>
      <w:szCs w:val="18"/>
    </w:rPr>
  </w:style>
  <w:style w:type="character" w:customStyle="1" w:styleId="43">
    <w:name w:val="批注文字 Char"/>
    <w:basedOn w:val="24"/>
    <w:link w:val="6"/>
    <w:semiHidden/>
    <w:qFormat/>
    <w:uiPriority w:val="99"/>
    <w:rPr>
      <w:rFonts w:eastAsia="宋体"/>
      <w:sz w:val="24"/>
    </w:rPr>
  </w:style>
  <w:style w:type="character" w:customStyle="1" w:styleId="44">
    <w:name w:val="批注主题 Char"/>
    <w:basedOn w:val="43"/>
    <w:link w:val="22"/>
    <w:semiHidden/>
    <w:qFormat/>
    <w:uiPriority w:val="99"/>
    <w:rPr>
      <w:rFonts w:eastAsia="宋体"/>
      <w:b/>
      <w:bCs/>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2D911D-66D8-45E7-801F-5B5E948D867F}">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1345</Words>
  <Characters>7671</Characters>
  <Lines>63</Lines>
  <Paragraphs>17</Paragraphs>
  <TotalTime>30</TotalTime>
  <ScaleCrop>false</ScaleCrop>
  <LinksUpToDate>false</LinksUpToDate>
  <CharactersWithSpaces>8999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2020-12-15T08:15:00Z</dcterms:created>
  <dc:creator>Qin Lanna</dc:creator>
  <cp:lastModifiedBy>不二</cp:lastModifiedBy>
  <dcterms:modified xsi:type="dcterms:W3CDTF">2020-12-30T09:54:32Z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