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auto"/>
          <w:sz w:val="76"/>
          <w:szCs w:val="72"/>
        </w:rPr>
      </w:pPr>
      <w:r>
        <w:rPr>
          <w:rFonts w:hint="eastAsia" w:ascii="宋体" w:hAnsi="宋体"/>
          <w:b/>
          <w:color w:val="auto"/>
          <w:sz w:val="56"/>
          <w:szCs w:val="72"/>
        </w:rPr>
        <w:t>南宁政府采购货物</w:t>
      </w:r>
    </w:p>
    <w:p>
      <w:pPr>
        <w:jc w:val="center"/>
        <w:rPr>
          <w:rFonts w:ascii="宋体" w:hAnsi="宋体"/>
          <w:b/>
          <w:color w:val="auto"/>
          <w:sz w:val="58"/>
          <w:szCs w:val="72"/>
        </w:rPr>
      </w:pPr>
    </w:p>
    <w:p>
      <w:pPr>
        <w:rPr>
          <w:rFonts w:ascii="宋体" w:hAnsi="宋体"/>
          <w:b/>
          <w:color w:val="auto"/>
          <w:sz w:val="84"/>
          <w:szCs w:val="84"/>
        </w:rPr>
      </w:pPr>
      <w:r>
        <w:rPr>
          <w:rFonts w:hint="eastAsia" w:ascii="宋体" w:hAnsi="宋体"/>
          <w:b/>
          <w:color w:val="auto"/>
          <w:sz w:val="84"/>
          <w:szCs w:val="84"/>
        </w:rPr>
        <w:t>竞 争 性 谈 判 文 件</w:t>
      </w:r>
    </w:p>
    <w:p>
      <w:pPr>
        <w:jc w:val="center"/>
        <w:rPr>
          <w:rFonts w:ascii="宋体" w:hAnsi="宋体"/>
          <w:b/>
          <w:color w:val="auto"/>
          <w:sz w:val="56"/>
          <w:szCs w:val="72"/>
        </w:rPr>
      </w:pPr>
    </w:p>
    <w:p>
      <w:pPr>
        <w:pStyle w:val="24"/>
        <w:snapToGrid w:val="0"/>
        <w:ind w:firstLine="708" w:firstLineChars="196"/>
        <w:jc w:val="center"/>
        <w:rPr>
          <w:rFonts w:hAnsi="宋体"/>
          <w:b/>
          <w:bCs/>
          <w:color w:val="auto"/>
          <w:sz w:val="36"/>
          <w:szCs w:val="36"/>
        </w:rPr>
      </w:pPr>
    </w:p>
    <w:p>
      <w:pPr>
        <w:pStyle w:val="24"/>
        <w:snapToGrid w:val="0"/>
        <w:ind w:firstLine="708" w:firstLineChars="196"/>
        <w:jc w:val="center"/>
        <w:rPr>
          <w:rFonts w:hAnsi="宋体"/>
          <w:b/>
          <w:bCs/>
          <w:color w:val="auto"/>
          <w:sz w:val="36"/>
          <w:szCs w:val="36"/>
        </w:rPr>
      </w:pPr>
    </w:p>
    <w:p>
      <w:pPr>
        <w:pStyle w:val="24"/>
        <w:snapToGrid w:val="0"/>
        <w:ind w:firstLine="708" w:firstLineChars="196"/>
        <w:jc w:val="center"/>
        <w:rPr>
          <w:rFonts w:hAnsi="宋体"/>
          <w:b/>
          <w:bCs/>
          <w:color w:val="auto"/>
          <w:sz w:val="36"/>
          <w:szCs w:val="36"/>
        </w:rPr>
      </w:pPr>
    </w:p>
    <w:p>
      <w:pPr>
        <w:pStyle w:val="24"/>
        <w:snapToGrid w:val="0"/>
        <w:ind w:firstLine="708" w:firstLineChars="196"/>
        <w:jc w:val="center"/>
        <w:rPr>
          <w:rFonts w:hAnsi="宋体"/>
          <w:b/>
          <w:bCs/>
          <w:color w:val="auto"/>
          <w:sz w:val="36"/>
          <w:szCs w:val="36"/>
        </w:rPr>
      </w:pPr>
    </w:p>
    <w:p>
      <w:pPr>
        <w:pStyle w:val="24"/>
        <w:snapToGrid w:val="0"/>
        <w:ind w:firstLine="708" w:firstLineChars="196"/>
        <w:jc w:val="center"/>
        <w:rPr>
          <w:rFonts w:hAnsi="宋体"/>
          <w:b/>
          <w:bCs/>
          <w:color w:val="auto"/>
          <w:sz w:val="36"/>
          <w:szCs w:val="36"/>
        </w:rPr>
      </w:pPr>
    </w:p>
    <w:p>
      <w:pPr>
        <w:pStyle w:val="24"/>
        <w:snapToGrid w:val="0"/>
        <w:ind w:firstLine="708" w:firstLineChars="196"/>
        <w:jc w:val="center"/>
        <w:rPr>
          <w:rFonts w:hAnsi="宋体"/>
          <w:b/>
          <w:bCs/>
          <w:color w:val="auto"/>
          <w:sz w:val="36"/>
          <w:szCs w:val="36"/>
        </w:rPr>
      </w:pPr>
    </w:p>
    <w:p>
      <w:pPr>
        <w:pStyle w:val="24"/>
        <w:tabs>
          <w:tab w:val="left" w:pos="5640"/>
        </w:tabs>
        <w:snapToGrid w:val="0"/>
        <w:spacing w:line="360" w:lineRule="auto"/>
        <w:ind w:left="907" w:leftChars="432" w:firstLine="542" w:firstLineChars="150"/>
        <w:rPr>
          <w:rFonts w:hAnsi="宋体"/>
          <w:b/>
          <w:color w:val="auto"/>
          <w:sz w:val="36"/>
          <w:szCs w:val="36"/>
        </w:rPr>
      </w:pPr>
      <w:r>
        <w:rPr>
          <w:rFonts w:hint="eastAsia" w:hAnsi="宋体"/>
          <w:b/>
          <w:bCs/>
          <w:color w:val="auto"/>
          <w:sz w:val="36"/>
          <w:szCs w:val="36"/>
        </w:rPr>
        <w:t>项目名称：录播教室设备采购</w:t>
      </w:r>
      <w:r>
        <w:rPr>
          <w:rFonts w:hint="eastAsia" w:hAnsi="宋体"/>
          <w:b/>
          <w:color w:val="auto"/>
          <w:sz w:val="28"/>
          <w:szCs w:val="36"/>
          <w:u w:val="single"/>
        </w:rPr>
        <w:t xml:space="preserve">                    </w:t>
      </w:r>
      <w:r>
        <w:rPr>
          <w:rFonts w:hint="eastAsia" w:hAnsi="宋体"/>
          <w:b/>
          <w:color w:val="auto"/>
          <w:sz w:val="36"/>
          <w:szCs w:val="36"/>
        </w:rPr>
        <w:t xml:space="preserve"> </w:t>
      </w:r>
    </w:p>
    <w:p>
      <w:pPr>
        <w:pStyle w:val="24"/>
        <w:tabs>
          <w:tab w:val="left" w:pos="5640"/>
        </w:tabs>
        <w:snapToGrid w:val="0"/>
        <w:spacing w:line="360" w:lineRule="auto"/>
        <w:ind w:left="907" w:leftChars="432" w:firstLine="542" w:firstLineChars="150"/>
        <w:rPr>
          <w:rFonts w:hAnsi="宋体"/>
          <w:b/>
          <w:bCs/>
          <w:color w:val="auto"/>
          <w:sz w:val="36"/>
          <w:szCs w:val="36"/>
        </w:rPr>
      </w:pPr>
      <w:r>
        <w:rPr>
          <w:rFonts w:hint="eastAsia" w:hAnsi="宋体"/>
          <w:b/>
          <w:bCs/>
          <w:color w:val="auto"/>
          <w:sz w:val="36"/>
          <w:szCs w:val="36"/>
        </w:rPr>
        <w:t>项目编号：FC(3)2020474JNN</w:t>
      </w:r>
    </w:p>
    <w:p>
      <w:pPr>
        <w:pStyle w:val="24"/>
        <w:tabs>
          <w:tab w:val="left" w:pos="5640"/>
        </w:tabs>
        <w:snapToGrid w:val="0"/>
        <w:spacing w:line="360" w:lineRule="auto"/>
        <w:ind w:left="907" w:leftChars="432" w:firstLine="542" w:firstLineChars="150"/>
        <w:rPr>
          <w:rFonts w:hAnsi="宋体"/>
          <w:b/>
          <w:bCs/>
          <w:color w:val="auto"/>
          <w:w w:val="95"/>
          <w:sz w:val="36"/>
          <w:szCs w:val="36"/>
        </w:rPr>
      </w:pPr>
      <w:r>
        <w:rPr>
          <w:rFonts w:hint="eastAsia" w:hAnsi="宋体"/>
          <w:b/>
          <w:bCs/>
          <w:color w:val="auto"/>
          <w:sz w:val="36"/>
          <w:szCs w:val="36"/>
        </w:rPr>
        <w:t>审批编号:[2020]NCCXF445</w:t>
      </w:r>
      <w:r>
        <w:rPr>
          <w:rFonts w:hint="eastAsia" w:hAnsi="宋体"/>
          <w:b/>
          <w:color w:val="auto"/>
          <w:sz w:val="28"/>
          <w:szCs w:val="36"/>
          <w:u w:val="single"/>
        </w:rPr>
        <w:t xml:space="preserve">             </w:t>
      </w:r>
    </w:p>
    <w:p>
      <w:pPr>
        <w:pStyle w:val="24"/>
        <w:snapToGrid w:val="0"/>
        <w:ind w:firstLine="670" w:firstLineChars="196"/>
        <w:jc w:val="center"/>
        <w:rPr>
          <w:rFonts w:hAnsi="宋体"/>
          <w:bCs/>
          <w:color w:val="auto"/>
          <w:w w:val="95"/>
          <w:sz w:val="36"/>
          <w:szCs w:val="36"/>
        </w:rPr>
      </w:pPr>
    </w:p>
    <w:p>
      <w:pPr>
        <w:pStyle w:val="24"/>
        <w:snapToGrid w:val="0"/>
        <w:ind w:firstLine="673" w:firstLineChars="196"/>
        <w:jc w:val="center"/>
        <w:rPr>
          <w:rFonts w:hAnsi="宋体"/>
          <w:b/>
          <w:bCs/>
          <w:color w:val="auto"/>
          <w:w w:val="95"/>
          <w:sz w:val="36"/>
          <w:szCs w:val="36"/>
        </w:rPr>
      </w:pPr>
    </w:p>
    <w:p>
      <w:pPr>
        <w:pStyle w:val="24"/>
        <w:snapToGrid w:val="0"/>
        <w:ind w:firstLine="673" w:firstLineChars="196"/>
        <w:jc w:val="center"/>
        <w:rPr>
          <w:rFonts w:hAnsi="宋体"/>
          <w:b/>
          <w:bCs/>
          <w:color w:val="auto"/>
          <w:w w:val="95"/>
          <w:sz w:val="36"/>
          <w:szCs w:val="36"/>
        </w:rPr>
      </w:pPr>
    </w:p>
    <w:p>
      <w:pPr>
        <w:pStyle w:val="24"/>
        <w:snapToGrid w:val="0"/>
        <w:spacing w:line="360" w:lineRule="auto"/>
        <w:ind w:firstLine="1068" w:firstLineChars="400"/>
        <w:jc w:val="left"/>
        <w:rPr>
          <w:rFonts w:hAnsi="宋体"/>
          <w:b/>
          <w:color w:val="auto"/>
          <w:sz w:val="28"/>
          <w:szCs w:val="36"/>
          <w:u w:val="single"/>
        </w:rPr>
      </w:pPr>
      <w:r>
        <w:rPr>
          <w:rFonts w:hint="eastAsia" w:hAnsi="宋体"/>
          <w:b/>
          <w:bCs/>
          <w:color w:val="auto"/>
          <w:w w:val="95"/>
          <w:sz w:val="28"/>
          <w:szCs w:val="36"/>
        </w:rPr>
        <w:t>采购单位：</w:t>
      </w:r>
      <w:r>
        <w:rPr>
          <w:rFonts w:hint="eastAsia" w:hAnsi="宋体"/>
          <w:b/>
          <w:color w:val="auto"/>
          <w:sz w:val="28"/>
          <w:szCs w:val="36"/>
          <w:u w:val="single"/>
        </w:rPr>
        <w:t xml:space="preserve"> 南宁市人民警察训练学校                                        </w:t>
      </w:r>
    </w:p>
    <w:p>
      <w:pPr>
        <w:pStyle w:val="24"/>
        <w:snapToGrid w:val="0"/>
        <w:spacing w:line="360" w:lineRule="auto"/>
        <w:ind w:firstLine="1068" w:firstLineChars="400"/>
        <w:jc w:val="left"/>
        <w:rPr>
          <w:rFonts w:hAnsi="宋体"/>
          <w:b/>
          <w:color w:val="auto"/>
          <w:sz w:val="28"/>
          <w:szCs w:val="36"/>
          <w:u w:val="single"/>
        </w:rPr>
      </w:pPr>
      <w:r>
        <w:rPr>
          <w:rFonts w:hint="eastAsia" w:hAnsi="宋体"/>
          <w:b/>
          <w:bCs/>
          <w:color w:val="auto"/>
          <w:w w:val="95"/>
          <w:sz w:val="28"/>
          <w:szCs w:val="36"/>
        </w:rPr>
        <w:t>代理机构：</w:t>
      </w:r>
      <w:r>
        <w:rPr>
          <w:rFonts w:hint="eastAsia" w:hAnsi="宋体"/>
          <w:b/>
          <w:bCs/>
          <w:color w:val="auto"/>
          <w:sz w:val="28"/>
          <w:szCs w:val="36"/>
          <w:u w:val="single"/>
        </w:rPr>
        <w:t>广西建设工程机电设备招标中心有限公司</w:t>
      </w:r>
    </w:p>
    <w:p>
      <w:pPr>
        <w:pStyle w:val="24"/>
        <w:snapToGrid w:val="0"/>
        <w:spacing w:line="360" w:lineRule="auto"/>
        <w:ind w:firstLine="2601" w:firstLineChars="974"/>
        <w:rPr>
          <w:rFonts w:hAnsi="宋体"/>
          <w:b/>
          <w:color w:val="auto"/>
          <w:w w:val="95"/>
          <w:sz w:val="28"/>
          <w:szCs w:val="36"/>
        </w:rPr>
      </w:pPr>
      <w:r>
        <w:rPr>
          <w:rFonts w:hint="eastAsia" w:hAnsi="宋体"/>
          <w:b/>
          <w:bCs/>
          <w:color w:val="auto"/>
          <w:w w:val="95"/>
          <w:sz w:val="28"/>
          <w:szCs w:val="36"/>
        </w:rPr>
        <w:t xml:space="preserve"> </w:t>
      </w:r>
      <w:r>
        <w:rPr>
          <w:rFonts w:hint="eastAsia" w:hAnsi="宋体"/>
          <w:b/>
          <w:color w:val="auto"/>
          <w:sz w:val="28"/>
          <w:szCs w:val="36"/>
          <w:u w:val="single"/>
        </w:rPr>
        <w:t>2020</w:t>
      </w:r>
      <w:r>
        <w:rPr>
          <w:rFonts w:hint="eastAsia" w:hAnsi="宋体"/>
          <w:b/>
          <w:bCs/>
          <w:color w:val="auto"/>
          <w:w w:val="95"/>
          <w:sz w:val="28"/>
          <w:szCs w:val="36"/>
        </w:rPr>
        <w:t>年</w:t>
      </w:r>
      <w:r>
        <w:rPr>
          <w:rFonts w:hint="eastAsia" w:hAnsi="宋体"/>
          <w:b/>
          <w:bCs/>
          <w:color w:val="auto"/>
          <w:w w:val="95"/>
          <w:sz w:val="28"/>
          <w:szCs w:val="36"/>
          <w:u w:val="single"/>
          <w:lang w:val="en-US" w:eastAsia="zh-CN"/>
        </w:rPr>
        <w:t>11</w:t>
      </w:r>
      <w:r>
        <w:rPr>
          <w:rFonts w:hint="eastAsia" w:hAnsi="宋体"/>
          <w:b/>
          <w:bCs/>
          <w:color w:val="auto"/>
          <w:w w:val="95"/>
          <w:sz w:val="28"/>
          <w:szCs w:val="36"/>
        </w:rPr>
        <w:t>月</w:t>
      </w:r>
      <w:r>
        <w:rPr>
          <w:rFonts w:hint="eastAsia" w:hAnsi="宋体"/>
          <w:b/>
          <w:bCs/>
          <w:color w:val="auto"/>
          <w:w w:val="95"/>
          <w:sz w:val="28"/>
          <w:szCs w:val="36"/>
          <w:u w:val="single"/>
        </w:rPr>
        <w:t xml:space="preserve"> </w:t>
      </w:r>
      <w:r>
        <w:rPr>
          <w:rFonts w:hint="eastAsia" w:hAnsi="宋体"/>
          <w:b/>
          <w:bCs/>
          <w:color w:val="auto"/>
          <w:w w:val="95"/>
          <w:sz w:val="28"/>
          <w:szCs w:val="36"/>
          <w:u w:val="single"/>
          <w:lang w:val="en-US" w:eastAsia="zh-CN"/>
        </w:rPr>
        <w:t>16</w:t>
      </w:r>
      <w:r>
        <w:rPr>
          <w:rFonts w:hint="eastAsia" w:hAnsi="宋体"/>
          <w:b/>
          <w:bCs/>
          <w:color w:val="auto"/>
          <w:w w:val="95"/>
          <w:sz w:val="28"/>
          <w:szCs w:val="36"/>
          <w:u w:val="single"/>
        </w:rPr>
        <w:t xml:space="preserve"> </w:t>
      </w:r>
      <w:r>
        <w:rPr>
          <w:rFonts w:hint="eastAsia" w:hAnsi="宋体"/>
          <w:b/>
          <w:bCs/>
          <w:color w:val="auto"/>
          <w:w w:val="95"/>
          <w:sz w:val="28"/>
          <w:szCs w:val="36"/>
        </w:rPr>
        <w:t>日</w:t>
      </w:r>
    </w:p>
    <w:p>
      <w:pPr>
        <w:widowControl/>
        <w:jc w:val="left"/>
        <w:rPr>
          <w:rFonts w:ascii="宋体" w:hAnsi="宋体" w:cs="Courier New"/>
          <w:b/>
          <w:color w:val="auto"/>
          <w:sz w:val="44"/>
          <w:szCs w:val="44"/>
        </w:rPr>
      </w:pPr>
      <w:r>
        <w:rPr>
          <w:rFonts w:hAnsi="宋体"/>
          <w:b/>
          <w:color w:val="auto"/>
          <w:sz w:val="44"/>
          <w:szCs w:val="44"/>
        </w:rPr>
        <w:br w:type="page"/>
      </w:r>
    </w:p>
    <w:sdt>
      <w:sdtPr>
        <w:rPr>
          <w:rFonts w:ascii="宋体" w:hAnsi="宋体" w:cs="Courier New"/>
          <w:color w:val="auto"/>
          <w:szCs w:val="21"/>
        </w:rPr>
        <w:id w:val="147455754"/>
        <w:docPartObj>
          <w:docPartGallery w:val="Table of Contents"/>
          <w:docPartUnique/>
        </w:docPartObj>
      </w:sdtPr>
      <w:sdtEndPr>
        <w:rPr>
          <w:rFonts w:ascii="宋体" w:hAnsi="宋体" w:cs="Courier New"/>
          <w:color w:val="auto"/>
          <w:szCs w:val="21"/>
        </w:rPr>
      </w:sdtEndPr>
      <w:sdtContent>
        <w:p>
          <w:pPr>
            <w:jc w:val="center"/>
            <w:rPr>
              <w:color w:val="auto"/>
            </w:rPr>
          </w:pPr>
          <w:r>
            <w:rPr>
              <w:rFonts w:ascii="宋体" w:hAnsi="宋体"/>
              <w:color w:val="auto"/>
            </w:rPr>
            <w:t>目录</w:t>
          </w:r>
        </w:p>
        <w:p>
          <w:pPr>
            <w:pStyle w:val="175"/>
            <w:tabs>
              <w:tab w:val="right" w:leader="dot" w:pos="9236"/>
            </w:tabs>
            <w:rPr>
              <w:color w:val="auto"/>
            </w:rPr>
          </w:pPr>
          <w:r>
            <w:rPr>
              <w:rFonts w:hAnsi="宋体"/>
              <w:b/>
              <w:color w:val="auto"/>
              <w:sz w:val="30"/>
              <w:szCs w:val="24"/>
            </w:rPr>
            <w:fldChar w:fldCharType="begin"/>
          </w:r>
          <w:r>
            <w:rPr>
              <w:rFonts w:hAnsi="宋体"/>
              <w:b/>
              <w:color w:val="auto"/>
              <w:sz w:val="30"/>
              <w:szCs w:val="24"/>
            </w:rPr>
            <w:instrText xml:space="preserve">TOC \o "1-1" \h \u </w:instrText>
          </w:r>
          <w:r>
            <w:rPr>
              <w:rFonts w:hAnsi="宋体"/>
              <w:b/>
              <w:color w:val="auto"/>
              <w:sz w:val="30"/>
              <w:szCs w:val="24"/>
            </w:rPr>
            <w:fldChar w:fldCharType="separate"/>
          </w:r>
          <w:r>
            <w:rPr>
              <w:color w:val="auto"/>
            </w:rPr>
            <w:fldChar w:fldCharType="begin"/>
          </w:r>
          <w:r>
            <w:rPr>
              <w:color w:val="auto"/>
            </w:rPr>
            <w:instrText xml:space="preserve"> HYPERLINK \l "_Toc10854" </w:instrText>
          </w:r>
          <w:r>
            <w:rPr>
              <w:color w:val="auto"/>
            </w:rPr>
            <w:fldChar w:fldCharType="separate"/>
          </w:r>
          <w:r>
            <w:rPr>
              <w:rFonts w:hint="eastAsia" w:hAnsi="宋体"/>
              <w:color w:val="auto"/>
              <w:szCs w:val="44"/>
            </w:rPr>
            <w:t>第一章 竞争性谈判公告</w:t>
          </w:r>
          <w:r>
            <w:rPr>
              <w:color w:val="auto"/>
            </w:rPr>
            <w:tab/>
          </w:r>
          <w:r>
            <w:rPr>
              <w:color w:val="auto"/>
            </w:rPr>
            <w:fldChar w:fldCharType="begin"/>
          </w:r>
          <w:r>
            <w:rPr>
              <w:color w:val="auto"/>
            </w:rPr>
            <w:instrText xml:space="preserve"> PAGEREF _Toc10854 </w:instrText>
          </w:r>
          <w:r>
            <w:rPr>
              <w:color w:val="auto"/>
            </w:rPr>
            <w:fldChar w:fldCharType="separate"/>
          </w:r>
          <w:r>
            <w:rPr>
              <w:color w:val="auto"/>
            </w:rPr>
            <w:t>2</w:t>
          </w:r>
          <w:r>
            <w:rPr>
              <w:color w:val="auto"/>
            </w:rPr>
            <w:fldChar w:fldCharType="end"/>
          </w:r>
          <w:r>
            <w:rPr>
              <w:color w:val="auto"/>
            </w:rPr>
            <w:fldChar w:fldCharType="end"/>
          </w:r>
        </w:p>
        <w:p>
          <w:pPr>
            <w:pStyle w:val="175"/>
            <w:tabs>
              <w:tab w:val="right" w:leader="dot" w:pos="9236"/>
            </w:tabs>
            <w:rPr>
              <w:color w:val="auto"/>
            </w:rPr>
          </w:pPr>
          <w:r>
            <w:rPr>
              <w:color w:val="auto"/>
            </w:rPr>
            <w:fldChar w:fldCharType="begin"/>
          </w:r>
          <w:r>
            <w:rPr>
              <w:color w:val="auto"/>
            </w:rPr>
            <w:instrText xml:space="preserve"> HYPERLINK \l "_Toc5202" </w:instrText>
          </w:r>
          <w:r>
            <w:rPr>
              <w:color w:val="auto"/>
            </w:rPr>
            <w:fldChar w:fldCharType="separate"/>
          </w:r>
          <w:r>
            <w:rPr>
              <w:rFonts w:hint="eastAsia" w:ascii="宋体" w:hAnsi="宋体"/>
              <w:color w:val="auto"/>
              <w:szCs w:val="44"/>
            </w:rPr>
            <w:t xml:space="preserve">第二章 </w:t>
          </w:r>
          <w:r>
            <w:rPr>
              <w:rFonts w:hint="eastAsia" w:hAnsi="宋体"/>
              <w:bCs/>
              <w:color w:val="auto"/>
              <w:szCs w:val="44"/>
            </w:rPr>
            <w:t>供应商须知</w:t>
          </w:r>
          <w:r>
            <w:rPr>
              <w:color w:val="auto"/>
            </w:rPr>
            <w:tab/>
          </w:r>
          <w:r>
            <w:rPr>
              <w:color w:val="auto"/>
            </w:rPr>
            <w:fldChar w:fldCharType="begin"/>
          </w:r>
          <w:r>
            <w:rPr>
              <w:color w:val="auto"/>
            </w:rPr>
            <w:instrText xml:space="preserve"> PAGEREF _Toc5202 </w:instrText>
          </w:r>
          <w:r>
            <w:rPr>
              <w:color w:val="auto"/>
            </w:rPr>
            <w:fldChar w:fldCharType="separate"/>
          </w:r>
          <w:r>
            <w:rPr>
              <w:color w:val="auto"/>
            </w:rPr>
            <w:t>6</w:t>
          </w:r>
          <w:r>
            <w:rPr>
              <w:color w:val="auto"/>
            </w:rPr>
            <w:fldChar w:fldCharType="end"/>
          </w:r>
          <w:r>
            <w:rPr>
              <w:color w:val="auto"/>
            </w:rPr>
            <w:fldChar w:fldCharType="end"/>
          </w:r>
        </w:p>
        <w:p>
          <w:pPr>
            <w:pStyle w:val="175"/>
            <w:tabs>
              <w:tab w:val="right" w:leader="dot" w:pos="9236"/>
            </w:tabs>
            <w:rPr>
              <w:color w:val="auto"/>
            </w:rPr>
          </w:pPr>
          <w:r>
            <w:rPr>
              <w:color w:val="auto"/>
            </w:rPr>
            <w:fldChar w:fldCharType="begin"/>
          </w:r>
          <w:r>
            <w:rPr>
              <w:color w:val="auto"/>
            </w:rPr>
            <w:instrText xml:space="preserve"> HYPERLINK \l "_Toc8771" </w:instrText>
          </w:r>
          <w:r>
            <w:rPr>
              <w:color w:val="auto"/>
            </w:rPr>
            <w:fldChar w:fldCharType="separate"/>
          </w:r>
          <w:r>
            <w:rPr>
              <w:rFonts w:hint="eastAsia" w:ascii="宋体" w:hAnsi="宋体"/>
              <w:color w:val="auto"/>
              <w:szCs w:val="44"/>
            </w:rPr>
            <w:t xml:space="preserve">第三章 </w:t>
          </w:r>
          <w:r>
            <w:rPr>
              <w:rFonts w:hint="eastAsia" w:ascii="宋体" w:hAnsi="宋体"/>
              <w:bCs/>
              <w:color w:val="auto"/>
              <w:szCs w:val="44"/>
            </w:rPr>
            <w:t>项目</w:t>
          </w:r>
          <w:r>
            <w:rPr>
              <w:rFonts w:hint="eastAsia" w:ascii="宋体" w:hAnsi="宋体"/>
              <w:color w:val="auto"/>
              <w:szCs w:val="44"/>
            </w:rPr>
            <w:t>需求</w:t>
          </w:r>
          <w:r>
            <w:rPr>
              <w:color w:val="auto"/>
            </w:rPr>
            <w:tab/>
          </w:r>
          <w:r>
            <w:rPr>
              <w:color w:val="auto"/>
            </w:rPr>
            <w:fldChar w:fldCharType="begin"/>
          </w:r>
          <w:r>
            <w:rPr>
              <w:color w:val="auto"/>
            </w:rPr>
            <w:instrText xml:space="preserve"> PAGEREF _Toc8771 </w:instrText>
          </w:r>
          <w:r>
            <w:rPr>
              <w:color w:val="auto"/>
            </w:rPr>
            <w:fldChar w:fldCharType="separate"/>
          </w:r>
          <w:r>
            <w:rPr>
              <w:color w:val="auto"/>
            </w:rPr>
            <w:t>23</w:t>
          </w:r>
          <w:r>
            <w:rPr>
              <w:color w:val="auto"/>
            </w:rPr>
            <w:fldChar w:fldCharType="end"/>
          </w:r>
          <w:r>
            <w:rPr>
              <w:color w:val="auto"/>
            </w:rPr>
            <w:fldChar w:fldCharType="end"/>
          </w:r>
        </w:p>
        <w:p>
          <w:pPr>
            <w:pStyle w:val="175"/>
            <w:tabs>
              <w:tab w:val="right" w:leader="dot" w:pos="9236"/>
            </w:tabs>
            <w:rPr>
              <w:color w:val="auto"/>
            </w:rPr>
          </w:pPr>
          <w:r>
            <w:rPr>
              <w:color w:val="auto"/>
            </w:rPr>
            <w:fldChar w:fldCharType="begin"/>
          </w:r>
          <w:r>
            <w:rPr>
              <w:color w:val="auto"/>
            </w:rPr>
            <w:instrText xml:space="preserve"> HYPERLINK \l "_Toc5247" </w:instrText>
          </w:r>
          <w:r>
            <w:rPr>
              <w:color w:val="auto"/>
            </w:rPr>
            <w:fldChar w:fldCharType="separate"/>
          </w:r>
          <w:r>
            <w:rPr>
              <w:rFonts w:hint="eastAsia" w:hAnsi="宋体"/>
              <w:color w:val="auto"/>
              <w:szCs w:val="44"/>
            </w:rPr>
            <w:t>第四章 响应文件格式</w:t>
          </w:r>
          <w:r>
            <w:rPr>
              <w:color w:val="auto"/>
            </w:rPr>
            <w:tab/>
          </w:r>
          <w:r>
            <w:rPr>
              <w:color w:val="auto"/>
            </w:rPr>
            <w:fldChar w:fldCharType="begin"/>
          </w:r>
          <w:r>
            <w:rPr>
              <w:color w:val="auto"/>
            </w:rPr>
            <w:instrText xml:space="preserve"> PAGEREF _Toc5247 </w:instrText>
          </w:r>
          <w:r>
            <w:rPr>
              <w:color w:val="auto"/>
            </w:rPr>
            <w:fldChar w:fldCharType="separate"/>
          </w:r>
          <w:r>
            <w:rPr>
              <w:color w:val="auto"/>
            </w:rPr>
            <w:t>37</w:t>
          </w:r>
          <w:r>
            <w:rPr>
              <w:color w:val="auto"/>
            </w:rPr>
            <w:fldChar w:fldCharType="end"/>
          </w:r>
          <w:r>
            <w:rPr>
              <w:color w:val="auto"/>
            </w:rPr>
            <w:fldChar w:fldCharType="end"/>
          </w:r>
        </w:p>
        <w:p>
          <w:pPr>
            <w:pStyle w:val="175"/>
            <w:tabs>
              <w:tab w:val="right" w:leader="dot" w:pos="9236"/>
            </w:tabs>
            <w:rPr>
              <w:color w:val="auto"/>
            </w:rPr>
          </w:pPr>
          <w:r>
            <w:rPr>
              <w:color w:val="auto"/>
            </w:rPr>
            <w:fldChar w:fldCharType="begin"/>
          </w:r>
          <w:r>
            <w:rPr>
              <w:color w:val="auto"/>
            </w:rPr>
            <w:instrText xml:space="preserve"> HYPERLINK \l "_Toc11281" </w:instrText>
          </w:r>
          <w:r>
            <w:rPr>
              <w:color w:val="auto"/>
            </w:rPr>
            <w:fldChar w:fldCharType="separate"/>
          </w:r>
          <w:r>
            <w:rPr>
              <w:rFonts w:hint="eastAsia" w:ascii="宋体" w:hAnsi="宋体"/>
              <w:color w:val="auto"/>
              <w:szCs w:val="44"/>
            </w:rPr>
            <w:t xml:space="preserve">第五章 </w:t>
          </w:r>
          <w:r>
            <w:rPr>
              <w:rFonts w:hint="eastAsia" w:ascii="宋体" w:hAnsi="宋体"/>
              <w:bCs/>
              <w:color w:val="auto"/>
              <w:szCs w:val="44"/>
            </w:rPr>
            <w:t>合同主要条款</w:t>
          </w:r>
          <w:r>
            <w:rPr>
              <w:color w:val="auto"/>
            </w:rPr>
            <w:tab/>
          </w:r>
          <w:r>
            <w:rPr>
              <w:color w:val="auto"/>
            </w:rPr>
            <w:fldChar w:fldCharType="begin"/>
          </w:r>
          <w:r>
            <w:rPr>
              <w:color w:val="auto"/>
            </w:rPr>
            <w:instrText xml:space="preserve"> PAGEREF _Toc11281 </w:instrText>
          </w:r>
          <w:r>
            <w:rPr>
              <w:color w:val="auto"/>
            </w:rPr>
            <w:fldChar w:fldCharType="separate"/>
          </w:r>
          <w:r>
            <w:rPr>
              <w:color w:val="auto"/>
            </w:rPr>
            <w:t>50</w:t>
          </w:r>
          <w:r>
            <w:rPr>
              <w:color w:val="auto"/>
            </w:rPr>
            <w:fldChar w:fldCharType="end"/>
          </w:r>
          <w:r>
            <w:rPr>
              <w:color w:val="auto"/>
            </w:rPr>
            <w:fldChar w:fldCharType="end"/>
          </w:r>
        </w:p>
        <w:p>
          <w:pPr>
            <w:pStyle w:val="175"/>
            <w:tabs>
              <w:tab w:val="right" w:leader="dot" w:pos="9236"/>
            </w:tabs>
            <w:rPr>
              <w:color w:val="auto"/>
            </w:rPr>
          </w:pPr>
          <w:r>
            <w:rPr>
              <w:color w:val="auto"/>
            </w:rPr>
            <w:fldChar w:fldCharType="begin"/>
          </w:r>
          <w:r>
            <w:rPr>
              <w:color w:val="auto"/>
            </w:rPr>
            <w:instrText xml:space="preserve"> HYPERLINK \l "_Toc4920" </w:instrText>
          </w:r>
          <w:r>
            <w:rPr>
              <w:color w:val="auto"/>
            </w:rPr>
            <w:fldChar w:fldCharType="separate"/>
          </w:r>
          <w:r>
            <w:rPr>
              <w:rFonts w:hint="eastAsia" w:hAnsi="宋体"/>
              <w:color w:val="auto"/>
              <w:szCs w:val="44"/>
            </w:rPr>
            <w:t>第六章  评审办法及评审标准</w:t>
          </w:r>
          <w:r>
            <w:rPr>
              <w:color w:val="auto"/>
            </w:rPr>
            <w:tab/>
          </w:r>
          <w:r>
            <w:rPr>
              <w:color w:val="auto"/>
            </w:rPr>
            <w:fldChar w:fldCharType="begin"/>
          </w:r>
          <w:r>
            <w:rPr>
              <w:color w:val="auto"/>
            </w:rPr>
            <w:instrText xml:space="preserve"> PAGEREF _Toc4920 </w:instrText>
          </w:r>
          <w:r>
            <w:rPr>
              <w:color w:val="auto"/>
            </w:rPr>
            <w:fldChar w:fldCharType="separate"/>
          </w:r>
          <w:r>
            <w:rPr>
              <w:color w:val="auto"/>
            </w:rPr>
            <w:t>58</w:t>
          </w:r>
          <w:r>
            <w:rPr>
              <w:color w:val="auto"/>
            </w:rPr>
            <w:fldChar w:fldCharType="end"/>
          </w:r>
          <w:r>
            <w:rPr>
              <w:color w:val="auto"/>
            </w:rPr>
            <w:fldChar w:fldCharType="end"/>
          </w:r>
        </w:p>
        <w:p>
          <w:pPr>
            <w:pStyle w:val="175"/>
            <w:tabs>
              <w:tab w:val="right" w:leader="dot" w:pos="9236"/>
            </w:tabs>
            <w:rPr>
              <w:color w:val="auto"/>
            </w:rPr>
          </w:pPr>
          <w:r>
            <w:rPr>
              <w:color w:val="auto"/>
            </w:rPr>
            <w:fldChar w:fldCharType="begin"/>
          </w:r>
          <w:r>
            <w:rPr>
              <w:color w:val="auto"/>
            </w:rPr>
            <w:instrText xml:space="preserve"> HYPERLINK \l "_Toc10781" </w:instrText>
          </w:r>
          <w:r>
            <w:rPr>
              <w:color w:val="auto"/>
            </w:rPr>
            <w:fldChar w:fldCharType="separate"/>
          </w:r>
          <w:r>
            <w:rPr>
              <w:rFonts w:hint="eastAsia" w:ascii="宋体" w:hAnsi="宋体" w:cs="宋体"/>
              <w:color w:val="auto"/>
              <w:szCs w:val="36"/>
            </w:rPr>
            <w:t>第七章  质疑书及投诉书格式</w:t>
          </w:r>
          <w:r>
            <w:rPr>
              <w:color w:val="auto"/>
            </w:rPr>
            <w:tab/>
          </w:r>
          <w:r>
            <w:rPr>
              <w:color w:val="auto"/>
            </w:rPr>
            <w:fldChar w:fldCharType="begin"/>
          </w:r>
          <w:r>
            <w:rPr>
              <w:color w:val="auto"/>
            </w:rPr>
            <w:instrText xml:space="preserve"> PAGEREF _Toc10781 </w:instrText>
          </w:r>
          <w:r>
            <w:rPr>
              <w:color w:val="auto"/>
            </w:rPr>
            <w:fldChar w:fldCharType="separate"/>
          </w:r>
          <w:r>
            <w:rPr>
              <w:color w:val="auto"/>
            </w:rPr>
            <w:t>61</w:t>
          </w:r>
          <w:r>
            <w:rPr>
              <w:color w:val="auto"/>
            </w:rPr>
            <w:fldChar w:fldCharType="end"/>
          </w:r>
          <w:r>
            <w:rPr>
              <w:color w:val="auto"/>
            </w:rPr>
            <w:fldChar w:fldCharType="end"/>
          </w:r>
        </w:p>
        <w:p>
          <w:pPr>
            <w:pStyle w:val="175"/>
            <w:tabs>
              <w:tab w:val="right" w:leader="dot" w:pos="9236"/>
            </w:tabs>
            <w:rPr>
              <w:color w:val="auto"/>
            </w:rPr>
          </w:pPr>
          <w:r>
            <w:rPr>
              <w:color w:val="auto"/>
            </w:rPr>
            <w:fldChar w:fldCharType="begin"/>
          </w:r>
          <w:r>
            <w:rPr>
              <w:color w:val="auto"/>
            </w:rPr>
            <w:instrText xml:space="preserve"> HYPERLINK \l "_Toc20572" </w:instrText>
          </w:r>
          <w:r>
            <w:rPr>
              <w:color w:val="auto"/>
            </w:rPr>
            <w:fldChar w:fldCharType="separate"/>
          </w:r>
          <w:r>
            <w:rPr>
              <w:rFonts w:hint="eastAsia" w:ascii="宋体" w:hAnsi="宋体" w:cs="宋体"/>
              <w:color w:val="auto"/>
              <w:szCs w:val="36"/>
            </w:rPr>
            <w:t>成交通知书</w:t>
          </w:r>
          <w:r>
            <w:rPr>
              <w:color w:val="auto"/>
            </w:rPr>
            <w:tab/>
          </w:r>
          <w:r>
            <w:rPr>
              <w:color w:val="auto"/>
            </w:rPr>
            <w:fldChar w:fldCharType="begin"/>
          </w:r>
          <w:r>
            <w:rPr>
              <w:color w:val="auto"/>
            </w:rPr>
            <w:instrText xml:space="preserve"> PAGEREF _Toc20572 </w:instrText>
          </w:r>
          <w:r>
            <w:rPr>
              <w:color w:val="auto"/>
            </w:rPr>
            <w:fldChar w:fldCharType="separate"/>
          </w:r>
          <w:r>
            <w:rPr>
              <w:color w:val="auto"/>
            </w:rPr>
            <w:t>66</w:t>
          </w:r>
          <w:r>
            <w:rPr>
              <w:color w:val="auto"/>
            </w:rPr>
            <w:fldChar w:fldCharType="end"/>
          </w:r>
          <w:r>
            <w:rPr>
              <w:color w:val="auto"/>
            </w:rPr>
            <w:fldChar w:fldCharType="end"/>
          </w:r>
        </w:p>
        <w:p>
          <w:pPr>
            <w:pStyle w:val="24"/>
            <w:snapToGrid w:val="0"/>
            <w:spacing w:before="120" w:after="120" w:line="360" w:lineRule="auto"/>
            <w:ind w:firstLine="102" w:firstLineChars="49"/>
            <w:rPr>
              <w:rFonts w:hAnsi="宋体" w:cs="Times New Roman"/>
              <w:b/>
              <w:color w:val="auto"/>
              <w:sz w:val="30"/>
              <w:szCs w:val="24"/>
            </w:rPr>
          </w:pPr>
          <w:r>
            <w:rPr>
              <w:rFonts w:hAnsi="宋体" w:cs="Times New Roman"/>
              <w:color w:val="auto"/>
              <w:szCs w:val="24"/>
            </w:rPr>
            <w:fldChar w:fldCharType="end"/>
          </w:r>
        </w:p>
      </w:sdtContent>
    </w:sdt>
    <w:p>
      <w:pPr>
        <w:pStyle w:val="24"/>
        <w:snapToGrid w:val="0"/>
        <w:spacing w:before="120" w:after="120"/>
        <w:jc w:val="center"/>
        <w:rPr>
          <w:rFonts w:hAnsi="宋体"/>
          <w:b/>
          <w:color w:val="auto"/>
          <w:kern w:val="0"/>
          <w:sz w:val="24"/>
        </w:rPr>
      </w:pPr>
      <w:r>
        <w:rPr>
          <w:rFonts w:hAnsi="宋体"/>
          <w:b/>
          <w:color w:val="auto"/>
          <w:kern w:val="0"/>
          <w:sz w:val="24"/>
        </w:rPr>
        <w:br w:type="page"/>
      </w:r>
    </w:p>
    <w:p>
      <w:pPr>
        <w:pStyle w:val="24"/>
        <w:snapToGrid w:val="0"/>
        <w:spacing w:before="120" w:after="120"/>
        <w:jc w:val="center"/>
        <w:rPr>
          <w:rFonts w:hAnsi="宋体"/>
          <w:b/>
          <w:color w:val="auto"/>
          <w:kern w:val="0"/>
          <w:sz w:val="24"/>
        </w:rPr>
      </w:pPr>
    </w:p>
    <w:p>
      <w:pPr>
        <w:pStyle w:val="24"/>
        <w:snapToGrid w:val="0"/>
        <w:spacing w:before="120" w:after="120"/>
        <w:jc w:val="center"/>
        <w:rPr>
          <w:rFonts w:hAnsi="宋体"/>
          <w:b/>
          <w:color w:val="auto"/>
          <w:kern w:val="0"/>
          <w:sz w:val="24"/>
        </w:rPr>
      </w:pPr>
    </w:p>
    <w:p>
      <w:pPr>
        <w:pStyle w:val="24"/>
        <w:snapToGrid w:val="0"/>
        <w:spacing w:before="120" w:after="120"/>
        <w:jc w:val="center"/>
        <w:rPr>
          <w:rFonts w:hAnsi="宋体"/>
          <w:b/>
          <w:color w:val="auto"/>
          <w:kern w:val="0"/>
          <w:sz w:val="24"/>
        </w:rPr>
      </w:pPr>
    </w:p>
    <w:p>
      <w:pPr>
        <w:pStyle w:val="24"/>
        <w:snapToGrid w:val="0"/>
        <w:spacing w:before="120" w:after="120"/>
        <w:jc w:val="center"/>
        <w:rPr>
          <w:rFonts w:hAnsi="宋体"/>
          <w:b/>
          <w:color w:val="auto"/>
          <w:kern w:val="0"/>
          <w:sz w:val="24"/>
        </w:rPr>
      </w:pPr>
    </w:p>
    <w:p>
      <w:pPr>
        <w:pStyle w:val="24"/>
        <w:snapToGrid w:val="0"/>
        <w:spacing w:before="120" w:after="120"/>
        <w:jc w:val="center"/>
        <w:rPr>
          <w:rFonts w:hAnsi="宋体"/>
          <w:b/>
          <w:color w:val="auto"/>
          <w:kern w:val="0"/>
          <w:sz w:val="24"/>
        </w:rPr>
      </w:pPr>
    </w:p>
    <w:p>
      <w:pPr>
        <w:pStyle w:val="24"/>
        <w:snapToGrid w:val="0"/>
        <w:spacing w:before="120" w:after="120"/>
        <w:jc w:val="center"/>
        <w:rPr>
          <w:rFonts w:hAnsi="宋体"/>
          <w:b/>
          <w:color w:val="auto"/>
          <w:kern w:val="0"/>
          <w:sz w:val="24"/>
        </w:rPr>
      </w:pPr>
    </w:p>
    <w:p>
      <w:pPr>
        <w:pStyle w:val="24"/>
        <w:snapToGrid w:val="0"/>
        <w:spacing w:before="120" w:after="120"/>
        <w:jc w:val="center"/>
        <w:rPr>
          <w:rFonts w:hAnsi="宋体"/>
          <w:b/>
          <w:color w:val="auto"/>
          <w:kern w:val="0"/>
          <w:sz w:val="24"/>
        </w:rPr>
      </w:pPr>
    </w:p>
    <w:p>
      <w:pPr>
        <w:pStyle w:val="24"/>
        <w:snapToGrid w:val="0"/>
        <w:spacing w:before="120" w:after="120"/>
        <w:jc w:val="center"/>
        <w:rPr>
          <w:rFonts w:hAnsi="宋体"/>
          <w:b/>
          <w:color w:val="auto"/>
          <w:kern w:val="0"/>
          <w:sz w:val="24"/>
        </w:rPr>
      </w:pPr>
    </w:p>
    <w:p>
      <w:pPr>
        <w:pStyle w:val="24"/>
        <w:snapToGrid w:val="0"/>
        <w:spacing w:before="120" w:after="120"/>
        <w:jc w:val="center"/>
        <w:rPr>
          <w:rFonts w:hAnsi="宋体"/>
          <w:b/>
          <w:color w:val="auto"/>
          <w:kern w:val="0"/>
          <w:sz w:val="24"/>
        </w:rPr>
      </w:pPr>
    </w:p>
    <w:p>
      <w:pPr>
        <w:pStyle w:val="24"/>
        <w:snapToGrid w:val="0"/>
        <w:spacing w:before="120" w:after="120"/>
        <w:jc w:val="center"/>
        <w:rPr>
          <w:rFonts w:hAnsi="宋体"/>
          <w:b/>
          <w:color w:val="auto"/>
          <w:kern w:val="0"/>
          <w:sz w:val="24"/>
        </w:rPr>
      </w:pPr>
    </w:p>
    <w:p>
      <w:pPr>
        <w:pStyle w:val="24"/>
        <w:snapToGrid w:val="0"/>
        <w:spacing w:before="120" w:after="120"/>
        <w:jc w:val="center"/>
        <w:outlineLvl w:val="0"/>
        <w:rPr>
          <w:rFonts w:hAnsi="宋体"/>
          <w:b/>
          <w:color w:val="auto"/>
          <w:sz w:val="44"/>
          <w:szCs w:val="44"/>
        </w:rPr>
      </w:pPr>
      <w:bookmarkStart w:id="0" w:name="_Toc10854"/>
      <w:r>
        <w:rPr>
          <w:rFonts w:hint="eastAsia" w:hAnsi="宋体"/>
          <w:b/>
          <w:color w:val="auto"/>
          <w:sz w:val="44"/>
          <w:szCs w:val="44"/>
        </w:rPr>
        <w:t>第一章 竞争性谈判公告</w:t>
      </w:r>
      <w:bookmarkEnd w:id="0"/>
    </w:p>
    <w:p>
      <w:pPr>
        <w:rPr>
          <w:rFonts w:ascii="宋体" w:hAnsi="宋体"/>
          <w:b/>
          <w:color w:val="auto"/>
          <w:kern w:val="0"/>
          <w:sz w:val="24"/>
        </w:rPr>
      </w:pPr>
    </w:p>
    <w:p>
      <w:pPr>
        <w:jc w:val="center"/>
        <w:rPr>
          <w:rFonts w:ascii="宋体" w:hAnsi="宋体"/>
          <w:color w:val="auto"/>
          <w:sz w:val="32"/>
          <w:szCs w:val="32"/>
        </w:rPr>
      </w:pPr>
      <w:r>
        <w:rPr>
          <w:rFonts w:hint="eastAsia" w:ascii="宋体" w:hAnsi="宋体"/>
          <w:color w:val="auto"/>
          <w:sz w:val="24"/>
        </w:rPr>
        <w:t xml:space="preserve"> </w:t>
      </w:r>
      <w:r>
        <w:rPr>
          <w:rFonts w:hint="eastAsia" w:ascii="宋体" w:hAnsi="宋体"/>
          <w:color w:val="auto"/>
          <w:sz w:val="32"/>
          <w:szCs w:val="32"/>
        </w:rPr>
        <w:t xml:space="preserve"> </w:t>
      </w:r>
    </w:p>
    <w:p>
      <w:pPr>
        <w:shd w:val="clear" w:color="auto" w:fill="FFFFFF"/>
        <w:snapToGrid w:val="0"/>
        <w:ind w:left="-359" w:leftChars="-171"/>
        <w:jc w:val="center"/>
        <w:outlineLvl w:val="1"/>
        <w:rPr>
          <w:rFonts w:ascii="宋体" w:hAnsi="宋体"/>
          <w:b/>
          <w:color w:val="auto"/>
          <w:sz w:val="32"/>
          <w:szCs w:val="32"/>
        </w:rPr>
      </w:pPr>
      <w:r>
        <w:rPr>
          <w:rFonts w:ascii="宋体" w:hAnsi="宋体"/>
          <w:color w:val="auto"/>
          <w:sz w:val="32"/>
          <w:szCs w:val="32"/>
        </w:rPr>
        <w:br w:type="page"/>
      </w:r>
      <w:r>
        <w:rPr>
          <w:rFonts w:hint="eastAsia" w:ascii="宋体" w:hAnsi="宋体"/>
          <w:b/>
          <w:color w:val="auto"/>
          <w:sz w:val="32"/>
          <w:szCs w:val="32"/>
        </w:rPr>
        <w:t>广西建设工程机电设备招标中心有限公司</w:t>
      </w:r>
    </w:p>
    <w:p>
      <w:pPr>
        <w:shd w:val="clear" w:color="auto" w:fill="FFFFFF"/>
        <w:snapToGrid w:val="0"/>
        <w:ind w:left="-359" w:leftChars="-171"/>
        <w:jc w:val="center"/>
        <w:outlineLvl w:val="1"/>
        <w:rPr>
          <w:rFonts w:hAnsi="宋体"/>
          <w:b/>
          <w:color w:val="auto"/>
          <w:sz w:val="32"/>
          <w:szCs w:val="32"/>
        </w:rPr>
      </w:pPr>
      <w:r>
        <w:rPr>
          <w:rFonts w:hint="eastAsia" w:ascii="宋体" w:hAnsi="宋体"/>
          <w:b/>
          <w:color w:val="auto"/>
          <w:sz w:val="32"/>
          <w:szCs w:val="32"/>
        </w:rPr>
        <w:t xml:space="preserve"> 录播教室设备采购 </w:t>
      </w:r>
      <w:r>
        <w:rPr>
          <w:rFonts w:hint="eastAsia" w:hAnsi="宋体"/>
          <w:b/>
          <w:color w:val="auto"/>
          <w:sz w:val="32"/>
          <w:szCs w:val="32"/>
        </w:rPr>
        <w:t>（采购编号：</w:t>
      </w:r>
      <w:r>
        <w:rPr>
          <w:rFonts w:hint="eastAsia" w:hAnsi="宋体"/>
          <w:b/>
          <w:bCs/>
          <w:color w:val="auto"/>
          <w:sz w:val="36"/>
          <w:szCs w:val="36"/>
        </w:rPr>
        <w:t>FC(3)2020474JNN</w:t>
      </w:r>
      <w:r>
        <w:rPr>
          <w:rFonts w:hint="eastAsia" w:hAnsi="宋体"/>
          <w:b/>
          <w:color w:val="auto"/>
          <w:sz w:val="32"/>
          <w:szCs w:val="32"/>
        </w:rPr>
        <w:t>）</w:t>
      </w:r>
    </w:p>
    <w:p>
      <w:pPr>
        <w:shd w:val="clear" w:color="auto" w:fill="FFFFFF"/>
        <w:snapToGrid w:val="0"/>
        <w:ind w:left="-359" w:leftChars="-171"/>
        <w:jc w:val="center"/>
        <w:outlineLvl w:val="1"/>
        <w:rPr>
          <w:rFonts w:hAnsi="宋体"/>
          <w:b/>
          <w:color w:val="auto"/>
          <w:sz w:val="32"/>
          <w:szCs w:val="32"/>
        </w:rPr>
      </w:pPr>
      <w:r>
        <w:rPr>
          <w:rFonts w:hint="eastAsia" w:hAnsi="宋体"/>
          <w:b/>
          <w:color w:val="auto"/>
          <w:sz w:val="32"/>
          <w:szCs w:val="32"/>
        </w:rPr>
        <w:t>竞争性谈判公告</w:t>
      </w:r>
    </w:p>
    <w:p>
      <w:pPr>
        <w:rPr>
          <w:rFonts w:ascii="宋体" w:hAnsi="宋体" w:cs="宋体"/>
          <w:color w:val="auto"/>
          <w:szCs w:val="21"/>
        </w:rPr>
      </w:pPr>
      <w:r>
        <w:rPr>
          <w:rFonts w:ascii="宋体" w:hAnsi="宋体"/>
          <w:color w:val="auto"/>
          <w:sz w:val="28"/>
          <w:szCs w:val="28"/>
        </w:rPr>
        <w:t xml:space="preserve">   </w:t>
      </w:r>
      <w:r>
        <w:rPr>
          <w:rFonts w:ascii="宋体" w:hAnsi="宋体"/>
          <w:color w:val="auto"/>
          <w:sz w:val="24"/>
        </w:rPr>
        <w:t xml:space="preserve"> </w:t>
      </w:r>
    </w:p>
    <w:p>
      <w:pPr>
        <w:pBdr>
          <w:top w:val="single" w:color="auto" w:sz="4" w:space="1"/>
          <w:left w:val="single" w:color="auto" w:sz="4" w:space="4"/>
          <w:bottom w:val="single" w:color="auto" w:sz="4" w:space="1"/>
          <w:right w:val="single" w:color="auto" w:sz="4" w:space="4"/>
        </w:pBdr>
        <w:ind w:firstLine="420" w:firstLineChars="200"/>
        <w:rPr>
          <w:rFonts w:ascii="宋体" w:hAnsi="宋体" w:cs="宋体"/>
          <w:color w:val="auto"/>
          <w:szCs w:val="21"/>
        </w:rPr>
      </w:pPr>
      <w:r>
        <w:rPr>
          <w:rFonts w:hint="eastAsia" w:ascii="宋体" w:hAnsi="宋体" w:cs="宋体"/>
          <w:color w:val="auto"/>
          <w:szCs w:val="21"/>
        </w:rPr>
        <w:t>项目概况</w:t>
      </w:r>
    </w:p>
    <w:p>
      <w:pPr>
        <w:pBdr>
          <w:top w:val="single" w:color="auto" w:sz="4" w:space="1"/>
          <w:left w:val="single" w:color="auto" w:sz="4" w:space="4"/>
          <w:bottom w:val="single" w:color="auto" w:sz="4" w:space="1"/>
          <w:right w:val="single" w:color="auto" w:sz="4" w:space="4"/>
        </w:pBdr>
        <w:ind w:firstLine="420" w:firstLineChars="200"/>
        <w:rPr>
          <w:rFonts w:ascii="宋体" w:hAnsi="宋体" w:cs="宋体"/>
          <w:color w:val="auto"/>
          <w:szCs w:val="21"/>
        </w:rPr>
      </w:pPr>
      <w:r>
        <w:rPr>
          <w:rFonts w:hint="eastAsia" w:ascii="宋体" w:hAnsi="宋体" w:cs="宋体"/>
          <w:color w:val="auto"/>
          <w:szCs w:val="21"/>
          <w:u w:val="single"/>
        </w:rPr>
        <w:t xml:space="preserve"> 录播教室设备采购</w:t>
      </w:r>
      <w:r>
        <w:rPr>
          <w:rFonts w:hint="eastAsia" w:ascii="宋体" w:hAnsi="宋体" w:cs="宋体"/>
          <w:color w:val="auto"/>
          <w:szCs w:val="21"/>
        </w:rPr>
        <w:t xml:space="preserve"> 采购项目的潜在供应商应在</w:t>
      </w:r>
      <w:r>
        <w:rPr>
          <w:rFonts w:hint="eastAsia" w:ascii="宋体" w:hAnsi="宋体"/>
          <w:color w:val="auto"/>
          <w:szCs w:val="21"/>
          <w:u w:val="single"/>
        </w:rPr>
        <w:t>南宁市公共资源交易平台（https://www.nnggzy.org.cn/gxnnzbw/）免费下载</w:t>
      </w:r>
      <w:r>
        <w:rPr>
          <w:rFonts w:hint="eastAsia" w:ascii="宋体" w:hAnsi="宋体" w:cs="宋体"/>
          <w:color w:val="auto"/>
          <w:szCs w:val="21"/>
        </w:rPr>
        <w:t>获取采购文件，并于</w:t>
      </w:r>
      <w:r>
        <w:rPr>
          <w:rFonts w:hint="eastAsia" w:ascii="宋体" w:hAnsi="宋体" w:cs="宋体"/>
          <w:color w:val="auto"/>
          <w:szCs w:val="21"/>
          <w:u w:val="single"/>
        </w:rPr>
        <w:t>2020</w:t>
      </w:r>
      <w:r>
        <w:rPr>
          <w:rFonts w:hint="eastAsia" w:ascii="宋体" w:hAnsi="宋体" w:cs="宋体"/>
          <w:bCs/>
          <w:color w:val="auto"/>
          <w:szCs w:val="21"/>
          <w:u w:val="single"/>
        </w:rPr>
        <w:t>年</w:t>
      </w:r>
      <w:r>
        <w:rPr>
          <w:rFonts w:hint="eastAsia" w:ascii="宋体" w:hAnsi="宋体" w:cs="宋体"/>
          <w:bCs/>
          <w:color w:val="auto"/>
          <w:szCs w:val="21"/>
          <w:u w:val="single"/>
          <w:lang w:val="en-US" w:eastAsia="zh-CN"/>
        </w:rPr>
        <w:t>11</w:t>
      </w:r>
      <w:r>
        <w:rPr>
          <w:rFonts w:hint="eastAsia" w:ascii="宋体" w:hAnsi="宋体" w:cs="宋体"/>
          <w:bCs/>
          <w:color w:val="auto"/>
          <w:szCs w:val="21"/>
          <w:u w:val="single"/>
        </w:rPr>
        <w:t>月</w:t>
      </w:r>
      <w:r>
        <w:rPr>
          <w:rFonts w:hint="eastAsia" w:ascii="宋体" w:hAnsi="宋体" w:cs="宋体"/>
          <w:bCs/>
          <w:color w:val="auto"/>
          <w:szCs w:val="21"/>
          <w:u w:val="single"/>
          <w:lang w:val="en-US" w:eastAsia="zh-CN"/>
        </w:rPr>
        <w:t>20</w:t>
      </w:r>
      <w:r>
        <w:rPr>
          <w:rFonts w:hint="eastAsia" w:ascii="宋体" w:hAnsi="宋体" w:cs="宋体"/>
          <w:bCs/>
          <w:color w:val="auto"/>
          <w:szCs w:val="21"/>
          <w:u w:val="single"/>
        </w:rPr>
        <w:t>日</w:t>
      </w:r>
      <w:r>
        <w:rPr>
          <w:rFonts w:hint="eastAsia" w:ascii="宋体" w:hAnsi="宋体" w:cs="宋体"/>
          <w:bCs/>
          <w:color w:val="auto"/>
          <w:szCs w:val="21"/>
          <w:u w:val="single"/>
          <w:lang w:val="en-US" w:eastAsia="zh-CN"/>
        </w:rPr>
        <w:t>13</w:t>
      </w:r>
      <w:r>
        <w:rPr>
          <w:rFonts w:hint="eastAsia" w:ascii="宋体" w:hAnsi="宋体" w:cs="宋体"/>
          <w:bCs/>
          <w:color w:val="auto"/>
          <w:szCs w:val="21"/>
          <w:u w:val="single"/>
        </w:rPr>
        <w:t>点</w:t>
      </w:r>
      <w:r>
        <w:rPr>
          <w:rFonts w:hint="eastAsia" w:ascii="宋体" w:hAnsi="宋体" w:cs="宋体"/>
          <w:bCs/>
          <w:color w:val="auto"/>
          <w:szCs w:val="21"/>
          <w:u w:val="single"/>
          <w:lang w:val="en-US" w:eastAsia="zh-CN"/>
        </w:rPr>
        <w:t>00</w:t>
      </w:r>
      <w:r>
        <w:rPr>
          <w:rFonts w:hint="eastAsia" w:ascii="宋体" w:hAnsi="宋体" w:cs="宋体"/>
          <w:bCs/>
          <w:color w:val="auto"/>
          <w:szCs w:val="21"/>
          <w:u w:val="single"/>
        </w:rPr>
        <w:t>分</w:t>
      </w:r>
      <w:r>
        <w:rPr>
          <w:rFonts w:hint="eastAsia" w:ascii="宋体" w:hAnsi="宋体" w:cs="宋体"/>
          <w:bCs/>
          <w:color w:val="auto"/>
          <w:szCs w:val="21"/>
        </w:rPr>
        <w:t>（北京时间）前提交响应文件</w:t>
      </w:r>
      <w:r>
        <w:rPr>
          <w:rFonts w:hint="eastAsia" w:ascii="宋体" w:hAnsi="宋体" w:cs="宋体"/>
          <w:color w:val="auto"/>
          <w:szCs w:val="21"/>
        </w:rPr>
        <w:t>。</w:t>
      </w:r>
    </w:p>
    <w:p>
      <w:pPr>
        <w:rPr>
          <w:rFonts w:ascii="宋体" w:hAnsi="宋体" w:cs="宋体"/>
          <w:color w:val="auto"/>
          <w:szCs w:val="21"/>
        </w:rPr>
      </w:pPr>
    </w:p>
    <w:p>
      <w:pPr>
        <w:pStyle w:val="4"/>
        <w:spacing w:line="360" w:lineRule="auto"/>
        <w:rPr>
          <w:rFonts w:ascii="宋体" w:hAnsi="宋体" w:cs="宋体"/>
          <w:bCs w:val="0"/>
          <w:color w:val="auto"/>
          <w:szCs w:val="21"/>
        </w:rPr>
      </w:pPr>
      <w:bookmarkStart w:id="1" w:name="_Toc35393798"/>
      <w:bookmarkStart w:id="2" w:name="_Toc28359012"/>
      <w:bookmarkStart w:id="3" w:name="_Toc35393629"/>
      <w:bookmarkStart w:id="4" w:name="_Toc28359089"/>
      <w:r>
        <w:rPr>
          <w:rFonts w:hint="eastAsia" w:ascii="宋体" w:hAnsi="宋体" w:cs="宋体"/>
          <w:bCs w:val="0"/>
          <w:color w:val="auto"/>
          <w:szCs w:val="21"/>
        </w:rPr>
        <w:t>一、项目基本情况</w:t>
      </w:r>
      <w:bookmarkEnd w:id="1"/>
      <w:bookmarkEnd w:id="2"/>
      <w:bookmarkEnd w:id="3"/>
      <w:bookmarkEnd w:id="4"/>
    </w:p>
    <w:p>
      <w:pPr>
        <w:ind w:firstLine="420" w:firstLineChars="200"/>
        <w:rPr>
          <w:rFonts w:ascii="宋体" w:hAnsi="宋体" w:cs="宋体"/>
          <w:color w:val="auto"/>
          <w:szCs w:val="21"/>
        </w:rPr>
      </w:pPr>
      <w:r>
        <w:rPr>
          <w:rFonts w:hint="eastAsia" w:ascii="宋体" w:hAnsi="宋体" w:cs="宋体"/>
          <w:color w:val="auto"/>
          <w:szCs w:val="21"/>
        </w:rPr>
        <w:t>项目编号：FC(3)2020474JNN（审批编号:[2020]NCCXF445）</w:t>
      </w:r>
    </w:p>
    <w:p>
      <w:pPr>
        <w:ind w:firstLine="420" w:firstLineChars="200"/>
        <w:rPr>
          <w:rFonts w:ascii="宋体" w:hAnsi="宋体" w:cs="宋体"/>
          <w:color w:val="auto"/>
          <w:szCs w:val="21"/>
          <w:u w:val="single"/>
        </w:rPr>
      </w:pPr>
      <w:r>
        <w:rPr>
          <w:rFonts w:hint="eastAsia" w:ascii="宋体" w:hAnsi="宋体" w:cs="宋体"/>
          <w:color w:val="auto"/>
          <w:szCs w:val="21"/>
        </w:rPr>
        <w:t>项目名称：录播教室设备采购</w:t>
      </w:r>
    </w:p>
    <w:p>
      <w:pPr>
        <w:ind w:firstLine="420" w:firstLineChars="200"/>
        <w:rPr>
          <w:rFonts w:ascii="宋体" w:hAnsi="宋体" w:cs="宋体"/>
          <w:color w:val="auto"/>
          <w:szCs w:val="21"/>
        </w:rPr>
      </w:pPr>
      <w:r>
        <w:rPr>
          <w:rFonts w:hint="eastAsia" w:ascii="宋体" w:hAnsi="宋体" w:cs="宋体"/>
          <w:color w:val="auto"/>
          <w:szCs w:val="21"/>
        </w:rPr>
        <w:t>采购方式：</w:t>
      </w:r>
      <w:r>
        <w:rPr>
          <w:rFonts w:hint="eastAsia" w:ascii="宋体" w:hAnsi="宋体" w:cs="宋体"/>
          <w:color w:val="auto"/>
          <w:szCs w:val="21"/>
        </w:rPr>
        <w:sym w:font="Wingdings 2" w:char="0052"/>
      </w:r>
      <w:r>
        <w:rPr>
          <w:rFonts w:hint="eastAsia" w:ascii="宋体" w:hAnsi="宋体" w:cs="宋体"/>
          <w:color w:val="auto"/>
          <w:szCs w:val="21"/>
        </w:rPr>
        <w:t>竞争性谈判 □竞争性磋商 □询价</w:t>
      </w:r>
    </w:p>
    <w:p>
      <w:pPr>
        <w:ind w:firstLine="420" w:firstLineChars="200"/>
        <w:rPr>
          <w:rFonts w:ascii="宋体" w:hAnsi="宋体" w:cs="宋体"/>
          <w:color w:val="auto"/>
          <w:szCs w:val="21"/>
        </w:rPr>
      </w:pPr>
      <w:r>
        <w:rPr>
          <w:rFonts w:hint="eastAsia" w:ascii="宋体" w:hAnsi="宋体" w:cs="宋体"/>
          <w:color w:val="auto"/>
          <w:szCs w:val="21"/>
        </w:rPr>
        <w:t>预算金额：113362.00元</w:t>
      </w:r>
    </w:p>
    <w:p>
      <w:pPr>
        <w:ind w:firstLine="420" w:firstLineChars="200"/>
        <w:rPr>
          <w:rFonts w:ascii="宋体" w:hAnsi="宋体" w:cs="宋体"/>
          <w:color w:val="auto"/>
          <w:szCs w:val="21"/>
        </w:rPr>
      </w:pPr>
      <w:r>
        <w:rPr>
          <w:rFonts w:hint="eastAsia" w:ascii="宋体" w:hAnsi="宋体" w:cs="宋体"/>
          <w:color w:val="auto"/>
          <w:szCs w:val="21"/>
        </w:rPr>
        <w:t>最高限价（如有）：113362.00元</w:t>
      </w:r>
    </w:p>
    <w:p>
      <w:pPr>
        <w:ind w:firstLine="420" w:firstLineChars="200"/>
        <w:rPr>
          <w:rFonts w:ascii="宋体" w:hAnsi="宋体" w:cs="宋体"/>
          <w:color w:val="auto"/>
          <w:szCs w:val="21"/>
        </w:rPr>
      </w:pPr>
      <w:r>
        <w:rPr>
          <w:rFonts w:hint="eastAsia" w:ascii="宋体" w:hAnsi="宋体" w:cs="宋体"/>
          <w:color w:val="auto"/>
          <w:szCs w:val="21"/>
        </w:rPr>
        <w:t>采购需求：录播教室设备一批，如需进一步了解详细内容，详见采购文件。</w:t>
      </w:r>
    </w:p>
    <w:p>
      <w:pPr>
        <w:ind w:firstLine="420" w:firstLineChars="200"/>
        <w:rPr>
          <w:rFonts w:ascii="宋体" w:hAnsi="宋体" w:cs="宋体"/>
          <w:color w:val="auto"/>
          <w:szCs w:val="21"/>
          <w:u w:val="single"/>
        </w:rPr>
      </w:pPr>
      <w:r>
        <w:rPr>
          <w:rFonts w:hint="eastAsia" w:ascii="宋体" w:hAnsi="宋体" w:cs="宋体"/>
          <w:color w:val="auto"/>
          <w:szCs w:val="21"/>
        </w:rPr>
        <w:t>合同履行期限：详见采购文件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本项目不接受联合体。</w:t>
      </w:r>
    </w:p>
    <w:p>
      <w:pPr>
        <w:pStyle w:val="4"/>
        <w:spacing w:line="360" w:lineRule="auto"/>
        <w:rPr>
          <w:rFonts w:ascii="宋体" w:hAnsi="宋体" w:cs="宋体"/>
          <w:bCs w:val="0"/>
          <w:color w:val="auto"/>
          <w:szCs w:val="21"/>
        </w:rPr>
      </w:pPr>
      <w:bookmarkStart w:id="5" w:name="_Toc28359013"/>
      <w:bookmarkStart w:id="6" w:name="_Toc28359090"/>
      <w:bookmarkStart w:id="7" w:name="_Toc35393630"/>
      <w:bookmarkStart w:id="8" w:name="_Toc35393799"/>
      <w:r>
        <w:rPr>
          <w:rFonts w:hint="eastAsia" w:ascii="宋体" w:hAnsi="宋体" w:cs="宋体"/>
          <w:bCs w:val="0"/>
          <w:color w:val="auto"/>
          <w:szCs w:val="21"/>
        </w:rPr>
        <w:t>二、申请人的资格要求：</w:t>
      </w:r>
      <w:bookmarkEnd w:id="5"/>
      <w:bookmarkEnd w:id="6"/>
      <w:bookmarkEnd w:id="7"/>
      <w:bookmarkEnd w:id="8"/>
    </w:p>
    <w:p>
      <w:pPr>
        <w:ind w:firstLine="420" w:firstLineChars="200"/>
        <w:rPr>
          <w:rFonts w:ascii="宋体" w:hAnsi="宋体" w:cs="宋体"/>
          <w:color w:val="auto"/>
          <w:szCs w:val="21"/>
        </w:rPr>
      </w:pPr>
      <w:r>
        <w:rPr>
          <w:rFonts w:hint="eastAsia" w:ascii="宋体" w:hAnsi="宋体" w:cs="宋体"/>
          <w:color w:val="auto"/>
          <w:szCs w:val="21"/>
        </w:rPr>
        <w:t>1.满足《中华人民共和国政府采购法》第二十二条规定；</w:t>
      </w:r>
    </w:p>
    <w:p>
      <w:pPr>
        <w:ind w:firstLine="420" w:firstLineChars="200"/>
        <w:rPr>
          <w:rFonts w:ascii="宋体" w:hAnsi="宋体" w:cs="宋体"/>
          <w:color w:val="auto"/>
          <w:szCs w:val="21"/>
        </w:rPr>
      </w:pPr>
      <w:bookmarkStart w:id="9" w:name="_Toc28359091"/>
      <w:bookmarkStart w:id="10" w:name="_Toc28359014"/>
      <w:r>
        <w:rPr>
          <w:rFonts w:hint="eastAsia" w:ascii="宋体" w:hAnsi="宋体" w:cs="宋体"/>
          <w:color w:val="auto"/>
          <w:szCs w:val="21"/>
        </w:rPr>
        <w:t xml:space="preserve"> 2.国内注册，经营本次采购服务的供应商；</w:t>
      </w:r>
    </w:p>
    <w:p>
      <w:pPr>
        <w:ind w:firstLine="420" w:firstLineChars="200"/>
        <w:rPr>
          <w:rFonts w:ascii="宋体" w:hAnsi="宋体" w:cs="宋体"/>
          <w:color w:val="auto"/>
          <w:szCs w:val="21"/>
        </w:rPr>
      </w:pPr>
      <w:r>
        <w:rPr>
          <w:rFonts w:hint="eastAsia" w:ascii="宋体" w:hAnsi="宋体" w:cs="宋体"/>
          <w:color w:val="auto"/>
          <w:szCs w:val="21"/>
        </w:rPr>
        <w:t>3. 参加政府采购活动前3年内在经营活动中没有重大违法记录；</w:t>
      </w:r>
    </w:p>
    <w:p>
      <w:pPr>
        <w:ind w:firstLine="420" w:firstLineChars="200"/>
        <w:rPr>
          <w:rFonts w:ascii="宋体" w:hAnsi="宋体" w:cs="宋体"/>
          <w:color w:val="auto"/>
          <w:szCs w:val="21"/>
        </w:rPr>
      </w:pPr>
      <w:r>
        <w:rPr>
          <w:rFonts w:hint="eastAsia" w:ascii="宋体" w:hAnsi="宋体" w:cs="宋体"/>
          <w:color w:val="auto"/>
          <w:szCs w:val="21"/>
        </w:rPr>
        <w:t>4.供应商在竞标期间，企业在“信用中国”网站(www.creditchina.gov.cn)、中国政府采购网(www.ccgp.gov.cn)等渠道被公布为失信被执行人名单或重大税收违法案件当事人名单或政府采购严重违法失信行为记录名单，且处罚期未结束的，不得参与政府采购活动；</w:t>
      </w:r>
    </w:p>
    <w:p>
      <w:pPr>
        <w:ind w:firstLine="420" w:firstLineChars="200"/>
        <w:rPr>
          <w:rFonts w:ascii="宋体" w:hAnsi="宋体" w:cs="宋体"/>
          <w:color w:val="auto"/>
          <w:szCs w:val="21"/>
        </w:rPr>
      </w:pPr>
      <w:r>
        <w:rPr>
          <w:rFonts w:hint="eastAsia" w:ascii="宋体" w:hAnsi="宋体" w:cs="宋体"/>
          <w:color w:val="auto"/>
          <w:szCs w:val="21"/>
        </w:rPr>
        <w:t>5.本项目不接受联合体竞标。</w:t>
      </w:r>
      <w:bookmarkStart w:id="11" w:name="_Toc35393800"/>
      <w:bookmarkStart w:id="12" w:name="_Toc35393631"/>
    </w:p>
    <w:p>
      <w:pPr>
        <w:rPr>
          <w:rFonts w:ascii="宋体" w:hAnsi="宋体" w:cs="宋体"/>
          <w:b/>
          <w:bCs/>
          <w:color w:val="auto"/>
          <w:szCs w:val="21"/>
        </w:rPr>
      </w:pPr>
      <w:r>
        <w:rPr>
          <w:rFonts w:hint="eastAsia" w:ascii="宋体" w:hAnsi="宋体" w:cs="宋体"/>
          <w:b/>
          <w:bCs/>
          <w:color w:val="auto"/>
          <w:szCs w:val="21"/>
        </w:rPr>
        <w:t>三、获取采购文件</w:t>
      </w:r>
      <w:bookmarkEnd w:id="9"/>
      <w:bookmarkEnd w:id="10"/>
      <w:bookmarkEnd w:id="11"/>
      <w:bookmarkEnd w:id="12"/>
      <w:bookmarkStart w:id="13" w:name="_Toc35393632"/>
      <w:bookmarkStart w:id="14" w:name="_Toc35393801"/>
      <w:bookmarkStart w:id="15" w:name="_Toc28359015"/>
      <w:bookmarkStart w:id="16" w:name="_Toc28359092"/>
    </w:p>
    <w:p>
      <w:pPr>
        <w:ind w:firstLine="420" w:firstLineChars="200"/>
        <w:rPr>
          <w:rFonts w:ascii="宋体" w:hAnsi="宋体" w:cs="宋体"/>
          <w:color w:val="auto"/>
          <w:szCs w:val="21"/>
        </w:rPr>
      </w:pPr>
      <w:r>
        <w:rPr>
          <w:rFonts w:hint="eastAsia" w:ascii="宋体" w:hAnsi="宋体" w:cs="宋体"/>
          <w:color w:val="auto"/>
          <w:szCs w:val="21"/>
        </w:rPr>
        <w:t>网上下载。本项目不发放纸质文件，供应商可登陆南宁市公共资源交易中心网站（网址：</w:t>
      </w:r>
      <w:r>
        <w:rPr>
          <w:color w:val="auto"/>
        </w:rPr>
        <w:fldChar w:fldCharType="begin"/>
      </w:r>
      <w:r>
        <w:rPr>
          <w:color w:val="auto"/>
        </w:rPr>
        <w:instrText xml:space="preserve"> HYPERLINK "http://www.nnggzy.org.cn），在南宁市公共资源交易中心或各分支机构的采购公告栏内查找相关项目的采购公告，并点击该公告的附件，即可免费浏览或下载项目的谈判文件。" </w:instrText>
      </w:r>
      <w:r>
        <w:rPr>
          <w:color w:val="auto"/>
        </w:rPr>
        <w:fldChar w:fldCharType="separate"/>
      </w:r>
      <w:r>
        <w:rPr>
          <w:rStyle w:val="53"/>
          <w:rFonts w:hint="eastAsia" w:ascii="宋体" w:hAnsi="宋体" w:cs="宋体"/>
          <w:color w:val="auto"/>
          <w:szCs w:val="21"/>
        </w:rPr>
        <w:t>www.nnggzy.org.cn），在南宁市公共资源交易中心或各分支机构的采购公告栏内查找相关项目的采购公告，并点击该公告的附件，即可免费浏览或下载项目的谈判文件。</w:t>
      </w:r>
      <w:r>
        <w:rPr>
          <w:rStyle w:val="53"/>
          <w:rFonts w:hint="eastAsia" w:ascii="宋体" w:hAnsi="宋体" w:cs="宋体"/>
          <w:color w:val="auto"/>
          <w:szCs w:val="21"/>
        </w:rPr>
        <w:fldChar w:fldCharType="end"/>
      </w:r>
    </w:p>
    <w:p>
      <w:pPr>
        <w:rPr>
          <w:rFonts w:ascii="宋体" w:hAnsi="宋体" w:cs="宋体"/>
          <w:b/>
          <w:bCs/>
          <w:color w:val="auto"/>
          <w:szCs w:val="21"/>
        </w:rPr>
      </w:pPr>
      <w:r>
        <w:rPr>
          <w:rFonts w:hint="eastAsia" w:ascii="宋体" w:hAnsi="宋体" w:cs="宋体"/>
          <w:b/>
          <w:bCs/>
          <w:color w:val="auto"/>
          <w:szCs w:val="21"/>
        </w:rPr>
        <w:t>四、响应文件提交</w:t>
      </w:r>
      <w:bookmarkEnd w:id="13"/>
      <w:bookmarkEnd w:id="14"/>
      <w:bookmarkEnd w:id="15"/>
      <w:bookmarkEnd w:id="16"/>
      <w:bookmarkStart w:id="17" w:name="_Toc35393802"/>
      <w:bookmarkStart w:id="18" w:name="_Toc28359093"/>
      <w:bookmarkStart w:id="19" w:name="_Toc28359016"/>
      <w:bookmarkStart w:id="20" w:name="_Toc35393633"/>
    </w:p>
    <w:p>
      <w:pPr>
        <w:ind w:firstLine="420" w:firstLineChars="200"/>
        <w:rPr>
          <w:rFonts w:ascii="宋体" w:hAnsi="宋体" w:cs="宋体"/>
          <w:color w:val="auto"/>
          <w:szCs w:val="21"/>
        </w:rPr>
      </w:pPr>
      <w:r>
        <w:rPr>
          <w:rFonts w:hint="eastAsia" w:ascii="宋体" w:hAnsi="宋体" w:cs="宋体"/>
          <w:color w:val="auto"/>
          <w:szCs w:val="21"/>
        </w:rPr>
        <w:t>8.1根据《南宁市机关事务管理局关于疫情防控期间恢复全市公共资源现场交易活动的通知》文件精神，疫情防控期间，按照“不见面、少接触”的原则，竞标人原则上应通过邮寄快递方式送达响应文件。如确实需要现场递交至采购代理公司或南宁市公共资源交易中心的，应与采购代理公司或南宁市公共资源交易中心确认后方可递交，否则后果自行负责。</w:t>
      </w:r>
    </w:p>
    <w:p>
      <w:pPr>
        <w:pStyle w:val="4"/>
        <w:spacing w:line="360" w:lineRule="auto"/>
        <w:rPr>
          <w:rFonts w:ascii="宋体" w:hAnsi="宋体" w:cs="宋体"/>
          <w:b w:val="0"/>
          <w:color w:val="auto"/>
          <w:szCs w:val="21"/>
        </w:rPr>
      </w:pPr>
      <w:r>
        <w:rPr>
          <w:rFonts w:hint="eastAsia" w:ascii="宋体" w:hAnsi="宋体" w:cs="宋体"/>
          <w:b w:val="0"/>
          <w:color w:val="auto"/>
          <w:szCs w:val="21"/>
        </w:rPr>
        <w:t>①接收邮寄包裹的时间为递交响应文件截止时间前工作日9：00～17：30。</w:t>
      </w:r>
    </w:p>
    <w:p>
      <w:pPr>
        <w:pStyle w:val="4"/>
        <w:spacing w:line="360" w:lineRule="auto"/>
        <w:rPr>
          <w:rFonts w:ascii="宋体" w:hAnsi="宋体" w:cs="宋体"/>
          <w:b w:val="0"/>
          <w:color w:val="auto"/>
          <w:szCs w:val="21"/>
        </w:rPr>
      </w:pPr>
      <w:r>
        <w:rPr>
          <w:rFonts w:hint="eastAsia" w:ascii="宋体" w:hAnsi="宋体" w:cs="宋体"/>
          <w:b w:val="0"/>
          <w:color w:val="auto"/>
          <w:szCs w:val="21"/>
        </w:rPr>
        <w:t>②响应文件必须在递交响应文件截止时间前送达，采购代理机构签收邮寄包裹的时间即为响应文件的送达时间，逾期送达的响应文件无效，后果由供应商自行承担。</w:t>
      </w:r>
    </w:p>
    <w:p>
      <w:pPr>
        <w:pStyle w:val="4"/>
        <w:spacing w:line="360" w:lineRule="auto"/>
        <w:rPr>
          <w:rFonts w:ascii="宋体" w:hAnsi="宋体" w:cs="宋体"/>
          <w:b w:val="0"/>
          <w:color w:val="auto"/>
          <w:szCs w:val="21"/>
        </w:rPr>
      </w:pPr>
      <w:r>
        <w:rPr>
          <w:rFonts w:hint="eastAsia" w:ascii="宋体" w:hAnsi="宋体" w:cs="宋体"/>
          <w:b w:val="0"/>
          <w:color w:val="auto"/>
          <w:szCs w:val="21"/>
        </w:rPr>
        <w:t>③采购代理机构将在投标截止时间前二小时统一将收到的响应文件运送至南宁市公共资源交易中心（地点为南宁市良庆区玉洞大道33号南宁市民中心9楼南宁市公共资源交易中心开标厅），以确保本项目能在投标截止（开标）时间准时截标。供应商应充分预留投标文件邮寄、送达所需要的时间。为确保疫情防控期间邮寄包裹能及时送达，应选择邮寄运送时间有保障的快递公司寄送响应文件，并尽量在投标截止日期1日前送达。</w:t>
      </w:r>
    </w:p>
    <w:p>
      <w:pPr>
        <w:pStyle w:val="4"/>
        <w:spacing w:line="360" w:lineRule="auto"/>
        <w:ind w:firstLine="420" w:firstLineChars="200"/>
        <w:rPr>
          <w:rFonts w:ascii="宋体" w:hAnsi="宋体" w:cs="宋体"/>
          <w:b w:val="0"/>
          <w:color w:val="auto"/>
          <w:szCs w:val="21"/>
        </w:rPr>
      </w:pPr>
      <w:r>
        <w:rPr>
          <w:rFonts w:hint="eastAsia" w:ascii="宋体" w:hAnsi="宋体" w:cs="宋体"/>
          <w:b w:val="0"/>
          <w:color w:val="auto"/>
          <w:szCs w:val="21"/>
        </w:rPr>
        <w:t>8.2竞标供应商在按照采购文件的要求装订、密封好响应文件后，应使用不透明、防水的邮寄袋（或箱）再次包裹已密封好的响应文件，</w:t>
      </w:r>
      <w:r>
        <w:rPr>
          <w:rFonts w:hint="eastAsia" w:ascii="宋体" w:hAnsi="宋体" w:cs="宋体"/>
          <w:bCs w:val="0"/>
          <w:color w:val="auto"/>
          <w:szCs w:val="21"/>
        </w:rPr>
        <w:t>并在邮寄袋（或箱）上粘牢注明项目名称、项目编号、有效的电子邮箱、联系方式等内容的纸质表格。</w:t>
      </w:r>
    </w:p>
    <w:p>
      <w:pPr>
        <w:pStyle w:val="4"/>
        <w:spacing w:line="360" w:lineRule="auto"/>
        <w:ind w:firstLine="420" w:firstLineChars="200"/>
        <w:rPr>
          <w:rFonts w:ascii="宋体" w:hAnsi="宋体" w:cs="宋体"/>
          <w:b w:val="0"/>
          <w:color w:val="auto"/>
          <w:szCs w:val="21"/>
        </w:rPr>
      </w:pPr>
      <w:r>
        <w:rPr>
          <w:rFonts w:hint="eastAsia" w:ascii="宋体" w:hAnsi="宋体" w:cs="宋体"/>
          <w:b w:val="0"/>
          <w:color w:val="auto"/>
          <w:szCs w:val="21"/>
        </w:rPr>
        <w:t>8.3采购代理机构工作人员在收到响应文件的邮寄包裹后，会按照供应商在邮寄包裹上所预留的电子邮箱告知响应文件收件的情况，请供应商务必确保所预留的电子邮箱的有效性，并注意查收邮件。</w:t>
      </w:r>
    </w:p>
    <w:p>
      <w:pPr>
        <w:pStyle w:val="4"/>
        <w:spacing w:line="360" w:lineRule="auto"/>
        <w:ind w:firstLine="420" w:firstLineChars="200"/>
        <w:rPr>
          <w:rFonts w:ascii="宋体" w:hAnsi="宋体" w:cs="宋体"/>
          <w:b w:val="0"/>
          <w:color w:val="auto"/>
          <w:szCs w:val="21"/>
        </w:rPr>
      </w:pPr>
      <w:r>
        <w:rPr>
          <w:rFonts w:hint="eastAsia" w:ascii="宋体" w:hAnsi="宋体" w:cs="宋体"/>
          <w:b w:val="0"/>
          <w:color w:val="auto"/>
          <w:szCs w:val="21"/>
        </w:rPr>
        <w:t>8.4响应文件邮寄地址：南宁市纬武路165号广西建设工程机电设备招标中心有限公司206室。</w:t>
      </w:r>
    </w:p>
    <w:p>
      <w:pPr>
        <w:pStyle w:val="4"/>
        <w:spacing w:line="360" w:lineRule="auto"/>
        <w:rPr>
          <w:rFonts w:ascii="宋体" w:hAnsi="宋体" w:cs="宋体"/>
          <w:b w:val="0"/>
          <w:color w:val="auto"/>
          <w:szCs w:val="21"/>
        </w:rPr>
      </w:pPr>
      <w:r>
        <w:rPr>
          <w:rFonts w:hint="eastAsia" w:ascii="宋体" w:hAnsi="宋体" w:cs="宋体"/>
          <w:b w:val="0"/>
          <w:color w:val="auto"/>
          <w:szCs w:val="21"/>
        </w:rPr>
        <w:t>收件人：周剑</w:t>
      </w:r>
    </w:p>
    <w:p>
      <w:pPr>
        <w:pStyle w:val="4"/>
        <w:spacing w:line="360" w:lineRule="auto"/>
        <w:rPr>
          <w:rFonts w:ascii="宋体" w:hAnsi="宋体" w:cs="宋体"/>
          <w:b w:val="0"/>
          <w:color w:val="auto"/>
          <w:szCs w:val="21"/>
        </w:rPr>
      </w:pPr>
      <w:r>
        <w:rPr>
          <w:rFonts w:hint="eastAsia" w:ascii="宋体" w:hAnsi="宋体" w:cs="宋体"/>
          <w:b w:val="0"/>
          <w:color w:val="auto"/>
          <w:szCs w:val="21"/>
        </w:rPr>
        <w:t>联系电话：0771- 2807659</w:t>
      </w:r>
    </w:p>
    <w:p>
      <w:pPr>
        <w:pStyle w:val="4"/>
        <w:spacing w:line="360" w:lineRule="auto"/>
        <w:rPr>
          <w:rFonts w:ascii="宋体" w:hAnsi="宋体" w:cs="宋体"/>
          <w:b w:val="0"/>
          <w:color w:val="auto"/>
          <w:szCs w:val="21"/>
        </w:rPr>
      </w:pPr>
      <w:r>
        <w:rPr>
          <w:rFonts w:hint="eastAsia" w:ascii="宋体" w:hAnsi="宋体" w:cs="宋体"/>
          <w:bCs w:val="0"/>
          <w:color w:val="auto"/>
          <w:szCs w:val="21"/>
        </w:rPr>
        <w:t>响应文件递交截止时间：</w:t>
      </w:r>
      <w:bookmarkEnd w:id="17"/>
      <w:bookmarkEnd w:id="18"/>
      <w:bookmarkEnd w:id="19"/>
      <w:bookmarkEnd w:id="20"/>
      <w:r>
        <w:rPr>
          <w:rFonts w:hint="eastAsia" w:ascii="宋体" w:hAnsi="宋体" w:cs="宋体"/>
          <w:color w:val="auto"/>
          <w:szCs w:val="21"/>
          <w:u w:val="single"/>
        </w:rPr>
        <w:t>2020</w:t>
      </w:r>
      <w:r>
        <w:rPr>
          <w:rFonts w:hint="eastAsia" w:ascii="宋体" w:hAnsi="宋体" w:cs="宋体"/>
          <w:bCs/>
          <w:color w:val="auto"/>
          <w:szCs w:val="21"/>
          <w:u w:val="single"/>
        </w:rPr>
        <w:t>年</w:t>
      </w:r>
      <w:r>
        <w:rPr>
          <w:rFonts w:hint="eastAsia" w:ascii="宋体" w:hAnsi="宋体" w:cs="宋体"/>
          <w:bCs/>
          <w:color w:val="auto"/>
          <w:szCs w:val="21"/>
          <w:u w:val="single"/>
          <w:lang w:val="en-US" w:eastAsia="zh-CN"/>
        </w:rPr>
        <w:t>11</w:t>
      </w:r>
      <w:r>
        <w:rPr>
          <w:rFonts w:hint="eastAsia" w:ascii="宋体" w:hAnsi="宋体" w:cs="宋体"/>
          <w:bCs/>
          <w:color w:val="auto"/>
          <w:szCs w:val="21"/>
          <w:u w:val="single"/>
        </w:rPr>
        <w:t>月</w:t>
      </w:r>
      <w:r>
        <w:rPr>
          <w:rFonts w:hint="eastAsia" w:ascii="宋体" w:hAnsi="宋体" w:cs="宋体"/>
          <w:bCs/>
          <w:color w:val="auto"/>
          <w:szCs w:val="21"/>
          <w:u w:val="single"/>
          <w:lang w:val="en-US" w:eastAsia="zh-CN"/>
        </w:rPr>
        <w:t>20</w:t>
      </w:r>
      <w:r>
        <w:rPr>
          <w:rFonts w:hint="eastAsia" w:ascii="宋体" w:hAnsi="宋体" w:cs="宋体"/>
          <w:bCs/>
          <w:color w:val="auto"/>
          <w:szCs w:val="21"/>
          <w:u w:val="single"/>
        </w:rPr>
        <w:t>日</w:t>
      </w:r>
      <w:r>
        <w:rPr>
          <w:rFonts w:hint="eastAsia" w:ascii="宋体" w:hAnsi="宋体" w:cs="宋体"/>
          <w:bCs/>
          <w:color w:val="auto"/>
          <w:szCs w:val="21"/>
          <w:u w:val="single"/>
          <w:lang w:val="en-US" w:eastAsia="zh-CN"/>
        </w:rPr>
        <w:t>13</w:t>
      </w:r>
      <w:r>
        <w:rPr>
          <w:rFonts w:hint="eastAsia" w:ascii="宋体" w:hAnsi="宋体" w:cs="宋体"/>
          <w:bCs/>
          <w:color w:val="auto"/>
          <w:szCs w:val="21"/>
          <w:u w:val="single"/>
        </w:rPr>
        <w:t>点</w:t>
      </w:r>
      <w:r>
        <w:rPr>
          <w:rFonts w:hint="eastAsia" w:ascii="宋体" w:hAnsi="宋体" w:cs="宋体"/>
          <w:bCs/>
          <w:color w:val="auto"/>
          <w:szCs w:val="21"/>
          <w:u w:val="single"/>
          <w:lang w:val="en-US" w:eastAsia="zh-CN"/>
        </w:rPr>
        <w:t>00</w:t>
      </w:r>
      <w:r>
        <w:rPr>
          <w:rFonts w:hint="eastAsia" w:ascii="宋体" w:hAnsi="宋体" w:cs="宋体"/>
          <w:bCs/>
          <w:color w:val="auto"/>
          <w:szCs w:val="21"/>
          <w:u w:val="single"/>
        </w:rPr>
        <w:t>分</w:t>
      </w:r>
    </w:p>
    <w:p>
      <w:pPr>
        <w:pStyle w:val="4"/>
        <w:spacing w:line="360" w:lineRule="auto"/>
        <w:rPr>
          <w:rFonts w:ascii="宋体" w:hAnsi="宋体" w:cs="宋体"/>
          <w:bCs w:val="0"/>
          <w:color w:val="auto"/>
          <w:szCs w:val="21"/>
        </w:rPr>
      </w:pPr>
      <w:bookmarkStart w:id="21" w:name="_Toc35393803"/>
      <w:bookmarkStart w:id="22" w:name="_Toc28359017"/>
      <w:bookmarkStart w:id="23" w:name="_Toc35393634"/>
      <w:bookmarkStart w:id="24" w:name="_Toc28359094"/>
      <w:r>
        <w:rPr>
          <w:rFonts w:hint="eastAsia" w:ascii="宋体" w:hAnsi="宋体" w:cs="宋体"/>
          <w:bCs w:val="0"/>
          <w:color w:val="auto"/>
          <w:szCs w:val="21"/>
        </w:rPr>
        <w:t>五、公告期限</w:t>
      </w:r>
      <w:bookmarkEnd w:id="21"/>
      <w:bookmarkEnd w:id="22"/>
      <w:bookmarkEnd w:id="23"/>
      <w:bookmarkEnd w:id="24"/>
    </w:p>
    <w:p>
      <w:pPr>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自本公告发布之日起3个工作日。</w:t>
      </w:r>
    </w:p>
    <w:p>
      <w:pPr>
        <w:pStyle w:val="4"/>
        <w:spacing w:line="360" w:lineRule="auto"/>
        <w:rPr>
          <w:rFonts w:ascii="宋体" w:hAnsi="宋体" w:cs="宋体"/>
          <w:bCs w:val="0"/>
          <w:color w:val="auto"/>
          <w:szCs w:val="21"/>
        </w:rPr>
      </w:pPr>
      <w:bookmarkStart w:id="25" w:name="_Toc35393804"/>
      <w:bookmarkStart w:id="26" w:name="_Toc35393635"/>
      <w:r>
        <w:rPr>
          <w:rFonts w:hint="eastAsia" w:ascii="宋体" w:hAnsi="宋体" w:cs="宋体"/>
          <w:bCs w:val="0"/>
          <w:color w:val="auto"/>
          <w:szCs w:val="21"/>
        </w:rPr>
        <w:t>六、其他补充事宜</w:t>
      </w:r>
      <w:bookmarkEnd w:id="25"/>
      <w:bookmarkEnd w:id="26"/>
    </w:p>
    <w:p>
      <w:pPr>
        <w:ind w:firstLine="420" w:firstLineChars="200"/>
        <w:rPr>
          <w:rFonts w:ascii="宋体" w:hAnsi="宋体" w:cs="宋体"/>
          <w:color w:val="auto"/>
          <w:szCs w:val="21"/>
        </w:rPr>
      </w:pPr>
      <w:r>
        <w:rPr>
          <w:rFonts w:hint="eastAsia" w:ascii="宋体" w:hAnsi="宋体" w:cs="宋体"/>
          <w:color w:val="auto"/>
          <w:szCs w:val="21"/>
        </w:rPr>
        <w:t>本项目需要落实的政府采购政策：《政府采购促进中小企业发展暂行办法》（财库[2011]181号）、《关于政府采购支持监狱企业发展有关问题的通知》(财库[2014]68号)、《关于促进残疾人就业政府采购政策的通知》(财库〔2017〕141号)，评审时残疾人福利性单位、小型和微型企业产品的价格给予10%的扣除。监狱企业视同小型和微型企业，其产品在评审时给予相同的价格扣除。残疾人福利性单位属于小型、微型企业的，不重复享受政策。节能产品、环境标志产品依据品目清单和认证证书实施政府优先采购和强制采购。（财库〔2019〕9号）</w:t>
      </w:r>
    </w:p>
    <w:p>
      <w:pPr>
        <w:ind w:firstLine="420" w:firstLineChars="200"/>
        <w:rPr>
          <w:rFonts w:ascii="宋体" w:hAnsi="宋体" w:cs="宋体"/>
          <w:color w:val="auto"/>
          <w:szCs w:val="21"/>
        </w:rPr>
      </w:pPr>
      <w:r>
        <w:rPr>
          <w:rFonts w:hint="eastAsia" w:ascii="宋体" w:hAnsi="宋体" w:cs="宋体"/>
          <w:color w:val="auto"/>
          <w:szCs w:val="21"/>
        </w:rPr>
        <w:t>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p>
      <w:pPr>
        <w:ind w:firstLine="420" w:firstLineChars="200"/>
        <w:rPr>
          <w:rFonts w:ascii="宋体" w:hAnsi="宋体" w:cs="宋体"/>
          <w:color w:val="auto"/>
          <w:szCs w:val="21"/>
        </w:rPr>
      </w:pPr>
      <w:r>
        <w:rPr>
          <w:rFonts w:hint="eastAsia" w:ascii="宋体" w:hAnsi="宋体" w:cs="宋体"/>
          <w:color w:val="auto"/>
          <w:szCs w:val="21"/>
        </w:rPr>
        <w:t>网上查询地址：中国政府采购网、广西壮族自治区政府采购网、南宁政府采购网、南宁市公共资源交易中心网、广西招标网。</w:t>
      </w:r>
    </w:p>
    <w:p>
      <w:pPr>
        <w:pStyle w:val="4"/>
        <w:spacing w:line="360" w:lineRule="auto"/>
        <w:rPr>
          <w:rFonts w:ascii="宋体" w:hAnsi="宋体" w:cs="宋体"/>
          <w:b w:val="0"/>
          <w:color w:val="auto"/>
          <w:szCs w:val="21"/>
        </w:rPr>
      </w:pPr>
      <w:bookmarkStart w:id="27" w:name="_Toc35393805"/>
      <w:bookmarkStart w:id="28" w:name="_Toc35393636"/>
      <w:bookmarkStart w:id="29" w:name="_Toc28359095"/>
      <w:bookmarkStart w:id="30" w:name="_Toc28359018"/>
      <w:r>
        <w:rPr>
          <w:rFonts w:hint="eastAsia" w:ascii="宋体" w:hAnsi="宋体" w:cs="宋体"/>
          <w:b w:val="0"/>
          <w:color w:val="auto"/>
          <w:szCs w:val="21"/>
        </w:rPr>
        <w:t>七、凡对本次采购提出询问，请按以下方式联系。</w:t>
      </w:r>
      <w:bookmarkEnd w:id="27"/>
      <w:bookmarkEnd w:id="28"/>
      <w:bookmarkEnd w:id="29"/>
      <w:bookmarkEnd w:id="30"/>
    </w:p>
    <w:p>
      <w:pPr>
        <w:pStyle w:val="4"/>
        <w:spacing w:line="360" w:lineRule="auto"/>
        <w:ind w:firstLine="630" w:firstLineChars="300"/>
        <w:rPr>
          <w:rFonts w:ascii="宋体" w:hAnsi="宋体" w:cs="宋体"/>
          <w:b w:val="0"/>
          <w:color w:val="auto"/>
          <w:szCs w:val="21"/>
        </w:rPr>
      </w:pPr>
      <w:bookmarkStart w:id="31" w:name="_Toc28359096"/>
      <w:bookmarkStart w:id="32" w:name="_Toc28359019"/>
      <w:bookmarkStart w:id="33" w:name="_Toc35393637"/>
      <w:bookmarkStart w:id="34" w:name="_Toc35393806"/>
      <w:r>
        <w:rPr>
          <w:rFonts w:hint="eastAsia" w:ascii="宋体" w:hAnsi="宋体" w:cs="宋体"/>
          <w:b w:val="0"/>
          <w:color w:val="auto"/>
          <w:szCs w:val="21"/>
        </w:rPr>
        <w:t>1.采购人信息</w:t>
      </w:r>
      <w:bookmarkEnd w:id="31"/>
      <w:bookmarkEnd w:id="32"/>
      <w:bookmarkEnd w:id="33"/>
      <w:bookmarkEnd w:id="34"/>
    </w:p>
    <w:p>
      <w:pPr>
        <w:spacing w:line="360" w:lineRule="auto"/>
        <w:ind w:left="1041" w:leftChars="371" w:hanging="262" w:hangingChars="125"/>
        <w:jc w:val="left"/>
        <w:rPr>
          <w:rFonts w:ascii="宋体" w:hAnsi="宋体" w:cs="宋体"/>
          <w:color w:val="auto"/>
          <w:szCs w:val="21"/>
        </w:rPr>
      </w:pPr>
      <w:r>
        <w:rPr>
          <w:rFonts w:hint="eastAsia" w:ascii="宋体" w:hAnsi="宋体" w:cs="宋体"/>
          <w:color w:val="auto"/>
          <w:szCs w:val="21"/>
        </w:rPr>
        <w:t>名    称：</w:t>
      </w:r>
      <w:r>
        <w:rPr>
          <w:rFonts w:hint="eastAsia" w:ascii="宋体" w:hAnsi="宋体" w:cs="宋体"/>
          <w:color w:val="auto"/>
          <w:szCs w:val="21"/>
          <w:u w:val="single"/>
        </w:rPr>
        <w:t>南宁市人民警察训练学校　</w:t>
      </w:r>
    </w:p>
    <w:p>
      <w:pPr>
        <w:spacing w:line="360" w:lineRule="auto"/>
        <w:ind w:left="1041" w:leftChars="371" w:hanging="262" w:hangingChars="125"/>
        <w:jc w:val="left"/>
        <w:rPr>
          <w:rFonts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u w:val="single"/>
        </w:rPr>
        <w:t>南宁市西乡塘区罗文大道55号　</w:t>
      </w:r>
    </w:p>
    <w:p>
      <w:pPr>
        <w:spacing w:line="360" w:lineRule="auto"/>
        <w:ind w:firstLine="840" w:firstLineChars="400"/>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联系人：</w:t>
      </w:r>
      <w:r>
        <w:rPr>
          <w:rFonts w:hint="eastAsia" w:ascii="宋体" w:hAnsi="宋体" w:cs="宋体"/>
          <w:color w:val="auto"/>
          <w:szCs w:val="21"/>
          <w:u w:val="single"/>
          <w:lang w:val="en-US" w:eastAsia="zh-CN"/>
        </w:rPr>
        <w:t>陈海波</w:t>
      </w:r>
    </w:p>
    <w:p>
      <w:pPr>
        <w:spacing w:line="360" w:lineRule="auto"/>
        <w:ind w:left="1041" w:leftChars="371" w:hanging="262" w:hangingChars="125"/>
        <w:jc w:val="left"/>
        <w:rPr>
          <w:rFonts w:ascii="宋体" w:hAnsi="宋体" w:cs="宋体"/>
          <w:color w:val="auto"/>
          <w:szCs w:val="21"/>
        </w:rPr>
      </w:pPr>
      <w:r>
        <w:rPr>
          <w:rFonts w:hint="eastAsia" w:ascii="宋体" w:hAnsi="宋体" w:cs="宋体"/>
          <w:color w:val="auto"/>
          <w:szCs w:val="21"/>
        </w:rPr>
        <w:t>联系方式：</w:t>
      </w:r>
      <w:r>
        <w:rPr>
          <w:rFonts w:hint="eastAsia" w:ascii="宋体" w:hAnsi="宋体" w:cs="宋体"/>
          <w:color w:val="auto"/>
          <w:szCs w:val="21"/>
          <w:u w:val="single"/>
          <w:lang w:eastAsia="zh-CN"/>
        </w:rPr>
        <w:t>0771-2891735</w:t>
      </w:r>
      <w:r>
        <w:rPr>
          <w:rFonts w:hint="eastAsia" w:ascii="宋体" w:hAnsi="宋体" w:cs="宋体"/>
          <w:color w:val="auto"/>
          <w:szCs w:val="21"/>
          <w:u w:val="single"/>
        </w:rPr>
        <w:t xml:space="preserve">　 </w:t>
      </w:r>
    </w:p>
    <w:p>
      <w:pPr>
        <w:pStyle w:val="4"/>
        <w:spacing w:line="360" w:lineRule="auto"/>
        <w:ind w:firstLine="630" w:firstLineChars="300"/>
        <w:rPr>
          <w:rFonts w:ascii="宋体" w:hAnsi="宋体" w:cs="宋体"/>
          <w:b w:val="0"/>
          <w:color w:val="auto"/>
          <w:szCs w:val="21"/>
        </w:rPr>
      </w:pPr>
      <w:bookmarkStart w:id="35" w:name="_Toc28359020"/>
      <w:bookmarkStart w:id="36" w:name="_Toc28359097"/>
      <w:bookmarkStart w:id="37" w:name="_Toc35393638"/>
      <w:bookmarkStart w:id="38" w:name="_Toc35393807"/>
      <w:r>
        <w:rPr>
          <w:rFonts w:hint="eastAsia" w:ascii="宋体" w:hAnsi="宋体" w:cs="宋体"/>
          <w:b w:val="0"/>
          <w:color w:val="auto"/>
          <w:szCs w:val="21"/>
        </w:rPr>
        <w:t>2.采购代理机构信息</w:t>
      </w:r>
      <w:bookmarkEnd w:id="35"/>
      <w:bookmarkEnd w:id="36"/>
      <w:bookmarkEnd w:id="37"/>
      <w:bookmarkEnd w:id="38"/>
    </w:p>
    <w:p>
      <w:pPr>
        <w:spacing w:line="360" w:lineRule="auto"/>
        <w:ind w:firstLine="630" w:firstLineChars="300"/>
        <w:rPr>
          <w:rFonts w:ascii="宋体" w:hAnsi="宋体" w:cs="宋体"/>
          <w:color w:val="auto"/>
          <w:szCs w:val="21"/>
        </w:rPr>
      </w:pPr>
      <w:r>
        <w:rPr>
          <w:rFonts w:hint="eastAsia" w:ascii="宋体" w:hAnsi="宋体" w:cs="宋体"/>
          <w:color w:val="auto"/>
          <w:szCs w:val="21"/>
        </w:rPr>
        <w:t>名    称：</w:t>
      </w:r>
      <w:r>
        <w:rPr>
          <w:rFonts w:hint="eastAsia" w:ascii="宋体" w:hAnsi="宋体" w:cs="宋体"/>
          <w:color w:val="auto"/>
          <w:szCs w:val="21"/>
          <w:u w:val="single"/>
        </w:rPr>
        <w:t>广西建设工程机电设备招标中心有限公司　</w:t>
      </w:r>
    </w:p>
    <w:p>
      <w:pPr>
        <w:spacing w:line="360" w:lineRule="auto"/>
        <w:ind w:firstLine="630" w:firstLineChars="300"/>
        <w:rPr>
          <w:rFonts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u w:val="single"/>
        </w:rPr>
        <w:t>南宁市青秀区纬武路165号区成套局办公大楼　</w:t>
      </w:r>
    </w:p>
    <w:p>
      <w:pPr>
        <w:spacing w:line="360" w:lineRule="auto"/>
        <w:ind w:firstLine="630" w:firstLineChars="300"/>
        <w:rPr>
          <w:rFonts w:ascii="宋体" w:hAnsi="宋体" w:cs="宋体"/>
          <w:color w:val="auto"/>
          <w:szCs w:val="21"/>
          <w:u w:val="single"/>
        </w:rPr>
      </w:pPr>
      <w:r>
        <w:rPr>
          <w:rFonts w:hint="eastAsia" w:ascii="宋体" w:hAnsi="宋体" w:cs="宋体"/>
          <w:color w:val="auto"/>
          <w:szCs w:val="21"/>
        </w:rPr>
        <w:t>联系方式：</w:t>
      </w:r>
      <w:r>
        <w:rPr>
          <w:rFonts w:hint="eastAsia" w:ascii="宋体" w:hAnsi="宋体" w:cs="宋体"/>
          <w:color w:val="auto"/>
          <w:szCs w:val="21"/>
          <w:u w:val="single"/>
        </w:rPr>
        <w:t>0771-2807659 　</w:t>
      </w:r>
    </w:p>
    <w:p>
      <w:pPr>
        <w:pStyle w:val="4"/>
        <w:spacing w:line="360" w:lineRule="auto"/>
        <w:ind w:firstLine="630" w:firstLineChars="300"/>
        <w:rPr>
          <w:rFonts w:ascii="宋体" w:hAnsi="宋体" w:cs="宋体"/>
          <w:b w:val="0"/>
          <w:color w:val="auto"/>
          <w:szCs w:val="21"/>
        </w:rPr>
      </w:pPr>
      <w:bookmarkStart w:id="39" w:name="_Toc35393808"/>
      <w:bookmarkStart w:id="40" w:name="_Toc28359098"/>
      <w:bookmarkStart w:id="41" w:name="_Toc35393639"/>
      <w:bookmarkStart w:id="42" w:name="_Toc28359021"/>
      <w:r>
        <w:rPr>
          <w:rFonts w:hint="eastAsia" w:ascii="宋体" w:hAnsi="宋体" w:cs="宋体"/>
          <w:b w:val="0"/>
          <w:color w:val="auto"/>
          <w:szCs w:val="21"/>
        </w:rPr>
        <w:t>3.项目联系方式</w:t>
      </w:r>
      <w:bookmarkEnd w:id="39"/>
      <w:bookmarkEnd w:id="40"/>
      <w:bookmarkEnd w:id="41"/>
      <w:bookmarkEnd w:id="42"/>
    </w:p>
    <w:p>
      <w:pPr>
        <w:pStyle w:val="24"/>
        <w:spacing w:line="360" w:lineRule="auto"/>
        <w:ind w:firstLine="630" w:firstLineChars="300"/>
        <w:rPr>
          <w:rFonts w:hAnsi="宋体" w:cs="宋体"/>
          <w:color w:val="auto"/>
        </w:rPr>
      </w:pPr>
      <w:r>
        <w:rPr>
          <w:rFonts w:hint="eastAsia" w:hAnsi="宋体" w:cs="宋体"/>
          <w:color w:val="auto"/>
        </w:rPr>
        <w:t>项目联系人：</w:t>
      </w:r>
      <w:r>
        <w:rPr>
          <w:rFonts w:hint="eastAsia" w:hAnsi="宋体" w:cs="宋体"/>
          <w:color w:val="auto"/>
          <w:u w:val="single"/>
        </w:rPr>
        <w:t>周剑</w:t>
      </w:r>
    </w:p>
    <w:p>
      <w:pPr>
        <w:spacing w:line="360" w:lineRule="auto"/>
        <w:ind w:firstLine="630" w:firstLineChars="300"/>
        <w:rPr>
          <w:rFonts w:ascii="宋体" w:hAnsi="宋体" w:cs="宋体"/>
          <w:color w:val="auto"/>
          <w:szCs w:val="21"/>
          <w:u w:val="single"/>
        </w:rPr>
      </w:pPr>
      <w:r>
        <w:rPr>
          <w:rFonts w:hint="eastAsia" w:ascii="宋体" w:hAnsi="宋体" w:cs="宋体"/>
          <w:color w:val="auto"/>
          <w:szCs w:val="21"/>
        </w:rPr>
        <w:t>电　　 话：</w:t>
      </w:r>
      <w:r>
        <w:rPr>
          <w:rFonts w:hint="eastAsia" w:ascii="宋体" w:hAnsi="宋体" w:cs="宋体"/>
          <w:color w:val="auto"/>
          <w:szCs w:val="21"/>
          <w:u w:val="single"/>
        </w:rPr>
        <w:t>　0771-2807659 　</w:t>
      </w:r>
    </w:p>
    <w:p>
      <w:pPr>
        <w:snapToGrid w:val="0"/>
        <w:jc w:val="center"/>
        <w:rPr>
          <w:rFonts w:ascii="宋体" w:hAnsi="宋体"/>
          <w:b/>
          <w:color w:val="auto"/>
          <w:sz w:val="24"/>
        </w:rPr>
      </w:pPr>
    </w:p>
    <w:p>
      <w:pPr>
        <w:rPr>
          <w:rFonts w:ascii="宋体" w:hAnsi="宋体"/>
          <w:b/>
          <w:color w:val="auto"/>
          <w:sz w:val="24"/>
        </w:rPr>
      </w:pPr>
      <w:r>
        <w:rPr>
          <w:rFonts w:ascii="宋体" w:hAnsi="宋体"/>
          <w:b/>
          <w:color w:val="auto"/>
          <w:sz w:val="24"/>
        </w:rPr>
        <w:br w:type="page"/>
      </w:r>
    </w:p>
    <w:p>
      <w:pPr>
        <w:pStyle w:val="2"/>
        <w:rPr>
          <w:color w:val="auto"/>
        </w:rPr>
      </w:pPr>
    </w:p>
    <w:p>
      <w:pPr>
        <w:snapToGrid w:val="0"/>
        <w:spacing w:beforeLines="50" w:afterLines="50"/>
        <w:ind w:left="238"/>
        <w:jc w:val="center"/>
        <w:rPr>
          <w:rFonts w:ascii="宋体" w:hAnsi="宋体"/>
          <w:b/>
          <w:color w:val="auto"/>
          <w:sz w:val="24"/>
        </w:rPr>
      </w:pPr>
    </w:p>
    <w:p>
      <w:pPr>
        <w:snapToGrid w:val="0"/>
        <w:spacing w:beforeLines="50" w:afterLines="50"/>
        <w:ind w:left="238"/>
        <w:jc w:val="center"/>
        <w:rPr>
          <w:rFonts w:ascii="宋体" w:hAnsi="宋体"/>
          <w:b/>
          <w:color w:val="auto"/>
          <w:sz w:val="24"/>
        </w:rPr>
      </w:pPr>
    </w:p>
    <w:p>
      <w:pPr>
        <w:snapToGrid w:val="0"/>
        <w:spacing w:beforeLines="50" w:afterLines="50"/>
        <w:ind w:left="238"/>
        <w:jc w:val="center"/>
        <w:rPr>
          <w:rFonts w:ascii="宋体" w:hAnsi="宋体"/>
          <w:b/>
          <w:color w:val="auto"/>
          <w:sz w:val="24"/>
        </w:rPr>
      </w:pPr>
    </w:p>
    <w:p>
      <w:pPr>
        <w:snapToGrid w:val="0"/>
        <w:spacing w:beforeLines="50" w:afterLines="50"/>
        <w:ind w:left="238"/>
        <w:jc w:val="center"/>
        <w:rPr>
          <w:rFonts w:ascii="宋体" w:hAnsi="宋体"/>
          <w:b/>
          <w:color w:val="auto"/>
          <w:sz w:val="24"/>
        </w:rPr>
      </w:pPr>
    </w:p>
    <w:p>
      <w:pPr>
        <w:snapToGrid w:val="0"/>
        <w:spacing w:beforeLines="50" w:afterLines="50"/>
        <w:ind w:left="238"/>
        <w:jc w:val="center"/>
        <w:rPr>
          <w:rFonts w:ascii="宋体" w:hAnsi="宋体"/>
          <w:b/>
          <w:color w:val="auto"/>
          <w:sz w:val="24"/>
        </w:rPr>
      </w:pPr>
    </w:p>
    <w:p>
      <w:pPr>
        <w:snapToGrid w:val="0"/>
        <w:spacing w:beforeLines="50" w:afterLines="50"/>
        <w:ind w:left="238"/>
        <w:jc w:val="center"/>
        <w:rPr>
          <w:rFonts w:ascii="宋体" w:hAnsi="宋体"/>
          <w:b/>
          <w:color w:val="auto"/>
          <w:sz w:val="24"/>
        </w:rPr>
      </w:pPr>
    </w:p>
    <w:p>
      <w:pPr>
        <w:snapToGrid w:val="0"/>
        <w:spacing w:beforeLines="50" w:afterLines="50"/>
        <w:ind w:left="238"/>
        <w:jc w:val="center"/>
        <w:rPr>
          <w:rFonts w:ascii="宋体" w:hAnsi="宋体"/>
          <w:b/>
          <w:color w:val="auto"/>
          <w:sz w:val="24"/>
        </w:rPr>
      </w:pPr>
    </w:p>
    <w:p>
      <w:pPr>
        <w:snapToGrid w:val="0"/>
        <w:spacing w:beforeLines="50" w:afterLines="50"/>
        <w:ind w:left="238"/>
        <w:jc w:val="center"/>
        <w:rPr>
          <w:rFonts w:ascii="宋体" w:hAnsi="宋体"/>
          <w:b/>
          <w:color w:val="auto"/>
          <w:sz w:val="24"/>
        </w:rPr>
      </w:pPr>
    </w:p>
    <w:p>
      <w:pPr>
        <w:snapToGrid w:val="0"/>
        <w:spacing w:beforeLines="50" w:afterLines="50"/>
        <w:ind w:left="238"/>
        <w:jc w:val="center"/>
        <w:outlineLvl w:val="0"/>
        <w:rPr>
          <w:rFonts w:ascii="宋体" w:hAnsi="宋体"/>
          <w:b/>
          <w:color w:val="auto"/>
          <w:sz w:val="44"/>
          <w:szCs w:val="44"/>
        </w:rPr>
      </w:pPr>
      <w:bookmarkStart w:id="43" w:name="_Toc5202"/>
      <w:r>
        <w:rPr>
          <w:rFonts w:hint="eastAsia" w:ascii="宋体" w:hAnsi="宋体"/>
          <w:b/>
          <w:color w:val="auto"/>
          <w:sz w:val="44"/>
          <w:szCs w:val="44"/>
        </w:rPr>
        <w:t xml:space="preserve">第二章 </w:t>
      </w:r>
      <w:r>
        <w:rPr>
          <w:rFonts w:hint="eastAsia" w:hAnsi="宋体"/>
          <w:b/>
          <w:bCs/>
          <w:color w:val="auto"/>
          <w:sz w:val="44"/>
          <w:szCs w:val="44"/>
        </w:rPr>
        <w:t>供应商须知</w:t>
      </w:r>
      <w:bookmarkEnd w:id="43"/>
    </w:p>
    <w:p>
      <w:pPr>
        <w:jc w:val="center"/>
        <w:rPr>
          <w:rFonts w:ascii="宋体" w:hAnsi="宋体"/>
          <w:b/>
          <w:color w:val="auto"/>
          <w:sz w:val="24"/>
        </w:rPr>
      </w:pPr>
    </w:p>
    <w:p>
      <w:pPr>
        <w:jc w:val="center"/>
        <w:rPr>
          <w:rFonts w:ascii="宋体" w:hAnsi="宋体"/>
          <w:b/>
          <w:color w:val="auto"/>
          <w:sz w:val="24"/>
        </w:rPr>
      </w:pPr>
      <w:r>
        <w:rPr>
          <w:rFonts w:hint="eastAsia" w:ascii="宋体" w:hAnsi="宋体"/>
          <w:b/>
          <w:color w:val="auto"/>
          <w:sz w:val="24"/>
        </w:rPr>
        <w:t xml:space="preserve">  </w:t>
      </w:r>
    </w:p>
    <w:p>
      <w:pPr>
        <w:pStyle w:val="24"/>
        <w:ind w:firstLine="525"/>
        <w:jc w:val="center"/>
        <w:outlineLvl w:val="1"/>
        <w:rPr>
          <w:rFonts w:hAnsi="宋体"/>
          <w:b/>
          <w:color w:val="auto"/>
        </w:rPr>
      </w:pPr>
      <w:r>
        <w:rPr>
          <w:rFonts w:hAnsi="宋体"/>
          <w:b/>
          <w:color w:val="auto"/>
          <w:sz w:val="24"/>
        </w:rPr>
        <w:br w:type="page"/>
      </w:r>
      <w:r>
        <w:rPr>
          <w:rFonts w:hint="eastAsia" w:hAnsi="宋体"/>
          <w:b/>
          <w:color w:val="auto"/>
          <w:sz w:val="32"/>
          <w:szCs w:val="32"/>
        </w:rPr>
        <w:t>供应商须知前附表</w:t>
      </w:r>
      <w:r>
        <w:rPr>
          <w:rFonts w:hint="eastAsia" w:hAnsi="宋体"/>
          <w:b/>
          <w:color w:val="auto"/>
          <w:sz w:val="32"/>
          <w:szCs w:val="32"/>
        </w:rPr>
        <w:cr/>
      </w:r>
    </w:p>
    <w:tbl>
      <w:tblPr>
        <w:tblStyle w:val="43"/>
        <w:tblW w:w="10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714"/>
        <w:gridCol w:w="1701"/>
        <w:gridCol w:w="7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26" w:type="dxa"/>
            <w:vAlign w:val="center"/>
          </w:tcPr>
          <w:p>
            <w:pPr>
              <w:pStyle w:val="24"/>
              <w:spacing w:line="420" w:lineRule="exact"/>
              <w:jc w:val="center"/>
              <w:outlineLvl w:val="1"/>
              <w:rPr>
                <w:rFonts w:asciiTheme="minorEastAsia" w:hAnsiTheme="minorEastAsia" w:eastAsiaTheme="minorEastAsia"/>
                <w:color w:val="auto"/>
              </w:rPr>
            </w:pPr>
            <w:r>
              <w:rPr>
                <w:rFonts w:hint="eastAsia" w:asciiTheme="minorEastAsia" w:hAnsiTheme="minorEastAsia" w:eastAsiaTheme="minorEastAsia"/>
                <w:color w:val="auto"/>
              </w:rPr>
              <w:t>序号</w:t>
            </w:r>
          </w:p>
        </w:tc>
        <w:tc>
          <w:tcPr>
            <w:tcW w:w="714" w:type="dxa"/>
          </w:tcPr>
          <w:p>
            <w:pPr>
              <w:pStyle w:val="24"/>
              <w:spacing w:line="420" w:lineRule="exact"/>
              <w:jc w:val="center"/>
              <w:outlineLvl w:val="1"/>
              <w:rPr>
                <w:rFonts w:asciiTheme="minorEastAsia" w:hAnsiTheme="minorEastAsia" w:eastAsiaTheme="minorEastAsia"/>
                <w:color w:val="auto"/>
              </w:rPr>
            </w:pPr>
            <w:r>
              <w:rPr>
                <w:rFonts w:hint="eastAsia" w:asciiTheme="minorEastAsia" w:hAnsiTheme="minorEastAsia" w:eastAsiaTheme="minorEastAsia"/>
                <w:color w:val="auto"/>
              </w:rPr>
              <w:t>条款号</w:t>
            </w:r>
          </w:p>
        </w:tc>
        <w:tc>
          <w:tcPr>
            <w:tcW w:w="1701" w:type="dxa"/>
            <w:vAlign w:val="center"/>
          </w:tcPr>
          <w:p>
            <w:pPr>
              <w:pStyle w:val="24"/>
              <w:spacing w:line="420" w:lineRule="exact"/>
              <w:jc w:val="center"/>
              <w:outlineLvl w:val="1"/>
              <w:rPr>
                <w:rFonts w:asciiTheme="minorEastAsia" w:hAnsiTheme="minorEastAsia" w:eastAsiaTheme="minorEastAsia"/>
                <w:color w:val="auto"/>
              </w:rPr>
            </w:pPr>
            <w:r>
              <w:rPr>
                <w:rFonts w:hint="eastAsia" w:asciiTheme="minorEastAsia" w:hAnsiTheme="minorEastAsia" w:eastAsiaTheme="minorEastAsia"/>
                <w:color w:val="auto"/>
              </w:rPr>
              <w:t>条款名称</w:t>
            </w:r>
          </w:p>
        </w:tc>
        <w:tc>
          <w:tcPr>
            <w:tcW w:w="7273" w:type="dxa"/>
            <w:vAlign w:val="center"/>
          </w:tcPr>
          <w:p>
            <w:pPr>
              <w:pStyle w:val="24"/>
              <w:spacing w:line="420" w:lineRule="exact"/>
              <w:ind w:firstLine="2951" w:firstLineChars="1400"/>
              <w:outlineLvl w:val="1"/>
              <w:rPr>
                <w:rFonts w:asciiTheme="minorEastAsia" w:hAnsiTheme="minorEastAsia" w:eastAsiaTheme="minorEastAsia"/>
                <w:b/>
                <w:color w:val="auto"/>
              </w:rPr>
            </w:pPr>
            <w:r>
              <w:rPr>
                <w:rFonts w:hint="eastAsia" w:asciiTheme="minorEastAsia" w:hAnsiTheme="minorEastAsia" w:eastAsiaTheme="minorEastAsia"/>
                <w:b/>
                <w:color w:val="auto"/>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726" w:type="dxa"/>
            <w:vAlign w:val="center"/>
          </w:tcPr>
          <w:p>
            <w:pPr>
              <w:pStyle w:val="24"/>
              <w:spacing w:line="420" w:lineRule="exact"/>
              <w:jc w:val="center"/>
              <w:outlineLvl w:val="1"/>
              <w:rPr>
                <w:rFonts w:asciiTheme="minorEastAsia" w:hAnsiTheme="minorEastAsia" w:eastAsiaTheme="minorEastAsia"/>
                <w:color w:val="auto"/>
              </w:rPr>
            </w:pPr>
            <w:r>
              <w:rPr>
                <w:rFonts w:hint="eastAsia" w:asciiTheme="minorEastAsia" w:hAnsiTheme="minorEastAsia" w:eastAsiaTheme="minorEastAsia"/>
                <w:color w:val="auto"/>
              </w:rPr>
              <w:t>1</w:t>
            </w:r>
          </w:p>
        </w:tc>
        <w:tc>
          <w:tcPr>
            <w:tcW w:w="714" w:type="dxa"/>
          </w:tcPr>
          <w:p>
            <w:pPr>
              <w:pStyle w:val="24"/>
              <w:spacing w:line="420" w:lineRule="exact"/>
              <w:jc w:val="center"/>
              <w:outlineLvl w:val="1"/>
              <w:rPr>
                <w:rFonts w:asciiTheme="minorEastAsia" w:hAnsiTheme="minorEastAsia" w:eastAsiaTheme="minorEastAsia"/>
                <w:color w:val="auto"/>
              </w:rPr>
            </w:pPr>
            <w:r>
              <w:rPr>
                <w:rFonts w:hint="eastAsia" w:asciiTheme="minorEastAsia" w:hAnsiTheme="minorEastAsia" w:eastAsiaTheme="minorEastAsia"/>
                <w:color w:val="auto"/>
              </w:rPr>
              <w:t>1.1</w:t>
            </w:r>
          </w:p>
        </w:tc>
        <w:tc>
          <w:tcPr>
            <w:tcW w:w="1701" w:type="dxa"/>
            <w:vAlign w:val="center"/>
          </w:tcPr>
          <w:p>
            <w:pPr>
              <w:pStyle w:val="24"/>
              <w:spacing w:line="420" w:lineRule="exact"/>
              <w:jc w:val="center"/>
              <w:outlineLvl w:val="1"/>
              <w:rPr>
                <w:rFonts w:asciiTheme="minorEastAsia" w:hAnsiTheme="minorEastAsia" w:eastAsiaTheme="minorEastAsia"/>
                <w:color w:val="auto"/>
              </w:rPr>
            </w:pPr>
            <w:r>
              <w:rPr>
                <w:rFonts w:hint="eastAsia" w:asciiTheme="minorEastAsia" w:hAnsiTheme="minorEastAsia" w:eastAsiaTheme="minorEastAsia"/>
                <w:color w:val="auto"/>
              </w:rPr>
              <w:t>项目名称及编号</w:t>
            </w:r>
          </w:p>
        </w:tc>
        <w:tc>
          <w:tcPr>
            <w:tcW w:w="7273" w:type="dxa"/>
            <w:vAlign w:val="center"/>
          </w:tcPr>
          <w:p>
            <w:pPr>
              <w:spacing w:line="440" w:lineRule="exact"/>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项目名称：录播教室设备采购       </w:t>
            </w:r>
          </w:p>
          <w:p>
            <w:pPr>
              <w:spacing w:line="440" w:lineRule="exact"/>
              <w:outlineLvl w:val="1"/>
              <w:rPr>
                <w:rFonts w:asciiTheme="minorEastAsia" w:hAnsiTheme="minorEastAsia" w:eastAsiaTheme="minorEastAsia"/>
                <w:b/>
                <w:bCs/>
                <w:color w:val="auto"/>
                <w:szCs w:val="21"/>
              </w:rPr>
            </w:pPr>
            <w:r>
              <w:rPr>
                <w:rFonts w:hint="eastAsia" w:asciiTheme="minorEastAsia" w:hAnsiTheme="minorEastAsia" w:eastAsiaTheme="minorEastAsia"/>
                <w:color w:val="auto"/>
                <w:szCs w:val="21"/>
              </w:rPr>
              <w:t>项目编号：FC(3)2020474JNN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4"/>
              <w:spacing w:line="420" w:lineRule="exact"/>
              <w:jc w:val="center"/>
              <w:outlineLvl w:val="1"/>
              <w:rPr>
                <w:rFonts w:asciiTheme="minorEastAsia" w:hAnsiTheme="minorEastAsia" w:eastAsiaTheme="minorEastAsia"/>
                <w:color w:val="auto"/>
              </w:rPr>
            </w:pPr>
            <w:r>
              <w:rPr>
                <w:rFonts w:hint="eastAsia" w:asciiTheme="minorEastAsia" w:hAnsiTheme="minorEastAsia" w:eastAsiaTheme="minorEastAsia"/>
                <w:color w:val="auto"/>
              </w:rPr>
              <w:t>2</w:t>
            </w:r>
          </w:p>
        </w:tc>
        <w:tc>
          <w:tcPr>
            <w:tcW w:w="714" w:type="dxa"/>
          </w:tcPr>
          <w:p>
            <w:pPr>
              <w:spacing w:line="360" w:lineRule="exact"/>
              <w:jc w:val="center"/>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p>
        </w:tc>
        <w:tc>
          <w:tcPr>
            <w:tcW w:w="1701" w:type="dxa"/>
            <w:vAlign w:val="center"/>
          </w:tcPr>
          <w:p>
            <w:pPr>
              <w:spacing w:line="360" w:lineRule="exact"/>
              <w:jc w:val="center"/>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供应商资格</w:t>
            </w:r>
          </w:p>
        </w:tc>
        <w:tc>
          <w:tcPr>
            <w:tcW w:w="7273" w:type="dxa"/>
            <w:vAlign w:val="center"/>
          </w:tcPr>
          <w:p>
            <w:pPr>
              <w:outlineLvl w:val="1"/>
              <w:rPr>
                <w:rFonts w:asciiTheme="minorEastAsia" w:hAnsiTheme="minorEastAsia" w:eastAsiaTheme="minorEastAsia"/>
                <w:color w:val="auto"/>
                <w:szCs w:val="21"/>
              </w:rPr>
            </w:pP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符合《中华人民共和国政府采购法》第二十二条规定。</w:t>
            </w:r>
          </w:p>
          <w:p>
            <w:pPr>
              <w:snapToGrid w:val="0"/>
              <w:outlineLvl w:val="1"/>
              <w:rPr>
                <w:rFonts w:asciiTheme="minorEastAsia" w:hAnsiTheme="minorEastAsia" w:eastAsiaTheme="minorEastAsia"/>
                <w:color w:val="auto"/>
                <w:szCs w:val="21"/>
              </w:rPr>
            </w:pP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国内注册</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生产或经营本次</w:t>
            </w:r>
            <w:r>
              <w:rPr>
                <w:rFonts w:hint="eastAsia" w:asciiTheme="minorEastAsia" w:hAnsiTheme="minorEastAsia" w:eastAsiaTheme="minorEastAsia"/>
                <w:color w:val="auto"/>
                <w:szCs w:val="21"/>
              </w:rPr>
              <w:t>招</w:t>
            </w:r>
            <w:r>
              <w:rPr>
                <w:rFonts w:asciiTheme="minorEastAsia" w:hAnsiTheme="minorEastAsia" w:eastAsiaTheme="minorEastAsia"/>
                <w:color w:val="auto"/>
                <w:szCs w:val="21"/>
              </w:rPr>
              <w:t>标采购货物的</w:t>
            </w:r>
            <w:r>
              <w:rPr>
                <w:rFonts w:hint="eastAsia" w:asciiTheme="minorEastAsia" w:hAnsiTheme="minorEastAsia" w:eastAsiaTheme="minorEastAsia"/>
                <w:color w:val="auto"/>
                <w:szCs w:val="21"/>
              </w:rPr>
              <w:t>供应商。</w:t>
            </w:r>
          </w:p>
          <w:p>
            <w:pPr>
              <w:snapToGrid w:val="0"/>
              <w:outlineLvl w:val="1"/>
              <w:rPr>
                <w:rFonts w:asciiTheme="minorEastAsia" w:hAnsiTheme="minorEastAsia" w:eastAsiaTheme="minorEastAsia"/>
                <w:color w:val="auto"/>
                <w:sz w:val="24"/>
              </w:rPr>
            </w:pPr>
            <w:r>
              <w:rPr>
                <w:rFonts w:hint="eastAsia" w:asciiTheme="minorEastAsia" w:hAnsiTheme="minorEastAsia" w:eastAsiaTheme="minorEastAsia"/>
                <w:color w:val="auto"/>
                <w:szCs w:val="21"/>
              </w:rPr>
              <w:t>3. 参加政府采购活动前3年内在经营活动中没有重大违法记录</w:t>
            </w:r>
            <w:r>
              <w:rPr>
                <w:rFonts w:hint="eastAsia" w:asciiTheme="minorEastAsia" w:hAnsiTheme="minorEastAsia" w:eastAsiaTheme="minorEastAsia"/>
                <w:color w:val="auto"/>
                <w:sz w:val="24"/>
              </w:rPr>
              <w:t>(提供书面声明)。</w:t>
            </w:r>
          </w:p>
          <w:p>
            <w:pPr>
              <w:snapToGrid w:val="0"/>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4.供应商在竞标期间，企业在“信用中国”网站(www.creditchina.gov.cn)、中国政府采购网(www.ccgp.gov.cn)等渠道被公布为失信被执行人名单或重大税收违法案件当事人名单或政府采购严重违法失信行为记录名单，且处罚期未结束的，不得参与政府采购活动。</w:t>
            </w:r>
          </w:p>
          <w:p>
            <w:pPr>
              <w:spacing w:line="400" w:lineRule="exact"/>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4.本项目</w:t>
            </w:r>
            <w:r>
              <w:rPr>
                <w:rFonts w:hint="eastAsia" w:asciiTheme="minorEastAsia" w:hAnsiTheme="minorEastAsia" w:eastAsiaTheme="minorEastAsia"/>
                <w:color w:val="auto"/>
                <w:szCs w:val="21"/>
                <w:u w:val="single"/>
              </w:rPr>
              <w:t xml:space="preserve"> 不接受 </w:t>
            </w:r>
            <w:r>
              <w:rPr>
                <w:rFonts w:hint="eastAsia" w:asciiTheme="minorEastAsia" w:hAnsiTheme="minorEastAsia" w:eastAsiaTheme="minorEastAsia"/>
                <w:color w:val="auto"/>
                <w:szCs w:val="21"/>
              </w:rPr>
              <w:t>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26" w:type="dxa"/>
            <w:vAlign w:val="center"/>
          </w:tcPr>
          <w:p>
            <w:pPr>
              <w:pStyle w:val="24"/>
              <w:spacing w:line="420" w:lineRule="exact"/>
              <w:jc w:val="center"/>
              <w:outlineLvl w:val="1"/>
              <w:rPr>
                <w:rFonts w:asciiTheme="minorEastAsia" w:hAnsiTheme="minorEastAsia" w:eastAsiaTheme="minorEastAsia"/>
                <w:color w:val="auto"/>
              </w:rPr>
            </w:pPr>
            <w:r>
              <w:rPr>
                <w:rFonts w:hint="eastAsia" w:asciiTheme="minorEastAsia" w:hAnsiTheme="minorEastAsia" w:eastAsiaTheme="minorEastAsia"/>
                <w:color w:val="auto"/>
              </w:rPr>
              <w:t>3</w:t>
            </w:r>
          </w:p>
        </w:tc>
        <w:tc>
          <w:tcPr>
            <w:tcW w:w="714" w:type="dxa"/>
          </w:tcPr>
          <w:p>
            <w:pPr>
              <w:spacing w:line="360" w:lineRule="exact"/>
              <w:jc w:val="center"/>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4</w:t>
            </w:r>
          </w:p>
        </w:tc>
        <w:tc>
          <w:tcPr>
            <w:tcW w:w="1701" w:type="dxa"/>
            <w:vAlign w:val="center"/>
          </w:tcPr>
          <w:p>
            <w:pPr>
              <w:spacing w:line="360" w:lineRule="exact"/>
              <w:jc w:val="center"/>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谈判费用</w:t>
            </w:r>
          </w:p>
        </w:tc>
        <w:tc>
          <w:tcPr>
            <w:tcW w:w="7273" w:type="dxa"/>
            <w:vAlign w:val="center"/>
          </w:tcPr>
          <w:p>
            <w:pPr>
              <w:spacing w:line="340" w:lineRule="exact"/>
              <w:jc w:val="left"/>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不论</w:t>
            </w:r>
            <w:r>
              <w:rPr>
                <w:rFonts w:hint="eastAsia" w:cs="宋体" w:asciiTheme="minorEastAsia" w:hAnsiTheme="minorEastAsia" w:eastAsiaTheme="minorEastAsia"/>
                <w:color w:val="auto"/>
                <w:szCs w:val="21"/>
              </w:rPr>
              <w:t>谈判</w:t>
            </w:r>
            <w:r>
              <w:rPr>
                <w:rFonts w:hint="eastAsia" w:asciiTheme="minorEastAsia" w:hAnsiTheme="minorEastAsia" w:eastAsiaTheme="minorEastAsia"/>
                <w:color w:val="auto"/>
                <w:szCs w:val="21"/>
              </w:rPr>
              <w:t>结果如何，供应商均应自行承担所有与谈判有关的全部费用。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26" w:type="dxa"/>
            <w:vAlign w:val="center"/>
          </w:tcPr>
          <w:p>
            <w:pPr>
              <w:pStyle w:val="24"/>
              <w:spacing w:line="420" w:lineRule="exact"/>
              <w:jc w:val="center"/>
              <w:outlineLvl w:val="1"/>
              <w:rPr>
                <w:rFonts w:asciiTheme="minorEastAsia" w:hAnsiTheme="minorEastAsia" w:eastAsiaTheme="minorEastAsia"/>
                <w:color w:val="auto"/>
              </w:rPr>
            </w:pPr>
            <w:r>
              <w:rPr>
                <w:rFonts w:hint="eastAsia" w:asciiTheme="minorEastAsia" w:hAnsiTheme="minorEastAsia" w:eastAsiaTheme="minorEastAsia"/>
                <w:color w:val="auto"/>
              </w:rPr>
              <w:t>4</w:t>
            </w:r>
          </w:p>
        </w:tc>
        <w:tc>
          <w:tcPr>
            <w:tcW w:w="714" w:type="dxa"/>
          </w:tcPr>
          <w:p>
            <w:pPr>
              <w:spacing w:line="360" w:lineRule="exact"/>
              <w:jc w:val="center"/>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11</w:t>
            </w:r>
          </w:p>
        </w:tc>
        <w:tc>
          <w:tcPr>
            <w:tcW w:w="1701" w:type="dxa"/>
            <w:vAlign w:val="center"/>
          </w:tcPr>
          <w:p>
            <w:pPr>
              <w:spacing w:line="360" w:lineRule="exact"/>
              <w:jc w:val="center"/>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澄清或者修改</w:t>
            </w:r>
          </w:p>
        </w:tc>
        <w:tc>
          <w:tcPr>
            <w:tcW w:w="7273" w:type="dxa"/>
          </w:tcPr>
          <w:p>
            <w:pPr>
              <w:spacing w:line="340" w:lineRule="exact"/>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提交首次响应文件截止之日前，采购代理机构可以对已发出的谈判文件进行必要澄清或者修改，澄清或者修改的内容可能影响响应文件编制的，采购代理机构应当在提交首次响应文件递交截止时间3个工作日前在本项目竞争性谈判公告发布的同一媒体上发布更正公告，不足3个工作日的，应当顺延首次响应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26" w:type="dxa"/>
            <w:vAlign w:val="center"/>
          </w:tcPr>
          <w:p>
            <w:pPr>
              <w:pStyle w:val="24"/>
              <w:spacing w:line="420" w:lineRule="exact"/>
              <w:jc w:val="center"/>
              <w:outlineLvl w:val="1"/>
              <w:rPr>
                <w:rFonts w:asciiTheme="minorEastAsia" w:hAnsiTheme="minorEastAsia" w:eastAsiaTheme="minorEastAsia"/>
                <w:color w:val="auto"/>
              </w:rPr>
            </w:pPr>
            <w:r>
              <w:rPr>
                <w:rFonts w:hint="eastAsia" w:asciiTheme="minorEastAsia" w:hAnsiTheme="minorEastAsia" w:eastAsiaTheme="minorEastAsia"/>
                <w:color w:val="auto"/>
              </w:rPr>
              <w:t>5</w:t>
            </w:r>
          </w:p>
        </w:tc>
        <w:tc>
          <w:tcPr>
            <w:tcW w:w="714" w:type="dxa"/>
            <w:vAlign w:val="center"/>
          </w:tcPr>
          <w:p>
            <w:pPr>
              <w:spacing w:line="360" w:lineRule="exact"/>
              <w:jc w:val="center"/>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14.1</w:t>
            </w:r>
          </w:p>
        </w:tc>
        <w:tc>
          <w:tcPr>
            <w:tcW w:w="1701" w:type="dxa"/>
            <w:vAlign w:val="center"/>
          </w:tcPr>
          <w:p>
            <w:pPr>
              <w:spacing w:line="360" w:lineRule="exact"/>
              <w:jc w:val="center"/>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总采购预算</w:t>
            </w:r>
          </w:p>
        </w:tc>
        <w:tc>
          <w:tcPr>
            <w:tcW w:w="7273" w:type="dxa"/>
            <w:vAlign w:val="center"/>
          </w:tcPr>
          <w:p>
            <w:pPr>
              <w:spacing w:line="320" w:lineRule="exact"/>
              <w:outlineLvl w:val="1"/>
              <w:rPr>
                <w:rFonts w:asciiTheme="minorEastAsia" w:hAnsiTheme="minorEastAsia" w:eastAsiaTheme="minorEastAsia"/>
                <w:color w:val="auto"/>
                <w:szCs w:val="21"/>
              </w:rPr>
            </w:pPr>
            <w:r>
              <w:rPr>
                <w:rFonts w:hint="eastAsia" w:ascii="宋体" w:hAnsi="宋体"/>
                <w:b/>
                <w:color w:val="auto"/>
                <w:sz w:val="24"/>
              </w:rPr>
              <w:t>113362.00元</w:t>
            </w:r>
            <w:r>
              <w:rPr>
                <w:rFonts w:hint="eastAsia" w:asciiTheme="minorEastAsia" w:hAnsiTheme="minorEastAsia" w:eastAsiaTheme="minorEastAsia"/>
                <w:color w:val="auto"/>
                <w:kern w:val="0"/>
                <w:szCs w:val="21"/>
              </w:rPr>
              <w:t>；</w:t>
            </w:r>
          </w:p>
          <w:p>
            <w:pPr>
              <w:spacing w:line="320" w:lineRule="exact"/>
              <w:outlineLvl w:val="1"/>
              <w:rPr>
                <w:rFonts w:asciiTheme="minorEastAsia" w:hAnsiTheme="minorEastAsia" w:eastAsiaTheme="minorEastAsia"/>
                <w:color w:val="auto"/>
                <w:kern w:val="0"/>
                <w:szCs w:val="21"/>
              </w:rPr>
            </w:pPr>
            <w:r>
              <w:rPr>
                <w:rFonts w:hint="eastAsia" w:asciiTheme="minorEastAsia" w:hAnsiTheme="minorEastAsia" w:eastAsiaTheme="minorEastAsia"/>
                <w:color w:val="auto"/>
                <w:szCs w:val="21"/>
              </w:rPr>
              <w:t>报价</w:t>
            </w:r>
            <w:r>
              <w:rPr>
                <w:rFonts w:hint="eastAsia" w:asciiTheme="minorEastAsia" w:hAnsiTheme="minorEastAsia" w:eastAsiaTheme="minorEastAsia"/>
                <w:color w:val="auto"/>
                <w:kern w:val="0"/>
                <w:szCs w:val="21"/>
              </w:rPr>
              <w:t>超过总采购预算金额（或分项采购预算，</w:t>
            </w:r>
            <w:r>
              <w:rPr>
                <w:rFonts w:hint="eastAsia" w:ascii="宋体" w:hAnsi="宋体"/>
                <w:color w:val="auto"/>
                <w:szCs w:val="21"/>
              </w:rPr>
              <w:t>根据项目增减</w:t>
            </w:r>
            <w:r>
              <w:rPr>
                <w:rFonts w:hint="eastAsia" w:asciiTheme="minorEastAsia" w:hAnsiTheme="minorEastAsia" w:eastAsiaTheme="minorEastAsia"/>
                <w:color w:val="auto"/>
                <w:kern w:val="0"/>
                <w:szCs w:val="21"/>
              </w:rPr>
              <w:t>）的，响应文件作无效处理。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4"/>
              <w:spacing w:line="420" w:lineRule="exact"/>
              <w:jc w:val="center"/>
              <w:outlineLvl w:val="1"/>
              <w:rPr>
                <w:rFonts w:asciiTheme="minorEastAsia" w:hAnsiTheme="minorEastAsia" w:eastAsiaTheme="minorEastAsia"/>
                <w:color w:val="auto"/>
              </w:rPr>
            </w:pPr>
            <w:r>
              <w:rPr>
                <w:rFonts w:hint="eastAsia" w:asciiTheme="minorEastAsia" w:hAnsiTheme="minorEastAsia" w:eastAsiaTheme="minorEastAsia"/>
                <w:color w:val="auto"/>
              </w:rPr>
              <w:t>6</w:t>
            </w:r>
          </w:p>
        </w:tc>
        <w:tc>
          <w:tcPr>
            <w:tcW w:w="714" w:type="dxa"/>
            <w:vAlign w:val="center"/>
          </w:tcPr>
          <w:p>
            <w:pPr>
              <w:spacing w:line="360" w:lineRule="exact"/>
              <w:jc w:val="center"/>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14.2</w:t>
            </w:r>
          </w:p>
        </w:tc>
        <w:tc>
          <w:tcPr>
            <w:tcW w:w="1701" w:type="dxa"/>
            <w:vAlign w:val="center"/>
          </w:tcPr>
          <w:p>
            <w:pPr>
              <w:spacing w:line="360" w:lineRule="exact"/>
              <w:jc w:val="center"/>
              <w:outlineLvl w:val="1"/>
              <w:rPr>
                <w:rFonts w:asciiTheme="minorEastAsia" w:hAnsiTheme="minorEastAsia" w:eastAsiaTheme="minorEastAsia"/>
                <w:color w:val="auto"/>
                <w:position w:val="-2"/>
                <w:szCs w:val="21"/>
              </w:rPr>
            </w:pPr>
            <w:r>
              <w:rPr>
                <w:rFonts w:hint="eastAsia" w:asciiTheme="minorEastAsia" w:hAnsiTheme="minorEastAsia" w:eastAsiaTheme="minorEastAsia"/>
                <w:color w:val="auto"/>
                <w:szCs w:val="21"/>
              </w:rPr>
              <w:t>谈判报价</w:t>
            </w:r>
          </w:p>
        </w:tc>
        <w:tc>
          <w:tcPr>
            <w:tcW w:w="7273" w:type="dxa"/>
            <w:vAlign w:val="center"/>
          </w:tcPr>
          <w:p>
            <w:pPr>
              <w:spacing w:line="340" w:lineRule="exact"/>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供应商须就项目需求和说明中的所有分标货物内容作完整唯一报价。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4"/>
              <w:spacing w:line="420" w:lineRule="exact"/>
              <w:jc w:val="center"/>
              <w:outlineLvl w:val="1"/>
              <w:rPr>
                <w:rFonts w:asciiTheme="minorEastAsia" w:hAnsiTheme="minorEastAsia" w:eastAsiaTheme="minorEastAsia"/>
                <w:color w:val="auto"/>
              </w:rPr>
            </w:pPr>
            <w:r>
              <w:rPr>
                <w:rFonts w:hint="eastAsia" w:asciiTheme="minorEastAsia" w:hAnsiTheme="minorEastAsia" w:eastAsiaTheme="minorEastAsia"/>
                <w:color w:val="auto"/>
              </w:rPr>
              <w:t>7</w:t>
            </w:r>
          </w:p>
        </w:tc>
        <w:tc>
          <w:tcPr>
            <w:tcW w:w="714" w:type="dxa"/>
            <w:vAlign w:val="center"/>
          </w:tcPr>
          <w:p>
            <w:pPr>
              <w:spacing w:line="360" w:lineRule="exact"/>
              <w:jc w:val="center"/>
              <w:outlineLvl w:val="1"/>
              <w:rPr>
                <w:rFonts w:asciiTheme="minorEastAsia" w:hAnsiTheme="minorEastAsia" w:eastAsiaTheme="minorEastAsia"/>
                <w:color w:val="auto"/>
                <w:position w:val="-2"/>
                <w:szCs w:val="21"/>
              </w:rPr>
            </w:pPr>
            <w:r>
              <w:rPr>
                <w:rFonts w:hint="eastAsia" w:asciiTheme="minorEastAsia" w:hAnsiTheme="minorEastAsia" w:eastAsiaTheme="minorEastAsia"/>
                <w:color w:val="auto"/>
                <w:position w:val="-2"/>
                <w:szCs w:val="21"/>
              </w:rPr>
              <w:t>15.1</w:t>
            </w:r>
          </w:p>
        </w:tc>
        <w:tc>
          <w:tcPr>
            <w:tcW w:w="1701" w:type="dxa"/>
            <w:vAlign w:val="center"/>
          </w:tcPr>
          <w:p>
            <w:pPr>
              <w:spacing w:line="360" w:lineRule="exact"/>
              <w:jc w:val="center"/>
              <w:outlineLvl w:val="1"/>
              <w:rPr>
                <w:rFonts w:asciiTheme="minorEastAsia" w:hAnsiTheme="minorEastAsia" w:eastAsiaTheme="minorEastAsia"/>
                <w:color w:val="auto"/>
                <w:position w:val="-2"/>
                <w:szCs w:val="21"/>
              </w:rPr>
            </w:pPr>
            <w:r>
              <w:rPr>
                <w:rFonts w:hint="eastAsia" w:asciiTheme="minorEastAsia" w:hAnsiTheme="minorEastAsia" w:eastAsiaTheme="minorEastAsia"/>
                <w:color w:val="auto"/>
                <w:position w:val="-2"/>
                <w:szCs w:val="21"/>
              </w:rPr>
              <w:t>响应文件有效期</w:t>
            </w:r>
          </w:p>
        </w:tc>
        <w:tc>
          <w:tcPr>
            <w:tcW w:w="7273" w:type="dxa"/>
            <w:vAlign w:val="center"/>
          </w:tcPr>
          <w:p>
            <w:pPr>
              <w:tabs>
                <w:tab w:val="left" w:pos="1305"/>
              </w:tabs>
              <w:spacing w:line="340" w:lineRule="exact"/>
              <w:jc w:val="left"/>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响应文件递交截止之日起60天，有效期不足的响应文件将被拒绝。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4"/>
              <w:spacing w:line="420" w:lineRule="exact"/>
              <w:jc w:val="center"/>
              <w:outlineLvl w:val="1"/>
              <w:rPr>
                <w:rFonts w:asciiTheme="minorEastAsia" w:hAnsiTheme="minorEastAsia" w:eastAsiaTheme="minorEastAsia"/>
                <w:color w:val="auto"/>
              </w:rPr>
            </w:pPr>
            <w:r>
              <w:rPr>
                <w:rFonts w:hint="eastAsia" w:asciiTheme="minorEastAsia" w:hAnsiTheme="minorEastAsia" w:eastAsiaTheme="minorEastAsia"/>
                <w:color w:val="auto"/>
              </w:rPr>
              <w:t>8</w:t>
            </w:r>
          </w:p>
        </w:tc>
        <w:tc>
          <w:tcPr>
            <w:tcW w:w="714" w:type="dxa"/>
            <w:vAlign w:val="center"/>
          </w:tcPr>
          <w:p>
            <w:pPr>
              <w:spacing w:line="360" w:lineRule="exact"/>
              <w:jc w:val="center"/>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16.1</w:t>
            </w:r>
          </w:p>
        </w:tc>
        <w:tc>
          <w:tcPr>
            <w:tcW w:w="1701" w:type="dxa"/>
            <w:vAlign w:val="center"/>
          </w:tcPr>
          <w:p>
            <w:pPr>
              <w:spacing w:line="360" w:lineRule="exact"/>
              <w:jc w:val="center"/>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响应文件份数</w:t>
            </w:r>
          </w:p>
        </w:tc>
        <w:tc>
          <w:tcPr>
            <w:tcW w:w="7273" w:type="dxa"/>
            <w:vAlign w:val="center"/>
          </w:tcPr>
          <w:p>
            <w:pPr>
              <w:spacing w:line="350" w:lineRule="exact"/>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正本</w:t>
            </w:r>
            <w:r>
              <w:rPr>
                <w:rFonts w:hint="eastAsia" w:asciiTheme="minorEastAsia" w:hAnsiTheme="minorEastAsia" w:eastAsiaTheme="minorEastAsia"/>
                <w:color w:val="auto"/>
                <w:szCs w:val="21"/>
                <w:u w:val="single"/>
              </w:rPr>
              <w:t xml:space="preserve"> 壹 </w:t>
            </w:r>
            <w:r>
              <w:rPr>
                <w:rFonts w:hint="eastAsia" w:asciiTheme="minorEastAsia" w:hAnsiTheme="minorEastAsia" w:eastAsiaTheme="minorEastAsia"/>
                <w:color w:val="auto"/>
                <w:szCs w:val="21"/>
              </w:rPr>
              <w:t xml:space="preserve"> 份，副本</w:t>
            </w:r>
            <w:r>
              <w:rPr>
                <w:rFonts w:hint="eastAsia" w:asciiTheme="minorEastAsia" w:hAnsiTheme="minorEastAsia" w:eastAsiaTheme="minorEastAsia"/>
                <w:color w:val="auto"/>
                <w:szCs w:val="21"/>
                <w:u w:val="single"/>
              </w:rPr>
              <w:t xml:space="preserve"> 叁 </w:t>
            </w:r>
            <w:r>
              <w:rPr>
                <w:rFonts w:hint="eastAsia" w:asciiTheme="minorEastAsia" w:hAnsiTheme="minorEastAsia" w:eastAsiaTheme="minorEastAsia"/>
                <w:color w:val="auto"/>
                <w:szCs w:val="21"/>
              </w:rPr>
              <w:t>份,电子版响应文件一份（光盘）。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4"/>
              <w:spacing w:line="420" w:lineRule="exact"/>
              <w:jc w:val="center"/>
              <w:outlineLvl w:val="1"/>
              <w:rPr>
                <w:rFonts w:asciiTheme="minorEastAsia" w:hAnsiTheme="minorEastAsia" w:eastAsiaTheme="minorEastAsia"/>
                <w:color w:val="auto"/>
              </w:rPr>
            </w:pPr>
            <w:r>
              <w:rPr>
                <w:rFonts w:hint="eastAsia" w:asciiTheme="minorEastAsia" w:hAnsiTheme="minorEastAsia" w:eastAsiaTheme="minorEastAsia"/>
                <w:color w:val="auto"/>
              </w:rPr>
              <w:t>9</w:t>
            </w:r>
          </w:p>
        </w:tc>
        <w:tc>
          <w:tcPr>
            <w:tcW w:w="714" w:type="dxa"/>
          </w:tcPr>
          <w:p>
            <w:pPr>
              <w:spacing w:line="360" w:lineRule="exact"/>
              <w:jc w:val="center"/>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16.2</w:t>
            </w:r>
          </w:p>
        </w:tc>
        <w:tc>
          <w:tcPr>
            <w:tcW w:w="1701" w:type="dxa"/>
            <w:vAlign w:val="center"/>
          </w:tcPr>
          <w:p>
            <w:pPr>
              <w:spacing w:line="360" w:lineRule="exact"/>
              <w:jc w:val="center"/>
              <w:outlineLvl w:val="1"/>
              <w:rPr>
                <w:rFonts w:asciiTheme="minorEastAsia" w:hAnsiTheme="minorEastAsia" w:eastAsiaTheme="minorEastAsia"/>
                <w:color w:val="auto"/>
                <w:position w:val="10"/>
                <w:szCs w:val="21"/>
              </w:rPr>
            </w:pPr>
            <w:r>
              <w:rPr>
                <w:rFonts w:hint="eastAsia" w:asciiTheme="minorEastAsia" w:hAnsiTheme="minorEastAsia" w:eastAsiaTheme="minorEastAsia"/>
                <w:color w:val="auto"/>
                <w:szCs w:val="21"/>
              </w:rPr>
              <w:t>响应文件装订要求</w:t>
            </w:r>
          </w:p>
        </w:tc>
        <w:tc>
          <w:tcPr>
            <w:tcW w:w="7273" w:type="dxa"/>
            <w:vAlign w:val="center"/>
          </w:tcPr>
          <w:p>
            <w:pPr>
              <w:spacing w:line="350" w:lineRule="exact"/>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供应商应按 “响应文件组成”规定的顺序自编目录及页码。响应文件的“正本”、“副本”应当单独装订成册并标注页码，装订应牢固，不易拆散和换页。封面应注明“正本”、“副本”字样，封面上写明采购项目名称、采购项目编号、标项（如有）、供应商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6" w:type="dxa"/>
            <w:vAlign w:val="center"/>
          </w:tcPr>
          <w:p>
            <w:pPr>
              <w:pStyle w:val="24"/>
              <w:spacing w:line="420" w:lineRule="exact"/>
              <w:jc w:val="center"/>
              <w:outlineLvl w:val="1"/>
              <w:rPr>
                <w:rFonts w:asciiTheme="minorEastAsia" w:hAnsiTheme="minorEastAsia" w:eastAsiaTheme="minorEastAsia"/>
                <w:color w:val="auto"/>
              </w:rPr>
            </w:pPr>
            <w:r>
              <w:rPr>
                <w:rFonts w:hint="eastAsia" w:asciiTheme="minorEastAsia" w:hAnsiTheme="minorEastAsia" w:eastAsiaTheme="minorEastAsia"/>
                <w:color w:val="auto"/>
              </w:rPr>
              <w:t>10</w:t>
            </w:r>
          </w:p>
        </w:tc>
        <w:tc>
          <w:tcPr>
            <w:tcW w:w="714" w:type="dxa"/>
          </w:tcPr>
          <w:p>
            <w:pPr>
              <w:spacing w:line="360" w:lineRule="exact"/>
              <w:jc w:val="center"/>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16.6</w:t>
            </w:r>
          </w:p>
        </w:tc>
        <w:tc>
          <w:tcPr>
            <w:tcW w:w="1701" w:type="dxa"/>
            <w:vAlign w:val="center"/>
          </w:tcPr>
          <w:p>
            <w:pPr>
              <w:spacing w:line="360" w:lineRule="exact"/>
              <w:jc w:val="center"/>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响应文件包装、密封、标记                  </w:t>
            </w:r>
          </w:p>
        </w:tc>
        <w:tc>
          <w:tcPr>
            <w:tcW w:w="7273" w:type="dxa"/>
            <w:vAlign w:val="center"/>
          </w:tcPr>
          <w:p>
            <w:pPr>
              <w:snapToGrid w:val="0"/>
              <w:spacing w:line="380" w:lineRule="exact"/>
              <w:jc w:val="left"/>
              <w:outlineLvl w:val="1"/>
              <w:rPr>
                <w:rFonts w:cs="宋体" w:asciiTheme="minorEastAsia" w:hAnsiTheme="minorEastAsia" w:eastAsiaTheme="minorEastAsia"/>
                <w:color w:val="auto"/>
                <w:szCs w:val="21"/>
              </w:rPr>
            </w:pPr>
            <w:r>
              <w:rPr>
                <w:rFonts w:hint="eastAsia" w:asciiTheme="minorEastAsia" w:hAnsiTheme="minorEastAsia" w:eastAsiaTheme="minorEastAsia"/>
                <w:b/>
                <w:color w:val="auto"/>
                <w:szCs w:val="21"/>
              </w:rPr>
              <w:t>响应文件包装、密封：</w:t>
            </w:r>
            <w:r>
              <w:rPr>
                <w:rFonts w:hint="eastAsia" w:cs="宋体" w:asciiTheme="minorEastAsia" w:hAnsiTheme="minorEastAsia" w:eastAsiaTheme="minorEastAsia"/>
                <w:color w:val="auto"/>
                <w:szCs w:val="21"/>
              </w:rPr>
              <w:t>供应商须将响应文件“正本”、“副本”一并装入一个响应文件袋（盒、箱）中密封，并在密封处密封签章【公章、密封章、法定代表人</w:t>
            </w:r>
            <w:r>
              <w:rPr>
                <w:rFonts w:hint="eastAsia" w:ascii="宋体" w:hAnsi="宋体"/>
                <w:color w:val="auto"/>
                <w:szCs w:val="21"/>
              </w:rPr>
              <w:t>（供应商若为其他组织形式无法定代表人的为机构负责人，供应商若为自然人的为自然人）</w:t>
            </w:r>
            <w:r>
              <w:rPr>
                <w:rFonts w:hint="eastAsia" w:cs="宋体" w:asciiTheme="minorEastAsia" w:hAnsiTheme="minorEastAsia" w:eastAsiaTheme="minorEastAsia"/>
                <w:color w:val="auto"/>
                <w:szCs w:val="21"/>
              </w:rPr>
              <w:t>或相应的授权委托代理人签字均可</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w:t>
            </w:r>
          </w:p>
          <w:p>
            <w:pPr>
              <w:spacing w:line="350" w:lineRule="exact"/>
              <w:outlineLvl w:val="1"/>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响应文件袋标记：</w:t>
            </w:r>
          </w:p>
          <w:p>
            <w:pPr>
              <w:spacing w:line="340" w:lineRule="exact"/>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项目名称： </w:t>
            </w:r>
          </w:p>
          <w:p>
            <w:pPr>
              <w:spacing w:line="340" w:lineRule="exact"/>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项目编号： </w:t>
            </w:r>
          </w:p>
          <w:p>
            <w:pPr>
              <w:spacing w:line="350" w:lineRule="exact"/>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标项（如有）：</w:t>
            </w:r>
          </w:p>
          <w:p>
            <w:pPr>
              <w:spacing w:line="350" w:lineRule="exact"/>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供应商名称：</w:t>
            </w:r>
          </w:p>
          <w:p>
            <w:pPr>
              <w:spacing w:line="350" w:lineRule="exact"/>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在  年</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月  日 时 分前不得开启</w:t>
            </w:r>
            <w:r>
              <w:rPr>
                <w:rFonts w:hint="eastAsia" w:asciiTheme="minorEastAsia" w:hAnsiTheme="minorEastAsia" w:eastAsiaTheme="minorEastAsia"/>
                <w:b/>
                <w:color w:val="auto"/>
                <w:szCs w:val="21"/>
              </w:rPr>
              <w:t xml:space="preserve">(此处供应商填写响应文件递交截止时间)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4"/>
              <w:spacing w:line="420" w:lineRule="exact"/>
              <w:jc w:val="center"/>
              <w:outlineLvl w:val="1"/>
              <w:rPr>
                <w:rFonts w:asciiTheme="minorEastAsia" w:hAnsiTheme="minorEastAsia" w:eastAsiaTheme="minorEastAsia"/>
                <w:color w:val="auto"/>
              </w:rPr>
            </w:pPr>
            <w:r>
              <w:rPr>
                <w:rFonts w:hint="eastAsia" w:asciiTheme="minorEastAsia" w:hAnsiTheme="minorEastAsia" w:eastAsiaTheme="minorEastAsia"/>
                <w:color w:val="auto"/>
              </w:rPr>
              <w:t>11</w:t>
            </w:r>
          </w:p>
        </w:tc>
        <w:tc>
          <w:tcPr>
            <w:tcW w:w="714" w:type="dxa"/>
          </w:tcPr>
          <w:p>
            <w:pPr>
              <w:spacing w:line="360" w:lineRule="exact"/>
              <w:jc w:val="center"/>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16.7</w:t>
            </w:r>
          </w:p>
        </w:tc>
        <w:tc>
          <w:tcPr>
            <w:tcW w:w="1701" w:type="dxa"/>
            <w:vAlign w:val="center"/>
          </w:tcPr>
          <w:p>
            <w:pPr>
              <w:spacing w:line="360" w:lineRule="exact"/>
              <w:jc w:val="center"/>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供应商公章</w:t>
            </w:r>
          </w:p>
        </w:tc>
        <w:tc>
          <w:tcPr>
            <w:tcW w:w="7273" w:type="dxa"/>
            <w:vAlign w:val="center"/>
          </w:tcPr>
          <w:p>
            <w:pPr>
              <w:spacing w:line="350" w:lineRule="exact"/>
              <w:outlineLvl w:val="1"/>
              <w:rPr>
                <w:rFonts w:asciiTheme="minorEastAsia" w:hAnsiTheme="minorEastAsia" w:eastAsiaTheme="minorEastAsia"/>
                <w:color w:val="auto"/>
                <w:szCs w:val="21"/>
              </w:rPr>
            </w:pPr>
            <w:r>
              <w:rPr>
                <w:rFonts w:cs="宋体" w:asciiTheme="minorEastAsia" w:hAnsiTheme="minorEastAsia" w:eastAsiaTheme="minorEastAsia"/>
                <w:color w:val="auto"/>
                <w:szCs w:val="21"/>
              </w:rPr>
              <w:t>本</w:t>
            </w:r>
            <w:r>
              <w:rPr>
                <w:rFonts w:hint="eastAsia" w:cs="宋体" w:asciiTheme="minorEastAsia" w:hAnsiTheme="minorEastAsia" w:eastAsiaTheme="minorEastAsia"/>
                <w:color w:val="auto"/>
                <w:szCs w:val="21"/>
              </w:rPr>
              <w:t>竞争性谈判文件</w:t>
            </w:r>
            <w:r>
              <w:rPr>
                <w:rFonts w:cs="宋体" w:asciiTheme="minorEastAsia" w:hAnsiTheme="minorEastAsia" w:eastAsiaTheme="minorEastAsia"/>
                <w:color w:val="auto"/>
                <w:szCs w:val="21"/>
              </w:rPr>
              <w:t>中描述</w:t>
            </w:r>
            <w:r>
              <w:rPr>
                <w:rFonts w:hint="eastAsia" w:cs="宋体" w:asciiTheme="minorEastAsia" w:hAnsiTheme="minorEastAsia" w:eastAsiaTheme="minorEastAsia"/>
                <w:color w:val="auto"/>
                <w:szCs w:val="21"/>
              </w:rPr>
              <w:t>供应商</w:t>
            </w:r>
            <w:r>
              <w:rPr>
                <w:rFonts w:cs="宋体" w:asciiTheme="minorEastAsia" w:hAnsiTheme="minorEastAsia" w:eastAsiaTheme="minorEastAsia"/>
                <w:color w:val="auto"/>
                <w:szCs w:val="21"/>
              </w:rPr>
              <w:t>的“公章”是指根据我国对公章的管理规定，用</w:t>
            </w:r>
            <w:r>
              <w:rPr>
                <w:rFonts w:hint="eastAsia" w:cs="宋体" w:asciiTheme="minorEastAsia" w:hAnsiTheme="minorEastAsia" w:eastAsiaTheme="minorEastAsia"/>
                <w:color w:val="auto"/>
                <w:szCs w:val="21"/>
              </w:rPr>
              <w:t>供应商</w:t>
            </w:r>
            <w:r>
              <w:rPr>
                <w:rFonts w:cs="宋体" w:asciiTheme="minorEastAsia" w:hAnsiTheme="minorEastAsia" w:eastAsiaTheme="minorEastAsia"/>
                <w:color w:val="auto"/>
                <w:szCs w:val="21"/>
              </w:rPr>
              <w:t>法定主体行为名称制作的印章，除本文件有特殊规定外，</w:t>
            </w:r>
            <w:r>
              <w:rPr>
                <w:rFonts w:hint="eastAsia" w:cs="宋体" w:asciiTheme="minorEastAsia" w:hAnsiTheme="minorEastAsia" w:eastAsiaTheme="minorEastAsia"/>
                <w:color w:val="auto"/>
                <w:szCs w:val="21"/>
              </w:rPr>
              <w:t>供应商</w:t>
            </w:r>
            <w:r>
              <w:rPr>
                <w:rFonts w:cs="宋体" w:asciiTheme="minorEastAsia" w:hAnsiTheme="minorEastAsia" w:eastAsiaTheme="minorEastAsia"/>
                <w:color w:val="auto"/>
                <w:szCs w:val="21"/>
              </w:rPr>
              <w:t>的财务章、部门章、分公司章、工会章、合同章、</w:t>
            </w:r>
            <w:r>
              <w:rPr>
                <w:rFonts w:hint="eastAsia" w:cs="宋体" w:asciiTheme="minorEastAsia" w:hAnsiTheme="minorEastAsia" w:eastAsiaTheme="minorEastAsia"/>
                <w:color w:val="auto"/>
                <w:szCs w:val="21"/>
              </w:rPr>
              <w:t>投标</w:t>
            </w:r>
            <w:r>
              <w:rPr>
                <w:rFonts w:cs="宋体" w:asciiTheme="minorEastAsia" w:hAnsiTheme="minorEastAsia" w:eastAsiaTheme="minorEastAsia"/>
                <w:color w:val="auto"/>
                <w:szCs w:val="21"/>
              </w:rPr>
              <w:t>专用章、业务专用章及银行的转账章、现金收讫章、现金付讫章等其它形式印章均不能代替公章</w:t>
            </w:r>
            <w:r>
              <w:rPr>
                <w:rFonts w:hint="eastAsia" w:cs="宋体" w:asciiTheme="minorEastAsia" w:hAnsiTheme="minorEastAsia"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4"/>
              <w:spacing w:line="420" w:lineRule="exact"/>
              <w:jc w:val="center"/>
              <w:outlineLvl w:val="1"/>
              <w:rPr>
                <w:rFonts w:asciiTheme="minorEastAsia" w:hAnsiTheme="minorEastAsia" w:eastAsiaTheme="minorEastAsia"/>
                <w:color w:val="auto"/>
              </w:rPr>
            </w:pPr>
            <w:r>
              <w:rPr>
                <w:rFonts w:hint="eastAsia" w:asciiTheme="minorEastAsia" w:hAnsiTheme="minorEastAsia" w:eastAsiaTheme="minorEastAsia"/>
                <w:color w:val="auto"/>
              </w:rPr>
              <w:t>12</w:t>
            </w:r>
          </w:p>
        </w:tc>
        <w:tc>
          <w:tcPr>
            <w:tcW w:w="714" w:type="dxa"/>
          </w:tcPr>
          <w:p>
            <w:pPr>
              <w:spacing w:line="360" w:lineRule="exact"/>
              <w:jc w:val="center"/>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17.1</w:t>
            </w:r>
          </w:p>
        </w:tc>
        <w:tc>
          <w:tcPr>
            <w:tcW w:w="1701" w:type="dxa"/>
            <w:vAlign w:val="center"/>
          </w:tcPr>
          <w:p>
            <w:pPr>
              <w:spacing w:line="360" w:lineRule="exact"/>
              <w:jc w:val="center"/>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响应文件递交</w:t>
            </w:r>
          </w:p>
          <w:p>
            <w:pPr>
              <w:spacing w:line="360" w:lineRule="exact"/>
              <w:jc w:val="center"/>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截止时间、地点</w:t>
            </w:r>
          </w:p>
        </w:tc>
        <w:tc>
          <w:tcPr>
            <w:tcW w:w="7273" w:type="dxa"/>
            <w:vAlign w:val="center"/>
          </w:tcPr>
          <w:p>
            <w:pPr>
              <w:spacing w:line="360" w:lineRule="exact"/>
              <w:outlineLvl w:val="1"/>
              <w:rPr>
                <w:rFonts w:cs="Arial" w:asciiTheme="minorEastAsia" w:hAnsiTheme="minorEastAsia" w:eastAsiaTheme="minorEastAsia"/>
                <w:color w:val="auto"/>
                <w:szCs w:val="21"/>
                <w:u w:val="single"/>
              </w:rPr>
            </w:pPr>
            <w:r>
              <w:rPr>
                <w:rFonts w:hint="eastAsia" w:asciiTheme="minorEastAsia" w:hAnsiTheme="minorEastAsia" w:eastAsiaTheme="minorEastAsia"/>
                <w:color w:val="auto"/>
                <w:szCs w:val="21"/>
              </w:rPr>
              <w:t>时  间：</w:t>
            </w:r>
            <w:r>
              <w:rPr>
                <w:rFonts w:hint="eastAsia" w:ascii="宋体" w:hAnsi="宋体" w:cs="宋体"/>
                <w:color w:val="auto"/>
                <w:szCs w:val="21"/>
                <w:u w:val="single"/>
              </w:rPr>
              <w:t>2020</w:t>
            </w:r>
            <w:r>
              <w:rPr>
                <w:rFonts w:hint="eastAsia" w:ascii="宋体" w:hAnsi="宋体" w:cs="宋体"/>
                <w:bCs/>
                <w:color w:val="auto"/>
                <w:szCs w:val="21"/>
                <w:u w:val="single"/>
              </w:rPr>
              <w:t>年</w:t>
            </w:r>
            <w:r>
              <w:rPr>
                <w:rFonts w:hint="eastAsia" w:ascii="宋体" w:hAnsi="宋体" w:cs="宋体"/>
                <w:bCs/>
                <w:color w:val="auto"/>
                <w:szCs w:val="21"/>
                <w:u w:val="single"/>
                <w:lang w:val="en-US" w:eastAsia="zh-CN"/>
              </w:rPr>
              <w:t>11</w:t>
            </w:r>
            <w:r>
              <w:rPr>
                <w:rFonts w:hint="eastAsia" w:ascii="宋体" w:hAnsi="宋体" w:cs="宋体"/>
                <w:bCs/>
                <w:color w:val="auto"/>
                <w:szCs w:val="21"/>
                <w:u w:val="single"/>
              </w:rPr>
              <w:t>月</w:t>
            </w:r>
            <w:r>
              <w:rPr>
                <w:rFonts w:hint="eastAsia" w:ascii="宋体" w:hAnsi="宋体" w:cs="宋体"/>
                <w:bCs/>
                <w:color w:val="auto"/>
                <w:szCs w:val="21"/>
                <w:u w:val="single"/>
                <w:lang w:val="en-US" w:eastAsia="zh-CN"/>
              </w:rPr>
              <w:t>20</w:t>
            </w:r>
            <w:r>
              <w:rPr>
                <w:rFonts w:hint="eastAsia" w:ascii="宋体" w:hAnsi="宋体" w:cs="宋体"/>
                <w:bCs/>
                <w:color w:val="auto"/>
                <w:szCs w:val="21"/>
                <w:u w:val="single"/>
              </w:rPr>
              <w:t>日</w:t>
            </w:r>
            <w:r>
              <w:rPr>
                <w:rFonts w:hint="eastAsia" w:ascii="宋体" w:hAnsi="宋体" w:cs="宋体"/>
                <w:bCs/>
                <w:color w:val="auto"/>
                <w:szCs w:val="21"/>
                <w:u w:val="single"/>
                <w:lang w:val="en-US" w:eastAsia="zh-CN"/>
              </w:rPr>
              <w:t>13</w:t>
            </w:r>
            <w:r>
              <w:rPr>
                <w:rFonts w:hint="eastAsia" w:ascii="宋体" w:hAnsi="宋体" w:cs="宋体"/>
                <w:bCs/>
                <w:color w:val="auto"/>
                <w:szCs w:val="21"/>
                <w:u w:val="single"/>
              </w:rPr>
              <w:t>点</w:t>
            </w:r>
            <w:r>
              <w:rPr>
                <w:rFonts w:hint="eastAsia" w:ascii="宋体" w:hAnsi="宋体" w:cs="宋体"/>
                <w:bCs/>
                <w:color w:val="auto"/>
                <w:szCs w:val="21"/>
                <w:u w:val="single"/>
                <w:lang w:val="en-US" w:eastAsia="zh-CN"/>
              </w:rPr>
              <w:t>00</w:t>
            </w:r>
            <w:r>
              <w:rPr>
                <w:rFonts w:hint="eastAsia" w:ascii="宋体" w:hAnsi="宋体" w:cs="宋体"/>
                <w:bCs/>
                <w:color w:val="auto"/>
                <w:szCs w:val="21"/>
                <w:u w:val="single"/>
              </w:rPr>
              <w:t>分</w:t>
            </w:r>
          </w:p>
          <w:p>
            <w:pPr>
              <w:spacing w:line="360" w:lineRule="exact"/>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地  点：南宁市良庆区玉洞大道33号（青少年活动中心旁）市民中心9楼南宁市公共资源交易中心开标厅（具体安排详见9楼电子大屏幕场地安排表） </w:t>
            </w:r>
            <w:r>
              <w:rPr>
                <w:rFonts w:hint="eastAsia" w:cs="Arial" w:asciiTheme="minorEastAsia" w:hAnsiTheme="minorEastAsia" w:eastAsiaTheme="minorEastAsia"/>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4"/>
              <w:spacing w:line="420" w:lineRule="exact"/>
              <w:jc w:val="center"/>
              <w:outlineLvl w:val="1"/>
              <w:rPr>
                <w:rFonts w:asciiTheme="minorEastAsia" w:hAnsiTheme="minorEastAsia" w:eastAsiaTheme="minorEastAsia"/>
                <w:color w:val="auto"/>
              </w:rPr>
            </w:pPr>
            <w:r>
              <w:rPr>
                <w:rFonts w:hint="eastAsia" w:asciiTheme="minorEastAsia" w:hAnsiTheme="minorEastAsia" w:eastAsiaTheme="minorEastAsia"/>
                <w:color w:val="auto"/>
              </w:rPr>
              <w:t>13</w:t>
            </w:r>
          </w:p>
        </w:tc>
        <w:tc>
          <w:tcPr>
            <w:tcW w:w="714" w:type="dxa"/>
          </w:tcPr>
          <w:p>
            <w:pPr>
              <w:spacing w:line="360" w:lineRule="exact"/>
              <w:jc w:val="center"/>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18.2</w:t>
            </w:r>
          </w:p>
        </w:tc>
        <w:tc>
          <w:tcPr>
            <w:tcW w:w="1701" w:type="dxa"/>
            <w:vAlign w:val="center"/>
          </w:tcPr>
          <w:p>
            <w:pPr>
              <w:spacing w:line="360" w:lineRule="exact"/>
              <w:jc w:val="center"/>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谈判时间、地点、人员</w:t>
            </w:r>
          </w:p>
        </w:tc>
        <w:tc>
          <w:tcPr>
            <w:tcW w:w="7273" w:type="dxa"/>
          </w:tcPr>
          <w:p>
            <w:pPr>
              <w:spacing w:line="350" w:lineRule="exact"/>
              <w:ind w:left="315" w:hanging="315" w:hangingChars="150"/>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谈判时间：响应文件递交截止时间后，具体时间由采购代理机构另行通知。</w:t>
            </w:r>
          </w:p>
          <w:p>
            <w:pPr>
              <w:tabs>
                <w:tab w:val="left" w:pos="1140"/>
              </w:tabs>
              <w:spacing w:line="350" w:lineRule="exact"/>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谈判地点： 南宁市良庆区玉洞大道33号（青少年活动中心旁）市民中心10楼南宁市公共资源交易中心。</w:t>
            </w:r>
          </w:p>
          <w:p>
            <w:pPr>
              <w:spacing w:line="350" w:lineRule="exact"/>
              <w:outlineLvl w:val="1"/>
              <w:rPr>
                <w:rFonts w:asciiTheme="minorEastAsia" w:hAnsiTheme="minorEastAsia" w:eastAsiaTheme="minorEastAsia"/>
                <w:color w:val="auto"/>
                <w:szCs w:val="21"/>
              </w:rPr>
            </w:pPr>
            <w:r>
              <w:rPr>
                <w:rFonts w:hint="eastAsia" w:asciiTheme="minorEastAsia" w:hAnsiTheme="minorEastAsia" w:eastAsiaTheme="minorEastAsia"/>
                <w:b/>
                <w:bCs/>
                <w:color w:val="auto"/>
                <w:szCs w:val="21"/>
              </w:rPr>
              <w:t>谈判参加人员：评审当天竞标人务必保持电话畅通。如果评审过程中需要与竞标人进行谈判、要求竞标人进行报价以及对响应文件作出澄清、说明或者补正的，谈判小组会通知竞标人在规定的时间内通过电子邮件或传真等方式提交。竞标人所提交的谈判应答文件、报价、澄清、说明或者补正等材料必须加盖供应商的公章确认。如竞标人未按采购文件要求填写联系电话、传真号码或电子邮箱，致使采购代理机构或谈判小组在项目评审期间无法与其取得联系的，或因自身原因未能保持电话畅通或未按谈判小组要求提交澄清、说明、报价或者补正的，后果由竞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4"/>
              <w:spacing w:line="420" w:lineRule="exact"/>
              <w:jc w:val="center"/>
              <w:outlineLvl w:val="1"/>
              <w:rPr>
                <w:rFonts w:asciiTheme="minorEastAsia" w:hAnsiTheme="minorEastAsia" w:eastAsiaTheme="minorEastAsia"/>
                <w:color w:val="auto"/>
              </w:rPr>
            </w:pPr>
            <w:r>
              <w:rPr>
                <w:rFonts w:hint="eastAsia" w:asciiTheme="minorEastAsia" w:hAnsiTheme="minorEastAsia" w:eastAsiaTheme="minorEastAsia"/>
                <w:color w:val="auto"/>
              </w:rPr>
              <w:t>14</w:t>
            </w:r>
          </w:p>
        </w:tc>
        <w:tc>
          <w:tcPr>
            <w:tcW w:w="714" w:type="dxa"/>
          </w:tcPr>
          <w:p>
            <w:pPr>
              <w:spacing w:line="360" w:lineRule="exact"/>
              <w:jc w:val="center"/>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19</w:t>
            </w:r>
          </w:p>
        </w:tc>
        <w:tc>
          <w:tcPr>
            <w:tcW w:w="1701" w:type="dxa"/>
            <w:vAlign w:val="center"/>
          </w:tcPr>
          <w:p>
            <w:pPr>
              <w:spacing w:line="360" w:lineRule="exact"/>
              <w:jc w:val="center"/>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评审办法</w:t>
            </w:r>
          </w:p>
        </w:tc>
        <w:tc>
          <w:tcPr>
            <w:tcW w:w="7273" w:type="dxa"/>
          </w:tcPr>
          <w:p>
            <w:pPr>
              <w:spacing w:line="340" w:lineRule="exact"/>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采用最低评标价法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4"/>
              <w:spacing w:line="420" w:lineRule="exact"/>
              <w:jc w:val="center"/>
              <w:outlineLvl w:val="1"/>
              <w:rPr>
                <w:rFonts w:asciiTheme="minorEastAsia" w:hAnsiTheme="minorEastAsia" w:eastAsiaTheme="minorEastAsia"/>
                <w:color w:val="auto"/>
              </w:rPr>
            </w:pPr>
            <w:r>
              <w:rPr>
                <w:rFonts w:hint="eastAsia" w:asciiTheme="minorEastAsia" w:hAnsiTheme="minorEastAsia" w:eastAsiaTheme="minorEastAsia"/>
                <w:color w:val="auto"/>
              </w:rPr>
              <w:t>15</w:t>
            </w:r>
          </w:p>
        </w:tc>
        <w:tc>
          <w:tcPr>
            <w:tcW w:w="714" w:type="dxa"/>
            <w:vAlign w:val="center"/>
          </w:tcPr>
          <w:p>
            <w:pPr>
              <w:spacing w:line="360" w:lineRule="exact"/>
              <w:jc w:val="center"/>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26</w:t>
            </w:r>
          </w:p>
        </w:tc>
        <w:tc>
          <w:tcPr>
            <w:tcW w:w="1701" w:type="dxa"/>
            <w:vAlign w:val="center"/>
          </w:tcPr>
          <w:p>
            <w:pPr>
              <w:spacing w:line="400" w:lineRule="exact"/>
              <w:jc w:val="center"/>
              <w:outlineLvl w:val="1"/>
              <w:rPr>
                <w:rFonts w:ascii="宋体" w:hAnsi="宋体"/>
                <w:color w:val="auto"/>
                <w:szCs w:val="21"/>
              </w:rPr>
            </w:pPr>
            <w:r>
              <w:rPr>
                <w:rFonts w:hint="eastAsia" w:ascii="宋体" w:hAnsi="宋体"/>
                <w:color w:val="auto"/>
                <w:szCs w:val="21"/>
              </w:rPr>
              <w:t>信用查询</w:t>
            </w:r>
          </w:p>
        </w:tc>
        <w:tc>
          <w:tcPr>
            <w:tcW w:w="7273" w:type="dxa"/>
            <w:vAlign w:val="center"/>
          </w:tcPr>
          <w:p>
            <w:pPr>
              <w:autoSpaceDE w:val="0"/>
              <w:autoSpaceDN w:val="0"/>
              <w:snapToGrid w:val="0"/>
              <w:spacing w:line="440" w:lineRule="exact"/>
              <w:textAlignment w:val="bottom"/>
              <w:outlineLvl w:val="1"/>
              <w:rPr>
                <w:rFonts w:ascii="宋体" w:hAnsi="宋体"/>
                <w:color w:val="auto"/>
              </w:rPr>
            </w:pPr>
            <w:r>
              <w:rPr>
                <w:rFonts w:hint="eastAsia" w:ascii="宋体" w:hAnsi="宋体"/>
                <w:color w:val="auto"/>
              </w:rPr>
              <w:t>根据《关于做好政府采购有关信用主体标识码登记及在政府采购活动中查询使用信用记录有关问题的通知》（桂财采〔2016〕37），由采购代理机构对第一成交候选人进行信用查询：</w:t>
            </w:r>
          </w:p>
          <w:p>
            <w:pPr>
              <w:autoSpaceDE w:val="0"/>
              <w:autoSpaceDN w:val="0"/>
              <w:snapToGrid w:val="0"/>
              <w:spacing w:line="440" w:lineRule="exact"/>
              <w:textAlignment w:val="bottom"/>
              <w:outlineLvl w:val="1"/>
              <w:rPr>
                <w:rFonts w:ascii="宋体" w:hAnsi="宋体"/>
                <w:color w:val="auto"/>
              </w:rPr>
            </w:pPr>
            <w:r>
              <w:rPr>
                <w:rFonts w:hint="eastAsia" w:ascii="宋体" w:hAnsi="宋体"/>
                <w:color w:val="auto"/>
              </w:rPr>
              <w:t>⑴查询渠道：“信用中国”网站(www.creditchina.gov.cn)、中国政府采购网(www.ccgp.gov.cn)等；</w:t>
            </w:r>
          </w:p>
          <w:p>
            <w:pPr>
              <w:autoSpaceDE w:val="0"/>
              <w:autoSpaceDN w:val="0"/>
              <w:snapToGrid w:val="0"/>
              <w:spacing w:line="440" w:lineRule="exact"/>
              <w:textAlignment w:val="bottom"/>
              <w:outlineLvl w:val="1"/>
              <w:rPr>
                <w:rFonts w:ascii="宋体" w:hAnsi="宋体"/>
                <w:color w:val="auto"/>
              </w:rPr>
            </w:pPr>
            <w:r>
              <w:rPr>
                <w:rFonts w:hint="eastAsia" w:ascii="宋体" w:hAnsi="宋体"/>
                <w:color w:val="auto"/>
              </w:rPr>
              <w:t>⑵查询截止时点：成交通知书发出前；</w:t>
            </w:r>
          </w:p>
          <w:p>
            <w:pPr>
              <w:autoSpaceDE w:val="0"/>
              <w:autoSpaceDN w:val="0"/>
              <w:snapToGrid w:val="0"/>
              <w:spacing w:line="440" w:lineRule="exact"/>
              <w:textAlignment w:val="bottom"/>
              <w:outlineLvl w:val="1"/>
              <w:rPr>
                <w:rFonts w:ascii="宋体" w:hAnsi="宋体"/>
                <w:color w:val="auto"/>
              </w:rPr>
            </w:pPr>
            <w:r>
              <w:rPr>
                <w:rFonts w:hint="eastAsia" w:ascii="宋体" w:hAnsi="宋体"/>
                <w:color w:val="auto"/>
              </w:rPr>
              <w:t>⑶信用信息查询记录和证据留存方式：在查询网站中直接打印查询记录，打印材料作为采购活动资料保存。</w:t>
            </w:r>
          </w:p>
          <w:p>
            <w:pPr>
              <w:pStyle w:val="174"/>
              <w:spacing w:line="440" w:lineRule="exact"/>
              <w:outlineLvl w:val="1"/>
              <w:rPr>
                <w:rFonts w:hAnsi="宋体"/>
                <w:color w:val="auto"/>
              </w:rPr>
            </w:pPr>
            <w:r>
              <w:rPr>
                <w:rFonts w:hint="eastAsia" w:hAnsi="宋体"/>
                <w:color w:val="auto"/>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pPr>
              <w:spacing w:line="400" w:lineRule="exact"/>
              <w:ind w:firstLine="420" w:firstLineChars="200"/>
              <w:outlineLvl w:val="1"/>
              <w:rPr>
                <w:rFonts w:ascii="宋体" w:hAnsi="宋体"/>
                <w:color w:val="auto"/>
                <w:szCs w:val="21"/>
              </w:rPr>
            </w:pPr>
            <w:r>
              <w:rPr>
                <w:rFonts w:hint="eastAsia"/>
                <w:color w:val="auto"/>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4"/>
              <w:spacing w:line="420" w:lineRule="exact"/>
              <w:jc w:val="center"/>
              <w:outlineLvl w:val="1"/>
              <w:rPr>
                <w:rFonts w:asciiTheme="minorEastAsia" w:hAnsiTheme="minorEastAsia" w:eastAsiaTheme="minorEastAsia"/>
                <w:color w:val="auto"/>
              </w:rPr>
            </w:pPr>
            <w:r>
              <w:rPr>
                <w:rFonts w:hint="eastAsia" w:asciiTheme="minorEastAsia" w:hAnsiTheme="minorEastAsia" w:eastAsiaTheme="minorEastAsia"/>
                <w:color w:val="auto"/>
              </w:rPr>
              <w:t>16</w:t>
            </w:r>
          </w:p>
        </w:tc>
        <w:tc>
          <w:tcPr>
            <w:tcW w:w="714" w:type="dxa"/>
          </w:tcPr>
          <w:p>
            <w:pPr>
              <w:spacing w:line="360" w:lineRule="exact"/>
              <w:jc w:val="center"/>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25.1</w:t>
            </w:r>
          </w:p>
        </w:tc>
        <w:tc>
          <w:tcPr>
            <w:tcW w:w="1701" w:type="dxa"/>
            <w:vAlign w:val="center"/>
          </w:tcPr>
          <w:p>
            <w:pPr>
              <w:spacing w:line="360" w:lineRule="exact"/>
              <w:jc w:val="center"/>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成交公告及成交通知书</w:t>
            </w:r>
          </w:p>
        </w:tc>
        <w:tc>
          <w:tcPr>
            <w:tcW w:w="7273" w:type="dxa"/>
          </w:tcPr>
          <w:p>
            <w:pPr>
              <w:spacing w:line="400" w:lineRule="exact"/>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1．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340" w:lineRule="exact"/>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2．在发布成交公告的同时，采购代理机构向成交供应商发出成交通知书。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4"/>
              <w:spacing w:line="420" w:lineRule="exact"/>
              <w:jc w:val="center"/>
              <w:outlineLvl w:val="1"/>
              <w:rPr>
                <w:rFonts w:asciiTheme="minorEastAsia" w:hAnsiTheme="minorEastAsia" w:eastAsiaTheme="minorEastAsia"/>
                <w:color w:val="auto"/>
              </w:rPr>
            </w:pPr>
            <w:r>
              <w:rPr>
                <w:rFonts w:hint="eastAsia" w:asciiTheme="minorEastAsia" w:hAnsiTheme="minorEastAsia" w:eastAsiaTheme="minorEastAsia"/>
                <w:color w:val="auto"/>
              </w:rPr>
              <w:t>17</w:t>
            </w:r>
          </w:p>
        </w:tc>
        <w:tc>
          <w:tcPr>
            <w:tcW w:w="714" w:type="dxa"/>
          </w:tcPr>
          <w:p>
            <w:pPr>
              <w:spacing w:line="400" w:lineRule="exact"/>
              <w:jc w:val="center"/>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27</w:t>
            </w:r>
          </w:p>
        </w:tc>
        <w:tc>
          <w:tcPr>
            <w:tcW w:w="1701" w:type="dxa"/>
            <w:vAlign w:val="center"/>
          </w:tcPr>
          <w:p>
            <w:pPr>
              <w:spacing w:line="400" w:lineRule="exact"/>
              <w:jc w:val="center"/>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签订合同时间</w:t>
            </w:r>
          </w:p>
        </w:tc>
        <w:tc>
          <w:tcPr>
            <w:tcW w:w="7273" w:type="dxa"/>
          </w:tcPr>
          <w:p>
            <w:pPr>
              <w:spacing w:line="340" w:lineRule="exact"/>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成交供应商在收到成交通知书后，按规定与采购人签订供货服务合同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4"/>
              <w:spacing w:line="420" w:lineRule="exact"/>
              <w:jc w:val="center"/>
              <w:outlineLvl w:val="1"/>
              <w:rPr>
                <w:rFonts w:asciiTheme="minorEastAsia" w:hAnsiTheme="minorEastAsia" w:eastAsiaTheme="minorEastAsia"/>
                <w:color w:val="auto"/>
              </w:rPr>
            </w:pPr>
            <w:r>
              <w:rPr>
                <w:rFonts w:hint="eastAsia" w:asciiTheme="minorEastAsia" w:hAnsiTheme="minorEastAsia" w:eastAsiaTheme="minorEastAsia"/>
                <w:color w:val="auto"/>
              </w:rPr>
              <w:t>18</w:t>
            </w:r>
          </w:p>
        </w:tc>
        <w:tc>
          <w:tcPr>
            <w:tcW w:w="714" w:type="dxa"/>
          </w:tcPr>
          <w:p>
            <w:pPr>
              <w:snapToGrid w:val="0"/>
              <w:spacing w:line="360" w:lineRule="exact"/>
              <w:jc w:val="center"/>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28</w:t>
            </w:r>
          </w:p>
        </w:tc>
        <w:tc>
          <w:tcPr>
            <w:tcW w:w="1701" w:type="dxa"/>
            <w:vAlign w:val="center"/>
          </w:tcPr>
          <w:p>
            <w:pPr>
              <w:snapToGrid w:val="0"/>
              <w:spacing w:line="360" w:lineRule="exact"/>
              <w:jc w:val="center"/>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代理服务费</w:t>
            </w:r>
          </w:p>
        </w:tc>
        <w:tc>
          <w:tcPr>
            <w:tcW w:w="7273" w:type="dxa"/>
            <w:vAlign w:val="center"/>
          </w:tcPr>
          <w:p>
            <w:pPr>
              <w:spacing w:line="360" w:lineRule="exact"/>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成交服务费参照“国家发展计划委员会文件关于印发《招标代理服务收费管理暂行办法》的通知（计价格【2002】1980号）”规定标准下浮20%向成交人收取，如代理费不足4500.00元的，按4500.00元计，成交人应向采购代理机构以转账形式一次付清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4"/>
              <w:spacing w:line="420" w:lineRule="exact"/>
              <w:jc w:val="center"/>
              <w:outlineLvl w:val="1"/>
              <w:rPr>
                <w:rFonts w:asciiTheme="minorEastAsia" w:hAnsiTheme="minorEastAsia" w:eastAsiaTheme="minorEastAsia"/>
                <w:color w:val="auto"/>
              </w:rPr>
            </w:pPr>
            <w:r>
              <w:rPr>
                <w:rFonts w:hint="eastAsia" w:asciiTheme="minorEastAsia" w:hAnsiTheme="minorEastAsia" w:eastAsiaTheme="minorEastAsia"/>
                <w:color w:val="auto"/>
              </w:rPr>
              <w:t>19</w:t>
            </w:r>
          </w:p>
        </w:tc>
        <w:tc>
          <w:tcPr>
            <w:tcW w:w="714" w:type="dxa"/>
          </w:tcPr>
          <w:p>
            <w:pPr>
              <w:spacing w:line="400" w:lineRule="exact"/>
              <w:jc w:val="center"/>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29</w:t>
            </w:r>
          </w:p>
        </w:tc>
        <w:tc>
          <w:tcPr>
            <w:tcW w:w="1701" w:type="dxa"/>
            <w:vAlign w:val="center"/>
          </w:tcPr>
          <w:p>
            <w:pPr>
              <w:spacing w:line="400" w:lineRule="exact"/>
              <w:jc w:val="center"/>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解释权</w:t>
            </w:r>
          </w:p>
        </w:tc>
        <w:tc>
          <w:tcPr>
            <w:tcW w:w="7273" w:type="dxa"/>
            <w:vAlign w:val="center"/>
          </w:tcPr>
          <w:p>
            <w:pPr>
              <w:spacing w:line="340" w:lineRule="exact"/>
              <w:jc w:val="left"/>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本竞争性谈判文件的解释权属于采购代理机构。</w:t>
            </w:r>
          </w:p>
        </w:tc>
      </w:tr>
    </w:tbl>
    <w:p>
      <w:pPr>
        <w:pStyle w:val="24"/>
        <w:jc w:val="center"/>
        <w:outlineLvl w:val="1"/>
        <w:rPr>
          <w:rFonts w:hAnsi="宋体"/>
          <w:b/>
          <w:color w:val="auto"/>
          <w:sz w:val="36"/>
          <w:szCs w:val="36"/>
        </w:rPr>
      </w:pPr>
      <w:r>
        <w:rPr>
          <w:rFonts w:hAnsi="宋体"/>
          <w:b/>
          <w:color w:val="auto"/>
          <w:sz w:val="36"/>
          <w:szCs w:val="36"/>
        </w:rPr>
        <w:br w:type="page"/>
      </w:r>
      <w:r>
        <w:rPr>
          <w:rFonts w:hint="eastAsia" w:hAnsi="宋体"/>
          <w:b/>
          <w:color w:val="auto"/>
          <w:sz w:val="36"/>
          <w:szCs w:val="36"/>
        </w:rPr>
        <w:t>供应商须知</w:t>
      </w:r>
    </w:p>
    <w:p>
      <w:pPr>
        <w:jc w:val="center"/>
        <w:outlineLvl w:val="1"/>
        <w:rPr>
          <w:rFonts w:ascii="宋体" w:hAnsi="宋体"/>
          <w:b/>
          <w:color w:val="auto"/>
          <w:sz w:val="24"/>
        </w:rPr>
      </w:pPr>
      <w:r>
        <w:rPr>
          <w:rFonts w:hint="eastAsia" w:ascii="宋体" w:hAnsi="宋体"/>
          <w:b/>
          <w:color w:val="auto"/>
          <w:sz w:val="24"/>
        </w:rPr>
        <w:t>一、总 则</w:t>
      </w:r>
    </w:p>
    <w:p>
      <w:pPr>
        <w:spacing w:line="360" w:lineRule="auto"/>
        <w:outlineLvl w:val="1"/>
        <w:rPr>
          <w:rFonts w:ascii="宋体" w:hAnsi="宋体"/>
          <w:b/>
          <w:color w:val="auto"/>
          <w:sz w:val="24"/>
        </w:rPr>
      </w:pPr>
      <w:r>
        <w:rPr>
          <w:rFonts w:hint="eastAsia" w:ascii="宋体" w:hAnsi="宋体"/>
          <w:b/>
          <w:color w:val="auto"/>
          <w:sz w:val="24"/>
        </w:rPr>
        <w:t>1. 适用范围</w:t>
      </w:r>
    </w:p>
    <w:p>
      <w:pPr>
        <w:spacing w:line="360" w:lineRule="auto"/>
        <w:ind w:left="-61" w:leftChars="-29" w:firstLine="120" w:firstLineChars="50"/>
        <w:outlineLvl w:val="1"/>
        <w:rPr>
          <w:rFonts w:ascii="宋体" w:hAnsi="宋体"/>
          <w:color w:val="auto"/>
          <w:sz w:val="24"/>
        </w:rPr>
      </w:pPr>
      <w:r>
        <w:rPr>
          <w:rFonts w:hint="eastAsia" w:ascii="宋体" w:hAnsi="宋体"/>
          <w:color w:val="auto"/>
          <w:sz w:val="24"/>
        </w:rPr>
        <w:t>1.1 本文件仅适用于下列项目所叙述的货物类政府采购。</w:t>
      </w:r>
    </w:p>
    <w:p>
      <w:pPr>
        <w:spacing w:line="360" w:lineRule="auto"/>
        <w:ind w:left="-61" w:leftChars="-29" w:firstLine="120" w:firstLineChars="50"/>
        <w:outlineLvl w:val="1"/>
        <w:rPr>
          <w:rFonts w:ascii="宋体" w:hAnsi="宋体"/>
          <w:color w:val="auto"/>
          <w:sz w:val="24"/>
        </w:rPr>
      </w:pPr>
      <w:r>
        <w:rPr>
          <w:rFonts w:hint="eastAsia" w:ascii="宋体" w:hAnsi="宋体"/>
          <w:color w:val="auto"/>
          <w:sz w:val="24"/>
        </w:rPr>
        <w:t xml:space="preserve">项目名称：录播教室设备采购   </w:t>
      </w:r>
    </w:p>
    <w:p>
      <w:pPr>
        <w:spacing w:line="360" w:lineRule="auto"/>
        <w:ind w:left="-61" w:leftChars="-29" w:firstLine="120" w:firstLineChars="50"/>
        <w:outlineLvl w:val="1"/>
        <w:rPr>
          <w:rFonts w:ascii="宋体" w:hAnsi="宋体"/>
          <w:color w:val="auto"/>
          <w:sz w:val="24"/>
        </w:rPr>
      </w:pPr>
      <w:r>
        <w:rPr>
          <w:rFonts w:hint="eastAsia" w:ascii="宋体" w:hAnsi="宋体"/>
          <w:color w:val="auto"/>
          <w:sz w:val="24"/>
        </w:rPr>
        <w:t>项目编号：FC(3)2020474JNN</w:t>
      </w:r>
    </w:p>
    <w:p>
      <w:pPr>
        <w:spacing w:line="360" w:lineRule="auto"/>
        <w:outlineLvl w:val="1"/>
        <w:rPr>
          <w:rFonts w:ascii="宋体" w:hAnsi="宋体"/>
          <w:color w:val="auto"/>
          <w:sz w:val="24"/>
        </w:rPr>
      </w:pPr>
      <w:r>
        <w:rPr>
          <w:rFonts w:hint="eastAsia" w:ascii="宋体" w:hAnsi="宋体"/>
          <w:b/>
          <w:color w:val="auto"/>
          <w:sz w:val="24"/>
        </w:rPr>
        <w:t>2. 定义</w:t>
      </w:r>
    </w:p>
    <w:p>
      <w:pPr>
        <w:spacing w:line="360" w:lineRule="auto"/>
        <w:outlineLvl w:val="1"/>
        <w:rPr>
          <w:rFonts w:ascii="宋体" w:hAnsi="宋体"/>
          <w:color w:val="auto"/>
          <w:sz w:val="24"/>
          <w:u w:val="single"/>
        </w:rPr>
      </w:pPr>
      <w:r>
        <w:rPr>
          <w:rFonts w:hint="eastAsia" w:ascii="宋体" w:hAnsi="宋体"/>
          <w:color w:val="auto"/>
          <w:sz w:val="24"/>
        </w:rPr>
        <w:t xml:space="preserve">2.1“采购人”是指： 南宁市人民警察训练学校  </w:t>
      </w:r>
      <w:r>
        <w:rPr>
          <w:rFonts w:hint="eastAsia"/>
          <w:color w:val="auto"/>
          <w:sz w:val="24"/>
          <w:u w:val="single"/>
        </w:rPr>
        <w:t xml:space="preserve">            </w:t>
      </w:r>
    </w:p>
    <w:p>
      <w:pPr>
        <w:spacing w:line="360" w:lineRule="auto"/>
        <w:outlineLvl w:val="1"/>
        <w:rPr>
          <w:rFonts w:ascii="宋体" w:hAnsi="宋体"/>
          <w:color w:val="auto"/>
          <w:sz w:val="24"/>
        </w:rPr>
      </w:pPr>
      <w:r>
        <w:rPr>
          <w:rFonts w:hint="eastAsia" w:ascii="宋体" w:hAnsi="宋体"/>
          <w:color w:val="auto"/>
          <w:sz w:val="24"/>
        </w:rPr>
        <w:t>2.2“政府采购代理机构”是指：广西建设工程机电设备招标中心有限公司</w:t>
      </w:r>
    </w:p>
    <w:p>
      <w:pPr>
        <w:spacing w:line="360" w:lineRule="auto"/>
        <w:outlineLvl w:val="1"/>
        <w:rPr>
          <w:rFonts w:ascii="宋体" w:hAnsi="宋体"/>
          <w:color w:val="auto"/>
          <w:sz w:val="24"/>
        </w:rPr>
      </w:pPr>
      <w:r>
        <w:rPr>
          <w:rFonts w:hint="eastAsia" w:ascii="宋体" w:hAnsi="宋体"/>
          <w:color w:val="auto"/>
          <w:sz w:val="24"/>
        </w:rPr>
        <w:t>2.3“供应商”是指符合本次采购项目的供应商资格并提交响应文件、参加谈判的供应商。如果该供应商在本次谈判中成交，即成为“成交供应商”。</w:t>
      </w:r>
    </w:p>
    <w:p>
      <w:pPr>
        <w:spacing w:line="360" w:lineRule="auto"/>
        <w:outlineLvl w:val="1"/>
        <w:rPr>
          <w:rFonts w:ascii="宋体" w:hAnsi="宋体"/>
          <w:color w:val="auto"/>
          <w:sz w:val="24"/>
        </w:rPr>
      </w:pPr>
      <w:r>
        <w:rPr>
          <w:rFonts w:hint="eastAsia" w:ascii="宋体" w:hAnsi="宋体"/>
          <w:color w:val="auto"/>
          <w:sz w:val="24"/>
        </w:rPr>
        <w:t>2.4“货物”系指按谈判文件规定，供应商须向采购人提供的一切设备、保险、税金、备品备件、工具、手册及其它有关技术资料和材料。</w:t>
      </w:r>
    </w:p>
    <w:p>
      <w:pPr>
        <w:spacing w:line="360" w:lineRule="auto"/>
        <w:outlineLvl w:val="1"/>
        <w:rPr>
          <w:rFonts w:ascii="宋体" w:hAnsi="宋体"/>
          <w:color w:val="auto"/>
          <w:sz w:val="24"/>
        </w:rPr>
      </w:pPr>
      <w:r>
        <w:rPr>
          <w:rFonts w:hint="eastAsia" w:ascii="宋体" w:hAnsi="宋体"/>
          <w:color w:val="auto"/>
          <w:sz w:val="24"/>
        </w:rPr>
        <w:t>2.5“服务”系指按谈判文件规定，供应商须承担的安装、调试、技术协助、校准、培训、技术指导以及其他类似的义务。</w:t>
      </w:r>
    </w:p>
    <w:p>
      <w:pPr>
        <w:spacing w:line="360" w:lineRule="auto"/>
        <w:outlineLvl w:val="1"/>
        <w:rPr>
          <w:rFonts w:ascii="宋体" w:hAnsi="宋体"/>
          <w:color w:val="auto"/>
          <w:sz w:val="24"/>
        </w:rPr>
      </w:pPr>
      <w:r>
        <w:rPr>
          <w:rFonts w:hint="eastAsia" w:ascii="宋体" w:hAnsi="宋体"/>
          <w:color w:val="auto"/>
          <w:sz w:val="24"/>
        </w:rPr>
        <w:t>2.6“项目”系指供应商按谈判文件规定向采购人提供的货物和服务。</w:t>
      </w:r>
    </w:p>
    <w:p>
      <w:pPr>
        <w:spacing w:line="360" w:lineRule="auto"/>
        <w:outlineLvl w:val="1"/>
        <w:rPr>
          <w:rFonts w:ascii="宋体" w:hAnsi="宋体"/>
          <w:color w:val="auto"/>
          <w:sz w:val="24"/>
        </w:rPr>
      </w:pPr>
      <w:r>
        <w:rPr>
          <w:rFonts w:hint="eastAsia" w:ascii="宋体" w:hAnsi="宋体"/>
          <w:color w:val="auto"/>
          <w:sz w:val="24"/>
        </w:rPr>
        <w:t>2.7“书面形式”包括信函、传真、电报等。</w:t>
      </w:r>
    </w:p>
    <w:p>
      <w:pPr>
        <w:spacing w:line="360" w:lineRule="auto"/>
        <w:outlineLvl w:val="1"/>
        <w:rPr>
          <w:rFonts w:ascii="宋体" w:hAnsi="宋体"/>
          <w:b/>
          <w:color w:val="auto"/>
          <w:sz w:val="24"/>
        </w:rPr>
      </w:pPr>
      <w:r>
        <w:rPr>
          <w:rFonts w:hint="eastAsia" w:ascii="宋体" w:hAnsi="宋体"/>
          <w:b/>
          <w:color w:val="auto"/>
          <w:sz w:val="24"/>
        </w:rPr>
        <w:t>3. 供应商资格</w:t>
      </w:r>
    </w:p>
    <w:p>
      <w:pPr>
        <w:spacing w:line="360" w:lineRule="auto"/>
        <w:outlineLvl w:val="1"/>
        <w:rPr>
          <w:rFonts w:ascii="宋体" w:hAnsi="宋体"/>
          <w:color w:val="auto"/>
          <w:sz w:val="24"/>
        </w:rPr>
      </w:pPr>
      <w:r>
        <w:rPr>
          <w:rFonts w:hint="eastAsia" w:ascii="宋体" w:hAnsi="宋体"/>
          <w:color w:val="auto"/>
          <w:sz w:val="24"/>
        </w:rPr>
        <w:t>3.</w:t>
      </w:r>
      <w:r>
        <w:rPr>
          <w:rFonts w:ascii="宋体" w:hAnsi="宋体"/>
          <w:color w:val="auto"/>
          <w:sz w:val="24"/>
        </w:rPr>
        <w:t>1.</w:t>
      </w:r>
      <w:r>
        <w:rPr>
          <w:rFonts w:hint="eastAsia" w:ascii="宋体" w:hAnsi="宋体"/>
          <w:color w:val="auto"/>
          <w:sz w:val="24"/>
        </w:rPr>
        <w:t>符合《中华人民共和国政府采购法》第二十二条规定。</w:t>
      </w:r>
    </w:p>
    <w:p>
      <w:pPr>
        <w:spacing w:line="360" w:lineRule="auto"/>
        <w:outlineLvl w:val="1"/>
        <w:rPr>
          <w:rFonts w:ascii="宋体" w:hAnsi="宋体"/>
          <w:color w:val="auto"/>
          <w:sz w:val="24"/>
        </w:rPr>
      </w:pPr>
      <w:r>
        <w:rPr>
          <w:rFonts w:hint="eastAsia" w:ascii="宋体" w:hAnsi="宋体"/>
          <w:color w:val="auto"/>
          <w:sz w:val="24"/>
        </w:rPr>
        <w:t>3.</w:t>
      </w:r>
      <w:r>
        <w:rPr>
          <w:rFonts w:ascii="宋体" w:hAnsi="宋体"/>
          <w:color w:val="auto"/>
          <w:sz w:val="24"/>
        </w:rPr>
        <w:t>2</w:t>
      </w:r>
      <w:r>
        <w:rPr>
          <w:rFonts w:hint="eastAsia" w:ascii="宋体" w:hAnsi="宋体"/>
          <w:color w:val="auto"/>
          <w:sz w:val="24"/>
        </w:rPr>
        <w:t>.</w:t>
      </w:r>
      <w:r>
        <w:rPr>
          <w:rFonts w:ascii="宋体" w:hAnsi="宋体"/>
          <w:color w:val="auto"/>
          <w:sz w:val="24"/>
        </w:rPr>
        <w:t>国内注册</w:t>
      </w:r>
      <w:r>
        <w:rPr>
          <w:rFonts w:hint="eastAsia" w:ascii="宋体" w:hAnsi="宋体"/>
          <w:color w:val="auto"/>
          <w:sz w:val="24"/>
        </w:rPr>
        <w:t>，</w:t>
      </w:r>
      <w:r>
        <w:rPr>
          <w:rFonts w:ascii="宋体" w:hAnsi="宋体"/>
          <w:color w:val="auto"/>
          <w:sz w:val="24"/>
        </w:rPr>
        <w:t>生产或经营本次</w:t>
      </w:r>
      <w:r>
        <w:rPr>
          <w:rFonts w:hint="eastAsia" w:ascii="宋体" w:hAnsi="宋体"/>
          <w:color w:val="auto"/>
          <w:sz w:val="24"/>
        </w:rPr>
        <w:t>招</w:t>
      </w:r>
      <w:r>
        <w:rPr>
          <w:rFonts w:ascii="宋体" w:hAnsi="宋体"/>
          <w:color w:val="auto"/>
          <w:sz w:val="24"/>
        </w:rPr>
        <w:t>标采购货物的</w:t>
      </w:r>
      <w:r>
        <w:rPr>
          <w:rFonts w:hint="eastAsia" w:ascii="宋体" w:hAnsi="宋体"/>
          <w:color w:val="auto"/>
          <w:sz w:val="24"/>
        </w:rPr>
        <w:t>供应商。</w:t>
      </w:r>
    </w:p>
    <w:p>
      <w:pPr>
        <w:spacing w:line="360" w:lineRule="auto"/>
        <w:outlineLvl w:val="1"/>
        <w:rPr>
          <w:rFonts w:asciiTheme="minorEastAsia" w:hAnsiTheme="minorEastAsia" w:eastAsiaTheme="minorEastAsia"/>
          <w:color w:val="auto"/>
          <w:sz w:val="24"/>
        </w:rPr>
      </w:pPr>
      <w:r>
        <w:rPr>
          <w:rFonts w:hint="eastAsia" w:ascii="宋体" w:hAnsi="宋体"/>
          <w:color w:val="auto"/>
          <w:sz w:val="24"/>
        </w:rPr>
        <w:t>3.3. 参加政府采购活动前3年内在经营活动中没有重大违法记录</w:t>
      </w:r>
      <w:r>
        <w:rPr>
          <w:rFonts w:hint="eastAsia" w:asciiTheme="minorEastAsia" w:hAnsiTheme="minorEastAsia" w:eastAsiaTheme="minorEastAsia"/>
          <w:color w:val="auto"/>
          <w:sz w:val="24"/>
        </w:rPr>
        <w:t>(提供书面声明)。</w:t>
      </w:r>
    </w:p>
    <w:p>
      <w:pPr>
        <w:spacing w:line="360" w:lineRule="auto"/>
        <w:outlineLvl w:val="1"/>
        <w:rPr>
          <w:rFonts w:ascii="宋体" w:hAnsi="宋体"/>
          <w:color w:val="auto"/>
          <w:sz w:val="24"/>
        </w:rPr>
      </w:pPr>
      <w:r>
        <w:rPr>
          <w:rFonts w:hint="eastAsia" w:asciiTheme="minorEastAsia" w:hAnsiTheme="minorEastAsia" w:eastAsiaTheme="minorEastAsia"/>
          <w:color w:val="auto"/>
          <w:sz w:val="24"/>
        </w:rPr>
        <w:t>3.4.</w:t>
      </w:r>
      <w:r>
        <w:rPr>
          <w:rFonts w:hint="eastAsia" w:ascii="宋体" w:hAnsi="宋体"/>
          <w:color w:val="auto"/>
          <w:sz w:val="24"/>
        </w:rPr>
        <w:t>供应商在竞标期间，企业在“信用中国”网站(www.creditchina.gov.cn)、中国政府采购网(www.ccgp.gov.cn)等渠道被公布为失信被执行人名单或重大税收违法案件当事人名单或政府采购严重违法失信行为记录名单，且处罚期未结束的，不得参与政府采购活动。</w:t>
      </w:r>
    </w:p>
    <w:p>
      <w:pPr>
        <w:spacing w:line="360" w:lineRule="auto"/>
        <w:outlineLvl w:val="1"/>
        <w:rPr>
          <w:rFonts w:ascii="宋体" w:hAnsi="宋体"/>
          <w:color w:val="auto"/>
          <w:sz w:val="24"/>
        </w:rPr>
      </w:pPr>
      <w:r>
        <w:rPr>
          <w:rFonts w:hint="eastAsia" w:ascii="宋体" w:hAnsi="宋体"/>
          <w:color w:val="auto"/>
          <w:sz w:val="24"/>
        </w:rPr>
        <w:t>3.5.本项目不接受联合体竞标。</w:t>
      </w:r>
    </w:p>
    <w:p>
      <w:pPr>
        <w:spacing w:line="360" w:lineRule="auto"/>
        <w:outlineLvl w:val="1"/>
        <w:rPr>
          <w:rFonts w:ascii="宋体" w:hAnsi="宋体"/>
          <w:b/>
          <w:color w:val="auto"/>
          <w:sz w:val="24"/>
        </w:rPr>
      </w:pPr>
      <w:r>
        <w:rPr>
          <w:rFonts w:hint="eastAsia" w:ascii="宋体" w:hAnsi="宋体"/>
          <w:b/>
          <w:color w:val="auto"/>
          <w:sz w:val="24"/>
        </w:rPr>
        <w:t>4. 谈判费用及其他事项</w:t>
      </w:r>
    </w:p>
    <w:p>
      <w:pPr>
        <w:spacing w:line="360" w:lineRule="auto"/>
        <w:ind w:left="-61"/>
        <w:outlineLvl w:val="1"/>
        <w:rPr>
          <w:rFonts w:ascii="宋体" w:hAnsi="宋体"/>
          <w:color w:val="auto"/>
          <w:sz w:val="24"/>
        </w:rPr>
      </w:pPr>
      <w:r>
        <w:rPr>
          <w:rFonts w:hint="eastAsia" w:ascii="宋体" w:hAnsi="宋体"/>
          <w:color w:val="auto"/>
          <w:sz w:val="24"/>
        </w:rPr>
        <w:t>4.1 谈判供应商应自行承担所有与编写和提交竞争性谈判响应文件有关的费用，不论谈判结果如何，采购人和</w:t>
      </w:r>
      <w:r>
        <w:rPr>
          <w:rFonts w:hint="eastAsia" w:ascii="宋体" w:hAnsi="宋体"/>
          <w:color w:val="auto"/>
          <w:sz w:val="24"/>
          <w:u w:val="single"/>
        </w:rPr>
        <w:t>广西建设工程机电设备招标中心有限公司</w:t>
      </w:r>
      <w:r>
        <w:rPr>
          <w:rFonts w:hint="eastAsia" w:ascii="宋体" w:hAnsi="宋体"/>
          <w:color w:val="auto"/>
          <w:sz w:val="24"/>
        </w:rPr>
        <w:t>在任何情况下无义务和责任承担此类费用。</w:t>
      </w:r>
    </w:p>
    <w:p>
      <w:pPr>
        <w:snapToGrid w:val="0"/>
        <w:spacing w:line="400" w:lineRule="exact"/>
        <w:jc w:val="left"/>
        <w:outlineLvl w:val="1"/>
        <w:rPr>
          <w:rFonts w:ascii="宋体" w:hAnsi="宋体"/>
          <w:color w:val="auto"/>
          <w:sz w:val="24"/>
        </w:rPr>
      </w:pPr>
      <w:r>
        <w:rPr>
          <w:rFonts w:hint="eastAsia" w:ascii="宋体" w:hAnsi="宋体"/>
          <w:b/>
          <w:color w:val="auto"/>
          <w:sz w:val="24"/>
        </w:rPr>
        <w:t>5. 联合体要求：</w:t>
      </w:r>
      <w:r>
        <w:rPr>
          <w:rFonts w:hint="eastAsia" w:ascii="宋体" w:hAnsi="宋体"/>
          <w:bCs/>
          <w:color w:val="auto"/>
          <w:sz w:val="24"/>
        </w:rPr>
        <w:t>本项目不接受联合体竞标。</w:t>
      </w:r>
    </w:p>
    <w:p>
      <w:pPr>
        <w:tabs>
          <w:tab w:val="left" w:pos="2190"/>
        </w:tabs>
        <w:spacing w:line="380" w:lineRule="exact"/>
        <w:outlineLvl w:val="1"/>
        <w:rPr>
          <w:rFonts w:ascii="宋体" w:hAnsi="宋体"/>
          <w:b/>
          <w:color w:val="auto"/>
          <w:sz w:val="24"/>
        </w:rPr>
      </w:pPr>
      <w:r>
        <w:rPr>
          <w:rFonts w:hint="eastAsia" w:ascii="宋体" w:hAnsi="宋体"/>
          <w:b/>
          <w:color w:val="auto"/>
          <w:sz w:val="24"/>
        </w:rPr>
        <w:t>6. 质疑和投诉</w:t>
      </w:r>
      <w:r>
        <w:rPr>
          <w:rFonts w:ascii="宋体" w:hAnsi="宋体"/>
          <w:b/>
          <w:color w:val="auto"/>
          <w:sz w:val="24"/>
        </w:rPr>
        <w:tab/>
      </w:r>
    </w:p>
    <w:p>
      <w:pPr>
        <w:tabs>
          <w:tab w:val="left" w:pos="2190"/>
        </w:tabs>
        <w:spacing w:line="380" w:lineRule="exact"/>
        <w:outlineLvl w:val="1"/>
        <w:rPr>
          <w:rFonts w:ascii="宋体" w:hAnsi="宋体"/>
          <w:color w:val="auto"/>
          <w:sz w:val="24"/>
        </w:rPr>
      </w:pPr>
      <w:r>
        <w:rPr>
          <w:rFonts w:hint="eastAsia" w:ascii="宋体" w:hAnsi="宋体"/>
          <w:color w:val="auto"/>
          <w:sz w:val="24"/>
        </w:rPr>
        <w:t>6.1供应商认为谈判文件使自己的合法权益受到损害的，应当在公告届满之日起7个工作日前，以书面形式向采购代理机构提出质疑。供应商认为采购过程或成交结果使自己的合法权益受到损害的，应当在各采购程序环节结束之日或成交公告期限届满之日起七个工作日内，以书面形式采购代理机构提出质疑。采购代理机构应认真做好质疑处理工作。</w:t>
      </w:r>
    </w:p>
    <w:p>
      <w:pPr>
        <w:tabs>
          <w:tab w:val="left" w:pos="2190"/>
        </w:tabs>
        <w:spacing w:line="380" w:lineRule="exact"/>
        <w:outlineLvl w:val="1"/>
        <w:rPr>
          <w:rFonts w:ascii="宋体" w:hAnsi="宋体"/>
          <w:color w:val="auto"/>
          <w:sz w:val="24"/>
        </w:rPr>
      </w:pPr>
      <w:r>
        <w:rPr>
          <w:rFonts w:hint="eastAsia" w:ascii="宋体" w:hAnsi="宋体"/>
          <w:color w:val="auto"/>
          <w:sz w:val="24"/>
        </w:rPr>
        <w:t>6.2供应商对采购代理机构的质疑答复不满意或者采购代理机构未在规定的时间内作出答复的，可以在答复期满后十五个工作日内向本级政府采购监督管理机构投诉。</w:t>
      </w:r>
    </w:p>
    <w:p>
      <w:pPr>
        <w:tabs>
          <w:tab w:val="left" w:pos="2190"/>
        </w:tabs>
        <w:spacing w:line="380" w:lineRule="exact"/>
        <w:outlineLvl w:val="1"/>
        <w:rPr>
          <w:rFonts w:ascii="宋体" w:hAnsi="宋体"/>
          <w:color w:val="auto"/>
          <w:sz w:val="24"/>
        </w:rPr>
      </w:pPr>
      <w:r>
        <w:rPr>
          <w:rFonts w:hint="eastAsia" w:ascii="宋体" w:hAnsi="宋体"/>
          <w:color w:val="auto"/>
          <w:sz w:val="24"/>
        </w:rPr>
        <w:t>6.3质疑、投诉应当采用书面形式，均应明确阐述谈判文件、谈判过程或成交结果中使自己合法权益受到损害的实质性内容，并提供必要的证明材料。</w:t>
      </w:r>
    </w:p>
    <w:p>
      <w:pPr>
        <w:tabs>
          <w:tab w:val="left" w:pos="2190"/>
        </w:tabs>
        <w:spacing w:line="380" w:lineRule="exact"/>
        <w:outlineLvl w:val="1"/>
        <w:rPr>
          <w:rFonts w:ascii="宋体" w:hAnsi="宋体"/>
          <w:b/>
          <w:color w:val="auto"/>
          <w:sz w:val="24"/>
        </w:rPr>
      </w:pPr>
      <w:r>
        <w:rPr>
          <w:rFonts w:hint="eastAsia" w:ascii="宋体" w:hAnsi="宋体"/>
          <w:b/>
          <w:color w:val="auto"/>
          <w:sz w:val="24"/>
        </w:rPr>
        <w:t>7. 转包与分包</w:t>
      </w:r>
    </w:p>
    <w:p>
      <w:pPr>
        <w:tabs>
          <w:tab w:val="left" w:pos="2190"/>
        </w:tabs>
        <w:spacing w:line="380" w:lineRule="exact"/>
        <w:outlineLvl w:val="1"/>
        <w:rPr>
          <w:rFonts w:ascii="宋体" w:hAnsi="宋体"/>
          <w:color w:val="auto"/>
          <w:sz w:val="24"/>
        </w:rPr>
      </w:pPr>
      <w:r>
        <w:rPr>
          <w:rFonts w:hint="eastAsia" w:ascii="宋体" w:hAnsi="宋体"/>
          <w:color w:val="auto"/>
          <w:sz w:val="24"/>
        </w:rPr>
        <w:t>7.1 本项目不允许转包。</w:t>
      </w:r>
    </w:p>
    <w:p>
      <w:pPr>
        <w:tabs>
          <w:tab w:val="left" w:pos="2190"/>
        </w:tabs>
        <w:spacing w:line="380" w:lineRule="exact"/>
        <w:outlineLvl w:val="1"/>
        <w:rPr>
          <w:rFonts w:ascii="宋体" w:hAnsi="宋体"/>
          <w:color w:val="auto"/>
          <w:sz w:val="24"/>
        </w:rPr>
      </w:pPr>
      <w:r>
        <w:rPr>
          <w:rFonts w:hint="eastAsia" w:ascii="宋体" w:hAnsi="宋体"/>
          <w:color w:val="auto"/>
          <w:sz w:val="24"/>
        </w:rPr>
        <w:t>7.2 本项目</w:t>
      </w:r>
      <w:r>
        <w:rPr>
          <w:rFonts w:hint="eastAsia" w:cs="宋体" w:asciiTheme="minorEastAsia" w:hAnsiTheme="minorEastAsia" w:eastAsiaTheme="minorEastAsia"/>
          <w:b/>
          <w:color w:val="auto"/>
          <w:kern w:val="0"/>
          <w:sz w:val="24"/>
          <w:u w:val="single"/>
        </w:rPr>
        <w:t>不可以</w:t>
      </w:r>
      <w:r>
        <w:rPr>
          <w:rFonts w:hint="eastAsia" w:cs="宋体" w:asciiTheme="minorEastAsia" w:hAnsiTheme="minorEastAsia" w:eastAsiaTheme="minorEastAsia"/>
          <w:b/>
          <w:color w:val="auto"/>
          <w:kern w:val="0"/>
          <w:sz w:val="24"/>
        </w:rPr>
        <w:t>将</w:t>
      </w:r>
      <w:r>
        <w:rPr>
          <w:rFonts w:hint="eastAsia" w:cs="宋体" w:asciiTheme="minorEastAsia" w:hAnsiTheme="minorEastAsia" w:eastAsiaTheme="minorEastAsia"/>
          <w:color w:val="auto"/>
          <w:kern w:val="0"/>
          <w:sz w:val="24"/>
        </w:rPr>
        <w:t>非主体、非关键性工作分包。可以分包的内容是：</w:t>
      </w:r>
      <w:r>
        <w:rPr>
          <w:rFonts w:hint="eastAsia" w:cs="宋体" w:asciiTheme="minorEastAsia" w:hAnsiTheme="minorEastAsia" w:eastAsiaTheme="minorEastAsia"/>
          <w:color w:val="auto"/>
          <w:kern w:val="0"/>
          <w:sz w:val="24"/>
          <w:u w:val="single"/>
        </w:rPr>
        <w:t xml:space="preserve"> \  </w:t>
      </w:r>
      <w:r>
        <w:rPr>
          <w:rFonts w:hint="eastAsia" w:cs="宋体" w:asciiTheme="minorEastAsia" w:hAnsiTheme="minorEastAsia" w:eastAsiaTheme="minorEastAsia"/>
          <w:color w:val="auto"/>
          <w:kern w:val="0"/>
          <w:sz w:val="24"/>
        </w:rPr>
        <w:t>。（可以分包的，投标人应当在投标文件中载明分包承担主体，分包承担主体应当具备相应资质条件且不得再次分包。）</w:t>
      </w:r>
      <w:r>
        <w:rPr>
          <w:rFonts w:hint="eastAsia" w:cs="宋体" w:asciiTheme="minorEastAsia" w:hAnsiTheme="minorEastAsia" w:eastAsiaTheme="minorEastAsia"/>
          <w:b/>
          <w:color w:val="auto"/>
          <w:kern w:val="0"/>
          <w:sz w:val="24"/>
        </w:rPr>
        <w:t xml:space="preserve">     </w:t>
      </w:r>
      <w:r>
        <w:rPr>
          <w:rFonts w:hint="eastAsia" w:ascii="宋体" w:hAnsi="宋体"/>
          <w:color w:val="auto"/>
          <w:sz w:val="24"/>
        </w:rPr>
        <w:t>。</w:t>
      </w:r>
    </w:p>
    <w:p>
      <w:pPr>
        <w:tabs>
          <w:tab w:val="left" w:pos="1635"/>
        </w:tabs>
        <w:spacing w:line="380" w:lineRule="exact"/>
        <w:outlineLvl w:val="1"/>
        <w:rPr>
          <w:rFonts w:ascii="宋体" w:hAnsi="宋体"/>
          <w:b/>
          <w:color w:val="auto"/>
          <w:sz w:val="24"/>
        </w:rPr>
      </w:pPr>
      <w:r>
        <w:rPr>
          <w:rFonts w:hint="eastAsia" w:ascii="宋体" w:hAnsi="宋体"/>
          <w:b/>
          <w:color w:val="auto"/>
          <w:sz w:val="24"/>
        </w:rPr>
        <w:t>8. 关联供应商不得参加同一合同项下政府采购活动，否则响应文件将被视为无效：</w:t>
      </w:r>
    </w:p>
    <w:p>
      <w:pPr>
        <w:tabs>
          <w:tab w:val="left" w:pos="1635"/>
        </w:tabs>
        <w:spacing w:line="380" w:lineRule="exact"/>
        <w:outlineLvl w:val="1"/>
        <w:rPr>
          <w:rFonts w:ascii="宋体" w:hAnsi="宋体"/>
          <w:color w:val="auto"/>
          <w:sz w:val="24"/>
        </w:rPr>
      </w:pPr>
      <w:r>
        <w:rPr>
          <w:rFonts w:hint="eastAsia" w:ascii="宋体" w:hAnsi="宋体"/>
          <w:color w:val="auto"/>
          <w:sz w:val="24"/>
        </w:rPr>
        <w:t>8.1单位负责人为同一人或者存在直接控股、管理关系的，不得参加同一合同项下的政府采购活动。</w:t>
      </w:r>
    </w:p>
    <w:p>
      <w:pPr>
        <w:tabs>
          <w:tab w:val="left" w:pos="1635"/>
        </w:tabs>
        <w:spacing w:line="380" w:lineRule="exact"/>
        <w:outlineLvl w:val="1"/>
        <w:rPr>
          <w:rFonts w:ascii="宋体" w:hAnsi="宋体"/>
          <w:color w:val="auto"/>
          <w:sz w:val="24"/>
        </w:rPr>
      </w:pPr>
      <w:r>
        <w:rPr>
          <w:rFonts w:hint="eastAsia" w:ascii="宋体" w:hAnsi="宋体"/>
          <w:color w:val="auto"/>
          <w:sz w:val="24"/>
        </w:rPr>
        <w:t>8.2生产厂商授权给供应商后自己不得参加同一合同项下的政府采购活动；生产厂商对同一品牌同一型号的货物，仅能委托一个代理商参加竞标。</w:t>
      </w:r>
    </w:p>
    <w:p>
      <w:pPr>
        <w:tabs>
          <w:tab w:val="left" w:pos="1635"/>
        </w:tabs>
        <w:spacing w:line="380" w:lineRule="exact"/>
        <w:outlineLvl w:val="1"/>
        <w:rPr>
          <w:rFonts w:ascii="宋体" w:hAnsi="宋体"/>
          <w:color w:val="auto"/>
          <w:sz w:val="24"/>
        </w:rPr>
      </w:pPr>
      <w:r>
        <w:rPr>
          <w:rFonts w:hint="eastAsia" w:ascii="宋体" w:hAnsi="宋体"/>
          <w:color w:val="auto"/>
          <w:sz w:val="24"/>
        </w:rPr>
        <w:t>8.3为本采购项目提供整体设计、规范编制或者项目管理、监理、检测等服务的供应商，不得再参加本次采购活动。</w:t>
      </w:r>
    </w:p>
    <w:p>
      <w:pPr>
        <w:tabs>
          <w:tab w:val="left" w:pos="1635"/>
        </w:tabs>
        <w:spacing w:line="380" w:lineRule="exact"/>
        <w:outlineLvl w:val="1"/>
        <w:rPr>
          <w:rFonts w:ascii="宋体" w:hAnsi="宋体"/>
          <w:color w:val="auto"/>
          <w:sz w:val="24"/>
        </w:rPr>
      </w:pPr>
      <w:r>
        <w:rPr>
          <w:rFonts w:hint="eastAsia" w:ascii="宋体" w:hAnsi="宋体"/>
          <w:color w:val="auto"/>
          <w:sz w:val="24"/>
        </w:rPr>
        <w:t>8.4提供相同品牌产品的不同供应商参加同一合同项下竞标的，以其中通过资格审查、符合性审查且报价最低的参加评审，报价相同的，由采购人自主选择确定一个参加评审的供应商，其他报价无效。非单一产品采购项目中，多家投标人提供的核心产品品牌相同的，视为提供相同品牌产品。</w:t>
      </w:r>
    </w:p>
    <w:p>
      <w:pPr>
        <w:widowControl/>
        <w:shd w:val="clear" w:color="auto" w:fill="FFFFFF"/>
        <w:spacing w:line="360" w:lineRule="auto"/>
        <w:jc w:val="left"/>
        <w:outlineLvl w:val="1"/>
        <w:rPr>
          <w:rFonts w:ascii="宋体" w:hAnsi="宋体" w:cs="宋体"/>
          <w:b/>
          <w:color w:val="auto"/>
          <w:kern w:val="0"/>
          <w:sz w:val="24"/>
        </w:rPr>
      </w:pPr>
      <w:r>
        <w:rPr>
          <w:rFonts w:hint="eastAsia" w:ascii="宋体" w:hAnsi="宋体" w:cs="Tahoma"/>
          <w:b/>
          <w:color w:val="auto"/>
          <w:kern w:val="0"/>
          <w:sz w:val="24"/>
        </w:rPr>
        <w:t>9. 有下列情形之一的视为</w:t>
      </w:r>
      <w:r>
        <w:rPr>
          <w:rFonts w:ascii="宋体" w:hAnsi="宋体" w:cs="Tahoma"/>
          <w:b/>
          <w:color w:val="auto"/>
          <w:kern w:val="0"/>
          <w:sz w:val="24"/>
        </w:rPr>
        <w:t>供应商相互串通</w:t>
      </w:r>
      <w:r>
        <w:rPr>
          <w:rFonts w:hint="eastAsia" w:ascii="宋体" w:hAnsi="宋体" w:cs="Tahoma"/>
          <w:b/>
          <w:color w:val="auto"/>
          <w:kern w:val="0"/>
          <w:sz w:val="24"/>
        </w:rPr>
        <w:t>，响应文件将视为无效：</w:t>
      </w:r>
    </w:p>
    <w:p>
      <w:pPr>
        <w:tabs>
          <w:tab w:val="left" w:pos="1635"/>
        </w:tabs>
        <w:spacing w:line="380" w:lineRule="exact"/>
        <w:outlineLvl w:val="1"/>
        <w:rPr>
          <w:rFonts w:ascii="宋体" w:hAnsi="宋体"/>
          <w:color w:val="auto"/>
          <w:sz w:val="24"/>
        </w:rPr>
      </w:pPr>
      <w:r>
        <w:rPr>
          <w:rFonts w:hint="eastAsia" w:ascii="宋体" w:hAnsi="宋体"/>
          <w:color w:val="auto"/>
          <w:sz w:val="24"/>
        </w:rPr>
        <w:t>9.1</w:t>
      </w:r>
      <w:r>
        <w:rPr>
          <w:rFonts w:ascii="宋体" w:hAnsi="宋体"/>
          <w:color w:val="auto"/>
          <w:sz w:val="24"/>
        </w:rPr>
        <w:t>不同</w:t>
      </w:r>
      <w:r>
        <w:rPr>
          <w:rFonts w:hint="eastAsia" w:ascii="宋体" w:hAnsi="宋体"/>
          <w:color w:val="auto"/>
          <w:sz w:val="24"/>
        </w:rPr>
        <w:t>谈判供应商</w:t>
      </w:r>
      <w:r>
        <w:rPr>
          <w:rFonts w:ascii="宋体" w:hAnsi="宋体"/>
          <w:color w:val="auto"/>
          <w:sz w:val="24"/>
        </w:rPr>
        <w:t>的</w:t>
      </w:r>
      <w:r>
        <w:rPr>
          <w:rFonts w:hint="eastAsia" w:ascii="宋体" w:hAnsi="宋体"/>
          <w:color w:val="auto"/>
          <w:sz w:val="24"/>
        </w:rPr>
        <w:t>竞争性谈判响应文件</w:t>
      </w:r>
      <w:r>
        <w:rPr>
          <w:rFonts w:ascii="宋体" w:hAnsi="宋体"/>
          <w:color w:val="auto"/>
          <w:sz w:val="24"/>
        </w:rPr>
        <w:t>由同一单位或者个人编制；</w:t>
      </w:r>
    </w:p>
    <w:p>
      <w:pPr>
        <w:tabs>
          <w:tab w:val="left" w:pos="1635"/>
        </w:tabs>
        <w:spacing w:line="380" w:lineRule="exact"/>
        <w:outlineLvl w:val="1"/>
        <w:rPr>
          <w:rFonts w:ascii="宋体" w:hAnsi="宋体"/>
          <w:color w:val="auto"/>
          <w:sz w:val="24"/>
        </w:rPr>
      </w:pPr>
      <w:r>
        <w:rPr>
          <w:rFonts w:hint="eastAsia" w:ascii="宋体" w:hAnsi="宋体"/>
          <w:color w:val="auto"/>
          <w:sz w:val="24"/>
        </w:rPr>
        <w:t>9.2</w:t>
      </w:r>
      <w:r>
        <w:rPr>
          <w:rFonts w:ascii="宋体" w:hAnsi="宋体"/>
          <w:color w:val="auto"/>
          <w:sz w:val="24"/>
        </w:rPr>
        <w:t>不同</w:t>
      </w:r>
      <w:r>
        <w:rPr>
          <w:rFonts w:hint="eastAsia" w:ascii="宋体" w:hAnsi="宋体"/>
          <w:color w:val="auto"/>
          <w:sz w:val="24"/>
        </w:rPr>
        <w:t>谈判供应商</w:t>
      </w:r>
      <w:r>
        <w:rPr>
          <w:rFonts w:ascii="宋体" w:hAnsi="宋体"/>
          <w:color w:val="auto"/>
          <w:sz w:val="24"/>
        </w:rPr>
        <w:t>委托同一单位或者个人办理竞标事宜;</w:t>
      </w:r>
    </w:p>
    <w:p>
      <w:pPr>
        <w:tabs>
          <w:tab w:val="left" w:pos="1635"/>
        </w:tabs>
        <w:spacing w:line="380" w:lineRule="exact"/>
        <w:outlineLvl w:val="1"/>
        <w:rPr>
          <w:rFonts w:ascii="宋体" w:hAnsi="宋体"/>
          <w:color w:val="auto"/>
          <w:sz w:val="24"/>
        </w:rPr>
      </w:pPr>
      <w:r>
        <w:rPr>
          <w:rFonts w:hint="eastAsia" w:ascii="宋体" w:hAnsi="宋体"/>
          <w:color w:val="auto"/>
          <w:sz w:val="24"/>
        </w:rPr>
        <w:t>9.3</w:t>
      </w:r>
      <w:r>
        <w:rPr>
          <w:rFonts w:ascii="宋体" w:hAnsi="宋体"/>
          <w:color w:val="auto"/>
          <w:sz w:val="24"/>
        </w:rPr>
        <w:t>不同的</w:t>
      </w:r>
      <w:r>
        <w:rPr>
          <w:rFonts w:hint="eastAsia" w:ascii="宋体" w:hAnsi="宋体"/>
          <w:color w:val="auto"/>
          <w:sz w:val="24"/>
        </w:rPr>
        <w:t>谈判供应商</w:t>
      </w:r>
      <w:r>
        <w:rPr>
          <w:rFonts w:ascii="宋体" w:hAnsi="宋体"/>
          <w:color w:val="auto"/>
          <w:sz w:val="24"/>
        </w:rPr>
        <w:t>的</w:t>
      </w:r>
      <w:r>
        <w:rPr>
          <w:rFonts w:hint="eastAsia" w:ascii="宋体" w:hAnsi="宋体"/>
          <w:color w:val="auto"/>
          <w:sz w:val="24"/>
        </w:rPr>
        <w:t>竞争性谈判响应文件</w:t>
      </w:r>
      <w:r>
        <w:rPr>
          <w:rFonts w:ascii="宋体" w:hAnsi="宋体"/>
          <w:color w:val="auto"/>
          <w:sz w:val="24"/>
        </w:rPr>
        <w:t>载明的项目管理员为同一个人;</w:t>
      </w:r>
    </w:p>
    <w:p>
      <w:pPr>
        <w:tabs>
          <w:tab w:val="left" w:pos="1635"/>
        </w:tabs>
        <w:spacing w:line="380" w:lineRule="exact"/>
        <w:outlineLvl w:val="1"/>
        <w:rPr>
          <w:rFonts w:ascii="宋体" w:hAnsi="宋体"/>
          <w:color w:val="auto"/>
          <w:sz w:val="24"/>
        </w:rPr>
      </w:pPr>
      <w:r>
        <w:rPr>
          <w:rFonts w:hint="eastAsia" w:ascii="宋体" w:hAnsi="宋体"/>
          <w:color w:val="auto"/>
          <w:sz w:val="24"/>
        </w:rPr>
        <w:t>9.4</w:t>
      </w:r>
      <w:r>
        <w:rPr>
          <w:rFonts w:ascii="宋体" w:hAnsi="宋体"/>
          <w:color w:val="auto"/>
          <w:sz w:val="24"/>
        </w:rPr>
        <w:t>不同</w:t>
      </w:r>
      <w:r>
        <w:rPr>
          <w:rFonts w:hint="eastAsia" w:ascii="宋体" w:hAnsi="宋体"/>
          <w:color w:val="auto"/>
          <w:sz w:val="24"/>
        </w:rPr>
        <w:t>谈判供应商</w:t>
      </w:r>
      <w:r>
        <w:rPr>
          <w:rFonts w:ascii="宋体" w:hAnsi="宋体"/>
          <w:color w:val="auto"/>
          <w:sz w:val="24"/>
        </w:rPr>
        <w:t>的</w:t>
      </w:r>
      <w:r>
        <w:rPr>
          <w:rFonts w:hint="eastAsia" w:ascii="宋体" w:hAnsi="宋体"/>
          <w:color w:val="auto"/>
          <w:sz w:val="24"/>
        </w:rPr>
        <w:t>竞争性谈判响应文件</w:t>
      </w:r>
      <w:r>
        <w:rPr>
          <w:rFonts w:ascii="宋体" w:hAnsi="宋体"/>
          <w:color w:val="auto"/>
          <w:sz w:val="24"/>
        </w:rPr>
        <w:t>异常一致或竞标报价呈规律性差异;</w:t>
      </w:r>
    </w:p>
    <w:p>
      <w:pPr>
        <w:tabs>
          <w:tab w:val="left" w:pos="1635"/>
        </w:tabs>
        <w:spacing w:line="380" w:lineRule="exact"/>
        <w:outlineLvl w:val="1"/>
        <w:rPr>
          <w:rFonts w:ascii="宋体" w:hAnsi="宋体"/>
          <w:color w:val="auto"/>
          <w:sz w:val="24"/>
        </w:rPr>
      </w:pPr>
      <w:r>
        <w:rPr>
          <w:rFonts w:hint="eastAsia" w:ascii="宋体" w:hAnsi="宋体"/>
          <w:color w:val="auto"/>
          <w:sz w:val="24"/>
        </w:rPr>
        <w:t>9.5</w:t>
      </w:r>
      <w:r>
        <w:rPr>
          <w:rFonts w:ascii="宋体" w:hAnsi="宋体"/>
          <w:color w:val="auto"/>
          <w:sz w:val="24"/>
        </w:rPr>
        <w:t>不同</w:t>
      </w:r>
      <w:r>
        <w:rPr>
          <w:rFonts w:hint="eastAsia" w:ascii="宋体" w:hAnsi="宋体"/>
          <w:color w:val="auto"/>
          <w:sz w:val="24"/>
        </w:rPr>
        <w:t>谈判供应商</w:t>
      </w:r>
      <w:r>
        <w:rPr>
          <w:rFonts w:ascii="宋体" w:hAnsi="宋体"/>
          <w:color w:val="auto"/>
          <w:sz w:val="24"/>
        </w:rPr>
        <w:t>的</w:t>
      </w:r>
      <w:r>
        <w:rPr>
          <w:rFonts w:hint="eastAsia" w:ascii="宋体" w:hAnsi="宋体"/>
          <w:color w:val="auto"/>
          <w:sz w:val="24"/>
        </w:rPr>
        <w:t>竞争性谈判响应文件</w:t>
      </w:r>
      <w:r>
        <w:rPr>
          <w:rFonts w:ascii="宋体" w:hAnsi="宋体"/>
          <w:color w:val="auto"/>
          <w:sz w:val="24"/>
        </w:rPr>
        <w:t>相互混装</w:t>
      </w:r>
      <w:r>
        <w:rPr>
          <w:rFonts w:hint="eastAsia" w:ascii="宋体" w:hAnsi="宋体"/>
          <w:color w:val="auto"/>
          <w:sz w:val="24"/>
        </w:rPr>
        <w:t>。</w:t>
      </w:r>
    </w:p>
    <w:p>
      <w:pPr>
        <w:spacing w:line="360" w:lineRule="auto"/>
        <w:jc w:val="left"/>
        <w:rPr>
          <w:rFonts w:ascii="宋体" w:hAnsi="宋体"/>
          <w:b/>
          <w:color w:val="auto"/>
          <w:sz w:val="24"/>
        </w:rPr>
      </w:pPr>
    </w:p>
    <w:p>
      <w:pPr>
        <w:tabs>
          <w:tab w:val="left" w:pos="2190"/>
        </w:tabs>
        <w:spacing w:line="380" w:lineRule="exact"/>
        <w:ind w:firstLine="435"/>
        <w:jc w:val="center"/>
        <w:outlineLvl w:val="1"/>
        <w:rPr>
          <w:rFonts w:ascii="宋体" w:hAnsi="宋体"/>
          <w:b/>
          <w:color w:val="auto"/>
          <w:sz w:val="28"/>
          <w:szCs w:val="28"/>
        </w:rPr>
      </w:pPr>
      <w:r>
        <w:rPr>
          <w:rFonts w:hint="eastAsia" w:ascii="宋体" w:hAnsi="宋体"/>
          <w:b/>
          <w:color w:val="auto"/>
          <w:sz w:val="28"/>
          <w:szCs w:val="28"/>
        </w:rPr>
        <w:t>二、谈判文件</w:t>
      </w:r>
    </w:p>
    <w:p>
      <w:pPr>
        <w:tabs>
          <w:tab w:val="left" w:pos="2190"/>
        </w:tabs>
        <w:spacing w:line="380" w:lineRule="exact"/>
        <w:ind w:firstLine="437"/>
        <w:outlineLvl w:val="1"/>
        <w:rPr>
          <w:rFonts w:ascii="宋体" w:hAnsi="宋体"/>
          <w:b/>
          <w:color w:val="auto"/>
          <w:sz w:val="24"/>
        </w:rPr>
      </w:pPr>
      <w:r>
        <w:rPr>
          <w:rFonts w:hint="eastAsia" w:ascii="宋体" w:hAnsi="宋体"/>
          <w:b/>
          <w:color w:val="auto"/>
          <w:sz w:val="24"/>
        </w:rPr>
        <w:t>10. 谈判文件的构成</w:t>
      </w:r>
    </w:p>
    <w:p>
      <w:pPr>
        <w:tabs>
          <w:tab w:val="left" w:pos="2190"/>
        </w:tabs>
        <w:spacing w:line="380" w:lineRule="exact"/>
        <w:ind w:firstLine="437"/>
        <w:outlineLvl w:val="1"/>
        <w:rPr>
          <w:rFonts w:ascii="宋体" w:hAnsi="宋体"/>
          <w:color w:val="auto"/>
          <w:sz w:val="24"/>
        </w:rPr>
      </w:pPr>
      <w:r>
        <w:rPr>
          <w:rFonts w:hint="eastAsia" w:ascii="宋体" w:hAnsi="宋体"/>
          <w:color w:val="auto"/>
          <w:sz w:val="24"/>
        </w:rPr>
        <w:t>第一章  竞争性谈判公告</w:t>
      </w:r>
    </w:p>
    <w:p>
      <w:pPr>
        <w:tabs>
          <w:tab w:val="left" w:pos="2190"/>
        </w:tabs>
        <w:spacing w:line="380" w:lineRule="exact"/>
        <w:ind w:firstLine="437"/>
        <w:outlineLvl w:val="1"/>
        <w:rPr>
          <w:rFonts w:ascii="宋体" w:hAnsi="宋体"/>
          <w:color w:val="auto"/>
          <w:sz w:val="24"/>
        </w:rPr>
      </w:pPr>
      <w:r>
        <w:rPr>
          <w:rFonts w:hint="eastAsia" w:ascii="宋体" w:hAnsi="宋体"/>
          <w:color w:val="auto"/>
          <w:sz w:val="24"/>
        </w:rPr>
        <w:t>第二章  供应商须知</w:t>
      </w:r>
    </w:p>
    <w:p>
      <w:pPr>
        <w:tabs>
          <w:tab w:val="left" w:pos="2190"/>
        </w:tabs>
        <w:spacing w:line="380" w:lineRule="exact"/>
        <w:ind w:firstLine="437"/>
        <w:outlineLvl w:val="1"/>
        <w:rPr>
          <w:rFonts w:ascii="宋体" w:hAnsi="宋体"/>
          <w:color w:val="auto"/>
          <w:sz w:val="24"/>
        </w:rPr>
      </w:pPr>
      <w:r>
        <w:rPr>
          <w:rFonts w:hint="eastAsia" w:ascii="宋体" w:hAnsi="宋体"/>
          <w:color w:val="auto"/>
          <w:sz w:val="24"/>
        </w:rPr>
        <w:t>第三章  项目需求</w:t>
      </w:r>
    </w:p>
    <w:p>
      <w:pPr>
        <w:tabs>
          <w:tab w:val="left" w:pos="2190"/>
        </w:tabs>
        <w:spacing w:line="380" w:lineRule="exact"/>
        <w:ind w:firstLine="437"/>
        <w:outlineLvl w:val="1"/>
        <w:rPr>
          <w:rFonts w:ascii="宋体" w:hAnsi="宋体"/>
          <w:color w:val="auto"/>
          <w:sz w:val="24"/>
        </w:rPr>
      </w:pPr>
      <w:r>
        <w:rPr>
          <w:rFonts w:hint="eastAsia" w:ascii="宋体" w:hAnsi="宋体"/>
          <w:color w:val="auto"/>
          <w:sz w:val="24"/>
        </w:rPr>
        <w:t>第四章  响应文件格式</w:t>
      </w:r>
    </w:p>
    <w:p>
      <w:pPr>
        <w:tabs>
          <w:tab w:val="left" w:pos="2190"/>
        </w:tabs>
        <w:spacing w:line="380" w:lineRule="exact"/>
        <w:ind w:firstLine="437"/>
        <w:outlineLvl w:val="1"/>
        <w:rPr>
          <w:rFonts w:ascii="宋体" w:hAnsi="宋体"/>
          <w:color w:val="auto"/>
          <w:sz w:val="24"/>
        </w:rPr>
      </w:pPr>
      <w:r>
        <w:rPr>
          <w:rFonts w:hint="eastAsia" w:ascii="宋体" w:hAnsi="宋体"/>
          <w:color w:val="auto"/>
          <w:sz w:val="24"/>
        </w:rPr>
        <w:t>第五章  合同主要条款</w:t>
      </w:r>
    </w:p>
    <w:p>
      <w:pPr>
        <w:tabs>
          <w:tab w:val="left" w:pos="2190"/>
        </w:tabs>
        <w:spacing w:line="380" w:lineRule="exact"/>
        <w:ind w:firstLine="437"/>
        <w:outlineLvl w:val="1"/>
        <w:rPr>
          <w:rFonts w:ascii="宋体" w:hAnsi="宋体"/>
          <w:color w:val="auto"/>
          <w:sz w:val="24"/>
        </w:rPr>
      </w:pPr>
      <w:r>
        <w:rPr>
          <w:rFonts w:hint="eastAsia" w:ascii="宋体" w:hAnsi="宋体"/>
          <w:color w:val="auto"/>
          <w:sz w:val="24"/>
        </w:rPr>
        <w:t>第六章  评审办法及评审标准</w:t>
      </w:r>
    </w:p>
    <w:p>
      <w:pPr>
        <w:tabs>
          <w:tab w:val="left" w:pos="2190"/>
        </w:tabs>
        <w:spacing w:line="380" w:lineRule="exact"/>
        <w:ind w:firstLine="437"/>
        <w:outlineLvl w:val="1"/>
        <w:rPr>
          <w:rFonts w:ascii="宋体" w:hAnsi="宋体"/>
          <w:color w:val="auto"/>
          <w:sz w:val="24"/>
        </w:rPr>
      </w:pPr>
      <w:r>
        <w:rPr>
          <w:rFonts w:hint="eastAsia" w:ascii="宋体" w:hAnsi="宋体"/>
          <w:color w:val="auto"/>
          <w:sz w:val="24"/>
        </w:rPr>
        <w:t>第七章  质疑书及投诉书格式</w:t>
      </w:r>
    </w:p>
    <w:p>
      <w:pPr>
        <w:tabs>
          <w:tab w:val="left" w:pos="2190"/>
        </w:tabs>
        <w:spacing w:line="380" w:lineRule="exact"/>
        <w:ind w:firstLine="437"/>
        <w:outlineLvl w:val="1"/>
        <w:rPr>
          <w:rFonts w:ascii="宋体" w:hAnsi="宋体"/>
          <w:b/>
          <w:color w:val="auto"/>
          <w:sz w:val="24"/>
        </w:rPr>
      </w:pPr>
      <w:r>
        <w:rPr>
          <w:rFonts w:hint="eastAsia" w:ascii="宋体" w:hAnsi="宋体"/>
          <w:b/>
          <w:color w:val="auto"/>
          <w:sz w:val="24"/>
        </w:rPr>
        <w:t>11. 谈判文件的澄清与修改</w:t>
      </w:r>
    </w:p>
    <w:p>
      <w:pPr>
        <w:tabs>
          <w:tab w:val="left" w:pos="2190"/>
        </w:tabs>
        <w:spacing w:line="380" w:lineRule="exact"/>
        <w:ind w:firstLine="437"/>
        <w:outlineLvl w:val="1"/>
        <w:rPr>
          <w:rFonts w:ascii="宋体" w:hAnsi="宋体"/>
          <w:color w:val="auto"/>
          <w:sz w:val="24"/>
        </w:rPr>
      </w:pPr>
      <w:r>
        <w:rPr>
          <w:rFonts w:hint="eastAsia" w:ascii="宋体" w:hAnsi="宋体"/>
          <w:color w:val="auto"/>
          <w:sz w:val="24"/>
        </w:rPr>
        <w:t>11.1 提交首次响应文件截止之日前，采购代理机构可以对已发出的谈判文件进行必要澄清或者修改，澄清或者修改的内容可能影响响应文件编制的，采购代理机构应当在提交首次响应文件递交截止时间3个工作日前在本项目竞争性谈判公告发布的同一媒体上发布更正公告，不足3个工作日的，应当顺延首次响应文件递交截止时间。</w:t>
      </w:r>
    </w:p>
    <w:p>
      <w:pPr>
        <w:tabs>
          <w:tab w:val="left" w:pos="2190"/>
        </w:tabs>
        <w:spacing w:line="380" w:lineRule="exact"/>
        <w:ind w:firstLine="437"/>
        <w:outlineLvl w:val="1"/>
        <w:rPr>
          <w:rFonts w:ascii="宋体" w:hAnsi="宋体"/>
          <w:color w:val="auto"/>
          <w:sz w:val="24"/>
        </w:rPr>
      </w:pPr>
      <w:r>
        <w:rPr>
          <w:rFonts w:hint="eastAsia" w:ascii="宋体" w:hAnsi="宋体"/>
          <w:color w:val="auto"/>
          <w:sz w:val="24"/>
        </w:rPr>
        <w:t>11.2</w:t>
      </w:r>
      <w:r>
        <w:rPr>
          <w:rFonts w:hint="eastAsia" w:ascii="宋体" w:hAnsi="宋体"/>
          <w:b/>
          <w:color w:val="auto"/>
          <w:sz w:val="24"/>
        </w:rPr>
        <w:t>供应商下载竞争性谈判文件后应实时关注相关网站了解澄清、修改等与项目有关的内容，如因供应商未及时登录相关网站了解澄清、修改等与项目有关的内容，从而导致竞标无效的，由供应商自行承担责任。</w:t>
      </w:r>
    </w:p>
    <w:p>
      <w:pPr>
        <w:tabs>
          <w:tab w:val="left" w:pos="2190"/>
        </w:tabs>
        <w:spacing w:line="380" w:lineRule="exact"/>
        <w:ind w:firstLine="437"/>
        <w:outlineLvl w:val="1"/>
        <w:rPr>
          <w:rFonts w:ascii="宋体" w:hAnsi="宋体"/>
          <w:color w:val="auto"/>
          <w:sz w:val="24"/>
        </w:rPr>
      </w:pPr>
      <w:r>
        <w:rPr>
          <w:rFonts w:hint="eastAsia" w:ascii="宋体" w:hAnsi="宋体"/>
          <w:color w:val="auto"/>
          <w:sz w:val="24"/>
        </w:rPr>
        <w:t>11.3澄清或者修改的内容为谈判文件的组成部分。当澄清或者修改通知就同一内容的表述不一致时，以最后发出的文件为准。</w:t>
      </w:r>
    </w:p>
    <w:p>
      <w:pPr>
        <w:tabs>
          <w:tab w:val="left" w:pos="2190"/>
        </w:tabs>
        <w:spacing w:line="380" w:lineRule="exact"/>
        <w:ind w:firstLine="437"/>
        <w:outlineLvl w:val="1"/>
        <w:rPr>
          <w:rFonts w:ascii="宋体" w:hAnsi="宋体"/>
          <w:color w:val="auto"/>
          <w:sz w:val="24"/>
        </w:rPr>
      </w:pPr>
      <w:r>
        <w:rPr>
          <w:rFonts w:hint="eastAsia" w:ascii="宋体" w:hAnsi="宋体"/>
          <w:color w:val="auto"/>
          <w:sz w:val="24"/>
        </w:rPr>
        <w:t>11.4 谈判文件的澄清或者修改都应该通过本项目采购代理机构以法定形式发布，采购人非通过本机构，不得擅自澄清或者修改谈判文件。</w:t>
      </w:r>
    </w:p>
    <w:p>
      <w:pPr>
        <w:tabs>
          <w:tab w:val="left" w:pos="2190"/>
        </w:tabs>
        <w:spacing w:line="380" w:lineRule="exact"/>
        <w:ind w:firstLine="437"/>
        <w:outlineLvl w:val="1"/>
        <w:rPr>
          <w:rFonts w:ascii="宋体" w:hAnsi="宋体"/>
          <w:color w:val="auto"/>
          <w:sz w:val="24"/>
        </w:rPr>
      </w:pPr>
      <w:r>
        <w:rPr>
          <w:rFonts w:hint="eastAsia" w:ascii="宋体" w:hAnsi="宋体"/>
          <w:color w:val="auto"/>
          <w:sz w:val="24"/>
        </w:rPr>
        <w:t>11.5采购代理机构可以视采购具体情况，延长首次响应文件递交截止时间和谈判时间，并将变更时间在本项目竞争性谈判公告发布的同一媒体上发布变更公告。</w:t>
      </w:r>
    </w:p>
    <w:p>
      <w:pPr>
        <w:spacing w:line="360" w:lineRule="auto"/>
        <w:jc w:val="left"/>
        <w:rPr>
          <w:rFonts w:ascii="宋体" w:hAnsi="宋体"/>
          <w:b/>
          <w:color w:val="auto"/>
          <w:sz w:val="24"/>
        </w:rPr>
      </w:pPr>
    </w:p>
    <w:p>
      <w:pPr>
        <w:spacing w:line="360" w:lineRule="auto"/>
        <w:jc w:val="center"/>
        <w:outlineLvl w:val="1"/>
        <w:rPr>
          <w:rFonts w:ascii="宋体" w:hAnsi="宋体"/>
          <w:b/>
          <w:color w:val="auto"/>
          <w:sz w:val="28"/>
          <w:szCs w:val="28"/>
        </w:rPr>
      </w:pPr>
      <w:r>
        <w:rPr>
          <w:rFonts w:hint="eastAsia" w:ascii="宋体" w:hAnsi="宋体"/>
          <w:b/>
          <w:color w:val="auto"/>
          <w:sz w:val="28"/>
          <w:szCs w:val="28"/>
        </w:rPr>
        <w:t>三、竞争性谈判响应文件的编制</w:t>
      </w:r>
    </w:p>
    <w:p>
      <w:pPr>
        <w:spacing w:line="360" w:lineRule="auto"/>
        <w:outlineLvl w:val="1"/>
        <w:rPr>
          <w:rFonts w:ascii="宋体" w:hAnsi="宋体"/>
          <w:b/>
          <w:color w:val="auto"/>
          <w:sz w:val="24"/>
        </w:rPr>
      </w:pPr>
      <w:r>
        <w:rPr>
          <w:rFonts w:hint="eastAsia" w:ascii="宋体" w:hAnsi="宋体"/>
          <w:b/>
          <w:color w:val="auto"/>
          <w:sz w:val="24"/>
        </w:rPr>
        <w:t>12. 竞争性谈判响应文件编制基本要求</w:t>
      </w:r>
    </w:p>
    <w:p>
      <w:pPr>
        <w:spacing w:line="360" w:lineRule="auto"/>
        <w:ind w:left="-1" w:leftChars="-29" w:hanging="60" w:hangingChars="25"/>
        <w:outlineLvl w:val="1"/>
        <w:rPr>
          <w:rFonts w:ascii="宋体" w:hAnsi="宋体"/>
          <w:color w:val="auto"/>
          <w:sz w:val="24"/>
        </w:rPr>
      </w:pPr>
      <w:r>
        <w:rPr>
          <w:rFonts w:hint="eastAsia" w:ascii="宋体" w:hAnsi="宋体"/>
          <w:color w:val="auto"/>
          <w:sz w:val="24"/>
        </w:rPr>
        <w:t>12.1谈判供应商对竞争性谈判响应文件的编制应按要求装订和封装。</w:t>
      </w:r>
    </w:p>
    <w:p>
      <w:pPr>
        <w:spacing w:line="360" w:lineRule="auto"/>
        <w:ind w:left="-1" w:leftChars="-29" w:hanging="60" w:hangingChars="25"/>
        <w:outlineLvl w:val="1"/>
        <w:rPr>
          <w:rFonts w:ascii="宋体" w:hAnsi="宋体"/>
          <w:color w:val="auto"/>
          <w:sz w:val="24"/>
        </w:rPr>
      </w:pPr>
      <w:r>
        <w:rPr>
          <w:rFonts w:hint="eastAsia" w:ascii="宋体" w:hAnsi="宋体"/>
          <w:color w:val="auto"/>
          <w:sz w:val="24"/>
        </w:rPr>
        <w:t>12.2谈判供应商提交的竞争性谈判响应文件以及谈判供应商与</w:t>
      </w:r>
      <w:r>
        <w:rPr>
          <w:rFonts w:hint="eastAsia" w:ascii="宋体" w:hAnsi="宋体"/>
          <w:color w:val="auto"/>
          <w:sz w:val="24"/>
          <w:u w:val="single"/>
        </w:rPr>
        <w:t>广西建设工程机电设备招标中心有限公司（以下简称“本中心”）</w:t>
      </w:r>
      <w:r>
        <w:rPr>
          <w:rFonts w:hint="eastAsia" w:ascii="宋体" w:hAnsi="宋体"/>
          <w:color w:val="auto"/>
          <w:sz w:val="24"/>
        </w:rPr>
        <w:t>和采购人就有关谈判的所有来往函电均应使用中文。谈判供应商提交的支持文件和印刷的文件可以使用别的语言，但其相应内容必须附有中文翻译文本，在解释竞争性谈判响应文件时以翻译文本为主。</w:t>
      </w:r>
    </w:p>
    <w:p>
      <w:pPr>
        <w:spacing w:line="360" w:lineRule="auto"/>
        <w:ind w:left="-1" w:leftChars="-29" w:hanging="60" w:hangingChars="25"/>
        <w:outlineLvl w:val="1"/>
        <w:rPr>
          <w:rFonts w:ascii="宋体" w:hAnsi="宋体"/>
          <w:color w:val="auto"/>
          <w:sz w:val="24"/>
        </w:rPr>
      </w:pPr>
      <w:r>
        <w:rPr>
          <w:rFonts w:hint="eastAsia" w:ascii="宋体" w:hAnsi="宋体"/>
          <w:color w:val="auto"/>
          <w:sz w:val="24"/>
        </w:rPr>
        <w:t>12.3谈判供应商应认真阅读、并充分理解本文件的全部内容（包括所有的补充、修改内容），承诺并履行本文件中各项条款规定及要求。</w:t>
      </w:r>
    </w:p>
    <w:p>
      <w:pPr>
        <w:spacing w:line="360" w:lineRule="auto"/>
        <w:ind w:left="-1" w:leftChars="-29" w:hanging="60" w:hangingChars="25"/>
        <w:outlineLvl w:val="1"/>
        <w:rPr>
          <w:rFonts w:ascii="宋体" w:hAnsi="宋体"/>
          <w:color w:val="auto"/>
          <w:sz w:val="24"/>
        </w:rPr>
      </w:pPr>
      <w:r>
        <w:rPr>
          <w:rFonts w:hint="eastAsia" w:ascii="宋体" w:hAnsi="宋体"/>
          <w:color w:val="auto"/>
          <w:sz w:val="24"/>
        </w:rPr>
        <w:t>12.4竞争性谈判响应文件必须按本文件的全部内容，包括所有的补充通知及附件进行编制。</w:t>
      </w:r>
    </w:p>
    <w:p>
      <w:pPr>
        <w:spacing w:line="360" w:lineRule="auto"/>
        <w:ind w:left="-1" w:leftChars="-29" w:hanging="60" w:hangingChars="25"/>
        <w:outlineLvl w:val="1"/>
        <w:rPr>
          <w:rFonts w:ascii="宋体" w:hAnsi="宋体"/>
          <w:b/>
          <w:color w:val="auto"/>
          <w:sz w:val="24"/>
        </w:rPr>
      </w:pPr>
      <w:r>
        <w:rPr>
          <w:rFonts w:hint="eastAsia" w:ascii="宋体" w:hAnsi="宋体"/>
          <w:color w:val="auto"/>
          <w:sz w:val="24"/>
        </w:rPr>
        <w:t>12.5</w:t>
      </w:r>
      <w:r>
        <w:rPr>
          <w:rFonts w:hint="eastAsia" w:ascii="宋体" w:hAnsi="宋体"/>
          <w:b/>
          <w:color w:val="auto"/>
          <w:sz w:val="24"/>
        </w:rPr>
        <w:t>如因谈判供应商只填写和提供了本文件要求的部分内容和附件，而给评审造成困难，其可能导致的结果和责任由谈判供应商自行承担。</w:t>
      </w:r>
    </w:p>
    <w:p>
      <w:pPr>
        <w:spacing w:line="360" w:lineRule="auto"/>
        <w:outlineLvl w:val="1"/>
        <w:rPr>
          <w:rFonts w:ascii="宋体" w:hAnsi="宋体"/>
          <w:b/>
          <w:color w:val="auto"/>
          <w:sz w:val="24"/>
        </w:rPr>
      </w:pPr>
      <w:r>
        <w:rPr>
          <w:rFonts w:hint="eastAsia" w:ascii="宋体" w:hAnsi="宋体"/>
          <w:b/>
          <w:color w:val="auto"/>
          <w:sz w:val="24"/>
        </w:rPr>
        <w:t>12.6竞争性谈判响应文件的组成</w:t>
      </w:r>
      <w:r>
        <w:rPr>
          <w:rFonts w:hint="eastAsia" w:hAnsi="宋体"/>
          <w:b/>
          <w:color w:val="auto"/>
          <w:sz w:val="24"/>
        </w:rPr>
        <w:t>（可以根据需要进行增减）</w:t>
      </w:r>
    </w:p>
    <w:p>
      <w:pPr>
        <w:spacing w:line="360" w:lineRule="auto"/>
        <w:ind w:firstLine="420"/>
        <w:outlineLvl w:val="1"/>
        <w:rPr>
          <w:rFonts w:ascii="宋体" w:hAnsi="宋体"/>
          <w:color w:val="auto"/>
          <w:sz w:val="24"/>
        </w:rPr>
      </w:pPr>
      <w:r>
        <w:rPr>
          <w:rFonts w:hint="eastAsia" w:ascii="宋体" w:hAnsi="宋体"/>
          <w:color w:val="auto"/>
          <w:sz w:val="24"/>
        </w:rPr>
        <w:t>竞争性谈判响应文件应分为价格部分、资信及商务部分、技术部分组成。三部分装订成一册，同时提供电子文档一份。装订应牢固，不易拆散和换页。</w:t>
      </w:r>
    </w:p>
    <w:p>
      <w:pPr>
        <w:spacing w:line="360" w:lineRule="auto"/>
        <w:outlineLvl w:val="1"/>
        <w:rPr>
          <w:rFonts w:ascii="宋体" w:hAnsi="宋体"/>
          <w:b/>
          <w:color w:val="auto"/>
          <w:sz w:val="24"/>
        </w:rPr>
      </w:pPr>
      <w:r>
        <w:rPr>
          <w:rFonts w:hint="eastAsia" w:ascii="宋体" w:hAnsi="宋体"/>
          <w:b/>
          <w:color w:val="auto"/>
          <w:sz w:val="24"/>
        </w:rPr>
        <w:t>12.6.1价格部分</w:t>
      </w:r>
    </w:p>
    <w:p>
      <w:pPr>
        <w:spacing w:line="360" w:lineRule="exact"/>
        <w:ind w:firstLine="482" w:firstLineChars="200"/>
        <w:outlineLvl w:val="1"/>
        <w:rPr>
          <w:rFonts w:ascii="宋体" w:hAnsi="宋体"/>
          <w:b/>
          <w:color w:val="auto"/>
          <w:sz w:val="24"/>
        </w:rPr>
      </w:pPr>
      <w:r>
        <w:rPr>
          <w:rFonts w:hint="eastAsia" w:ascii="宋体" w:hAnsi="宋体"/>
          <w:b/>
          <w:color w:val="auto"/>
          <w:sz w:val="24"/>
        </w:rPr>
        <w:t>1）响应函；（附件一）</w:t>
      </w:r>
    </w:p>
    <w:p>
      <w:pPr>
        <w:spacing w:line="360" w:lineRule="auto"/>
        <w:ind w:firstLine="482" w:firstLineChars="200"/>
        <w:outlineLvl w:val="1"/>
        <w:rPr>
          <w:rFonts w:ascii="宋体" w:hAnsi="宋体"/>
          <w:b/>
          <w:color w:val="auto"/>
          <w:sz w:val="24"/>
        </w:rPr>
      </w:pPr>
      <w:r>
        <w:rPr>
          <w:rFonts w:hint="eastAsia" w:ascii="宋体" w:hAnsi="宋体"/>
          <w:b/>
          <w:color w:val="auto"/>
          <w:sz w:val="24"/>
        </w:rPr>
        <w:t>2）报价明细表；（附件二）</w:t>
      </w:r>
    </w:p>
    <w:p>
      <w:pPr>
        <w:spacing w:line="360" w:lineRule="exact"/>
        <w:ind w:left="-2" w:leftChars="-1"/>
        <w:outlineLvl w:val="1"/>
        <w:rPr>
          <w:rFonts w:ascii="宋体" w:hAnsi="宋体"/>
          <w:color w:val="auto"/>
          <w:sz w:val="24"/>
        </w:rPr>
      </w:pPr>
      <w:r>
        <w:rPr>
          <w:rFonts w:hint="eastAsia" w:ascii="宋体" w:hAnsi="宋体"/>
          <w:b/>
          <w:color w:val="auto"/>
          <w:sz w:val="24"/>
        </w:rPr>
        <w:t>12.6.2 资信及商务部分</w:t>
      </w:r>
    </w:p>
    <w:p>
      <w:pPr>
        <w:tabs>
          <w:tab w:val="left" w:pos="1305"/>
        </w:tabs>
        <w:spacing w:line="400" w:lineRule="exact"/>
        <w:ind w:firstLine="480" w:firstLineChars="200"/>
        <w:outlineLvl w:val="1"/>
        <w:rPr>
          <w:rFonts w:ascii="宋体" w:hAnsi="宋体"/>
          <w:color w:val="auto"/>
          <w:sz w:val="24"/>
        </w:rPr>
      </w:pPr>
      <w:r>
        <w:rPr>
          <w:rFonts w:hint="eastAsia" w:ascii="宋体" w:hAnsi="宋体"/>
          <w:color w:val="auto"/>
          <w:sz w:val="24"/>
        </w:rPr>
        <w:t>1）供应商的法人或者其他组织营业执照等证明文件（必须提供，自然人除外）；</w:t>
      </w:r>
    </w:p>
    <w:p>
      <w:pPr>
        <w:tabs>
          <w:tab w:val="left" w:pos="1305"/>
        </w:tabs>
        <w:spacing w:line="400" w:lineRule="exact"/>
        <w:ind w:firstLine="482" w:firstLineChars="200"/>
        <w:outlineLvl w:val="1"/>
        <w:rPr>
          <w:rFonts w:ascii="宋体" w:hAnsi="宋体"/>
          <w:b/>
          <w:color w:val="auto"/>
          <w:sz w:val="24"/>
        </w:rPr>
      </w:pPr>
      <w:r>
        <w:rPr>
          <w:rFonts w:hint="eastAsia" w:ascii="宋体" w:hAnsi="宋体"/>
          <w:b/>
          <w:color w:val="auto"/>
          <w:sz w:val="24"/>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330" w:lineRule="exact"/>
        <w:ind w:firstLine="240" w:firstLineChars="100"/>
        <w:outlineLvl w:val="1"/>
        <w:rPr>
          <w:rFonts w:ascii="宋体" w:hAnsi="宋体"/>
          <w:color w:val="auto"/>
          <w:sz w:val="24"/>
        </w:rPr>
      </w:pPr>
      <w:r>
        <w:rPr>
          <w:rFonts w:hint="eastAsia" w:ascii="宋体" w:hAnsi="宋体"/>
          <w:color w:val="auto"/>
          <w:sz w:val="24"/>
        </w:rPr>
        <w:t>2）供应商法定代表人身份证明书、相应的法定代表人身份证正反两面复印件</w:t>
      </w:r>
      <w:r>
        <w:rPr>
          <w:rFonts w:hint="eastAsia" w:ascii="宋体" w:hAnsi="宋体"/>
          <w:b/>
          <w:color w:val="auto"/>
          <w:sz w:val="24"/>
        </w:rPr>
        <w:t>（必须提供；</w:t>
      </w:r>
      <w:r>
        <w:rPr>
          <w:rFonts w:hint="eastAsia" w:ascii="宋体" w:hAnsi="宋体"/>
          <w:color w:val="auto"/>
          <w:sz w:val="24"/>
        </w:rPr>
        <w:t>供应商若为自然人的提供自然人身份证正反两面复印件，供应商若为其他组织形式无法定代表人的提供负责人身份证正反两面复印件）（附件三，必须提供）；</w:t>
      </w:r>
    </w:p>
    <w:p>
      <w:pPr>
        <w:tabs>
          <w:tab w:val="left" w:pos="1305"/>
        </w:tabs>
        <w:spacing w:line="380" w:lineRule="exact"/>
        <w:ind w:firstLine="480" w:firstLineChars="200"/>
        <w:outlineLvl w:val="1"/>
        <w:rPr>
          <w:rFonts w:ascii="宋体" w:hAnsi="宋体"/>
          <w:color w:val="auto"/>
          <w:sz w:val="24"/>
        </w:rPr>
      </w:pPr>
      <w:r>
        <w:rPr>
          <w:rFonts w:hint="eastAsia" w:ascii="宋体" w:hAnsi="宋体"/>
          <w:color w:val="auto"/>
          <w:sz w:val="24"/>
        </w:rPr>
        <w:t>3）授权委托书原件、委托代理人身份证正反面复印件（附件四，委托代理时必须提供）；</w:t>
      </w:r>
    </w:p>
    <w:p>
      <w:pPr>
        <w:tabs>
          <w:tab w:val="left" w:pos="1305"/>
        </w:tabs>
        <w:spacing w:line="400" w:lineRule="exact"/>
        <w:ind w:firstLine="480" w:firstLineChars="200"/>
        <w:outlineLvl w:val="1"/>
        <w:rPr>
          <w:rFonts w:ascii="宋体" w:hAnsi="宋体"/>
          <w:color w:val="auto"/>
          <w:sz w:val="24"/>
        </w:rPr>
      </w:pPr>
      <w:r>
        <w:rPr>
          <w:rFonts w:hint="eastAsia" w:ascii="宋体" w:hAnsi="宋体"/>
          <w:color w:val="auto"/>
          <w:sz w:val="24"/>
        </w:rPr>
        <w:t>4）供应商参加政府采购活动前3年内在经营活动中没有重大违法记录的书面声明（附件五，必须提供）；</w:t>
      </w:r>
    </w:p>
    <w:p>
      <w:pPr>
        <w:tabs>
          <w:tab w:val="left" w:pos="1305"/>
        </w:tabs>
        <w:spacing w:line="400" w:lineRule="exact"/>
        <w:ind w:firstLine="480" w:firstLineChars="200"/>
        <w:outlineLvl w:val="1"/>
        <w:rPr>
          <w:rFonts w:ascii="宋体" w:hAnsi="宋体"/>
          <w:color w:val="auto"/>
          <w:sz w:val="24"/>
        </w:rPr>
      </w:pPr>
      <w:r>
        <w:rPr>
          <w:rFonts w:hint="eastAsia" w:ascii="宋体" w:hAnsi="宋体"/>
          <w:color w:val="auto"/>
          <w:sz w:val="24"/>
        </w:rPr>
        <w:t xml:space="preserve">5）联合体协议书（如有，请提供）； </w:t>
      </w:r>
    </w:p>
    <w:p>
      <w:pPr>
        <w:spacing w:line="360" w:lineRule="exact"/>
        <w:ind w:firstLine="480" w:firstLineChars="200"/>
        <w:outlineLvl w:val="1"/>
        <w:rPr>
          <w:rFonts w:ascii="宋体" w:hAnsi="宋体"/>
          <w:color w:val="auto"/>
          <w:sz w:val="24"/>
        </w:rPr>
      </w:pPr>
      <w:r>
        <w:rPr>
          <w:rFonts w:hint="eastAsia" w:ascii="宋体" w:hAnsi="宋体"/>
          <w:color w:val="auto"/>
          <w:sz w:val="24"/>
        </w:rPr>
        <w:t>6）供应商可在“信用中国”网站（www.creditchina.gov.cn）或中国政府采购网（www.ccgp.gov.cn）查询相关供应商主体信用记录，同时将查询结果截图加盖公章与上述书面声明一并提交（附件五）</w:t>
      </w:r>
    </w:p>
    <w:p>
      <w:pPr>
        <w:spacing w:line="360" w:lineRule="exact"/>
        <w:ind w:firstLine="480" w:firstLineChars="200"/>
        <w:jc w:val="left"/>
        <w:outlineLvl w:val="1"/>
        <w:rPr>
          <w:rFonts w:ascii="宋体" w:hAnsi="宋体"/>
          <w:color w:val="auto"/>
          <w:sz w:val="24"/>
        </w:rPr>
      </w:pPr>
      <w:r>
        <w:rPr>
          <w:rFonts w:hint="eastAsia" w:ascii="宋体" w:hAnsi="宋体"/>
          <w:color w:val="auto"/>
          <w:sz w:val="24"/>
        </w:rPr>
        <w:t>7）供应商近半年内连续三个月依法缴纳税费或依法免缴税费的证明（复印件，原件备查，格式自拟），供应商为新注册成立的企业（距磋商截止日不足三个月），须提供企业自成立至今的依法缴纳税收证明材料，原件备查；（必须提供）</w:t>
      </w:r>
    </w:p>
    <w:p>
      <w:pPr>
        <w:tabs>
          <w:tab w:val="left" w:pos="1305"/>
        </w:tabs>
        <w:spacing w:line="360" w:lineRule="exact"/>
        <w:ind w:firstLine="480" w:firstLineChars="200"/>
        <w:outlineLvl w:val="1"/>
        <w:rPr>
          <w:rFonts w:ascii="宋体" w:hAnsi="宋体"/>
          <w:color w:val="auto"/>
          <w:sz w:val="24"/>
        </w:rPr>
      </w:pPr>
      <w:r>
        <w:rPr>
          <w:rFonts w:hint="eastAsia" w:ascii="宋体" w:hAnsi="宋体"/>
          <w:color w:val="auto"/>
          <w:sz w:val="24"/>
        </w:rPr>
        <w:t>8）供应商近半年内连续三个月依法缴纳社保费的缴费凭证（复印件，原件备查，格式自拟），供应商为新注册成立的企业（距磋商截止日不足三个月），须提供企业自成立至今的社保证明，原件备查；（必须提供）</w:t>
      </w:r>
    </w:p>
    <w:p>
      <w:pPr>
        <w:snapToGrid w:val="0"/>
        <w:spacing w:line="360" w:lineRule="exact"/>
        <w:ind w:firstLine="480" w:firstLineChars="200"/>
        <w:jc w:val="left"/>
        <w:outlineLvl w:val="1"/>
        <w:rPr>
          <w:rFonts w:ascii="宋体" w:hAnsi="宋体"/>
          <w:color w:val="auto"/>
          <w:sz w:val="24"/>
        </w:rPr>
      </w:pPr>
      <w:r>
        <w:rPr>
          <w:rFonts w:hint="eastAsia" w:ascii="宋体" w:hAnsi="宋体"/>
          <w:color w:val="auto"/>
          <w:sz w:val="24"/>
        </w:rPr>
        <w:t>9）</w:t>
      </w:r>
      <w:r>
        <w:rPr>
          <w:rFonts w:ascii="宋体" w:hAnsi="宋体"/>
          <w:color w:val="auto"/>
          <w:sz w:val="24"/>
        </w:rPr>
        <w:t>财务状况报告</w:t>
      </w:r>
      <w:r>
        <w:rPr>
          <w:rFonts w:hint="eastAsia" w:asciiTheme="minorEastAsia" w:hAnsiTheme="minorEastAsia" w:eastAsiaTheme="minorEastAsia"/>
          <w:bCs/>
          <w:color w:val="auto"/>
          <w:sz w:val="24"/>
        </w:rPr>
        <w:t>（</w:t>
      </w:r>
      <w:r>
        <w:rPr>
          <w:rFonts w:hint="eastAsia" w:hAnsi="宋体"/>
          <w:color w:val="auto"/>
          <w:sz w:val="24"/>
          <w:u w:val="single"/>
        </w:rPr>
        <w:t>可以是供应商编制的财务报表或第三方审计报告等证明材料，若为新成立的企业，可根据实际情况提供月度财务报表，或供应商开户行2017年以来出具的银行资信证明文件复印件，格式自拟</w:t>
      </w:r>
      <w:r>
        <w:rPr>
          <w:rFonts w:hint="eastAsia" w:asciiTheme="minorEastAsia" w:hAnsiTheme="minorEastAsia" w:eastAsiaTheme="minorEastAsia"/>
          <w:bCs/>
          <w:color w:val="auto"/>
          <w:sz w:val="24"/>
        </w:rPr>
        <w:t>）</w:t>
      </w:r>
    </w:p>
    <w:p>
      <w:pPr>
        <w:spacing w:line="360" w:lineRule="exact"/>
        <w:ind w:firstLine="480" w:firstLineChars="200"/>
        <w:outlineLvl w:val="1"/>
        <w:rPr>
          <w:rFonts w:ascii="宋体" w:hAnsi="宋体"/>
          <w:bCs/>
          <w:color w:val="auto"/>
          <w:sz w:val="24"/>
        </w:rPr>
      </w:pPr>
      <w:r>
        <w:rPr>
          <w:rFonts w:hint="eastAsia" w:ascii="宋体" w:hAnsi="宋体"/>
          <w:color w:val="auto"/>
          <w:sz w:val="24"/>
        </w:rPr>
        <w:t>11）</w:t>
      </w:r>
      <w:r>
        <w:rPr>
          <w:rFonts w:hint="eastAsia" w:ascii="宋体" w:hAnsi="宋体"/>
          <w:bCs/>
          <w:color w:val="auto"/>
          <w:sz w:val="24"/>
        </w:rPr>
        <w:t>商务条款偏离表</w:t>
      </w:r>
      <w:r>
        <w:rPr>
          <w:rFonts w:hint="eastAsia" w:ascii="宋体" w:hAnsi="宋体"/>
          <w:color w:val="auto"/>
          <w:sz w:val="24"/>
        </w:rPr>
        <w:t>（必须提供）</w:t>
      </w:r>
      <w:r>
        <w:rPr>
          <w:rFonts w:hint="eastAsia" w:ascii="宋体" w:hAnsi="宋体"/>
          <w:bCs/>
          <w:color w:val="auto"/>
          <w:sz w:val="24"/>
        </w:rPr>
        <w:t>；</w:t>
      </w:r>
      <w:r>
        <w:rPr>
          <w:rFonts w:hint="eastAsia" w:ascii="宋体" w:hAnsi="宋体"/>
          <w:color w:val="auto"/>
          <w:sz w:val="24"/>
        </w:rPr>
        <w:t>（附件六）</w:t>
      </w:r>
    </w:p>
    <w:p>
      <w:pPr>
        <w:spacing w:line="360" w:lineRule="exact"/>
        <w:ind w:firstLine="480" w:firstLineChars="200"/>
        <w:outlineLvl w:val="1"/>
        <w:rPr>
          <w:rFonts w:ascii="宋体" w:hAnsi="宋体"/>
          <w:color w:val="auto"/>
          <w:sz w:val="24"/>
        </w:rPr>
      </w:pPr>
      <w:r>
        <w:rPr>
          <w:rFonts w:hint="eastAsia" w:ascii="宋体" w:hAnsi="宋体"/>
          <w:bCs/>
          <w:color w:val="auto"/>
          <w:sz w:val="24"/>
        </w:rPr>
        <w:t>12）</w:t>
      </w:r>
      <w:r>
        <w:rPr>
          <w:rFonts w:hint="eastAsia" w:ascii="宋体" w:hAnsi="宋体"/>
          <w:color w:val="auto"/>
          <w:sz w:val="24"/>
        </w:rPr>
        <w:t>售后服务承诺（必须提供，格式自拟）；</w:t>
      </w:r>
    </w:p>
    <w:p>
      <w:pPr>
        <w:snapToGrid w:val="0"/>
        <w:spacing w:line="400" w:lineRule="exact"/>
        <w:ind w:firstLine="480" w:firstLineChars="200"/>
        <w:outlineLvl w:val="1"/>
        <w:rPr>
          <w:rFonts w:ascii="宋体" w:hAnsi="宋体"/>
          <w:color w:val="auto"/>
          <w:sz w:val="24"/>
        </w:rPr>
      </w:pPr>
      <w:r>
        <w:rPr>
          <w:rFonts w:hint="eastAsia" w:ascii="宋体" w:hAnsi="宋体"/>
          <w:color w:val="auto"/>
          <w:sz w:val="24"/>
        </w:rPr>
        <w:t>13）节能产品认证证书复印件（如有，请提供）；</w:t>
      </w:r>
    </w:p>
    <w:p>
      <w:pPr>
        <w:snapToGrid w:val="0"/>
        <w:spacing w:line="400" w:lineRule="exact"/>
        <w:ind w:firstLine="480" w:firstLineChars="200"/>
        <w:outlineLvl w:val="1"/>
        <w:rPr>
          <w:rFonts w:ascii="宋体" w:hAnsi="宋体"/>
          <w:color w:val="auto"/>
          <w:sz w:val="24"/>
        </w:rPr>
      </w:pPr>
      <w:r>
        <w:rPr>
          <w:rFonts w:hint="eastAsia" w:ascii="宋体" w:hAnsi="宋体"/>
          <w:color w:val="auto"/>
          <w:sz w:val="24"/>
        </w:rPr>
        <w:t>14）环境标志产品认证证书复印件（如有，请提供）；</w:t>
      </w:r>
    </w:p>
    <w:p>
      <w:pPr>
        <w:snapToGrid w:val="0"/>
        <w:spacing w:line="400" w:lineRule="exact"/>
        <w:ind w:firstLine="480" w:firstLineChars="200"/>
        <w:outlineLvl w:val="1"/>
        <w:rPr>
          <w:rFonts w:ascii="宋体" w:hAnsi="宋体"/>
          <w:color w:val="auto"/>
          <w:sz w:val="24"/>
        </w:rPr>
      </w:pPr>
      <w:r>
        <w:rPr>
          <w:rFonts w:hint="eastAsia" w:ascii="宋体" w:hAnsi="宋体"/>
          <w:color w:val="auto"/>
          <w:sz w:val="24"/>
        </w:rPr>
        <w:t>15）其他有效证明文件的复印件（如产品属于小型、微型企业、监狱企业的，以提供工商注册地的工业和信息化部门等其他行政部门出具的相关证明材料为准）（如有，请提供）。</w:t>
      </w:r>
    </w:p>
    <w:p>
      <w:pPr>
        <w:spacing w:line="360" w:lineRule="exact"/>
        <w:ind w:firstLine="480" w:firstLineChars="200"/>
        <w:outlineLvl w:val="1"/>
        <w:rPr>
          <w:rFonts w:ascii="宋体" w:hAnsi="宋体"/>
          <w:color w:val="auto"/>
          <w:sz w:val="24"/>
        </w:rPr>
      </w:pPr>
      <w:r>
        <w:rPr>
          <w:rFonts w:hint="eastAsia" w:ascii="宋体" w:hAnsi="宋体"/>
          <w:color w:val="auto"/>
          <w:sz w:val="24"/>
        </w:rPr>
        <w:t>16）谈判文件要求（具体按第三章要求,如有要求必须提供的则必须提供，否则响应文件无效）或供应商认为有必要提交的其他文件资料；</w:t>
      </w:r>
    </w:p>
    <w:p>
      <w:pPr>
        <w:spacing w:line="360" w:lineRule="exact"/>
        <w:ind w:firstLine="480" w:firstLineChars="200"/>
        <w:outlineLvl w:val="1"/>
        <w:rPr>
          <w:rFonts w:ascii="宋体" w:hAnsi="宋体"/>
          <w:color w:val="auto"/>
          <w:sz w:val="24"/>
        </w:rPr>
      </w:pPr>
      <w:r>
        <w:rPr>
          <w:rFonts w:hint="eastAsia" w:ascii="宋体" w:hAnsi="宋体"/>
          <w:color w:val="auto"/>
          <w:sz w:val="24"/>
        </w:rPr>
        <w:t>注：要求必须提供的如不按要求提供，则响应文件无效。</w:t>
      </w:r>
    </w:p>
    <w:p>
      <w:pPr>
        <w:spacing w:line="360" w:lineRule="auto"/>
        <w:ind w:left="-2" w:leftChars="-1"/>
        <w:outlineLvl w:val="1"/>
        <w:rPr>
          <w:rFonts w:ascii="宋体" w:hAnsi="宋体"/>
          <w:b/>
          <w:color w:val="auto"/>
          <w:sz w:val="24"/>
        </w:rPr>
      </w:pPr>
      <w:r>
        <w:rPr>
          <w:rFonts w:hint="eastAsia" w:ascii="宋体" w:hAnsi="宋体"/>
          <w:b/>
          <w:color w:val="auto"/>
          <w:sz w:val="24"/>
        </w:rPr>
        <w:t>12.6.3技术部分</w:t>
      </w:r>
    </w:p>
    <w:p>
      <w:pPr>
        <w:snapToGrid w:val="0"/>
        <w:spacing w:line="400" w:lineRule="exact"/>
        <w:ind w:firstLine="480" w:firstLineChars="200"/>
        <w:outlineLvl w:val="1"/>
        <w:rPr>
          <w:rFonts w:ascii="宋体" w:hAnsi="宋体"/>
          <w:color w:val="auto"/>
          <w:sz w:val="24"/>
        </w:rPr>
      </w:pPr>
      <w:r>
        <w:rPr>
          <w:rFonts w:hint="eastAsia" w:ascii="宋体" w:hAnsi="宋体"/>
          <w:color w:val="auto"/>
          <w:sz w:val="24"/>
        </w:rPr>
        <w:t>1）竞标产品技术资料表；（附件七）（必须提供，否则响应文件无效）；</w:t>
      </w:r>
    </w:p>
    <w:p>
      <w:pPr>
        <w:snapToGrid w:val="0"/>
        <w:spacing w:line="400" w:lineRule="exact"/>
        <w:ind w:firstLine="480" w:firstLineChars="200"/>
        <w:outlineLvl w:val="1"/>
        <w:rPr>
          <w:rFonts w:ascii="宋体" w:hAnsi="宋体"/>
          <w:color w:val="auto"/>
          <w:sz w:val="24"/>
        </w:rPr>
      </w:pPr>
      <w:r>
        <w:rPr>
          <w:rFonts w:hint="eastAsia" w:ascii="宋体" w:hAnsi="宋体"/>
          <w:color w:val="auto"/>
          <w:sz w:val="24"/>
        </w:rPr>
        <w:t>2）能够真实反映其它产品技术参数、性能指标的相关资料；</w:t>
      </w:r>
    </w:p>
    <w:p>
      <w:pPr>
        <w:snapToGrid w:val="0"/>
        <w:spacing w:line="400" w:lineRule="exact"/>
        <w:ind w:firstLine="480" w:firstLineChars="200"/>
        <w:outlineLvl w:val="1"/>
        <w:rPr>
          <w:rFonts w:ascii="宋体" w:hAnsi="宋体"/>
          <w:color w:val="auto"/>
          <w:sz w:val="24"/>
        </w:rPr>
      </w:pPr>
      <w:r>
        <w:rPr>
          <w:rFonts w:hint="eastAsia" w:ascii="宋体" w:hAnsi="宋体"/>
          <w:color w:val="auto"/>
          <w:sz w:val="24"/>
        </w:rPr>
        <w:t>3）项目实施人员一览表(如有，请提供)</w:t>
      </w:r>
    </w:p>
    <w:p>
      <w:pPr>
        <w:snapToGrid w:val="0"/>
        <w:spacing w:line="400" w:lineRule="exact"/>
        <w:ind w:firstLine="480" w:firstLineChars="200"/>
        <w:outlineLvl w:val="1"/>
        <w:rPr>
          <w:rFonts w:ascii="宋体" w:hAnsi="宋体"/>
          <w:color w:val="auto"/>
          <w:sz w:val="24"/>
        </w:rPr>
      </w:pPr>
      <w:r>
        <w:rPr>
          <w:rFonts w:hint="eastAsia" w:ascii="宋体" w:hAnsi="宋体"/>
          <w:color w:val="auto"/>
          <w:sz w:val="24"/>
        </w:rPr>
        <w:t>4）供应商</w:t>
      </w:r>
      <w:r>
        <w:rPr>
          <w:rFonts w:hint="eastAsia" w:ascii="宋体" w:hAnsi="宋体"/>
          <w:color w:val="auto"/>
          <w:sz w:val="24"/>
          <w:u w:val="single"/>
        </w:rPr>
        <w:t xml:space="preserve"> 2016 </w:t>
      </w:r>
      <w:r>
        <w:rPr>
          <w:rFonts w:hint="eastAsia" w:ascii="宋体" w:hAnsi="宋体"/>
          <w:color w:val="auto"/>
          <w:sz w:val="24"/>
        </w:rPr>
        <w:t>年以来具有同类产品的销售业绩的相关证明材料（以中标、成交通知书或签订的销售合同为准，并能清晰反映所销售的货物名称、种类、金额）（如有，请提供）；</w:t>
      </w:r>
    </w:p>
    <w:p>
      <w:pPr>
        <w:snapToGrid w:val="0"/>
        <w:spacing w:line="400" w:lineRule="exact"/>
        <w:ind w:firstLine="480" w:firstLineChars="200"/>
        <w:outlineLvl w:val="1"/>
        <w:rPr>
          <w:rFonts w:ascii="宋体" w:hAnsi="宋体"/>
          <w:color w:val="auto"/>
          <w:sz w:val="24"/>
        </w:rPr>
      </w:pPr>
      <w:r>
        <w:rPr>
          <w:rFonts w:hint="eastAsia" w:ascii="宋体" w:hAnsi="宋体"/>
          <w:color w:val="auto"/>
          <w:sz w:val="24"/>
        </w:rPr>
        <w:t>5）谈判文件要求（具体按第三章要求,如有要求必须提供的则必须提供，否则响应文件无效）或谈判供应商认为需要提供的有关技术资料；</w:t>
      </w:r>
    </w:p>
    <w:p>
      <w:pPr>
        <w:spacing w:line="360" w:lineRule="auto"/>
        <w:outlineLvl w:val="1"/>
        <w:rPr>
          <w:rFonts w:ascii="宋体" w:hAnsi="宋体"/>
          <w:b/>
          <w:color w:val="auto"/>
          <w:sz w:val="24"/>
        </w:rPr>
      </w:pPr>
      <w:r>
        <w:rPr>
          <w:rFonts w:hint="eastAsia" w:ascii="宋体" w:hAnsi="宋体"/>
          <w:b/>
          <w:color w:val="auto"/>
          <w:sz w:val="24"/>
        </w:rPr>
        <w:t>13.计量单位</w:t>
      </w:r>
    </w:p>
    <w:p>
      <w:pPr>
        <w:spacing w:line="360" w:lineRule="auto"/>
        <w:ind w:left="-61" w:leftChars="-29" w:firstLine="480" w:firstLineChars="200"/>
        <w:outlineLvl w:val="1"/>
        <w:rPr>
          <w:rFonts w:ascii="宋体" w:hAnsi="宋体"/>
          <w:color w:val="auto"/>
          <w:sz w:val="24"/>
        </w:rPr>
      </w:pPr>
      <w:r>
        <w:rPr>
          <w:rFonts w:hint="eastAsia" w:ascii="宋体" w:hAnsi="宋体"/>
          <w:color w:val="auto"/>
          <w:sz w:val="24"/>
        </w:rPr>
        <w:t>13.1除技术要求中另有规定外，本文件所要求使用的计量单位均应采用国家法定计量单位。</w:t>
      </w:r>
    </w:p>
    <w:p>
      <w:pPr>
        <w:spacing w:line="360" w:lineRule="auto"/>
        <w:jc w:val="center"/>
        <w:outlineLvl w:val="1"/>
        <w:rPr>
          <w:rFonts w:ascii="宋体" w:hAnsi="宋体"/>
          <w:b/>
          <w:color w:val="auto"/>
          <w:sz w:val="28"/>
          <w:szCs w:val="28"/>
        </w:rPr>
      </w:pPr>
      <w:r>
        <w:rPr>
          <w:rFonts w:hint="eastAsia" w:ascii="宋体" w:hAnsi="宋体"/>
          <w:b/>
          <w:color w:val="auto"/>
          <w:sz w:val="28"/>
          <w:szCs w:val="28"/>
        </w:rPr>
        <w:t>三、谈判报价要求</w:t>
      </w:r>
    </w:p>
    <w:p>
      <w:pPr>
        <w:spacing w:line="360" w:lineRule="auto"/>
        <w:ind w:left="-61"/>
        <w:outlineLvl w:val="1"/>
        <w:rPr>
          <w:rFonts w:hAnsi="宋体"/>
          <w:b/>
          <w:color w:val="auto"/>
          <w:sz w:val="24"/>
        </w:rPr>
      </w:pPr>
      <w:r>
        <w:rPr>
          <w:rFonts w:hint="eastAsia" w:hAnsi="宋体"/>
          <w:b/>
          <w:color w:val="auto"/>
          <w:sz w:val="24"/>
        </w:rPr>
        <w:t>14</w:t>
      </w:r>
      <w:r>
        <w:rPr>
          <w:rFonts w:hint="eastAsia" w:ascii="宋体" w:hAnsi="宋体"/>
          <w:b/>
          <w:color w:val="auto"/>
          <w:sz w:val="24"/>
        </w:rPr>
        <w:t>.</w:t>
      </w:r>
      <w:r>
        <w:rPr>
          <w:rFonts w:hint="eastAsia" w:hAnsi="宋体"/>
          <w:b/>
          <w:color w:val="auto"/>
          <w:sz w:val="24"/>
        </w:rPr>
        <w:t>谈判报价</w:t>
      </w:r>
    </w:p>
    <w:p>
      <w:pPr>
        <w:spacing w:line="360" w:lineRule="auto"/>
        <w:ind w:left="-61" w:leftChars="-29" w:firstLine="480" w:firstLineChars="200"/>
        <w:outlineLvl w:val="1"/>
        <w:rPr>
          <w:rFonts w:ascii="宋体" w:hAnsi="宋体"/>
          <w:color w:val="auto"/>
          <w:sz w:val="24"/>
        </w:rPr>
      </w:pPr>
      <w:r>
        <w:rPr>
          <w:rFonts w:hint="eastAsia" w:ascii="宋体" w:hAnsi="宋体"/>
          <w:color w:val="auto"/>
          <w:sz w:val="24"/>
        </w:rPr>
        <w:t>14.1 谈判报价应按谈判文件中相关附表格式填写，报价超过所竞分标总采购预算金额或分项采购预算（根据项目增减）的，响应文件按分标作相应无效处理。总采购预算按供应商须知前附表。</w:t>
      </w:r>
    </w:p>
    <w:p>
      <w:pPr>
        <w:spacing w:line="360" w:lineRule="auto"/>
        <w:ind w:left="-61" w:leftChars="-29" w:firstLine="480" w:firstLineChars="200"/>
        <w:outlineLvl w:val="1"/>
        <w:rPr>
          <w:bCs/>
          <w:color w:val="auto"/>
          <w:sz w:val="24"/>
        </w:rPr>
      </w:pPr>
      <w:r>
        <w:rPr>
          <w:rFonts w:hint="eastAsia" w:ascii="宋体" w:hAnsi="宋体"/>
          <w:color w:val="auto"/>
          <w:sz w:val="24"/>
        </w:rPr>
        <w:t>14.2</w:t>
      </w:r>
      <w:r>
        <w:rPr>
          <w:rFonts w:hint="eastAsia"/>
          <w:bCs/>
          <w:color w:val="auto"/>
          <w:sz w:val="24"/>
        </w:rPr>
        <w:t>供应商须就项目物需求和说明中的所有货物和服务内容作完整唯一报价。（多个标段时：供应商可以就项目需求和说明中全部分标或某几个分标分别报价，但就某一分标的所有货物和服务内容须作完整唯一报价。</w:t>
      </w:r>
    </w:p>
    <w:p>
      <w:pPr>
        <w:spacing w:line="360" w:lineRule="auto"/>
        <w:ind w:left="-61" w:leftChars="-29" w:firstLine="480" w:firstLineChars="200"/>
        <w:outlineLvl w:val="1"/>
        <w:rPr>
          <w:bCs/>
          <w:color w:val="auto"/>
          <w:sz w:val="24"/>
        </w:rPr>
      </w:pPr>
      <w:r>
        <w:rPr>
          <w:rFonts w:hint="eastAsia"/>
          <w:bCs/>
          <w:color w:val="auto"/>
          <w:sz w:val="24"/>
        </w:rPr>
        <w:t>14.3谈判报价应包括本次采购范围内货物价款、货物随配标准附件、包装、运输、装卸、保险、税金、货到位以及安装、调试、检验、售后服务、培训、保修及其他所有成本费用的总和；供应商综合考虑在报价中。</w:t>
      </w:r>
    </w:p>
    <w:p>
      <w:pPr>
        <w:tabs>
          <w:tab w:val="left" w:pos="1305"/>
        </w:tabs>
        <w:spacing w:line="380" w:lineRule="exact"/>
        <w:ind w:firstLine="480" w:firstLineChars="200"/>
        <w:outlineLvl w:val="1"/>
        <w:rPr>
          <w:rFonts w:ascii="宋体" w:hAnsi="宋体"/>
          <w:color w:val="auto"/>
          <w:sz w:val="24"/>
        </w:rPr>
      </w:pPr>
      <w:r>
        <w:rPr>
          <w:rFonts w:hint="eastAsia" w:ascii="宋体" w:hAnsi="宋体"/>
          <w:color w:val="auto"/>
          <w:sz w:val="24"/>
        </w:rPr>
        <w:t>14.4对于本文件中未列明，而谈判供应商认为必需的费用也需列入总报价。在合同实施时，采购人将不予支付成交供应商没有列入的项目费用，并认为此项目的费用已包括在总报价中。</w:t>
      </w:r>
    </w:p>
    <w:p>
      <w:pPr>
        <w:spacing w:line="360" w:lineRule="auto"/>
        <w:ind w:left="-61"/>
        <w:outlineLvl w:val="1"/>
        <w:rPr>
          <w:rFonts w:hAnsi="宋体"/>
          <w:b/>
          <w:color w:val="auto"/>
          <w:sz w:val="24"/>
        </w:rPr>
      </w:pPr>
      <w:r>
        <w:rPr>
          <w:rFonts w:hint="eastAsia" w:hAnsi="宋体"/>
          <w:b/>
          <w:color w:val="auto"/>
          <w:sz w:val="24"/>
        </w:rPr>
        <w:t>15. 响应文件有效期</w:t>
      </w:r>
    </w:p>
    <w:p>
      <w:pPr>
        <w:spacing w:line="360" w:lineRule="auto"/>
        <w:ind w:left="-61" w:leftChars="-29" w:firstLine="480" w:firstLineChars="200"/>
        <w:outlineLvl w:val="1"/>
        <w:rPr>
          <w:rFonts w:ascii="宋体" w:hAnsi="宋体"/>
          <w:color w:val="auto"/>
          <w:sz w:val="24"/>
        </w:rPr>
      </w:pPr>
      <w:r>
        <w:rPr>
          <w:rFonts w:hint="eastAsia" w:ascii="宋体" w:hAnsi="宋体"/>
          <w:color w:val="auto"/>
          <w:sz w:val="24"/>
        </w:rPr>
        <w:t>15.1 响应文件有效期：响应文件递交截止时间之日起60天，有效期不足的响应文件将被拒绝。</w:t>
      </w:r>
    </w:p>
    <w:p>
      <w:pPr>
        <w:spacing w:line="360" w:lineRule="auto"/>
        <w:ind w:left="-61" w:leftChars="-29" w:firstLine="480" w:firstLineChars="200"/>
        <w:outlineLvl w:val="1"/>
        <w:rPr>
          <w:rFonts w:ascii="宋体" w:hAnsi="宋体"/>
          <w:color w:val="auto"/>
          <w:szCs w:val="21"/>
        </w:rPr>
      </w:pPr>
      <w:r>
        <w:rPr>
          <w:rFonts w:hint="eastAsia" w:ascii="宋体" w:hAnsi="宋体"/>
          <w:color w:val="auto"/>
          <w:sz w:val="24"/>
        </w:rPr>
        <w:t>15.2 出现特殊情况下，需要延长响应文件有效期的，采购代理机构通知供应商延长响应文件有效期。供应商同意延长的，但不能修改响应文件。供应商拒绝延长的，其响应文件无效。</w:t>
      </w:r>
    </w:p>
    <w:p>
      <w:pPr>
        <w:snapToGrid w:val="0"/>
        <w:spacing w:line="360" w:lineRule="auto"/>
        <w:jc w:val="center"/>
        <w:outlineLvl w:val="1"/>
        <w:rPr>
          <w:rFonts w:ascii="宋体" w:hAnsi="宋体"/>
          <w:b/>
          <w:color w:val="auto"/>
          <w:sz w:val="24"/>
        </w:rPr>
      </w:pPr>
      <w:r>
        <w:rPr>
          <w:rFonts w:hint="eastAsia" w:ascii="宋体" w:hAnsi="宋体"/>
          <w:b/>
          <w:color w:val="auto"/>
          <w:sz w:val="24"/>
        </w:rPr>
        <w:t>四、竞争性谈判响应文件的份数、封装和递交</w:t>
      </w:r>
    </w:p>
    <w:p>
      <w:pPr>
        <w:spacing w:line="360" w:lineRule="auto"/>
        <w:ind w:left="-1" w:leftChars="-29" w:hanging="60" w:hangingChars="25"/>
        <w:outlineLvl w:val="1"/>
        <w:rPr>
          <w:rFonts w:ascii="宋体" w:hAnsi="宋体"/>
          <w:b/>
          <w:color w:val="auto"/>
          <w:sz w:val="24"/>
        </w:rPr>
      </w:pPr>
      <w:r>
        <w:rPr>
          <w:rFonts w:hint="eastAsia" w:ascii="宋体" w:hAnsi="宋体"/>
          <w:b/>
          <w:color w:val="auto"/>
          <w:sz w:val="24"/>
        </w:rPr>
        <w:t>16. 谈判响应文件的份数和封装</w:t>
      </w:r>
    </w:p>
    <w:p>
      <w:pPr>
        <w:spacing w:line="360" w:lineRule="auto"/>
        <w:ind w:left="-61"/>
        <w:outlineLvl w:val="1"/>
        <w:rPr>
          <w:rFonts w:ascii="宋体" w:hAnsi="宋体"/>
          <w:color w:val="auto"/>
          <w:sz w:val="24"/>
        </w:rPr>
      </w:pPr>
      <w:r>
        <w:rPr>
          <w:rFonts w:hint="eastAsia" w:ascii="宋体" w:hAnsi="宋体"/>
          <w:color w:val="auto"/>
          <w:sz w:val="24"/>
        </w:rPr>
        <w:t>16</w:t>
      </w:r>
      <w:r>
        <w:rPr>
          <w:rFonts w:ascii="宋体" w:hAnsi="宋体"/>
          <w:color w:val="auto"/>
          <w:sz w:val="24"/>
        </w:rPr>
        <w:t>.1</w:t>
      </w:r>
      <w:r>
        <w:rPr>
          <w:rFonts w:hint="eastAsia" w:ascii="宋体" w:hAnsi="宋体"/>
          <w:color w:val="auto"/>
          <w:sz w:val="24"/>
        </w:rPr>
        <w:t xml:space="preserve"> 响应文件份数：正本</w:t>
      </w:r>
      <w:r>
        <w:rPr>
          <w:rFonts w:hint="eastAsia" w:ascii="宋体" w:hAnsi="宋体"/>
          <w:color w:val="auto"/>
          <w:sz w:val="24"/>
          <w:u w:val="single"/>
        </w:rPr>
        <w:t>壹</w:t>
      </w:r>
      <w:r>
        <w:rPr>
          <w:rFonts w:hint="eastAsia" w:ascii="宋体" w:hAnsi="宋体"/>
          <w:color w:val="auto"/>
          <w:sz w:val="24"/>
        </w:rPr>
        <w:t>册，副本</w:t>
      </w:r>
      <w:r>
        <w:rPr>
          <w:rFonts w:hint="eastAsia" w:ascii="宋体" w:hAnsi="宋体"/>
          <w:color w:val="auto"/>
          <w:sz w:val="24"/>
          <w:u w:val="single"/>
        </w:rPr>
        <w:t xml:space="preserve"> 叁</w:t>
      </w:r>
      <w:r>
        <w:rPr>
          <w:rFonts w:hint="eastAsia" w:ascii="宋体" w:hAnsi="宋体"/>
          <w:color w:val="auto"/>
          <w:sz w:val="24"/>
        </w:rPr>
        <w:t xml:space="preserve"> 册，须完整提交（</w:t>
      </w:r>
      <w:r>
        <w:rPr>
          <w:rFonts w:ascii="宋体" w:hAnsi="宋体"/>
          <w:color w:val="auto"/>
          <w:sz w:val="24"/>
        </w:rPr>
        <w:t>A4</w:t>
      </w:r>
      <w:r>
        <w:rPr>
          <w:rFonts w:hint="eastAsia" w:ascii="宋体" w:hAnsi="宋体"/>
          <w:color w:val="auto"/>
          <w:sz w:val="24"/>
        </w:rPr>
        <w:t>纸装订）。</w:t>
      </w:r>
    </w:p>
    <w:p>
      <w:pPr>
        <w:spacing w:line="360" w:lineRule="auto"/>
        <w:ind w:left="-61"/>
        <w:outlineLvl w:val="1"/>
        <w:rPr>
          <w:rFonts w:ascii="宋体" w:hAnsi="宋体"/>
          <w:color w:val="auto"/>
          <w:sz w:val="24"/>
        </w:rPr>
      </w:pPr>
      <w:r>
        <w:rPr>
          <w:rFonts w:ascii="宋体" w:hAnsi="宋体"/>
          <w:color w:val="auto"/>
          <w:sz w:val="24"/>
        </w:rPr>
        <w:t>1</w:t>
      </w:r>
      <w:r>
        <w:rPr>
          <w:rFonts w:hint="eastAsia" w:ascii="宋体" w:hAnsi="宋体"/>
          <w:color w:val="auto"/>
          <w:sz w:val="24"/>
        </w:rPr>
        <w:t>6</w:t>
      </w:r>
      <w:r>
        <w:rPr>
          <w:rFonts w:ascii="宋体" w:hAnsi="宋体"/>
          <w:color w:val="auto"/>
          <w:sz w:val="24"/>
        </w:rPr>
        <w:t>.2</w:t>
      </w:r>
      <w:r>
        <w:rPr>
          <w:rFonts w:hint="eastAsia" w:ascii="宋体" w:hAnsi="宋体"/>
          <w:color w:val="auto"/>
          <w:sz w:val="24"/>
        </w:rPr>
        <w:t xml:space="preserve"> 响应文件装订要求：供应商应按供应商须知第12.6条“响应文件组成”规定的顺序自编目录及页码。响应文件的“正本”、“副本”应当单独装订成册并标注页码，装订应牢固，不易拆散和换页。封面应注明“正本”、“副本”字样，封面上写明项目名称、项目编号、标项（如有）、供应商单位名称。</w:t>
      </w:r>
    </w:p>
    <w:p>
      <w:pPr>
        <w:spacing w:line="360" w:lineRule="auto"/>
        <w:ind w:left="-61"/>
        <w:outlineLvl w:val="1"/>
        <w:rPr>
          <w:rFonts w:ascii="宋体" w:hAnsi="宋体"/>
          <w:color w:val="auto"/>
          <w:sz w:val="24"/>
        </w:rPr>
      </w:pPr>
      <w:r>
        <w:rPr>
          <w:rFonts w:ascii="宋体" w:hAnsi="宋体"/>
          <w:color w:val="auto"/>
          <w:sz w:val="24"/>
        </w:rPr>
        <w:t>1</w:t>
      </w:r>
      <w:r>
        <w:rPr>
          <w:rFonts w:hint="eastAsia" w:ascii="宋体" w:hAnsi="宋体"/>
          <w:color w:val="auto"/>
          <w:sz w:val="24"/>
        </w:rPr>
        <w:t>6</w:t>
      </w:r>
      <w:r>
        <w:rPr>
          <w:rFonts w:ascii="宋体" w:hAnsi="宋体"/>
          <w:color w:val="auto"/>
          <w:sz w:val="24"/>
        </w:rPr>
        <w:t>.3</w:t>
      </w:r>
      <w:r>
        <w:rPr>
          <w:rFonts w:hint="eastAsia" w:ascii="宋体" w:hAnsi="宋体"/>
          <w:color w:val="auto"/>
          <w:sz w:val="24"/>
        </w:rPr>
        <w:t xml:space="preserve"> 响应文件的正本需打印或用不褪色的墨水填写，响应文件正本除本谈判文件中规定的可提供复印件外均须提供原件。</w:t>
      </w:r>
    </w:p>
    <w:p>
      <w:pPr>
        <w:spacing w:line="360" w:lineRule="auto"/>
        <w:ind w:left="-61"/>
        <w:outlineLvl w:val="1"/>
        <w:rPr>
          <w:rFonts w:ascii="宋体" w:hAnsi="宋体"/>
          <w:color w:val="auto"/>
          <w:sz w:val="24"/>
        </w:rPr>
      </w:pPr>
      <w:r>
        <w:rPr>
          <w:rFonts w:ascii="宋体" w:hAnsi="宋体"/>
          <w:color w:val="auto"/>
          <w:sz w:val="24"/>
        </w:rPr>
        <w:t>1</w:t>
      </w:r>
      <w:r>
        <w:rPr>
          <w:rFonts w:hint="eastAsia" w:ascii="宋体" w:hAnsi="宋体"/>
          <w:color w:val="auto"/>
          <w:sz w:val="24"/>
        </w:rPr>
        <w:t>6</w:t>
      </w:r>
      <w:r>
        <w:rPr>
          <w:rFonts w:ascii="宋体" w:hAnsi="宋体"/>
          <w:color w:val="auto"/>
          <w:sz w:val="24"/>
        </w:rPr>
        <w:t>.4</w:t>
      </w:r>
      <w:r>
        <w:rPr>
          <w:rFonts w:hint="eastAsia" w:ascii="宋体" w:hAnsi="宋体"/>
          <w:color w:val="auto"/>
          <w:sz w:val="24"/>
        </w:rPr>
        <w:t xml:space="preserve"> 响应文件须由供应商在规定位置加盖供应商公章（扫描公章无效，自然人除外）并由法定代表人（供应商若为其他组织形式无法定代表人的为机构负责人，供应商若为自然人的为自然人）或相应的授权委托代理人签字，供应商应写全称，响应文件副本可以是加盖公章（供应商若为自然人的在签字处按指印）的正本的复印件，当正本与副本不一致时，以正本为准。</w:t>
      </w:r>
    </w:p>
    <w:p>
      <w:pPr>
        <w:spacing w:line="360" w:lineRule="auto"/>
        <w:ind w:left="-61"/>
        <w:outlineLvl w:val="1"/>
        <w:rPr>
          <w:rFonts w:ascii="宋体" w:hAnsi="宋体"/>
          <w:color w:val="auto"/>
          <w:sz w:val="24"/>
        </w:rPr>
      </w:pPr>
      <w:r>
        <w:rPr>
          <w:rFonts w:ascii="宋体" w:hAnsi="宋体"/>
          <w:color w:val="auto"/>
          <w:sz w:val="24"/>
        </w:rPr>
        <w:t>1</w:t>
      </w:r>
      <w:r>
        <w:rPr>
          <w:rFonts w:hint="eastAsia" w:ascii="宋体" w:hAnsi="宋体"/>
          <w:color w:val="auto"/>
          <w:sz w:val="24"/>
        </w:rPr>
        <w:t>6</w:t>
      </w:r>
      <w:r>
        <w:rPr>
          <w:rFonts w:ascii="宋体" w:hAnsi="宋体"/>
          <w:color w:val="auto"/>
          <w:sz w:val="24"/>
        </w:rPr>
        <w:t>.5</w:t>
      </w:r>
      <w:r>
        <w:rPr>
          <w:rFonts w:hint="eastAsia" w:ascii="宋体" w:hAnsi="宋体"/>
          <w:color w:val="auto"/>
          <w:sz w:val="24"/>
        </w:rPr>
        <w:t xml:space="preserve"> 响应文件不得涂改，若有修改错漏处，须加盖供应商公章（供应商若为自然人的在签字处按指印）及法定代表人（供应商若为其他组织形式无法定代表人的为机构负责人，供应商若为自然人的为自然人）或相应的授权委托代理人签字。响应文件因字迹潦草或表达不清所引起的后果由供应商负责。</w:t>
      </w:r>
    </w:p>
    <w:p>
      <w:pPr>
        <w:spacing w:line="360" w:lineRule="auto"/>
        <w:ind w:left="-61"/>
        <w:outlineLvl w:val="1"/>
        <w:rPr>
          <w:rFonts w:ascii="宋体" w:hAnsi="宋体"/>
          <w:color w:val="auto"/>
          <w:sz w:val="24"/>
        </w:rPr>
      </w:pPr>
      <w:r>
        <w:rPr>
          <w:rFonts w:ascii="宋体" w:hAnsi="宋体"/>
          <w:color w:val="auto"/>
          <w:sz w:val="24"/>
        </w:rPr>
        <w:t>1</w:t>
      </w:r>
      <w:r>
        <w:rPr>
          <w:rFonts w:hint="eastAsia" w:ascii="宋体" w:hAnsi="宋体"/>
          <w:color w:val="auto"/>
          <w:sz w:val="24"/>
        </w:rPr>
        <w:t>6</w:t>
      </w:r>
      <w:r>
        <w:rPr>
          <w:rFonts w:ascii="宋体" w:hAnsi="宋体"/>
          <w:color w:val="auto"/>
          <w:sz w:val="24"/>
        </w:rPr>
        <w:t>.</w:t>
      </w:r>
      <w:r>
        <w:rPr>
          <w:rFonts w:hint="eastAsia" w:ascii="宋体" w:hAnsi="宋体"/>
          <w:color w:val="auto"/>
          <w:sz w:val="24"/>
        </w:rPr>
        <w:t>6 响应文件包装、密封、标记：</w:t>
      </w:r>
    </w:p>
    <w:p>
      <w:pPr>
        <w:spacing w:line="360" w:lineRule="auto"/>
        <w:ind w:left="-61"/>
        <w:outlineLvl w:val="1"/>
        <w:rPr>
          <w:rFonts w:ascii="宋体" w:hAnsi="宋体"/>
          <w:color w:val="auto"/>
          <w:sz w:val="24"/>
        </w:rPr>
      </w:pPr>
      <w:r>
        <w:rPr>
          <w:rFonts w:hint="eastAsia" w:ascii="宋体" w:hAnsi="宋体"/>
          <w:color w:val="auto"/>
          <w:sz w:val="24"/>
        </w:rPr>
        <w:t>16.6.1 响应文件包装、密封：供应商须将响应文件“正本”、“副本”一并装入一个响应文件袋（盒、箱）中密封，并在密封处密封签章【公章、密封章、法定代表人（供应商若为其他组织形式无法定代表人的为机构负责人，供应商若为自然人的为自然人）或相应的授权委托代理人签字均可</w:t>
      </w:r>
      <w:r>
        <w:rPr>
          <w:rFonts w:ascii="宋体" w:hAnsi="宋体"/>
          <w:color w:val="auto"/>
          <w:sz w:val="24"/>
        </w:rPr>
        <w:t>】</w:t>
      </w:r>
      <w:r>
        <w:rPr>
          <w:rFonts w:hint="eastAsia" w:ascii="宋体" w:hAnsi="宋体"/>
          <w:color w:val="auto"/>
          <w:sz w:val="24"/>
        </w:rPr>
        <w:t>。</w:t>
      </w:r>
    </w:p>
    <w:p>
      <w:pPr>
        <w:spacing w:line="360" w:lineRule="auto"/>
        <w:ind w:left="-61"/>
        <w:outlineLvl w:val="1"/>
        <w:rPr>
          <w:rFonts w:ascii="宋体" w:hAnsi="宋体"/>
          <w:color w:val="auto"/>
          <w:sz w:val="24"/>
        </w:rPr>
      </w:pPr>
      <w:r>
        <w:rPr>
          <w:rFonts w:hint="eastAsia" w:ascii="宋体" w:hAnsi="宋体"/>
          <w:color w:val="auto"/>
          <w:sz w:val="24"/>
        </w:rPr>
        <w:t>16.6.2 响应文件袋（盒、箱）标记：</w:t>
      </w:r>
    </w:p>
    <w:p>
      <w:pPr>
        <w:spacing w:line="360" w:lineRule="auto"/>
        <w:ind w:left="-61"/>
        <w:outlineLvl w:val="1"/>
        <w:rPr>
          <w:rFonts w:ascii="宋体" w:hAnsi="宋体"/>
          <w:color w:val="auto"/>
          <w:sz w:val="24"/>
        </w:rPr>
      </w:pPr>
      <w:r>
        <w:rPr>
          <w:rFonts w:hint="eastAsia" w:ascii="宋体" w:hAnsi="宋体"/>
          <w:color w:val="auto"/>
          <w:sz w:val="24"/>
        </w:rPr>
        <w:t xml:space="preserve">项目名称： </w:t>
      </w:r>
    </w:p>
    <w:p>
      <w:pPr>
        <w:spacing w:line="360" w:lineRule="auto"/>
        <w:ind w:left="-61"/>
        <w:outlineLvl w:val="1"/>
        <w:rPr>
          <w:rFonts w:ascii="宋体" w:hAnsi="宋体"/>
          <w:color w:val="auto"/>
          <w:sz w:val="24"/>
        </w:rPr>
      </w:pPr>
      <w:r>
        <w:rPr>
          <w:rFonts w:hint="eastAsia" w:ascii="宋体" w:hAnsi="宋体"/>
          <w:color w:val="auto"/>
          <w:sz w:val="24"/>
        </w:rPr>
        <w:t>项目编号：</w:t>
      </w:r>
    </w:p>
    <w:p>
      <w:pPr>
        <w:spacing w:line="360" w:lineRule="auto"/>
        <w:ind w:left="-61"/>
        <w:outlineLvl w:val="1"/>
        <w:rPr>
          <w:rFonts w:ascii="宋体" w:hAnsi="宋体"/>
          <w:color w:val="auto"/>
          <w:sz w:val="24"/>
        </w:rPr>
      </w:pPr>
      <w:r>
        <w:rPr>
          <w:rFonts w:hint="eastAsia" w:ascii="宋体" w:hAnsi="宋体"/>
          <w:color w:val="auto"/>
          <w:sz w:val="24"/>
        </w:rPr>
        <w:t>标项（如有）：</w:t>
      </w:r>
    </w:p>
    <w:p>
      <w:pPr>
        <w:spacing w:line="360" w:lineRule="auto"/>
        <w:ind w:left="-61"/>
        <w:outlineLvl w:val="1"/>
        <w:rPr>
          <w:rFonts w:ascii="宋体" w:hAnsi="宋体"/>
          <w:color w:val="auto"/>
          <w:sz w:val="24"/>
        </w:rPr>
      </w:pPr>
      <w:r>
        <w:rPr>
          <w:rFonts w:hint="eastAsia" w:ascii="宋体" w:hAnsi="宋体"/>
          <w:color w:val="auto"/>
          <w:sz w:val="24"/>
        </w:rPr>
        <w:t>供应商单位名称：</w:t>
      </w:r>
    </w:p>
    <w:p>
      <w:pPr>
        <w:spacing w:line="360" w:lineRule="auto"/>
        <w:ind w:left="-61"/>
        <w:outlineLvl w:val="1"/>
        <w:rPr>
          <w:rFonts w:ascii="宋体" w:hAnsi="宋体"/>
          <w:color w:val="auto"/>
          <w:sz w:val="24"/>
        </w:rPr>
      </w:pPr>
      <w:r>
        <w:rPr>
          <w:rFonts w:hint="eastAsia" w:ascii="宋体" w:hAnsi="宋体"/>
          <w:color w:val="auto"/>
          <w:sz w:val="24"/>
        </w:rPr>
        <w:t xml:space="preserve">在  </w:t>
      </w:r>
      <w:r>
        <w:rPr>
          <w:rFonts w:hint="eastAsia" w:ascii="宋体" w:hAnsi="宋体"/>
          <w:color w:val="auto"/>
          <w:sz w:val="24"/>
          <w:u w:val="single"/>
        </w:rPr>
        <w:t xml:space="preserve"> 年 月  日上午  时 分</w:t>
      </w:r>
      <w:r>
        <w:rPr>
          <w:rFonts w:hint="eastAsia" w:ascii="宋体" w:hAnsi="宋体"/>
          <w:color w:val="auto"/>
          <w:sz w:val="24"/>
        </w:rPr>
        <w:t>前不得开启(此处供应商填写响应文件递交截止时间)</w:t>
      </w:r>
    </w:p>
    <w:p>
      <w:pPr>
        <w:spacing w:line="360" w:lineRule="auto"/>
        <w:ind w:left="-61"/>
        <w:outlineLvl w:val="1"/>
        <w:rPr>
          <w:rFonts w:ascii="宋体" w:hAnsi="宋体"/>
          <w:color w:val="auto"/>
          <w:sz w:val="24"/>
        </w:rPr>
      </w:pPr>
      <w:r>
        <w:rPr>
          <w:rFonts w:ascii="宋体" w:hAnsi="宋体"/>
          <w:color w:val="auto"/>
          <w:sz w:val="24"/>
        </w:rPr>
        <w:t>1</w:t>
      </w:r>
      <w:r>
        <w:rPr>
          <w:rFonts w:hint="eastAsia" w:ascii="宋体" w:hAnsi="宋体"/>
          <w:color w:val="auto"/>
          <w:sz w:val="24"/>
        </w:rPr>
        <w:t>6</w:t>
      </w:r>
      <w:r>
        <w:rPr>
          <w:rFonts w:ascii="宋体" w:hAnsi="宋体"/>
          <w:color w:val="auto"/>
          <w:sz w:val="24"/>
        </w:rPr>
        <w:t>.</w:t>
      </w:r>
      <w:r>
        <w:rPr>
          <w:rFonts w:hint="eastAsia" w:ascii="宋体" w:hAnsi="宋体"/>
          <w:color w:val="auto"/>
          <w:sz w:val="24"/>
        </w:rPr>
        <w:t>7 供应商公章：</w:t>
      </w:r>
      <w:r>
        <w:rPr>
          <w:rFonts w:ascii="宋体" w:hAnsi="宋体"/>
          <w:color w:val="auto"/>
          <w:sz w:val="24"/>
        </w:rPr>
        <w:t>本</w:t>
      </w:r>
      <w:r>
        <w:rPr>
          <w:rFonts w:hint="eastAsia" w:ascii="宋体" w:hAnsi="宋体"/>
          <w:color w:val="auto"/>
          <w:sz w:val="24"/>
        </w:rPr>
        <w:t>竞争性谈判文件</w:t>
      </w:r>
      <w:r>
        <w:rPr>
          <w:rFonts w:ascii="宋体" w:hAnsi="宋体"/>
          <w:color w:val="auto"/>
          <w:sz w:val="24"/>
        </w:rPr>
        <w:t>中描述</w:t>
      </w:r>
      <w:r>
        <w:rPr>
          <w:rFonts w:hint="eastAsia" w:ascii="宋体" w:hAnsi="宋体"/>
          <w:color w:val="auto"/>
          <w:sz w:val="24"/>
        </w:rPr>
        <w:t>供应商</w:t>
      </w:r>
      <w:r>
        <w:rPr>
          <w:rFonts w:ascii="宋体" w:hAnsi="宋体"/>
          <w:color w:val="auto"/>
          <w:sz w:val="24"/>
        </w:rPr>
        <w:t>的“公章”是指根据我国对公章的管理规定，用</w:t>
      </w:r>
      <w:r>
        <w:rPr>
          <w:rFonts w:hint="eastAsia" w:ascii="宋体" w:hAnsi="宋体"/>
          <w:color w:val="auto"/>
          <w:sz w:val="24"/>
        </w:rPr>
        <w:t>供应商</w:t>
      </w:r>
      <w:r>
        <w:rPr>
          <w:rFonts w:ascii="宋体" w:hAnsi="宋体"/>
          <w:color w:val="auto"/>
          <w:sz w:val="24"/>
        </w:rPr>
        <w:t>法定主体行为名称制作的印章，除本文件有特殊规定外，</w:t>
      </w:r>
      <w:r>
        <w:rPr>
          <w:rFonts w:hint="eastAsia" w:ascii="宋体" w:hAnsi="宋体"/>
          <w:color w:val="auto"/>
          <w:sz w:val="24"/>
        </w:rPr>
        <w:t>供应商</w:t>
      </w:r>
      <w:r>
        <w:rPr>
          <w:rFonts w:ascii="宋体" w:hAnsi="宋体"/>
          <w:color w:val="auto"/>
          <w:sz w:val="24"/>
        </w:rPr>
        <w:t>的财务章、部门章、分公司章、工会章、合同章、</w:t>
      </w:r>
      <w:r>
        <w:rPr>
          <w:rFonts w:hint="eastAsia" w:ascii="宋体" w:hAnsi="宋体"/>
          <w:color w:val="auto"/>
          <w:sz w:val="24"/>
        </w:rPr>
        <w:t>投</w:t>
      </w:r>
      <w:r>
        <w:rPr>
          <w:rFonts w:ascii="宋体" w:hAnsi="宋体"/>
          <w:color w:val="auto"/>
          <w:sz w:val="24"/>
        </w:rPr>
        <w:t>标专用章、业务专用章及银行的转账章、现金收讫章、现金付讫章等其它形式印章均不能代替公章</w:t>
      </w:r>
      <w:r>
        <w:rPr>
          <w:rFonts w:hint="eastAsia" w:ascii="宋体" w:hAnsi="宋体"/>
          <w:color w:val="auto"/>
          <w:sz w:val="24"/>
        </w:rPr>
        <w:t>。</w:t>
      </w:r>
    </w:p>
    <w:p>
      <w:pPr>
        <w:spacing w:line="360" w:lineRule="auto"/>
        <w:outlineLvl w:val="1"/>
        <w:rPr>
          <w:rFonts w:ascii="宋体" w:hAnsi="宋体"/>
          <w:b/>
          <w:color w:val="auto"/>
          <w:sz w:val="24"/>
        </w:rPr>
      </w:pPr>
      <w:r>
        <w:rPr>
          <w:rFonts w:hint="eastAsia" w:ascii="宋体" w:hAnsi="宋体"/>
          <w:b/>
          <w:color w:val="auto"/>
          <w:sz w:val="24"/>
        </w:rPr>
        <w:t>17. 竞争性谈判响应文件的递交</w:t>
      </w:r>
    </w:p>
    <w:p>
      <w:pPr>
        <w:spacing w:line="360" w:lineRule="auto"/>
        <w:ind w:left="-61"/>
        <w:outlineLvl w:val="1"/>
        <w:rPr>
          <w:rFonts w:ascii="宋体" w:hAnsi="宋体"/>
          <w:color w:val="auto"/>
          <w:sz w:val="24"/>
        </w:rPr>
      </w:pPr>
      <w:r>
        <w:rPr>
          <w:rFonts w:hint="eastAsia" w:ascii="宋体" w:hAnsi="宋体"/>
          <w:color w:val="auto"/>
          <w:sz w:val="24"/>
        </w:rPr>
        <w:t>17.1所有竞争性谈判响应文件必须按“供应商须知前附表”第12项规定的时间和地点密封递交。</w:t>
      </w:r>
    </w:p>
    <w:p>
      <w:pPr>
        <w:tabs>
          <w:tab w:val="left" w:pos="1305"/>
        </w:tabs>
        <w:spacing w:line="380" w:lineRule="exact"/>
        <w:outlineLvl w:val="1"/>
        <w:rPr>
          <w:rFonts w:ascii="宋体" w:hAnsi="宋体"/>
          <w:color w:val="auto"/>
          <w:sz w:val="24"/>
        </w:rPr>
      </w:pPr>
      <w:r>
        <w:rPr>
          <w:rFonts w:hint="eastAsia" w:ascii="宋体" w:hAnsi="宋体"/>
          <w:color w:val="auto"/>
          <w:sz w:val="24"/>
        </w:rPr>
        <w:t>17.2 除竞争性谈判文件另有规定外，供应商所递交的响应文件不予退还。</w:t>
      </w:r>
    </w:p>
    <w:p>
      <w:pPr>
        <w:spacing w:line="360" w:lineRule="auto"/>
        <w:outlineLvl w:val="1"/>
        <w:rPr>
          <w:rFonts w:ascii="宋体" w:hAnsi="宋体"/>
          <w:color w:val="auto"/>
          <w:sz w:val="24"/>
        </w:rPr>
      </w:pPr>
      <w:r>
        <w:rPr>
          <w:rFonts w:hint="eastAsia" w:ascii="宋体" w:hAnsi="宋体"/>
          <w:color w:val="auto"/>
          <w:sz w:val="24"/>
        </w:rPr>
        <w:t>17.3 逾期送达的或者未送达指定地点的响应文件，采购代理机构不予受理.</w:t>
      </w:r>
    </w:p>
    <w:p>
      <w:pPr>
        <w:tabs>
          <w:tab w:val="left" w:pos="1305"/>
        </w:tabs>
        <w:spacing w:line="380" w:lineRule="exact"/>
        <w:ind w:firstLine="562" w:firstLineChars="200"/>
        <w:jc w:val="center"/>
        <w:rPr>
          <w:rFonts w:ascii="宋体" w:hAnsi="宋体"/>
          <w:b/>
          <w:color w:val="auto"/>
          <w:sz w:val="28"/>
          <w:szCs w:val="28"/>
        </w:rPr>
      </w:pPr>
    </w:p>
    <w:p>
      <w:pPr>
        <w:tabs>
          <w:tab w:val="left" w:pos="1305"/>
        </w:tabs>
        <w:spacing w:line="380" w:lineRule="exact"/>
        <w:ind w:firstLine="562" w:firstLineChars="200"/>
        <w:jc w:val="center"/>
        <w:outlineLvl w:val="1"/>
        <w:rPr>
          <w:rFonts w:ascii="宋体" w:hAnsi="宋体"/>
          <w:b/>
          <w:color w:val="auto"/>
          <w:sz w:val="28"/>
          <w:szCs w:val="28"/>
        </w:rPr>
      </w:pPr>
      <w:r>
        <w:rPr>
          <w:rFonts w:hint="eastAsia" w:ascii="宋体" w:hAnsi="宋体"/>
          <w:b/>
          <w:color w:val="auto"/>
          <w:sz w:val="28"/>
          <w:szCs w:val="28"/>
        </w:rPr>
        <w:t>五、竞争性谈判（简称谈判）与评审</w:t>
      </w:r>
    </w:p>
    <w:p>
      <w:pPr>
        <w:tabs>
          <w:tab w:val="center" w:pos="4411"/>
          <w:tab w:val="left" w:pos="5475"/>
        </w:tabs>
        <w:spacing w:line="360" w:lineRule="auto"/>
        <w:ind w:firstLine="482" w:firstLineChars="200"/>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18. 谈判小组组成及谈判时间、地点、人员</w:t>
      </w:r>
    </w:p>
    <w:p>
      <w:pPr>
        <w:spacing w:line="360" w:lineRule="auto"/>
        <w:ind w:firstLine="435"/>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18.1 谈判小组组成：</w:t>
      </w:r>
    </w:p>
    <w:p>
      <w:pPr>
        <w:spacing w:line="360" w:lineRule="auto"/>
        <w:ind w:firstLine="435"/>
        <w:outlineLvl w:val="1"/>
        <w:rPr>
          <w:rFonts w:asciiTheme="minorEastAsia" w:hAnsiTheme="minorEastAsia" w:eastAsiaTheme="minorEastAsia"/>
          <w:color w:val="auto"/>
          <w:sz w:val="24"/>
        </w:rPr>
      </w:pPr>
      <w:r>
        <w:rPr>
          <w:rFonts w:hint="eastAsia" w:asciiTheme="minorEastAsia" w:hAnsiTheme="minorEastAsia" w:eastAsiaTheme="minorEastAsia"/>
          <w:color w:val="auto"/>
          <w:sz w:val="24"/>
        </w:rPr>
        <w:t>谈判及评审工作由采购代理机构负责组织，具体谈判、评审工作由依法组建的谈判小组负责，谈判小组由采购人代表和有关方面的专家组成。谈判小组的构成：</w:t>
      </w:r>
      <w:r>
        <w:rPr>
          <w:rFonts w:hint="eastAsia" w:asciiTheme="minorEastAsia" w:hAnsiTheme="minorEastAsia" w:eastAsiaTheme="minorEastAsia"/>
          <w:color w:val="auto"/>
          <w:sz w:val="24"/>
          <w:u w:val="single"/>
        </w:rPr>
        <w:t xml:space="preserve"> 3</w:t>
      </w:r>
      <w:r>
        <w:rPr>
          <w:rFonts w:hint="eastAsia" w:asciiTheme="minorEastAsia" w:hAnsiTheme="minorEastAsia" w:eastAsiaTheme="minorEastAsia"/>
          <w:color w:val="auto"/>
          <w:sz w:val="24"/>
        </w:rPr>
        <w:t>人，其中采购人代表</w:t>
      </w:r>
      <w:r>
        <w:rPr>
          <w:rFonts w:hint="eastAsia" w:asciiTheme="minorEastAsia" w:hAnsiTheme="minorEastAsia" w:eastAsiaTheme="minorEastAsia"/>
          <w:color w:val="auto"/>
          <w:sz w:val="24"/>
          <w:u w:val="single"/>
        </w:rPr>
        <w:t>1</w:t>
      </w:r>
      <w:r>
        <w:rPr>
          <w:rFonts w:hint="eastAsia" w:asciiTheme="minorEastAsia" w:hAnsiTheme="minorEastAsia" w:eastAsiaTheme="minorEastAsia"/>
          <w:color w:val="auto"/>
          <w:sz w:val="24"/>
        </w:rPr>
        <w:t xml:space="preserve"> 人， 专家 </w:t>
      </w:r>
      <w:r>
        <w:rPr>
          <w:rFonts w:hint="eastAsia" w:asciiTheme="minorEastAsia" w:hAnsiTheme="minorEastAsia" w:eastAsiaTheme="minorEastAsia"/>
          <w:color w:val="auto"/>
          <w:sz w:val="24"/>
          <w:u w:val="single"/>
        </w:rPr>
        <w:t xml:space="preserve"> 2</w:t>
      </w:r>
      <w:r>
        <w:rPr>
          <w:rFonts w:hint="eastAsia" w:asciiTheme="minorEastAsia" w:hAnsiTheme="minorEastAsia" w:eastAsiaTheme="minorEastAsia"/>
          <w:color w:val="auto"/>
          <w:sz w:val="24"/>
        </w:rPr>
        <w:t>人。</w:t>
      </w:r>
    </w:p>
    <w:p>
      <w:pPr>
        <w:tabs>
          <w:tab w:val="left" w:pos="1140"/>
        </w:tabs>
        <w:spacing w:line="360" w:lineRule="auto"/>
        <w:ind w:left="428" w:leftChars="172" w:hanging="67" w:hangingChars="28"/>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18.2 谈判时间、地点、人员：</w:t>
      </w:r>
    </w:p>
    <w:p>
      <w:pPr>
        <w:spacing w:line="360" w:lineRule="auto"/>
        <w:ind w:left="315" w:leftChars="150" w:firstLine="120" w:firstLineChars="50"/>
        <w:outlineLvl w:val="1"/>
        <w:rPr>
          <w:rFonts w:asciiTheme="minorEastAsia" w:hAnsiTheme="minorEastAsia" w:eastAsiaTheme="minorEastAsia"/>
          <w:color w:val="auto"/>
          <w:sz w:val="24"/>
        </w:rPr>
      </w:pPr>
      <w:r>
        <w:rPr>
          <w:rFonts w:hint="eastAsia" w:asciiTheme="minorEastAsia" w:hAnsiTheme="minorEastAsia" w:eastAsiaTheme="minorEastAsia"/>
          <w:color w:val="auto"/>
          <w:sz w:val="24"/>
        </w:rPr>
        <w:t>18.2.1 谈判时间：</w:t>
      </w:r>
      <w:r>
        <w:rPr>
          <w:rFonts w:hint="eastAsia" w:asciiTheme="minorEastAsia" w:hAnsiTheme="minorEastAsia" w:eastAsiaTheme="minorEastAsia"/>
          <w:color w:val="auto"/>
          <w:position w:val="-2"/>
          <w:sz w:val="24"/>
        </w:rPr>
        <w:t>响应文件递交</w:t>
      </w:r>
      <w:r>
        <w:rPr>
          <w:rFonts w:hint="eastAsia" w:asciiTheme="minorEastAsia" w:hAnsiTheme="minorEastAsia" w:eastAsiaTheme="minorEastAsia"/>
          <w:color w:val="auto"/>
          <w:sz w:val="24"/>
        </w:rPr>
        <w:t>截止时间后。</w:t>
      </w:r>
    </w:p>
    <w:p>
      <w:pPr>
        <w:spacing w:line="360" w:lineRule="auto"/>
        <w:ind w:firstLine="480" w:firstLineChars="200"/>
        <w:outlineLvl w:val="1"/>
        <w:rPr>
          <w:rFonts w:asciiTheme="minorEastAsia" w:hAnsiTheme="minorEastAsia" w:eastAsiaTheme="minorEastAsia"/>
          <w:color w:val="auto"/>
          <w:sz w:val="24"/>
        </w:rPr>
      </w:pPr>
      <w:r>
        <w:rPr>
          <w:rFonts w:hint="eastAsia" w:asciiTheme="minorEastAsia" w:hAnsiTheme="minorEastAsia" w:eastAsiaTheme="minorEastAsia"/>
          <w:color w:val="auto"/>
          <w:sz w:val="24"/>
        </w:rPr>
        <w:t>18.2.2 谈判地点： 南宁市良庆区玉洞大道33号（青少年活动中心旁）市民中心10楼南宁市公共资源交易中心</w:t>
      </w:r>
    </w:p>
    <w:p>
      <w:pPr>
        <w:tabs>
          <w:tab w:val="left" w:pos="1140"/>
        </w:tabs>
        <w:spacing w:line="360" w:lineRule="auto"/>
        <w:ind w:left="420" w:leftChars="200"/>
        <w:outlineLvl w:val="1"/>
        <w:rPr>
          <w:rFonts w:asciiTheme="minorEastAsia" w:hAnsiTheme="minorEastAsia" w:eastAsiaTheme="minorEastAsia"/>
          <w:color w:val="auto"/>
          <w:sz w:val="24"/>
        </w:rPr>
      </w:pPr>
      <w:r>
        <w:rPr>
          <w:rFonts w:hint="eastAsia" w:asciiTheme="minorEastAsia" w:hAnsiTheme="minorEastAsia" w:eastAsiaTheme="minorEastAsia"/>
          <w:color w:val="auto"/>
          <w:sz w:val="24"/>
        </w:rPr>
        <w:t>18.2.3 谈判参加人员：供应商法定代表人</w:t>
      </w:r>
      <w:r>
        <w:rPr>
          <w:rFonts w:hint="eastAsia" w:ascii="宋体" w:hAnsi="宋体"/>
          <w:color w:val="auto"/>
          <w:sz w:val="24"/>
        </w:rPr>
        <w:t>（供应商若为其他组织形式无法定代表人的为机构负责人，供应商若为自然人的为自然人）</w:t>
      </w:r>
      <w:r>
        <w:rPr>
          <w:rFonts w:hint="eastAsia" w:asciiTheme="minorEastAsia" w:hAnsiTheme="minorEastAsia" w:eastAsiaTheme="minorEastAsia"/>
          <w:color w:val="auto"/>
          <w:sz w:val="24"/>
        </w:rPr>
        <w:t>或相应的委托代理人。</w:t>
      </w:r>
    </w:p>
    <w:p>
      <w:pPr>
        <w:tabs>
          <w:tab w:val="left" w:pos="1140"/>
        </w:tabs>
        <w:spacing w:line="360" w:lineRule="auto"/>
        <w:ind w:left="420" w:leftChars="200"/>
        <w:outlineLvl w:val="1"/>
        <w:rPr>
          <w:rFonts w:asciiTheme="minorEastAsia" w:hAnsiTheme="minorEastAsia" w:eastAsiaTheme="minorEastAsia"/>
          <w:color w:val="auto"/>
          <w:sz w:val="24"/>
        </w:rPr>
      </w:pPr>
      <w:r>
        <w:rPr>
          <w:rFonts w:hint="eastAsia" w:asciiTheme="minorEastAsia" w:hAnsiTheme="minorEastAsia" w:eastAsiaTheme="minorEastAsia"/>
          <w:color w:val="auto"/>
          <w:position w:val="-2"/>
          <w:sz w:val="24"/>
        </w:rPr>
        <w:t>18.2.4 响应文件递交</w:t>
      </w:r>
      <w:r>
        <w:rPr>
          <w:rFonts w:hint="eastAsia" w:asciiTheme="minorEastAsia" w:hAnsiTheme="minorEastAsia" w:eastAsiaTheme="minorEastAsia"/>
          <w:color w:val="auto"/>
          <w:sz w:val="24"/>
        </w:rPr>
        <w:t>截止时间后，由谈判小组在评标室内开启响应文件。</w:t>
      </w:r>
      <w:r>
        <w:rPr>
          <w:rFonts w:asciiTheme="minorEastAsia" w:hAnsiTheme="minorEastAsia" w:eastAsiaTheme="minorEastAsia"/>
          <w:color w:val="auto"/>
          <w:sz w:val="24"/>
        </w:rPr>
        <w:t xml:space="preserve">  </w:t>
      </w:r>
    </w:p>
    <w:p>
      <w:pPr>
        <w:tabs>
          <w:tab w:val="left" w:pos="1140"/>
        </w:tabs>
        <w:spacing w:line="360" w:lineRule="auto"/>
        <w:ind w:left="428" w:leftChars="172" w:hanging="67" w:hangingChars="28"/>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19. 评审原则和评审办法</w:t>
      </w:r>
    </w:p>
    <w:p>
      <w:pPr>
        <w:tabs>
          <w:tab w:val="left" w:pos="1140"/>
        </w:tabs>
        <w:spacing w:line="360" w:lineRule="auto"/>
        <w:ind w:firstLine="410" w:firstLineChars="171"/>
        <w:outlineLvl w:val="1"/>
        <w:rPr>
          <w:rFonts w:asciiTheme="minorEastAsia" w:hAnsiTheme="minorEastAsia" w:eastAsiaTheme="minorEastAsia"/>
          <w:color w:val="auto"/>
          <w:sz w:val="24"/>
        </w:rPr>
      </w:pPr>
      <w:r>
        <w:rPr>
          <w:rFonts w:hint="eastAsia" w:asciiTheme="minorEastAsia" w:hAnsiTheme="minorEastAsia" w:eastAsiaTheme="minorEastAsia"/>
          <w:color w:val="auto"/>
          <w:sz w:val="24"/>
        </w:rPr>
        <w:t>19.1 谈判小组必须坚持公平、公正、科学和择优的原则。</w:t>
      </w:r>
    </w:p>
    <w:p>
      <w:pPr>
        <w:tabs>
          <w:tab w:val="left" w:pos="1140"/>
        </w:tabs>
        <w:spacing w:line="360" w:lineRule="auto"/>
        <w:ind w:firstLine="410" w:firstLineChars="171"/>
        <w:outlineLvl w:val="1"/>
        <w:rPr>
          <w:rFonts w:asciiTheme="minorEastAsia" w:hAnsiTheme="minorEastAsia" w:eastAsiaTheme="minorEastAsia"/>
          <w:color w:val="auto"/>
          <w:sz w:val="24"/>
        </w:rPr>
      </w:pPr>
      <w:r>
        <w:rPr>
          <w:rFonts w:hint="eastAsia" w:asciiTheme="minorEastAsia" w:hAnsiTheme="minorEastAsia" w:eastAsiaTheme="minorEastAsia"/>
          <w:color w:val="auto"/>
          <w:sz w:val="24"/>
        </w:rPr>
        <w:t>19.2 评审办法：具体详见第六章评审办法及评审标准。</w:t>
      </w:r>
    </w:p>
    <w:p>
      <w:pPr>
        <w:pStyle w:val="24"/>
        <w:spacing w:line="360" w:lineRule="auto"/>
        <w:ind w:firstLine="410" w:firstLineChars="171"/>
        <w:outlineLvl w:val="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19.3 谈判小组应按谈判文件进行评审，不得擅自更改评审办法。</w:t>
      </w:r>
    </w:p>
    <w:p>
      <w:pPr>
        <w:pStyle w:val="24"/>
        <w:spacing w:line="360" w:lineRule="auto"/>
        <w:ind w:firstLine="410" w:firstLineChars="171"/>
        <w:outlineLvl w:val="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19.4 在评审过程中，谈判小组任何人不得对某个供应商发表任何倾向性意见，不得向其他谈判小组成员明示或者暗示自己的评审意见。</w:t>
      </w:r>
    </w:p>
    <w:p>
      <w:pPr>
        <w:pStyle w:val="24"/>
        <w:spacing w:line="360" w:lineRule="auto"/>
        <w:ind w:firstLine="410" w:firstLineChars="171"/>
        <w:jc w:val="left"/>
        <w:outlineLvl w:val="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19.5 谈判小组成员对需要共同认定的事项存在争议的，按照少数服从多数的原则作出结论。持不同意见的谈判小组成员应当在评审报告上签署不同意见并说明理由，否则视为同意。</w:t>
      </w:r>
    </w:p>
    <w:p>
      <w:pPr>
        <w:tabs>
          <w:tab w:val="left" w:pos="1140"/>
        </w:tabs>
        <w:spacing w:line="360" w:lineRule="auto"/>
        <w:ind w:left="428" w:leftChars="172" w:hanging="67" w:hangingChars="28"/>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20. 评审程序及谈判要求</w:t>
      </w:r>
    </w:p>
    <w:p>
      <w:pPr>
        <w:pStyle w:val="24"/>
        <w:spacing w:line="360" w:lineRule="auto"/>
        <w:ind w:firstLine="360" w:firstLineChars="150"/>
        <w:outlineLvl w:val="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20.1 采购代理机构核实谈判小组成员身份，告知回避要求，宣布评审工作纪律和程序，统一保管通讯工具或相关电子设备，推选谈判小组组长。</w:t>
      </w:r>
    </w:p>
    <w:p>
      <w:pPr>
        <w:spacing w:line="360" w:lineRule="auto"/>
        <w:ind w:firstLine="360" w:firstLineChars="150"/>
        <w:outlineLvl w:val="1"/>
        <w:rPr>
          <w:rFonts w:cs="Arial" w:asciiTheme="minorEastAsia" w:hAnsiTheme="minorEastAsia" w:eastAsiaTheme="minorEastAsia"/>
          <w:color w:val="auto"/>
          <w:kern w:val="0"/>
          <w:sz w:val="24"/>
        </w:rPr>
      </w:pPr>
      <w:r>
        <w:rPr>
          <w:rFonts w:hint="eastAsia" w:asciiTheme="minorEastAsia" w:hAnsiTheme="minorEastAsia" w:eastAsiaTheme="minorEastAsia"/>
          <w:color w:val="auto"/>
          <w:sz w:val="24"/>
        </w:rPr>
        <w:t xml:space="preserve">20.2 </w:t>
      </w:r>
      <w:r>
        <w:rPr>
          <w:rFonts w:asciiTheme="minorEastAsia" w:hAnsiTheme="minorEastAsia" w:eastAsiaTheme="minorEastAsia"/>
          <w:color w:val="auto"/>
          <w:sz w:val="24"/>
        </w:rPr>
        <w:t>谈判小组</w:t>
      </w:r>
      <w:r>
        <w:rPr>
          <w:rFonts w:hint="eastAsia" w:asciiTheme="minorEastAsia" w:hAnsiTheme="minorEastAsia" w:eastAsiaTheme="minorEastAsia"/>
          <w:color w:val="auto"/>
          <w:sz w:val="24"/>
        </w:rPr>
        <w:t>应当对发布公告的竞争性谈判文件（简称谈判文件）进行确认，</w:t>
      </w:r>
      <w:r>
        <w:rPr>
          <w:rFonts w:cs="Arial" w:asciiTheme="minorEastAsia" w:hAnsiTheme="minorEastAsia" w:eastAsiaTheme="minorEastAsia"/>
          <w:color w:val="auto"/>
          <w:kern w:val="0"/>
          <w:sz w:val="24"/>
        </w:rPr>
        <w:t>审查供应商的响应文件并作出评价；要求供应商解释或者澄清其响应文件；编写评审报告；告知采购人、采购代理机构在评审过程中发现的供应商的违法违规行为。</w:t>
      </w:r>
    </w:p>
    <w:p>
      <w:pPr>
        <w:spacing w:line="360" w:lineRule="auto"/>
        <w:ind w:firstLine="360" w:firstLineChars="150"/>
        <w:outlineLvl w:val="1"/>
        <w:rPr>
          <w:rFonts w:asciiTheme="minorEastAsia" w:hAnsiTheme="minorEastAsia" w:eastAsiaTheme="minorEastAsia"/>
          <w:color w:val="auto"/>
          <w:sz w:val="24"/>
        </w:rPr>
      </w:pPr>
      <w:r>
        <w:rPr>
          <w:rFonts w:hint="eastAsia" w:asciiTheme="minorEastAsia" w:hAnsiTheme="minorEastAsia" w:eastAsiaTheme="minorEastAsia"/>
          <w:color w:val="auto"/>
          <w:sz w:val="24"/>
        </w:rPr>
        <w:t>20.3</w:t>
      </w:r>
      <w:r>
        <w:rPr>
          <w:rFonts w:cs="Arial" w:asciiTheme="minorEastAsia" w:hAnsiTheme="minorEastAsia" w:eastAsiaTheme="minorEastAsia"/>
          <w:color w:val="auto"/>
          <w:kern w:val="0"/>
          <w:sz w:val="24"/>
        </w:rPr>
        <w:t>谈判小组</w:t>
      </w:r>
      <w:r>
        <w:rPr>
          <w:rFonts w:hint="eastAsia" w:asciiTheme="minorEastAsia" w:hAnsiTheme="minorEastAsia" w:eastAsiaTheme="minorEastAsia"/>
          <w:color w:val="auto"/>
          <w:sz w:val="24"/>
        </w:rPr>
        <w:t>依据法律法规和竞争性谈判文件的规定，首先对响应文件进行资格性审查，以确定供应商是否具备本项目谈判资格；再对通过资格性审查的供应商响应文件的有效性、完整性和对谈判文件的响应程度进行符合性审查，以确定是否对谈判文件的实质性要求做出响应。</w:t>
      </w:r>
    </w:p>
    <w:p>
      <w:pPr>
        <w:spacing w:line="360" w:lineRule="auto"/>
        <w:ind w:firstLine="480" w:firstLineChars="200"/>
        <w:outlineLvl w:val="1"/>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20.4谈判小组</w:t>
      </w:r>
      <w:r>
        <w:rPr>
          <w:rFonts w:hint="eastAsia" w:asciiTheme="minorEastAsia" w:hAnsiTheme="minorEastAsia" w:eastAsiaTheme="minorEastAsia"/>
          <w:color w:val="auto"/>
          <w:sz w:val="24"/>
        </w:rPr>
        <w:t>如发现供应商提供的证明文件不齐全或不符合规定格式的，应一次性告知供应商，供应商应在规定的时间内当场补正或更正。</w:t>
      </w:r>
    </w:p>
    <w:p>
      <w:pPr>
        <w:spacing w:line="360" w:lineRule="auto"/>
        <w:ind w:firstLine="480" w:firstLineChars="200"/>
        <w:outlineLvl w:val="1"/>
        <w:rPr>
          <w:rFonts w:asciiTheme="minorEastAsia" w:hAnsiTheme="minorEastAsia" w:eastAsiaTheme="minorEastAsia"/>
          <w:color w:val="auto"/>
          <w:sz w:val="24"/>
        </w:rPr>
      </w:pPr>
      <w:r>
        <w:rPr>
          <w:rFonts w:hint="eastAsia" w:cs="Arial" w:asciiTheme="minorEastAsia" w:hAnsiTheme="minorEastAsia" w:eastAsiaTheme="minorEastAsia"/>
          <w:color w:val="auto"/>
          <w:kern w:val="0"/>
          <w:sz w:val="24"/>
        </w:rPr>
        <w:t>20.5谈判小组</w:t>
      </w:r>
      <w:r>
        <w:rPr>
          <w:rFonts w:cs="Arial" w:asciiTheme="minorEastAsia" w:hAnsiTheme="minorEastAsia" w:eastAsiaTheme="minorEastAsia"/>
          <w:color w:val="auto"/>
          <w:kern w:val="0"/>
          <w:sz w:val="24"/>
        </w:rPr>
        <w:t>在对响应文件的有效性、完整性和响应程度进行审查时，可以要求供应商对</w:t>
      </w:r>
      <w:r>
        <w:rPr>
          <w:rFonts w:hint="eastAsia" w:asciiTheme="minorEastAsia" w:hAnsiTheme="minorEastAsia" w:eastAsiaTheme="minorEastAsia"/>
          <w:color w:val="auto"/>
          <w:sz w:val="24"/>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Theme="minorEastAsia" w:hAnsiTheme="minorEastAsia" w:eastAsiaTheme="minorEastAsia"/>
          <w:color w:val="auto"/>
          <w:sz w:val="24"/>
        </w:rPr>
        <w:t>由其法定代表人</w:t>
      </w:r>
      <w:r>
        <w:rPr>
          <w:rFonts w:hint="eastAsia" w:ascii="宋体" w:hAnsi="宋体"/>
          <w:color w:val="auto"/>
          <w:sz w:val="24"/>
        </w:rPr>
        <w:t>（供应商若为其他组织形式无法定代表人的为机构负责人，供应商若为自然人的为自然人）</w:t>
      </w:r>
      <w:r>
        <w:rPr>
          <w:rFonts w:asciiTheme="minorEastAsia" w:hAnsiTheme="minorEastAsia" w:eastAsiaTheme="minorEastAsia"/>
          <w:color w:val="auto"/>
          <w:sz w:val="24"/>
        </w:rPr>
        <w:t>或</w:t>
      </w:r>
      <w:r>
        <w:rPr>
          <w:rFonts w:hint="eastAsia" w:asciiTheme="minorEastAsia" w:hAnsiTheme="minorEastAsia" w:eastAsiaTheme="minorEastAsia"/>
          <w:color w:val="auto"/>
          <w:sz w:val="24"/>
        </w:rPr>
        <w:t>相应的</w:t>
      </w:r>
      <w:r>
        <w:rPr>
          <w:rFonts w:asciiTheme="minorEastAsia" w:hAnsiTheme="minorEastAsia" w:eastAsiaTheme="minorEastAsia"/>
          <w:color w:val="auto"/>
          <w:sz w:val="24"/>
        </w:rPr>
        <w:t>授权</w:t>
      </w:r>
      <w:r>
        <w:rPr>
          <w:rFonts w:hint="eastAsia" w:asciiTheme="minorEastAsia" w:hAnsiTheme="minorEastAsia" w:eastAsiaTheme="minorEastAsia"/>
          <w:color w:val="auto"/>
          <w:sz w:val="24"/>
        </w:rPr>
        <w:t>委托</w:t>
      </w:r>
      <w:r>
        <w:rPr>
          <w:rFonts w:asciiTheme="minorEastAsia" w:hAnsiTheme="minorEastAsia" w:eastAsiaTheme="minorEastAsia"/>
          <w:color w:val="auto"/>
          <w:sz w:val="24"/>
        </w:rPr>
        <w:t>代表签字或者加盖</w:t>
      </w:r>
      <w:r>
        <w:rPr>
          <w:rFonts w:hint="eastAsia" w:asciiTheme="minorEastAsia" w:hAnsiTheme="minorEastAsia" w:eastAsiaTheme="minorEastAsia"/>
          <w:color w:val="auto"/>
          <w:sz w:val="24"/>
        </w:rPr>
        <w:t>供应商</w:t>
      </w:r>
      <w:r>
        <w:rPr>
          <w:rFonts w:asciiTheme="minorEastAsia" w:hAnsiTheme="minorEastAsia" w:eastAsiaTheme="minorEastAsia"/>
          <w:color w:val="auto"/>
          <w:sz w:val="24"/>
        </w:rPr>
        <w:t>公章</w:t>
      </w:r>
      <w:r>
        <w:rPr>
          <w:rFonts w:hint="eastAsia" w:asciiTheme="minorEastAsia" w:hAnsiTheme="minorEastAsia" w:eastAsiaTheme="minorEastAsia"/>
          <w:color w:val="auto"/>
          <w:sz w:val="24"/>
        </w:rPr>
        <w:t>（供应商若为自然人的在签字处按指印）。</w:t>
      </w:r>
      <w:r>
        <w:rPr>
          <w:rFonts w:asciiTheme="minorEastAsia" w:hAnsiTheme="minorEastAsia" w:eastAsiaTheme="minorEastAsia"/>
          <w:color w:val="auto"/>
          <w:sz w:val="24"/>
        </w:rPr>
        <w:t>由授权</w:t>
      </w:r>
      <w:r>
        <w:rPr>
          <w:rFonts w:hint="eastAsia" w:asciiTheme="minorEastAsia" w:hAnsiTheme="minorEastAsia" w:eastAsiaTheme="minorEastAsia"/>
          <w:color w:val="auto"/>
          <w:sz w:val="24"/>
        </w:rPr>
        <w:t>委托</w:t>
      </w:r>
      <w:r>
        <w:rPr>
          <w:rFonts w:asciiTheme="minorEastAsia" w:hAnsiTheme="minorEastAsia" w:eastAsiaTheme="minorEastAsia"/>
          <w:color w:val="auto"/>
          <w:sz w:val="24"/>
        </w:rPr>
        <w:t>代表签字的，应当附授权</w:t>
      </w:r>
      <w:r>
        <w:rPr>
          <w:rFonts w:hint="eastAsia" w:asciiTheme="minorEastAsia" w:hAnsiTheme="minorEastAsia" w:eastAsiaTheme="minorEastAsia"/>
          <w:color w:val="auto"/>
          <w:sz w:val="24"/>
        </w:rPr>
        <w:t>委托</w:t>
      </w:r>
      <w:r>
        <w:rPr>
          <w:rFonts w:asciiTheme="minorEastAsia" w:hAnsiTheme="minorEastAsia" w:eastAsiaTheme="minorEastAsia"/>
          <w:color w:val="auto"/>
          <w:sz w:val="24"/>
        </w:rPr>
        <w:t>书。</w:t>
      </w:r>
    </w:p>
    <w:p>
      <w:pPr>
        <w:spacing w:line="360" w:lineRule="auto"/>
        <w:ind w:firstLine="480" w:firstLineChars="200"/>
        <w:outlineLvl w:val="1"/>
        <w:rPr>
          <w:rFonts w:asciiTheme="minorEastAsia" w:hAnsiTheme="minorEastAsia" w:eastAsiaTheme="minorEastAsia"/>
          <w:color w:val="auto"/>
          <w:sz w:val="24"/>
        </w:rPr>
      </w:pPr>
      <w:r>
        <w:rPr>
          <w:rFonts w:asciiTheme="minorEastAsia" w:hAnsiTheme="minorEastAsia" w:eastAsiaTheme="minorEastAsia"/>
          <w:color w:val="auto"/>
          <w:sz w:val="24"/>
        </w:rPr>
        <w:t>根据谈判文件规定的程序、评定成交的标准等事</w:t>
      </w:r>
      <w:r>
        <w:rPr>
          <w:rFonts w:hint="eastAsia" w:asciiTheme="minorEastAsia" w:hAnsiTheme="minorEastAsia" w:eastAsiaTheme="minorEastAsia"/>
          <w:color w:val="auto"/>
          <w:sz w:val="24"/>
        </w:rPr>
        <w:t>项</w:t>
      </w:r>
      <w:r>
        <w:rPr>
          <w:rFonts w:asciiTheme="minorEastAsia" w:hAnsiTheme="minorEastAsia" w:eastAsiaTheme="minorEastAsia"/>
          <w:color w:val="auto"/>
          <w:sz w:val="24"/>
        </w:rPr>
        <w:t>与实质性响应</w:t>
      </w:r>
      <w:r>
        <w:rPr>
          <w:rFonts w:hint="eastAsia" w:asciiTheme="minorEastAsia" w:hAnsiTheme="minorEastAsia" w:eastAsiaTheme="minorEastAsia"/>
          <w:color w:val="auto"/>
          <w:sz w:val="24"/>
        </w:rPr>
        <w:t>竞争性</w:t>
      </w:r>
      <w:r>
        <w:rPr>
          <w:rFonts w:asciiTheme="minorEastAsia" w:hAnsiTheme="minorEastAsia" w:eastAsiaTheme="minorEastAsia"/>
          <w:color w:val="auto"/>
          <w:sz w:val="24"/>
        </w:rPr>
        <w:t>谈判文件要求的</w:t>
      </w:r>
      <w:r>
        <w:rPr>
          <w:rFonts w:hint="eastAsia" w:asciiTheme="minorEastAsia" w:hAnsiTheme="minorEastAsia" w:eastAsiaTheme="minorEastAsia"/>
          <w:color w:val="auto"/>
          <w:sz w:val="24"/>
        </w:rPr>
        <w:t>供应商</w:t>
      </w:r>
      <w:r>
        <w:rPr>
          <w:rFonts w:asciiTheme="minorEastAsia" w:hAnsiTheme="minorEastAsia" w:eastAsiaTheme="minorEastAsia"/>
          <w:color w:val="auto"/>
          <w:sz w:val="24"/>
        </w:rPr>
        <w:t>进行谈判。未实质性响应谈判文件的</w:t>
      </w:r>
      <w:r>
        <w:rPr>
          <w:rFonts w:hint="eastAsia" w:asciiTheme="minorEastAsia" w:hAnsiTheme="minorEastAsia" w:eastAsiaTheme="minorEastAsia"/>
          <w:color w:val="auto"/>
          <w:sz w:val="24"/>
        </w:rPr>
        <w:t>响应文件</w:t>
      </w:r>
      <w:r>
        <w:rPr>
          <w:rFonts w:asciiTheme="minorEastAsia" w:hAnsiTheme="minorEastAsia" w:eastAsiaTheme="minorEastAsia"/>
          <w:color w:val="auto"/>
          <w:sz w:val="24"/>
        </w:rPr>
        <w:t>按无效处理，谈判小组应当告知有关</w:t>
      </w:r>
      <w:r>
        <w:rPr>
          <w:rFonts w:hint="eastAsia" w:asciiTheme="minorEastAsia" w:hAnsiTheme="minorEastAsia" w:eastAsiaTheme="minorEastAsia"/>
          <w:color w:val="auto"/>
          <w:sz w:val="24"/>
        </w:rPr>
        <w:t>供应商</w:t>
      </w:r>
      <w:r>
        <w:rPr>
          <w:rFonts w:asciiTheme="minorEastAsia" w:hAnsiTheme="minorEastAsia" w:eastAsiaTheme="minorEastAsia"/>
          <w:color w:val="auto"/>
          <w:sz w:val="24"/>
        </w:rPr>
        <w:t>。</w:t>
      </w:r>
    </w:p>
    <w:p>
      <w:pPr>
        <w:spacing w:line="360" w:lineRule="auto"/>
        <w:ind w:firstLine="480" w:firstLineChars="200"/>
        <w:outlineLvl w:val="1"/>
        <w:rPr>
          <w:rFonts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谈判小组</w:t>
      </w:r>
      <w:r>
        <w:rPr>
          <w:rFonts w:asciiTheme="minorEastAsia" w:hAnsiTheme="minorEastAsia" w:eastAsiaTheme="minorEastAsia"/>
          <w:color w:val="auto"/>
          <w:sz w:val="24"/>
        </w:rPr>
        <w:t>所有成员应当</w:t>
      </w:r>
      <w:r>
        <w:rPr>
          <w:rFonts w:hint="eastAsia" w:cs="宋体" w:asciiTheme="minorEastAsia" w:hAnsiTheme="minorEastAsia" w:eastAsiaTheme="minorEastAsia"/>
          <w:color w:val="auto"/>
          <w:kern w:val="0"/>
          <w:sz w:val="24"/>
        </w:rPr>
        <w:t>按已确定的</w:t>
      </w:r>
      <w:r>
        <w:rPr>
          <w:rFonts w:hint="eastAsia" w:asciiTheme="minorEastAsia" w:hAnsiTheme="minorEastAsia" w:eastAsiaTheme="minorEastAsia"/>
          <w:color w:val="auto"/>
          <w:sz w:val="24"/>
        </w:rPr>
        <w:t>谈判顺序集中</w:t>
      </w:r>
      <w:r>
        <w:rPr>
          <w:rFonts w:asciiTheme="minorEastAsia" w:hAnsiTheme="minorEastAsia" w:eastAsiaTheme="minorEastAsia"/>
          <w:color w:val="auto"/>
          <w:sz w:val="24"/>
        </w:rPr>
        <w:t>与单一</w:t>
      </w:r>
      <w:r>
        <w:rPr>
          <w:rFonts w:hint="eastAsia" w:asciiTheme="minorEastAsia" w:hAnsiTheme="minorEastAsia" w:eastAsiaTheme="minorEastAsia"/>
          <w:color w:val="auto"/>
          <w:sz w:val="24"/>
        </w:rPr>
        <w:t>供应商</w:t>
      </w:r>
      <w:r>
        <w:rPr>
          <w:rFonts w:asciiTheme="minorEastAsia" w:hAnsiTheme="minorEastAsia" w:eastAsiaTheme="minorEastAsia"/>
          <w:color w:val="auto"/>
          <w:sz w:val="24"/>
        </w:rPr>
        <w:t>分别进行谈判，并给予所有实质性响应</w:t>
      </w:r>
      <w:r>
        <w:rPr>
          <w:rFonts w:hint="eastAsia" w:asciiTheme="minorEastAsia" w:hAnsiTheme="minorEastAsia" w:eastAsiaTheme="minorEastAsia"/>
          <w:color w:val="auto"/>
          <w:sz w:val="24"/>
        </w:rPr>
        <w:t>竞争性</w:t>
      </w:r>
      <w:r>
        <w:rPr>
          <w:rFonts w:asciiTheme="minorEastAsia" w:hAnsiTheme="minorEastAsia" w:eastAsiaTheme="minorEastAsia"/>
          <w:color w:val="auto"/>
          <w:sz w:val="24"/>
        </w:rPr>
        <w:t>谈判文件要求的</w:t>
      </w:r>
      <w:r>
        <w:rPr>
          <w:rFonts w:hint="eastAsia" w:asciiTheme="minorEastAsia" w:hAnsiTheme="minorEastAsia" w:eastAsiaTheme="minorEastAsia"/>
          <w:color w:val="auto"/>
          <w:sz w:val="24"/>
        </w:rPr>
        <w:t>供应商</w:t>
      </w:r>
      <w:r>
        <w:rPr>
          <w:rFonts w:asciiTheme="minorEastAsia" w:hAnsiTheme="minorEastAsia" w:eastAsiaTheme="minorEastAsia"/>
          <w:color w:val="auto"/>
          <w:sz w:val="24"/>
        </w:rPr>
        <w:t>平等的谈判机会。</w:t>
      </w:r>
    </w:p>
    <w:p>
      <w:pPr>
        <w:spacing w:line="360" w:lineRule="auto"/>
        <w:ind w:firstLine="480" w:firstLineChars="200"/>
        <w:outlineLvl w:val="1"/>
        <w:rPr>
          <w:rFonts w:asciiTheme="minorEastAsia" w:hAnsiTheme="minorEastAsia" w:eastAsiaTheme="minorEastAsia"/>
          <w:color w:val="auto"/>
          <w:sz w:val="24"/>
        </w:rPr>
      </w:pPr>
      <w:r>
        <w:rPr>
          <w:rFonts w:hint="eastAsia" w:asciiTheme="minorEastAsia" w:hAnsiTheme="minorEastAsia" w:eastAsiaTheme="minorEastAsia"/>
          <w:color w:val="auto"/>
          <w:sz w:val="24"/>
        </w:rPr>
        <w:t>谈判中，谈判小组不得透露与谈判有关的其他供应商的技术资料、价格和其他信息。</w:t>
      </w:r>
    </w:p>
    <w:p>
      <w:pPr>
        <w:widowControl/>
        <w:tabs>
          <w:tab w:val="left" w:pos="540"/>
        </w:tabs>
        <w:spacing w:line="360" w:lineRule="auto"/>
        <w:ind w:firstLine="480" w:firstLineChars="200"/>
        <w:jc w:val="left"/>
        <w:outlineLvl w:val="1"/>
        <w:rPr>
          <w:rFonts w:asciiTheme="minorEastAsia" w:hAnsiTheme="minorEastAsia" w:eastAsiaTheme="minorEastAsia"/>
          <w:color w:val="auto"/>
          <w:sz w:val="24"/>
        </w:rPr>
      </w:pPr>
      <w:r>
        <w:rPr>
          <w:rFonts w:hint="eastAsia" w:asciiTheme="minorEastAsia" w:hAnsiTheme="minorEastAsia" w:eastAsiaTheme="minorEastAsia"/>
          <w:color w:val="auto"/>
          <w:sz w:val="24"/>
        </w:rPr>
        <w:t>采购代理机构对谈判过程和重要谈判内容进行记录，谈判双方在记录上签字确认。</w:t>
      </w:r>
    </w:p>
    <w:p>
      <w:pPr>
        <w:spacing w:line="360" w:lineRule="auto"/>
        <w:ind w:firstLine="480" w:firstLineChars="200"/>
        <w:outlineLvl w:val="1"/>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20.6 </w:t>
      </w:r>
      <w:r>
        <w:rPr>
          <w:rFonts w:asciiTheme="minorEastAsia" w:hAnsiTheme="minorEastAsia" w:eastAsiaTheme="minorEastAsia"/>
          <w:color w:val="auto"/>
          <w:sz w:val="24"/>
        </w:rPr>
        <w:t>在谈判过程中，谈判小组可以根据谈判文件和谈判情况实质性变动</w:t>
      </w:r>
      <w:r>
        <w:rPr>
          <w:rFonts w:hint="eastAsia" w:asciiTheme="minorEastAsia" w:hAnsiTheme="minorEastAsia" w:eastAsiaTheme="minorEastAsia"/>
          <w:color w:val="auto"/>
          <w:sz w:val="24"/>
        </w:rPr>
        <w:t>项目</w:t>
      </w:r>
      <w:r>
        <w:rPr>
          <w:rFonts w:asciiTheme="minorEastAsia" w:hAnsiTheme="minorEastAsia" w:eastAsiaTheme="minorEastAsia"/>
          <w:color w:val="auto"/>
          <w:sz w:val="24"/>
        </w:rPr>
        <w:t>需求中的技术、服务要求以及合同草案条款，但不得变动谈判文件中的其他内容。实质性变动的内容，须经采购人代表确认。</w:t>
      </w:r>
    </w:p>
    <w:p>
      <w:pPr>
        <w:spacing w:line="360" w:lineRule="auto"/>
        <w:ind w:firstLine="480" w:firstLineChars="200"/>
        <w:outlineLvl w:val="1"/>
        <w:rPr>
          <w:rFonts w:asciiTheme="minorEastAsia" w:hAnsiTheme="minorEastAsia" w:eastAsiaTheme="minorEastAsia"/>
          <w:color w:val="auto"/>
          <w:sz w:val="24"/>
        </w:rPr>
      </w:pPr>
      <w:r>
        <w:rPr>
          <w:rFonts w:asciiTheme="minorEastAsia" w:hAnsiTheme="minorEastAsia" w:eastAsiaTheme="minorEastAsia"/>
          <w:color w:val="auto"/>
          <w:sz w:val="24"/>
        </w:rPr>
        <w:t>对谈判文件作出的实质性变动是谈判文件的有效组成部分，谈判小组应当及时以书面形式同时通知所有参加谈判的</w:t>
      </w:r>
      <w:r>
        <w:rPr>
          <w:rFonts w:hint="eastAsia" w:asciiTheme="minorEastAsia" w:hAnsiTheme="minorEastAsia" w:eastAsiaTheme="minorEastAsia"/>
          <w:color w:val="auto"/>
          <w:sz w:val="24"/>
        </w:rPr>
        <w:t>供应商</w:t>
      </w:r>
      <w:r>
        <w:rPr>
          <w:rFonts w:asciiTheme="minorEastAsia" w:hAnsiTheme="minorEastAsia" w:eastAsiaTheme="minorEastAsia"/>
          <w:color w:val="auto"/>
          <w:sz w:val="24"/>
        </w:rPr>
        <w:t>。</w:t>
      </w:r>
    </w:p>
    <w:p>
      <w:pPr>
        <w:spacing w:line="360" w:lineRule="auto"/>
        <w:ind w:firstLine="480" w:firstLineChars="200"/>
        <w:outlineLvl w:val="1"/>
        <w:rPr>
          <w:rFonts w:asciiTheme="minorEastAsia" w:hAnsiTheme="minorEastAsia" w:eastAsiaTheme="minorEastAsia"/>
          <w:color w:val="auto"/>
          <w:sz w:val="24"/>
        </w:rPr>
      </w:pPr>
      <w:r>
        <w:rPr>
          <w:rFonts w:asciiTheme="minorEastAsia" w:hAnsiTheme="minorEastAsia" w:eastAsiaTheme="minorEastAsia"/>
          <w:color w:val="auto"/>
          <w:sz w:val="24"/>
        </w:rPr>
        <w:t>供应商应当按照谈判文件的变动情况和谈判小组的要求重新提交</w:t>
      </w:r>
      <w:r>
        <w:rPr>
          <w:rFonts w:hint="eastAsia" w:asciiTheme="minorEastAsia" w:hAnsiTheme="minorEastAsia" w:eastAsiaTheme="minorEastAsia"/>
          <w:color w:val="auto"/>
          <w:sz w:val="24"/>
        </w:rPr>
        <w:t>响应</w:t>
      </w:r>
      <w:r>
        <w:rPr>
          <w:rFonts w:asciiTheme="minorEastAsia" w:hAnsiTheme="minorEastAsia" w:eastAsiaTheme="minorEastAsia"/>
          <w:color w:val="auto"/>
          <w:sz w:val="24"/>
        </w:rPr>
        <w:t>文件，并由其法定代表人</w:t>
      </w:r>
      <w:r>
        <w:rPr>
          <w:rFonts w:hint="eastAsia" w:asciiTheme="minorEastAsia" w:hAnsiTheme="minorEastAsia" w:eastAsiaTheme="minorEastAsia"/>
          <w:color w:val="auto"/>
          <w:sz w:val="24"/>
        </w:rPr>
        <w:t>、负责人、自然人</w:t>
      </w:r>
      <w:r>
        <w:rPr>
          <w:rFonts w:asciiTheme="minorEastAsia" w:hAnsiTheme="minorEastAsia" w:eastAsiaTheme="minorEastAsia"/>
          <w:color w:val="auto"/>
          <w:sz w:val="24"/>
        </w:rPr>
        <w:t>或</w:t>
      </w:r>
      <w:r>
        <w:rPr>
          <w:rFonts w:hint="eastAsia" w:asciiTheme="minorEastAsia" w:hAnsiTheme="minorEastAsia" w:eastAsiaTheme="minorEastAsia"/>
          <w:color w:val="auto"/>
          <w:sz w:val="24"/>
        </w:rPr>
        <w:t>相应的</w:t>
      </w:r>
      <w:r>
        <w:rPr>
          <w:rFonts w:asciiTheme="minorEastAsia" w:hAnsiTheme="minorEastAsia" w:eastAsiaTheme="minorEastAsia"/>
          <w:color w:val="auto"/>
          <w:sz w:val="24"/>
        </w:rPr>
        <w:t>授权</w:t>
      </w:r>
      <w:r>
        <w:rPr>
          <w:rFonts w:hint="eastAsia" w:asciiTheme="minorEastAsia" w:hAnsiTheme="minorEastAsia" w:eastAsiaTheme="minorEastAsia"/>
          <w:color w:val="auto"/>
          <w:sz w:val="24"/>
        </w:rPr>
        <w:t>委托</w:t>
      </w:r>
      <w:r>
        <w:rPr>
          <w:rFonts w:asciiTheme="minorEastAsia" w:hAnsiTheme="minorEastAsia" w:eastAsiaTheme="minorEastAsia"/>
          <w:color w:val="auto"/>
          <w:sz w:val="24"/>
        </w:rPr>
        <w:t>代表签字或者加盖</w:t>
      </w:r>
      <w:r>
        <w:rPr>
          <w:rFonts w:hint="eastAsia" w:asciiTheme="minorEastAsia" w:hAnsiTheme="minorEastAsia" w:eastAsiaTheme="minorEastAsia"/>
          <w:color w:val="auto"/>
          <w:sz w:val="24"/>
        </w:rPr>
        <w:t>供应商</w:t>
      </w:r>
      <w:r>
        <w:rPr>
          <w:rFonts w:asciiTheme="minorEastAsia" w:hAnsiTheme="minorEastAsia" w:eastAsiaTheme="minorEastAsia"/>
          <w:color w:val="auto"/>
          <w:sz w:val="24"/>
        </w:rPr>
        <w:t>公章</w:t>
      </w:r>
      <w:r>
        <w:rPr>
          <w:rFonts w:hint="eastAsia" w:asciiTheme="minorEastAsia" w:hAnsiTheme="minorEastAsia" w:eastAsiaTheme="minorEastAsia"/>
          <w:color w:val="auto"/>
          <w:sz w:val="24"/>
        </w:rPr>
        <w:t>（自然人除外）</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逾时不交的，视同放弃谈判。</w:t>
      </w:r>
    </w:p>
    <w:p>
      <w:pPr>
        <w:widowControl/>
        <w:spacing w:line="360" w:lineRule="auto"/>
        <w:ind w:firstLine="480" w:firstLineChars="200"/>
        <w:jc w:val="left"/>
        <w:outlineLvl w:val="1"/>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20.7</w:t>
      </w:r>
      <w:r>
        <w:rPr>
          <w:rFonts w:asciiTheme="minorEastAsia" w:hAnsiTheme="minorEastAsia" w:eastAsiaTheme="minorEastAsia"/>
          <w:color w:val="auto"/>
          <w:kern w:val="0"/>
          <w:sz w:val="24"/>
        </w:rPr>
        <w:t>在采购过程中符合竞争要求的供应商或者报价未超过</w:t>
      </w:r>
      <w:r>
        <w:rPr>
          <w:rFonts w:hint="eastAsia" w:asciiTheme="minorEastAsia" w:hAnsiTheme="minorEastAsia" w:eastAsiaTheme="minorEastAsia"/>
          <w:color w:val="auto"/>
          <w:kern w:val="0"/>
          <w:sz w:val="24"/>
        </w:rPr>
        <w:t>相应分标总</w:t>
      </w:r>
      <w:r>
        <w:rPr>
          <w:rFonts w:asciiTheme="minorEastAsia" w:hAnsiTheme="minorEastAsia" w:eastAsiaTheme="minorEastAsia"/>
          <w:color w:val="auto"/>
          <w:kern w:val="0"/>
          <w:sz w:val="24"/>
        </w:rPr>
        <w:t>采购预算</w:t>
      </w:r>
      <w:r>
        <w:rPr>
          <w:rFonts w:hint="eastAsia" w:asciiTheme="minorEastAsia" w:hAnsiTheme="minorEastAsia" w:eastAsiaTheme="minorEastAsia"/>
          <w:color w:val="auto"/>
          <w:kern w:val="0"/>
          <w:sz w:val="24"/>
        </w:rPr>
        <w:t>、分项采购预算（</w:t>
      </w:r>
      <w:r>
        <w:rPr>
          <w:rFonts w:hint="eastAsia" w:ascii="宋体" w:hAnsi="宋体"/>
          <w:color w:val="auto"/>
          <w:sz w:val="24"/>
        </w:rPr>
        <w:t>根据项目增减</w:t>
      </w:r>
      <w:r>
        <w:rPr>
          <w:rFonts w:hint="eastAsia" w:asciiTheme="minorEastAsia" w:hAnsiTheme="minorEastAsia" w:eastAsiaTheme="minorEastAsia"/>
          <w:color w:val="auto"/>
          <w:kern w:val="0"/>
          <w:sz w:val="24"/>
        </w:rPr>
        <w:t>）</w:t>
      </w:r>
      <w:r>
        <w:rPr>
          <w:rFonts w:asciiTheme="minorEastAsia" w:hAnsiTheme="minorEastAsia" w:eastAsiaTheme="minorEastAsia"/>
          <w:color w:val="auto"/>
          <w:kern w:val="0"/>
          <w:sz w:val="24"/>
        </w:rPr>
        <w:t>的供应商不足3家的</w:t>
      </w:r>
      <w:r>
        <w:rPr>
          <w:rFonts w:hint="eastAsia" w:asciiTheme="minorEastAsia" w:hAnsiTheme="minorEastAsia" w:eastAsiaTheme="minorEastAsia"/>
          <w:color w:val="auto"/>
          <w:kern w:val="0"/>
          <w:sz w:val="24"/>
        </w:rPr>
        <w:t>，采购人或者采购代理机构应当终止竞争性谈判采购活动。</w:t>
      </w:r>
    </w:p>
    <w:p>
      <w:pPr>
        <w:widowControl/>
        <w:spacing w:line="360" w:lineRule="auto"/>
        <w:ind w:firstLine="480" w:firstLineChars="200"/>
        <w:jc w:val="left"/>
        <w:outlineLvl w:val="1"/>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20.8最后报价</w:t>
      </w:r>
    </w:p>
    <w:p>
      <w:pPr>
        <w:spacing w:line="360" w:lineRule="auto"/>
        <w:ind w:firstLine="480" w:firstLineChars="200"/>
        <w:outlineLvl w:val="1"/>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20.8.1</w:t>
      </w:r>
      <w:r>
        <w:rPr>
          <w:rFonts w:asciiTheme="minorEastAsia" w:hAnsiTheme="minorEastAsia" w:eastAsiaTheme="minorEastAsia"/>
          <w:color w:val="auto"/>
          <w:kern w:val="0"/>
          <w:sz w:val="24"/>
        </w:rPr>
        <w:t>谈判文件能够详细列明采购标的的技术、服务要求的，谈判结束后，谈判小组应当要求所有继续参加谈判的供应商在规定时间内</w:t>
      </w:r>
      <w:r>
        <w:rPr>
          <w:rFonts w:hint="eastAsia" w:asciiTheme="minorEastAsia" w:hAnsiTheme="minorEastAsia" w:eastAsiaTheme="minorEastAsia"/>
          <w:color w:val="auto"/>
          <w:kern w:val="0"/>
          <w:sz w:val="24"/>
        </w:rPr>
        <w:t>密封</w:t>
      </w:r>
      <w:r>
        <w:rPr>
          <w:rFonts w:asciiTheme="minorEastAsia" w:hAnsiTheme="minorEastAsia" w:eastAsiaTheme="minorEastAsia"/>
          <w:color w:val="auto"/>
          <w:kern w:val="0"/>
          <w:sz w:val="24"/>
        </w:rPr>
        <w:t>提交最后报价，提交最后报价的供应商不得少于3家。</w:t>
      </w:r>
    </w:p>
    <w:p>
      <w:pPr>
        <w:spacing w:line="360" w:lineRule="auto"/>
        <w:ind w:firstLine="480" w:firstLineChars="200"/>
        <w:outlineLvl w:val="1"/>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20.8.2</w:t>
      </w:r>
      <w:r>
        <w:rPr>
          <w:rFonts w:asciiTheme="minorEastAsia" w:hAnsiTheme="minorEastAsia" w:eastAsiaTheme="minorEastAsia"/>
          <w:color w:val="auto"/>
          <w:kern w:val="0"/>
          <w:sz w:val="24"/>
        </w:rPr>
        <w:t>谈判文件不能详细列明采购标的的技术、服务要求</w:t>
      </w:r>
      <w:r>
        <w:rPr>
          <w:rFonts w:hint="eastAsia" w:asciiTheme="minorEastAsia" w:hAnsiTheme="minorEastAsia" w:eastAsiaTheme="minorEastAsia"/>
          <w:color w:val="auto"/>
          <w:kern w:val="0"/>
          <w:sz w:val="24"/>
        </w:rPr>
        <w:t>的</w:t>
      </w:r>
      <w:r>
        <w:rPr>
          <w:rFonts w:asciiTheme="minorEastAsia" w:hAnsiTheme="minorEastAsia" w:eastAsiaTheme="minorEastAsia"/>
          <w:color w:val="auto"/>
          <w:kern w:val="0"/>
          <w:sz w:val="24"/>
        </w:rPr>
        <w:t>，需</w:t>
      </w:r>
      <w:r>
        <w:rPr>
          <w:rFonts w:hint="eastAsia" w:asciiTheme="minorEastAsia" w:hAnsiTheme="minorEastAsia" w:eastAsiaTheme="minorEastAsia"/>
          <w:color w:val="auto"/>
          <w:kern w:val="0"/>
          <w:sz w:val="24"/>
        </w:rPr>
        <w:t>由</w:t>
      </w:r>
      <w:r>
        <w:rPr>
          <w:rFonts w:asciiTheme="minorEastAsia" w:hAnsiTheme="minorEastAsia" w:eastAsiaTheme="minorEastAsia"/>
          <w:color w:val="auto"/>
          <w:kern w:val="0"/>
          <w:sz w:val="24"/>
        </w:rPr>
        <w:t>谈判供应商提供最终设计方案或解决方案的，谈判结束后，谈判小组应当按照少数服从多数的原则投票推荐3家以上</w:t>
      </w:r>
      <w:r>
        <w:rPr>
          <w:rFonts w:hint="eastAsia" w:asciiTheme="minorEastAsia" w:hAnsiTheme="minorEastAsia" w:eastAsiaTheme="minorEastAsia"/>
          <w:color w:val="auto"/>
          <w:kern w:val="0"/>
          <w:sz w:val="24"/>
        </w:rPr>
        <w:t>（含3家）</w:t>
      </w:r>
      <w:r>
        <w:rPr>
          <w:rFonts w:asciiTheme="minorEastAsia" w:hAnsiTheme="minorEastAsia" w:eastAsiaTheme="minorEastAsia"/>
          <w:color w:val="auto"/>
          <w:kern w:val="0"/>
          <w:sz w:val="24"/>
        </w:rPr>
        <w:t>供应商的设计方案或者解决方案，并要求其在规定时间内</w:t>
      </w:r>
      <w:r>
        <w:rPr>
          <w:rFonts w:hint="eastAsia" w:asciiTheme="minorEastAsia" w:hAnsiTheme="minorEastAsia" w:eastAsiaTheme="minorEastAsia"/>
          <w:color w:val="auto"/>
          <w:kern w:val="0"/>
          <w:sz w:val="24"/>
        </w:rPr>
        <w:t>密封</w:t>
      </w:r>
      <w:r>
        <w:rPr>
          <w:rFonts w:asciiTheme="minorEastAsia" w:hAnsiTheme="minorEastAsia" w:eastAsiaTheme="minorEastAsia"/>
          <w:color w:val="auto"/>
          <w:kern w:val="0"/>
          <w:sz w:val="24"/>
        </w:rPr>
        <w:t>提交最后报价</w:t>
      </w:r>
      <w:r>
        <w:rPr>
          <w:rFonts w:hint="eastAsia" w:asciiTheme="minorEastAsia" w:hAnsiTheme="minorEastAsia" w:eastAsiaTheme="minorEastAsia"/>
          <w:color w:val="auto"/>
          <w:kern w:val="0"/>
          <w:sz w:val="24"/>
        </w:rPr>
        <w:t>。</w:t>
      </w:r>
    </w:p>
    <w:p>
      <w:pPr>
        <w:spacing w:line="360" w:lineRule="auto"/>
        <w:ind w:firstLine="480" w:firstLineChars="200"/>
        <w:outlineLvl w:val="1"/>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20.8.3</w:t>
      </w:r>
      <w:r>
        <w:rPr>
          <w:rFonts w:asciiTheme="minorEastAsia" w:hAnsiTheme="minorEastAsia" w:eastAsiaTheme="minorEastAsia"/>
          <w:color w:val="auto"/>
          <w:kern w:val="0"/>
          <w:sz w:val="24"/>
        </w:rPr>
        <w:t>最后报价是供应商</w:t>
      </w:r>
      <w:r>
        <w:rPr>
          <w:rFonts w:hint="eastAsia" w:asciiTheme="minorEastAsia" w:hAnsiTheme="minorEastAsia" w:eastAsiaTheme="minorEastAsia"/>
          <w:color w:val="auto"/>
          <w:kern w:val="0"/>
          <w:sz w:val="24"/>
        </w:rPr>
        <w:t>响应文件</w:t>
      </w:r>
      <w:r>
        <w:rPr>
          <w:rFonts w:asciiTheme="minorEastAsia" w:hAnsiTheme="minorEastAsia" w:eastAsiaTheme="minorEastAsia"/>
          <w:color w:val="auto"/>
          <w:kern w:val="0"/>
          <w:sz w:val="24"/>
        </w:rPr>
        <w:t>的有效组成部分。</w:t>
      </w:r>
    </w:p>
    <w:p>
      <w:pPr>
        <w:spacing w:line="360" w:lineRule="auto"/>
        <w:ind w:firstLine="484" w:firstLineChars="202"/>
        <w:rPr>
          <w:rFonts w:ascii="宋体" w:hAnsi="宋体"/>
          <w:color w:val="auto"/>
          <w:sz w:val="24"/>
        </w:rPr>
      </w:pPr>
      <w:r>
        <w:rPr>
          <w:rFonts w:hint="eastAsia" w:asciiTheme="minorEastAsia" w:hAnsiTheme="minorEastAsia" w:eastAsiaTheme="minorEastAsia"/>
          <w:color w:val="auto"/>
          <w:kern w:val="0"/>
          <w:sz w:val="24"/>
        </w:rPr>
        <w:t>20.9</w:t>
      </w:r>
      <w:r>
        <w:rPr>
          <w:rFonts w:asciiTheme="minorEastAsia" w:hAnsiTheme="minorEastAsia" w:eastAsiaTheme="minorEastAsia"/>
          <w:color w:val="auto"/>
          <w:kern w:val="0"/>
          <w:sz w:val="24"/>
        </w:rPr>
        <w:t>已提交响应文件的供应商，在提交最后报价之前，可以根据谈判情况</w:t>
      </w:r>
      <w:r>
        <w:rPr>
          <w:rFonts w:hint="eastAsia" w:asciiTheme="minorEastAsia" w:hAnsiTheme="minorEastAsia" w:eastAsiaTheme="minorEastAsia"/>
          <w:color w:val="auto"/>
          <w:kern w:val="0"/>
          <w:sz w:val="24"/>
        </w:rPr>
        <w:t>书面</w:t>
      </w:r>
      <w:r>
        <w:rPr>
          <w:rFonts w:asciiTheme="minorEastAsia" w:hAnsiTheme="minorEastAsia" w:eastAsiaTheme="minorEastAsia"/>
          <w:color w:val="auto"/>
          <w:kern w:val="0"/>
          <w:sz w:val="24"/>
        </w:rPr>
        <w:t>退出谈判</w:t>
      </w:r>
      <w:r>
        <w:rPr>
          <w:rFonts w:hint="eastAsia" w:asciiTheme="minorEastAsia" w:hAnsiTheme="minorEastAsia" w:eastAsiaTheme="minorEastAsia"/>
          <w:color w:val="auto"/>
          <w:kern w:val="0"/>
          <w:sz w:val="24"/>
        </w:rPr>
        <w:t>。</w:t>
      </w:r>
      <w:r>
        <w:rPr>
          <w:rFonts w:hint="eastAsia" w:ascii="宋体" w:hAnsi="宋体"/>
          <w:color w:val="auto"/>
          <w:sz w:val="24"/>
        </w:rPr>
        <w:t xml:space="preserve"> </w:t>
      </w:r>
    </w:p>
    <w:p>
      <w:pPr>
        <w:spacing w:line="360" w:lineRule="auto"/>
        <w:ind w:firstLine="487" w:firstLineChars="202"/>
        <w:rPr>
          <w:b/>
          <w:color w:val="auto"/>
          <w:sz w:val="24"/>
        </w:rPr>
      </w:pPr>
      <w:r>
        <w:rPr>
          <w:rFonts w:hint="eastAsia"/>
          <w:b/>
          <w:color w:val="auto"/>
          <w:sz w:val="24"/>
        </w:rPr>
        <w:t>注：根据《南宁市机关事务管理局关于疫情防控期间恢复全市公共资源现场交易活动的通知》文件精神，疫情防控期间，按照“不见面、少接触”的原则，供应商不参加现场竞标活动。本项目磋商及最终报价均按南宁市公共交易中心指引通过电话、网络、传真等方式进行。</w:t>
      </w:r>
    </w:p>
    <w:p>
      <w:pPr>
        <w:spacing w:line="360" w:lineRule="auto"/>
        <w:ind w:firstLine="487" w:firstLineChars="202"/>
        <w:rPr>
          <w:b/>
          <w:color w:val="auto"/>
          <w:sz w:val="24"/>
        </w:rPr>
      </w:pPr>
      <w:r>
        <w:rPr>
          <w:rFonts w:hint="eastAsia"/>
          <w:b/>
          <w:color w:val="auto"/>
          <w:sz w:val="24"/>
        </w:rPr>
        <w:t>①为便于采购代理机构或评审小组在项目评审期间与供应商取得联系，做好评审过程中供应商对竞标文件的澄清、说明或者补正，以及磋商等工作，供应商务必做到：</w:t>
      </w:r>
    </w:p>
    <w:p>
      <w:pPr>
        <w:spacing w:line="360" w:lineRule="auto"/>
        <w:ind w:firstLine="487" w:firstLineChars="202"/>
        <w:rPr>
          <w:b/>
          <w:color w:val="auto"/>
          <w:sz w:val="24"/>
        </w:rPr>
      </w:pPr>
      <w:r>
        <w:rPr>
          <w:rFonts w:hint="eastAsia"/>
          <w:b/>
          <w:color w:val="auto"/>
          <w:sz w:val="24"/>
        </w:rPr>
        <w:t>a.务必填写法定代表人或委托代理人的电话联系方式。</w:t>
      </w:r>
    </w:p>
    <w:p>
      <w:pPr>
        <w:spacing w:line="360" w:lineRule="auto"/>
        <w:ind w:firstLine="487" w:firstLineChars="202"/>
        <w:rPr>
          <w:b/>
          <w:color w:val="auto"/>
          <w:sz w:val="24"/>
        </w:rPr>
      </w:pPr>
      <w:r>
        <w:rPr>
          <w:rFonts w:hint="eastAsia"/>
          <w:b/>
          <w:color w:val="auto"/>
          <w:sz w:val="24"/>
        </w:rPr>
        <w:t>b.务必填写传真号码或电子邮箱。</w:t>
      </w:r>
    </w:p>
    <w:p>
      <w:pPr>
        <w:spacing w:line="360" w:lineRule="auto"/>
        <w:ind w:firstLine="487" w:firstLineChars="202"/>
        <w:rPr>
          <w:b/>
          <w:color w:val="auto"/>
          <w:sz w:val="24"/>
        </w:rPr>
      </w:pPr>
      <w:r>
        <w:rPr>
          <w:rFonts w:hint="eastAsia"/>
          <w:b/>
          <w:color w:val="auto"/>
          <w:sz w:val="24"/>
        </w:rPr>
        <w:t>②评审当天竞标人务必保持电话畅通。如果评审过程中需要与竞标人进行磋商、要求竞标人进行报价以及对响应文件作出澄清、说明或者补正的，磋商小组会通知竞标人在规定的时间内通过电子邮件、传真等方式提交。竞标人所提交的磋商应答文件、报价、澄清、说明或者补正等材料必须加盖供应商的公章确认。</w:t>
      </w:r>
    </w:p>
    <w:p>
      <w:pPr>
        <w:spacing w:line="360" w:lineRule="auto"/>
        <w:ind w:firstLine="482" w:firstLineChars="200"/>
        <w:outlineLvl w:val="1"/>
        <w:rPr>
          <w:rFonts w:asciiTheme="minorEastAsia" w:hAnsiTheme="minorEastAsia" w:eastAsiaTheme="minorEastAsia"/>
          <w:color w:val="auto"/>
          <w:kern w:val="0"/>
          <w:sz w:val="24"/>
        </w:rPr>
      </w:pPr>
      <w:r>
        <w:rPr>
          <w:rFonts w:hint="eastAsia"/>
          <w:b/>
          <w:color w:val="auto"/>
          <w:sz w:val="24"/>
        </w:rPr>
        <w:t>③如竞标人未按采购文件要求填写联系电话、传真号码或电子邮箱，致使采购代理机构或磋商小组在项目评标期间无法与其取得联系的，或因自身原因未能保持电话畅通或未按磋商小组要求提交澄清、说明、报价或者补正的，后果由竞标人自行承担。</w:t>
      </w:r>
    </w:p>
    <w:p>
      <w:pPr>
        <w:widowControl/>
        <w:tabs>
          <w:tab w:val="left" w:pos="540"/>
        </w:tabs>
        <w:spacing w:line="360" w:lineRule="auto"/>
        <w:ind w:firstLine="480" w:firstLineChars="200"/>
        <w:jc w:val="left"/>
        <w:outlineLvl w:val="1"/>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 xml:space="preserve">20.10 </w:t>
      </w:r>
      <w:r>
        <w:rPr>
          <w:rFonts w:asciiTheme="minorEastAsia" w:hAnsiTheme="minorEastAsia" w:eastAsiaTheme="minorEastAsia"/>
          <w:color w:val="auto"/>
          <w:kern w:val="0"/>
          <w:sz w:val="24"/>
        </w:rPr>
        <w:t>评审报告</w:t>
      </w:r>
    </w:p>
    <w:p>
      <w:pPr>
        <w:spacing w:line="360" w:lineRule="auto"/>
        <w:ind w:firstLine="480" w:firstLineChars="200"/>
        <w:outlineLvl w:val="1"/>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谈判小组应当从质量和服务均能满足</w:t>
      </w:r>
      <w:r>
        <w:rPr>
          <w:rFonts w:hint="eastAsia" w:asciiTheme="minorEastAsia" w:hAnsiTheme="minorEastAsia" w:eastAsiaTheme="minorEastAsia"/>
          <w:color w:val="auto"/>
          <w:kern w:val="0"/>
          <w:sz w:val="24"/>
        </w:rPr>
        <w:t>谈判</w:t>
      </w:r>
      <w:r>
        <w:rPr>
          <w:rFonts w:asciiTheme="minorEastAsia" w:hAnsiTheme="minorEastAsia" w:eastAsiaTheme="minorEastAsia"/>
          <w:color w:val="auto"/>
          <w:kern w:val="0"/>
          <w:sz w:val="24"/>
        </w:rPr>
        <w:t>文件</w:t>
      </w:r>
      <w:r>
        <w:rPr>
          <w:rFonts w:hint="eastAsia" w:asciiTheme="minorEastAsia" w:hAnsiTheme="minorEastAsia" w:eastAsiaTheme="minorEastAsia"/>
          <w:color w:val="auto"/>
          <w:kern w:val="0"/>
          <w:sz w:val="24"/>
        </w:rPr>
        <w:t>全部</w:t>
      </w:r>
      <w:r>
        <w:rPr>
          <w:rFonts w:asciiTheme="minorEastAsia" w:hAnsiTheme="minorEastAsia" w:eastAsiaTheme="minorEastAsia"/>
          <w:color w:val="auto"/>
          <w:kern w:val="0"/>
          <w:sz w:val="24"/>
        </w:rPr>
        <w:t>实质性响应要求的供应商中，按</w:t>
      </w:r>
      <w:r>
        <w:rPr>
          <w:rFonts w:hint="eastAsia" w:asciiTheme="minorEastAsia" w:hAnsiTheme="minorEastAsia" w:eastAsiaTheme="minorEastAsia"/>
          <w:color w:val="auto"/>
          <w:kern w:val="0"/>
          <w:sz w:val="24"/>
        </w:rPr>
        <w:t>照评审报价（最后报价及享受政府采购政策的优惠扣除）由低到高的顺序</w:t>
      </w:r>
      <w:r>
        <w:rPr>
          <w:rFonts w:asciiTheme="minorEastAsia" w:hAnsiTheme="minorEastAsia" w:eastAsiaTheme="minorEastAsia"/>
          <w:color w:val="auto"/>
          <w:kern w:val="0"/>
          <w:sz w:val="24"/>
        </w:rPr>
        <w:t>提出3名以上</w:t>
      </w:r>
      <w:r>
        <w:rPr>
          <w:rFonts w:hint="eastAsia" w:asciiTheme="minorEastAsia" w:hAnsiTheme="minorEastAsia" w:eastAsiaTheme="minorEastAsia"/>
          <w:color w:val="auto"/>
          <w:kern w:val="0"/>
          <w:sz w:val="24"/>
        </w:rPr>
        <w:t>（含3名）</w:t>
      </w:r>
      <w:r>
        <w:rPr>
          <w:rFonts w:asciiTheme="minorEastAsia" w:hAnsiTheme="minorEastAsia" w:eastAsiaTheme="minorEastAsia"/>
          <w:color w:val="auto"/>
          <w:kern w:val="0"/>
          <w:sz w:val="24"/>
        </w:rPr>
        <w:t>成交候选人，并编写评审报告。</w:t>
      </w:r>
    </w:p>
    <w:p>
      <w:pPr>
        <w:spacing w:line="360" w:lineRule="auto"/>
        <w:ind w:firstLine="480" w:firstLineChars="200"/>
        <w:outlineLvl w:val="1"/>
        <w:rPr>
          <w:rFonts w:asciiTheme="minorEastAsia" w:hAnsiTheme="minorEastAsia" w:eastAsiaTheme="minorEastAsia"/>
          <w:color w:val="auto"/>
          <w:sz w:val="24"/>
        </w:rPr>
      </w:pPr>
      <w:r>
        <w:rPr>
          <w:rFonts w:hint="eastAsia" w:asciiTheme="minorEastAsia" w:hAnsiTheme="minorEastAsia" w:eastAsiaTheme="minorEastAsia"/>
          <w:color w:val="auto"/>
          <w:sz w:val="24"/>
        </w:rPr>
        <w:t>20.11采购代理机构发现谈判小组有明显的违规倾向或歧视现象，或不按评审办法进行，或其他不正常行为的，应当及时制止。如制止无效，应及时向南宁市政府采购监督管理机构报告。</w:t>
      </w:r>
    </w:p>
    <w:p>
      <w:pPr>
        <w:pStyle w:val="24"/>
        <w:spacing w:line="360" w:lineRule="auto"/>
        <w:ind w:firstLine="482" w:firstLineChars="200"/>
        <w:outlineLvl w:val="1"/>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21. 确定成交供应商</w:t>
      </w:r>
    </w:p>
    <w:p>
      <w:pPr>
        <w:pStyle w:val="24"/>
        <w:tabs>
          <w:tab w:val="left" w:pos="4214"/>
        </w:tabs>
        <w:spacing w:line="360" w:lineRule="auto"/>
        <w:ind w:firstLine="480" w:firstLineChars="200"/>
        <w:outlineLvl w:val="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（1）采购单位应当确定谈判小组推荐排名第一的成交候选人为成交供应商。</w:t>
      </w:r>
    </w:p>
    <w:p>
      <w:pPr>
        <w:pStyle w:val="24"/>
        <w:spacing w:line="360" w:lineRule="auto"/>
        <w:ind w:firstLine="511" w:firstLineChars="213"/>
        <w:outlineLvl w:val="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（2）排名第一的成交候选人放弃中标、因不可抗力提出不能履行合同，采购单位可以确定排名第二的成交候选人为成交供应商。</w:t>
      </w:r>
      <w:r>
        <w:rPr>
          <w:rFonts w:hint="eastAsia" w:hAnsi="宋体"/>
          <w:color w:val="auto"/>
          <w:sz w:val="24"/>
          <w:szCs w:val="24"/>
        </w:rPr>
        <w:t>采购人也可以重新采购。</w:t>
      </w:r>
    </w:p>
    <w:p>
      <w:pPr>
        <w:pStyle w:val="24"/>
        <w:spacing w:line="360" w:lineRule="auto"/>
        <w:ind w:firstLine="480" w:firstLineChars="200"/>
        <w:outlineLvl w:val="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排名第二的成交候选人因前款规定的同样原因不能签订合同的，采购单位可以确定排名第三的成交候选人为成交供应商。</w:t>
      </w:r>
      <w:r>
        <w:rPr>
          <w:rFonts w:hint="eastAsia" w:hAnsi="宋体"/>
          <w:color w:val="auto"/>
          <w:sz w:val="24"/>
          <w:szCs w:val="24"/>
        </w:rPr>
        <w:t>采购人也可以重新采购。</w:t>
      </w:r>
    </w:p>
    <w:p>
      <w:pPr>
        <w:widowControl/>
        <w:shd w:val="clear" w:color="auto" w:fill="FFFFFF"/>
        <w:spacing w:line="360" w:lineRule="auto"/>
        <w:ind w:firstLine="480"/>
        <w:jc w:val="left"/>
        <w:outlineLvl w:val="1"/>
        <w:rPr>
          <w:rFonts w:asciiTheme="minorEastAsia" w:hAnsiTheme="minorEastAsia" w:eastAsiaTheme="minorEastAsia"/>
          <w:b/>
          <w:color w:val="auto"/>
          <w:sz w:val="24"/>
        </w:rPr>
      </w:pPr>
      <w:r>
        <w:rPr>
          <w:rFonts w:hint="eastAsia" w:asciiTheme="minorEastAsia" w:hAnsiTheme="minorEastAsia" w:eastAsiaTheme="minorEastAsia"/>
          <w:b/>
          <w:bCs/>
          <w:color w:val="auto"/>
          <w:sz w:val="24"/>
        </w:rPr>
        <w:t xml:space="preserve">22. </w:t>
      </w:r>
      <w:r>
        <w:rPr>
          <w:rFonts w:hint="eastAsia" w:asciiTheme="minorEastAsia" w:hAnsiTheme="minorEastAsia" w:eastAsiaTheme="minorEastAsia"/>
          <w:b/>
          <w:color w:val="auto"/>
          <w:sz w:val="24"/>
        </w:rPr>
        <w:t>属于下列情况之一者，响应文件无效：</w:t>
      </w:r>
    </w:p>
    <w:p>
      <w:pPr>
        <w:snapToGrid w:val="0"/>
        <w:spacing w:line="360" w:lineRule="auto"/>
        <w:ind w:firstLine="470" w:firstLineChars="196"/>
        <w:outlineLvl w:val="1"/>
        <w:rPr>
          <w:rFonts w:asciiTheme="minorEastAsia" w:hAnsiTheme="minorEastAsia" w:eastAsiaTheme="minorEastAsia"/>
          <w:color w:val="auto"/>
          <w:sz w:val="24"/>
        </w:rPr>
      </w:pPr>
      <w:r>
        <w:rPr>
          <w:rFonts w:hint="eastAsia" w:asciiTheme="minorEastAsia" w:hAnsiTheme="minorEastAsia" w:eastAsiaTheme="minorEastAsia"/>
          <w:color w:val="auto"/>
          <w:sz w:val="24"/>
        </w:rPr>
        <w:t>（2）未按谈判文件规定完整提交响应文件或未按规定要求密封、签字、盖章的；</w:t>
      </w:r>
    </w:p>
    <w:p>
      <w:pPr>
        <w:snapToGrid w:val="0"/>
        <w:spacing w:line="360" w:lineRule="auto"/>
        <w:ind w:firstLine="480" w:firstLineChars="200"/>
        <w:outlineLvl w:val="1"/>
        <w:rPr>
          <w:rFonts w:asciiTheme="minorEastAsia" w:hAnsiTheme="minorEastAsia" w:eastAsiaTheme="minorEastAsia"/>
          <w:color w:val="auto"/>
          <w:sz w:val="24"/>
        </w:rPr>
      </w:pPr>
      <w:r>
        <w:rPr>
          <w:rFonts w:hint="eastAsia" w:asciiTheme="minorEastAsia" w:hAnsiTheme="minorEastAsia" w:eastAsiaTheme="minorEastAsia"/>
          <w:color w:val="auto"/>
          <w:sz w:val="24"/>
        </w:rPr>
        <w:t>（3）超越了行政审批的经营范围的；</w:t>
      </w:r>
    </w:p>
    <w:p>
      <w:pPr>
        <w:snapToGrid w:val="0"/>
        <w:spacing w:line="360" w:lineRule="auto"/>
        <w:ind w:firstLine="470" w:firstLineChars="196"/>
        <w:outlineLvl w:val="1"/>
        <w:rPr>
          <w:rFonts w:asciiTheme="minorEastAsia" w:hAnsiTheme="minorEastAsia" w:eastAsiaTheme="minorEastAsia"/>
          <w:color w:val="auto"/>
          <w:sz w:val="24"/>
        </w:rPr>
      </w:pPr>
      <w:r>
        <w:rPr>
          <w:rFonts w:hint="eastAsia" w:asciiTheme="minorEastAsia" w:hAnsiTheme="minorEastAsia" w:eastAsiaTheme="minorEastAsia"/>
          <w:color w:val="auto"/>
          <w:sz w:val="24"/>
        </w:rPr>
        <w:t>（4）不具备谈判文件规定的资格要求的；</w:t>
      </w:r>
    </w:p>
    <w:p>
      <w:pPr>
        <w:snapToGrid w:val="0"/>
        <w:spacing w:line="360" w:lineRule="auto"/>
        <w:ind w:firstLine="470" w:firstLineChars="196"/>
        <w:outlineLvl w:val="1"/>
        <w:rPr>
          <w:rFonts w:asciiTheme="minorEastAsia" w:hAnsiTheme="minorEastAsia" w:eastAsiaTheme="minorEastAsia"/>
          <w:color w:val="auto"/>
          <w:sz w:val="24"/>
        </w:rPr>
      </w:pPr>
      <w:r>
        <w:rPr>
          <w:rFonts w:hint="eastAsia" w:asciiTheme="minorEastAsia" w:hAnsiTheme="minorEastAsia" w:eastAsiaTheme="minorEastAsia"/>
          <w:color w:val="auto"/>
          <w:sz w:val="24"/>
        </w:rPr>
        <w:t>（5）响应文件未按谈判文件的内容和要求编制，或提供虚假材料的；</w:t>
      </w:r>
    </w:p>
    <w:p>
      <w:pPr>
        <w:snapToGrid w:val="0"/>
        <w:spacing w:line="360" w:lineRule="auto"/>
        <w:ind w:firstLine="480" w:firstLineChars="200"/>
        <w:outlineLvl w:val="1"/>
        <w:rPr>
          <w:rFonts w:asciiTheme="minorEastAsia" w:hAnsiTheme="minorEastAsia" w:eastAsiaTheme="minorEastAsia"/>
          <w:color w:val="auto"/>
          <w:sz w:val="24"/>
        </w:rPr>
      </w:pPr>
      <w:r>
        <w:rPr>
          <w:rFonts w:hint="eastAsia" w:asciiTheme="minorEastAsia" w:hAnsiTheme="minorEastAsia" w:eastAsiaTheme="minorEastAsia"/>
          <w:color w:val="auto"/>
          <w:sz w:val="24"/>
        </w:rPr>
        <w:t>（6）属于“必须提供”的响应文件未能按时提供或补正、更正的；</w:t>
      </w:r>
    </w:p>
    <w:p>
      <w:pPr>
        <w:snapToGrid w:val="0"/>
        <w:spacing w:line="360" w:lineRule="auto"/>
        <w:ind w:firstLine="470" w:firstLineChars="196"/>
        <w:outlineLvl w:val="1"/>
        <w:rPr>
          <w:rFonts w:asciiTheme="minorEastAsia" w:hAnsiTheme="minorEastAsia" w:eastAsiaTheme="minorEastAsia"/>
          <w:color w:val="auto"/>
          <w:sz w:val="24"/>
        </w:rPr>
      </w:pPr>
      <w:r>
        <w:rPr>
          <w:rFonts w:hint="eastAsia" w:asciiTheme="minorEastAsia" w:hAnsiTheme="minorEastAsia" w:eastAsiaTheme="minorEastAsia"/>
          <w:color w:val="auto"/>
          <w:sz w:val="24"/>
        </w:rPr>
        <w:t>（7）响应文件有效期、交货时间、免费保修期、售后服务不能满足谈判文件要求的；</w:t>
      </w:r>
    </w:p>
    <w:p>
      <w:pPr>
        <w:snapToGrid w:val="0"/>
        <w:spacing w:line="360" w:lineRule="auto"/>
        <w:ind w:firstLine="470" w:firstLineChars="196"/>
        <w:outlineLvl w:val="1"/>
        <w:rPr>
          <w:rFonts w:asciiTheme="minorEastAsia" w:hAnsiTheme="minorEastAsia" w:eastAsiaTheme="minorEastAsia"/>
          <w:color w:val="auto"/>
          <w:sz w:val="24"/>
        </w:rPr>
      </w:pPr>
      <w:r>
        <w:rPr>
          <w:rFonts w:hint="eastAsia" w:asciiTheme="minorEastAsia" w:hAnsiTheme="minorEastAsia" w:eastAsiaTheme="minorEastAsia"/>
          <w:color w:val="auto"/>
          <w:sz w:val="24"/>
        </w:rPr>
        <w:t>（8）供应商未就项目需求和说明中所竞分标的所有货物内容作完整唯一报价的，或报价超出相应分标采购预算总金额的；</w:t>
      </w:r>
    </w:p>
    <w:p>
      <w:pPr>
        <w:pStyle w:val="24"/>
        <w:spacing w:line="360" w:lineRule="auto"/>
        <w:ind w:firstLine="480" w:firstLineChars="200"/>
        <w:outlineLvl w:val="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（9）</w:t>
      </w:r>
      <w:r>
        <w:rPr>
          <w:rFonts w:asciiTheme="minorEastAsia" w:hAnsiTheme="minorEastAsia" w:eastAsiaTheme="minorEastAsia"/>
          <w:color w:val="auto"/>
          <w:sz w:val="24"/>
          <w:szCs w:val="24"/>
        </w:rPr>
        <w:t>未在谈判小组规定的时间内</w:t>
      </w:r>
      <w:r>
        <w:rPr>
          <w:rFonts w:hint="eastAsia" w:asciiTheme="minorEastAsia" w:hAnsiTheme="minorEastAsia" w:eastAsiaTheme="minorEastAsia"/>
          <w:color w:val="auto"/>
          <w:sz w:val="24"/>
          <w:szCs w:val="24"/>
        </w:rPr>
        <w:t>重新提交响应文件</w:t>
      </w:r>
      <w:r>
        <w:rPr>
          <w:rFonts w:asciiTheme="minorEastAsia" w:hAnsiTheme="minorEastAsia" w:eastAsiaTheme="minorEastAsia"/>
          <w:color w:val="auto"/>
          <w:sz w:val="24"/>
          <w:szCs w:val="24"/>
        </w:rPr>
        <w:t>的</w:t>
      </w:r>
      <w:r>
        <w:rPr>
          <w:rFonts w:hint="eastAsia" w:asciiTheme="minorEastAsia" w:hAnsiTheme="minorEastAsia" w:eastAsiaTheme="minorEastAsia"/>
          <w:color w:val="auto"/>
          <w:sz w:val="24"/>
          <w:szCs w:val="24"/>
        </w:rPr>
        <w:t>；</w:t>
      </w:r>
    </w:p>
    <w:p>
      <w:pPr>
        <w:pStyle w:val="24"/>
        <w:spacing w:line="360" w:lineRule="auto"/>
        <w:ind w:firstLine="480" w:firstLineChars="200"/>
        <w:outlineLvl w:val="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（10）未满足谈判文件全部实质性要求的或者响应文件有采购人不能接受的附加条件的；</w:t>
      </w:r>
    </w:p>
    <w:p>
      <w:pPr>
        <w:snapToGrid w:val="0"/>
        <w:spacing w:line="360" w:lineRule="auto"/>
        <w:ind w:left="355" w:leftChars="169" w:firstLine="117" w:firstLineChars="49"/>
        <w:outlineLvl w:val="1"/>
        <w:rPr>
          <w:rFonts w:asciiTheme="minorEastAsia" w:hAnsiTheme="minorEastAsia" w:eastAsiaTheme="minorEastAsia"/>
          <w:color w:val="auto"/>
          <w:sz w:val="24"/>
        </w:rPr>
      </w:pPr>
      <w:r>
        <w:rPr>
          <w:rFonts w:hint="eastAsia" w:asciiTheme="minorEastAsia" w:hAnsiTheme="minorEastAsia" w:eastAsiaTheme="minorEastAsia"/>
          <w:color w:val="auto"/>
          <w:sz w:val="24"/>
        </w:rPr>
        <w:t>（11）不符合法律、法规和谈判文件规定的其他实质性要求和条件的。</w:t>
      </w:r>
    </w:p>
    <w:p>
      <w:pPr>
        <w:snapToGrid w:val="0"/>
        <w:spacing w:line="360" w:lineRule="auto"/>
        <w:ind w:left="355" w:leftChars="169" w:firstLine="118" w:firstLineChars="49"/>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供应商有下列情形之一的，视为串通竞标，响应文件将被视为无效：</w:t>
      </w:r>
    </w:p>
    <w:p>
      <w:pPr>
        <w:snapToGrid w:val="0"/>
        <w:spacing w:line="360" w:lineRule="auto"/>
        <w:ind w:left="355" w:leftChars="169" w:firstLine="117" w:firstLineChars="49"/>
        <w:outlineLvl w:val="1"/>
        <w:rPr>
          <w:rFonts w:asciiTheme="minorEastAsia" w:hAnsiTheme="minorEastAsia" w:eastAsiaTheme="minorEastAsia"/>
          <w:color w:val="auto"/>
          <w:sz w:val="24"/>
        </w:rPr>
      </w:pPr>
      <w:r>
        <w:rPr>
          <w:rFonts w:hint="eastAsia" w:asciiTheme="minorEastAsia" w:hAnsiTheme="minorEastAsia" w:eastAsiaTheme="minorEastAsia"/>
          <w:color w:val="auto"/>
          <w:sz w:val="24"/>
        </w:rPr>
        <w:t>（1）不同供应商的响应文件由同一单位或者个人编制；</w:t>
      </w:r>
    </w:p>
    <w:p>
      <w:pPr>
        <w:snapToGrid w:val="0"/>
        <w:spacing w:line="360" w:lineRule="auto"/>
        <w:ind w:left="355" w:leftChars="169" w:firstLine="117" w:firstLineChars="49"/>
        <w:outlineLvl w:val="1"/>
        <w:rPr>
          <w:rFonts w:asciiTheme="minorEastAsia" w:hAnsiTheme="minorEastAsia" w:eastAsiaTheme="minorEastAsia"/>
          <w:color w:val="auto"/>
          <w:sz w:val="24"/>
        </w:rPr>
      </w:pPr>
      <w:r>
        <w:rPr>
          <w:rFonts w:hint="eastAsia" w:asciiTheme="minorEastAsia" w:hAnsiTheme="minorEastAsia" w:eastAsiaTheme="minorEastAsia"/>
          <w:color w:val="auto"/>
          <w:sz w:val="24"/>
        </w:rPr>
        <w:t>（2）不同供应商委托同一单位或者个人办理竞标事宜；</w:t>
      </w:r>
    </w:p>
    <w:p>
      <w:pPr>
        <w:snapToGrid w:val="0"/>
        <w:spacing w:line="360" w:lineRule="auto"/>
        <w:ind w:left="355" w:leftChars="169" w:firstLine="117" w:firstLineChars="49"/>
        <w:outlineLvl w:val="1"/>
        <w:rPr>
          <w:rFonts w:asciiTheme="minorEastAsia" w:hAnsiTheme="minorEastAsia" w:eastAsiaTheme="minorEastAsia"/>
          <w:color w:val="auto"/>
          <w:sz w:val="24"/>
        </w:rPr>
      </w:pPr>
      <w:r>
        <w:rPr>
          <w:rFonts w:hint="eastAsia" w:asciiTheme="minorEastAsia" w:hAnsiTheme="minorEastAsia" w:eastAsiaTheme="minorEastAsia"/>
          <w:color w:val="auto"/>
          <w:sz w:val="24"/>
        </w:rPr>
        <w:t>（3）不同的供应商的响应文件载明的项目管理员为同一个人；</w:t>
      </w:r>
    </w:p>
    <w:p>
      <w:pPr>
        <w:snapToGrid w:val="0"/>
        <w:spacing w:line="360" w:lineRule="auto"/>
        <w:ind w:left="355" w:leftChars="169" w:firstLine="117" w:firstLineChars="49"/>
        <w:outlineLvl w:val="1"/>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（4）不同供应商的响应文件异常一致或报价呈规律性差异； </w:t>
      </w:r>
    </w:p>
    <w:p>
      <w:pPr>
        <w:snapToGrid w:val="0"/>
        <w:spacing w:line="360" w:lineRule="auto"/>
        <w:ind w:left="355" w:leftChars="169" w:firstLine="117" w:firstLineChars="49"/>
        <w:outlineLvl w:val="1"/>
        <w:rPr>
          <w:rFonts w:asciiTheme="minorEastAsia" w:hAnsiTheme="minorEastAsia" w:eastAsiaTheme="minorEastAsia"/>
          <w:color w:val="auto"/>
          <w:sz w:val="24"/>
        </w:rPr>
      </w:pPr>
      <w:r>
        <w:rPr>
          <w:rFonts w:hint="eastAsia" w:asciiTheme="minorEastAsia" w:hAnsiTheme="minorEastAsia" w:eastAsiaTheme="minorEastAsia"/>
          <w:color w:val="auto"/>
          <w:sz w:val="24"/>
        </w:rPr>
        <w:t>（5）不同供应商的响应文件相互混装；</w:t>
      </w:r>
    </w:p>
    <w:p>
      <w:pPr>
        <w:snapToGrid w:val="0"/>
        <w:spacing w:line="360" w:lineRule="auto"/>
        <w:ind w:firstLine="472" w:firstLineChars="196"/>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 xml:space="preserve">23. </w:t>
      </w:r>
      <w:r>
        <w:rPr>
          <w:rFonts w:asciiTheme="minorEastAsia" w:hAnsiTheme="minorEastAsia" w:eastAsiaTheme="minorEastAsia"/>
          <w:b/>
          <w:color w:val="auto"/>
          <w:sz w:val="24"/>
        </w:rPr>
        <w:t>出现下列情形之一的，采购人或者采购代理机构应当终止竞争性谈判采购活动，发布项目终止公告并说明原因，重新开展采购活动：</w:t>
      </w:r>
    </w:p>
    <w:p>
      <w:pPr>
        <w:snapToGrid w:val="0"/>
        <w:spacing w:line="360" w:lineRule="auto"/>
        <w:ind w:firstLine="470" w:firstLineChars="196"/>
        <w:outlineLvl w:val="1"/>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因情况变化，不再符合规定的竞争性谈判采购方式适用情形的；</w:t>
      </w:r>
    </w:p>
    <w:p>
      <w:pPr>
        <w:snapToGrid w:val="0"/>
        <w:spacing w:line="360" w:lineRule="auto"/>
        <w:ind w:firstLine="470" w:firstLineChars="196"/>
        <w:outlineLvl w:val="1"/>
        <w:rPr>
          <w:rFonts w:asciiTheme="minorEastAsia" w:hAnsiTheme="minorEastAsia" w:eastAsiaTheme="minorEastAsia"/>
          <w:color w:val="auto"/>
          <w:sz w:val="24"/>
        </w:rPr>
      </w:pPr>
      <w:r>
        <w:rPr>
          <w:rFonts w:hint="eastAsia" w:asciiTheme="minorEastAsia" w:hAnsiTheme="minorEastAsia" w:eastAsiaTheme="minorEastAsia"/>
          <w:color w:val="auto"/>
          <w:sz w:val="24"/>
        </w:rPr>
        <w:t>（2）</w:t>
      </w:r>
      <w:r>
        <w:rPr>
          <w:rFonts w:asciiTheme="minorEastAsia" w:hAnsiTheme="minorEastAsia" w:eastAsiaTheme="minorEastAsia"/>
          <w:color w:val="auto"/>
          <w:sz w:val="24"/>
        </w:rPr>
        <w:t>出现影响采购公正的违法、违规行为的；</w:t>
      </w:r>
      <w:r>
        <w:rPr>
          <w:rFonts w:hint="eastAsia" w:asciiTheme="minorEastAsia" w:hAnsiTheme="minorEastAsia" w:eastAsiaTheme="minorEastAsia"/>
          <w:color w:val="auto"/>
          <w:sz w:val="24"/>
        </w:rPr>
        <w:t xml:space="preserve"> </w:t>
      </w:r>
    </w:p>
    <w:p>
      <w:pPr>
        <w:snapToGrid w:val="0"/>
        <w:spacing w:line="360" w:lineRule="auto"/>
        <w:ind w:firstLine="470" w:firstLineChars="196"/>
        <w:outlineLvl w:val="1"/>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asciiTheme="minorEastAsia" w:hAnsiTheme="minorEastAsia" w:eastAsiaTheme="minorEastAsia"/>
          <w:color w:val="auto"/>
          <w:sz w:val="24"/>
        </w:rPr>
        <w:t>在采购过程中符合竞争要求的供应商不足3家的</w:t>
      </w:r>
      <w:r>
        <w:rPr>
          <w:rFonts w:hint="eastAsia" w:asciiTheme="minorEastAsia" w:hAnsiTheme="minorEastAsia" w:eastAsiaTheme="minorEastAsia"/>
          <w:color w:val="auto"/>
          <w:sz w:val="24"/>
        </w:rPr>
        <w:t xml:space="preserve">。 </w:t>
      </w:r>
    </w:p>
    <w:p>
      <w:pPr>
        <w:snapToGrid w:val="0"/>
        <w:spacing w:line="360" w:lineRule="auto"/>
        <w:ind w:firstLine="482" w:firstLineChars="200"/>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24. 谈判过程的监控</w:t>
      </w:r>
    </w:p>
    <w:p>
      <w:pPr>
        <w:pStyle w:val="24"/>
        <w:spacing w:line="360" w:lineRule="auto"/>
        <w:ind w:firstLine="470" w:firstLineChars="196"/>
        <w:outlineLvl w:val="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本项目谈判过程实行全程录音、录像监控，供应商在谈判过程中所进行的试图影响谈判结果的不公正活动，可能导致其谈判被拒绝。</w:t>
      </w:r>
    </w:p>
    <w:p>
      <w:pPr>
        <w:pStyle w:val="24"/>
        <w:spacing w:line="360" w:lineRule="auto"/>
        <w:ind w:firstLine="472" w:firstLineChars="196"/>
        <w:outlineLvl w:val="1"/>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25. 成交公告及成交通知书</w:t>
      </w:r>
    </w:p>
    <w:p>
      <w:pPr>
        <w:spacing w:line="360" w:lineRule="auto"/>
        <w:ind w:firstLine="480" w:firstLineChars="200"/>
        <w:outlineLvl w:val="1"/>
        <w:rPr>
          <w:rFonts w:asciiTheme="minorEastAsia" w:hAnsiTheme="minorEastAsia" w:eastAsiaTheme="minorEastAsia"/>
          <w:color w:val="auto"/>
          <w:sz w:val="24"/>
        </w:rPr>
      </w:pPr>
      <w:r>
        <w:rPr>
          <w:rFonts w:hint="eastAsia" w:asciiTheme="minorEastAsia" w:hAnsiTheme="minorEastAsia" w:eastAsiaTheme="minorEastAsia"/>
          <w:color w:val="auto"/>
          <w:sz w:val="24"/>
        </w:rPr>
        <w:t>25.1 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napToGrid w:val="0"/>
        <w:spacing w:line="360" w:lineRule="auto"/>
        <w:ind w:firstLine="470" w:firstLineChars="196"/>
        <w:outlineLvl w:val="1"/>
        <w:rPr>
          <w:rFonts w:asciiTheme="minorEastAsia" w:hAnsiTheme="minorEastAsia" w:eastAsiaTheme="minorEastAsia"/>
          <w:color w:val="auto"/>
          <w:sz w:val="24"/>
        </w:rPr>
      </w:pPr>
      <w:r>
        <w:rPr>
          <w:rFonts w:hint="eastAsia" w:asciiTheme="minorEastAsia" w:hAnsiTheme="minorEastAsia" w:eastAsiaTheme="minorEastAsia"/>
          <w:color w:val="auto"/>
          <w:sz w:val="24"/>
        </w:rPr>
        <w:t>25.2 在发布成交公告的同时，采购代理机构向成交供应商发出成交通知书（格式详见附件）。如成交供应商自接到通知之日起七个工作日内，不办理成交通知书领取手续的，按违约处理。采购单位将取消其成交资格，从谈判小组推荐的成交候选人中按顺序重新确定成交供应商。</w:t>
      </w:r>
    </w:p>
    <w:p>
      <w:pPr>
        <w:pStyle w:val="24"/>
        <w:spacing w:line="360" w:lineRule="auto"/>
        <w:ind w:firstLine="470" w:firstLineChars="196"/>
        <w:outlineLvl w:val="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25.3 采购代理机构无义务向未成交的供应商解释未成交原因和退还响应文件。</w:t>
      </w:r>
    </w:p>
    <w:p>
      <w:pPr>
        <w:pStyle w:val="24"/>
        <w:spacing w:line="360" w:lineRule="auto"/>
        <w:ind w:firstLine="472" w:firstLineChars="196"/>
        <w:outlineLvl w:val="1"/>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26.信用查询</w:t>
      </w:r>
    </w:p>
    <w:p>
      <w:pPr>
        <w:autoSpaceDE w:val="0"/>
        <w:autoSpaceDN w:val="0"/>
        <w:snapToGrid w:val="0"/>
        <w:spacing w:line="360" w:lineRule="auto"/>
        <w:ind w:firstLine="480" w:firstLineChars="200"/>
        <w:textAlignment w:val="bottom"/>
        <w:outlineLvl w:val="1"/>
        <w:rPr>
          <w:rFonts w:asciiTheme="minorEastAsia" w:hAnsiTheme="minorEastAsia" w:eastAsiaTheme="minorEastAsia"/>
          <w:color w:val="auto"/>
          <w:sz w:val="24"/>
        </w:rPr>
      </w:pPr>
      <w:r>
        <w:rPr>
          <w:rFonts w:hint="eastAsia" w:asciiTheme="minorEastAsia" w:hAnsiTheme="minorEastAsia" w:eastAsiaTheme="minorEastAsia"/>
          <w:color w:val="auto"/>
          <w:sz w:val="24"/>
        </w:rPr>
        <w:t>根据《关于做好政府采购有关信用主体标识码登记及在政府采购活动中查询使用信用记录有关问题的通知》（桂财采〔2016〕37），由采购代理机构对第一成交候选人进行信用查询：</w:t>
      </w:r>
    </w:p>
    <w:p>
      <w:pPr>
        <w:autoSpaceDE w:val="0"/>
        <w:autoSpaceDN w:val="0"/>
        <w:snapToGrid w:val="0"/>
        <w:spacing w:line="360" w:lineRule="auto"/>
        <w:ind w:firstLine="480" w:firstLineChars="200"/>
        <w:textAlignment w:val="bottom"/>
        <w:outlineLvl w:val="1"/>
        <w:rPr>
          <w:rFonts w:asciiTheme="minorEastAsia" w:hAnsiTheme="minorEastAsia" w:eastAsiaTheme="minorEastAsia"/>
          <w:color w:val="auto"/>
          <w:sz w:val="24"/>
        </w:rPr>
      </w:pPr>
      <w:r>
        <w:rPr>
          <w:rFonts w:hint="eastAsia" w:asciiTheme="minorEastAsia" w:hAnsiTheme="minorEastAsia" w:eastAsiaTheme="minorEastAsia"/>
          <w:color w:val="auto"/>
          <w:sz w:val="24"/>
        </w:rPr>
        <w:t>⑴查询渠道：“信用中国”网站(www.creditchina.gov.cn)、中国政府采购网(www.ccgp.gov.cn)等；</w:t>
      </w:r>
    </w:p>
    <w:p>
      <w:pPr>
        <w:autoSpaceDE w:val="0"/>
        <w:autoSpaceDN w:val="0"/>
        <w:snapToGrid w:val="0"/>
        <w:spacing w:line="360" w:lineRule="auto"/>
        <w:ind w:firstLine="480" w:firstLineChars="200"/>
        <w:textAlignment w:val="bottom"/>
        <w:outlineLvl w:val="1"/>
        <w:rPr>
          <w:rFonts w:asciiTheme="minorEastAsia" w:hAnsiTheme="minorEastAsia" w:eastAsiaTheme="minorEastAsia"/>
          <w:color w:val="auto"/>
          <w:sz w:val="24"/>
        </w:rPr>
      </w:pPr>
      <w:r>
        <w:rPr>
          <w:rFonts w:hint="eastAsia" w:asciiTheme="minorEastAsia" w:hAnsiTheme="minorEastAsia" w:eastAsiaTheme="minorEastAsia"/>
          <w:color w:val="auto"/>
          <w:sz w:val="24"/>
        </w:rPr>
        <w:t>⑵查询截止时点：成交通知书发出前；</w:t>
      </w:r>
    </w:p>
    <w:p>
      <w:pPr>
        <w:autoSpaceDE w:val="0"/>
        <w:autoSpaceDN w:val="0"/>
        <w:snapToGrid w:val="0"/>
        <w:spacing w:line="360" w:lineRule="auto"/>
        <w:ind w:firstLine="480" w:firstLineChars="200"/>
        <w:textAlignment w:val="bottom"/>
        <w:outlineLvl w:val="1"/>
        <w:rPr>
          <w:rFonts w:asciiTheme="minorEastAsia" w:hAnsiTheme="minorEastAsia" w:eastAsiaTheme="minorEastAsia"/>
          <w:color w:val="auto"/>
          <w:sz w:val="24"/>
        </w:rPr>
      </w:pPr>
      <w:r>
        <w:rPr>
          <w:rFonts w:hint="eastAsia" w:asciiTheme="minorEastAsia" w:hAnsiTheme="minorEastAsia" w:eastAsiaTheme="minorEastAsia"/>
          <w:color w:val="auto"/>
          <w:sz w:val="24"/>
        </w:rPr>
        <w:t>⑶信用信息查询记录和证据留存方式：在查询网站中直接打印查询记录，打印材料作为采购活动资料保存。</w:t>
      </w:r>
    </w:p>
    <w:p>
      <w:pPr>
        <w:pStyle w:val="174"/>
        <w:spacing w:line="360" w:lineRule="auto"/>
        <w:ind w:firstLine="480" w:firstLineChars="200"/>
        <w:outlineLvl w:val="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pPr>
        <w:pStyle w:val="24"/>
        <w:spacing w:line="360" w:lineRule="auto"/>
        <w:ind w:firstLine="480" w:firstLineChars="200"/>
        <w:outlineLvl w:val="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pStyle w:val="24"/>
        <w:spacing w:line="380" w:lineRule="exact"/>
        <w:ind w:firstLine="420" w:firstLineChars="200"/>
        <w:rPr>
          <w:rFonts w:hAnsi="宋体"/>
          <w:color w:val="auto"/>
        </w:rPr>
      </w:pPr>
    </w:p>
    <w:p>
      <w:pPr>
        <w:spacing w:line="360" w:lineRule="auto"/>
        <w:jc w:val="center"/>
        <w:outlineLvl w:val="1"/>
        <w:rPr>
          <w:rFonts w:ascii="宋体" w:hAnsi="宋体"/>
          <w:b/>
          <w:color w:val="auto"/>
          <w:sz w:val="24"/>
        </w:rPr>
      </w:pPr>
      <w:r>
        <w:rPr>
          <w:rFonts w:hint="eastAsia" w:ascii="宋体" w:hAnsi="宋体"/>
          <w:b/>
          <w:color w:val="auto"/>
          <w:sz w:val="24"/>
        </w:rPr>
        <w:t>六、签订合同</w:t>
      </w:r>
    </w:p>
    <w:p>
      <w:pPr>
        <w:spacing w:line="360" w:lineRule="auto"/>
        <w:outlineLvl w:val="1"/>
        <w:rPr>
          <w:rFonts w:ascii="宋体" w:hAnsi="宋体"/>
          <w:b/>
          <w:color w:val="auto"/>
          <w:sz w:val="24"/>
        </w:rPr>
      </w:pPr>
      <w:r>
        <w:rPr>
          <w:rFonts w:hint="eastAsia" w:ascii="宋体" w:hAnsi="宋体"/>
          <w:b/>
          <w:color w:val="auto"/>
          <w:sz w:val="24"/>
        </w:rPr>
        <w:t>27. 签订合同</w:t>
      </w:r>
    </w:p>
    <w:p>
      <w:pPr>
        <w:pStyle w:val="24"/>
        <w:spacing w:line="360" w:lineRule="auto"/>
        <w:ind w:firstLine="420"/>
        <w:outlineLvl w:val="1"/>
        <w:rPr>
          <w:rFonts w:hAnsi="宋体"/>
          <w:color w:val="auto"/>
          <w:sz w:val="24"/>
          <w:szCs w:val="24"/>
        </w:rPr>
      </w:pPr>
      <w:r>
        <w:rPr>
          <w:rFonts w:hint="eastAsia" w:hAnsi="宋体"/>
          <w:color w:val="auto"/>
          <w:sz w:val="24"/>
        </w:rPr>
        <w:t>27.1成交供应商在收到成交通知书后，按规定与采购人签订供货服务合同。</w:t>
      </w:r>
    </w:p>
    <w:p>
      <w:pPr>
        <w:pStyle w:val="24"/>
        <w:spacing w:line="360" w:lineRule="auto"/>
        <w:ind w:firstLine="425"/>
        <w:outlineLvl w:val="1"/>
        <w:rPr>
          <w:rFonts w:hAnsi="宋体"/>
          <w:color w:val="auto"/>
          <w:sz w:val="24"/>
          <w:szCs w:val="24"/>
        </w:rPr>
      </w:pPr>
      <w:r>
        <w:rPr>
          <w:rFonts w:hint="eastAsia" w:hAnsi="宋体"/>
          <w:color w:val="auto"/>
          <w:sz w:val="24"/>
          <w:szCs w:val="24"/>
        </w:rPr>
        <w:t>27.2如果</w:t>
      </w:r>
      <w:r>
        <w:rPr>
          <w:rFonts w:hint="eastAsia" w:hAnsi="宋体"/>
          <w:color w:val="auto"/>
          <w:sz w:val="24"/>
        </w:rPr>
        <w:t>成交供应商</w:t>
      </w:r>
      <w:r>
        <w:rPr>
          <w:rFonts w:hint="eastAsia" w:hAnsi="宋体"/>
          <w:color w:val="auto"/>
          <w:sz w:val="24"/>
          <w:szCs w:val="24"/>
        </w:rPr>
        <w:t>不按</w:t>
      </w:r>
      <w:r>
        <w:rPr>
          <w:rFonts w:hint="eastAsia" w:hAnsi="宋体"/>
          <w:color w:val="auto"/>
          <w:sz w:val="24"/>
        </w:rPr>
        <w:t>成交</w:t>
      </w:r>
      <w:r>
        <w:rPr>
          <w:rFonts w:hint="eastAsia" w:hAnsi="宋体"/>
          <w:color w:val="auto"/>
          <w:sz w:val="24"/>
          <w:szCs w:val="24"/>
        </w:rPr>
        <w:t>通知书中规定签订合同，则按</w:t>
      </w:r>
      <w:r>
        <w:rPr>
          <w:rFonts w:hint="eastAsia" w:hAnsi="宋体"/>
          <w:color w:val="auto"/>
          <w:sz w:val="24"/>
        </w:rPr>
        <w:t>成交</w:t>
      </w:r>
      <w:r>
        <w:rPr>
          <w:rFonts w:hint="eastAsia" w:hAnsi="宋体"/>
          <w:color w:val="auto"/>
          <w:sz w:val="24"/>
          <w:szCs w:val="24"/>
        </w:rPr>
        <w:t>供应商违约处理。</w:t>
      </w:r>
    </w:p>
    <w:p>
      <w:pPr>
        <w:pStyle w:val="24"/>
        <w:spacing w:line="360" w:lineRule="auto"/>
        <w:ind w:firstLine="420"/>
        <w:outlineLvl w:val="1"/>
        <w:rPr>
          <w:rFonts w:hAnsi="宋体"/>
          <w:color w:val="auto"/>
          <w:sz w:val="24"/>
          <w:szCs w:val="24"/>
        </w:rPr>
      </w:pPr>
      <w:r>
        <w:rPr>
          <w:rFonts w:hint="eastAsia" w:hAnsi="宋体"/>
          <w:color w:val="auto"/>
          <w:sz w:val="24"/>
          <w:szCs w:val="24"/>
        </w:rPr>
        <w:t>27.3</w:t>
      </w:r>
      <w:r>
        <w:rPr>
          <w:rFonts w:hint="eastAsia" w:hAnsi="宋体"/>
          <w:color w:val="auto"/>
          <w:sz w:val="24"/>
        </w:rPr>
        <w:t>成交</w:t>
      </w:r>
      <w:r>
        <w:rPr>
          <w:rFonts w:hint="eastAsia" w:hAnsi="宋体"/>
          <w:color w:val="auto"/>
          <w:sz w:val="24"/>
          <w:szCs w:val="24"/>
        </w:rPr>
        <w:t>供应商因不可抗力或者自身原因不能履行政府采购合同的，采购人可以与</w:t>
      </w:r>
      <w:r>
        <w:rPr>
          <w:rFonts w:hint="eastAsia" w:hAnsi="宋体"/>
          <w:color w:val="auto"/>
          <w:sz w:val="24"/>
        </w:rPr>
        <w:t>成交</w:t>
      </w:r>
      <w:r>
        <w:rPr>
          <w:rFonts w:hint="eastAsia" w:hAnsi="宋体"/>
          <w:color w:val="auto"/>
          <w:sz w:val="24"/>
          <w:szCs w:val="24"/>
        </w:rPr>
        <w:t>供应商之后排名第一的</w:t>
      </w:r>
      <w:r>
        <w:rPr>
          <w:rFonts w:hint="eastAsia" w:hAnsi="宋体"/>
          <w:color w:val="auto"/>
          <w:sz w:val="24"/>
        </w:rPr>
        <w:t>成交</w:t>
      </w:r>
      <w:r>
        <w:rPr>
          <w:rFonts w:hint="eastAsia" w:hAnsi="宋体"/>
          <w:color w:val="auto"/>
          <w:sz w:val="24"/>
          <w:szCs w:val="24"/>
        </w:rPr>
        <w:t>候选供应商签订采购合同，以此类推。</w:t>
      </w:r>
      <w:r>
        <w:rPr>
          <w:rFonts w:hint="eastAsia" w:hAnsi="宋体"/>
          <w:bCs/>
          <w:color w:val="auto"/>
          <w:sz w:val="24"/>
          <w:szCs w:val="24"/>
        </w:rPr>
        <w:t>采购人也可以重新开展采购活动。</w:t>
      </w:r>
    </w:p>
    <w:p>
      <w:pPr>
        <w:pStyle w:val="24"/>
        <w:snapToGrid w:val="0"/>
        <w:spacing w:before="120" w:after="120" w:line="360" w:lineRule="auto"/>
        <w:ind w:firstLine="236" w:firstLineChars="98"/>
        <w:jc w:val="center"/>
        <w:outlineLvl w:val="1"/>
        <w:rPr>
          <w:rFonts w:hAnsi="宋体"/>
          <w:b/>
          <w:color w:val="auto"/>
          <w:sz w:val="24"/>
          <w:szCs w:val="24"/>
        </w:rPr>
      </w:pPr>
      <w:r>
        <w:rPr>
          <w:rFonts w:hint="eastAsia" w:hAnsi="宋体"/>
          <w:b/>
          <w:color w:val="auto"/>
          <w:sz w:val="24"/>
          <w:szCs w:val="24"/>
        </w:rPr>
        <w:t>七、其他事项</w:t>
      </w:r>
    </w:p>
    <w:p>
      <w:pPr>
        <w:pStyle w:val="24"/>
        <w:spacing w:line="360" w:lineRule="auto"/>
        <w:outlineLvl w:val="1"/>
        <w:rPr>
          <w:rFonts w:hAnsi="宋体"/>
          <w:b/>
          <w:color w:val="auto"/>
          <w:sz w:val="24"/>
          <w:szCs w:val="24"/>
        </w:rPr>
      </w:pPr>
      <w:r>
        <w:rPr>
          <w:rFonts w:hint="eastAsia" w:hAnsi="宋体"/>
          <w:b/>
          <w:color w:val="auto"/>
          <w:sz w:val="24"/>
          <w:szCs w:val="24"/>
        </w:rPr>
        <w:t>28.采购代理服务费（根据代理协议进行增减）</w:t>
      </w:r>
    </w:p>
    <w:p>
      <w:pPr>
        <w:spacing w:line="380" w:lineRule="exact"/>
        <w:outlineLvl w:val="1"/>
        <w:rPr>
          <w:rFonts w:ascii="宋体" w:hAnsi="宋体"/>
          <w:color w:val="auto"/>
          <w:sz w:val="24"/>
        </w:rPr>
      </w:pPr>
      <w:r>
        <w:rPr>
          <w:rFonts w:hint="eastAsia" w:ascii="宋体" w:hAnsi="宋体"/>
          <w:color w:val="auto"/>
          <w:sz w:val="24"/>
        </w:rPr>
        <w:t>28.1</w:t>
      </w:r>
      <w:r>
        <w:rPr>
          <w:rFonts w:hint="eastAsia" w:ascii="宋体" w:hAnsi="宋体"/>
          <w:color w:val="auto"/>
          <w:sz w:val="24"/>
        </w:rPr>
        <w:t>成交服务费参照“国家发展计划委员会文件关于印发《招标代理服务收费管理暂行办法》的通知（计价格【2002】1980号）”规定标准下浮20%向成交人收取，如代理费不足4500.00元的，按4500.00元计，成交人应向采购代理机构以转账形式一次付清代理服务费。</w:t>
      </w:r>
    </w:p>
    <w:p>
      <w:pPr>
        <w:numPr>
          <w:ilvl w:val="0"/>
          <w:numId w:val="3"/>
        </w:numPr>
        <w:spacing w:line="380" w:lineRule="exact"/>
        <w:outlineLvl w:val="1"/>
        <w:rPr>
          <w:rFonts w:ascii="宋体" w:hAnsi="宋体"/>
          <w:color w:val="auto"/>
          <w:sz w:val="24"/>
        </w:rPr>
      </w:pPr>
      <w:r>
        <w:rPr>
          <w:rFonts w:hint="eastAsia" w:ascii="宋体" w:hAnsi="宋体"/>
          <w:b/>
          <w:color w:val="auto"/>
          <w:sz w:val="24"/>
        </w:rPr>
        <w:t>解释权：</w:t>
      </w:r>
      <w:r>
        <w:rPr>
          <w:rFonts w:hint="eastAsia" w:ascii="宋体" w:hAnsi="宋体"/>
          <w:color w:val="auto"/>
          <w:sz w:val="24"/>
        </w:rPr>
        <w:t>本竞争性谈判文件是根据《中华人民共和国政府采购法》、《中华人民共和国政府采购法实施条例》、《政府采购非招标采购方式管理办法》和政府采购管理有关规定编制，本竞争性谈判文件的解释权属于采购代理机构。</w:t>
      </w:r>
    </w:p>
    <w:p>
      <w:pPr>
        <w:spacing w:line="380" w:lineRule="exact"/>
        <w:outlineLvl w:val="1"/>
        <w:rPr>
          <w:rFonts w:ascii="宋体" w:hAnsi="宋体"/>
          <w:b/>
          <w:color w:val="auto"/>
          <w:sz w:val="24"/>
        </w:rPr>
      </w:pPr>
      <w:r>
        <w:rPr>
          <w:rFonts w:hint="eastAsia" w:ascii="宋体" w:hAnsi="宋体"/>
          <w:color w:val="auto"/>
          <w:sz w:val="24"/>
        </w:rPr>
        <w:t>30.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p>
      <w:pPr>
        <w:rPr>
          <w:rFonts w:ascii="宋体" w:hAnsi="宋体"/>
          <w:b/>
          <w:color w:val="auto"/>
          <w:sz w:val="44"/>
          <w:szCs w:val="44"/>
        </w:rPr>
      </w:pPr>
      <w:r>
        <w:rPr>
          <w:rFonts w:hint="eastAsia" w:ascii="宋体" w:hAnsi="宋体"/>
          <w:b/>
          <w:color w:val="auto"/>
          <w:sz w:val="44"/>
          <w:szCs w:val="44"/>
        </w:rPr>
        <w:br w:type="page"/>
      </w:r>
    </w:p>
    <w:p>
      <w:pPr>
        <w:snapToGrid w:val="0"/>
        <w:spacing w:beforeLines="50" w:afterLines="50"/>
        <w:ind w:left="238"/>
        <w:jc w:val="center"/>
        <w:outlineLvl w:val="0"/>
        <w:rPr>
          <w:rFonts w:ascii="宋体" w:hAnsi="宋体"/>
          <w:b/>
          <w:color w:val="auto"/>
          <w:sz w:val="44"/>
          <w:szCs w:val="44"/>
        </w:rPr>
      </w:pPr>
      <w:bookmarkStart w:id="44" w:name="_Toc8771"/>
      <w:r>
        <w:rPr>
          <w:rFonts w:hint="eastAsia" w:ascii="宋体" w:hAnsi="宋体"/>
          <w:b/>
          <w:color w:val="auto"/>
          <w:sz w:val="44"/>
          <w:szCs w:val="44"/>
        </w:rPr>
        <w:t xml:space="preserve">第三章 </w:t>
      </w:r>
      <w:r>
        <w:rPr>
          <w:rFonts w:hint="eastAsia" w:ascii="宋体" w:hAnsi="宋体"/>
          <w:b/>
          <w:bCs/>
          <w:color w:val="auto"/>
          <w:sz w:val="44"/>
          <w:szCs w:val="44"/>
        </w:rPr>
        <w:t>项目</w:t>
      </w:r>
      <w:r>
        <w:rPr>
          <w:rFonts w:hint="eastAsia" w:ascii="宋体" w:hAnsi="宋体"/>
          <w:b/>
          <w:color w:val="auto"/>
          <w:sz w:val="44"/>
          <w:szCs w:val="44"/>
        </w:rPr>
        <w:t>需求</w:t>
      </w:r>
      <w:bookmarkEnd w:id="44"/>
    </w:p>
    <w:p>
      <w:pPr>
        <w:jc w:val="center"/>
        <w:rPr>
          <w:rFonts w:ascii="宋体" w:hAnsi="宋体"/>
          <w:b/>
          <w:color w:val="auto"/>
          <w:sz w:val="24"/>
        </w:rPr>
      </w:pPr>
    </w:p>
    <w:p>
      <w:pPr>
        <w:pStyle w:val="24"/>
        <w:spacing w:line="440" w:lineRule="exact"/>
        <w:jc w:val="center"/>
        <w:outlineLvl w:val="1"/>
        <w:rPr>
          <w:b/>
          <w:color w:val="auto"/>
          <w:sz w:val="32"/>
          <w:szCs w:val="32"/>
        </w:rPr>
      </w:pPr>
      <w:r>
        <w:rPr>
          <w:rFonts w:hint="eastAsia"/>
          <w:b/>
          <w:color w:val="auto"/>
          <w:sz w:val="32"/>
          <w:szCs w:val="32"/>
        </w:rPr>
        <w:t>项目需求和说明</w:t>
      </w:r>
    </w:p>
    <w:p>
      <w:pPr>
        <w:tabs>
          <w:tab w:val="left" w:pos="180"/>
          <w:tab w:val="left" w:pos="1620"/>
        </w:tabs>
        <w:outlineLvl w:val="1"/>
        <w:rPr>
          <w:rFonts w:ascii="宋体" w:hAnsi="宋体"/>
          <w:color w:val="auto"/>
          <w:sz w:val="24"/>
          <w:u w:val="single"/>
        </w:rPr>
      </w:pPr>
      <w:r>
        <w:rPr>
          <w:rFonts w:hint="eastAsia" w:ascii="宋体" w:hAnsi="宋体"/>
          <w:b/>
          <w:color w:val="auto"/>
          <w:sz w:val="24"/>
        </w:rPr>
        <w:t>一、采购项目编号</w:t>
      </w:r>
      <w:r>
        <w:rPr>
          <w:rFonts w:hint="eastAsia" w:ascii="宋体" w:hAnsi="宋体"/>
          <w:color w:val="auto"/>
          <w:sz w:val="24"/>
        </w:rPr>
        <w:t>：FC(3)2020474JNN</w:t>
      </w:r>
      <w:r>
        <w:rPr>
          <w:rFonts w:hint="eastAsia" w:ascii="宋体" w:hAnsi="宋体"/>
          <w:b/>
          <w:color w:val="auto"/>
          <w:sz w:val="24"/>
        </w:rPr>
        <w:t xml:space="preserve"> </w:t>
      </w:r>
    </w:p>
    <w:p>
      <w:pPr>
        <w:tabs>
          <w:tab w:val="left" w:pos="180"/>
          <w:tab w:val="left" w:pos="1620"/>
        </w:tabs>
        <w:outlineLvl w:val="1"/>
        <w:rPr>
          <w:rFonts w:ascii="宋体" w:hAnsi="宋体"/>
          <w:color w:val="auto"/>
          <w:sz w:val="24"/>
          <w:u w:val="single"/>
        </w:rPr>
      </w:pPr>
      <w:r>
        <w:rPr>
          <w:rFonts w:hint="eastAsia" w:ascii="宋体" w:hAnsi="宋体"/>
          <w:b/>
          <w:color w:val="auto"/>
          <w:sz w:val="24"/>
        </w:rPr>
        <w:t>二、采购项目类别：</w:t>
      </w:r>
      <w:r>
        <w:rPr>
          <w:rFonts w:hint="eastAsia" w:ascii="宋体" w:hAnsi="宋体"/>
          <w:b/>
          <w:color w:val="auto"/>
          <w:sz w:val="24"/>
          <w:u w:val="single"/>
        </w:rPr>
        <w:t>货物</w:t>
      </w:r>
    </w:p>
    <w:p>
      <w:pPr>
        <w:tabs>
          <w:tab w:val="left" w:pos="180"/>
          <w:tab w:val="left" w:pos="1620"/>
        </w:tabs>
        <w:outlineLvl w:val="1"/>
        <w:rPr>
          <w:rFonts w:ascii="宋体" w:hAnsi="宋体"/>
          <w:b/>
          <w:color w:val="auto"/>
          <w:sz w:val="24"/>
        </w:rPr>
      </w:pPr>
      <w:r>
        <w:rPr>
          <w:rFonts w:hint="eastAsia"/>
          <w:b/>
          <w:color w:val="auto"/>
          <w:sz w:val="24"/>
        </w:rPr>
        <w:t>三、</w:t>
      </w:r>
      <w:r>
        <w:rPr>
          <w:rFonts w:hint="eastAsia" w:ascii="宋体" w:hAnsi="宋体"/>
          <w:b/>
          <w:color w:val="auto"/>
          <w:sz w:val="24"/>
        </w:rPr>
        <w:t>采购项目需求和说明</w:t>
      </w:r>
    </w:p>
    <w:p>
      <w:pPr>
        <w:spacing w:line="370" w:lineRule="exact"/>
        <w:ind w:firstLine="484" w:firstLineChars="202"/>
        <w:jc w:val="left"/>
        <w:outlineLvl w:val="1"/>
        <w:rPr>
          <w:rFonts w:ascii="宋体" w:hAnsi="宋体"/>
          <w:color w:val="auto"/>
          <w:sz w:val="24"/>
        </w:rPr>
      </w:pPr>
      <w:r>
        <w:rPr>
          <w:rFonts w:hint="eastAsia" w:ascii="宋体" w:hAnsi="宋体"/>
          <w:color w:val="auto"/>
          <w:sz w:val="24"/>
        </w:rPr>
        <w:t>1、本项目需求中的货物品牌、型号仅起参考作用，供应商可选用其他品牌、型号替代，但这些替代的品牌、型号在实质性要求和条件上相当于或优于参考品牌、型号。</w:t>
      </w:r>
    </w:p>
    <w:p>
      <w:pPr>
        <w:widowControl/>
        <w:ind w:firstLine="470" w:firstLineChars="196"/>
        <w:jc w:val="left"/>
        <w:outlineLvl w:val="1"/>
        <w:rPr>
          <w:rFonts w:hAnsi="宋体"/>
          <w:b/>
          <w:bCs/>
          <w:color w:val="auto"/>
          <w:sz w:val="24"/>
        </w:rPr>
      </w:pPr>
      <w:r>
        <w:rPr>
          <w:rFonts w:hint="eastAsia" w:ascii="宋体" w:hAnsi="宋体"/>
          <w:color w:val="auto"/>
          <w:sz w:val="24"/>
        </w:rPr>
        <w:t>2、凡在“技术参数要求”中表述为“标配”或“标准配置”的设备，供应商应按第四章“响应文件格式”规定的格式在“竞标产品技术资料表”中将其参数详细列明</w:t>
      </w:r>
    </w:p>
    <w:p>
      <w:pPr>
        <w:spacing w:line="370" w:lineRule="exact"/>
        <w:ind w:firstLine="484" w:firstLineChars="202"/>
        <w:jc w:val="left"/>
        <w:outlineLvl w:val="1"/>
        <w:rPr>
          <w:rFonts w:ascii="宋体" w:hAnsi="宋体"/>
          <w:color w:val="auto"/>
          <w:sz w:val="24"/>
        </w:rPr>
      </w:pPr>
      <w:r>
        <w:rPr>
          <w:rFonts w:hint="eastAsia" w:hAnsi="宋体"/>
          <w:color w:val="auto"/>
          <w:sz w:val="24"/>
        </w:rPr>
        <w:t>4、</w:t>
      </w:r>
      <w:r>
        <w:rPr>
          <w:rFonts w:hint="eastAsia" w:ascii="宋体" w:hAnsi="宋体"/>
          <w:color w:val="auto"/>
          <w:sz w:val="24"/>
        </w:rPr>
        <w:t>供应商必须自行为其竞标产品侵犯其他供应商或专利人的专利成果承担相应法律责任；同时，具有产品专利的供应商应在其响应文件中提供与其自有产品专利相关的有效证明材料，否则，不能就其产品的专利在本项目竞标过程中被侵权问题提出异议。</w:t>
      </w:r>
    </w:p>
    <w:p>
      <w:pPr>
        <w:spacing w:line="370" w:lineRule="exact"/>
        <w:ind w:firstLine="484" w:firstLineChars="202"/>
        <w:jc w:val="left"/>
        <w:outlineLvl w:val="1"/>
        <w:rPr>
          <w:rFonts w:ascii="宋体" w:hAnsi="宋体"/>
          <w:color w:val="auto"/>
          <w:sz w:val="24"/>
        </w:rPr>
      </w:pPr>
      <w:r>
        <w:rPr>
          <w:rFonts w:hint="eastAsia" w:hAnsi="宋体"/>
          <w:color w:val="auto"/>
          <w:sz w:val="24"/>
        </w:rPr>
        <w:t>5、</w:t>
      </w:r>
      <w:r>
        <w:rPr>
          <w:rFonts w:hint="eastAsia" w:ascii="宋体" w:hAnsi="宋体"/>
          <w:color w:val="auto"/>
          <w:sz w:val="24"/>
        </w:rPr>
        <w:t>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竞标人的投标货物中包含以上的必须使用政府强制采购的节能产品(必须在有效期内)，在响应文件中必须提供节能产品认证证书，否则相应竞标无效。</w:t>
      </w:r>
    </w:p>
    <w:p>
      <w:pPr>
        <w:spacing w:line="370" w:lineRule="exact"/>
        <w:ind w:firstLine="484" w:firstLineChars="202"/>
        <w:jc w:val="left"/>
        <w:outlineLvl w:val="1"/>
        <w:rPr>
          <w:rFonts w:ascii="宋体" w:hAnsi="宋体"/>
          <w:color w:val="auto"/>
          <w:sz w:val="24"/>
        </w:rPr>
      </w:pPr>
      <w:r>
        <w:rPr>
          <w:rFonts w:hint="eastAsia" w:ascii="宋体" w:hAnsi="宋体"/>
          <w:color w:val="auto"/>
          <w:sz w:val="24"/>
        </w:rPr>
        <w:t>6、货物分项最高限价详见表格。</w:t>
      </w:r>
    </w:p>
    <w:p>
      <w:pPr>
        <w:spacing w:line="370" w:lineRule="exact"/>
        <w:ind w:firstLine="484" w:firstLineChars="202"/>
        <w:jc w:val="left"/>
        <w:outlineLvl w:val="1"/>
        <w:rPr>
          <w:rFonts w:ascii="宋体" w:hAnsi="宋体"/>
          <w:color w:val="auto"/>
          <w:sz w:val="24"/>
        </w:rPr>
      </w:pPr>
      <w:r>
        <w:rPr>
          <w:rFonts w:hint="eastAsia" w:ascii="宋体" w:hAnsi="宋体"/>
          <w:color w:val="auto"/>
          <w:sz w:val="24"/>
        </w:rPr>
        <w:t>7、本项目包括以下设备，根据财办库【2008】248号文件有关规定，本项目不允许进口产品竞标。</w:t>
      </w:r>
    </w:p>
    <w:p>
      <w:pPr>
        <w:spacing w:line="370" w:lineRule="exact"/>
        <w:ind w:firstLine="484" w:firstLineChars="202"/>
        <w:jc w:val="left"/>
        <w:outlineLvl w:val="1"/>
        <w:rPr>
          <w:rFonts w:ascii="宋体" w:hAnsi="宋体"/>
          <w:color w:val="auto"/>
          <w:sz w:val="24"/>
        </w:rPr>
      </w:pPr>
      <w:r>
        <w:rPr>
          <w:rFonts w:hint="eastAsia" w:ascii="宋体" w:hAnsi="宋体"/>
          <w:color w:val="auto"/>
          <w:sz w:val="24"/>
        </w:rPr>
        <w:t>8、本货物需求一览表中标注★号的内容为实质性要求和条件。</w:t>
      </w:r>
    </w:p>
    <w:p>
      <w:pPr>
        <w:spacing w:line="370" w:lineRule="exact"/>
        <w:ind w:firstLine="484" w:firstLineChars="202"/>
        <w:jc w:val="left"/>
        <w:outlineLvl w:val="1"/>
        <w:rPr>
          <w:rFonts w:ascii="宋体" w:hAnsi="宋体"/>
          <w:color w:val="auto"/>
          <w:sz w:val="24"/>
        </w:rPr>
      </w:pPr>
      <w:r>
        <w:rPr>
          <w:rFonts w:hint="eastAsia" w:ascii="宋体" w:hAnsi="宋体"/>
          <w:color w:val="auto"/>
          <w:sz w:val="24"/>
        </w:rPr>
        <w:t>9、本货物需求一览表中“序号”栏的序号前标注▲号的为核心产品。</w:t>
      </w:r>
    </w:p>
    <w:p>
      <w:pPr>
        <w:pStyle w:val="2"/>
        <w:ind w:firstLine="480" w:firstLineChars="200"/>
        <w:rPr>
          <w:color w:val="auto"/>
        </w:rPr>
      </w:pPr>
      <w:r>
        <w:rPr>
          <w:rFonts w:hint="eastAsia" w:ascii="宋体" w:hAnsi="宋体"/>
          <w:color w:val="auto"/>
        </w:rPr>
        <w:t>10、5、如该采购需求属于不能明确具体数值的，采购人应在此采购需求的数值后标注◆号。</w:t>
      </w:r>
    </w:p>
    <w:p>
      <w:pPr>
        <w:spacing w:line="370" w:lineRule="exact"/>
        <w:ind w:firstLine="484" w:firstLineChars="202"/>
        <w:jc w:val="left"/>
        <w:outlineLvl w:val="1"/>
        <w:rPr>
          <w:rFonts w:ascii="宋体" w:hAnsi="宋体"/>
          <w:color w:val="auto"/>
          <w:sz w:val="24"/>
        </w:rPr>
      </w:pPr>
      <w:r>
        <w:rPr>
          <w:rFonts w:hint="eastAsia" w:ascii="宋体" w:hAnsi="宋体"/>
          <w:color w:val="auto"/>
          <w:sz w:val="24"/>
        </w:rPr>
        <w:t>11、本货物需求一览表中的内容如与第五章“合同条款及格式”相关条款不一致的，以本表为准。</w:t>
      </w:r>
    </w:p>
    <w:p>
      <w:pPr>
        <w:spacing w:line="320" w:lineRule="exact"/>
        <w:ind w:firstLine="482" w:firstLineChars="200"/>
        <w:jc w:val="center"/>
        <w:rPr>
          <w:color w:val="auto"/>
        </w:rPr>
      </w:pPr>
      <w:r>
        <w:rPr>
          <w:rFonts w:hint="eastAsia" w:hAnsi="宋体"/>
          <w:b/>
          <w:bCs/>
          <w:color w:val="auto"/>
          <w:sz w:val="24"/>
        </w:rPr>
        <w:t>货物需求一览表</w:t>
      </w:r>
    </w:p>
    <w:tbl>
      <w:tblPr>
        <w:tblStyle w:val="43"/>
        <w:tblW w:w="8533" w:type="dxa"/>
        <w:tblInd w:w="0" w:type="dxa"/>
        <w:tblLayout w:type="fixed"/>
        <w:tblCellMar>
          <w:top w:w="0" w:type="dxa"/>
          <w:left w:w="0" w:type="dxa"/>
          <w:bottom w:w="0" w:type="dxa"/>
          <w:right w:w="0" w:type="dxa"/>
        </w:tblCellMar>
      </w:tblPr>
      <w:tblGrid>
        <w:gridCol w:w="240"/>
        <w:gridCol w:w="528"/>
        <w:gridCol w:w="5960"/>
        <w:gridCol w:w="240"/>
        <w:gridCol w:w="240"/>
        <w:gridCol w:w="605"/>
        <w:gridCol w:w="720"/>
      </w:tblGrid>
      <w:tr>
        <w:tblPrEx>
          <w:tblCellMar>
            <w:top w:w="0" w:type="dxa"/>
            <w:left w:w="0" w:type="dxa"/>
            <w:bottom w:w="0" w:type="dxa"/>
            <w:right w:w="0"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华文细黑" w:hAnsi="华文细黑" w:eastAsia="华文细黑" w:cs="华文细黑"/>
                <w:color w:val="auto"/>
                <w:kern w:val="0"/>
                <w:sz w:val="20"/>
                <w:szCs w:val="20"/>
              </w:rPr>
            </w:pPr>
            <w:bookmarkStart w:id="57" w:name="_GoBack"/>
            <w:r>
              <w:rPr>
                <w:rFonts w:hint="eastAsia" w:ascii="华文细黑" w:hAnsi="华文细黑" w:eastAsia="华文细黑" w:cs="华文细黑"/>
                <w:color w:val="auto"/>
                <w:kern w:val="0"/>
                <w:sz w:val="20"/>
                <w:szCs w:val="20"/>
              </w:rPr>
              <w:t>序号</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华文细黑" w:hAnsi="华文细黑" w:eastAsia="华文细黑" w:cs="华文细黑"/>
                <w:color w:val="auto"/>
                <w:kern w:val="0"/>
                <w:sz w:val="20"/>
                <w:szCs w:val="20"/>
              </w:rPr>
            </w:pPr>
            <w:r>
              <w:rPr>
                <w:rFonts w:hint="eastAsia" w:ascii="华文细黑" w:hAnsi="华文细黑" w:eastAsia="华文细黑" w:cs="华文细黑"/>
                <w:color w:val="auto"/>
                <w:kern w:val="0"/>
                <w:sz w:val="20"/>
                <w:szCs w:val="20"/>
              </w:rPr>
              <w:t>产品名称</w:t>
            </w:r>
          </w:p>
        </w:tc>
        <w:tc>
          <w:tcPr>
            <w:tcW w:w="5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华文细黑" w:hAnsi="华文细黑" w:eastAsia="华文细黑" w:cs="华文细黑"/>
                <w:color w:val="auto"/>
                <w:kern w:val="0"/>
                <w:sz w:val="20"/>
                <w:szCs w:val="20"/>
              </w:rPr>
            </w:pPr>
            <w:r>
              <w:rPr>
                <w:rFonts w:hint="eastAsia" w:ascii="华文细黑" w:hAnsi="华文细黑" w:eastAsia="华文细黑" w:cs="华文细黑"/>
                <w:color w:val="auto"/>
                <w:kern w:val="0"/>
                <w:sz w:val="20"/>
                <w:szCs w:val="20"/>
              </w:rPr>
              <w:t>产品参数</w:t>
            </w: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华文细黑" w:hAnsi="华文细黑" w:eastAsia="华文细黑" w:cs="华文细黑"/>
                <w:color w:val="auto"/>
                <w:kern w:val="0"/>
                <w:sz w:val="20"/>
                <w:szCs w:val="20"/>
              </w:rPr>
            </w:pPr>
            <w:r>
              <w:rPr>
                <w:rFonts w:hint="eastAsia" w:ascii="华文细黑" w:hAnsi="华文细黑" w:eastAsia="华文细黑" w:cs="华文细黑"/>
                <w:color w:val="auto"/>
                <w:kern w:val="0"/>
                <w:sz w:val="20"/>
                <w:szCs w:val="20"/>
              </w:rPr>
              <w:t>数量</w:t>
            </w: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华文细黑" w:hAnsi="华文细黑" w:eastAsia="华文细黑" w:cs="华文细黑"/>
                <w:color w:val="auto"/>
                <w:kern w:val="0"/>
                <w:sz w:val="20"/>
                <w:szCs w:val="20"/>
              </w:rPr>
            </w:pPr>
            <w:r>
              <w:rPr>
                <w:rFonts w:hint="eastAsia" w:ascii="华文细黑" w:hAnsi="华文细黑" w:eastAsia="华文细黑" w:cs="华文细黑"/>
                <w:color w:val="auto"/>
                <w:kern w:val="0"/>
                <w:sz w:val="20"/>
                <w:szCs w:val="20"/>
              </w:rPr>
              <w:t>单位</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华文细黑" w:hAnsi="华文细黑" w:eastAsia="华文细黑" w:cs="华文细黑"/>
                <w:color w:val="auto"/>
                <w:kern w:val="0"/>
                <w:sz w:val="20"/>
                <w:szCs w:val="20"/>
              </w:rPr>
            </w:pPr>
            <w:r>
              <w:rPr>
                <w:rFonts w:hint="eastAsia" w:ascii="华文细黑" w:hAnsi="华文细黑" w:eastAsia="华文细黑" w:cs="华文细黑"/>
                <w:color w:val="auto"/>
                <w:kern w:val="0"/>
                <w:sz w:val="20"/>
                <w:szCs w:val="20"/>
              </w:rPr>
              <w:t>分项预算单价</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华文细黑" w:hAnsi="华文细黑" w:eastAsia="华文细黑" w:cs="华文细黑"/>
                <w:color w:val="auto"/>
                <w:kern w:val="0"/>
                <w:sz w:val="20"/>
                <w:szCs w:val="20"/>
              </w:rPr>
            </w:pPr>
            <w:r>
              <w:rPr>
                <w:rFonts w:hint="eastAsia"/>
                <w:color w:val="auto"/>
              </w:rPr>
              <w:t>分项预算</w:t>
            </w:r>
            <w:r>
              <w:rPr>
                <w:rFonts w:hint="eastAsia" w:ascii="华文细黑" w:hAnsi="华文细黑" w:eastAsia="华文细黑" w:cs="华文细黑"/>
                <w:color w:val="auto"/>
                <w:kern w:val="0"/>
                <w:sz w:val="20"/>
                <w:szCs w:val="20"/>
              </w:rPr>
              <w:t>金额</w:t>
            </w:r>
          </w:p>
        </w:tc>
      </w:tr>
      <w:tr>
        <w:tblPrEx>
          <w:tblCellMar>
            <w:top w:w="0" w:type="dxa"/>
            <w:left w:w="0" w:type="dxa"/>
            <w:bottom w:w="0" w:type="dxa"/>
            <w:right w:w="0" w:type="dxa"/>
          </w:tblCellMar>
        </w:tblPrEx>
        <w:trPr>
          <w:trHeight w:val="11847"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智慧教育直播主机</w:t>
            </w:r>
          </w:p>
        </w:tc>
        <w:tc>
          <w:tcPr>
            <w:tcW w:w="5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1、 为了系统的安全稳定， 要求录播主机必须采用嵌入式硬件设计，内置Linux操作系统，支持7*24小时工作；不接受PC架构以及服务器设计方式；</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2、 系统集成录播系统、音频处理、编解码技术为一体，更符合信息化行业有关产品发展微小型化、低功耗、智能化和高可靠性政策；</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3、 ★支持不小于8路高清3G-SDI</w:t>
            </w:r>
            <w:r>
              <w:rPr>
                <w:rFonts w:hint="eastAsia" w:ascii="华文细黑" w:hAnsi="华文细黑" w:eastAsia="华文细黑" w:cs="华文细黑"/>
                <w:color w:val="auto"/>
                <w:kern w:val="0"/>
                <w:sz w:val="20"/>
                <w:szCs w:val="20"/>
              </w:rPr>
              <w:t>、支持不小于1路HDMI输入接口；支持不小于1路VGA输入接口，不小于2路HDMI接口视频输出；</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4、 录播主机支持本地导播功能，接上鼠标、标准键盘与显示器就可实现无延时本地导播，可以扩展硬件导播台；</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5、 ★为了便于录播主机连接鼠、标准键盘、导播控制键盘、双USB移动存储设备，要求录播主机支持不小于5路USB接口 ；</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6、 录播主机支持不小于2路千兆RJ45网络接口；</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7、 主机包含Reset按键，可以实现出厂设置恢复，能够实时初始化系统状态；</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8、 ★主机自带音频处理系统，</w:t>
            </w:r>
            <w:r>
              <w:rPr>
                <w:rFonts w:hint="eastAsia" w:ascii="华文细黑" w:hAnsi="华文细黑" w:eastAsia="华文细黑" w:cs="华文细黑"/>
                <w:color w:val="auto"/>
                <w:kern w:val="0"/>
                <w:sz w:val="20"/>
                <w:szCs w:val="20"/>
              </w:rPr>
              <w:t>不少于8路mic与2路线性音频输入；不小于4路线性音频输出，支持反馈消除、回声消除、噪声消除和对麦克风幻象供电等功能；</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9、 ★主机前面板配置液晶屏，支持显示主机版本、IP地址等信息，实时清晰管理设备操控，为确保清晰显示，液晶屏尺寸不小于2寸；</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 xml:space="preserve">10、 ★控制接口不小于8路，可用于控制摄像机云台与控制面板等设备； </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11、 ★系统内置跟踪功能，无需额外配置跟踪主机即可实现智能图像识别跟踪分析与处理功能，跟踪对象不需要佩戴任何辅助装置，便可对老师和学生的动作、移动进行准确定位、跟踪，清楚的记录整个教学活动；</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12、 ★系统内置不小于2T存储空间，支持双硬盘接入，最大支持不少于16T硬盘存储空间，录制文件既可存储在本地硬盘，可以上传到云资源管理平台或第三方FTP服务器；</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13、 根据教学场景和教学需要可扩展6机位、7机位灵活配置，满足智慧教学的每一种应用；</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14、 支持接入第三方视频会议终端，实现互动场景录制；</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15、 ★主机内置3D微课制作与虚拟抠像功能实现虚拟成像直播</w:t>
            </w:r>
            <w:r>
              <w:rPr>
                <w:rFonts w:hint="eastAsia" w:ascii="华文细黑" w:hAnsi="华文细黑" w:eastAsia="华文细黑" w:cs="华文细黑"/>
                <w:color w:val="auto"/>
                <w:kern w:val="0"/>
                <w:sz w:val="20"/>
                <w:szCs w:val="20"/>
              </w:rPr>
              <w:t>，配合定制的各种虚拟特效场景模版，满足微课制作及现场播报等场景应用；</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16、 ★支持微信直播功能，支持利用windows平台B/S架构和移动客户端Android平台APP、IOS平台APP微信端现场直播功能；</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17、 考虑到设备的易用性以及安全性，要求设备高度不高于1U，要求采用12V直流供电；</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18、竞标时，如有请提供提供厂家开据的授权书和售后服务器承诺书原件。</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台</w:t>
            </w:r>
          </w:p>
        </w:tc>
        <w:tc>
          <w:tcPr>
            <w:tcW w:w="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11320</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11320</w:t>
            </w:r>
          </w:p>
        </w:tc>
      </w:tr>
      <w:tr>
        <w:tblPrEx>
          <w:tblCellMar>
            <w:top w:w="0" w:type="dxa"/>
            <w:left w:w="0" w:type="dxa"/>
            <w:bottom w:w="0" w:type="dxa"/>
            <w:right w:w="0" w:type="dxa"/>
          </w:tblCellMar>
        </w:tblPrEx>
        <w:trPr>
          <w:trHeight w:val="711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直播一体机软件</w:t>
            </w:r>
          </w:p>
        </w:tc>
        <w:tc>
          <w:tcPr>
            <w:tcW w:w="5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widowControl/>
              <w:jc w:val="left"/>
              <w:textAlignment w:val="top"/>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1、 嵌入式录播管理软件须出厂即安装于录播主机内，要求支持网络导播与本地导播两种导播方式；</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2、 为了更清楚了解系统状态，系统应支持版本信息、序列号、设备型号、硬盘空间、剩余硬盘空间、跟踪机位信息、网络连接、平台接入信息等显示；</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3、 支持远程登录管理系统，可设置用户密码、视频输入、视频输出、互动、推流方式及模式、VGA图像微调等功能；</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4、 系统支持视频文件上传、下载、异常修复、本地点播、删除等基本功能，支持通过状态标记自动检测课件上传是否成功，对于状态标记上传失败的课件资源支持人工手动续传；</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5、 系统支持插入外接移动存储设备一键拷贝下载功能，并可选择多路外接移动设备；</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6、 ★系统支持异常课件修复功能，在录制过程中或其他不可抗拒因素导致设备突然断电使录制的课件异常时，可通过录播主机管理页面一键修复功能，修复异常课件为正常课件资源；</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7、 系统采用主流RTMP/RTSP/HTTP流媒体直播推送技术，支持基于Flash技术和HTML5技术的直播和点播方式，能够让用户免安装插件即可接收和观看直播和点播，无论在移动端还是电脑端都享受一流视频观看体验；</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8、 要求系统支持高低码流直播，并可以单独控制每一路直播的启用与停止；</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9、 系统支持音频管理，可以进行回声消除、噪声消除、延时器、音量等设置；</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10、 系统支持输入接口管理，显示当前接口信息与连接状态；</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11、 ★系统支持与资源平台无缝对接，实现视频自动上传功能，可以兼容多种资源管理平台与第三方FTP服务器；</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12、 系统可以设置多种教室类型，支持常规教室、互动录播教室与第三方互动录播教室三种模式；</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13、 ★录播系统内置互动功能，支持标准SIP协议，要求无须视频会议终端和MCU即可实现5台录播主机之间的音视频在线互动教学；</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14、 录播系统互动功能，要求支持多台录播主机之间互动、录播主机与视频会议终端之间互动、录播主机与MCU之间互动等3种互动场景；</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15、投标时，如有请提供提供厂家开据的授权书和售后服务器承诺书原件。</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套</w:t>
            </w:r>
          </w:p>
        </w:tc>
        <w:tc>
          <w:tcPr>
            <w:tcW w:w="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22510</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22510</w:t>
            </w:r>
          </w:p>
        </w:tc>
      </w:tr>
      <w:tr>
        <w:tblPrEx>
          <w:tblCellMar>
            <w:top w:w="0" w:type="dxa"/>
            <w:left w:w="0" w:type="dxa"/>
            <w:bottom w:w="0" w:type="dxa"/>
            <w:right w:w="0" w:type="dxa"/>
          </w:tblCellMar>
        </w:tblPrEx>
        <w:trPr>
          <w:trHeight w:val="1048"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教育云资源管理平台</w:t>
            </w:r>
          </w:p>
        </w:tc>
        <w:tc>
          <w:tcPr>
            <w:tcW w:w="5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一、 系统要求</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 要求中标的录播厂家必须要与云资源管理平台完美对接，要求云资源管理平台与录播主机、直播软件、自动跟踪系统、跟踪定位设备、云台摄像机、跟踪定位摄像系统、智能蓝箱处理系统为同一品牌</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2. 为了保障资源安全，减少病毒与黑客破坏的风险，要求资源管理平台采用linux开源操作系统和数据库架构；</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3. 录播教室所录制的视频课件全自动上传到云资源管理平台进行分类管理</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5. 资源平台要求可查看所有录播教室的使用状态，可以远程开启与关闭录播教室的录制与直播；</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6. 平台支持扩展多层级管理功能，支持将学校级别平台无缝对接至区域平台，满足直播、点播资源上传至上级平台综合管理需求。</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7.系统首页支持通过后台配置，实现直播显示、课程显示、视频专辑、教育动态、教室直播、视频和直播数据统计等模块开启或关闭，并支持对应模块名称自定义修改。</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8.系统平台采用模块化设计，支持导航菜单功能自定义配置，用户可以自行新增功能菜单，并对菜单中功能进行自行配置，支持菜单排序、外链接跳转、名称修改等应用。</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9.系统后台支持不少于三种风格模块，支持通过模板风格切换实现界面风格一键设置。</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10、支持PC端门户LOGO，后台LOGO，PC端Banner图，等自定义设置，PC端Banner图支持以链接形式进行配置，同时支持移动端LOGO、界面顶部Banner图自定义设置；</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二、 平台功能</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 教育动态：</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 平台首页面支持最新教育动态、视频直播、精品课程、视频专辑、优课评比、微课展示、名师讲堂、资源中心、排行榜等基本信息的推送与展示，方便用户直接点击进入了解最新资讯和重要视频资源；</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2) 要求支持列表显示教育新闻资讯信息，要求展现的教育资讯信息包含主题标题、发布者信息、关键词、发布具体时间以及当前被浏览次数；</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2. 课程管理：</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 平台需要具备精品课程列表展示功能，支持按学科、学段、年级、班级等方式进行课件资源分类，</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2) 支持按照精品推荐及精品课程等不同排列方式体现视频资源的传播价值，支持热门课程、最新课程排行显示；</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3) 支持根据模糊文字、短句、字词等进行相关视频的搜索，方便用户查找所需视频资源；</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4) 支持点播pc端视频链接、移动端视频链接观看视频，并且可以生成点播视频代码方便嵌入第三方网页；</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5) 要求教学视频点播界面支持课件上传，支持图片、幻灯片、表格、文本等多种形式；</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 xml:space="preserve">6) 支持视频的收藏，收藏在每个用户的个人空间内；支持视频下载功能； </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7) 要求支持用户对视频评论功能，支持管理员对用户评论的审核管理，屏蔽不良评论操作，同时可对优质评论进行置顶操作视频专辑：</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8) 平台具备视频专辑管理功能，用户可以将单个视频文件建立视频专辑进行统一管理，支持按照学科、学段、年级、班级、最新发布、最多播放等不同方式进行筛选；视频专辑支持建立的作者信息以及包含的视频数量和已被点击的总数量统计功能；要求专辑内的视频支持按照列表排列顺序实现一键播放功能，专辑内的视频支持显示上传所有者信息、视频名称、被点播的总次数统计等功能，同时专辑内的视频支持按照最新发布、最多播放进行自动排名；</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3. 优课评比：</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 平台具备优课评比功能，支持按照参与教师、评审专家、参赛视频方式发起优课评比项目，</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2) 支持显示优课基本信息，如发起人、活动时间、举办单位、参与教师、参入视频、参与的评审专家等基本信息；</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4. 微课展示：</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 要求平台具备在线微课制作功能，要求微课资源支持按照排名、学科、学段、年级、班级等方式进行分类和检索，</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2) 支持微课资源点击进入即直接播放该微课资源，并支持实时显示微课总时长，通过鼠标左键点击或按压键盘空格键即可实现暂停播放功能；</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3) 要求微课视频资源进入支持显示简介等信息（如：学科、学段、年级、班级）、已经被评论和点播的总数量，并支持在线实时评论；</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5. 名师讲堂：</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 平台具备名师讲堂功能，要求支持列表显示所有名师资源列表信息，可根据人名等基本信息区分不同名师课堂主页；</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2) 进入任意名师课堂主页，支持显示名师基本简介信息、视频被点播的总播次数、视频课件总数量及专辑总数量等信息；</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6. 排行榜：</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 平台具备视频排行榜功能，排行榜中的资源支持显示精品课程、优课展示、微课展示、名师排行等细分大类视频课件资源；精品课程、优课评比展示、微课展示、名师排行等排行支持按照点击播放总次数由多到少进行自动排行；</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2) 要求排行榜可以按人气、按贡献等方式实现视频资源的自动排名；</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三、 后台管理要求</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 用户管理：</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 要求平台提供用户自主注册、后台批量导入，注册用户后由管理人员对申请人进行信息核对并开放对应功能，后台可通过数据模版初始化导入用户数据，每个用户可自行管理个人账户信息；</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2) 要求每个账户拥有独立的个人空间；</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3) 要求管理员具备基本的修改、锁定、解锁、删除、用户密码修改功能；</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4）要求不少于专家、学校各种领导角色、教师、家长、学生等各种不同角色；支持对不同的用户角色可根据需求自定义设置多种权限；</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5）支持多层级部门设置，支持部门名称自定义，支持部门序号排序；</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2、录播管理要求</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1）支持根据不同教室功能设置教室分类管理，支持教室分类多层级创建；</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2）支持绑定录播设备，实现录播系统集中管理，包括录播状态监测显示、远程开关机、设备重启等操作；</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3）支持远程连接录播教室，支持对录播画面进行在线直播预览，支持电影模式、资源模式预览设置；</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4）支持课表联动录播设备实现自动开启录制功能，支持按照教室、预约周期、预约时间、有效时间段、课时、课程名、主讲人、年级、学段、学科、班级、是否直播等维度批量导入学校课程安排，实现完全自动化录播和资源上传；</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3、直播管理要求</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1）直播管理支持自定义创建直播频道，支持高清、标清模式自定义，支持直播流路数、节点模式、频道类型等定义选择；</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2）直播活动创建支持预约开始、立即开始、暂停、结束等多种直播状态可选，支持公开观看、登录观看、密码观看等多种直播访问权限设置，支持评论开启、关闭，支持直播在线人数显示与隐藏设置；</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3）支持扩展级联功能，能够实现与区级平台级联，支持级联上级推送、下级推送，实现与上、下级平台实现直播分享推送；</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4、视频管理要求</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1）支持视频分类、支持视频编目自定义设置，支持视频编目项字典自定义编辑，可以根据不同年级、学科、学段、班级自行编辑字内容项；</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2）支持视频列表形式展示所有平台视频，支持对任意视频设置推荐置顶，支持扩展级联功能，能够实现与区级平台级联，支持级联上级推送、下级推送，实现与上、下级平台实现视频点播分享推送；</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3）支持视频审核，能够在视频审核界面对待审核视频进行预览观看，支持删除视频和审核通过两种操作，支持多个视频选中进行批量审核；</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4）支持本地视频上传转码，以手动添加方式，实现后台视频添加；</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5）支持视频评论、问答管理界面，能够统一管理视频评论内容，支持设置自动答复功能；</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5、报表统计要求</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1）支持直播峰值图表，所有直播活动能够自动生成直播统计报表，支持以柱状图形式显示在不同时间段同时在线观看人数，并支持PC端、移动端不同人数分别统计；</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2）支持直播观看日志，支持获取观看直播用户IP地址、登入、登出时间、在线时长、设备类型等统一展示；</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3）支持直播用户分布图，能够以中国地图形式呈现全国各地观看观众数，并根据不同用户数量能够以不同颜色进行标记显示；</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4）支持视频峰值、视频播放量、视频播放时长、视频播放量排行、视频观看用户日志、日志管理等统计分析模块，帮助学校老师充分了解各视频查看统计结</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6、投标时，如有请提供提供厂家开据的授权书和售后服务器承诺书原件。</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套</w:t>
            </w:r>
          </w:p>
        </w:tc>
        <w:tc>
          <w:tcPr>
            <w:tcW w:w="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2074</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2074</w:t>
            </w:r>
          </w:p>
        </w:tc>
      </w:tr>
      <w:tr>
        <w:tblPrEx>
          <w:tblCellMar>
            <w:top w:w="0" w:type="dxa"/>
            <w:left w:w="0" w:type="dxa"/>
            <w:bottom w:w="0" w:type="dxa"/>
            <w:right w:w="0" w:type="dxa"/>
          </w:tblCellMar>
        </w:tblPrEx>
        <w:trPr>
          <w:trHeight w:val="5223"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自动跟踪系统</w:t>
            </w:r>
          </w:p>
        </w:tc>
        <w:tc>
          <w:tcPr>
            <w:tcW w:w="5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1、 系统支持横向分析方案和纵向分析方案，横向分析方案适用于按精品教室规格装修的、面积小于10m×10m的教室；纵向分析方案适用于普通教室，可支持教室的宽度大于15m；</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2、 系统支持对云台摄像机镜头和焦距进行控制，实现对教学活动中老师、学生、板书的自动跟踪拍摄和切换；</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3、 支持单边液晶触摸一体机，单边推拉黑板的教学场景，可设置老师特写、讲台全景、学生特写、学生全景、板书特写、课件电脑或数字展台等信号源的接入；</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4、 可扩展支持中间液晶触摸一体机，左右双黑板的教学场景，可设置老师特写、讲台全景、学生特写、学生全景、左板书特写、右板书特写、课件电脑或数字展台等信号源的接入；</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5、 系统支持多个屏蔽区设置，可屏蔽观摩室和教室之间的玻璃墙，避免因玻璃墙反射而造成学生特写画面捕捉不到的问题，同时支持屏蔽教室后方因听课教师（或家长）意外站立或走动而导致的错误特写画面；</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套</w:t>
            </w:r>
          </w:p>
        </w:tc>
        <w:tc>
          <w:tcPr>
            <w:tcW w:w="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17588</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17588</w:t>
            </w:r>
          </w:p>
        </w:tc>
      </w:tr>
      <w:tr>
        <w:tblPrEx>
          <w:tblCellMar>
            <w:top w:w="0" w:type="dxa"/>
            <w:left w:w="0" w:type="dxa"/>
            <w:bottom w:w="0" w:type="dxa"/>
            <w:right w:w="0" w:type="dxa"/>
          </w:tblCellMar>
        </w:tblPrEx>
        <w:trPr>
          <w:trHeight w:val="2489"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拾音话筒</w:t>
            </w:r>
          </w:p>
        </w:tc>
        <w:tc>
          <w:tcPr>
            <w:tcW w:w="5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1、 话筒类型：电容式。</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2、 指向性：超指向性。</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3、 频率响应：30Hz-18KHz。</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4、 灵敏度：-37dB±2dB(0dB=1V/Pa at 1KHz)。</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5、 信噪比：72db（1KHz@1Pa）。</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6、 输出阻抗：200欧姆。</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7、 供电要求：48v幻象供电。</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支</w:t>
            </w:r>
          </w:p>
        </w:tc>
        <w:tc>
          <w:tcPr>
            <w:tcW w:w="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973</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973</w:t>
            </w:r>
          </w:p>
        </w:tc>
      </w:tr>
      <w:tr>
        <w:tblPrEx>
          <w:tblCellMar>
            <w:top w:w="0" w:type="dxa"/>
            <w:left w:w="0" w:type="dxa"/>
            <w:bottom w:w="0" w:type="dxa"/>
            <w:right w:w="0" w:type="dxa"/>
          </w:tblCellMar>
        </w:tblPrEx>
        <w:trPr>
          <w:trHeight w:val="8563"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跟踪定位设备</w:t>
            </w:r>
          </w:p>
        </w:tc>
        <w:tc>
          <w:tcPr>
            <w:tcW w:w="5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1、芯片组 Hi3516D；1/3“OV4689 CMOS 传感器 400万像素</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2、最低照度 彩色0.6Lux@F1.2；黑白0.08Lux@F1.2</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3、信噪比 ≥50dB(AGC OFF)</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4、IO功能接口 1 路复位</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 xml:space="preserve">5、编码格式  H264，Baseline/Main Profile/High Profile 编码；H.265 Main Profile 编码；MJPEG 编码 </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6、主码流：2592*1520，1-15 帧/秒；2048*1520，1-25(30)帧/秒；1920*1080，1-25(30)帧/秒；次码流：704*576，1-25(30)帧/秒 640*480，1-25(30)帧/秒640*352，1-25(30)帧/秒 320*240，1-25(30)帧/秒</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7、视频压缩码率 32Kbps-16Mbps 连续可调，支持 CBR/VBR</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8、字幕叠加 支持通道名、日期时间、码流信息叠加，叠加位置可调</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9、数据存储：视频、图片文件</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10、存储机制：手动、自动(循环、定时、报警开关量、移动侦测)</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11、报警数据传输 FTP、E-mail 电子邮件、浏览器、管理软件</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12、协议支持 TCP/IP、UDP、RTP、RTSP、RTCP、HTTP、DNS、DDNS、DHCP、FTP、NTP、PPPOE、SMTP、UPNP</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13、客户端浏览 支持 IE6.0 及以上(设备内嵌 Web Server)浏览器浏览，支持 8 用户并发访问(MAX)</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14、手机客户端 支持 iPhone、iPad、Android 平台</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15、供电：DC12V/POE(需外接 POE 模块)</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设备功率 3W(MAX)</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16、设备尺寸：58</w:t>
            </w:r>
            <w:r>
              <w:rPr>
                <w:rFonts w:hint="eastAsia" w:ascii="宋体" w:hAnsi="宋体" w:cs="华文细黑"/>
                <w:color w:val="auto"/>
                <w:kern w:val="0"/>
                <w:sz w:val="20"/>
                <w:szCs w:val="20"/>
              </w:rPr>
              <w:t>±5</w:t>
            </w:r>
            <w:r>
              <w:rPr>
                <w:rFonts w:hint="eastAsia" w:ascii="华文细黑" w:hAnsi="华文细黑" w:eastAsia="华文细黑" w:cs="华文细黑"/>
                <w:color w:val="auto"/>
                <w:kern w:val="0"/>
                <w:sz w:val="20"/>
                <w:szCs w:val="20"/>
              </w:rPr>
              <w:t>(长) * 50</w:t>
            </w:r>
            <w:r>
              <w:rPr>
                <w:rFonts w:hint="eastAsia" w:ascii="宋体" w:hAnsi="宋体" w:cs="华文细黑"/>
                <w:color w:val="auto"/>
                <w:kern w:val="0"/>
                <w:sz w:val="20"/>
                <w:szCs w:val="20"/>
              </w:rPr>
              <w:t>±5</w:t>
            </w:r>
            <w:r>
              <w:rPr>
                <w:rFonts w:hint="eastAsia" w:ascii="华文细黑" w:hAnsi="华文细黑" w:eastAsia="华文细黑" w:cs="华文细黑"/>
                <w:color w:val="auto"/>
                <w:kern w:val="0"/>
                <w:sz w:val="20"/>
                <w:szCs w:val="20"/>
              </w:rPr>
              <w:t>(宽) *50</w:t>
            </w:r>
            <w:r>
              <w:rPr>
                <w:rFonts w:hint="eastAsia" w:ascii="宋体" w:hAnsi="宋体" w:cs="华文细黑"/>
                <w:color w:val="auto"/>
                <w:kern w:val="0"/>
                <w:sz w:val="20"/>
                <w:szCs w:val="20"/>
              </w:rPr>
              <w:t>±5</w:t>
            </w:r>
            <w:r>
              <w:rPr>
                <w:rFonts w:hint="eastAsia" w:ascii="华文细黑" w:hAnsi="华文细黑" w:eastAsia="华文细黑" w:cs="华文细黑"/>
                <w:color w:val="auto"/>
                <w:kern w:val="0"/>
                <w:sz w:val="20"/>
                <w:szCs w:val="20"/>
              </w:rPr>
              <w:t>(高)mm(不含镜头)</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17、IR-CUT孔距：22</w:t>
            </w:r>
            <w:r>
              <w:rPr>
                <w:rFonts w:hint="eastAsia" w:ascii="宋体" w:hAnsi="宋体" w:cs="华文细黑"/>
                <w:color w:val="auto"/>
                <w:kern w:val="0"/>
                <w:sz w:val="20"/>
                <w:szCs w:val="20"/>
              </w:rPr>
              <w:t>±5</w:t>
            </w:r>
            <w:r>
              <w:rPr>
                <w:rFonts w:hint="eastAsia" w:ascii="华文细黑" w:hAnsi="华文细黑" w:eastAsia="华文细黑" w:cs="华文细黑"/>
                <w:color w:val="auto"/>
                <w:kern w:val="0"/>
                <w:sz w:val="20"/>
                <w:szCs w:val="20"/>
              </w:rPr>
              <w:t>mm</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18、设备重量：0.22</w:t>
            </w:r>
            <w:r>
              <w:rPr>
                <w:rFonts w:hint="eastAsia" w:ascii="宋体" w:hAnsi="宋体" w:cs="华文细黑"/>
                <w:color w:val="auto"/>
                <w:kern w:val="0"/>
                <w:sz w:val="20"/>
                <w:szCs w:val="20"/>
              </w:rPr>
              <w:t>±0.5</w:t>
            </w:r>
            <w:r>
              <w:rPr>
                <w:rFonts w:hint="eastAsia" w:ascii="华文细黑" w:hAnsi="华文细黑" w:eastAsia="华文细黑" w:cs="华文细黑"/>
                <w:color w:val="auto"/>
                <w:kern w:val="0"/>
                <w:sz w:val="20"/>
                <w:szCs w:val="20"/>
              </w:rPr>
              <w:t>kg(含镜头)</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台</w:t>
            </w:r>
          </w:p>
        </w:tc>
        <w:tc>
          <w:tcPr>
            <w:tcW w:w="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1620</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3240</w:t>
            </w:r>
          </w:p>
        </w:tc>
      </w:tr>
      <w:tr>
        <w:tblPrEx>
          <w:tblCellMar>
            <w:top w:w="0" w:type="dxa"/>
            <w:left w:w="0" w:type="dxa"/>
            <w:bottom w:w="0" w:type="dxa"/>
            <w:right w:w="0" w:type="dxa"/>
          </w:tblCellMar>
        </w:tblPrEx>
        <w:trPr>
          <w:trHeight w:val="1565"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7</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云台摄像机</w:t>
            </w:r>
          </w:p>
        </w:tc>
        <w:tc>
          <w:tcPr>
            <w:tcW w:w="5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1、 视频输出接口： ≥1路3G-SDI接口，≥1路DVI-D接口</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2、 视输输出格式：1080P60、1080P50、1080I60、1080I50、1080P30、1080P25、720P60、720P50</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 xml:space="preserve">3、 音频接口：1pcs 3.5mm接口 </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4、 编码方式：支持H.265编码/H.264，全高清1080p/60 fps；</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5、 支持TF卡，最大64G本地存储</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6、 支持1路RS-232 IN，1路RS-232 OUT，1路RS-485</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7、 水平范围：-170°~+170°</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8、 垂直范围：-30°~+90°</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9、 水平转动速度： ±0.1°~120°/秒；</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10、 垂直转动速度：0.1°~80°/秒</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11、 传感器类型 1/2.8 " CMOS, ≥214万像素</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 xml:space="preserve">12、 镜头焦距：光学变焦不小于20倍，数字变焦不小于12倍；   </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台</w:t>
            </w:r>
          </w:p>
        </w:tc>
        <w:tc>
          <w:tcPr>
            <w:tcW w:w="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4605</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13815</w:t>
            </w:r>
          </w:p>
        </w:tc>
      </w:tr>
      <w:tr>
        <w:tblPrEx>
          <w:tblCellMar>
            <w:top w:w="0" w:type="dxa"/>
            <w:left w:w="0" w:type="dxa"/>
            <w:bottom w:w="0" w:type="dxa"/>
            <w:right w:w="0" w:type="dxa"/>
          </w:tblCellMar>
        </w:tblPrEx>
        <w:trPr>
          <w:trHeight w:val="4059"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跟踪定位摄像系统</w:t>
            </w:r>
          </w:p>
        </w:tc>
        <w:tc>
          <w:tcPr>
            <w:tcW w:w="5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1、 要求支持在Windows 2000/2003/XP/vista/7/8/10等环境正常运行；</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2、 要求支持通过网线直连或交换机、路由器等方式进行连接配置；</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3、 支持HTTP、RTSP、PTZ等端口配置；</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4、 支持预置位设置，可设置预置位0-254；</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5、 要求支持50Hz（PAL）、60Hz（NTSC）和拨码优先三种制式；</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6、 为满足不同场景拍摄效果，支持亮度、饱和度、对比度、锐度、色度等图像效果调节功能；</w:t>
            </w:r>
            <w:r>
              <w:rPr>
                <w:rFonts w:hint="eastAsia" w:ascii="华文细黑" w:hAnsi="华文细黑" w:eastAsia="华文细黑" w:cs="华文细黑"/>
                <w:color w:val="auto"/>
                <w:kern w:val="0"/>
                <w:sz w:val="20"/>
                <w:szCs w:val="20"/>
              </w:rPr>
              <w:br w:type="textWrapping"/>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套</w:t>
            </w:r>
          </w:p>
        </w:tc>
        <w:tc>
          <w:tcPr>
            <w:tcW w:w="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2050</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6150</w:t>
            </w:r>
          </w:p>
        </w:tc>
      </w:tr>
      <w:tr>
        <w:tblPrEx>
          <w:tblCellMar>
            <w:top w:w="0" w:type="dxa"/>
            <w:left w:w="0" w:type="dxa"/>
            <w:bottom w:w="0" w:type="dxa"/>
            <w:right w:w="0" w:type="dxa"/>
          </w:tblCellMar>
        </w:tblPrEx>
        <w:trPr>
          <w:trHeight w:val="2489"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9</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控制面板</w:t>
            </w:r>
          </w:p>
        </w:tc>
        <w:tc>
          <w:tcPr>
            <w:tcW w:w="5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1、面板尺寸：4.3寸；</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2、分辨率：480*272；</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3、背光类别：LED；</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4、背光亮度：300nit，支持64级亮度可调</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5、支持RS485和RS232两种控制接口；</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6、支持对录播设备的录制、暂停、停止、VGA锁定、开关机、视频打点等操作。</w:t>
            </w: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 xml:space="preserve">1 </w:t>
            </w: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台</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 xml:space="preserve">800 </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800</w:t>
            </w:r>
          </w:p>
        </w:tc>
      </w:tr>
      <w:tr>
        <w:tblPrEx>
          <w:tblCellMar>
            <w:top w:w="0" w:type="dxa"/>
            <w:left w:w="0" w:type="dxa"/>
            <w:bottom w:w="0" w:type="dxa"/>
            <w:right w:w="0" w:type="dxa"/>
          </w:tblCellMar>
        </w:tblPrEx>
        <w:trPr>
          <w:trHeight w:val="1873"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电动蓝箱</w:t>
            </w:r>
          </w:p>
        </w:tc>
        <w:tc>
          <w:tcPr>
            <w:tcW w:w="5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 xml:space="preserve">1、卷帘宽度单幅：2.3米 </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 xml:space="preserve">2、卷帘高度：:3.2米 </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 xml:space="preserve">3、电压 220V </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 xml:space="preserve">4、频率 50HZ </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 xml:space="preserve">5、工作噪音 35-40DB </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 xml:space="preserve">6、卷帘管规格 ø40mm/50mm/65mm/85mm/90mm </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 xml:space="preserve">7、电机直径/扭矩  ø35mm(8N.m/10N.m)、ø45mm(20N.m/50N.m) </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 xml:space="preserve">8、面料门幅：（高档全遮光阳光面料） </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 xml:space="preserve">9、1台电机可以拉15㎡左右的面料 </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卷</w:t>
            </w:r>
          </w:p>
        </w:tc>
        <w:tc>
          <w:tcPr>
            <w:tcW w:w="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3580</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3580</w:t>
            </w:r>
          </w:p>
        </w:tc>
      </w:tr>
      <w:tr>
        <w:tblPrEx>
          <w:tblCellMar>
            <w:top w:w="0" w:type="dxa"/>
            <w:left w:w="0" w:type="dxa"/>
            <w:bottom w:w="0" w:type="dxa"/>
            <w:right w:w="0"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11</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智能蓝箱处理系统</w:t>
            </w:r>
          </w:p>
        </w:tc>
        <w:tc>
          <w:tcPr>
            <w:tcW w:w="5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 xml:space="preserve">1、配合录播主机可以实现微课制作、录制直播与抠像，音视频信号输入输出管理，摄像机控制、录制管理、直播管理、虚拟场景设置、字幕台标设置等功能。 </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2、软件可对抠像区域大小进行调节，可上下左右缩放；</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3、软件可对抠像参数进行设置，如人像色彩，边缘平滑度，边缘色彩等设置，可一键恢复默认，也可一键取消抠像；</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4、软件支持虚拟的方式进行图像的上下左右，远近、大小调节，调节过程不改变摄像机镜头变焦及角度等参数；</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5、软件支持在3D场景下图像的推远拉近、上下左右移动、左右转动等调节，调节过程不改变摄像机的镜头状态。</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6、软件支持对摄像机参数进行设置，包括变焦，左右上下摇移等操作。</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7、要求系统功能支持抠像镜头前景调节功能，可通过设定的按键微调人物场景实现拉近拉远或左右摆动。</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8、系统具备微课制作功能，支持两路信号接入，其中一路可设计为背景场景，另外一路设计为虚拟抠像场景，其中背景场景可切换为VGA画面、实景或其他定制场景。</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9、系统支持设置演讲人模式，即演讲人与VGA画面同屏组合输出，直播传输的画面包含演讲人及VGA场景信息，并支持对演讲人的实时定位跟踪功能。</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10、支持3D场景，3D场景可通过控制键盘进行角度，场景的切换，并且可设置不少于三个3D虚拟预制位，进行快速的切换到不同的角度，场景进行录制直播。</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11、支持2D静态和2D动态场景，2D静态支持PNG等格式的通用文件，2D动态支持Mp4等格式通用视频文件;并且动态视频自带的声音可作为录制和直播音源进行录制和直播，可设置纯音频文件为背景音乐，用户可自由选择录制和直播的声音（动态视频声音，背景音乐）。</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12、支持微课应用，可以将电脑画面作为背景进行合成抠像录制直播，实现微课制作、线上培训等应用。</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13、支持一键开启录制，支持自动识别音频输入源并支持一键添加音频输入源设备功能，可通过系统音频调节模块实现对音频输入源声源大小的实时调节和反馈输出；</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14、支持一键开启直播推流，可通过两种方式进行推流直播，一种是填写RTMP推流地址，一种是通过填写用户名、密码方式开启推流直播。</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15、支持设定直播参数，如如直播主题、流程、演讲人介绍，直播页面背景设定等；并可实时显示直播推流网络状况，如带宽，丢包情况等；</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16、支持拍照及上传分享功能，在虚拟发布的过程中一键进行抓拍拍照，一键上传到服务器，用户可以通过手机微信扫描系统生成的二维码将拍照图片下载到手机并可进行微信分享；</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17、要求系统功能支持字幕添加功能，多种模板可供选择，支持同时添加多行多条字幕，添加的字体和大小可自由设定， 字体的摆放位置可根据选择不同的模板实现规则排版；</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18、支持滚动字幕设置，提供多种滚动字幕模板供用户选择；</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19、支持自定义台标，支持台标采用PNG、JPG、Jpeg等格式图图片。</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套</w:t>
            </w:r>
          </w:p>
        </w:tc>
        <w:tc>
          <w:tcPr>
            <w:tcW w:w="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17400</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17400</w:t>
            </w:r>
          </w:p>
        </w:tc>
      </w:tr>
      <w:tr>
        <w:tblPrEx>
          <w:tblCellMar>
            <w:top w:w="0" w:type="dxa"/>
            <w:left w:w="0" w:type="dxa"/>
            <w:bottom w:w="0" w:type="dxa"/>
            <w:right w:w="0" w:type="dxa"/>
          </w:tblCellMar>
        </w:tblPrEx>
        <w:trPr>
          <w:trHeight w:val="1349"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12</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领夹话筒</w:t>
            </w:r>
          </w:p>
        </w:tc>
        <w:tc>
          <w:tcPr>
            <w:tcW w:w="5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★工作频率：612-789.75MHz，采用微电脑CPU控制，红外线自动对频，可自动选择最好的频道</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调制方式：宽带FM</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★信道数目：1600频点，每段200信道</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信道间隔：250KHz</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频率稳定度：±0.005%</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动态范围：100dB</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最大偏移：±45KHz</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音频频率响应：40Hz-18KHz（±3dB）</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综合信噪比：≥110dB</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综合失真：≤0.5%</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工作距离：100m（在理想环境的情况下）</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★接收机显示：黑色背光橙色字75×26mm液晶显示，具有动态电量、音频、信号显示，频道号、开解锁、使用频率显示</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★发射机显示：蓝色背光白色字22×16mm液晶显示，具有信号强度、动态电量检测、频道号、使用频率显示</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接收方式：二次变频超外差</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振荡方式：锁相环PLL频率合成</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灵敏度：12dBuV(80dB S/N)</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灵敏度调节范围：12-32dBuV</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最大输出电平：+10dBV</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输出功率：＜10mW</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发射机供电：3V（2节AA1.5V碱性电池或高容量AA1.2V-1800mAh充电电池）</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电池寿命：正常功率发射时大约10小时（低功率发射时大约20小时）</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★充电方式：腰包式发射机具有USB快速充电接口（选配）</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★系统具有低电量自动提示功能</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接收机供电：DC12V</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发射机材质及颜色：ABS黑色</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发射机尺寸：65</w:t>
            </w:r>
            <w:r>
              <w:rPr>
                <w:rFonts w:hint="eastAsia" w:ascii="宋体" w:hAnsi="宋体" w:cs="华文细黑"/>
                <w:color w:val="auto"/>
                <w:kern w:val="0"/>
                <w:sz w:val="20"/>
                <w:szCs w:val="20"/>
              </w:rPr>
              <w:t>±5</w:t>
            </w:r>
            <w:r>
              <w:rPr>
                <w:rFonts w:hint="eastAsia" w:ascii="华文细黑" w:hAnsi="华文细黑" w:eastAsia="华文细黑" w:cs="华文细黑"/>
                <w:color w:val="auto"/>
                <w:kern w:val="0"/>
                <w:sz w:val="20"/>
                <w:szCs w:val="20"/>
              </w:rPr>
              <w:t>×28</w:t>
            </w:r>
            <w:r>
              <w:rPr>
                <w:rFonts w:hint="eastAsia" w:ascii="宋体" w:hAnsi="宋体" w:cs="华文细黑"/>
                <w:color w:val="auto"/>
                <w:kern w:val="0"/>
                <w:sz w:val="20"/>
                <w:szCs w:val="20"/>
              </w:rPr>
              <w:t>±5</w:t>
            </w:r>
            <w:r>
              <w:rPr>
                <w:rFonts w:hint="eastAsia" w:ascii="华文细黑" w:hAnsi="华文细黑" w:eastAsia="华文细黑" w:cs="华文细黑"/>
                <w:color w:val="auto"/>
                <w:kern w:val="0"/>
                <w:sz w:val="20"/>
                <w:szCs w:val="20"/>
              </w:rPr>
              <w:t>×86</w:t>
            </w:r>
            <w:r>
              <w:rPr>
                <w:rFonts w:hint="eastAsia" w:ascii="宋体" w:hAnsi="宋体" w:cs="华文细黑"/>
                <w:color w:val="auto"/>
                <w:kern w:val="0"/>
                <w:sz w:val="20"/>
                <w:szCs w:val="20"/>
              </w:rPr>
              <w:t>±5</w:t>
            </w:r>
            <w:r>
              <w:rPr>
                <w:rFonts w:hint="eastAsia" w:ascii="华文细黑" w:hAnsi="华文细黑" w:eastAsia="华文细黑" w:cs="华文细黑"/>
                <w:color w:val="auto"/>
                <w:kern w:val="0"/>
                <w:sz w:val="20"/>
                <w:szCs w:val="20"/>
              </w:rPr>
              <w:t>mm</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接收机尺寸：480</w:t>
            </w:r>
            <w:r>
              <w:rPr>
                <w:rFonts w:hint="eastAsia" w:ascii="宋体" w:hAnsi="宋体" w:cs="华文细黑"/>
                <w:color w:val="auto"/>
                <w:kern w:val="0"/>
                <w:sz w:val="20"/>
                <w:szCs w:val="20"/>
              </w:rPr>
              <w:t>±5</w:t>
            </w:r>
            <w:r>
              <w:rPr>
                <w:rFonts w:hint="eastAsia" w:ascii="华文细黑" w:hAnsi="华文细黑" w:eastAsia="华文细黑" w:cs="华文细黑"/>
                <w:color w:val="auto"/>
                <w:kern w:val="0"/>
                <w:sz w:val="20"/>
                <w:szCs w:val="20"/>
              </w:rPr>
              <w:t>×230</w:t>
            </w:r>
            <w:r>
              <w:rPr>
                <w:rFonts w:hint="eastAsia" w:ascii="宋体" w:hAnsi="宋体" w:cs="华文细黑"/>
                <w:color w:val="auto"/>
                <w:kern w:val="0"/>
                <w:sz w:val="20"/>
                <w:szCs w:val="20"/>
              </w:rPr>
              <w:t>±5</w:t>
            </w:r>
            <w:r>
              <w:rPr>
                <w:rFonts w:hint="eastAsia" w:ascii="华文细黑" w:hAnsi="华文细黑" w:eastAsia="华文细黑" w:cs="华文细黑"/>
                <w:color w:val="auto"/>
                <w:kern w:val="0"/>
                <w:sz w:val="20"/>
                <w:szCs w:val="20"/>
              </w:rPr>
              <w:t>×44mm</w:t>
            </w:r>
            <w:r>
              <w:rPr>
                <w:rFonts w:hint="eastAsia" w:ascii="宋体" w:hAnsi="宋体" w:cs="华文细黑"/>
                <w:color w:val="auto"/>
                <w:kern w:val="0"/>
                <w:sz w:val="20"/>
                <w:szCs w:val="20"/>
              </w:rPr>
              <w:t>±5</w:t>
            </w:r>
            <w:r>
              <w:rPr>
                <w:rFonts w:hint="eastAsia" w:ascii="华文细黑" w:hAnsi="华文细黑" w:eastAsia="华文细黑" w:cs="华文细黑"/>
                <w:color w:val="auto"/>
                <w:kern w:val="0"/>
                <w:sz w:val="20"/>
                <w:szCs w:val="20"/>
              </w:rPr>
              <w:t>(1U)</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工作环境温度：-10℃—+50℃</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套</w:t>
            </w:r>
          </w:p>
        </w:tc>
        <w:tc>
          <w:tcPr>
            <w:tcW w:w="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2050</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2050</w:t>
            </w:r>
          </w:p>
        </w:tc>
      </w:tr>
      <w:tr>
        <w:tblPrEx>
          <w:tblCellMar>
            <w:top w:w="0" w:type="dxa"/>
            <w:left w:w="0" w:type="dxa"/>
            <w:bottom w:w="0" w:type="dxa"/>
            <w:right w:w="0" w:type="dxa"/>
          </w:tblCellMar>
        </w:tblPrEx>
        <w:trPr>
          <w:trHeight w:val="5262"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13</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交换机</w:t>
            </w:r>
          </w:p>
        </w:tc>
        <w:tc>
          <w:tcPr>
            <w:tcW w:w="5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1.★配置：24个千兆电接口和4千兆SFP光接口（非combo口）。</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2.★交换容量≥3Tbps，转发性能≥126Mpps，该性能参数以官网截图为准，提供官网链接及截图；</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3.★支持Openflow 1.3标准，提供官网链接及截图；</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4.支持静态路由、RIP、RIPng、OSPF,提供国际权威第三方测试报告;</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5.★MAC地址≥16K，VLAN支持≥4k，支持Ipv4路由表≥4K，ARP表项≥2K，提供国际权威第三方测试报告，</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6.支持G.8032开放环,可与其他厂商设备混合组网，要求倒换时间≤50ms，提供官网全屏截图及链接；</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7.支持智能堆叠，堆叠后逻辑上虚拟为一台设备，具有统一的表项和管理，堆叠系统通过多台成员设备之间冗余备份，</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8.★支持以太网电口堆叠，用网线连接实现堆叠功能，提供国际第三方测试报告；</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9.支持纵向虚拟化，作为纵向子节点零配置即插即用；</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10.支持IPv6 第二阶段认证，支持CC认证，并提供认证证书；</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11.业务端口防雷能力10 kV,提供官网截图证明；</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12.★本次投标交换机需要和核心交换机需统一平台管理；</w:t>
            </w:r>
            <w:r>
              <w:rPr>
                <w:rFonts w:hint="eastAsia" w:ascii="华文细黑" w:hAnsi="华文细黑" w:eastAsia="华文细黑" w:cs="华文细黑"/>
                <w:color w:val="auto"/>
                <w:kern w:val="0"/>
                <w:sz w:val="20"/>
                <w:szCs w:val="20"/>
              </w:rPr>
              <w:br w:type="textWrapping"/>
            </w: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 xml:space="preserve">1 </w:t>
            </w: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台</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 xml:space="preserve">2225 </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2225</w:t>
            </w:r>
          </w:p>
        </w:tc>
      </w:tr>
      <w:tr>
        <w:tblPrEx>
          <w:tblCellMar>
            <w:top w:w="0" w:type="dxa"/>
            <w:left w:w="0" w:type="dxa"/>
            <w:bottom w:w="0" w:type="dxa"/>
            <w:right w:w="0" w:type="dxa"/>
          </w:tblCellMar>
        </w:tblPrEx>
        <w:trPr>
          <w:trHeight w:val="1299"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14</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工控机</w:t>
            </w:r>
          </w:p>
        </w:tc>
        <w:tc>
          <w:tcPr>
            <w:tcW w:w="5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华文细黑" w:hAnsi="华文细黑" w:eastAsia="华文细黑" w:cs="华文细黑"/>
                <w:color w:val="auto"/>
                <w:kern w:val="0"/>
                <w:sz w:val="20"/>
                <w:szCs w:val="20"/>
              </w:rPr>
            </w:pPr>
            <w:r>
              <w:rPr>
                <w:rFonts w:hint="eastAsia" w:ascii="华文细黑" w:hAnsi="华文细黑" w:eastAsia="华文细黑" w:cs="华文细黑"/>
                <w:color w:val="auto"/>
                <w:kern w:val="0"/>
                <w:sz w:val="20"/>
                <w:szCs w:val="20"/>
              </w:rPr>
              <w:t>1、型号：塔式工控机；</w:t>
            </w:r>
          </w:p>
          <w:p>
            <w:pPr>
              <w:widowControl/>
              <w:jc w:val="left"/>
              <w:textAlignment w:val="center"/>
              <w:rPr>
                <w:rFonts w:ascii="华文细黑" w:hAnsi="华文细黑" w:eastAsia="华文细黑" w:cs="华文细黑"/>
                <w:color w:val="auto"/>
                <w:kern w:val="0"/>
                <w:sz w:val="20"/>
                <w:szCs w:val="20"/>
              </w:rPr>
            </w:pPr>
            <w:r>
              <w:rPr>
                <w:rFonts w:hint="eastAsia" w:ascii="华文细黑" w:hAnsi="华文细黑" w:eastAsia="华文细黑" w:cs="华文细黑"/>
                <w:color w:val="auto"/>
                <w:kern w:val="0"/>
                <w:sz w:val="20"/>
                <w:szCs w:val="20"/>
              </w:rPr>
              <w:t>2、外观：机箱外观物理尺寸(H*W*D) 387.5±5 x 102 ±5x 338±5mm；</w:t>
            </w:r>
          </w:p>
          <w:p>
            <w:pPr>
              <w:widowControl/>
              <w:jc w:val="left"/>
              <w:textAlignment w:val="center"/>
              <w:rPr>
                <w:rFonts w:ascii="华文细黑" w:hAnsi="华文细黑" w:eastAsia="华文细黑" w:cs="华文细黑"/>
                <w:color w:val="auto"/>
                <w:kern w:val="0"/>
                <w:sz w:val="20"/>
                <w:szCs w:val="20"/>
              </w:rPr>
            </w:pPr>
            <w:r>
              <w:rPr>
                <w:rFonts w:hint="eastAsia" w:ascii="华文细黑" w:hAnsi="华文细黑" w:eastAsia="华文细黑" w:cs="华文细黑"/>
                <w:color w:val="auto"/>
                <w:kern w:val="0"/>
                <w:sz w:val="20"/>
                <w:szCs w:val="20"/>
              </w:rPr>
              <w:t>3、处理器：支持一颗鲲鹏920 2.6GHz的8核处理器；</w:t>
            </w:r>
          </w:p>
          <w:p>
            <w:pPr>
              <w:widowControl/>
              <w:jc w:val="left"/>
              <w:textAlignment w:val="center"/>
              <w:rPr>
                <w:rFonts w:ascii="华文细黑" w:hAnsi="华文细黑" w:eastAsia="华文细黑" w:cs="华文细黑"/>
                <w:color w:val="auto"/>
                <w:kern w:val="0"/>
                <w:sz w:val="20"/>
                <w:szCs w:val="20"/>
              </w:rPr>
            </w:pPr>
            <w:r>
              <w:rPr>
                <w:rFonts w:hint="eastAsia" w:ascii="华文细黑" w:hAnsi="华文细黑" w:eastAsia="华文细黑" w:cs="华文细黑"/>
                <w:color w:val="auto"/>
                <w:kern w:val="0"/>
                <w:sz w:val="20"/>
                <w:szCs w:val="20"/>
              </w:rPr>
              <w:t>4、内存：2个内存通道，最大支持4 DIMM插槽, 支持最高速率2400MHz的DDR4的UDIMM内存，支持ECC校验，支持单根内存容量最大16GB，最大支持64 GB；</w:t>
            </w:r>
          </w:p>
          <w:p>
            <w:pPr>
              <w:widowControl/>
              <w:jc w:val="left"/>
              <w:textAlignment w:val="center"/>
              <w:rPr>
                <w:rFonts w:ascii="华文细黑" w:hAnsi="华文细黑" w:eastAsia="华文细黑" w:cs="华文细黑"/>
                <w:color w:val="auto"/>
                <w:kern w:val="0"/>
                <w:sz w:val="20"/>
                <w:szCs w:val="20"/>
              </w:rPr>
            </w:pPr>
            <w:r>
              <w:rPr>
                <w:rFonts w:hint="eastAsia" w:ascii="华文细黑" w:hAnsi="华文细黑" w:eastAsia="华文细黑" w:cs="华文细黑"/>
                <w:color w:val="auto"/>
                <w:kern w:val="0"/>
                <w:sz w:val="20"/>
                <w:szCs w:val="20"/>
              </w:rPr>
              <w:t>本次配置：4G；</w:t>
            </w:r>
          </w:p>
          <w:p>
            <w:pPr>
              <w:widowControl/>
              <w:jc w:val="left"/>
              <w:textAlignment w:val="center"/>
              <w:rPr>
                <w:rFonts w:ascii="华文细黑" w:hAnsi="华文细黑" w:eastAsia="华文细黑" w:cs="华文细黑"/>
                <w:color w:val="auto"/>
                <w:kern w:val="0"/>
                <w:sz w:val="20"/>
                <w:szCs w:val="20"/>
              </w:rPr>
            </w:pPr>
            <w:r>
              <w:rPr>
                <w:rFonts w:hint="eastAsia" w:ascii="华文细黑" w:hAnsi="华文细黑" w:eastAsia="华文细黑" w:cs="华文细黑"/>
                <w:color w:val="auto"/>
                <w:kern w:val="0"/>
                <w:sz w:val="20"/>
                <w:szCs w:val="20"/>
              </w:rPr>
              <w:t>5、存储扩展：</w:t>
            </w:r>
          </w:p>
          <w:p>
            <w:pPr>
              <w:widowControl/>
              <w:jc w:val="left"/>
              <w:textAlignment w:val="center"/>
              <w:rPr>
                <w:rFonts w:ascii="华文细黑" w:hAnsi="华文细黑" w:eastAsia="华文细黑" w:cs="华文细黑"/>
                <w:color w:val="auto"/>
                <w:kern w:val="0"/>
                <w:sz w:val="20"/>
                <w:szCs w:val="20"/>
              </w:rPr>
            </w:pPr>
            <w:r>
              <w:rPr>
                <w:rFonts w:hint="eastAsia" w:ascii="华文细黑" w:hAnsi="华文细黑" w:eastAsia="华文细黑" w:cs="华文细黑"/>
                <w:color w:val="auto"/>
                <w:kern w:val="0"/>
                <w:sz w:val="20"/>
                <w:szCs w:val="20"/>
              </w:rPr>
              <w:t>支持工业级抗震动 2 个 M.2 SSD 插槽 ；</w:t>
            </w:r>
          </w:p>
          <w:p>
            <w:pPr>
              <w:widowControl/>
              <w:jc w:val="left"/>
              <w:textAlignment w:val="center"/>
              <w:rPr>
                <w:rFonts w:ascii="华文细黑" w:hAnsi="华文细黑" w:eastAsia="华文细黑" w:cs="华文细黑"/>
                <w:color w:val="auto"/>
                <w:kern w:val="0"/>
                <w:sz w:val="20"/>
                <w:szCs w:val="20"/>
              </w:rPr>
            </w:pPr>
            <w:r>
              <w:rPr>
                <w:rFonts w:hint="eastAsia" w:ascii="华文细黑" w:hAnsi="华文细黑" w:eastAsia="华文细黑" w:cs="华文细黑"/>
                <w:color w:val="auto"/>
                <w:kern w:val="0"/>
                <w:sz w:val="20"/>
                <w:szCs w:val="20"/>
              </w:rPr>
              <w:t>1*M.2 SSD 插槽，支持2242/2260/2280/22110 SATA SSD。</w:t>
            </w:r>
          </w:p>
          <w:p>
            <w:pPr>
              <w:widowControl/>
              <w:jc w:val="left"/>
              <w:textAlignment w:val="center"/>
              <w:rPr>
                <w:rFonts w:ascii="华文细黑" w:hAnsi="华文细黑" w:eastAsia="华文细黑" w:cs="华文细黑"/>
                <w:color w:val="auto"/>
                <w:kern w:val="0"/>
                <w:sz w:val="20"/>
                <w:szCs w:val="20"/>
              </w:rPr>
            </w:pPr>
            <w:r>
              <w:rPr>
                <w:rFonts w:hint="eastAsia" w:ascii="华文细黑" w:hAnsi="华文细黑" w:eastAsia="华文细黑" w:cs="华文细黑"/>
                <w:color w:val="auto"/>
                <w:kern w:val="0"/>
                <w:sz w:val="20"/>
                <w:szCs w:val="20"/>
              </w:rPr>
              <w:t xml:space="preserve">1*M.2 SSD 插槽，支持 2242/2260/2280 SATA SSD。 </w:t>
            </w:r>
          </w:p>
          <w:p>
            <w:pPr>
              <w:widowControl/>
              <w:jc w:val="left"/>
              <w:textAlignment w:val="center"/>
              <w:rPr>
                <w:rFonts w:ascii="华文细黑" w:hAnsi="华文细黑" w:eastAsia="华文细黑" w:cs="华文细黑"/>
                <w:color w:val="auto"/>
                <w:kern w:val="0"/>
                <w:sz w:val="20"/>
                <w:szCs w:val="20"/>
              </w:rPr>
            </w:pPr>
            <w:r>
              <w:rPr>
                <w:rFonts w:hint="eastAsia" w:ascii="华文细黑" w:hAnsi="华文细黑" w:eastAsia="华文细黑" w:cs="华文细黑"/>
                <w:color w:val="auto"/>
                <w:kern w:val="0"/>
                <w:sz w:val="20"/>
                <w:szCs w:val="20"/>
              </w:rPr>
              <w:t>支持工业级抗震动 6 个 SATA 3.0 硬盘接口 ,可支持一个 SATA 光驱；</w:t>
            </w:r>
          </w:p>
          <w:p>
            <w:pPr>
              <w:widowControl/>
              <w:jc w:val="left"/>
              <w:textAlignment w:val="center"/>
              <w:rPr>
                <w:rFonts w:ascii="华文细黑" w:hAnsi="华文细黑" w:eastAsia="华文细黑" w:cs="华文细黑"/>
                <w:color w:val="auto"/>
                <w:kern w:val="0"/>
                <w:sz w:val="20"/>
                <w:szCs w:val="20"/>
              </w:rPr>
            </w:pPr>
            <w:r>
              <w:rPr>
                <w:rFonts w:hint="eastAsia" w:ascii="华文细黑" w:hAnsi="华文细黑" w:eastAsia="华文细黑" w:cs="华文细黑"/>
                <w:color w:val="auto"/>
                <w:kern w:val="0"/>
                <w:sz w:val="20"/>
                <w:szCs w:val="20"/>
              </w:rPr>
              <w:t xml:space="preserve">本次配置：1x/1TB/3.5‘/SATA机械盘；                                                  </w:t>
            </w:r>
          </w:p>
          <w:p>
            <w:pPr>
              <w:widowControl/>
              <w:jc w:val="left"/>
              <w:textAlignment w:val="center"/>
              <w:rPr>
                <w:rFonts w:ascii="华文细黑" w:hAnsi="华文细黑" w:eastAsia="华文细黑" w:cs="华文细黑"/>
                <w:color w:val="auto"/>
                <w:kern w:val="0"/>
                <w:sz w:val="20"/>
                <w:szCs w:val="20"/>
              </w:rPr>
            </w:pPr>
            <w:r>
              <w:rPr>
                <w:rFonts w:hint="eastAsia" w:ascii="华文细黑" w:hAnsi="华文细黑" w:eastAsia="华文细黑" w:cs="华文细黑"/>
                <w:color w:val="auto"/>
                <w:kern w:val="0"/>
                <w:sz w:val="20"/>
                <w:szCs w:val="20"/>
              </w:rPr>
              <w:t>6、显卡：独立显卡，主板不集成视频显卡，支持一个1个AMD RX550 4G独立显卡，支持显卡集成VGA接口，HDMI接口，DVI接口显示；</w:t>
            </w:r>
          </w:p>
          <w:p>
            <w:pPr>
              <w:widowControl/>
              <w:jc w:val="left"/>
              <w:textAlignment w:val="center"/>
              <w:rPr>
                <w:rFonts w:ascii="华文细黑" w:hAnsi="华文细黑" w:eastAsia="华文细黑" w:cs="华文细黑"/>
                <w:color w:val="auto"/>
                <w:kern w:val="0"/>
                <w:sz w:val="20"/>
                <w:szCs w:val="20"/>
              </w:rPr>
            </w:pPr>
            <w:r>
              <w:rPr>
                <w:rFonts w:hint="eastAsia" w:ascii="华文细黑" w:hAnsi="华文细黑" w:eastAsia="华文细黑" w:cs="华文细黑"/>
                <w:color w:val="auto"/>
                <w:kern w:val="0"/>
                <w:sz w:val="20"/>
                <w:szCs w:val="20"/>
              </w:rPr>
              <w:t>7、音频：集成声卡，支持机箱前面板 Mic 输入和音频输出；</w:t>
            </w:r>
          </w:p>
          <w:p>
            <w:pPr>
              <w:widowControl/>
              <w:jc w:val="left"/>
              <w:textAlignment w:val="center"/>
              <w:rPr>
                <w:rFonts w:ascii="华文细黑" w:hAnsi="华文细黑" w:eastAsia="华文细黑" w:cs="华文细黑"/>
                <w:color w:val="auto"/>
                <w:kern w:val="0"/>
                <w:sz w:val="20"/>
                <w:szCs w:val="20"/>
              </w:rPr>
            </w:pPr>
            <w:r>
              <w:rPr>
                <w:rFonts w:hint="eastAsia" w:ascii="华文细黑" w:hAnsi="华文细黑" w:eastAsia="华文细黑" w:cs="华文细黑"/>
                <w:color w:val="auto"/>
                <w:kern w:val="0"/>
                <w:sz w:val="20"/>
                <w:szCs w:val="20"/>
              </w:rPr>
              <w:t>8、IO扩展性：支持 3 个 PCIe 3.0 扩展槽位；</w:t>
            </w:r>
          </w:p>
          <w:p>
            <w:pPr>
              <w:widowControl/>
              <w:jc w:val="left"/>
              <w:textAlignment w:val="center"/>
              <w:rPr>
                <w:rFonts w:ascii="华文细黑" w:hAnsi="华文细黑" w:eastAsia="华文细黑" w:cs="华文细黑"/>
                <w:color w:val="auto"/>
                <w:kern w:val="0"/>
                <w:sz w:val="20"/>
                <w:szCs w:val="20"/>
              </w:rPr>
            </w:pPr>
            <w:r>
              <w:rPr>
                <w:rFonts w:hint="eastAsia" w:ascii="华文细黑" w:hAnsi="华文细黑" w:eastAsia="华文细黑" w:cs="华文细黑"/>
                <w:color w:val="auto"/>
                <w:kern w:val="0"/>
                <w:sz w:val="20"/>
                <w:szCs w:val="20"/>
              </w:rPr>
              <w:t xml:space="preserve">1 个 PCIe 3.0 X16 插槽，最大支持全高全长 X16 双宽 PCIe 标卡（X16 带宽、X16 插座）。 </w:t>
            </w:r>
          </w:p>
          <w:p>
            <w:pPr>
              <w:widowControl/>
              <w:jc w:val="left"/>
              <w:textAlignment w:val="center"/>
              <w:rPr>
                <w:rFonts w:ascii="华文细黑" w:hAnsi="华文细黑" w:eastAsia="华文细黑" w:cs="华文细黑"/>
                <w:color w:val="auto"/>
                <w:kern w:val="0"/>
                <w:sz w:val="20"/>
                <w:szCs w:val="20"/>
              </w:rPr>
            </w:pPr>
            <w:r>
              <w:rPr>
                <w:rFonts w:hint="eastAsia" w:ascii="华文细黑" w:hAnsi="华文细黑" w:eastAsia="华文细黑" w:cs="华文细黑"/>
                <w:color w:val="auto"/>
                <w:kern w:val="0"/>
                <w:sz w:val="20"/>
                <w:szCs w:val="20"/>
              </w:rPr>
              <w:t xml:space="preserve">1 个 PCIe 3.0 X4 插槽，最大支持全高全长 X16 PCIe 标 卡（X4 带宽、X16 插座）。 </w:t>
            </w:r>
          </w:p>
          <w:p>
            <w:pPr>
              <w:widowControl/>
              <w:jc w:val="left"/>
              <w:textAlignment w:val="center"/>
              <w:rPr>
                <w:rFonts w:ascii="华文细黑" w:hAnsi="华文细黑" w:eastAsia="华文细黑" w:cs="华文细黑"/>
                <w:color w:val="auto"/>
                <w:kern w:val="0"/>
                <w:sz w:val="20"/>
                <w:szCs w:val="20"/>
              </w:rPr>
            </w:pPr>
            <w:r>
              <w:rPr>
                <w:rFonts w:hint="eastAsia" w:ascii="华文细黑" w:hAnsi="华文细黑" w:eastAsia="华文细黑" w:cs="华文细黑"/>
                <w:color w:val="auto"/>
                <w:kern w:val="0"/>
                <w:sz w:val="20"/>
                <w:szCs w:val="20"/>
              </w:rPr>
              <w:t>1 个 PCIe3.0 X1 插槽，最大支持全高全长 X8 PCIe 标卡 （X1 带宽、X1 插座）。</w:t>
            </w:r>
          </w:p>
          <w:p>
            <w:pPr>
              <w:widowControl/>
              <w:jc w:val="left"/>
              <w:textAlignment w:val="center"/>
              <w:rPr>
                <w:rFonts w:ascii="华文细黑" w:hAnsi="华文细黑" w:eastAsia="华文细黑" w:cs="华文细黑"/>
                <w:color w:val="auto"/>
                <w:kern w:val="0"/>
                <w:sz w:val="20"/>
                <w:szCs w:val="20"/>
              </w:rPr>
            </w:pPr>
            <w:r>
              <w:rPr>
                <w:rFonts w:hint="eastAsia" w:ascii="华文细黑" w:hAnsi="华文细黑" w:eastAsia="华文细黑" w:cs="华文细黑"/>
                <w:color w:val="auto"/>
                <w:kern w:val="0"/>
                <w:sz w:val="20"/>
                <w:szCs w:val="20"/>
              </w:rPr>
              <w:t xml:space="preserve">9、网卡控制器：集成2个千兆网口，一个10/100/1000BaseT速率的RJ45电口，一个1000 BaseX的SFP光口； </w:t>
            </w:r>
          </w:p>
          <w:p>
            <w:pPr>
              <w:widowControl/>
              <w:jc w:val="left"/>
              <w:textAlignment w:val="center"/>
              <w:rPr>
                <w:rFonts w:ascii="华文细黑" w:hAnsi="华文细黑" w:eastAsia="华文细黑" w:cs="华文细黑"/>
                <w:color w:val="auto"/>
                <w:kern w:val="0"/>
                <w:sz w:val="20"/>
                <w:szCs w:val="20"/>
              </w:rPr>
            </w:pPr>
            <w:r>
              <w:rPr>
                <w:rFonts w:hint="eastAsia" w:ascii="华文细黑" w:hAnsi="华文细黑" w:eastAsia="华文细黑" w:cs="华文细黑"/>
                <w:color w:val="auto"/>
                <w:kern w:val="0"/>
                <w:sz w:val="20"/>
                <w:szCs w:val="20"/>
              </w:rPr>
              <w:t>10、电源：标配200W单电源，交流输入220V-3A 50Hz；</w:t>
            </w:r>
          </w:p>
          <w:p>
            <w:pPr>
              <w:widowControl/>
              <w:jc w:val="left"/>
              <w:textAlignment w:val="center"/>
              <w:rPr>
                <w:rFonts w:ascii="华文细黑" w:hAnsi="华文细黑" w:eastAsia="华文细黑" w:cs="华文细黑"/>
                <w:color w:val="auto"/>
                <w:kern w:val="0"/>
                <w:sz w:val="20"/>
                <w:szCs w:val="20"/>
              </w:rPr>
            </w:pPr>
            <w:r>
              <w:rPr>
                <w:rFonts w:hint="eastAsia" w:ascii="华文细黑" w:hAnsi="华文细黑" w:eastAsia="华文细黑" w:cs="华文细黑"/>
                <w:color w:val="auto"/>
                <w:kern w:val="0"/>
                <w:sz w:val="20"/>
                <w:szCs w:val="20"/>
              </w:rPr>
              <w:t>11、USB：支持9个 USB接口；</w:t>
            </w:r>
          </w:p>
          <w:p>
            <w:pPr>
              <w:widowControl/>
              <w:jc w:val="left"/>
              <w:textAlignment w:val="center"/>
              <w:rPr>
                <w:rFonts w:ascii="华文细黑" w:hAnsi="华文细黑" w:eastAsia="华文细黑" w:cs="华文细黑"/>
                <w:color w:val="auto"/>
                <w:kern w:val="0"/>
                <w:sz w:val="20"/>
                <w:szCs w:val="20"/>
              </w:rPr>
            </w:pPr>
            <w:r>
              <w:rPr>
                <w:rFonts w:hint="eastAsia" w:ascii="华文细黑" w:hAnsi="华文细黑" w:eastAsia="华文细黑" w:cs="华文细黑"/>
                <w:color w:val="auto"/>
                <w:kern w:val="0"/>
                <w:sz w:val="20"/>
                <w:szCs w:val="20"/>
              </w:rPr>
              <w:t>前置：2 个 USB 3.0 Gen1 接口, 2 个 USB 2.0 接口。</w:t>
            </w:r>
          </w:p>
          <w:p>
            <w:pPr>
              <w:widowControl/>
              <w:jc w:val="left"/>
              <w:textAlignment w:val="center"/>
              <w:rPr>
                <w:rFonts w:ascii="华文细黑" w:hAnsi="华文细黑" w:eastAsia="华文细黑" w:cs="华文细黑"/>
                <w:color w:val="auto"/>
                <w:kern w:val="0"/>
                <w:sz w:val="20"/>
                <w:szCs w:val="20"/>
              </w:rPr>
            </w:pPr>
            <w:r>
              <w:rPr>
                <w:rFonts w:hint="eastAsia" w:ascii="华文细黑" w:hAnsi="华文细黑" w:eastAsia="华文细黑" w:cs="华文细黑"/>
                <w:color w:val="auto"/>
                <w:kern w:val="0"/>
                <w:sz w:val="20"/>
                <w:szCs w:val="20"/>
              </w:rPr>
              <w:t>后置：2 个 USB 3.0 Gen1 接口, 2 个 USB 2.0 接口。</w:t>
            </w:r>
          </w:p>
          <w:p>
            <w:pPr>
              <w:widowControl/>
              <w:jc w:val="left"/>
              <w:textAlignment w:val="center"/>
              <w:rPr>
                <w:rFonts w:ascii="华文细黑" w:hAnsi="华文细黑" w:eastAsia="华文细黑" w:cs="华文细黑"/>
                <w:color w:val="auto"/>
                <w:kern w:val="0"/>
                <w:sz w:val="20"/>
                <w:szCs w:val="20"/>
              </w:rPr>
            </w:pPr>
            <w:r>
              <w:rPr>
                <w:rFonts w:hint="eastAsia" w:ascii="华文细黑" w:hAnsi="华文细黑" w:eastAsia="华文细黑" w:cs="华文细黑"/>
                <w:color w:val="auto"/>
                <w:kern w:val="0"/>
                <w:sz w:val="20"/>
                <w:szCs w:val="20"/>
              </w:rPr>
              <w:t>内置：1 个 USB 2.0 接口。</w:t>
            </w:r>
          </w:p>
          <w:p>
            <w:pPr>
              <w:widowControl/>
              <w:jc w:val="left"/>
              <w:textAlignment w:val="center"/>
              <w:rPr>
                <w:rFonts w:ascii="华文细黑" w:hAnsi="华文细黑" w:eastAsia="华文细黑" w:cs="华文细黑"/>
                <w:color w:val="auto"/>
                <w:kern w:val="0"/>
                <w:sz w:val="20"/>
                <w:szCs w:val="20"/>
              </w:rPr>
            </w:pPr>
            <w:r>
              <w:rPr>
                <w:rFonts w:hint="eastAsia" w:ascii="华文细黑" w:hAnsi="华文细黑" w:eastAsia="华文细黑" w:cs="华文细黑"/>
                <w:color w:val="auto"/>
                <w:kern w:val="0"/>
                <w:sz w:val="20"/>
                <w:szCs w:val="20"/>
              </w:rPr>
              <w:t>12、操作系统支持：UOS/中标麒麟桌面操作系统；</w:t>
            </w:r>
          </w:p>
          <w:p>
            <w:pPr>
              <w:widowControl/>
              <w:jc w:val="left"/>
              <w:textAlignment w:val="center"/>
              <w:rPr>
                <w:rFonts w:ascii="华文细黑" w:hAnsi="华文细黑" w:eastAsia="华文细黑" w:cs="华文细黑"/>
                <w:color w:val="auto"/>
                <w:kern w:val="0"/>
                <w:sz w:val="20"/>
                <w:szCs w:val="20"/>
              </w:rPr>
            </w:pPr>
            <w:r>
              <w:rPr>
                <w:rFonts w:hint="eastAsia" w:ascii="华文细黑" w:hAnsi="华文细黑" w:eastAsia="华文细黑" w:cs="华文细黑"/>
                <w:color w:val="auto"/>
                <w:kern w:val="0"/>
                <w:sz w:val="20"/>
                <w:szCs w:val="20"/>
              </w:rPr>
              <w:t>13、安全性：支持TPM安全模块，存储、管理BIOS开机密码以及硬盘密码；</w:t>
            </w:r>
          </w:p>
          <w:p>
            <w:pPr>
              <w:widowControl/>
              <w:jc w:val="left"/>
              <w:textAlignment w:val="center"/>
              <w:rPr>
                <w:rFonts w:ascii="华文细黑" w:hAnsi="华文细黑" w:eastAsia="华文细黑" w:cs="华文细黑"/>
                <w:color w:val="auto"/>
                <w:kern w:val="0"/>
                <w:sz w:val="20"/>
                <w:szCs w:val="20"/>
              </w:rPr>
            </w:pPr>
            <w:r>
              <w:rPr>
                <w:rFonts w:hint="eastAsia" w:ascii="华文细黑" w:hAnsi="华文细黑" w:eastAsia="华文细黑" w:cs="华文细黑"/>
                <w:color w:val="auto"/>
                <w:kern w:val="0"/>
                <w:sz w:val="20"/>
                <w:szCs w:val="20"/>
              </w:rPr>
              <w:t>14、硬件监控：系统温度检测，风扇转速检测，根据热关键器件温度综合调节风扇转速，支持PWM调速和电压调速；</w:t>
            </w:r>
          </w:p>
          <w:p>
            <w:pPr>
              <w:widowControl/>
              <w:jc w:val="left"/>
              <w:textAlignment w:val="center"/>
              <w:rPr>
                <w:rFonts w:ascii="华文细黑" w:hAnsi="华文细黑" w:eastAsia="华文细黑" w:cs="华文细黑"/>
                <w:color w:val="auto"/>
                <w:kern w:val="0"/>
                <w:sz w:val="20"/>
                <w:szCs w:val="20"/>
              </w:rPr>
            </w:pPr>
            <w:r>
              <w:rPr>
                <w:rFonts w:hint="eastAsia" w:ascii="华文细黑" w:hAnsi="华文细黑" w:eastAsia="华文细黑" w:cs="华文细黑"/>
                <w:color w:val="auto"/>
                <w:kern w:val="0"/>
                <w:sz w:val="20"/>
                <w:szCs w:val="20"/>
              </w:rPr>
              <w:t>14、保修：原厂商3年有限保修及上门服务，1年上门服务，2年送修，原厂3年7*24小时电话支持服务；</w:t>
            </w:r>
          </w:p>
          <w:p>
            <w:pPr>
              <w:widowControl/>
              <w:jc w:val="left"/>
              <w:textAlignment w:val="center"/>
              <w:rPr>
                <w:rFonts w:ascii="华文细黑" w:hAnsi="华文细黑" w:eastAsia="华文细黑" w:cs="华文细黑"/>
                <w:color w:val="auto"/>
                <w:kern w:val="0"/>
                <w:sz w:val="20"/>
                <w:szCs w:val="20"/>
              </w:rPr>
            </w:pPr>
            <w:r>
              <w:rPr>
                <w:rFonts w:hint="eastAsia" w:ascii="华文细黑" w:hAnsi="华文细黑" w:eastAsia="华文细黑" w:cs="华文细黑"/>
                <w:color w:val="auto"/>
                <w:kern w:val="0"/>
                <w:sz w:val="20"/>
                <w:szCs w:val="20"/>
              </w:rPr>
              <w:t>15、认证标准：产品国家3C标准，产品国家能效标准，产品MTBF的1万小时标准；</w:t>
            </w:r>
          </w:p>
          <w:p>
            <w:pPr>
              <w:widowControl/>
              <w:jc w:val="left"/>
              <w:textAlignment w:val="center"/>
              <w:rPr>
                <w:rFonts w:ascii="华文细黑" w:hAnsi="华文细黑" w:eastAsia="华文细黑" w:cs="华文细黑"/>
                <w:color w:val="auto"/>
                <w:kern w:val="0"/>
                <w:sz w:val="20"/>
                <w:szCs w:val="20"/>
              </w:rPr>
            </w:pPr>
            <w:r>
              <w:rPr>
                <w:rFonts w:hint="eastAsia" w:ascii="华文细黑" w:hAnsi="华文细黑" w:eastAsia="华文细黑" w:cs="华文细黑"/>
                <w:color w:val="auto"/>
                <w:kern w:val="0"/>
                <w:sz w:val="20"/>
                <w:szCs w:val="20"/>
              </w:rPr>
              <w:t>16、功能介绍</w:t>
            </w:r>
          </w:p>
          <w:p>
            <w:pPr>
              <w:widowControl/>
              <w:jc w:val="left"/>
              <w:textAlignment w:val="center"/>
              <w:rPr>
                <w:rFonts w:ascii="华文细黑" w:hAnsi="华文细黑" w:eastAsia="华文细黑" w:cs="华文细黑"/>
                <w:color w:val="auto"/>
                <w:kern w:val="0"/>
                <w:sz w:val="20"/>
                <w:szCs w:val="20"/>
              </w:rPr>
            </w:pPr>
            <w:r>
              <w:rPr>
                <w:rFonts w:hint="eastAsia" w:ascii="华文细黑" w:hAnsi="华文细黑" w:eastAsia="华文细黑" w:cs="华文细黑"/>
                <w:color w:val="auto"/>
                <w:kern w:val="0"/>
                <w:sz w:val="20"/>
                <w:szCs w:val="20"/>
              </w:rPr>
              <w:t>  外观设计简洁时尚，支持国产自主可控安全 BIOS，支持全国产操作系统UOS/深度/中标麒麟桌面操作系统，预装国产office办公套件及视频播放、图形显示等工具，友好的窗口交互界面，显著提高桌面终端的可用性。</w:t>
            </w:r>
          </w:p>
          <w:p>
            <w:pPr>
              <w:widowControl/>
              <w:jc w:val="left"/>
              <w:textAlignment w:val="center"/>
              <w:rPr>
                <w:rFonts w:ascii="华文细黑" w:hAnsi="华文细黑" w:eastAsia="华文细黑" w:cs="华文细黑"/>
                <w:color w:val="auto"/>
                <w:kern w:val="0"/>
                <w:sz w:val="20"/>
                <w:szCs w:val="20"/>
              </w:rPr>
            </w:pPr>
            <w:r>
              <w:rPr>
                <w:rFonts w:hint="eastAsia" w:ascii="华文细黑" w:hAnsi="华文细黑" w:eastAsia="华文细黑" w:cs="华文细黑"/>
                <w:color w:val="auto"/>
                <w:kern w:val="0"/>
                <w:sz w:val="20"/>
                <w:szCs w:val="20"/>
              </w:rPr>
              <w:t>17、前置工业级过滤冷却风扇符合最佳的空气流向，友好界面的前置空气过滤装置易于用户维护。</w:t>
            </w:r>
          </w:p>
          <w:p>
            <w:pPr>
              <w:widowControl/>
              <w:jc w:val="left"/>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18、竞标时，如有请提供提供厂家开据的授权书和售后服务器承诺书原件。"</w:t>
            </w: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 xml:space="preserve">1 </w:t>
            </w: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台</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 xml:space="preserve">6000 </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6000</w:t>
            </w:r>
          </w:p>
        </w:tc>
      </w:tr>
      <w:tr>
        <w:tblPrEx>
          <w:tblCellMar>
            <w:top w:w="0" w:type="dxa"/>
            <w:left w:w="0" w:type="dxa"/>
            <w:bottom w:w="0" w:type="dxa"/>
            <w:right w:w="0" w:type="dxa"/>
          </w:tblCellMar>
        </w:tblPrEx>
        <w:trPr>
          <w:trHeight w:val="949"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15</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安装调试服务</w:t>
            </w:r>
          </w:p>
        </w:tc>
        <w:tc>
          <w:tcPr>
            <w:tcW w:w="5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1. 六类网线：六类4对非屏蔽双绞线，传输速率 1000Mbps，单段长度 100米，包装长度 305米，TIA/ EIA568B.2六类标准，通过信息产业部检验，支持千兆以太网，中心为十字骨架设计 ，支持所有话音通讯系统，10Base–T，16 Mbps, 100Base-T，155Mbps和622 Mbps ATM，1000 Mbps，多媒体等方面的高速应用；</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2.材料：屏蔽抗干扰防重腐蚀；六类网线水晶头，网络信息盒子，电源线、网线线槽，电工胶布，透明胶，网线、电线标签标识，电源线、网线扎带，包括4平方、2.5平方，电源插座、底盒。</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3.包括：预埋暗管、墙盒；缆线的布放；缆线的端接（包括安装主配线架、分配线架、信息插座）；布线系统测试。</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4.预埋暗管、预留孔洞的位置、数量、尺寸应符合施工设计要求；</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5.缆线布放前，先检查预埋线管、出线墙盒、配线箱、托盘安装是否到位、是否畅通；</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6.缆线终端处必须卡接牢固，接触良好；</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7.在内装修完成之后，进行各工作区面板和模块插座的安装。</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8、批量安装投影支架，批量布HDMI线、电源线布置，明线走镀锌铁管，桥架，标签,打洞，墙面的布线沟槽开凿和恢复等竞标人自行考虑周边配套设备、辅助材料、相关工程税费等费用，并保证安装到位、验收通过。</w:t>
            </w:r>
            <w:r>
              <w:rPr>
                <w:rFonts w:hint="eastAsia" w:ascii="华文细黑" w:hAnsi="华文细黑" w:eastAsia="华文细黑" w:cs="华文细黑"/>
                <w:color w:val="auto"/>
                <w:kern w:val="0"/>
                <w:sz w:val="20"/>
                <w:szCs w:val="20"/>
              </w:rPr>
              <w:br w:type="textWrapping"/>
            </w:r>
            <w:r>
              <w:rPr>
                <w:rFonts w:hint="eastAsia" w:ascii="华文细黑" w:hAnsi="华文细黑" w:eastAsia="华文细黑" w:cs="华文细黑"/>
                <w:color w:val="auto"/>
                <w:kern w:val="0"/>
                <w:sz w:val="20"/>
                <w:szCs w:val="20"/>
              </w:rPr>
              <w:t>9.含总体调式、安装调试费用及税费。</w:t>
            </w: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 xml:space="preserve">1 </w:t>
            </w: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批</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华文细黑" w:hAnsi="华文细黑" w:eastAsia="华文细黑" w:cs="华文细黑"/>
                <w:color w:val="auto"/>
                <w:sz w:val="20"/>
                <w:szCs w:val="20"/>
              </w:rPr>
            </w:pPr>
            <w:r>
              <w:rPr>
                <w:rFonts w:hint="eastAsia" w:ascii="华文细黑" w:hAnsi="华文细黑" w:eastAsia="华文细黑" w:cs="华文细黑"/>
                <w:color w:val="auto"/>
                <w:kern w:val="0"/>
                <w:sz w:val="20"/>
                <w:szCs w:val="20"/>
              </w:rPr>
              <w:t xml:space="preserve">3637 </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3637</w:t>
            </w:r>
          </w:p>
        </w:tc>
      </w:tr>
      <w:tr>
        <w:tblPrEx>
          <w:tblCellMar>
            <w:top w:w="0" w:type="dxa"/>
            <w:left w:w="0" w:type="dxa"/>
            <w:bottom w:w="0" w:type="dxa"/>
            <w:right w:w="0" w:type="dxa"/>
          </w:tblCellMar>
        </w:tblPrEx>
        <w:trPr>
          <w:trHeight w:val="728" w:hRule="atLeast"/>
        </w:trPr>
        <w:tc>
          <w:tcPr>
            <w:tcW w:w="24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0"/>
                <w:szCs w:val="20"/>
              </w:rPr>
            </w:pPr>
          </w:p>
        </w:tc>
        <w:tc>
          <w:tcPr>
            <w:tcW w:w="52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rPr>
              <w:t>合计</w:t>
            </w:r>
          </w:p>
        </w:tc>
        <w:tc>
          <w:tcPr>
            <w:tcW w:w="596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auto"/>
                <w:sz w:val="20"/>
                <w:szCs w:val="20"/>
              </w:rPr>
            </w:pPr>
          </w:p>
        </w:tc>
        <w:tc>
          <w:tcPr>
            <w:tcW w:w="24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auto"/>
                <w:sz w:val="20"/>
                <w:szCs w:val="20"/>
              </w:rPr>
            </w:pPr>
          </w:p>
        </w:tc>
        <w:tc>
          <w:tcPr>
            <w:tcW w:w="24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auto"/>
                <w:sz w:val="20"/>
                <w:szCs w:val="20"/>
              </w:rPr>
            </w:pPr>
          </w:p>
        </w:tc>
        <w:tc>
          <w:tcPr>
            <w:tcW w:w="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113362</w:t>
            </w:r>
          </w:p>
        </w:tc>
      </w:tr>
      <w:bookmarkEnd w:id="57"/>
    </w:tbl>
    <w:p>
      <w:pPr>
        <w:rPr>
          <w:rFonts w:hAnsi="宋体"/>
          <w:b/>
          <w:bCs/>
          <w:color w:val="auto"/>
          <w:sz w:val="24"/>
        </w:rPr>
      </w:pPr>
      <w:r>
        <w:rPr>
          <w:rFonts w:hint="eastAsia" w:hAnsi="宋体"/>
          <w:b/>
          <w:bCs/>
          <w:color w:val="auto"/>
          <w:sz w:val="24"/>
        </w:rPr>
        <w:br w:type="page"/>
      </w:r>
    </w:p>
    <w:p>
      <w:pPr>
        <w:pStyle w:val="2"/>
        <w:rPr>
          <w:rFonts w:hAnsi="宋体"/>
          <w:b/>
          <w:bCs/>
          <w:color w:val="auto"/>
        </w:rPr>
      </w:pPr>
    </w:p>
    <w:tbl>
      <w:tblPr>
        <w:tblStyle w:val="43"/>
        <w:tblW w:w="96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0"/>
        <w:gridCol w:w="9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rPr>
            </w:pPr>
            <w:r>
              <w:rPr>
                <w:rFonts w:hint="eastAsia" w:ascii="宋体" w:hAnsi="宋体"/>
                <w:color w:val="auto"/>
              </w:rPr>
              <w:t>商务条款</w:t>
            </w:r>
          </w:p>
        </w:tc>
        <w:tc>
          <w:tcPr>
            <w:tcW w:w="909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rPr>
            </w:pPr>
            <w:r>
              <w:rPr>
                <w:rFonts w:hint="eastAsia" w:ascii="宋体" w:hAnsi="宋体"/>
                <w:color w:val="auto"/>
              </w:rPr>
              <w:t>1、合同签订期：自成交通知书发出之日</w:t>
            </w:r>
            <w:r>
              <w:rPr>
                <w:rFonts w:hint="eastAsia" w:ascii="宋体" w:hAnsi="宋体"/>
                <w:color w:val="auto"/>
                <w:lang w:val="en-US" w:eastAsia="zh-CN"/>
              </w:rPr>
              <w:t>25</w:t>
            </w:r>
            <w:r>
              <w:rPr>
                <w:rFonts w:hint="eastAsia" w:ascii="宋体" w:hAnsi="宋体"/>
                <w:color w:val="auto"/>
              </w:rPr>
              <w:t>日内。</w:t>
            </w:r>
          </w:p>
          <w:p>
            <w:pPr>
              <w:spacing w:line="360" w:lineRule="auto"/>
              <w:rPr>
                <w:rFonts w:ascii="宋体" w:hAnsi="宋体"/>
                <w:color w:val="auto"/>
              </w:rPr>
            </w:pPr>
            <w:r>
              <w:rPr>
                <w:rFonts w:hint="eastAsia" w:ascii="宋体" w:hAnsi="宋体"/>
                <w:color w:val="auto"/>
              </w:rPr>
              <w:t>★2、交货期：自合同签订之日起10 个日历天内安装完毕并交付使用。</w:t>
            </w:r>
          </w:p>
          <w:p>
            <w:pPr>
              <w:spacing w:line="360" w:lineRule="auto"/>
              <w:rPr>
                <w:rFonts w:ascii="宋体" w:hAnsi="宋体"/>
                <w:color w:val="auto"/>
              </w:rPr>
            </w:pPr>
            <w:r>
              <w:rPr>
                <w:rFonts w:hint="eastAsia" w:ascii="宋体" w:hAnsi="宋体"/>
                <w:color w:val="auto"/>
              </w:rPr>
              <w:t>3、交货地点：南宁市范围内由采购单位指定地点。</w:t>
            </w:r>
          </w:p>
          <w:p>
            <w:pPr>
              <w:spacing w:line="360" w:lineRule="auto"/>
              <w:rPr>
                <w:rFonts w:ascii="宋体" w:hAnsi="宋体"/>
                <w:color w:val="auto"/>
              </w:rPr>
            </w:pPr>
            <w:r>
              <w:rPr>
                <w:rFonts w:hint="eastAsia" w:ascii="宋体" w:hAnsi="宋体"/>
                <w:color w:val="auto"/>
              </w:rPr>
              <w:t>★4、质保期：自交货并验收合格之日起1年（如分项采购货物的质保期有特别要求按分项需求执行）。</w:t>
            </w:r>
          </w:p>
          <w:p>
            <w:pPr>
              <w:spacing w:line="360" w:lineRule="auto"/>
              <w:rPr>
                <w:rFonts w:ascii="宋体" w:hAnsi="宋体"/>
                <w:color w:val="auto"/>
              </w:rPr>
            </w:pPr>
            <w:r>
              <w:rPr>
                <w:rFonts w:hint="eastAsia" w:ascii="宋体" w:hAnsi="宋体"/>
                <w:color w:val="auto"/>
              </w:rPr>
              <w:t>★5、竞标报价必须含以下部分，包括：</w:t>
            </w:r>
          </w:p>
          <w:p>
            <w:pPr>
              <w:spacing w:line="360" w:lineRule="auto"/>
              <w:rPr>
                <w:rFonts w:ascii="宋体" w:hAnsi="宋体"/>
                <w:color w:val="auto"/>
              </w:rPr>
            </w:pPr>
            <w:r>
              <w:rPr>
                <w:rFonts w:hint="eastAsia" w:ascii="宋体" w:hAnsi="宋体"/>
                <w:color w:val="auto"/>
              </w:rPr>
              <w:t>（1）货物的价格；</w:t>
            </w:r>
          </w:p>
          <w:p>
            <w:pPr>
              <w:spacing w:line="360" w:lineRule="auto"/>
              <w:rPr>
                <w:rFonts w:ascii="宋体" w:hAnsi="宋体"/>
                <w:color w:val="auto"/>
              </w:rPr>
            </w:pPr>
            <w:r>
              <w:rPr>
                <w:rFonts w:hint="eastAsia" w:ascii="宋体" w:hAnsi="宋体"/>
                <w:color w:val="auto"/>
              </w:rPr>
              <w:t>（2）必要的保险费用和各项税金；</w:t>
            </w:r>
          </w:p>
          <w:p>
            <w:pPr>
              <w:spacing w:line="360" w:lineRule="auto"/>
              <w:rPr>
                <w:rFonts w:ascii="宋体" w:hAnsi="宋体"/>
                <w:color w:val="auto"/>
              </w:rPr>
            </w:pPr>
            <w:r>
              <w:rPr>
                <w:rFonts w:hint="eastAsia" w:ascii="宋体" w:hAnsi="宋体"/>
                <w:color w:val="auto"/>
              </w:rPr>
              <w:t>（3）技术支持、售后服务、安装调试和更新升级等费用；</w:t>
            </w:r>
          </w:p>
          <w:p>
            <w:pPr>
              <w:spacing w:line="360" w:lineRule="auto"/>
              <w:rPr>
                <w:rFonts w:ascii="宋体" w:hAnsi="宋体"/>
                <w:color w:val="auto"/>
              </w:rPr>
            </w:pPr>
            <w:r>
              <w:rPr>
                <w:rFonts w:hint="eastAsia" w:ascii="宋体" w:hAnsi="宋体"/>
                <w:color w:val="auto"/>
              </w:rPr>
              <w:t>（4）项目组织验收的费用。</w:t>
            </w:r>
          </w:p>
          <w:p>
            <w:pPr>
              <w:spacing w:line="360" w:lineRule="auto"/>
              <w:rPr>
                <w:rFonts w:ascii="宋体" w:hAnsi="宋体"/>
                <w:color w:val="auto"/>
              </w:rPr>
            </w:pPr>
            <w:r>
              <w:rPr>
                <w:rFonts w:hint="eastAsia" w:ascii="宋体" w:hAnsi="宋体"/>
                <w:color w:val="auto"/>
              </w:rPr>
              <w:t>★6、付款方式：本项目无预付款，供货安装完成并通过验收后一次性支付。</w:t>
            </w:r>
          </w:p>
          <w:p>
            <w:pPr>
              <w:spacing w:line="360" w:lineRule="auto"/>
              <w:rPr>
                <w:rFonts w:ascii="宋体" w:hAnsi="宋体"/>
                <w:color w:val="auto"/>
              </w:rPr>
            </w:pPr>
            <w:r>
              <w:rPr>
                <w:rFonts w:hint="eastAsia" w:ascii="宋体" w:hAnsi="宋体"/>
                <w:color w:val="auto"/>
              </w:rPr>
              <w:t>7、服务维护要求</w:t>
            </w:r>
          </w:p>
          <w:p>
            <w:pPr>
              <w:spacing w:line="360" w:lineRule="auto"/>
              <w:rPr>
                <w:rFonts w:ascii="宋体" w:hAnsi="宋体"/>
                <w:color w:val="auto"/>
              </w:rPr>
            </w:pPr>
            <w:r>
              <w:rPr>
                <w:rFonts w:hint="eastAsia" w:ascii="宋体" w:hAnsi="宋体"/>
                <w:color w:val="auto"/>
              </w:rPr>
              <w:t>★（1）供应商应免费培训，指导采购人技术人员做好日常维护管理工作；</w:t>
            </w:r>
          </w:p>
          <w:p>
            <w:pPr>
              <w:spacing w:line="360" w:lineRule="auto"/>
              <w:rPr>
                <w:rFonts w:ascii="宋体" w:hAnsi="宋体"/>
                <w:color w:val="auto"/>
              </w:rPr>
            </w:pPr>
            <w:r>
              <w:rPr>
                <w:rFonts w:hint="eastAsia" w:ascii="宋体" w:hAnsi="宋体"/>
                <w:color w:val="auto"/>
              </w:rPr>
              <w:t>★（2）提供7*24小时热线服务电话和售后服务，接到故障报修后，技术服务人员在1小时内进行电话反馈。如果确认需要现场服务，技术服务人员在4小时内到达现场。如果设备故障在检修12小时后仍无法排除，应在24小时内提供备用设备更换使用。</w:t>
            </w:r>
          </w:p>
          <w:p>
            <w:pPr>
              <w:spacing w:line="360" w:lineRule="auto"/>
              <w:rPr>
                <w:rFonts w:ascii="宋体" w:hAnsi="宋体"/>
                <w:color w:val="auto"/>
              </w:rPr>
            </w:pPr>
            <w:r>
              <w:rPr>
                <w:rFonts w:hint="eastAsia" w:ascii="宋体" w:hAnsi="宋体"/>
                <w:color w:val="auto"/>
              </w:rPr>
              <w:t>（3）采购人在使用过程中，对有疑问的，投标人应在8小时内及时给予处理和答复。</w:t>
            </w:r>
          </w:p>
          <w:p>
            <w:pPr>
              <w:spacing w:line="360" w:lineRule="auto"/>
              <w:rPr>
                <w:rFonts w:ascii="宋体" w:hAnsi="宋体"/>
                <w:color w:val="auto"/>
              </w:rPr>
            </w:pPr>
            <w:r>
              <w:rPr>
                <w:rFonts w:hint="eastAsia" w:ascii="宋体" w:hAnsi="宋体"/>
                <w:color w:val="auto"/>
              </w:rPr>
              <w:t>（4）供应商竞标时提供日常保障服务机构的详细情况：包括服务机构的地址、服务人员姓名、联系方式等。</w:t>
            </w:r>
          </w:p>
          <w:p>
            <w:pPr>
              <w:spacing w:line="360" w:lineRule="auto"/>
              <w:rPr>
                <w:rFonts w:ascii="宋体" w:hAnsi="宋体"/>
                <w:color w:val="auto"/>
              </w:rPr>
            </w:pPr>
            <w:r>
              <w:rPr>
                <w:rFonts w:hint="eastAsia" w:ascii="宋体" w:hAnsi="宋体"/>
                <w:color w:val="auto"/>
              </w:rPr>
              <w:t>（5）当采购人系统需要扩展或升级时，供应商免费提供相应解决方案等技术支持。</w:t>
            </w:r>
          </w:p>
          <w:p>
            <w:pPr>
              <w:spacing w:line="360" w:lineRule="auto"/>
              <w:rPr>
                <w:rFonts w:ascii="宋体" w:hAnsi="宋体"/>
                <w:color w:val="auto"/>
              </w:rPr>
            </w:pPr>
            <w:r>
              <w:rPr>
                <w:rFonts w:hint="eastAsia" w:ascii="宋体" w:hAnsi="宋体"/>
                <w:color w:val="auto"/>
              </w:rPr>
              <w:t>（6）供应商备有充足的备件、配件，可及时向采购人提供技术服务和备件服务。</w:t>
            </w:r>
          </w:p>
          <w:p>
            <w:pPr>
              <w:spacing w:line="360" w:lineRule="auto"/>
              <w:rPr>
                <w:rFonts w:ascii="宋体" w:hAnsi="宋体"/>
                <w:color w:val="auto"/>
              </w:rPr>
            </w:pPr>
            <w:r>
              <w:rPr>
                <w:rFonts w:hint="eastAsia" w:ascii="宋体" w:hAnsi="宋体"/>
                <w:color w:val="auto"/>
              </w:rPr>
              <w:t>★8、其他要求：</w:t>
            </w:r>
          </w:p>
          <w:p>
            <w:pPr>
              <w:spacing w:line="360" w:lineRule="auto"/>
              <w:rPr>
                <w:rFonts w:ascii="宋体" w:hAnsi="宋体"/>
                <w:color w:val="auto"/>
              </w:rPr>
            </w:pPr>
            <w:r>
              <w:rPr>
                <w:rFonts w:hint="eastAsia" w:ascii="宋体" w:hAnsi="宋体"/>
                <w:color w:val="auto"/>
              </w:rPr>
              <w:t>（1）提供详细的技术方案、实施方案、培训方案、售后服务方案和保密承诺。</w:t>
            </w:r>
          </w:p>
          <w:p>
            <w:pPr>
              <w:spacing w:line="360" w:lineRule="auto"/>
              <w:rPr>
                <w:rFonts w:ascii="宋体" w:hAnsi="宋体"/>
                <w:color w:val="auto"/>
              </w:rPr>
            </w:pPr>
            <w:r>
              <w:rPr>
                <w:rFonts w:hint="eastAsia" w:ascii="宋体" w:hAnsi="宋体"/>
                <w:color w:val="auto"/>
              </w:rPr>
              <w:t>（2）本项目为“交钥匙”工程，供应商提供的货物必须完全符合采购需求，如本次采购内容中未能详尽说明，但又是满足服务成果提交条件需要的其它配件，由中标人在合同金额内自行解决。</w:t>
            </w:r>
          </w:p>
          <w:p>
            <w:pPr>
              <w:spacing w:line="360" w:lineRule="auto"/>
              <w:rPr>
                <w:rFonts w:ascii="宋体" w:hAnsi="宋体"/>
                <w:color w:val="auto"/>
              </w:rPr>
            </w:pPr>
            <w:r>
              <w:rPr>
                <w:rFonts w:hint="eastAsia" w:ascii="宋体" w:hAnsi="宋体"/>
                <w:color w:val="auto"/>
              </w:rPr>
              <w:t>（3）项目验收：所有设备安装调试完成后，供应商提请项目验收，由采购人组织项目验收工作，依据行业规范和竞标文件由采购人验收。</w:t>
            </w:r>
          </w:p>
        </w:tc>
      </w:tr>
    </w:tbl>
    <w:p>
      <w:pPr>
        <w:pStyle w:val="24"/>
        <w:snapToGrid w:val="0"/>
        <w:spacing w:before="120" w:after="120"/>
        <w:outlineLvl w:val="0"/>
        <w:rPr>
          <w:rFonts w:hAnsi="宋体"/>
          <w:b/>
          <w:color w:val="auto"/>
          <w:sz w:val="44"/>
          <w:szCs w:val="44"/>
        </w:rPr>
      </w:pPr>
    </w:p>
    <w:p>
      <w:pPr>
        <w:pStyle w:val="24"/>
        <w:snapToGrid w:val="0"/>
        <w:spacing w:before="120" w:after="120"/>
        <w:outlineLvl w:val="0"/>
        <w:rPr>
          <w:rFonts w:hAnsi="宋体"/>
          <w:b/>
          <w:color w:val="auto"/>
          <w:sz w:val="44"/>
          <w:szCs w:val="44"/>
        </w:rPr>
      </w:pPr>
    </w:p>
    <w:p>
      <w:pPr>
        <w:pStyle w:val="24"/>
        <w:snapToGrid w:val="0"/>
        <w:spacing w:before="120" w:after="120"/>
        <w:jc w:val="center"/>
        <w:rPr>
          <w:rFonts w:hAnsi="宋体"/>
          <w:b/>
          <w:color w:val="auto"/>
          <w:sz w:val="44"/>
          <w:szCs w:val="44"/>
        </w:rPr>
      </w:pPr>
    </w:p>
    <w:p>
      <w:pPr>
        <w:pStyle w:val="24"/>
        <w:snapToGrid w:val="0"/>
        <w:spacing w:before="120" w:after="120"/>
        <w:jc w:val="center"/>
        <w:outlineLvl w:val="0"/>
        <w:rPr>
          <w:rFonts w:hAnsi="宋体"/>
          <w:b/>
          <w:color w:val="auto"/>
          <w:sz w:val="44"/>
          <w:szCs w:val="44"/>
        </w:rPr>
      </w:pPr>
      <w:bookmarkStart w:id="45" w:name="_Toc5247"/>
      <w:r>
        <w:rPr>
          <w:rFonts w:hint="eastAsia" w:hAnsi="宋体"/>
          <w:b/>
          <w:color w:val="auto"/>
          <w:sz w:val="44"/>
          <w:szCs w:val="44"/>
        </w:rPr>
        <w:t>第四章 响应文件格式</w:t>
      </w:r>
      <w:bookmarkEnd w:id="45"/>
    </w:p>
    <w:p>
      <w:pPr>
        <w:tabs>
          <w:tab w:val="left" w:pos="180"/>
          <w:tab w:val="left" w:pos="1620"/>
        </w:tabs>
        <w:rPr>
          <w:rFonts w:ascii="宋体" w:hAnsi="宋体"/>
          <w:color w:val="auto"/>
          <w:sz w:val="24"/>
        </w:rPr>
      </w:pPr>
    </w:p>
    <w:p>
      <w:pPr>
        <w:spacing w:line="440" w:lineRule="atLeast"/>
        <w:jc w:val="center"/>
        <w:outlineLvl w:val="1"/>
        <w:rPr>
          <w:rFonts w:ascii="宋体" w:hAnsi="宋体"/>
          <w:b/>
          <w:color w:val="auto"/>
          <w:sz w:val="32"/>
          <w:szCs w:val="32"/>
        </w:rPr>
      </w:pPr>
      <w:r>
        <w:rPr>
          <w:rFonts w:hint="eastAsia" w:ascii="宋体" w:hAnsi="宋体"/>
          <w:b/>
          <w:color w:val="auto"/>
          <w:sz w:val="32"/>
          <w:szCs w:val="32"/>
        </w:rPr>
        <w:t>（应根据项目的实际要求进行增减）</w:t>
      </w:r>
    </w:p>
    <w:p>
      <w:pPr>
        <w:tabs>
          <w:tab w:val="left" w:pos="180"/>
          <w:tab w:val="left" w:pos="1620"/>
        </w:tabs>
        <w:rPr>
          <w:rFonts w:ascii="宋体" w:hAnsi="宋体"/>
          <w:color w:val="auto"/>
          <w:sz w:val="24"/>
        </w:rPr>
      </w:pPr>
      <w:r>
        <w:rPr>
          <w:rFonts w:ascii="宋体" w:hAnsi="宋体"/>
          <w:color w:val="auto"/>
          <w:sz w:val="24"/>
        </w:rPr>
        <w:br w:type="page"/>
      </w:r>
      <w:r>
        <w:rPr>
          <w:rFonts w:hint="eastAsia" w:ascii="宋体" w:hAnsi="宋体"/>
          <w:color w:val="auto"/>
          <w:sz w:val="24"/>
        </w:rPr>
        <w:t xml:space="preserve"> </w:t>
      </w:r>
    </w:p>
    <w:p>
      <w:pPr>
        <w:jc w:val="center"/>
        <w:outlineLvl w:val="1"/>
        <w:rPr>
          <w:rFonts w:ascii="宋体" w:hAnsi="宋体"/>
          <w:color w:val="auto"/>
          <w:sz w:val="44"/>
          <w:szCs w:val="44"/>
        </w:rPr>
      </w:pPr>
      <w:r>
        <w:rPr>
          <w:rFonts w:hint="eastAsia" w:ascii="宋体" w:hAnsi="宋体"/>
          <w:b/>
          <w:color w:val="auto"/>
          <w:sz w:val="44"/>
          <w:szCs w:val="44"/>
        </w:rPr>
        <w:t>竞争性谈判响应文件（封面）</w:t>
      </w:r>
    </w:p>
    <w:p>
      <w:pPr>
        <w:jc w:val="center"/>
        <w:rPr>
          <w:rFonts w:ascii="宋体" w:hAnsi="宋体"/>
          <w:color w:val="auto"/>
          <w:sz w:val="24"/>
        </w:rPr>
      </w:pPr>
    </w:p>
    <w:p>
      <w:pPr>
        <w:jc w:val="center"/>
        <w:rPr>
          <w:rFonts w:ascii="宋体" w:hAnsi="宋体"/>
          <w:color w:val="auto"/>
          <w:sz w:val="24"/>
        </w:rPr>
      </w:pPr>
    </w:p>
    <w:p>
      <w:pPr>
        <w:jc w:val="center"/>
        <w:rPr>
          <w:rFonts w:ascii="宋体" w:hAnsi="宋体"/>
          <w:color w:val="auto"/>
          <w:sz w:val="32"/>
          <w:szCs w:val="32"/>
        </w:rPr>
      </w:pPr>
    </w:p>
    <w:p>
      <w:pPr>
        <w:ind w:firstLine="800" w:firstLineChars="250"/>
        <w:outlineLvl w:val="1"/>
        <w:rPr>
          <w:rFonts w:ascii="宋体" w:hAnsi="宋体"/>
          <w:color w:val="auto"/>
          <w:sz w:val="32"/>
          <w:szCs w:val="32"/>
          <w:u w:val="single"/>
        </w:rPr>
      </w:pPr>
      <w:r>
        <w:rPr>
          <w:rFonts w:hint="eastAsia" w:ascii="宋体" w:hAnsi="宋体"/>
          <w:color w:val="auto"/>
          <w:sz w:val="32"/>
          <w:szCs w:val="32"/>
        </w:rPr>
        <w:t>采购项目编号：</w:t>
      </w:r>
      <w:r>
        <w:rPr>
          <w:rFonts w:hint="eastAsia" w:ascii="宋体" w:hAnsi="宋体"/>
          <w:color w:val="auto"/>
          <w:sz w:val="32"/>
          <w:szCs w:val="32"/>
          <w:u w:val="single"/>
        </w:rPr>
        <w:t xml:space="preserve">                       </w:t>
      </w:r>
    </w:p>
    <w:p>
      <w:pPr>
        <w:tabs>
          <w:tab w:val="left" w:pos="3240"/>
        </w:tabs>
        <w:ind w:firstLine="800" w:firstLineChars="250"/>
        <w:rPr>
          <w:rFonts w:ascii="宋体" w:hAnsi="宋体"/>
          <w:color w:val="auto"/>
          <w:sz w:val="32"/>
          <w:szCs w:val="32"/>
        </w:rPr>
      </w:pPr>
    </w:p>
    <w:p>
      <w:pPr>
        <w:tabs>
          <w:tab w:val="left" w:pos="3240"/>
        </w:tabs>
        <w:ind w:firstLine="800" w:firstLineChars="250"/>
        <w:outlineLvl w:val="1"/>
        <w:rPr>
          <w:rFonts w:ascii="宋体" w:hAnsi="宋体"/>
          <w:color w:val="auto"/>
          <w:sz w:val="32"/>
          <w:szCs w:val="32"/>
          <w:u w:val="single"/>
        </w:rPr>
      </w:pPr>
      <w:r>
        <w:rPr>
          <w:rFonts w:hint="eastAsia" w:ascii="宋体" w:hAnsi="宋体"/>
          <w:color w:val="auto"/>
          <w:sz w:val="32"/>
          <w:szCs w:val="32"/>
        </w:rPr>
        <w:t>采购项目名称：</w:t>
      </w:r>
      <w:r>
        <w:rPr>
          <w:rFonts w:hint="eastAsia" w:ascii="宋体" w:hAnsi="宋体"/>
          <w:color w:val="auto"/>
          <w:sz w:val="32"/>
          <w:szCs w:val="32"/>
          <w:u w:val="single"/>
        </w:rPr>
        <w:t xml:space="preserve">                       </w:t>
      </w:r>
    </w:p>
    <w:p>
      <w:pPr>
        <w:ind w:firstLine="800" w:firstLineChars="250"/>
        <w:outlineLvl w:val="1"/>
        <w:rPr>
          <w:rFonts w:ascii="宋体" w:hAnsi="宋体"/>
          <w:color w:val="auto"/>
          <w:sz w:val="32"/>
          <w:szCs w:val="32"/>
        </w:rPr>
      </w:pPr>
    </w:p>
    <w:p>
      <w:pPr>
        <w:ind w:firstLine="800" w:firstLineChars="250"/>
        <w:outlineLvl w:val="1"/>
        <w:rPr>
          <w:rFonts w:ascii="宋体" w:hAnsi="宋体"/>
          <w:color w:val="auto"/>
          <w:sz w:val="32"/>
          <w:szCs w:val="32"/>
        </w:rPr>
      </w:pPr>
      <w:r>
        <w:rPr>
          <w:rFonts w:hint="eastAsia" w:ascii="宋体" w:hAnsi="宋体"/>
          <w:color w:val="auto"/>
          <w:sz w:val="32"/>
          <w:szCs w:val="32"/>
        </w:rPr>
        <w:t>标项（如有）：</w:t>
      </w:r>
    </w:p>
    <w:p>
      <w:pPr>
        <w:tabs>
          <w:tab w:val="left" w:pos="2625"/>
        </w:tabs>
        <w:jc w:val="center"/>
        <w:rPr>
          <w:rFonts w:ascii="宋体" w:hAnsi="宋体"/>
          <w:color w:val="auto"/>
          <w:sz w:val="32"/>
          <w:szCs w:val="32"/>
        </w:rPr>
      </w:pPr>
    </w:p>
    <w:p>
      <w:pPr>
        <w:tabs>
          <w:tab w:val="left" w:pos="2625"/>
        </w:tabs>
        <w:jc w:val="center"/>
        <w:rPr>
          <w:rFonts w:ascii="宋体" w:hAnsi="宋体"/>
          <w:color w:val="auto"/>
          <w:sz w:val="32"/>
          <w:szCs w:val="32"/>
        </w:rPr>
      </w:pPr>
    </w:p>
    <w:p>
      <w:pPr>
        <w:tabs>
          <w:tab w:val="left" w:pos="2625"/>
        </w:tabs>
        <w:jc w:val="center"/>
        <w:rPr>
          <w:rFonts w:ascii="宋体" w:hAnsi="宋体"/>
          <w:color w:val="auto"/>
          <w:sz w:val="32"/>
          <w:szCs w:val="32"/>
        </w:rPr>
      </w:pPr>
    </w:p>
    <w:p>
      <w:pPr>
        <w:jc w:val="center"/>
        <w:outlineLvl w:val="1"/>
        <w:rPr>
          <w:rFonts w:ascii="宋体" w:hAnsi="宋体"/>
          <w:color w:val="auto"/>
          <w:sz w:val="32"/>
          <w:szCs w:val="32"/>
        </w:rPr>
      </w:pPr>
      <w:r>
        <w:rPr>
          <w:rFonts w:hint="eastAsia" w:ascii="宋体" w:hAnsi="宋体"/>
          <w:color w:val="auto"/>
          <w:sz w:val="32"/>
          <w:szCs w:val="32"/>
        </w:rPr>
        <w:t xml:space="preserve">                                （谈判供应商名称）</w:t>
      </w:r>
    </w:p>
    <w:p>
      <w:pPr>
        <w:jc w:val="center"/>
        <w:rPr>
          <w:rFonts w:ascii="宋体" w:hAnsi="宋体"/>
          <w:color w:val="auto"/>
          <w:sz w:val="32"/>
          <w:szCs w:val="32"/>
        </w:rPr>
      </w:pPr>
      <w:r>
        <w:rPr>
          <w:rFonts w:hint="eastAsia" w:ascii="宋体" w:hAnsi="宋体"/>
          <w:color w:val="auto"/>
          <w:sz w:val="32"/>
          <w:szCs w:val="32"/>
        </w:rPr>
        <w:t xml:space="preserve">        </w:t>
      </w:r>
    </w:p>
    <w:p>
      <w:pPr>
        <w:jc w:val="center"/>
        <w:rPr>
          <w:rFonts w:ascii="宋体" w:hAnsi="宋体"/>
          <w:color w:val="auto"/>
          <w:sz w:val="32"/>
          <w:szCs w:val="32"/>
        </w:rPr>
      </w:pPr>
    </w:p>
    <w:p>
      <w:pPr>
        <w:jc w:val="center"/>
        <w:outlineLvl w:val="1"/>
        <w:rPr>
          <w:rFonts w:ascii="宋体" w:hAnsi="宋体"/>
          <w:color w:val="auto"/>
          <w:sz w:val="32"/>
          <w:szCs w:val="32"/>
        </w:rPr>
      </w:pPr>
      <w:r>
        <w:rPr>
          <w:rFonts w:hint="eastAsia" w:ascii="宋体" w:hAnsi="宋体"/>
          <w:color w:val="auto"/>
          <w:sz w:val="32"/>
          <w:szCs w:val="32"/>
        </w:rPr>
        <w:t>年</w:t>
      </w:r>
      <w:r>
        <w:rPr>
          <w:rFonts w:hint="eastAsia" w:ascii="宋体" w:hAnsi="宋体" w:cs="宋体"/>
          <w:color w:val="auto"/>
          <w:sz w:val="32"/>
          <w:szCs w:val="32"/>
        </w:rPr>
        <w:t xml:space="preserve">    </w:t>
      </w:r>
      <w:r>
        <w:rPr>
          <w:rFonts w:hint="eastAsia" w:ascii="宋体" w:hAnsi="宋体"/>
          <w:color w:val="auto"/>
          <w:sz w:val="32"/>
          <w:szCs w:val="32"/>
        </w:rPr>
        <w:t>月    日</w:t>
      </w:r>
    </w:p>
    <w:p>
      <w:pPr>
        <w:rPr>
          <w:rFonts w:ascii="宋体" w:hAnsi="宋体"/>
          <w:color w:val="auto"/>
          <w:sz w:val="24"/>
        </w:rPr>
      </w:pPr>
    </w:p>
    <w:p>
      <w:pPr>
        <w:rPr>
          <w:rFonts w:ascii="宋体" w:hAnsi="宋体"/>
          <w:color w:val="auto"/>
          <w:sz w:val="24"/>
        </w:rPr>
      </w:pPr>
    </w:p>
    <w:p>
      <w:pPr>
        <w:rPr>
          <w:rFonts w:ascii="宋体" w:hAnsi="宋体"/>
          <w:color w:val="auto"/>
          <w:sz w:val="24"/>
        </w:rPr>
      </w:pPr>
    </w:p>
    <w:p>
      <w:pPr>
        <w:snapToGrid w:val="0"/>
        <w:spacing w:before="50" w:after="50"/>
        <w:ind w:right="-178" w:rightChars="-85"/>
        <w:outlineLvl w:val="1"/>
        <w:rPr>
          <w:rFonts w:hAnsi="宋体"/>
          <w:b/>
          <w:bCs/>
          <w:color w:val="auto"/>
          <w:szCs w:val="21"/>
        </w:rPr>
      </w:pPr>
      <w:r>
        <w:rPr>
          <w:rFonts w:ascii="宋体" w:hAnsi="宋体"/>
          <w:color w:val="auto"/>
          <w:sz w:val="24"/>
        </w:rPr>
        <w:br w:type="page"/>
      </w:r>
      <w:r>
        <w:rPr>
          <w:rFonts w:hint="eastAsia" w:hAnsi="宋体"/>
          <w:b/>
          <w:bCs/>
          <w:color w:val="auto"/>
          <w:szCs w:val="21"/>
        </w:rPr>
        <w:t>响应文件目录：</w:t>
      </w:r>
    </w:p>
    <w:p>
      <w:pPr>
        <w:snapToGrid w:val="0"/>
        <w:spacing w:before="50" w:after="50"/>
        <w:ind w:right="-178" w:rightChars="-85"/>
        <w:rPr>
          <w:rFonts w:hAnsi="宋体"/>
          <w:color w:val="auto"/>
          <w:sz w:val="44"/>
          <w:szCs w:val="44"/>
        </w:rPr>
      </w:pPr>
    </w:p>
    <w:p>
      <w:pPr>
        <w:tabs>
          <w:tab w:val="left" w:pos="3870"/>
          <w:tab w:val="left" w:pos="4085"/>
        </w:tabs>
        <w:snapToGrid w:val="0"/>
        <w:spacing w:line="500" w:lineRule="exact"/>
        <w:ind w:right="-178" w:rightChars="-85"/>
        <w:jc w:val="center"/>
        <w:outlineLvl w:val="1"/>
        <w:rPr>
          <w:rFonts w:hAnsi="宋体"/>
          <w:color w:val="auto"/>
          <w:sz w:val="44"/>
          <w:szCs w:val="44"/>
        </w:rPr>
      </w:pPr>
      <w:r>
        <w:rPr>
          <w:rFonts w:hint="eastAsia" w:hAnsi="宋体"/>
          <w:color w:val="auto"/>
          <w:sz w:val="44"/>
          <w:szCs w:val="44"/>
        </w:rPr>
        <w:t>目    录</w:t>
      </w:r>
    </w:p>
    <w:p>
      <w:pPr>
        <w:jc w:val="center"/>
        <w:outlineLvl w:val="1"/>
        <w:rPr>
          <w:rFonts w:ascii="宋体" w:hAnsi="宋体"/>
          <w:b/>
          <w:color w:val="auto"/>
          <w:sz w:val="24"/>
        </w:rPr>
      </w:pPr>
      <w:r>
        <w:rPr>
          <w:rFonts w:hint="eastAsia" w:hAnsi="宋体"/>
          <w:b/>
          <w:color w:val="auto"/>
          <w:sz w:val="24"/>
        </w:rPr>
        <w:t>（格式自拟，按供应商须知</w:t>
      </w:r>
      <w:r>
        <w:rPr>
          <w:rFonts w:hint="eastAsia" w:ascii="宋体" w:hAnsi="宋体"/>
          <w:b/>
          <w:color w:val="auto"/>
          <w:sz w:val="24"/>
        </w:rPr>
        <w:t>12.6 “竞争性谈判响应文件的组成”顺序）</w:t>
      </w:r>
    </w:p>
    <w:p>
      <w:pPr>
        <w:jc w:val="center"/>
        <w:rPr>
          <w:rFonts w:ascii="宋体" w:hAnsi="宋体"/>
          <w:color w:val="auto"/>
          <w:sz w:val="24"/>
        </w:rPr>
      </w:pPr>
    </w:p>
    <w:p>
      <w:pPr>
        <w:outlineLvl w:val="1"/>
        <w:rPr>
          <w:rFonts w:ascii="宋体" w:hAnsi="宋体"/>
          <w:color w:val="auto"/>
          <w:sz w:val="24"/>
        </w:rPr>
      </w:pPr>
      <w:r>
        <w:rPr>
          <w:rFonts w:ascii="宋体" w:hAnsi="宋体"/>
          <w:color w:val="auto"/>
          <w:sz w:val="24"/>
        </w:rPr>
        <w:br w:type="page"/>
      </w:r>
      <w:r>
        <w:rPr>
          <w:rFonts w:hint="eastAsia" w:ascii="宋体" w:hAnsi="宋体"/>
          <w:color w:val="auto"/>
          <w:sz w:val="24"/>
        </w:rPr>
        <w:t xml:space="preserve">附件一 </w:t>
      </w:r>
    </w:p>
    <w:p>
      <w:pPr>
        <w:pStyle w:val="24"/>
        <w:ind w:firstLine="803" w:firstLineChars="250"/>
        <w:jc w:val="center"/>
        <w:outlineLvl w:val="1"/>
        <w:rPr>
          <w:rFonts w:hAnsi="宋体"/>
          <w:b/>
          <w:color w:val="auto"/>
          <w:sz w:val="32"/>
        </w:rPr>
      </w:pPr>
      <w:r>
        <w:rPr>
          <w:rFonts w:hint="eastAsia" w:hAnsi="宋体"/>
          <w:b/>
          <w:color w:val="auto"/>
          <w:sz w:val="32"/>
        </w:rPr>
        <w:t>响 应 函 （格 式）</w:t>
      </w:r>
    </w:p>
    <w:p>
      <w:pPr>
        <w:spacing w:line="240" w:lineRule="exact"/>
        <w:jc w:val="center"/>
        <w:rPr>
          <w:rFonts w:ascii="宋体" w:hAnsi="宋体"/>
          <w:color w:val="auto"/>
          <w:sz w:val="32"/>
        </w:rPr>
      </w:pPr>
    </w:p>
    <w:p>
      <w:pPr>
        <w:spacing w:line="400" w:lineRule="exact"/>
        <w:outlineLvl w:val="1"/>
        <w:rPr>
          <w:rFonts w:ascii="宋体" w:hAnsi="宋体"/>
          <w:color w:val="auto"/>
        </w:rPr>
      </w:pPr>
      <w:r>
        <w:rPr>
          <w:rFonts w:hint="eastAsia" w:ascii="宋体" w:hAnsi="宋体"/>
          <w:color w:val="auto"/>
          <w:szCs w:val="21"/>
        </w:rPr>
        <w:t>致</w:t>
      </w:r>
      <w:r>
        <w:rPr>
          <w:rFonts w:hint="eastAsia" w:ascii="宋体" w:hAnsi="宋体"/>
          <w:color w:val="auto"/>
          <w:szCs w:val="21"/>
          <w:u w:val="single"/>
        </w:rPr>
        <w:t xml:space="preserve">：(采购单位名称)   </w:t>
      </w:r>
    </w:p>
    <w:p>
      <w:pPr>
        <w:spacing w:line="400" w:lineRule="exact"/>
        <w:rPr>
          <w:rFonts w:ascii="宋体" w:hAnsi="宋体"/>
          <w:color w:val="auto"/>
          <w:szCs w:val="21"/>
        </w:rPr>
      </w:pPr>
    </w:p>
    <w:p>
      <w:pPr>
        <w:pStyle w:val="24"/>
        <w:spacing w:line="360" w:lineRule="exact"/>
        <w:ind w:firstLine="420"/>
        <w:outlineLvl w:val="1"/>
        <w:rPr>
          <w:rFonts w:hAnsi="宋体"/>
          <w:color w:val="auto"/>
        </w:rPr>
      </w:pPr>
      <w:r>
        <w:rPr>
          <w:rFonts w:hint="eastAsia" w:hAnsi="宋体"/>
          <w:color w:val="auto"/>
        </w:rPr>
        <w:t>根据贵方</w:t>
      </w:r>
      <w:r>
        <w:rPr>
          <w:rFonts w:hint="eastAsia" w:hAnsi="宋体"/>
          <w:color w:val="auto"/>
          <w:u w:val="single"/>
        </w:rPr>
        <w:t xml:space="preserve">         </w:t>
      </w:r>
      <w:r>
        <w:rPr>
          <w:rFonts w:hint="eastAsia" w:hAnsi="宋体"/>
          <w:color w:val="auto"/>
        </w:rPr>
        <w:t xml:space="preserve">项目谈判文件，项目编号 </w:t>
      </w:r>
      <w:r>
        <w:rPr>
          <w:rFonts w:hint="eastAsia" w:hAnsi="宋体"/>
          <w:color w:val="auto"/>
          <w:u w:val="single"/>
        </w:rPr>
        <w:t xml:space="preserve">               </w:t>
      </w:r>
      <w:r>
        <w:rPr>
          <w:rFonts w:hint="eastAsia" w:hAnsi="宋体"/>
          <w:color w:val="auto"/>
        </w:rPr>
        <w:t>，签字代表</w:t>
      </w:r>
      <w:r>
        <w:rPr>
          <w:rFonts w:hint="eastAsia" w:hAnsi="宋体"/>
          <w:color w:val="auto"/>
          <w:u w:val="single"/>
        </w:rPr>
        <w:t xml:space="preserve">         </w:t>
      </w:r>
      <w:r>
        <w:rPr>
          <w:rFonts w:hint="eastAsia" w:hAnsi="宋体"/>
          <w:color w:val="auto"/>
        </w:rPr>
        <w:t xml:space="preserve">（姓名）经正式授权并代表供应商 </w:t>
      </w:r>
      <w:r>
        <w:rPr>
          <w:rFonts w:hint="eastAsia" w:hAnsi="宋体"/>
          <w:color w:val="auto"/>
          <w:u w:val="single"/>
        </w:rPr>
        <w:t xml:space="preserve">                                   （</w:t>
      </w:r>
      <w:r>
        <w:rPr>
          <w:rFonts w:hint="eastAsia" w:hAnsi="宋体"/>
          <w:color w:val="auto"/>
        </w:rPr>
        <w:t>供应商单位名称，</w:t>
      </w:r>
      <w:r>
        <w:rPr>
          <w:rFonts w:hint="eastAsia" w:hAnsi="宋体"/>
          <w:b/>
          <w:color w:val="auto"/>
        </w:rPr>
        <w:t>如为联合体的，则为联合体各成员的单位名称</w:t>
      </w:r>
      <w:r>
        <w:rPr>
          <w:rFonts w:hint="eastAsia" w:hAnsi="宋体"/>
          <w:color w:val="auto"/>
        </w:rPr>
        <w:t>），提交响应文件正本一份，副本</w:t>
      </w:r>
      <w:r>
        <w:rPr>
          <w:rFonts w:hint="eastAsia" w:hAnsi="宋体"/>
          <w:color w:val="auto"/>
          <w:u w:val="single"/>
        </w:rPr>
        <w:t xml:space="preserve"> 三  </w:t>
      </w:r>
      <w:r>
        <w:rPr>
          <w:rFonts w:hint="eastAsia" w:hAnsi="宋体"/>
          <w:color w:val="auto"/>
        </w:rPr>
        <w:t>份。</w:t>
      </w:r>
    </w:p>
    <w:p>
      <w:pPr>
        <w:pStyle w:val="24"/>
        <w:spacing w:line="360" w:lineRule="exact"/>
        <w:ind w:firstLine="420"/>
        <w:outlineLvl w:val="1"/>
        <w:rPr>
          <w:rFonts w:hAnsi="宋体"/>
          <w:color w:val="auto"/>
        </w:rPr>
      </w:pPr>
      <w:r>
        <w:rPr>
          <w:rFonts w:hint="eastAsia" w:hAnsi="宋体"/>
          <w:color w:val="auto"/>
        </w:rPr>
        <w:t>据此函，签字代表宣布同意如下：</w:t>
      </w:r>
    </w:p>
    <w:p>
      <w:pPr>
        <w:pStyle w:val="24"/>
        <w:spacing w:line="360" w:lineRule="exact"/>
        <w:ind w:firstLine="420"/>
        <w:outlineLvl w:val="1"/>
        <w:rPr>
          <w:rFonts w:hAnsi="宋体"/>
          <w:color w:val="auto"/>
        </w:rPr>
      </w:pPr>
      <w:r>
        <w:rPr>
          <w:rFonts w:hint="eastAsia" w:hAnsi="宋体"/>
          <w:color w:val="auto"/>
        </w:rPr>
        <w:t>1. 按谈判文件采购需求和谈判报价表：</w:t>
      </w:r>
    </w:p>
    <w:p>
      <w:pPr>
        <w:pStyle w:val="24"/>
        <w:spacing w:line="360" w:lineRule="exact"/>
        <w:ind w:firstLine="420"/>
        <w:outlineLvl w:val="1"/>
        <w:rPr>
          <w:rFonts w:hAnsi="宋体"/>
          <w:color w:val="auto"/>
        </w:rPr>
      </w:pPr>
      <w:r>
        <w:rPr>
          <w:rFonts w:hint="eastAsia" w:hAnsi="宋体"/>
          <w:color w:val="auto"/>
        </w:rPr>
        <w:t>谈判总报价（大写）</w:t>
      </w:r>
      <w:r>
        <w:rPr>
          <w:rFonts w:hint="eastAsia" w:hAnsi="宋体"/>
          <w:color w:val="auto"/>
          <w:u w:val="single"/>
        </w:rPr>
        <w:t xml:space="preserve">           </w:t>
      </w:r>
      <w:r>
        <w:rPr>
          <w:rFonts w:hint="eastAsia" w:hAnsi="宋体"/>
          <w:color w:val="auto"/>
        </w:rPr>
        <w:t>元人民币(￥</w:t>
      </w:r>
      <w:r>
        <w:rPr>
          <w:rFonts w:hint="eastAsia" w:hAnsi="宋体"/>
          <w:color w:val="auto"/>
          <w:u w:val="single"/>
        </w:rPr>
        <w:t xml:space="preserve">          </w:t>
      </w:r>
      <w:r>
        <w:rPr>
          <w:rFonts w:hint="eastAsia" w:hAnsi="宋体"/>
          <w:color w:val="auto"/>
        </w:rPr>
        <w:t>)，</w:t>
      </w:r>
    </w:p>
    <w:p>
      <w:pPr>
        <w:pStyle w:val="24"/>
        <w:spacing w:line="360" w:lineRule="exact"/>
        <w:ind w:firstLine="420"/>
        <w:outlineLvl w:val="1"/>
        <w:rPr>
          <w:rFonts w:hAnsi="宋体"/>
          <w:color w:val="auto"/>
        </w:rPr>
      </w:pPr>
      <w:r>
        <w:rPr>
          <w:rFonts w:hint="eastAsia" w:hAnsi="宋体"/>
          <w:color w:val="auto"/>
        </w:rPr>
        <w:t>2.我方承诺已具备谈判文件规定的供应商资格条件。</w:t>
      </w:r>
    </w:p>
    <w:p>
      <w:pPr>
        <w:pStyle w:val="24"/>
        <w:spacing w:line="360" w:lineRule="exact"/>
        <w:ind w:firstLine="420"/>
        <w:outlineLvl w:val="1"/>
        <w:rPr>
          <w:rFonts w:hAnsi="宋体"/>
          <w:color w:val="auto"/>
        </w:rPr>
      </w:pPr>
      <w:r>
        <w:rPr>
          <w:rFonts w:hint="eastAsia" w:hAnsi="宋体"/>
          <w:color w:val="auto"/>
        </w:rPr>
        <w:t>3.我方已详细审核谈判文件，包括修改文件（如有的话）和有关附件，将自行承担因对全部谈判文件理解不正确或误解而产生的相应后果。</w:t>
      </w:r>
    </w:p>
    <w:p>
      <w:pPr>
        <w:pStyle w:val="24"/>
        <w:spacing w:line="360" w:lineRule="exact"/>
        <w:ind w:firstLine="420"/>
        <w:outlineLvl w:val="1"/>
        <w:rPr>
          <w:rFonts w:hAnsi="宋体"/>
          <w:color w:val="auto"/>
        </w:rPr>
      </w:pPr>
      <w:r>
        <w:rPr>
          <w:rFonts w:hint="eastAsia" w:hAnsi="宋体"/>
          <w:color w:val="auto"/>
        </w:rPr>
        <w:t>4. 响应文件有效期为响应文件递交截止时间之日起60天。</w:t>
      </w:r>
    </w:p>
    <w:p>
      <w:pPr>
        <w:pStyle w:val="24"/>
        <w:spacing w:line="360" w:lineRule="exact"/>
        <w:ind w:firstLine="420"/>
        <w:outlineLvl w:val="1"/>
        <w:rPr>
          <w:rFonts w:hAnsi="宋体"/>
          <w:color w:val="auto"/>
        </w:rPr>
      </w:pPr>
      <w:r>
        <w:rPr>
          <w:rFonts w:hint="eastAsia" w:hAnsi="宋体"/>
          <w:color w:val="auto"/>
        </w:rPr>
        <w:t>5. 如我方成交：</w:t>
      </w:r>
    </w:p>
    <w:p>
      <w:pPr>
        <w:pStyle w:val="24"/>
        <w:spacing w:line="360" w:lineRule="exact"/>
        <w:ind w:firstLine="420"/>
        <w:outlineLvl w:val="1"/>
        <w:rPr>
          <w:rFonts w:hAnsi="宋体"/>
          <w:color w:val="auto"/>
        </w:rPr>
      </w:pPr>
      <w:r>
        <w:rPr>
          <w:rFonts w:hint="eastAsia" w:hAnsi="宋体"/>
          <w:color w:val="auto"/>
        </w:rPr>
        <w:t>（1）我方承诺在收到成交通知书后，在成交通知书规定的期限内与采购人签订合同。</w:t>
      </w:r>
    </w:p>
    <w:p>
      <w:pPr>
        <w:pStyle w:val="24"/>
        <w:spacing w:line="360" w:lineRule="exact"/>
        <w:ind w:firstLine="420"/>
        <w:outlineLvl w:val="1"/>
        <w:rPr>
          <w:rFonts w:hAnsi="宋体"/>
          <w:color w:val="auto"/>
        </w:rPr>
      </w:pPr>
      <w:r>
        <w:rPr>
          <w:rFonts w:hint="eastAsia" w:hAnsi="宋体"/>
          <w:color w:val="auto"/>
        </w:rPr>
        <w:t>（2）我方承诺本响应文件至本项目合同履行完毕止均保持有效，按谈判文件及政府采购法律、法规的规定履行合同责任和义务。</w:t>
      </w:r>
    </w:p>
    <w:p>
      <w:pPr>
        <w:pStyle w:val="24"/>
        <w:spacing w:line="360" w:lineRule="exact"/>
        <w:ind w:firstLine="420"/>
        <w:outlineLvl w:val="1"/>
        <w:rPr>
          <w:rFonts w:hAnsi="宋体"/>
          <w:color w:val="auto"/>
        </w:rPr>
      </w:pPr>
      <w:r>
        <w:rPr>
          <w:rFonts w:hint="eastAsia" w:hAnsi="宋体"/>
          <w:color w:val="auto"/>
        </w:rPr>
        <w:t>与本项目有关的正式通讯地址为：</w:t>
      </w:r>
    </w:p>
    <w:p>
      <w:pPr>
        <w:pStyle w:val="24"/>
        <w:spacing w:line="400" w:lineRule="exact"/>
        <w:ind w:firstLine="420"/>
        <w:rPr>
          <w:rFonts w:hAnsi="宋体"/>
          <w:color w:val="auto"/>
        </w:rPr>
      </w:pPr>
    </w:p>
    <w:p>
      <w:pPr>
        <w:pStyle w:val="24"/>
        <w:spacing w:line="400" w:lineRule="exact"/>
        <w:ind w:firstLine="420"/>
        <w:outlineLvl w:val="1"/>
        <w:rPr>
          <w:rFonts w:hAnsi="宋体"/>
          <w:color w:val="auto"/>
          <w:u w:val="single"/>
        </w:rPr>
      </w:pPr>
      <w:r>
        <w:rPr>
          <w:rFonts w:hint="eastAsia" w:hAnsi="宋体"/>
          <w:color w:val="auto"/>
        </w:rPr>
        <w:t>地址：</w:t>
      </w:r>
      <w:r>
        <w:rPr>
          <w:rFonts w:hint="eastAsia" w:hAnsi="宋体"/>
          <w:color w:val="auto"/>
          <w:u w:val="single"/>
        </w:rPr>
        <w:t xml:space="preserve">                      </w:t>
      </w:r>
      <w:r>
        <w:rPr>
          <w:rFonts w:hint="eastAsia" w:hAnsi="宋体"/>
          <w:color w:val="auto"/>
        </w:rPr>
        <w:t>电子邮箱：</w:t>
      </w:r>
      <w:r>
        <w:rPr>
          <w:rFonts w:hint="eastAsia" w:hAnsi="宋体"/>
          <w:color w:val="auto"/>
          <w:u w:val="single"/>
        </w:rPr>
        <w:t xml:space="preserve">              </w:t>
      </w:r>
      <w:r>
        <w:rPr>
          <w:rFonts w:hint="eastAsia" w:hAnsi="宋体"/>
          <w:color w:val="auto"/>
        </w:rPr>
        <w:t>邮编：</w:t>
      </w:r>
      <w:r>
        <w:rPr>
          <w:rFonts w:hint="eastAsia" w:hAnsi="宋体"/>
          <w:color w:val="auto"/>
          <w:u w:val="single"/>
        </w:rPr>
        <w:t xml:space="preserve">          </w:t>
      </w:r>
      <w:r>
        <w:rPr>
          <w:rFonts w:hint="eastAsia" w:hAnsi="宋体"/>
          <w:color w:val="auto"/>
        </w:rPr>
        <w:t xml:space="preserve">  电话、传真：</w:t>
      </w:r>
      <w:r>
        <w:rPr>
          <w:rFonts w:hint="eastAsia" w:hAnsi="宋体"/>
          <w:color w:val="auto"/>
          <w:u w:val="single"/>
        </w:rPr>
        <w:t xml:space="preserve">            </w:t>
      </w:r>
    </w:p>
    <w:p>
      <w:pPr>
        <w:pStyle w:val="24"/>
        <w:spacing w:line="400" w:lineRule="exact"/>
        <w:ind w:firstLine="420"/>
        <w:outlineLvl w:val="1"/>
        <w:rPr>
          <w:rFonts w:hAnsi="宋体"/>
          <w:color w:val="auto"/>
        </w:rPr>
      </w:pPr>
      <w:r>
        <w:rPr>
          <w:rFonts w:hint="eastAsia" w:hAnsi="宋体"/>
          <w:color w:val="auto"/>
        </w:rPr>
        <w:t>开户名称：</w:t>
      </w:r>
      <w:r>
        <w:rPr>
          <w:rFonts w:hint="eastAsia" w:hAnsi="宋体"/>
          <w:color w:val="auto"/>
          <w:u w:val="single"/>
        </w:rPr>
        <w:t xml:space="preserve">                                        </w:t>
      </w:r>
    </w:p>
    <w:p>
      <w:pPr>
        <w:pStyle w:val="24"/>
        <w:spacing w:line="400" w:lineRule="exact"/>
        <w:ind w:firstLine="420"/>
        <w:outlineLvl w:val="1"/>
        <w:rPr>
          <w:rFonts w:hAnsi="宋体"/>
          <w:color w:val="auto"/>
        </w:rPr>
      </w:pPr>
      <w:r>
        <w:rPr>
          <w:rFonts w:hint="eastAsia" w:hAnsi="宋体"/>
          <w:color w:val="auto"/>
        </w:rPr>
        <w:t>开户银行：</w:t>
      </w:r>
      <w:r>
        <w:rPr>
          <w:rFonts w:hint="eastAsia" w:hAnsi="宋体"/>
          <w:color w:val="auto"/>
          <w:u w:val="single"/>
        </w:rPr>
        <w:t xml:space="preserve">                               　       </w:t>
      </w:r>
    </w:p>
    <w:p>
      <w:pPr>
        <w:pStyle w:val="24"/>
        <w:spacing w:line="400" w:lineRule="exact"/>
        <w:ind w:firstLine="420"/>
        <w:outlineLvl w:val="1"/>
        <w:rPr>
          <w:rFonts w:hAnsi="宋体"/>
          <w:color w:val="auto"/>
        </w:rPr>
      </w:pPr>
      <w:r>
        <w:rPr>
          <w:rFonts w:hint="eastAsia" w:hAnsi="宋体"/>
          <w:color w:val="auto"/>
        </w:rPr>
        <w:t>账号：</w:t>
      </w:r>
      <w:r>
        <w:rPr>
          <w:rFonts w:hint="eastAsia" w:hAnsi="宋体"/>
          <w:color w:val="auto"/>
          <w:u w:val="single"/>
        </w:rPr>
        <w:t xml:space="preserve">                                   　　　   </w:t>
      </w:r>
    </w:p>
    <w:p>
      <w:pPr>
        <w:pStyle w:val="24"/>
        <w:spacing w:line="360" w:lineRule="exact"/>
        <w:ind w:firstLine="420"/>
        <w:outlineLvl w:val="1"/>
        <w:rPr>
          <w:rFonts w:hAnsi="宋体"/>
          <w:color w:val="auto"/>
        </w:rPr>
      </w:pPr>
      <w:r>
        <w:rPr>
          <w:rFonts w:hint="eastAsia" w:hAnsi="宋体"/>
          <w:color w:val="auto"/>
        </w:rPr>
        <w:t>供应商（公章，自然人除外）：</w:t>
      </w:r>
      <w:r>
        <w:rPr>
          <w:rFonts w:hint="eastAsia" w:hAnsi="宋体"/>
          <w:color w:val="auto"/>
          <w:u w:val="single"/>
        </w:rPr>
        <w:t xml:space="preserve">                                              </w:t>
      </w:r>
    </w:p>
    <w:p>
      <w:pPr>
        <w:pStyle w:val="24"/>
        <w:spacing w:line="400" w:lineRule="exact"/>
        <w:ind w:firstLine="420"/>
        <w:outlineLvl w:val="1"/>
        <w:rPr>
          <w:rFonts w:hAnsi="宋体"/>
          <w:color w:val="auto"/>
          <w:u w:val="single"/>
        </w:rPr>
      </w:pPr>
      <w:r>
        <w:rPr>
          <w:rFonts w:hint="eastAsia" w:hAnsi="宋体"/>
          <w:color w:val="auto"/>
        </w:rPr>
        <w:t>法定代表人</w:t>
      </w:r>
      <w:r>
        <w:rPr>
          <w:rFonts w:hint="eastAsia" w:hAnsi="宋体"/>
          <w:color w:val="auto"/>
          <w:sz w:val="24"/>
        </w:rPr>
        <w:t>（</w:t>
      </w:r>
      <w:r>
        <w:rPr>
          <w:rFonts w:hint="eastAsia" w:hAnsi="宋体"/>
          <w:color w:val="auto"/>
        </w:rPr>
        <w:t>供应商若为其他组织形式无法定代表人的为机构负责人，供应商若为自然人的为自然人</w:t>
      </w:r>
      <w:r>
        <w:rPr>
          <w:rFonts w:hint="eastAsia" w:hAnsi="宋体"/>
          <w:color w:val="auto"/>
          <w:sz w:val="24"/>
        </w:rPr>
        <w:t>）</w:t>
      </w:r>
      <w:r>
        <w:rPr>
          <w:rFonts w:hint="eastAsia" w:hAnsi="宋体"/>
          <w:color w:val="auto"/>
        </w:rPr>
        <w:t>或相应的委托代理人签字或盖章（属自然人的应在签名处加盖食指指印）：</w:t>
      </w:r>
      <w:r>
        <w:rPr>
          <w:rFonts w:hint="eastAsia" w:hAnsi="宋体"/>
          <w:color w:val="auto"/>
          <w:u w:val="single"/>
        </w:rPr>
        <w:t xml:space="preserve">       </w:t>
      </w:r>
    </w:p>
    <w:p>
      <w:pPr>
        <w:pStyle w:val="24"/>
        <w:spacing w:line="400" w:lineRule="exact"/>
        <w:ind w:firstLine="420"/>
        <w:outlineLvl w:val="1"/>
        <w:rPr>
          <w:color w:val="auto"/>
          <w:u w:val="single"/>
        </w:rPr>
      </w:pPr>
      <w:r>
        <w:rPr>
          <w:rFonts w:hint="eastAsia"/>
          <w:bCs/>
          <w:color w:val="auto"/>
        </w:rPr>
        <w:t>响应</w:t>
      </w:r>
      <w:r>
        <w:rPr>
          <w:rFonts w:hint="eastAsia"/>
          <w:color w:val="auto"/>
        </w:rPr>
        <w:t>日期：</w:t>
      </w:r>
      <w:r>
        <w:rPr>
          <w:rFonts w:hint="eastAsia"/>
          <w:color w:val="auto"/>
          <w:u w:val="single"/>
        </w:rPr>
        <w:t xml:space="preserve">                               </w:t>
      </w:r>
    </w:p>
    <w:p>
      <w:pPr>
        <w:pStyle w:val="24"/>
        <w:spacing w:line="400" w:lineRule="exact"/>
        <w:ind w:firstLine="420" w:firstLineChars="200"/>
        <w:outlineLvl w:val="1"/>
        <w:rPr>
          <w:bCs/>
          <w:color w:val="auto"/>
        </w:rPr>
      </w:pPr>
      <w:r>
        <w:rPr>
          <w:rFonts w:hint="eastAsia"/>
          <w:bCs/>
          <w:color w:val="auto"/>
        </w:rPr>
        <w:t>注：</w:t>
      </w:r>
    </w:p>
    <w:p>
      <w:pPr>
        <w:pStyle w:val="24"/>
        <w:spacing w:line="400" w:lineRule="exact"/>
        <w:ind w:firstLine="420" w:firstLineChars="200"/>
        <w:outlineLvl w:val="1"/>
        <w:rPr>
          <w:rFonts w:hAnsi="宋体"/>
          <w:bCs/>
          <w:color w:val="auto"/>
        </w:rPr>
      </w:pPr>
      <w:r>
        <w:rPr>
          <w:rFonts w:hint="eastAsia"/>
          <w:bCs/>
          <w:color w:val="auto"/>
        </w:rPr>
        <w:t>响应函</w:t>
      </w:r>
      <w:r>
        <w:rPr>
          <w:rFonts w:hint="eastAsia" w:hAnsi="宋体"/>
          <w:bCs/>
          <w:color w:val="auto"/>
        </w:rPr>
        <w:t>须由法定代表人（</w:t>
      </w:r>
      <w:r>
        <w:rPr>
          <w:rFonts w:hint="eastAsia" w:hAnsi="宋体"/>
          <w:color w:val="auto"/>
          <w:sz w:val="24"/>
        </w:rPr>
        <w:t>供应商若为其他组织形式无法定代表人的为机构负责人，供应商若为自然人的为自然人</w:t>
      </w:r>
      <w:r>
        <w:rPr>
          <w:rFonts w:hint="eastAsia" w:hAnsi="宋体"/>
          <w:bCs/>
          <w:color w:val="auto"/>
        </w:rPr>
        <w:t>）或委托代理人签字或盖章（</w:t>
      </w:r>
      <w:r>
        <w:rPr>
          <w:rFonts w:hint="eastAsia" w:hAnsi="宋体"/>
          <w:color w:val="auto"/>
        </w:rPr>
        <w:t>属自然人的应在签名处加盖食指指印</w:t>
      </w:r>
      <w:r>
        <w:rPr>
          <w:rFonts w:hint="eastAsia" w:hAnsi="宋体"/>
          <w:bCs/>
          <w:color w:val="auto"/>
        </w:rPr>
        <w:t>）并加盖供应商公章（自然人除外）。</w:t>
      </w:r>
    </w:p>
    <w:p>
      <w:pPr>
        <w:ind w:right="-178" w:rightChars="-85" w:firstLine="210" w:firstLineChars="100"/>
        <w:jc w:val="left"/>
        <w:rPr>
          <w:rFonts w:ascii="宋体" w:hAnsi="宋体"/>
          <w:color w:val="auto"/>
          <w:u w:val="single"/>
        </w:rPr>
      </w:pPr>
      <w:r>
        <w:rPr>
          <w:rFonts w:hint="eastAsia" w:ascii="宋体" w:hAnsi="宋体"/>
          <w:color w:val="auto"/>
          <w:szCs w:val="21"/>
        </w:rPr>
        <w:t xml:space="preserve">  </w:t>
      </w:r>
    </w:p>
    <w:p>
      <w:pPr>
        <w:pStyle w:val="24"/>
        <w:ind w:firstLine="840"/>
        <w:rPr>
          <w:rFonts w:hAnsi="宋体"/>
          <w:color w:val="auto"/>
          <w:sz w:val="24"/>
          <w:szCs w:val="24"/>
        </w:rPr>
      </w:pPr>
      <w:r>
        <w:rPr>
          <w:rFonts w:hint="eastAsia" w:hAnsi="宋体"/>
          <w:color w:val="auto"/>
          <w:sz w:val="24"/>
          <w:szCs w:val="24"/>
        </w:rPr>
        <w:t xml:space="preserve">                  </w:t>
      </w:r>
    </w:p>
    <w:p>
      <w:pPr>
        <w:rPr>
          <w:rFonts w:ascii="宋体" w:hAnsi="宋体"/>
          <w:color w:val="auto"/>
          <w:sz w:val="24"/>
        </w:rPr>
      </w:pPr>
    </w:p>
    <w:p>
      <w:pPr>
        <w:outlineLvl w:val="1"/>
        <w:rPr>
          <w:rFonts w:ascii="宋体" w:hAnsi="宋体"/>
          <w:color w:val="auto"/>
          <w:sz w:val="24"/>
        </w:rPr>
      </w:pPr>
      <w:r>
        <w:rPr>
          <w:rFonts w:ascii="宋体" w:hAnsi="宋体"/>
          <w:color w:val="auto"/>
          <w:sz w:val="24"/>
        </w:rPr>
        <w:br w:type="page"/>
      </w:r>
      <w:r>
        <w:rPr>
          <w:rFonts w:hint="eastAsia" w:ascii="宋体" w:hAnsi="宋体"/>
          <w:color w:val="auto"/>
          <w:sz w:val="24"/>
        </w:rPr>
        <w:t xml:space="preserve">附件二             </w:t>
      </w:r>
    </w:p>
    <w:p>
      <w:pPr>
        <w:jc w:val="center"/>
        <w:outlineLvl w:val="1"/>
        <w:rPr>
          <w:rFonts w:ascii="宋体" w:hAnsi="宋体"/>
          <w:color w:val="auto"/>
          <w:sz w:val="24"/>
        </w:rPr>
      </w:pPr>
      <w:r>
        <w:rPr>
          <w:rFonts w:hint="eastAsia" w:ascii="宋体" w:hAnsi="宋体"/>
          <w:b/>
          <w:color w:val="auto"/>
          <w:sz w:val="32"/>
          <w:szCs w:val="32"/>
        </w:rPr>
        <w:t>报价明细表</w:t>
      </w:r>
    </w:p>
    <w:p>
      <w:pPr>
        <w:outlineLvl w:val="1"/>
        <w:rPr>
          <w:rFonts w:ascii="宋体" w:hAnsi="宋体"/>
          <w:color w:val="auto"/>
          <w:sz w:val="24"/>
          <w:u w:val="single"/>
        </w:rPr>
      </w:pPr>
      <w:r>
        <w:rPr>
          <w:rFonts w:hint="eastAsia" w:ascii="宋体" w:hAnsi="宋体"/>
          <w:color w:val="auto"/>
          <w:sz w:val="24"/>
        </w:rPr>
        <w:t>采购项目编号:</w:t>
      </w:r>
    </w:p>
    <w:p>
      <w:pPr>
        <w:outlineLvl w:val="1"/>
        <w:rPr>
          <w:rFonts w:ascii="宋体" w:hAnsi="宋体"/>
          <w:color w:val="auto"/>
          <w:sz w:val="24"/>
          <w:u w:val="single"/>
        </w:rPr>
      </w:pPr>
      <w:r>
        <w:rPr>
          <w:rFonts w:hint="eastAsia" w:ascii="宋体" w:hAnsi="宋体"/>
          <w:color w:val="auto"/>
          <w:sz w:val="24"/>
        </w:rPr>
        <w:t>采购项目名称:</w:t>
      </w:r>
      <w:r>
        <w:rPr>
          <w:rFonts w:hint="eastAsia" w:ascii="宋体" w:hAnsi="宋体"/>
          <w:color w:val="auto"/>
          <w:sz w:val="24"/>
          <w:u w:val="single"/>
        </w:rPr>
        <w:t xml:space="preserve">             </w:t>
      </w:r>
      <w:r>
        <w:rPr>
          <w:rFonts w:hint="eastAsia" w:ascii="宋体" w:hAnsi="宋体"/>
          <w:color w:val="auto"/>
          <w:sz w:val="24"/>
        </w:rPr>
        <w:t xml:space="preserve">    </w:t>
      </w:r>
      <w:r>
        <w:rPr>
          <w:rFonts w:hint="eastAsia" w:ascii="宋体" w:hAnsi="宋体"/>
          <w:color w:val="auto"/>
          <w:sz w:val="24"/>
          <w:u w:val="single"/>
        </w:rPr>
        <w:t xml:space="preserve">   </w:t>
      </w:r>
    </w:p>
    <w:p>
      <w:pPr>
        <w:snapToGrid w:val="0"/>
        <w:rPr>
          <w:rFonts w:ascii="宋体" w:hAnsi="宋体"/>
          <w:b/>
          <w:color w:val="auto"/>
          <w:sz w:val="24"/>
        </w:rPr>
      </w:pPr>
      <w:r>
        <w:rPr>
          <w:rFonts w:hint="eastAsia" w:ascii="宋体" w:hAnsi="宋体"/>
          <w:color w:val="auto"/>
          <w:sz w:val="24"/>
        </w:rPr>
        <w:t xml:space="preserve"> </w:t>
      </w:r>
    </w:p>
    <w:tbl>
      <w:tblPr>
        <w:tblStyle w:val="43"/>
        <w:tblpPr w:leftFromText="180" w:rightFromText="180" w:vertAnchor="text" w:horzAnchor="margin" w:tblpY="251"/>
        <w:tblW w:w="8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017"/>
        <w:gridCol w:w="848"/>
        <w:gridCol w:w="1695"/>
        <w:gridCol w:w="1017"/>
        <w:gridCol w:w="1187"/>
        <w:gridCol w:w="142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678" w:type="dxa"/>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rPr>
            </w:pPr>
            <w:r>
              <w:rPr>
                <w:rFonts w:eastAsia="仿宋_GB2312"/>
                <w:color w:val="auto"/>
              </w:rPr>
              <w:t>序号</w:t>
            </w:r>
          </w:p>
        </w:tc>
        <w:tc>
          <w:tcPr>
            <w:tcW w:w="1017" w:type="dxa"/>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rPr>
            </w:pPr>
            <w:r>
              <w:rPr>
                <w:rFonts w:eastAsia="仿宋_GB2312"/>
                <w:color w:val="auto"/>
              </w:rPr>
              <w:t>货物名称</w:t>
            </w:r>
          </w:p>
        </w:tc>
        <w:tc>
          <w:tcPr>
            <w:tcW w:w="848" w:type="dxa"/>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rPr>
            </w:pPr>
            <w:r>
              <w:rPr>
                <w:rFonts w:eastAsia="仿宋_GB2312"/>
                <w:color w:val="auto"/>
              </w:rPr>
              <w:t>数量①</w:t>
            </w:r>
          </w:p>
        </w:tc>
        <w:tc>
          <w:tcPr>
            <w:tcW w:w="1695" w:type="dxa"/>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rPr>
            </w:pPr>
            <w:r>
              <w:rPr>
                <w:rFonts w:eastAsia="仿宋_GB2312"/>
                <w:color w:val="auto"/>
              </w:rPr>
              <w:t>货物全称、品牌、生产厂家及国别</w:t>
            </w:r>
          </w:p>
        </w:tc>
        <w:tc>
          <w:tcPr>
            <w:tcW w:w="1017" w:type="dxa"/>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rPr>
            </w:pPr>
            <w:r>
              <w:rPr>
                <w:rFonts w:eastAsia="仿宋_GB2312"/>
                <w:color w:val="auto"/>
              </w:rPr>
              <w:t>规格型号</w:t>
            </w:r>
          </w:p>
        </w:tc>
        <w:tc>
          <w:tcPr>
            <w:tcW w:w="1187" w:type="dxa"/>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rPr>
            </w:pPr>
            <w:r>
              <w:rPr>
                <w:rFonts w:eastAsia="仿宋_GB2312"/>
                <w:color w:val="auto"/>
              </w:rPr>
              <w:t>单价(元)②</w:t>
            </w:r>
          </w:p>
        </w:tc>
        <w:tc>
          <w:tcPr>
            <w:tcW w:w="1429" w:type="dxa"/>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rPr>
            </w:pPr>
            <w:r>
              <w:rPr>
                <w:rFonts w:eastAsia="仿宋_GB2312"/>
                <w:color w:val="auto"/>
              </w:rPr>
              <w:t>单项合价（元）</w:t>
            </w:r>
          </w:p>
          <w:p>
            <w:pPr>
              <w:outlineLvl w:val="1"/>
              <w:rPr>
                <w:rFonts w:eastAsia="仿宋_GB2312"/>
                <w:color w:val="auto"/>
              </w:rPr>
            </w:pPr>
            <w:r>
              <w:rPr>
                <w:rFonts w:eastAsia="仿宋_GB2312"/>
                <w:color w:val="auto"/>
              </w:rPr>
              <w:t>③＝①×②</w:t>
            </w:r>
          </w:p>
        </w:tc>
        <w:tc>
          <w:tcPr>
            <w:tcW w:w="902" w:type="dxa"/>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rPr>
            </w:pPr>
            <w:r>
              <w:rPr>
                <w:rFonts w:eastAsia="仿宋_GB2312"/>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678" w:type="dxa"/>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rPr>
            </w:pPr>
            <w:r>
              <w:rPr>
                <w:rFonts w:eastAsia="仿宋_GB2312"/>
                <w:color w:val="auto"/>
              </w:rPr>
              <w:t>1</w:t>
            </w:r>
          </w:p>
        </w:tc>
        <w:tc>
          <w:tcPr>
            <w:tcW w:w="10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rPr>
            </w:pPr>
          </w:p>
        </w:tc>
        <w:tc>
          <w:tcPr>
            <w:tcW w:w="84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rPr>
            </w:pPr>
          </w:p>
        </w:tc>
        <w:tc>
          <w:tcPr>
            <w:tcW w:w="169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rPr>
            </w:pPr>
          </w:p>
        </w:tc>
        <w:tc>
          <w:tcPr>
            <w:tcW w:w="10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rPr>
            </w:pPr>
          </w:p>
        </w:tc>
        <w:tc>
          <w:tcPr>
            <w:tcW w:w="142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rPr>
            </w:pPr>
          </w:p>
        </w:tc>
        <w:tc>
          <w:tcPr>
            <w:tcW w:w="90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678" w:type="dxa"/>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rPr>
            </w:pPr>
            <w:r>
              <w:rPr>
                <w:rFonts w:eastAsia="仿宋_GB2312"/>
                <w:color w:val="auto"/>
              </w:rPr>
              <w:t>2</w:t>
            </w:r>
          </w:p>
        </w:tc>
        <w:tc>
          <w:tcPr>
            <w:tcW w:w="10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rPr>
            </w:pPr>
          </w:p>
        </w:tc>
        <w:tc>
          <w:tcPr>
            <w:tcW w:w="84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rPr>
            </w:pPr>
          </w:p>
        </w:tc>
        <w:tc>
          <w:tcPr>
            <w:tcW w:w="169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rPr>
            </w:pPr>
          </w:p>
        </w:tc>
        <w:tc>
          <w:tcPr>
            <w:tcW w:w="10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rPr>
            </w:pPr>
          </w:p>
        </w:tc>
        <w:tc>
          <w:tcPr>
            <w:tcW w:w="142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rPr>
            </w:pPr>
          </w:p>
        </w:tc>
        <w:tc>
          <w:tcPr>
            <w:tcW w:w="90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678" w:type="dxa"/>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rPr>
            </w:pPr>
            <w:r>
              <w:rPr>
                <w:rFonts w:eastAsia="仿宋_GB2312"/>
                <w:color w:val="auto"/>
              </w:rPr>
              <w:t>...</w:t>
            </w:r>
          </w:p>
        </w:tc>
        <w:tc>
          <w:tcPr>
            <w:tcW w:w="10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rPr>
            </w:pPr>
          </w:p>
        </w:tc>
        <w:tc>
          <w:tcPr>
            <w:tcW w:w="84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rPr>
            </w:pPr>
          </w:p>
        </w:tc>
        <w:tc>
          <w:tcPr>
            <w:tcW w:w="169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rPr>
            </w:pPr>
          </w:p>
        </w:tc>
        <w:tc>
          <w:tcPr>
            <w:tcW w:w="10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rPr>
            </w:pPr>
          </w:p>
        </w:tc>
        <w:tc>
          <w:tcPr>
            <w:tcW w:w="142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rPr>
            </w:pPr>
          </w:p>
        </w:tc>
        <w:tc>
          <w:tcPr>
            <w:tcW w:w="90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73" w:type="dxa"/>
            <w:gridSpan w:val="8"/>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rPr>
            </w:pPr>
            <w:r>
              <w:rPr>
                <w:rFonts w:eastAsia="仿宋_GB2312"/>
                <w:color w:val="auto"/>
              </w:rPr>
              <w:t>报价合计（包含装卸、运输等所有费用）：（大写）人民币                                       （￥                元）</w:t>
            </w:r>
          </w:p>
          <w:p>
            <w:pPr>
              <w:outlineLvl w:val="1"/>
              <w:rPr>
                <w:rFonts w:eastAsia="仿宋_GB2312"/>
                <w:color w:val="auto"/>
              </w:rPr>
            </w:pPr>
            <w:r>
              <w:rPr>
                <w:rFonts w:eastAsia="仿宋_GB2312"/>
                <w:color w:val="auto"/>
              </w:rPr>
              <w:t>投标货物中，属于小微企业生产的产品总值为￥      元，占本投标报价的比例为   %；属于优先采购节能产品总值为￥      元，占本投标报价的比例为      %；属于优先采购环境标志产品总值为￥      元，占本投标报价的比例为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73" w:type="dxa"/>
            <w:gridSpan w:val="8"/>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szCs w:val="21"/>
              </w:rPr>
            </w:pPr>
            <w:r>
              <w:rPr>
                <w:rFonts w:eastAsia="仿宋_GB2312"/>
                <w:color w:val="auto"/>
                <w:szCs w:val="21"/>
                <w:u w:val="single"/>
              </w:rPr>
              <w:t>　　</w:t>
            </w:r>
            <w:r>
              <w:rPr>
                <w:rFonts w:eastAsia="仿宋_GB2312"/>
                <w:color w:val="auto"/>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73" w:type="dxa"/>
            <w:gridSpan w:val="8"/>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rPr>
            </w:pPr>
            <w:r>
              <w:rPr>
                <w:rFonts w:hint="eastAsia" w:eastAsia="仿宋_GB2312"/>
                <w:color w:val="auto"/>
              </w:rPr>
              <w:t>供应商</w:t>
            </w:r>
            <w:r>
              <w:rPr>
                <w:rFonts w:eastAsia="仿宋_GB2312"/>
                <w:color w:val="auto"/>
              </w:rPr>
              <w:t>（盖单位公章</w:t>
            </w:r>
            <w:r>
              <w:rPr>
                <w:rFonts w:hint="eastAsia" w:eastAsia="仿宋_GB2312"/>
                <w:color w:val="auto"/>
              </w:rPr>
              <w:t>，自然人除外</w:t>
            </w:r>
            <w:r>
              <w:rPr>
                <w:rFonts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73" w:type="dxa"/>
            <w:gridSpan w:val="8"/>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rPr>
            </w:pPr>
            <w:r>
              <w:rPr>
                <w:rFonts w:eastAsia="仿宋_GB2312"/>
                <w:color w:val="auto"/>
              </w:rPr>
              <w:t>法定代表人或其委托代理人（签字或盖章）：</w:t>
            </w:r>
          </w:p>
          <w:p>
            <w:pPr>
              <w:outlineLvl w:val="1"/>
              <w:rPr>
                <w:rFonts w:eastAsia="仿宋_GB2312"/>
                <w:color w:val="auto"/>
              </w:rPr>
            </w:pPr>
            <w:r>
              <w:rPr>
                <w:rFonts w:hint="eastAsia" w:ascii="宋体" w:hAnsi="宋体"/>
                <w:color w:val="auto"/>
                <w:szCs w:val="21"/>
              </w:rPr>
              <w:t>（</w:t>
            </w:r>
            <w:r>
              <w:rPr>
                <w:rFonts w:hint="eastAsia" w:eastAsia="仿宋_GB2312"/>
                <w:color w:val="auto"/>
              </w:rPr>
              <w:t>供应商属自然人的应由自然人签字并加盖指印，供应商若为其他组织形式无法定代表人的应由机构负责人</w:t>
            </w:r>
            <w:r>
              <w:rPr>
                <w:rFonts w:eastAsia="仿宋_GB2312"/>
                <w:color w:val="auto"/>
              </w:rPr>
              <w:t>签字或盖章</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73" w:type="dxa"/>
            <w:gridSpan w:val="8"/>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rPr>
            </w:pPr>
            <w:r>
              <w:rPr>
                <w:rFonts w:hint="eastAsia" w:eastAsia="仿宋_GB2312"/>
                <w:color w:val="auto"/>
              </w:rPr>
              <w:t>日期：       年   月   日</w:t>
            </w:r>
          </w:p>
        </w:tc>
      </w:tr>
    </w:tbl>
    <w:p>
      <w:pPr>
        <w:ind w:firstLine="480" w:firstLineChars="200"/>
        <w:rPr>
          <w:rFonts w:ascii="仿宋_GB2312" w:eastAsia="仿宋_GB2312"/>
          <w:color w:val="auto"/>
          <w:sz w:val="24"/>
        </w:rPr>
      </w:pPr>
    </w:p>
    <w:p>
      <w:pPr>
        <w:ind w:firstLine="480" w:firstLineChars="200"/>
        <w:rPr>
          <w:rFonts w:ascii="仿宋_GB2312" w:eastAsia="仿宋_GB2312"/>
          <w:color w:val="auto"/>
          <w:sz w:val="24"/>
        </w:rPr>
      </w:pPr>
    </w:p>
    <w:p>
      <w:pPr>
        <w:ind w:firstLine="480" w:firstLineChars="200"/>
        <w:rPr>
          <w:rFonts w:ascii="仿宋_GB2312" w:eastAsia="仿宋_GB2312"/>
          <w:color w:val="auto"/>
          <w:sz w:val="24"/>
        </w:rPr>
      </w:pPr>
    </w:p>
    <w:p>
      <w:pPr>
        <w:ind w:firstLine="480" w:firstLineChars="200"/>
        <w:rPr>
          <w:rFonts w:ascii="仿宋_GB2312" w:eastAsia="仿宋_GB2312"/>
          <w:color w:val="auto"/>
          <w:sz w:val="24"/>
        </w:rPr>
      </w:pPr>
    </w:p>
    <w:p>
      <w:pPr>
        <w:ind w:firstLine="480" w:firstLineChars="200"/>
        <w:rPr>
          <w:rFonts w:ascii="仿宋_GB2312" w:eastAsia="仿宋_GB2312"/>
          <w:color w:val="auto"/>
          <w:sz w:val="24"/>
        </w:rPr>
      </w:pPr>
    </w:p>
    <w:p>
      <w:pPr>
        <w:ind w:firstLine="480" w:firstLineChars="200"/>
        <w:rPr>
          <w:rFonts w:ascii="仿宋_GB2312" w:eastAsia="仿宋_GB2312"/>
          <w:color w:val="auto"/>
          <w:sz w:val="24"/>
        </w:rPr>
      </w:pPr>
    </w:p>
    <w:p>
      <w:pPr>
        <w:ind w:firstLine="480" w:firstLineChars="200"/>
        <w:rPr>
          <w:rFonts w:ascii="仿宋_GB2312" w:eastAsia="仿宋_GB2312"/>
          <w:color w:val="auto"/>
          <w:sz w:val="24"/>
        </w:rPr>
      </w:pPr>
    </w:p>
    <w:p>
      <w:pPr>
        <w:ind w:firstLine="480" w:firstLineChars="200"/>
        <w:rPr>
          <w:rFonts w:ascii="仿宋_GB2312" w:eastAsia="仿宋_GB2312"/>
          <w:color w:val="auto"/>
          <w:sz w:val="24"/>
        </w:rPr>
      </w:pPr>
    </w:p>
    <w:p>
      <w:pPr>
        <w:ind w:firstLine="480" w:firstLineChars="200"/>
        <w:rPr>
          <w:rFonts w:ascii="仿宋_GB2312" w:eastAsia="仿宋_GB2312"/>
          <w:color w:val="auto"/>
          <w:sz w:val="24"/>
        </w:rPr>
      </w:pPr>
    </w:p>
    <w:p>
      <w:pPr>
        <w:ind w:firstLine="480" w:firstLineChars="200"/>
        <w:rPr>
          <w:rFonts w:ascii="仿宋_GB2312" w:eastAsia="仿宋_GB2312"/>
          <w:color w:val="auto"/>
          <w:sz w:val="24"/>
        </w:rPr>
      </w:pPr>
    </w:p>
    <w:p>
      <w:pPr>
        <w:ind w:firstLine="480" w:firstLineChars="200"/>
        <w:rPr>
          <w:rFonts w:ascii="仿宋_GB2312" w:eastAsia="仿宋_GB2312"/>
          <w:color w:val="auto"/>
          <w:sz w:val="24"/>
        </w:rPr>
      </w:pPr>
    </w:p>
    <w:p>
      <w:pPr>
        <w:ind w:firstLine="480" w:firstLineChars="200"/>
        <w:rPr>
          <w:rFonts w:ascii="仿宋_GB2312" w:eastAsia="仿宋_GB2312"/>
          <w:color w:val="auto"/>
          <w:sz w:val="24"/>
        </w:rPr>
      </w:pPr>
    </w:p>
    <w:p>
      <w:pPr>
        <w:ind w:firstLine="480" w:firstLineChars="200"/>
        <w:rPr>
          <w:rFonts w:ascii="仿宋_GB2312" w:eastAsia="仿宋_GB2312"/>
          <w:color w:val="auto"/>
          <w:sz w:val="24"/>
        </w:rPr>
      </w:pPr>
    </w:p>
    <w:p>
      <w:pPr>
        <w:ind w:firstLine="480" w:firstLineChars="200"/>
        <w:rPr>
          <w:rFonts w:ascii="仿宋_GB2312" w:eastAsia="仿宋_GB2312"/>
          <w:color w:val="auto"/>
          <w:sz w:val="24"/>
        </w:rPr>
      </w:pPr>
    </w:p>
    <w:p>
      <w:pPr>
        <w:ind w:firstLine="480" w:firstLineChars="200"/>
        <w:rPr>
          <w:rFonts w:ascii="仿宋_GB2312" w:eastAsia="仿宋_GB2312"/>
          <w:color w:val="auto"/>
          <w:sz w:val="24"/>
        </w:rPr>
      </w:pPr>
    </w:p>
    <w:p>
      <w:pPr>
        <w:ind w:firstLine="480" w:firstLineChars="200"/>
        <w:rPr>
          <w:rFonts w:ascii="仿宋_GB2312" w:eastAsia="仿宋_GB2312"/>
          <w:color w:val="auto"/>
          <w:sz w:val="24"/>
        </w:rPr>
      </w:pPr>
    </w:p>
    <w:p>
      <w:pPr>
        <w:ind w:firstLine="480" w:firstLineChars="200"/>
        <w:rPr>
          <w:rFonts w:ascii="仿宋_GB2312" w:eastAsia="仿宋_GB2312"/>
          <w:color w:val="auto"/>
          <w:sz w:val="24"/>
        </w:rPr>
      </w:pPr>
    </w:p>
    <w:p>
      <w:pPr>
        <w:ind w:firstLine="480" w:firstLineChars="200"/>
        <w:rPr>
          <w:rFonts w:ascii="仿宋_GB2312" w:eastAsia="仿宋_GB2312"/>
          <w:color w:val="auto"/>
          <w:sz w:val="24"/>
        </w:rPr>
      </w:pPr>
    </w:p>
    <w:p>
      <w:pPr>
        <w:ind w:firstLine="480" w:firstLineChars="200"/>
        <w:rPr>
          <w:rFonts w:ascii="仿宋_GB2312" w:eastAsia="仿宋_GB2312"/>
          <w:color w:val="auto"/>
          <w:sz w:val="24"/>
        </w:rPr>
      </w:pPr>
    </w:p>
    <w:p>
      <w:pPr>
        <w:ind w:firstLine="480" w:firstLineChars="200"/>
        <w:rPr>
          <w:rFonts w:ascii="仿宋_GB2312" w:eastAsia="仿宋_GB2312"/>
          <w:color w:val="auto"/>
          <w:sz w:val="24"/>
        </w:rPr>
      </w:pPr>
    </w:p>
    <w:p>
      <w:pPr>
        <w:ind w:firstLine="480" w:firstLineChars="200"/>
        <w:rPr>
          <w:rFonts w:ascii="仿宋_GB2312" w:eastAsia="仿宋_GB2312"/>
          <w:color w:val="auto"/>
          <w:sz w:val="24"/>
        </w:rPr>
      </w:pPr>
    </w:p>
    <w:p>
      <w:pPr>
        <w:ind w:firstLine="480" w:firstLineChars="200"/>
        <w:rPr>
          <w:rFonts w:ascii="仿宋_GB2312" w:eastAsia="仿宋_GB2312"/>
          <w:color w:val="auto"/>
          <w:sz w:val="24"/>
        </w:rPr>
      </w:pPr>
    </w:p>
    <w:p>
      <w:pPr>
        <w:ind w:firstLine="480" w:firstLineChars="200"/>
        <w:rPr>
          <w:rFonts w:ascii="仿宋_GB2312" w:eastAsia="仿宋_GB2312"/>
          <w:color w:val="auto"/>
          <w:sz w:val="24"/>
        </w:rPr>
      </w:pPr>
    </w:p>
    <w:p>
      <w:pPr>
        <w:ind w:firstLine="480" w:firstLineChars="200"/>
        <w:rPr>
          <w:rFonts w:ascii="仿宋_GB2312" w:eastAsia="仿宋_GB2312"/>
          <w:color w:val="auto"/>
          <w:sz w:val="24"/>
        </w:rPr>
      </w:pPr>
    </w:p>
    <w:p>
      <w:pPr>
        <w:ind w:firstLine="480" w:firstLineChars="200"/>
        <w:outlineLvl w:val="1"/>
        <w:rPr>
          <w:rFonts w:ascii="仿宋_GB2312" w:eastAsia="仿宋_GB2312"/>
          <w:color w:val="auto"/>
          <w:sz w:val="24"/>
        </w:rPr>
      </w:pPr>
      <w:r>
        <w:rPr>
          <w:rFonts w:hint="eastAsia" w:ascii="仿宋_GB2312" w:eastAsia="仿宋_GB2312"/>
          <w:color w:val="auto"/>
          <w:sz w:val="24"/>
        </w:rPr>
        <w:t>注：表格内容均需按要求填写并盖章，不得留空,</w:t>
      </w:r>
      <w:r>
        <w:rPr>
          <w:rFonts w:hint="eastAsia" w:ascii="仿宋_GB2312" w:eastAsia="仿宋_GB2312"/>
          <w:bCs/>
          <w:color w:val="auto"/>
          <w:sz w:val="24"/>
        </w:rPr>
        <w:t xml:space="preserve"> 否则按竞标无效处理</w:t>
      </w:r>
      <w:r>
        <w:rPr>
          <w:rFonts w:hint="eastAsia" w:ascii="仿宋_GB2312" w:eastAsia="仿宋_GB2312"/>
          <w:color w:val="auto"/>
          <w:sz w:val="24"/>
        </w:rPr>
        <w:t>。</w:t>
      </w:r>
    </w:p>
    <w:p>
      <w:pPr>
        <w:rPr>
          <w:rFonts w:ascii="宋体" w:hAnsi="宋体"/>
          <w:color w:val="auto"/>
          <w:spacing w:val="20"/>
          <w:sz w:val="24"/>
        </w:rPr>
      </w:pPr>
    </w:p>
    <w:p>
      <w:pPr>
        <w:snapToGrid w:val="0"/>
        <w:rPr>
          <w:rFonts w:ascii="宋体" w:hAnsi="宋体"/>
          <w:color w:val="auto"/>
          <w:spacing w:val="20"/>
          <w:sz w:val="24"/>
        </w:rPr>
      </w:pPr>
    </w:p>
    <w:p>
      <w:pPr>
        <w:snapToGrid w:val="0"/>
        <w:rPr>
          <w:rFonts w:ascii="宋体" w:hAnsi="宋体"/>
          <w:color w:val="auto"/>
          <w:spacing w:val="20"/>
          <w:sz w:val="24"/>
        </w:rPr>
      </w:pPr>
    </w:p>
    <w:p>
      <w:pPr>
        <w:widowControl/>
        <w:jc w:val="left"/>
        <w:rPr>
          <w:rFonts w:ascii="宋体" w:hAnsi="宋体"/>
          <w:color w:val="auto"/>
          <w:sz w:val="24"/>
        </w:rPr>
      </w:pPr>
      <w:r>
        <w:rPr>
          <w:rFonts w:ascii="宋体" w:hAnsi="宋体"/>
          <w:color w:val="auto"/>
          <w:sz w:val="24"/>
        </w:rPr>
        <w:br w:type="page"/>
      </w:r>
    </w:p>
    <w:p>
      <w:pPr>
        <w:rPr>
          <w:rFonts w:ascii="宋体" w:hAnsi="宋体"/>
          <w:color w:val="auto"/>
          <w:sz w:val="24"/>
        </w:rPr>
      </w:pPr>
    </w:p>
    <w:p>
      <w:pPr>
        <w:adjustRightInd w:val="0"/>
        <w:snapToGrid w:val="0"/>
        <w:outlineLvl w:val="1"/>
        <w:rPr>
          <w:rFonts w:hAnsi="宋体"/>
          <w:color w:val="auto"/>
          <w:sz w:val="24"/>
        </w:rPr>
      </w:pPr>
      <w:r>
        <w:rPr>
          <w:rFonts w:hint="eastAsia" w:hAnsi="宋体"/>
          <w:color w:val="auto"/>
          <w:sz w:val="24"/>
        </w:rPr>
        <w:t>附件三</w:t>
      </w:r>
    </w:p>
    <w:p>
      <w:pPr>
        <w:jc w:val="center"/>
        <w:outlineLvl w:val="1"/>
        <w:rPr>
          <w:rFonts w:hAnsi="宋体"/>
          <w:b/>
          <w:color w:val="auto"/>
          <w:sz w:val="32"/>
        </w:rPr>
      </w:pPr>
      <w:r>
        <w:rPr>
          <w:rFonts w:hint="eastAsia" w:hAnsi="宋体"/>
          <w:b/>
          <w:color w:val="auto"/>
          <w:sz w:val="32"/>
        </w:rPr>
        <w:t>法定代表人身份证明书</w:t>
      </w:r>
    </w:p>
    <w:p>
      <w:pPr>
        <w:ind w:firstLine="840" w:firstLineChars="400"/>
        <w:rPr>
          <w:color w:val="auto"/>
          <w:u w:val="single"/>
        </w:rPr>
      </w:pPr>
    </w:p>
    <w:p>
      <w:pPr>
        <w:ind w:firstLine="840" w:firstLineChars="400"/>
        <w:outlineLvl w:val="1"/>
        <w:rPr>
          <w:color w:val="auto"/>
        </w:rPr>
      </w:pPr>
      <w:r>
        <w:rPr>
          <w:rFonts w:hint="eastAsia"/>
          <w:color w:val="auto"/>
          <w:u w:val="single"/>
        </w:rPr>
        <w:t xml:space="preserve">   （法定代表人名字）       </w:t>
      </w:r>
      <w:r>
        <w:rPr>
          <w:rFonts w:hint="eastAsia"/>
          <w:color w:val="auto"/>
        </w:rPr>
        <w:t xml:space="preserve"> 在</w:t>
      </w:r>
      <w:r>
        <w:rPr>
          <w:rFonts w:hint="eastAsia"/>
          <w:color w:val="auto"/>
          <w:u w:val="single"/>
        </w:rPr>
        <w:t xml:space="preserve">（ 单位名称）     </w:t>
      </w:r>
      <w:r>
        <w:rPr>
          <w:rFonts w:hint="eastAsia"/>
          <w:color w:val="auto"/>
        </w:rPr>
        <w:t>任</w:t>
      </w:r>
      <w:r>
        <w:rPr>
          <w:rFonts w:hint="eastAsia"/>
          <w:color w:val="auto"/>
          <w:u w:val="single"/>
        </w:rPr>
        <w:t xml:space="preserve">          </w:t>
      </w:r>
      <w:r>
        <w:rPr>
          <w:rFonts w:hint="eastAsia"/>
          <w:color w:val="auto"/>
        </w:rPr>
        <w:t>职务，是</w:t>
      </w:r>
      <w:r>
        <w:rPr>
          <w:rFonts w:hint="eastAsia"/>
          <w:color w:val="auto"/>
          <w:u w:val="single"/>
        </w:rPr>
        <w:t xml:space="preserve">（ 单位名称）    </w:t>
      </w:r>
      <w:r>
        <w:rPr>
          <w:rFonts w:hint="eastAsia"/>
          <w:color w:val="auto"/>
        </w:rPr>
        <w:t>的法定代表人。</w:t>
      </w:r>
    </w:p>
    <w:p>
      <w:pPr>
        <w:ind w:firstLine="735" w:firstLineChars="350"/>
        <w:outlineLvl w:val="1"/>
        <w:rPr>
          <w:color w:val="auto"/>
        </w:rPr>
      </w:pPr>
      <w:r>
        <w:rPr>
          <w:rFonts w:hint="eastAsia"/>
          <w:color w:val="auto"/>
        </w:rPr>
        <w:t>特此证明。</w:t>
      </w:r>
    </w:p>
    <w:p>
      <w:pPr>
        <w:rPr>
          <w:color w:val="auto"/>
        </w:rPr>
      </w:pPr>
    </w:p>
    <w:p>
      <w:pPr>
        <w:rPr>
          <w:color w:val="auto"/>
        </w:rPr>
      </w:pPr>
    </w:p>
    <w:p>
      <w:pPr>
        <w:outlineLvl w:val="1"/>
        <w:rPr>
          <w:color w:val="auto"/>
          <w:u w:val="single"/>
        </w:rPr>
      </w:pPr>
      <w:r>
        <w:rPr>
          <w:rFonts w:hint="eastAsia"/>
          <w:color w:val="auto"/>
        </w:rPr>
        <w:t xml:space="preserve">                                     单位名称：</w:t>
      </w:r>
      <w:r>
        <w:rPr>
          <w:rFonts w:hint="eastAsia"/>
          <w:color w:val="auto"/>
          <w:u w:val="single"/>
        </w:rPr>
        <w:t xml:space="preserve">                              </w:t>
      </w:r>
    </w:p>
    <w:p>
      <w:pPr>
        <w:outlineLvl w:val="1"/>
        <w:rPr>
          <w:color w:val="auto"/>
        </w:rPr>
      </w:pPr>
      <w:r>
        <w:rPr>
          <w:rFonts w:hint="eastAsia"/>
          <w:color w:val="auto"/>
        </w:rPr>
        <w:t xml:space="preserve">                                                        （单位公章）</w:t>
      </w:r>
    </w:p>
    <w:p>
      <w:pPr>
        <w:outlineLvl w:val="1"/>
        <w:rPr>
          <w:color w:val="auto"/>
        </w:rPr>
      </w:pPr>
      <w:r>
        <w:rPr>
          <w:rFonts w:hint="eastAsia"/>
          <w:color w:val="auto"/>
        </w:rPr>
        <w:t xml:space="preserve">                                                        年     月    日</w:t>
      </w:r>
    </w:p>
    <w:p>
      <w:pPr>
        <w:rPr>
          <w:color w:val="auto"/>
        </w:rPr>
      </w:pPr>
    </w:p>
    <w:p>
      <w:pPr>
        <w:ind w:firstLine="315" w:firstLineChars="150"/>
        <w:outlineLvl w:val="1"/>
        <w:rPr>
          <w:color w:val="auto"/>
        </w:rPr>
      </w:pPr>
      <w:r>
        <w:rPr>
          <w:rFonts w:hint="eastAsia"/>
          <w:color w:val="auto"/>
        </w:rPr>
        <w:t>法定代表人身份证号码：</w:t>
      </w:r>
    </w:p>
    <w:p>
      <w:pPr>
        <w:ind w:firstLine="315" w:firstLineChars="150"/>
        <w:outlineLvl w:val="1"/>
        <w:rPr>
          <w:color w:val="auto"/>
        </w:rPr>
      </w:pPr>
      <w:r>
        <w:rPr>
          <w:rFonts w:hint="eastAsia"/>
          <w:color w:val="auto"/>
        </w:rPr>
        <w:t>住    址：</w:t>
      </w:r>
    </w:p>
    <w:p>
      <w:pPr>
        <w:pStyle w:val="24"/>
        <w:jc w:val="center"/>
        <w:rPr>
          <w:color w:val="auto"/>
        </w:rPr>
      </w:pPr>
    </w:p>
    <w:p>
      <w:pPr>
        <w:pStyle w:val="24"/>
        <w:jc w:val="center"/>
        <w:rPr>
          <w:color w:val="auto"/>
        </w:rPr>
      </w:pPr>
    </w:p>
    <w:p>
      <w:pPr>
        <w:pStyle w:val="24"/>
        <w:jc w:val="center"/>
        <w:rPr>
          <w:color w:val="auto"/>
        </w:rPr>
      </w:pPr>
    </w:p>
    <w:p>
      <w:pPr>
        <w:adjustRightInd w:val="0"/>
        <w:snapToGrid w:val="0"/>
        <w:rPr>
          <w:rFonts w:ascii="宋体" w:hAnsi="宋体"/>
          <w:color w:val="auto"/>
          <w:sz w:val="24"/>
          <w:u w:val="single"/>
        </w:rPr>
      </w:pPr>
    </w:p>
    <w:tbl>
      <w:tblPr>
        <w:tblStyle w:val="43"/>
        <w:tblW w:w="849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1" w:hRule="atLeast"/>
        </w:trPr>
        <w:tc>
          <w:tcPr>
            <w:tcW w:w="8499" w:type="dxa"/>
          </w:tcPr>
          <w:p>
            <w:pPr>
              <w:outlineLvl w:val="1"/>
              <w:rPr>
                <w:rFonts w:ascii="宋体" w:hAnsi="宋体"/>
                <w:color w:val="auto"/>
                <w:sz w:val="24"/>
              </w:rPr>
            </w:pPr>
            <w:r>
              <w:rPr>
                <w:rFonts w:hint="eastAsia" w:ascii="宋体" w:hAnsi="宋体"/>
                <w:color w:val="auto"/>
                <w:sz w:val="24"/>
              </w:rPr>
              <w:t>粘贴法定代表人身份证（正、反面复印件）</w:t>
            </w:r>
          </w:p>
        </w:tc>
      </w:tr>
    </w:tbl>
    <w:p>
      <w:pPr>
        <w:autoSpaceDE w:val="0"/>
        <w:autoSpaceDN w:val="0"/>
        <w:ind w:hanging="480"/>
        <w:rPr>
          <w:rFonts w:ascii="宋体" w:hAnsi="宋体"/>
          <w:color w:val="auto"/>
          <w:sz w:val="24"/>
        </w:rPr>
      </w:pPr>
    </w:p>
    <w:p>
      <w:pPr>
        <w:autoSpaceDE w:val="0"/>
        <w:autoSpaceDN w:val="0"/>
        <w:ind w:hanging="480"/>
        <w:rPr>
          <w:rFonts w:ascii="宋体" w:hAnsi="宋体"/>
          <w:color w:val="auto"/>
          <w:sz w:val="24"/>
        </w:rPr>
      </w:pPr>
    </w:p>
    <w:p>
      <w:pPr>
        <w:pStyle w:val="24"/>
        <w:outlineLvl w:val="1"/>
        <w:rPr>
          <w:color w:val="auto"/>
        </w:rPr>
      </w:pPr>
      <w:r>
        <w:rPr>
          <w:color w:val="auto"/>
        </w:rPr>
        <w:br w:type="page"/>
      </w:r>
      <w:r>
        <w:rPr>
          <w:rFonts w:hint="eastAsia"/>
          <w:color w:val="auto"/>
        </w:rPr>
        <w:t>附件四</w:t>
      </w:r>
    </w:p>
    <w:p>
      <w:pPr>
        <w:pStyle w:val="24"/>
        <w:ind w:firstLine="630" w:firstLineChars="196"/>
        <w:jc w:val="center"/>
        <w:outlineLvl w:val="1"/>
        <w:rPr>
          <w:rFonts w:hAnsi="宋体"/>
          <w:b/>
          <w:color w:val="auto"/>
          <w:sz w:val="32"/>
        </w:rPr>
      </w:pPr>
      <w:r>
        <w:rPr>
          <w:rFonts w:hint="eastAsia" w:hAnsi="宋体"/>
          <w:b/>
          <w:color w:val="auto"/>
          <w:sz w:val="32"/>
        </w:rPr>
        <w:t>授权委托书（格式一）</w:t>
      </w:r>
    </w:p>
    <w:p>
      <w:pPr>
        <w:spacing w:line="400" w:lineRule="exact"/>
        <w:outlineLvl w:val="1"/>
        <w:rPr>
          <w:rFonts w:ascii="宋体" w:hAnsi="宋体"/>
          <w:color w:val="auto"/>
        </w:rPr>
      </w:pPr>
      <w:r>
        <w:rPr>
          <w:rFonts w:hint="eastAsia" w:ascii="宋体" w:hAnsi="宋体"/>
          <w:color w:val="auto"/>
          <w:szCs w:val="21"/>
        </w:rPr>
        <w:t>致：</w:t>
      </w:r>
      <w:r>
        <w:rPr>
          <w:rFonts w:hint="eastAsia" w:ascii="宋体" w:hAnsi="宋体"/>
          <w:color w:val="auto"/>
          <w:szCs w:val="21"/>
          <w:u w:val="single"/>
        </w:rPr>
        <w:t xml:space="preserve"> (采购单位名称)</w:t>
      </w:r>
    </w:p>
    <w:p>
      <w:pPr>
        <w:pStyle w:val="24"/>
        <w:spacing w:line="400" w:lineRule="exact"/>
        <w:ind w:firstLine="420" w:firstLineChars="200"/>
        <w:outlineLvl w:val="1"/>
        <w:rPr>
          <w:rFonts w:hAnsi="宋体"/>
          <w:color w:val="auto"/>
        </w:rPr>
      </w:pPr>
      <w:r>
        <w:rPr>
          <w:rFonts w:hint="eastAsia" w:hAnsi="宋体"/>
          <w:color w:val="auto"/>
          <w:kern w:val="0"/>
        </w:rPr>
        <w:t>我</w:t>
      </w:r>
      <w:r>
        <w:rPr>
          <w:rFonts w:hint="eastAsia" w:hAnsi="宋体"/>
          <w:color w:val="auto"/>
          <w:kern w:val="0"/>
          <w:u w:val="single"/>
        </w:rPr>
        <w:t xml:space="preserve">              </w:t>
      </w:r>
      <w:r>
        <w:rPr>
          <w:rFonts w:hint="eastAsia" w:hAnsi="宋体"/>
          <w:color w:val="auto"/>
          <w:kern w:val="0"/>
        </w:rPr>
        <w:t>（姓名）系</w:t>
      </w:r>
      <w:r>
        <w:rPr>
          <w:rFonts w:hint="eastAsia" w:hAnsi="宋体"/>
          <w:color w:val="auto"/>
          <w:kern w:val="0"/>
          <w:u w:val="single"/>
        </w:rPr>
        <w:t xml:space="preserve">                              </w:t>
      </w:r>
      <w:r>
        <w:rPr>
          <w:rFonts w:hint="eastAsia" w:hAnsi="宋体"/>
          <w:color w:val="auto"/>
          <w:kern w:val="0"/>
        </w:rPr>
        <w:t>（供应商名称）的法定代表人</w:t>
      </w:r>
      <w:r>
        <w:rPr>
          <w:rFonts w:hint="eastAsia" w:hAnsi="宋体"/>
          <w:color w:val="auto"/>
          <w:sz w:val="24"/>
        </w:rPr>
        <w:t>（</w:t>
      </w:r>
      <w:r>
        <w:rPr>
          <w:rFonts w:hint="eastAsia" w:asciiTheme="minorEastAsia" w:hAnsiTheme="minorEastAsia" w:eastAsiaTheme="minorEastAsia"/>
          <w:color w:val="auto"/>
          <w:sz w:val="24"/>
        </w:rPr>
        <w:t>供应商若为其他组织形式无法定代表人的应为机构负责人</w:t>
      </w:r>
      <w:r>
        <w:rPr>
          <w:rFonts w:hint="eastAsia" w:hAnsi="宋体"/>
          <w:color w:val="auto"/>
          <w:sz w:val="24"/>
        </w:rPr>
        <w:t>）</w:t>
      </w:r>
      <w:r>
        <w:rPr>
          <w:rFonts w:hint="eastAsia" w:hAnsi="宋体"/>
          <w:color w:val="auto"/>
          <w:kern w:val="0"/>
        </w:rPr>
        <w:t>，现授权委托本单位在职职工</w:t>
      </w:r>
      <w:r>
        <w:rPr>
          <w:rFonts w:hint="eastAsia" w:hAnsi="宋体"/>
          <w:color w:val="auto"/>
          <w:kern w:val="0"/>
          <w:u w:val="single"/>
        </w:rPr>
        <w:t xml:space="preserve">            </w:t>
      </w:r>
      <w:r>
        <w:rPr>
          <w:rFonts w:hint="eastAsia" w:hAnsi="宋体"/>
          <w:color w:val="auto"/>
          <w:kern w:val="0"/>
        </w:rPr>
        <w:t>（姓 名）以我公司名义参加</w:t>
      </w:r>
      <w:r>
        <w:rPr>
          <w:rFonts w:hint="eastAsia" w:hAnsi="宋体"/>
          <w:color w:val="auto"/>
          <w:kern w:val="0"/>
          <w:u w:val="single"/>
        </w:rPr>
        <w:t xml:space="preserve">      </w:t>
      </w:r>
      <w:r>
        <w:rPr>
          <w:rFonts w:hint="eastAsia" w:hAnsi="宋体"/>
          <w:color w:val="auto"/>
          <w:u w:val="single"/>
        </w:rPr>
        <w:t xml:space="preserve">（项目名称及项目编号）        </w:t>
      </w:r>
      <w:r>
        <w:rPr>
          <w:rFonts w:hint="eastAsia" w:hAnsi="宋体"/>
          <w:color w:val="auto"/>
        </w:rPr>
        <w:t>项目的谈判活动，并代表我方全权办理针对上述项目的谈判、签约等具体事务和签署相关文件。</w:t>
      </w:r>
    </w:p>
    <w:p>
      <w:pPr>
        <w:pStyle w:val="24"/>
        <w:spacing w:line="400" w:lineRule="exact"/>
        <w:ind w:firstLine="420" w:firstLineChars="200"/>
        <w:outlineLvl w:val="1"/>
        <w:rPr>
          <w:rFonts w:hAnsi="宋体"/>
          <w:color w:val="auto"/>
        </w:rPr>
      </w:pPr>
      <w:r>
        <w:rPr>
          <w:rFonts w:hint="eastAsia" w:hAnsi="宋体"/>
          <w:color w:val="auto"/>
        </w:rPr>
        <w:t>我方对被授权人的签字事项负全部责任。</w:t>
      </w:r>
    </w:p>
    <w:p>
      <w:pPr>
        <w:snapToGrid w:val="0"/>
        <w:spacing w:line="400" w:lineRule="exact"/>
        <w:ind w:firstLine="480"/>
        <w:outlineLvl w:val="1"/>
        <w:rPr>
          <w:rFonts w:ascii="宋体" w:hAnsi="宋体"/>
          <w:color w:val="auto"/>
          <w:szCs w:val="21"/>
        </w:rPr>
      </w:pPr>
      <w:r>
        <w:rPr>
          <w:rFonts w:hint="eastAsia" w:ascii="宋体" w:hAnsi="宋体"/>
          <w:color w:val="auto"/>
          <w:szCs w:val="21"/>
          <w:u w:val="single"/>
        </w:rPr>
        <w:t>在撤销授权的书面通知以前，本授权书一直有效。</w:t>
      </w:r>
      <w:r>
        <w:rPr>
          <w:rFonts w:hint="eastAsia" w:ascii="宋体" w:hAnsi="宋体"/>
          <w:color w:val="auto"/>
          <w:szCs w:val="21"/>
        </w:rPr>
        <w:t>被授权人在授权书有效期内签署的所有文件不因授权的撤销而失效。</w:t>
      </w:r>
    </w:p>
    <w:p>
      <w:pPr>
        <w:snapToGrid w:val="0"/>
        <w:spacing w:line="400" w:lineRule="exact"/>
        <w:ind w:firstLine="480"/>
        <w:outlineLvl w:val="1"/>
        <w:rPr>
          <w:rFonts w:ascii="宋体" w:hAnsi="宋体"/>
          <w:color w:val="auto"/>
          <w:szCs w:val="21"/>
        </w:rPr>
      </w:pPr>
      <w:r>
        <w:rPr>
          <w:rFonts w:hint="eastAsia" w:ascii="宋体" w:hAnsi="宋体"/>
          <w:color w:val="auto"/>
          <w:szCs w:val="21"/>
        </w:rPr>
        <w:t>被授权人无转委托权，特此委托。</w:t>
      </w:r>
    </w:p>
    <w:p>
      <w:pPr>
        <w:snapToGrid w:val="0"/>
        <w:spacing w:line="400" w:lineRule="exact"/>
        <w:rPr>
          <w:rFonts w:ascii="宋体" w:hAnsi="宋体"/>
          <w:color w:val="auto"/>
          <w:szCs w:val="21"/>
        </w:rPr>
      </w:pPr>
    </w:p>
    <w:p>
      <w:pPr>
        <w:snapToGrid w:val="0"/>
        <w:spacing w:line="400" w:lineRule="exact"/>
        <w:outlineLvl w:val="1"/>
        <w:rPr>
          <w:rFonts w:ascii="宋体" w:hAnsi="宋体"/>
          <w:color w:val="auto"/>
          <w:szCs w:val="21"/>
          <w:u w:val="single"/>
        </w:rPr>
      </w:pPr>
      <w:r>
        <w:rPr>
          <w:rFonts w:hint="eastAsia" w:ascii="宋体" w:hAnsi="宋体"/>
          <w:color w:val="auto"/>
          <w:szCs w:val="21"/>
        </w:rPr>
        <w:t>被授权人签名：</w:t>
      </w:r>
      <w:r>
        <w:rPr>
          <w:rFonts w:hint="eastAsia" w:ascii="宋体" w:hAnsi="宋体"/>
          <w:color w:val="auto"/>
          <w:szCs w:val="21"/>
          <w:u w:val="single"/>
        </w:rPr>
        <w:t xml:space="preserve">             </w:t>
      </w:r>
      <w:r>
        <w:rPr>
          <w:rFonts w:hint="eastAsia" w:ascii="宋体" w:hAnsi="宋体"/>
          <w:color w:val="auto"/>
          <w:szCs w:val="21"/>
        </w:rPr>
        <w:t xml:space="preserve">                 </w:t>
      </w:r>
    </w:p>
    <w:p>
      <w:pPr>
        <w:snapToGrid w:val="0"/>
        <w:spacing w:line="400" w:lineRule="exact"/>
        <w:outlineLvl w:val="1"/>
        <w:rPr>
          <w:rFonts w:ascii="宋体" w:hAnsi="宋体"/>
          <w:color w:val="auto"/>
          <w:szCs w:val="21"/>
        </w:rPr>
      </w:pPr>
      <w:r>
        <w:rPr>
          <w:rFonts w:hint="eastAsia" w:ascii="宋体" w:hAnsi="宋体"/>
          <w:color w:val="auto"/>
          <w:szCs w:val="21"/>
        </w:rPr>
        <w:t>所在部门：</w:t>
      </w:r>
      <w:r>
        <w:rPr>
          <w:rFonts w:hint="eastAsia" w:ascii="宋体" w:hAnsi="宋体"/>
          <w:color w:val="auto"/>
          <w:szCs w:val="21"/>
          <w:u w:val="single"/>
        </w:rPr>
        <w:t xml:space="preserve">             </w:t>
      </w:r>
      <w:r>
        <w:rPr>
          <w:rFonts w:hint="eastAsia" w:ascii="宋体" w:hAnsi="宋体"/>
          <w:color w:val="auto"/>
          <w:szCs w:val="21"/>
        </w:rPr>
        <w:t xml:space="preserve">                       </w:t>
      </w:r>
    </w:p>
    <w:p>
      <w:pPr>
        <w:snapToGrid w:val="0"/>
        <w:spacing w:line="400" w:lineRule="exact"/>
        <w:outlineLvl w:val="1"/>
        <w:rPr>
          <w:rFonts w:ascii="宋体" w:hAnsi="宋体"/>
          <w:color w:val="auto"/>
          <w:szCs w:val="21"/>
        </w:rPr>
      </w:pPr>
      <w:r>
        <w:rPr>
          <w:rFonts w:hint="eastAsia" w:ascii="宋体" w:hAnsi="宋体"/>
          <w:color w:val="auto"/>
          <w:szCs w:val="21"/>
        </w:rPr>
        <w:t>职  务：</w:t>
      </w:r>
      <w:r>
        <w:rPr>
          <w:rFonts w:hint="eastAsia" w:ascii="宋体" w:hAnsi="宋体"/>
          <w:color w:val="auto"/>
          <w:szCs w:val="21"/>
          <w:u w:val="single"/>
        </w:rPr>
        <w:t xml:space="preserve">              </w:t>
      </w:r>
    </w:p>
    <w:p>
      <w:pPr>
        <w:snapToGrid w:val="0"/>
        <w:spacing w:line="400" w:lineRule="exact"/>
        <w:outlineLvl w:val="1"/>
        <w:rPr>
          <w:rFonts w:ascii="宋体" w:hAnsi="宋体"/>
          <w:color w:val="auto"/>
          <w:szCs w:val="21"/>
        </w:rPr>
      </w:pPr>
      <w:r>
        <w:rPr>
          <w:rFonts w:hint="eastAsia" w:ascii="宋体" w:hAnsi="宋体"/>
          <w:color w:val="auto"/>
          <w:szCs w:val="21"/>
        </w:rPr>
        <w:t>被授权人身份证号码：</w:t>
      </w:r>
      <w:r>
        <w:rPr>
          <w:rFonts w:hint="eastAsia" w:ascii="宋体" w:hAnsi="宋体"/>
          <w:color w:val="auto"/>
          <w:szCs w:val="21"/>
          <w:u w:val="single"/>
        </w:rPr>
        <w:t xml:space="preserve">              </w:t>
      </w:r>
    </w:p>
    <w:p>
      <w:pPr>
        <w:snapToGrid w:val="0"/>
        <w:spacing w:line="400" w:lineRule="exact"/>
        <w:ind w:firstLine="6300" w:firstLineChars="3000"/>
        <w:outlineLvl w:val="1"/>
        <w:rPr>
          <w:rFonts w:ascii="宋体" w:hAnsi="宋体"/>
          <w:color w:val="auto"/>
          <w:szCs w:val="21"/>
          <w:u w:val="single"/>
        </w:rPr>
      </w:pPr>
      <w:r>
        <w:rPr>
          <w:rFonts w:hint="eastAsia" w:ascii="宋体" w:hAnsi="宋体"/>
          <w:color w:val="auto"/>
          <w:szCs w:val="21"/>
        </w:rPr>
        <w:t>供应商（公章）：</w:t>
      </w:r>
      <w:r>
        <w:rPr>
          <w:rFonts w:hint="eastAsia" w:ascii="宋体" w:hAnsi="宋体"/>
          <w:b/>
          <w:color w:val="auto"/>
          <w:szCs w:val="21"/>
          <w:u w:val="single"/>
        </w:rPr>
        <w:t xml:space="preserve">                                      </w:t>
      </w:r>
    </w:p>
    <w:p>
      <w:pPr>
        <w:snapToGrid w:val="0"/>
        <w:spacing w:line="400" w:lineRule="exact"/>
        <w:ind w:firstLine="4830" w:firstLineChars="2300"/>
        <w:outlineLvl w:val="1"/>
        <w:rPr>
          <w:rFonts w:ascii="宋体" w:hAnsi="宋体"/>
          <w:color w:val="auto"/>
          <w:szCs w:val="21"/>
          <w:u w:val="single"/>
        </w:rPr>
      </w:pPr>
      <w:r>
        <w:rPr>
          <w:rFonts w:hint="eastAsia" w:ascii="宋体" w:hAnsi="宋体"/>
          <w:color w:val="auto"/>
          <w:szCs w:val="21"/>
        </w:rPr>
        <w:t>法定代表人（若为其他组织形式无法定代表人的应为机构负责人）签字或盖章：</w:t>
      </w:r>
      <w:r>
        <w:rPr>
          <w:rFonts w:hint="eastAsia" w:ascii="宋体" w:hAnsi="宋体"/>
          <w:color w:val="auto"/>
          <w:szCs w:val="21"/>
          <w:u w:val="single"/>
        </w:rPr>
        <w:t xml:space="preserve">    </w:t>
      </w:r>
    </w:p>
    <w:p>
      <w:pPr>
        <w:snapToGrid w:val="0"/>
        <w:spacing w:line="400" w:lineRule="exact"/>
        <w:ind w:firstLine="5460" w:firstLineChars="2600"/>
        <w:outlineLvl w:val="1"/>
        <w:rPr>
          <w:rFonts w:ascii="宋体" w:hAnsi="宋体"/>
          <w:b/>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napToGrid w:val="0"/>
        <w:spacing w:line="400" w:lineRule="exact"/>
        <w:outlineLvl w:val="1"/>
        <w:rPr>
          <w:rFonts w:hAnsi="宋体"/>
          <w:b/>
          <w:color w:val="auto"/>
          <w:sz w:val="32"/>
        </w:rPr>
      </w:pPr>
      <w:r>
        <w:rPr>
          <w:rFonts w:hint="eastAsia" w:ascii="宋体" w:hAnsi="宋体"/>
          <w:b/>
          <w:color w:val="auto"/>
          <w:szCs w:val="21"/>
        </w:rPr>
        <w:t>附：委托代理人有效的身份证正反两面复印件；如为联合体投标，此授权书必须为主体方（牵头方）授权。</w:t>
      </w:r>
    </w:p>
    <w:tbl>
      <w:tblPr>
        <w:tblStyle w:val="43"/>
        <w:tblW w:w="849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8499" w:type="dxa"/>
          </w:tcPr>
          <w:p>
            <w:pPr>
              <w:outlineLvl w:val="1"/>
              <w:rPr>
                <w:rFonts w:ascii="宋体" w:hAnsi="宋体"/>
                <w:color w:val="auto"/>
                <w:sz w:val="24"/>
              </w:rPr>
            </w:pPr>
            <w:r>
              <w:rPr>
                <w:rFonts w:hint="eastAsia" w:ascii="宋体" w:hAnsi="宋体"/>
                <w:color w:val="auto"/>
                <w:sz w:val="24"/>
              </w:rPr>
              <w:t>粘贴被授权人身份证（正、反面复印件）</w:t>
            </w:r>
          </w:p>
        </w:tc>
      </w:tr>
    </w:tbl>
    <w:p>
      <w:pPr>
        <w:autoSpaceDE w:val="0"/>
        <w:autoSpaceDN w:val="0"/>
        <w:ind w:hanging="480"/>
        <w:rPr>
          <w:rFonts w:ascii="宋体" w:hAnsi="宋体"/>
          <w:color w:val="auto"/>
          <w:sz w:val="24"/>
        </w:rPr>
      </w:pPr>
    </w:p>
    <w:p>
      <w:pPr>
        <w:pStyle w:val="24"/>
        <w:rPr>
          <w:rFonts w:hAnsi="宋体"/>
          <w:color w:val="auto"/>
          <w:sz w:val="24"/>
          <w:szCs w:val="24"/>
        </w:rPr>
      </w:pPr>
      <w:r>
        <w:rPr>
          <w:rFonts w:hAnsi="宋体"/>
          <w:color w:val="auto"/>
          <w:sz w:val="24"/>
          <w:szCs w:val="24"/>
        </w:rPr>
        <w:br w:type="page"/>
      </w:r>
    </w:p>
    <w:p>
      <w:pPr>
        <w:snapToGrid w:val="0"/>
        <w:spacing w:line="400" w:lineRule="exact"/>
        <w:ind w:firstLine="420"/>
        <w:jc w:val="center"/>
        <w:outlineLvl w:val="1"/>
        <w:rPr>
          <w:rFonts w:hAnsi="宋体"/>
          <w:b/>
          <w:color w:val="auto"/>
          <w:sz w:val="32"/>
        </w:rPr>
      </w:pPr>
      <w:r>
        <w:rPr>
          <w:rFonts w:hint="eastAsia" w:hAnsi="宋体"/>
          <w:b/>
          <w:color w:val="auto"/>
          <w:sz w:val="32"/>
        </w:rPr>
        <w:t>授权委托书（格式二）</w:t>
      </w:r>
    </w:p>
    <w:p>
      <w:pPr>
        <w:snapToGrid w:val="0"/>
        <w:spacing w:line="400" w:lineRule="exact"/>
        <w:outlineLvl w:val="1"/>
        <w:rPr>
          <w:rFonts w:ascii="宋体" w:hAnsi="宋体"/>
          <w:color w:val="auto"/>
        </w:rPr>
      </w:pPr>
      <w:r>
        <w:rPr>
          <w:rFonts w:hint="eastAsia" w:ascii="宋体" w:hAnsi="宋体"/>
          <w:b/>
          <w:color w:val="auto"/>
          <w:szCs w:val="21"/>
        </w:rPr>
        <w:t>致</w:t>
      </w:r>
      <w:r>
        <w:rPr>
          <w:rFonts w:hint="eastAsia" w:ascii="宋体" w:hAnsi="宋体"/>
          <w:color w:val="auto"/>
          <w:szCs w:val="21"/>
        </w:rPr>
        <w:t>：</w:t>
      </w:r>
      <w:r>
        <w:rPr>
          <w:rFonts w:hint="eastAsia" w:ascii="宋体" w:hAnsi="宋体"/>
          <w:color w:val="auto"/>
          <w:szCs w:val="21"/>
          <w:u w:val="single"/>
        </w:rPr>
        <w:t>(采购单位名称)</w:t>
      </w:r>
    </w:p>
    <w:p>
      <w:pPr>
        <w:snapToGrid w:val="0"/>
        <w:spacing w:line="400" w:lineRule="exact"/>
        <w:rPr>
          <w:rFonts w:ascii="宋体" w:hAnsi="宋体"/>
          <w:color w:val="auto"/>
          <w:szCs w:val="21"/>
          <w:u w:val="single"/>
        </w:rPr>
      </w:pPr>
    </w:p>
    <w:p>
      <w:pPr>
        <w:pStyle w:val="24"/>
        <w:spacing w:line="340" w:lineRule="exact"/>
        <w:ind w:firstLine="420" w:firstLineChars="200"/>
        <w:outlineLvl w:val="1"/>
        <w:rPr>
          <w:rFonts w:hAnsi="宋体"/>
          <w:color w:val="auto"/>
        </w:rPr>
      </w:pPr>
      <w:r>
        <w:rPr>
          <w:rFonts w:hint="eastAsia" w:hAnsi="宋体"/>
          <w:color w:val="auto"/>
          <w:kern w:val="0"/>
        </w:rPr>
        <w:t>我</w:t>
      </w:r>
      <w:r>
        <w:rPr>
          <w:rFonts w:hint="eastAsia" w:hAnsi="宋体"/>
          <w:color w:val="auto"/>
          <w:kern w:val="0"/>
          <w:u w:val="single"/>
        </w:rPr>
        <w:t xml:space="preserve">              </w:t>
      </w:r>
      <w:r>
        <w:rPr>
          <w:rFonts w:hint="eastAsia" w:hAnsi="宋体"/>
          <w:color w:val="auto"/>
          <w:kern w:val="0"/>
        </w:rPr>
        <w:t>（姓名）系自然人，现授权委托</w:t>
      </w:r>
      <w:r>
        <w:rPr>
          <w:rFonts w:hint="eastAsia" w:hAnsi="宋体"/>
          <w:color w:val="auto"/>
          <w:kern w:val="0"/>
          <w:u w:val="single"/>
        </w:rPr>
        <w:t xml:space="preserve">            </w:t>
      </w:r>
      <w:r>
        <w:rPr>
          <w:rFonts w:hint="eastAsia" w:hAnsi="宋体"/>
          <w:color w:val="auto"/>
          <w:kern w:val="0"/>
        </w:rPr>
        <w:t>（姓 名）以本人名义参加</w:t>
      </w:r>
      <w:r>
        <w:rPr>
          <w:rFonts w:hint="eastAsia" w:hAnsi="宋体"/>
          <w:color w:val="auto"/>
          <w:kern w:val="0"/>
          <w:u w:val="single"/>
        </w:rPr>
        <w:t xml:space="preserve">      </w:t>
      </w:r>
      <w:r>
        <w:rPr>
          <w:rFonts w:hint="eastAsia" w:hAnsi="宋体"/>
          <w:color w:val="auto"/>
          <w:u w:val="single"/>
        </w:rPr>
        <w:t xml:space="preserve">（项目名称及项目编号）        </w:t>
      </w:r>
      <w:r>
        <w:rPr>
          <w:rFonts w:hint="eastAsia" w:hAnsi="宋体"/>
          <w:color w:val="auto"/>
        </w:rPr>
        <w:t>项目的谈判活动，并代表本人全权办理针对上述项目的谈判、签约等具体事务和签署相关文件。</w:t>
      </w:r>
    </w:p>
    <w:p>
      <w:pPr>
        <w:pStyle w:val="24"/>
        <w:spacing w:line="340" w:lineRule="exact"/>
        <w:ind w:firstLine="420" w:firstLineChars="200"/>
        <w:outlineLvl w:val="1"/>
        <w:rPr>
          <w:rFonts w:hAnsi="宋体"/>
          <w:color w:val="auto"/>
        </w:rPr>
      </w:pPr>
      <w:r>
        <w:rPr>
          <w:rFonts w:hint="eastAsia" w:hAnsi="宋体"/>
          <w:color w:val="auto"/>
        </w:rPr>
        <w:t>本人对被授权人的签字事项负全部责任。</w:t>
      </w:r>
    </w:p>
    <w:p>
      <w:pPr>
        <w:snapToGrid w:val="0"/>
        <w:spacing w:line="400" w:lineRule="exact"/>
        <w:ind w:firstLine="480"/>
        <w:outlineLvl w:val="1"/>
        <w:rPr>
          <w:rFonts w:ascii="宋体" w:hAnsi="宋体"/>
          <w:color w:val="auto"/>
          <w:szCs w:val="21"/>
        </w:rPr>
      </w:pPr>
      <w:r>
        <w:rPr>
          <w:rFonts w:hint="eastAsia" w:ascii="宋体" w:hAnsi="宋体"/>
          <w:color w:val="auto"/>
          <w:szCs w:val="21"/>
          <w:u w:val="single"/>
        </w:rPr>
        <w:t>在撤销授权的书面通知以前，本授权书一直有效。</w:t>
      </w:r>
      <w:r>
        <w:rPr>
          <w:rFonts w:hint="eastAsia" w:ascii="宋体" w:hAnsi="宋体"/>
          <w:color w:val="auto"/>
          <w:szCs w:val="21"/>
        </w:rPr>
        <w:t>被授权人在授权书有效期内签署的所有文件不因授权的撤销而失效。</w:t>
      </w:r>
    </w:p>
    <w:p>
      <w:pPr>
        <w:snapToGrid w:val="0"/>
        <w:spacing w:line="400" w:lineRule="exact"/>
        <w:ind w:firstLine="480"/>
        <w:outlineLvl w:val="1"/>
        <w:rPr>
          <w:rFonts w:ascii="宋体" w:hAnsi="宋体"/>
          <w:color w:val="auto"/>
          <w:szCs w:val="21"/>
        </w:rPr>
      </w:pPr>
      <w:r>
        <w:rPr>
          <w:rFonts w:hint="eastAsia" w:ascii="宋体" w:hAnsi="宋体"/>
          <w:color w:val="auto"/>
          <w:szCs w:val="21"/>
        </w:rPr>
        <w:t>被授权人无转委托权，特此委托。</w:t>
      </w:r>
    </w:p>
    <w:p>
      <w:pPr>
        <w:snapToGrid w:val="0"/>
        <w:spacing w:line="400" w:lineRule="exact"/>
        <w:rPr>
          <w:rFonts w:ascii="宋体" w:hAnsi="宋体"/>
          <w:color w:val="auto"/>
          <w:szCs w:val="21"/>
        </w:rPr>
      </w:pPr>
    </w:p>
    <w:p>
      <w:pPr>
        <w:snapToGrid w:val="0"/>
        <w:spacing w:line="400" w:lineRule="exact"/>
        <w:outlineLvl w:val="1"/>
        <w:rPr>
          <w:rFonts w:ascii="宋体" w:hAnsi="宋体"/>
          <w:color w:val="auto"/>
          <w:szCs w:val="21"/>
          <w:u w:val="single"/>
        </w:rPr>
      </w:pPr>
      <w:r>
        <w:rPr>
          <w:rFonts w:hint="eastAsia" w:ascii="宋体" w:hAnsi="宋体"/>
          <w:color w:val="auto"/>
          <w:szCs w:val="21"/>
        </w:rPr>
        <w:t>被授权人签名：</w:t>
      </w:r>
      <w:r>
        <w:rPr>
          <w:rFonts w:hint="eastAsia" w:ascii="宋体" w:hAnsi="宋体"/>
          <w:color w:val="auto"/>
          <w:szCs w:val="21"/>
          <w:u w:val="single"/>
        </w:rPr>
        <w:t xml:space="preserve">             </w:t>
      </w:r>
      <w:r>
        <w:rPr>
          <w:rFonts w:hint="eastAsia" w:ascii="宋体" w:hAnsi="宋体"/>
          <w:color w:val="auto"/>
          <w:szCs w:val="21"/>
        </w:rPr>
        <w:t xml:space="preserve">                 </w:t>
      </w:r>
    </w:p>
    <w:p>
      <w:pPr>
        <w:snapToGrid w:val="0"/>
        <w:spacing w:line="400" w:lineRule="exact"/>
        <w:outlineLvl w:val="1"/>
        <w:rPr>
          <w:rFonts w:ascii="宋体" w:hAnsi="宋体"/>
          <w:color w:val="auto"/>
          <w:szCs w:val="21"/>
        </w:rPr>
      </w:pPr>
      <w:r>
        <w:rPr>
          <w:rFonts w:hint="eastAsia" w:ascii="宋体" w:hAnsi="宋体"/>
          <w:color w:val="auto"/>
          <w:szCs w:val="21"/>
        </w:rPr>
        <w:t>所在部门：</w:t>
      </w:r>
      <w:r>
        <w:rPr>
          <w:rFonts w:hint="eastAsia" w:ascii="宋体" w:hAnsi="宋体"/>
          <w:color w:val="auto"/>
          <w:szCs w:val="21"/>
          <w:u w:val="single"/>
        </w:rPr>
        <w:t xml:space="preserve">             </w:t>
      </w:r>
      <w:r>
        <w:rPr>
          <w:rFonts w:hint="eastAsia" w:ascii="宋体" w:hAnsi="宋体"/>
          <w:color w:val="auto"/>
          <w:szCs w:val="21"/>
        </w:rPr>
        <w:t xml:space="preserve">                       </w:t>
      </w:r>
    </w:p>
    <w:p>
      <w:pPr>
        <w:snapToGrid w:val="0"/>
        <w:spacing w:line="400" w:lineRule="exact"/>
        <w:outlineLvl w:val="1"/>
        <w:rPr>
          <w:rFonts w:ascii="宋体" w:hAnsi="宋体"/>
          <w:color w:val="auto"/>
          <w:szCs w:val="21"/>
        </w:rPr>
      </w:pPr>
      <w:r>
        <w:rPr>
          <w:rFonts w:hint="eastAsia" w:ascii="宋体" w:hAnsi="宋体"/>
          <w:color w:val="auto"/>
          <w:szCs w:val="21"/>
        </w:rPr>
        <w:t>职  务：</w:t>
      </w:r>
      <w:r>
        <w:rPr>
          <w:rFonts w:hint="eastAsia" w:ascii="宋体" w:hAnsi="宋体"/>
          <w:color w:val="auto"/>
          <w:szCs w:val="21"/>
          <w:u w:val="single"/>
        </w:rPr>
        <w:t xml:space="preserve">              </w:t>
      </w:r>
    </w:p>
    <w:p>
      <w:pPr>
        <w:snapToGrid w:val="0"/>
        <w:spacing w:line="400" w:lineRule="exact"/>
        <w:outlineLvl w:val="1"/>
        <w:rPr>
          <w:rFonts w:ascii="宋体" w:hAnsi="宋体"/>
          <w:color w:val="auto"/>
          <w:szCs w:val="21"/>
        </w:rPr>
      </w:pPr>
      <w:r>
        <w:rPr>
          <w:rFonts w:hint="eastAsia" w:ascii="宋体" w:hAnsi="宋体"/>
          <w:color w:val="auto"/>
          <w:szCs w:val="21"/>
        </w:rPr>
        <w:t>被授权人身份证号码：</w:t>
      </w:r>
      <w:r>
        <w:rPr>
          <w:rFonts w:hint="eastAsia" w:ascii="宋体" w:hAnsi="宋体"/>
          <w:color w:val="auto"/>
          <w:szCs w:val="21"/>
          <w:u w:val="single"/>
        </w:rPr>
        <w:t xml:space="preserve">              </w:t>
      </w:r>
    </w:p>
    <w:p>
      <w:pPr>
        <w:snapToGrid w:val="0"/>
        <w:spacing w:line="400" w:lineRule="exact"/>
        <w:ind w:firstLine="420"/>
        <w:outlineLvl w:val="1"/>
        <w:rPr>
          <w:rFonts w:ascii="宋体" w:hAnsi="宋体"/>
          <w:color w:val="auto"/>
          <w:szCs w:val="21"/>
        </w:rPr>
      </w:pPr>
      <w:r>
        <w:rPr>
          <w:rFonts w:hint="eastAsia" w:ascii="宋体" w:hAnsi="宋体"/>
          <w:color w:val="auto"/>
          <w:szCs w:val="21"/>
        </w:rPr>
        <w:t>自然人签字并在签名处加盖食指指印：</w:t>
      </w:r>
      <w:r>
        <w:rPr>
          <w:rFonts w:hint="eastAsia" w:ascii="宋体" w:hAnsi="宋体"/>
          <w:color w:val="auto"/>
          <w:szCs w:val="21"/>
          <w:u w:val="single"/>
        </w:rPr>
        <w:t xml:space="preserve">                  </w:t>
      </w:r>
      <w:r>
        <w:rPr>
          <w:rFonts w:hint="eastAsia" w:ascii="宋体" w:hAnsi="宋体"/>
          <w:color w:val="auto"/>
          <w:szCs w:val="21"/>
        </w:rPr>
        <w:t xml:space="preserve">     </w:t>
      </w:r>
    </w:p>
    <w:p>
      <w:pPr>
        <w:snapToGrid w:val="0"/>
        <w:spacing w:line="340" w:lineRule="exact"/>
        <w:ind w:firstLine="420"/>
        <w:outlineLvl w:val="1"/>
        <w:rPr>
          <w:rFonts w:ascii="宋体" w:hAnsi="宋体"/>
          <w:color w:val="auto"/>
          <w:szCs w:val="21"/>
        </w:rPr>
      </w:pP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adjustRightInd w:val="0"/>
        <w:snapToGrid w:val="0"/>
        <w:rPr>
          <w:rFonts w:ascii="宋体" w:hAnsi="宋体"/>
          <w:color w:val="auto"/>
          <w:sz w:val="24"/>
          <w:u w:val="single"/>
        </w:rPr>
      </w:pPr>
    </w:p>
    <w:tbl>
      <w:tblPr>
        <w:tblStyle w:val="43"/>
        <w:tblW w:w="849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1" w:hRule="atLeast"/>
        </w:trPr>
        <w:tc>
          <w:tcPr>
            <w:tcW w:w="8499" w:type="dxa"/>
          </w:tcPr>
          <w:p>
            <w:pPr>
              <w:outlineLvl w:val="1"/>
              <w:rPr>
                <w:rFonts w:ascii="宋体" w:hAnsi="宋体"/>
                <w:color w:val="auto"/>
                <w:sz w:val="24"/>
              </w:rPr>
            </w:pPr>
            <w:r>
              <w:rPr>
                <w:rFonts w:hint="eastAsia" w:ascii="宋体" w:hAnsi="宋体"/>
                <w:color w:val="auto"/>
                <w:sz w:val="24"/>
              </w:rPr>
              <w:t>粘贴被授权人身份证（正、反面复印件）</w:t>
            </w:r>
          </w:p>
        </w:tc>
      </w:tr>
    </w:tbl>
    <w:p>
      <w:pPr>
        <w:autoSpaceDE w:val="0"/>
        <w:autoSpaceDN w:val="0"/>
        <w:ind w:hanging="480"/>
        <w:rPr>
          <w:rFonts w:ascii="宋体" w:hAnsi="宋体"/>
          <w:color w:val="auto"/>
          <w:sz w:val="24"/>
        </w:rPr>
      </w:pPr>
    </w:p>
    <w:p>
      <w:pPr>
        <w:pStyle w:val="24"/>
        <w:rPr>
          <w:rFonts w:hAnsi="宋体"/>
          <w:color w:val="auto"/>
          <w:sz w:val="24"/>
          <w:szCs w:val="24"/>
        </w:rPr>
      </w:pPr>
      <w:r>
        <w:rPr>
          <w:rFonts w:hAnsi="宋体"/>
          <w:color w:val="auto"/>
          <w:sz w:val="24"/>
          <w:szCs w:val="24"/>
        </w:rPr>
        <w:br w:type="page"/>
      </w:r>
    </w:p>
    <w:p>
      <w:pPr>
        <w:pStyle w:val="24"/>
        <w:spacing w:line="400" w:lineRule="exact"/>
        <w:outlineLvl w:val="1"/>
        <w:rPr>
          <w:color w:val="auto"/>
        </w:rPr>
      </w:pPr>
      <w:r>
        <w:rPr>
          <w:rFonts w:hint="eastAsia"/>
          <w:color w:val="auto"/>
        </w:rPr>
        <w:t>附件五：</w:t>
      </w:r>
    </w:p>
    <w:p>
      <w:pPr>
        <w:pStyle w:val="24"/>
        <w:spacing w:line="400" w:lineRule="exact"/>
        <w:ind w:firstLine="2088" w:firstLineChars="650"/>
        <w:outlineLvl w:val="1"/>
        <w:rPr>
          <w:rFonts w:hAnsi="宋体"/>
          <w:b/>
          <w:color w:val="auto"/>
          <w:sz w:val="32"/>
          <w:szCs w:val="32"/>
        </w:rPr>
      </w:pPr>
      <w:r>
        <w:rPr>
          <w:rFonts w:hint="eastAsia" w:hAnsi="宋体"/>
          <w:b/>
          <w:color w:val="auto"/>
          <w:sz w:val="32"/>
          <w:szCs w:val="32"/>
        </w:rPr>
        <w:t>供应商参加政府采购活动前3年内</w:t>
      </w:r>
    </w:p>
    <w:p>
      <w:pPr>
        <w:pStyle w:val="24"/>
        <w:spacing w:line="400" w:lineRule="exact"/>
        <w:ind w:firstLine="1446" w:firstLineChars="450"/>
        <w:outlineLvl w:val="1"/>
        <w:rPr>
          <w:rFonts w:hAnsi="宋体"/>
          <w:b/>
          <w:color w:val="auto"/>
          <w:sz w:val="32"/>
          <w:szCs w:val="32"/>
        </w:rPr>
      </w:pPr>
      <w:r>
        <w:rPr>
          <w:rFonts w:hint="eastAsia" w:hAnsi="宋体"/>
          <w:b/>
          <w:color w:val="auto"/>
          <w:sz w:val="32"/>
          <w:szCs w:val="32"/>
        </w:rPr>
        <w:t>在经营活动中没有重大违法记录的书面声明</w:t>
      </w:r>
    </w:p>
    <w:p>
      <w:pPr>
        <w:pStyle w:val="24"/>
        <w:spacing w:line="400" w:lineRule="exact"/>
        <w:ind w:left="420" w:leftChars="200" w:firstLine="157" w:firstLineChars="49"/>
        <w:rPr>
          <w:rFonts w:hAnsi="宋体"/>
          <w:b/>
          <w:color w:val="auto"/>
          <w:sz w:val="32"/>
          <w:szCs w:val="32"/>
        </w:rPr>
      </w:pPr>
      <w:r>
        <w:rPr>
          <w:rFonts w:hint="eastAsia" w:hAnsi="宋体"/>
          <w:b/>
          <w:color w:val="auto"/>
          <w:sz w:val="32"/>
          <w:szCs w:val="32"/>
        </w:rPr>
        <w:t xml:space="preserve">                       </w:t>
      </w:r>
    </w:p>
    <w:p>
      <w:pPr>
        <w:snapToGrid w:val="0"/>
        <w:spacing w:line="400" w:lineRule="exact"/>
        <w:outlineLvl w:val="1"/>
        <w:rPr>
          <w:rFonts w:ascii="宋体" w:hAnsi="宋体"/>
          <w:color w:val="auto"/>
        </w:rPr>
      </w:pPr>
      <w:r>
        <w:rPr>
          <w:rFonts w:hint="eastAsia" w:ascii="宋体" w:hAnsi="宋体"/>
          <w:b/>
          <w:color w:val="auto"/>
          <w:szCs w:val="21"/>
        </w:rPr>
        <w:t>致</w:t>
      </w:r>
      <w:r>
        <w:rPr>
          <w:rFonts w:hint="eastAsia" w:ascii="宋体" w:hAnsi="宋体"/>
          <w:color w:val="auto"/>
          <w:szCs w:val="21"/>
        </w:rPr>
        <w:t>：</w:t>
      </w:r>
      <w:r>
        <w:rPr>
          <w:rFonts w:hint="eastAsia" w:ascii="宋体" w:hAnsi="宋体"/>
          <w:color w:val="auto"/>
          <w:szCs w:val="21"/>
          <w:u w:val="single"/>
        </w:rPr>
        <w:t>(采购单位名称)</w:t>
      </w:r>
    </w:p>
    <w:p>
      <w:pPr>
        <w:snapToGrid w:val="0"/>
        <w:spacing w:line="400" w:lineRule="exact"/>
        <w:rPr>
          <w:rFonts w:ascii="宋体" w:hAnsi="宋体"/>
          <w:color w:val="auto"/>
          <w:szCs w:val="21"/>
          <w:u w:val="single"/>
        </w:rPr>
      </w:pPr>
    </w:p>
    <w:p>
      <w:pPr>
        <w:pStyle w:val="24"/>
        <w:spacing w:line="400" w:lineRule="exact"/>
        <w:ind w:firstLine="420" w:firstLineChars="200"/>
        <w:outlineLvl w:val="1"/>
        <w:rPr>
          <w:color w:val="auto"/>
        </w:rPr>
      </w:pPr>
      <w:r>
        <w:rPr>
          <w:rFonts w:hint="eastAsia"/>
          <w:color w:val="auto"/>
        </w:rPr>
        <w:t>我（公司）郑重声明，在参加政府采购活动前3年内在经营活动中没有重大违法记录（重大违法记录是指供应商因违法经营受到刑事处罚或者责令停产停业、吊销许可证或者执照、较大数额罚款等行政处罚）。</w:t>
      </w:r>
    </w:p>
    <w:p>
      <w:pPr>
        <w:snapToGrid w:val="0"/>
        <w:spacing w:line="400" w:lineRule="exact"/>
        <w:ind w:firstLine="420"/>
        <w:rPr>
          <w:rFonts w:ascii="宋体" w:hAnsi="宋体"/>
          <w:color w:val="auto"/>
          <w:szCs w:val="21"/>
        </w:rPr>
      </w:pPr>
    </w:p>
    <w:p>
      <w:pPr>
        <w:snapToGrid w:val="0"/>
        <w:spacing w:line="400" w:lineRule="exact"/>
        <w:ind w:firstLine="420"/>
        <w:rPr>
          <w:rFonts w:ascii="宋体" w:hAnsi="宋体"/>
          <w:color w:val="auto"/>
          <w:szCs w:val="21"/>
        </w:rPr>
      </w:pPr>
    </w:p>
    <w:p>
      <w:pPr>
        <w:snapToGrid w:val="0"/>
        <w:spacing w:line="400" w:lineRule="exact"/>
        <w:ind w:firstLine="4935" w:firstLineChars="2350"/>
        <w:outlineLvl w:val="1"/>
        <w:rPr>
          <w:rFonts w:ascii="宋体" w:hAnsi="宋体"/>
          <w:color w:val="auto"/>
          <w:szCs w:val="21"/>
          <w:u w:val="single"/>
        </w:rPr>
      </w:pPr>
      <w:r>
        <w:rPr>
          <w:rFonts w:hint="eastAsia" w:ascii="宋体" w:hAnsi="宋体"/>
          <w:color w:val="auto"/>
          <w:szCs w:val="21"/>
        </w:rPr>
        <w:t>供应商（公章，自然人除外）：</w:t>
      </w:r>
      <w:r>
        <w:rPr>
          <w:rFonts w:hint="eastAsia" w:ascii="宋体" w:hAnsi="宋体"/>
          <w:color w:val="auto"/>
          <w:szCs w:val="21"/>
          <w:u w:val="single"/>
        </w:rPr>
        <w:t xml:space="preserve">                                         </w:t>
      </w:r>
    </w:p>
    <w:p>
      <w:pPr>
        <w:snapToGrid w:val="0"/>
        <w:spacing w:line="400" w:lineRule="exact"/>
        <w:ind w:firstLine="420"/>
        <w:rPr>
          <w:rFonts w:ascii="宋体" w:hAnsi="宋体"/>
          <w:color w:val="auto"/>
          <w:szCs w:val="21"/>
        </w:rPr>
      </w:pPr>
    </w:p>
    <w:p>
      <w:pPr>
        <w:spacing w:line="340" w:lineRule="exact"/>
        <w:ind w:left="4935" w:leftChars="2350"/>
        <w:outlineLvl w:val="1"/>
        <w:rPr>
          <w:rFonts w:ascii="宋体" w:hAnsi="宋体"/>
          <w:color w:val="auto"/>
          <w:szCs w:val="21"/>
          <w:u w:val="single"/>
        </w:rPr>
      </w:pPr>
      <w:r>
        <w:rPr>
          <w:rFonts w:hint="eastAsia" w:hAnsi="宋体"/>
          <w:color w:val="auto"/>
        </w:rPr>
        <w:t>法定代表人或相应的委托代理人签字或盖章（</w:t>
      </w:r>
      <w:r>
        <w:rPr>
          <w:rFonts w:hint="eastAsia" w:eastAsia="仿宋_GB2312"/>
          <w:color w:val="auto"/>
        </w:rPr>
        <w:t>供应商属自然人的应由自然人签字并加盖指印，供应商若为其他组织形式无法定代表人的应由机构负责人</w:t>
      </w:r>
      <w:r>
        <w:rPr>
          <w:rFonts w:eastAsia="仿宋_GB2312"/>
          <w:color w:val="auto"/>
        </w:rPr>
        <w:t>签字或盖章</w:t>
      </w:r>
      <w:r>
        <w:rPr>
          <w:rFonts w:hint="eastAsia" w:hAnsi="宋体"/>
          <w:color w:val="auto"/>
        </w:rPr>
        <w:t>）：</w:t>
      </w:r>
      <w:r>
        <w:rPr>
          <w:rFonts w:hint="eastAsia" w:ascii="宋体" w:hAnsi="宋体"/>
          <w:color w:val="auto"/>
          <w:szCs w:val="21"/>
          <w:u w:val="single"/>
        </w:rPr>
        <w:t xml:space="preserve">                        </w:t>
      </w:r>
    </w:p>
    <w:p>
      <w:pPr>
        <w:spacing w:line="340" w:lineRule="exact"/>
        <w:ind w:firstLine="420" w:firstLineChars="200"/>
        <w:rPr>
          <w:rFonts w:ascii="宋体" w:hAnsi="宋体"/>
          <w:color w:val="auto"/>
        </w:rPr>
      </w:pPr>
    </w:p>
    <w:p>
      <w:pPr>
        <w:snapToGrid w:val="0"/>
        <w:jc w:val="center"/>
        <w:outlineLvl w:val="1"/>
        <w:rPr>
          <w:rFonts w:ascii="宋体" w:hAnsi="宋体"/>
          <w:color w:val="auto"/>
          <w:sz w:val="24"/>
        </w:rPr>
      </w:pPr>
      <w:r>
        <w:rPr>
          <w:rFonts w:hint="eastAsia" w:ascii="宋体" w:hAnsi="宋体"/>
          <w:color w:val="auto"/>
          <w:sz w:val="24"/>
        </w:rPr>
        <w:t xml:space="preserve">                      日期:_____年___月___日</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kern w:val="0"/>
          <w:sz w:val="24"/>
          <w:u w:val="single"/>
        </w:rPr>
        <w:t xml:space="preserve">                                                    </w:t>
      </w:r>
    </w:p>
    <w:p>
      <w:pPr>
        <w:widowControl/>
        <w:shd w:val="clear" w:color="auto" w:fill="FFFFFF"/>
        <w:spacing w:line="360" w:lineRule="auto"/>
        <w:ind w:firstLine="480"/>
        <w:jc w:val="left"/>
        <w:rPr>
          <w:rFonts w:ascii="宋体" w:hAnsi="宋体" w:cs="宋体"/>
          <w:color w:val="auto"/>
          <w:kern w:val="0"/>
          <w:sz w:val="24"/>
        </w:rPr>
      </w:pPr>
    </w:p>
    <w:p>
      <w:pPr>
        <w:widowControl/>
        <w:shd w:val="clear" w:color="auto" w:fill="FFFFFF"/>
        <w:spacing w:line="360" w:lineRule="auto"/>
        <w:ind w:firstLine="480"/>
        <w:jc w:val="left"/>
        <w:rPr>
          <w:rFonts w:ascii="宋体" w:hAnsi="宋体" w:cs="宋体"/>
          <w:color w:val="auto"/>
          <w:kern w:val="0"/>
          <w:sz w:val="24"/>
        </w:rPr>
      </w:pPr>
    </w:p>
    <w:p>
      <w:pPr>
        <w:widowControl/>
        <w:shd w:val="clear" w:color="auto" w:fill="FFFFFF"/>
        <w:spacing w:line="360" w:lineRule="auto"/>
        <w:ind w:firstLine="480"/>
        <w:jc w:val="left"/>
        <w:rPr>
          <w:rFonts w:ascii="宋体" w:hAnsi="宋体" w:cs="宋体"/>
          <w:color w:val="auto"/>
          <w:kern w:val="0"/>
          <w:sz w:val="24"/>
        </w:rPr>
      </w:pPr>
    </w:p>
    <w:p>
      <w:pPr>
        <w:widowControl/>
        <w:shd w:val="clear" w:color="auto" w:fill="FFFFFF"/>
        <w:spacing w:line="360" w:lineRule="auto"/>
        <w:ind w:firstLine="480"/>
        <w:jc w:val="left"/>
        <w:rPr>
          <w:rFonts w:ascii="宋体" w:hAnsi="宋体" w:cs="宋体"/>
          <w:color w:val="auto"/>
          <w:kern w:val="0"/>
          <w:sz w:val="24"/>
        </w:rPr>
      </w:pPr>
    </w:p>
    <w:p>
      <w:pPr>
        <w:widowControl/>
        <w:jc w:val="left"/>
        <w:rPr>
          <w:rFonts w:ascii="宋体" w:hAnsi="宋体" w:cs="宋体"/>
          <w:color w:val="auto"/>
          <w:kern w:val="0"/>
          <w:sz w:val="24"/>
        </w:rPr>
      </w:pPr>
      <w:r>
        <w:rPr>
          <w:rFonts w:ascii="宋体" w:hAnsi="宋体" w:cs="宋体"/>
          <w:color w:val="auto"/>
          <w:kern w:val="0"/>
          <w:sz w:val="24"/>
        </w:rPr>
        <w:br w:type="page"/>
      </w:r>
    </w:p>
    <w:p>
      <w:pPr>
        <w:ind w:right="-178" w:rightChars="-85" w:firstLine="240" w:firstLineChars="100"/>
        <w:jc w:val="left"/>
        <w:outlineLvl w:val="1"/>
        <w:rPr>
          <w:rFonts w:ascii="宋体" w:hAnsi="宋体"/>
          <w:color w:val="auto"/>
          <w:sz w:val="24"/>
        </w:rPr>
      </w:pPr>
      <w:r>
        <w:rPr>
          <w:rFonts w:hint="eastAsia" w:ascii="宋体" w:hAnsi="宋体"/>
          <w:color w:val="auto"/>
          <w:sz w:val="24"/>
        </w:rPr>
        <w:t xml:space="preserve">附件六 </w:t>
      </w:r>
    </w:p>
    <w:p>
      <w:pPr>
        <w:pStyle w:val="24"/>
        <w:ind w:right="-178" w:rightChars="-85"/>
        <w:jc w:val="center"/>
        <w:outlineLvl w:val="1"/>
        <w:rPr>
          <w:rFonts w:hAnsi="宋体"/>
          <w:b/>
          <w:bCs/>
          <w:color w:val="auto"/>
          <w:sz w:val="28"/>
          <w:szCs w:val="28"/>
        </w:rPr>
      </w:pPr>
      <w:r>
        <w:rPr>
          <w:rFonts w:hint="eastAsia" w:hAnsi="宋体"/>
          <w:b/>
          <w:bCs/>
          <w:color w:val="auto"/>
          <w:sz w:val="28"/>
          <w:szCs w:val="28"/>
        </w:rPr>
        <w:t>商务条款偏离表</w:t>
      </w:r>
    </w:p>
    <w:p>
      <w:pPr>
        <w:pStyle w:val="24"/>
        <w:spacing w:line="400" w:lineRule="exact"/>
        <w:ind w:firstLine="640" w:firstLineChars="200"/>
        <w:outlineLvl w:val="1"/>
        <w:rPr>
          <w:rFonts w:ascii="Times New Roman" w:hAnsi="Times New Roman" w:eastAsia="仿宋_GB2312"/>
          <w:color w:val="auto"/>
          <w:sz w:val="32"/>
          <w:szCs w:val="32"/>
        </w:rPr>
      </w:pPr>
      <w:r>
        <w:rPr>
          <w:rFonts w:ascii="Times New Roman" w:hAnsi="Times New Roman" w:eastAsia="仿宋_GB2312"/>
          <w:color w:val="auto"/>
          <w:sz w:val="32"/>
          <w:szCs w:val="32"/>
        </w:rPr>
        <w:t>请逐条对应第二章“货物需求一览表”中“商务条款”的要求，详细填写相应的具体内容。“偏离说明”一栏应当选择“正偏离”、“负偏离”或“无偏离”进行填写。</w:t>
      </w:r>
    </w:p>
    <w:p>
      <w:pPr>
        <w:pStyle w:val="24"/>
        <w:ind w:firstLine="640" w:firstLineChars="200"/>
        <w:rPr>
          <w:rFonts w:ascii="Times New Roman" w:hAnsi="Times New Roman" w:eastAsia="仿宋_GB2312"/>
          <w:color w:val="auto"/>
          <w:sz w:val="32"/>
          <w:szCs w:val="32"/>
        </w:rPr>
      </w:pPr>
    </w:p>
    <w:tbl>
      <w:tblPr>
        <w:tblStyle w:val="43"/>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pStyle w:val="24"/>
              <w:spacing w:line="340" w:lineRule="exact"/>
              <w:jc w:val="center"/>
              <w:outlineLvl w:val="1"/>
              <w:rPr>
                <w:rFonts w:ascii="Times New Roman" w:hAnsi="Times New Roman" w:eastAsia="仿宋_GB2312"/>
                <w:color w:val="auto"/>
              </w:rPr>
            </w:pPr>
            <w:r>
              <w:rPr>
                <w:rFonts w:ascii="Times New Roman" w:hAnsi="Times New Roman" w:eastAsia="仿宋_GB2312"/>
                <w:color w:val="auto"/>
              </w:rPr>
              <w:t>项号</w:t>
            </w:r>
          </w:p>
        </w:tc>
        <w:tc>
          <w:tcPr>
            <w:tcW w:w="4071" w:type="dxa"/>
            <w:tcBorders>
              <w:top w:val="single" w:color="auto" w:sz="4" w:space="0"/>
              <w:left w:val="single" w:color="auto" w:sz="4" w:space="0"/>
              <w:bottom w:val="single" w:color="auto" w:sz="4" w:space="0"/>
              <w:right w:val="single" w:color="auto" w:sz="4" w:space="0"/>
            </w:tcBorders>
            <w:vAlign w:val="center"/>
          </w:tcPr>
          <w:p>
            <w:pPr>
              <w:pStyle w:val="24"/>
              <w:spacing w:line="340" w:lineRule="exact"/>
              <w:jc w:val="center"/>
              <w:outlineLvl w:val="1"/>
              <w:rPr>
                <w:rFonts w:ascii="Times New Roman" w:hAnsi="Times New Roman" w:eastAsia="仿宋_GB2312"/>
                <w:color w:val="auto"/>
              </w:rPr>
            </w:pPr>
            <w:r>
              <w:rPr>
                <w:rFonts w:hint="eastAsia" w:ascii="Times New Roman" w:hAnsi="Times New Roman" w:eastAsia="仿宋_GB2312"/>
                <w:color w:val="auto"/>
              </w:rPr>
              <w:t>谈判</w:t>
            </w:r>
            <w:r>
              <w:rPr>
                <w:rFonts w:ascii="Times New Roman" w:hAnsi="Times New Roman" w:eastAsia="仿宋_GB2312"/>
                <w:color w:val="auto"/>
              </w:rPr>
              <w:t>文件的商务需求</w:t>
            </w:r>
          </w:p>
        </w:tc>
        <w:tc>
          <w:tcPr>
            <w:tcW w:w="3720" w:type="dxa"/>
            <w:tcBorders>
              <w:top w:val="single" w:color="auto" w:sz="4" w:space="0"/>
              <w:left w:val="single" w:color="auto" w:sz="4" w:space="0"/>
              <w:bottom w:val="single" w:color="auto" w:sz="4" w:space="0"/>
              <w:right w:val="single" w:color="auto" w:sz="4" w:space="0"/>
            </w:tcBorders>
            <w:vAlign w:val="center"/>
          </w:tcPr>
          <w:p>
            <w:pPr>
              <w:pStyle w:val="24"/>
              <w:spacing w:line="340" w:lineRule="exact"/>
              <w:jc w:val="center"/>
              <w:outlineLvl w:val="1"/>
              <w:rPr>
                <w:rFonts w:ascii="Times New Roman" w:hAnsi="Times New Roman" w:eastAsia="仿宋_GB2312"/>
                <w:color w:val="auto"/>
              </w:rPr>
            </w:pPr>
            <w:r>
              <w:rPr>
                <w:rFonts w:hint="eastAsia" w:ascii="Times New Roman" w:hAnsi="Times New Roman" w:eastAsia="仿宋_GB2312"/>
                <w:color w:val="auto"/>
              </w:rPr>
              <w:t>响应</w:t>
            </w:r>
            <w:r>
              <w:rPr>
                <w:rFonts w:ascii="Times New Roman" w:hAnsi="Times New Roman" w:eastAsia="仿宋_GB2312"/>
                <w:color w:val="auto"/>
              </w:rPr>
              <w:t>文件承诺的商务条款</w:t>
            </w:r>
          </w:p>
        </w:tc>
        <w:tc>
          <w:tcPr>
            <w:tcW w:w="1320" w:type="dxa"/>
            <w:tcBorders>
              <w:top w:val="single" w:color="auto" w:sz="4" w:space="0"/>
              <w:left w:val="single" w:color="auto" w:sz="4" w:space="0"/>
              <w:bottom w:val="single" w:color="auto" w:sz="4" w:space="0"/>
              <w:right w:val="single" w:color="auto" w:sz="4" w:space="0"/>
            </w:tcBorders>
            <w:vAlign w:val="center"/>
          </w:tcPr>
          <w:p>
            <w:pPr>
              <w:pStyle w:val="24"/>
              <w:spacing w:line="340" w:lineRule="exact"/>
              <w:jc w:val="center"/>
              <w:outlineLvl w:val="1"/>
              <w:rPr>
                <w:rFonts w:ascii="Times New Roman" w:hAnsi="Times New Roman" w:eastAsia="仿宋_GB2312"/>
                <w:color w:val="auto"/>
              </w:rPr>
            </w:pPr>
            <w:r>
              <w:rPr>
                <w:rFonts w:ascii="Times New Roman" w:hAnsi="Times New Roman" w:eastAsia="仿宋_GB2312"/>
                <w:color w:val="auto"/>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4"/>
              <w:spacing w:line="340" w:lineRule="exact"/>
              <w:outlineLvl w:val="1"/>
              <w:rPr>
                <w:rFonts w:ascii="Times New Roman" w:hAnsi="Times New Roman" w:eastAsia="仿宋_GB2312"/>
                <w:color w:val="auto"/>
              </w:rPr>
            </w:pPr>
            <w:r>
              <w:rPr>
                <w:rFonts w:ascii="Times New Roman" w:hAnsi="Times New Roman" w:eastAsia="仿宋_GB2312"/>
                <w:color w:val="auto"/>
              </w:rPr>
              <w:t>一</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outlineLvl w:val="1"/>
              <w:rPr>
                <w:rFonts w:eastAsia="仿宋_GB2312"/>
                <w:color w:val="auto"/>
                <w:szCs w:val="21"/>
              </w:rPr>
            </w:pPr>
            <w:r>
              <w:rPr>
                <w:rFonts w:eastAsia="仿宋_GB2312"/>
                <w:color w:val="auto"/>
                <w:szCs w:val="21"/>
              </w:rPr>
              <w:t>1  ……</w:t>
            </w:r>
          </w:p>
          <w:p>
            <w:pPr>
              <w:spacing w:line="340" w:lineRule="exact"/>
              <w:outlineLvl w:val="1"/>
              <w:rPr>
                <w:rFonts w:eastAsia="仿宋_GB2312"/>
                <w:color w:val="auto"/>
                <w:szCs w:val="21"/>
              </w:rPr>
            </w:pPr>
            <w:r>
              <w:rPr>
                <w:rFonts w:eastAsia="仿宋_GB2312"/>
                <w:color w:val="auto"/>
                <w:szCs w:val="21"/>
              </w:rPr>
              <w:t>2  ……</w:t>
            </w:r>
          </w:p>
          <w:p>
            <w:pPr>
              <w:spacing w:line="340" w:lineRule="exact"/>
              <w:outlineLvl w:val="1"/>
              <w:rPr>
                <w:rFonts w:eastAsia="仿宋_GB2312"/>
                <w:color w:val="auto"/>
                <w:szCs w:val="21"/>
              </w:rPr>
            </w:pPr>
            <w:r>
              <w:rPr>
                <w:rFonts w:eastAsia="仿宋_GB2312"/>
                <w:color w:val="auto"/>
                <w:szCs w:val="21"/>
              </w:rPr>
              <w:t>3  ……</w:t>
            </w:r>
          </w:p>
          <w:p>
            <w:pPr>
              <w:pStyle w:val="24"/>
              <w:spacing w:line="340" w:lineRule="exact"/>
              <w:outlineLvl w:val="1"/>
              <w:rPr>
                <w:rFonts w:ascii="Times New Roman" w:hAnsi="Times New Roman" w:eastAsia="仿宋_GB2312"/>
                <w:color w:val="auto"/>
              </w:rPr>
            </w:pPr>
            <w:r>
              <w:rPr>
                <w:rFonts w:ascii="Times New Roman" w:hAnsi="Times New Roman" w:eastAsia="仿宋_GB2312"/>
                <w:color w:val="auto"/>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outlineLvl w:val="1"/>
              <w:rPr>
                <w:rFonts w:eastAsia="仿宋_GB2312"/>
                <w:color w:val="auto"/>
                <w:szCs w:val="21"/>
              </w:rPr>
            </w:pPr>
            <w:r>
              <w:rPr>
                <w:rFonts w:eastAsia="仿宋_GB2312"/>
                <w:color w:val="auto"/>
                <w:szCs w:val="21"/>
              </w:rPr>
              <w:t>1  ……</w:t>
            </w:r>
          </w:p>
          <w:p>
            <w:pPr>
              <w:spacing w:line="340" w:lineRule="exact"/>
              <w:outlineLvl w:val="1"/>
              <w:rPr>
                <w:rFonts w:eastAsia="仿宋_GB2312"/>
                <w:color w:val="auto"/>
                <w:szCs w:val="21"/>
              </w:rPr>
            </w:pPr>
            <w:r>
              <w:rPr>
                <w:rFonts w:eastAsia="仿宋_GB2312"/>
                <w:color w:val="auto"/>
                <w:szCs w:val="21"/>
              </w:rPr>
              <w:t>2  ……</w:t>
            </w:r>
          </w:p>
          <w:p>
            <w:pPr>
              <w:spacing w:line="340" w:lineRule="exact"/>
              <w:outlineLvl w:val="1"/>
              <w:rPr>
                <w:rFonts w:eastAsia="仿宋_GB2312"/>
                <w:color w:val="auto"/>
                <w:szCs w:val="21"/>
              </w:rPr>
            </w:pPr>
            <w:r>
              <w:rPr>
                <w:rFonts w:eastAsia="仿宋_GB2312"/>
                <w:color w:val="auto"/>
                <w:szCs w:val="21"/>
              </w:rPr>
              <w:t>3  ……</w:t>
            </w:r>
          </w:p>
          <w:p>
            <w:pPr>
              <w:pStyle w:val="24"/>
              <w:spacing w:line="340" w:lineRule="exact"/>
              <w:outlineLvl w:val="1"/>
              <w:rPr>
                <w:rFonts w:ascii="Times New Roman" w:hAnsi="Times New Roman" w:eastAsia="仿宋_GB2312"/>
                <w:color w:val="auto"/>
              </w:rPr>
            </w:pPr>
            <w:r>
              <w:rPr>
                <w:rFonts w:ascii="Times New Roman" w:hAnsi="Times New Roman" w:eastAsia="仿宋_GB2312"/>
                <w:color w:val="auto"/>
              </w:rPr>
              <w:t>……</w:t>
            </w:r>
          </w:p>
        </w:tc>
        <w:tc>
          <w:tcPr>
            <w:tcW w:w="1320" w:type="dxa"/>
            <w:tcBorders>
              <w:top w:val="single" w:color="auto" w:sz="4" w:space="0"/>
              <w:left w:val="single" w:color="auto" w:sz="4" w:space="0"/>
              <w:bottom w:val="single" w:color="auto" w:sz="4" w:space="0"/>
              <w:right w:val="single" w:color="auto" w:sz="4" w:space="0"/>
            </w:tcBorders>
          </w:tcPr>
          <w:p>
            <w:pPr>
              <w:pStyle w:val="24"/>
              <w:spacing w:line="300" w:lineRule="exact"/>
              <w:outlineLvl w:val="1"/>
              <w:rPr>
                <w:rFonts w:ascii="Times New Roman" w:hAnsi="Times New Roman" w:eastAsia="仿宋_GB2312"/>
                <w:color w:val="auto"/>
              </w:rPr>
            </w:pPr>
            <w:r>
              <w:rPr>
                <w:rFonts w:ascii="Times New Roman" w:hAnsi="Times New Roman" w:eastAsia="仿宋_GB2312"/>
                <w:color w:val="auto"/>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4"/>
              <w:spacing w:line="340" w:lineRule="exact"/>
              <w:outlineLvl w:val="1"/>
              <w:rPr>
                <w:rFonts w:ascii="Times New Roman" w:hAnsi="Times New Roman" w:eastAsia="仿宋_GB2312"/>
                <w:color w:val="auto"/>
              </w:rPr>
            </w:pPr>
            <w:r>
              <w:rPr>
                <w:rFonts w:ascii="Times New Roman" w:hAnsi="Times New Roman" w:eastAsia="仿宋_GB2312"/>
                <w:color w:val="auto"/>
              </w:rPr>
              <w:t>二</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outlineLvl w:val="1"/>
              <w:rPr>
                <w:rFonts w:eastAsia="仿宋_GB2312"/>
                <w:color w:val="auto"/>
                <w:szCs w:val="21"/>
              </w:rPr>
            </w:pPr>
            <w:r>
              <w:rPr>
                <w:rFonts w:eastAsia="仿宋_GB2312"/>
                <w:color w:val="auto"/>
                <w:szCs w:val="21"/>
              </w:rPr>
              <w:t>1  ……</w:t>
            </w:r>
          </w:p>
          <w:p>
            <w:pPr>
              <w:spacing w:line="340" w:lineRule="exact"/>
              <w:outlineLvl w:val="1"/>
              <w:rPr>
                <w:rFonts w:eastAsia="仿宋_GB2312"/>
                <w:color w:val="auto"/>
                <w:szCs w:val="21"/>
              </w:rPr>
            </w:pPr>
            <w:r>
              <w:rPr>
                <w:rFonts w:eastAsia="仿宋_GB2312"/>
                <w:color w:val="auto"/>
                <w:szCs w:val="21"/>
              </w:rPr>
              <w:t>2  ……</w:t>
            </w:r>
          </w:p>
          <w:p>
            <w:pPr>
              <w:spacing w:line="340" w:lineRule="exact"/>
              <w:outlineLvl w:val="1"/>
              <w:rPr>
                <w:rFonts w:eastAsia="仿宋_GB2312"/>
                <w:color w:val="auto"/>
                <w:szCs w:val="21"/>
              </w:rPr>
            </w:pPr>
            <w:r>
              <w:rPr>
                <w:rFonts w:eastAsia="仿宋_GB2312"/>
                <w:color w:val="auto"/>
                <w:szCs w:val="21"/>
              </w:rPr>
              <w:t>3  ……</w:t>
            </w:r>
          </w:p>
          <w:p>
            <w:pPr>
              <w:pStyle w:val="24"/>
              <w:spacing w:line="340" w:lineRule="exact"/>
              <w:outlineLvl w:val="1"/>
              <w:rPr>
                <w:rFonts w:ascii="Times New Roman" w:hAnsi="Times New Roman" w:eastAsia="仿宋_GB2312"/>
                <w:color w:val="auto"/>
              </w:rPr>
            </w:pPr>
            <w:r>
              <w:rPr>
                <w:rFonts w:ascii="Times New Roman" w:hAnsi="Times New Roman" w:eastAsia="仿宋_GB2312"/>
                <w:color w:val="auto"/>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outlineLvl w:val="1"/>
              <w:rPr>
                <w:rFonts w:eastAsia="仿宋_GB2312"/>
                <w:color w:val="auto"/>
                <w:szCs w:val="21"/>
              </w:rPr>
            </w:pPr>
            <w:r>
              <w:rPr>
                <w:rFonts w:eastAsia="仿宋_GB2312"/>
                <w:color w:val="auto"/>
                <w:szCs w:val="21"/>
              </w:rPr>
              <w:t>1  ……</w:t>
            </w:r>
          </w:p>
          <w:p>
            <w:pPr>
              <w:spacing w:line="340" w:lineRule="exact"/>
              <w:outlineLvl w:val="1"/>
              <w:rPr>
                <w:rFonts w:eastAsia="仿宋_GB2312"/>
                <w:color w:val="auto"/>
                <w:szCs w:val="21"/>
              </w:rPr>
            </w:pPr>
            <w:r>
              <w:rPr>
                <w:rFonts w:eastAsia="仿宋_GB2312"/>
                <w:color w:val="auto"/>
                <w:szCs w:val="21"/>
              </w:rPr>
              <w:t>2  ……</w:t>
            </w:r>
          </w:p>
          <w:p>
            <w:pPr>
              <w:spacing w:line="340" w:lineRule="exact"/>
              <w:outlineLvl w:val="1"/>
              <w:rPr>
                <w:rFonts w:eastAsia="仿宋_GB2312"/>
                <w:color w:val="auto"/>
                <w:szCs w:val="21"/>
              </w:rPr>
            </w:pPr>
            <w:r>
              <w:rPr>
                <w:rFonts w:eastAsia="仿宋_GB2312"/>
                <w:color w:val="auto"/>
                <w:szCs w:val="21"/>
              </w:rPr>
              <w:t>3  ……</w:t>
            </w:r>
          </w:p>
          <w:p>
            <w:pPr>
              <w:pStyle w:val="24"/>
              <w:spacing w:line="340" w:lineRule="exact"/>
              <w:outlineLvl w:val="1"/>
              <w:rPr>
                <w:rFonts w:ascii="Times New Roman" w:hAnsi="Times New Roman" w:eastAsia="仿宋_GB2312"/>
                <w:color w:val="auto"/>
              </w:rPr>
            </w:pPr>
            <w:r>
              <w:rPr>
                <w:rFonts w:ascii="Times New Roman" w:hAnsi="Times New Roman" w:eastAsia="仿宋_GB2312"/>
                <w:color w:val="auto"/>
              </w:rPr>
              <w:t>……</w:t>
            </w:r>
          </w:p>
        </w:tc>
        <w:tc>
          <w:tcPr>
            <w:tcW w:w="1320" w:type="dxa"/>
            <w:tcBorders>
              <w:top w:val="single" w:color="auto" w:sz="4" w:space="0"/>
              <w:left w:val="single" w:color="auto" w:sz="4" w:space="0"/>
              <w:bottom w:val="single" w:color="auto" w:sz="4" w:space="0"/>
              <w:right w:val="single" w:color="auto" w:sz="4" w:space="0"/>
            </w:tcBorders>
          </w:tcPr>
          <w:p>
            <w:pPr>
              <w:pStyle w:val="24"/>
              <w:spacing w:line="300" w:lineRule="exact"/>
              <w:outlineLvl w:val="1"/>
              <w:rPr>
                <w:rFonts w:ascii="Times New Roman" w:hAnsi="Times New Roman" w:eastAsia="仿宋_GB2312"/>
                <w:color w:val="auto"/>
              </w:rPr>
            </w:pPr>
            <w:r>
              <w:rPr>
                <w:rFonts w:ascii="Times New Roman" w:hAnsi="Times New Roman" w:eastAsia="仿宋_GB2312"/>
                <w:color w:val="auto"/>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4"/>
              <w:spacing w:line="340" w:lineRule="exact"/>
              <w:outlineLvl w:val="1"/>
              <w:rPr>
                <w:rFonts w:ascii="Times New Roman" w:hAnsi="Times New Roman" w:eastAsia="仿宋_GB2312"/>
                <w:color w:val="auto"/>
              </w:rPr>
            </w:pPr>
            <w:r>
              <w:rPr>
                <w:rFonts w:ascii="Times New Roman" w:hAnsi="Times New Roman" w:eastAsia="仿宋_GB2312"/>
                <w:color w:val="auto"/>
              </w:rPr>
              <w:t>...</w:t>
            </w:r>
          </w:p>
        </w:tc>
        <w:tc>
          <w:tcPr>
            <w:tcW w:w="4071" w:type="dxa"/>
            <w:tcBorders>
              <w:top w:val="single" w:color="auto" w:sz="4" w:space="0"/>
              <w:left w:val="single" w:color="auto" w:sz="4" w:space="0"/>
              <w:bottom w:val="single" w:color="auto" w:sz="4" w:space="0"/>
              <w:right w:val="single" w:color="auto" w:sz="4" w:space="0"/>
            </w:tcBorders>
          </w:tcPr>
          <w:p>
            <w:pPr>
              <w:pStyle w:val="24"/>
              <w:spacing w:line="340" w:lineRule="exact"/>
              <w:outlineLvl w:val="1"/>
              <w:rPr>
                <w:rFonts w:ascii="Times New Roman" w:hAnsi="Times New Roman" w:eastAsia="仿宋_GB2312"/>
                <w:color w:val="auto"/>
              </w:rPr>
            </w:pPr>
            <w:r>
              <w:rPr>
                <w:rFonts w:ascii="Times New Roman" w:hAnsi="Times New Roman" w:eastAsia="仿宋_GB2312"/>
                <w:color w:val="auto"/>
              </w:rPr>
              <w:t>1 ……</w:t>
            </w:r>
          </w:p>
          <w:p>
            <w:pPr>
              <w:pStyle w:val="24"/>
              <w:spacing w:line="340" w:lineRule="exact"/>
              <w:outlineLvl w:val="1"/>
              <w:rPr>
                <w:rFonts w:ascii="Times New Roman" w:hAnsi="Times New Roman" w:eastAsia="仿宋_GB2312"/>
                <w:color w:val="auto"/>
              </w:rPr>
            </w:pPr>
            <w:r>
              <w:rPr>
                <w:rFonts w:ascii="Times New Roman" w:hAnsi="Times New Roman" w:eastAsia="仿宋_GB2312"/>
                <w:color w:val="auto"/>
              </w:rPr>
              <w:t>2.合同签订日期： ……</w:t>
            </w:r>
          </w:p>
          <w:p>
            <w:pPr>
              <w:pStyle w:val="24"/>
              <w:spacing w:line="340" w:lineRule="exact"/>
              <w:outlineLvl w:val="1"/>
              <w:rPr>
                <w:rFonts w:ascii="Times New Roman" w:hAnsi="Times New Roman" w:eastAsia="仿宋_GB2312"/>
                <w:color w:val="auto"/>
              </w:rPr>
            </w:pPr>
            <w:r>
              <w:rPr>
                <w:rFonts w:ascii="Times New Roman" w:hAnsi="Times New Roman" w:eastAsia="仿宋_GB2312"/>
                <w:color w:val="auto"/>
              </w:rPr>
              <w:t>3.交货期：      年    月     日前</w:t>
            </w:r>
          </w:p>
          <w:p>
            <w:pPr>
              <w:pStyle w:val="24"/>
              <w:spacing w:line="340" w:lineRule="exact"/>
              <w:outlineLvl w:val="1"/>
              <w:rPr>
                <w:rFonts w:ascii="Times New Roman" w:hAnsi="Times New Roman" w:eastAsia="仿宋_GB2312"/>
                <w:color w:val="auto"/>
              </w:rPr>
            </w:pPr>
            <w:r>
              <w:rPr>
                <w:rFonts w:ascii="Times New Roman" w:hAnsi="Times New Roman" w:eastAsia="仿宋_GB2312"/>
                <w:color w:val="auto"/>
              </w:rPr>
              <w:t>4.交货地点：南宁市    路    号</w:t>
            </w:r>
          </w:p>
          <w:p>
            <w:pPr>
              <w:pStyle w:val="24"/>
              <w:spacing w:line="340" w:lineRule="exact"/>
              <w:outlineLvl w:val="1"/>
              <w:rPr>
                <w:rFonts w:ascii="Times New Roman" w:hAnsi="Times New Roman" w:eastAsia="仿宋_GB2312"/>
                <w:color w:val="auto"/>
              </w:rPr>
            </w:pPr>
            <w:r>
              <w:rPr>
                <w:rFonts w:ascii="Times New Roman" w:hAnsi="Times New Roman" w:eastAsia="仿宋_GB2312"/>
                <w:color w:val="auto"/>
              </w:rPr>
              <w:t>5 ……</w:t>
            </w:r>
          </w:p>
        </w:tc>
        <w:tc>
          <w:tcPr>
            <w:tcW w:w="3720" w:type="dxa"/>
            <w:tcBorders>
              <w:top w:val="single" w:color="auto" w:sz="4" w:space="0"/>
              <w:left w:val="single" w:color="auto" w:sz="4" w:space="0"/>
              <w:bottom w:val="single" w:color="auto" w:sz="4" w:space="0"/>
              <w:right w:val="single" w:color="auto" w:sz="4" w:space="0"/>
            </w:tcBorders>
          </w:tcPr>
          <w:p>
            <w:pPr>
              <w:pStyle w:val="24"/>
              <w:spacing w:line="340" w:lineRule="exact"/>
              <w:outlineLvl w:val="1"/>
              <w:rPr>
                <w:rFonts w:ascii="Times New Roman" w:hAnsi="Times New Roman" w:eastAsia="仿宋_GB2312"/>
                <w:color w:val="auto"/>
              </w:rPr>
            </w:pPr>
            <w:r>
              <w:rPr>
                <w:rFonts w:ascii="Times New Roman" w:hAnsi="Times New Roman" w:eastAsia="仿宋_GB2312"/>
                <w:color w:val="auto"/>
              </w:rPr>
              <w:t>1 ……</w:t>
            </w:r>
          </w:p>
          <w:p>
            <w:pPr>
              <w:pStyle w:val="24"/>
              <w:spacing w:line="340" w:lineRule="exact"/>
              <w:outlineLvl w:val="1"/>
              <w:rPr>
                <w:rFonts w:ascii="Times New Roman" w:hAnsi="Times New Roman" w:eastAsia="仿宋_GB2312"/>
                <w:color w:val="auto"/>
              </w:rPr>
            </w:pPr>
            <w:r>
              <w:rPr>
                <w:rFonts w:ascii="Times New Roman" w:hAnsi="Times New Roman" w:eastAsia="仿宋_GB2312"/>
                <w:color w:val="auto"/>
              </w:rPr>
              <w:t>2.合同签订日期： ……</w:t>
            </w:r>
          </w:p>
          <w:p>
            <w:pPr>
              <w:pStyle w:val="24"/>
              <w:spacing w:line="340" w:lineRule="exact"/>
              <w:outlineLvl w:val="1"/>
              <w:rPr>
                <w:rFonts w:ascii="Times New Roman" w:hAnsi="Times New Roman" w:eastAsia="仿宋_GB2312"/>
                <w:color w:val="auto"/>
              </w:rPr>
            </w:pPr>
            <w:r>
              <w:rPr>
                <w:rFonts w:ascii="Times New Roman" w:hAnsi="Times New Roman" w:eastAsia="仿宋_GB2312"/>
                <w:color w:val="auto"/>
              </w:rPr>
              <w:t>3.交货期：      年    月     日前</w:t>
            </w:r>
          </w:p>
          <w:p>
            <w:pPr>
              <w:pStyle w:val="24"/>
              <w:spacing w:line="340" w:lineRule="exact"/>
              <w:outlineLvl w:val="1"/>
              <w:rPr>
                <w:rFonts w:ascii="Times New Roman" w:hAnsi="Times New Roman" w:eastAsia="仿宋_GB2312"/>
                <w:color w:val="auto"/>
              </w:rPr>
            </w:pPr>
            <w:r>
              <w:rPr>
                <w:rFonts w:ascii="Times New Roman" w:hAnsi="Times New Roman" w:eastAsia="仿宋_GB2312"/>
                <w:color w:val="auto"/>
              </w:rPr>
              <w:t>4.交货地点：南宁市    路    号</w:t>
            </w:r>
          </w:p>
          <w:p>
            <w:pPr>
              <w:pStyle w:val="24"/>
              <w:spacing w:line="340" w:lineRule="exact"/>
              <w:outlineLvl w:val="1"/>
              <w:rPr>
                <w:rFonts w:ascii="Times New Roman" w:hAnsi="Times New Roman" w:eastAsia="仿宋_GB2312"/>
                <w:color w:val="auto"/>
              </w:rPr>
            </w:pPr>
            <w:r>
              <w:rPr>
                <w:rFonts w:ascii="Times New Roman" w:hAnsi="Times New Roman" w:eastAsia="仿宋_GB2312"/>
                <w:color w:val="auto"/>
              </w:rPr>
              <w:t>5 ……</w:t>
            </w:r>
          </w:p>
        </w:tc>
        <w:tc>
          <w:tcPr>
            <w:tcW w:w="1320" w:type="dxa"/>
            <w:tcBorders>
              <w:top w:val="single" w:color="auto" w:sz="4" w:space="0"/>
              <w:left w:val="single" w:color="auto" w:sz="4" w:space="0"/>
              <w:bottom w:val="single" w:color="auto" w:sz="4" w:space="0"/>
              <w:right w:val="single" w:color="auto" w:sz="4" w:space="0"/>
            </w:tcBorders>
          </w:tcPr>
          <w:p>
            <w:pPr>
              <w:pStyle w:val="24"/>
              <w:spacing w:line="300" w:lineRule="exact"/>
              <w:rPr>
                <w:rFonts w:ascii="Times New Roman" w:hAnsi="Times New Roman" w:eastAsia="仿宋_GB2312"/>
                <w:color w:val="auto"/>
              </w:rPr>
            </w:pPr>
          </w:p>
          <w:p>
            <w:pPr>
              <w:pStyle w:val="24"/>
              <w:spacing w:line="300" w:lineRule="exact"/>
              <w:outlineLvl w:val="1"/>
              <w:rPr>
                <w:rFonts w:ascii="Times New Roman" w:hAnsi="Times New Roman" w:eastAsia="仿宋_GB2312"/>
                <w:color w:val="auto"/>
              </w:rPr>
            </w:pPr>
            <w:r>
              <w:rPr>
                <w:rFonts w:ascii="Times New Roman" w:hAnsi="Times New Roman" w:eastAsia="仿宋_GB2312"/>
                <w:color w:val="auto"/>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pStyle w:val="24"/>
              <w:spacing w:line="340" w:lineRule="exact"/>
              <w:outlineLvl w:val="1"/>
              <w:rPr>
                <w:rFonts w:ascii="Times New Roman" w:hAnsi="Times New Roman" w:eastAsia="仿宋_GB2312"/>
                <w:color w:val="auto"/>
              </w:rPr>
            </w:pPr>
            <w:r>
              <w:rPr>
                <w:rFonts w:ascii="Times New Roman" w:hAnsi="Times New Roman" w:eastAsia="仿宋_GB2312"/>
                <w:color w:val="auto"/>
                <w:u w:val="single"/>
              </w:rPr>
              <w:t>　　</w:t>
            </w:r>
            <w:r>
              <w:rPr>
                <w:rFonts w:ascii="Times New Roman" w:hAnsi="Times New Roman" w:eastAsia="仿宋_GB2312"/>
                <w:color w:val="auto"/>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rPr>
            </w:pPr>
            <w:r>
              <w:rPr>
                <w:rFonts w:hint="eastAsia" w:eastAsia="仿宋_GB2312"/>
                <w:color w:val="auto"/>
              </w:rPr>
              <w:t>供应商</w:t>
            </w:r>
            <w:r>
              <w:rPr>
                <w:rFonts w:eastAsia="仿宋_GB2312"/>
                <w:color w:val="auto"/>
              </w:rPr>
              <w:t>（盖单位公章</w:t>
            </w:r>
            <w:r>
              <w:rPr>
                <w:rFonts w:hint="eastAsia" w:eastAsia="仿宋_GB2312"/>
                <w:color w:val="auto"/>
              </w:rPr>
              <w:t>，自然人除外</w:t>
            </w:r>
            <w:r>
              <w:rPr>
                <w:rFonts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rPr>
            </w:pPr>
            <w:r>
              <w:rPr>
                <w:rFonts w:eastAsia="仿宋_GB2312"/>
                <w:color w:val="auto"/>
              </w:rPr>
              <w:t>法定代表人或其委托代理人（签字或盖章）：</w:t>
            </w:r>
          </w:p>
          <w:p>
            <w:pPr>
              <w:outlineLvl w:val="1"/>
              <w:rPr>
                <w:rFonts w:eastAsia="仿宋_GB2312"/>
                <w:color w:val="auto"/>
              </w:rPr>
            </w:pPr>
            <w:r>
              <w:rPr>
                <w:rFonts w:hint="eastAsia" w:ascii="宋体" w:hAnsi="宋体"/>
                <w:color w:val="auto"/>
                <w:szCs w:val="21"/>
              </w:rPr>
              <w:t>（</w:t>
            </w:r>
            <w:r>
              <w:rPr>
                <w:rFonts w:hint="eastAsia" w:eastAsia="仿宋_GB2312"/>
                <w:color w:val="auto"/>
              </w:rPr>
              <w:t>供应商属自然人的应由自然人签字并加盖指印，供应商若为其他组织形式无法定代表人的应由机构负责人</w:t>
            </w:r>
            <w:r>
              <w:rPr>
                <w:rFonts w:eastAsia="仿宋_GB2312"/>
                <w:color w:val="auto"/>
              </w:rPr>
              <w:t>签字或盖章</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rPr>
            </w:pPr>
            <w:r>
              <w:rPr>
                <w:rFonts w:hint="eastAsia" w:eastAsia="仿宋_GB2312"/>
                <w:color w:val="auto"/>
              </w:rPr>
              <w:t>日期：   年   月   日</w:t>
            </w:r>
          </w:p>
        </w:tc>
      </w:tr>
    </w:tbl>
    <w:p>
      <w:pPr>
        <w:pStyle w:val="24"/>
        <w:outlineLvl w:val="1"/>
        <w:rPr>
          <w:rFonts w:ascii="Times New Roman" w:hAnsi="Times New Roman" w:eastAsia="仿宋_GB2312"/>
          <w:color w:val="auto"/>
          <w:sz w:val="24"/>
          <w:szCs w:val="24"/>
        </w:rPr>
      </w:pPr>
      <w:r>
        <w:rPr>
          <w:rFonts w:ascii="Times New Roman" w:hAnsi="Times New Roman" w:eastAsia="仿宋_GB2312"/>
          <w:color w:val="auto"/>
          <w:sz w:val="24"/>
          <w:szCs w:val="24"/>
        </w:rPr>
        <w:t>注：⑴表格内容均需按要求填写并盖章，不得留空，</w:t>
      </w:r>
      <w:r>
        <w:rPr>
          <w:rFonts w:ascii="Times New Roman" w:hAnsi="Times New Roman" w:eastAsia="仿宋_GB2312"/>
          <w:bCs/>
          <w:color w:val="auto"/>
          <w:sz w:val="24"/>
          <w:szCs w:val="24"/>
        </w:rPr>
        <w:t>否则按投标无效处理</w:t>
      </w:r>
      <w:r>
        <w:rPr>
          <w:rFonts w:ascii="Times New Roman" w:hAnsi="Times New Roman" w:eastAsia="仿宋_GB2312"/>
          <w:color w:val="auto"/>
          <w:sz w:val="24"/>
          <w:szCs w:val="24"/>
        </w:rPr>
        <w:t>。</w:t>
      </w:r>
    </w:p>
    <w:p>
      <w:pPr>
        <w:pStyle w:val="24"/>
        <w:spacing w:line="600" w:lineRule="exact"/>
        <w:ind w:left="719" w:leftChars="228" w:hanging="240" w:hangingChars="100"/>
        <w:outlineLvl w:val="1"/>
        <w:rPr>
          <w:rFonts w:ascii="Times New Roman" w:hAnsi="Times New Roman" w:eastAsia="仿宋_GB2312"/>
          <w:bCs/>
          <w:color w:val="auto"/>
          <w:sz w:val="24"/>
          <w:szCs w:val="24"/>
        </w:rPr>
      </w:pPr>
      <w:r>
        <w:rPr>
          <w:rFonts w:ascii="Times New Roman" w:hAnsi="Times New Roman" w:eastAsia="楷体_GB2312"/>
          <w:bCs/>
          <w:color w:val="auto"/>
          <w:sz w:val="24"/>
          <w:szCs w:val="24"/>
        </w:rPr>
        <w:t>⑵</w:t>
      </w:r>
      <w:r>
        <w:rPr>
          <w:rFonts w:hint="eastAsia" w:ascii="Times New Roman" w:hAnsi="Times New Roman" w:eastAsia="仿宋_GB2312"/>
          <w:bCs/>
          <w:color w:val="auto"/>
          <w:sz w:val="24"/>
          <w:szCs w:val="24"/>
        </w:rPr>
        <w:t>响应</w:t>
      </w:r>
      <w:r>
        <w:rPr>
          <w:rFonts w:ascii="Times New Roman" w:hAnsi="Times New Roman" w:eastAsia="仿宋_GB2312"/>
          <w:bCs/>
          <w:color w:val="auto"/>
          <w:sz w:val="24"/>
          <w:szCs w:val="24"/>
        </w:rPr>
        <w:t>文件</w:t>
      </w:r>
      <w:r>
        <w:rPr>
          <w:rFonts w:hint="eastAsia" w:ascii="Times New Roman" w:hAnsi="Times New Roman" w:eastAsia="仿宋_GB2312"/>
          <w:bCs/>
          <w:color w:val="auto"/>
          <w:sz w:val="24"/>
          <w:szCs w:val="24"/>
        </w:rPr>
        <w:t>需求</w:t>
      </w:r>
      <w:r>
        <w:rPr>
          <w:rFonts w:ascii="Times New Roman" w:hAnsi="Times New Roman" w:eastAsia="仿宋_GB2312"/>
          <w:bCs/>
          <w:color w:val="auto"/>
          <w:sz w:val="24"/>
          <w:szCs w:val="24"/>
        </w:rPr>
        <w:t>小于或大于</w:t>
      </w:r>
      <w:r>
        <w:rPr>
          <w:rFonts w:hint="eastAsia" w:ascii="Times New Roman" w:hAnsi="Times New Roman" w:eastAsia="仿宋_GB2312"/>
          <w:bCs/>
          <w:color w:val="auto"/>
          <w:sz w:val="24"/>
          <w:szCs w:val="24"/>
        </w:rPr>
        <w:t>谈判</w:t>
      </w:r>
      <w:r>
        <w:rPr>
          <w:rFonts w:ascii="Times New Roman" w:hAnsi="Times New Roman" w:eastAsia="仿宋_GB2312"/>
          <w:bCs/>
          <w:color w:val="auto"/>
          <w:sz w:val="24"/>
          <w:szCs w:val="24"/>
        </w:rPr>
        <w:t>文件某个数值标准时，</w:t>
      </w:r>
      <w:r>
        <w:rPr>
          <w:rFonts w:hint="eastAsia" w:ascii="Times New Roman" w:hAnsi="Times New Roman" w:eastAsia="仿宋_GB2312"/>
          <w:bCs/>
          <w:color w:val="auto"/>
          <w:sz w:val="24"/>
          <w:szCs w:val="24"/>
        </w:rPr>
        <w:t>响应</w:t>
      </w:r>
      <w:r>
        <w:rPr>
          <w:rFonts w:ascii="Times New Roman" w:hAnsi="Times New Roman" w:eastAsia="仿宋_GB2312"/>
          <w:bCs/>
          <w:color w:val="auto"/>
          <w:sz w:val="24"/>
          <w:szCs w:val="24"/>
        </w:rPr>
        <w:t>文件</w:t>
      </w:r>
      <w:r>
        <w:rPr>
          <w:rFonts w:hint="eastAsia" w:ascii="Times New Roman" w:hAnsi="Times New Roman" w:eastAsia="仿宋_GB2312"/>
          <w:bCs/>
          <w:color w:val="auto"/>
          <w:sz w:val="24"/>
          <w:szCs w:val="24"/>
        </w:rPr>
        <w:t>不得直接复制谈判文件需求，响应文件对应</w:t>
      </w:r>
      <w:r>
        <w:rPr>
          <w:rFonts w:ascii="Times New Roman" w:hAnsi="Times New Roman" w:eastAsia="仿宋_GB2312"/>
          <w:bCs/>
          <w:color w:val="auto"/>
          <w:sz w:val="24"/>
          <w:szCs w:val="24"/>
        </w:rPr>
        <w:t>内容应当写明</w:t>
      </w:r>
      <w:r>
        <w:rPr>
          <w:rFonts w:hint="eastAsia" w:ascii="Times New Roman" w:hAnsi="Times New Roman" w:eastAsia="仿宋_GB2312"/>
          <w:bCs/>
          <w:color w:val="auto"/>
          <w:sz w:val="24"/>
          <w:szCs w:val="24"/>
        </w:rPr>
        <w:t>竞</w:t>
      </w:r>
      <w:r>
        <w:rPr>
          <w:rFonts w:ascii="Times New Roman" w:hAnsi="Times New Roman" w:eastAsia="仿宋_GB2312"/>
          <w:bCs/>
          <w:color w:val="auto"/>
          <w:sz w:val="24"/>
          <w:szCs w:val="24"/>
        </w:rPr>
        <w:t>标货物具体参数或商务响应的</w:t>
      </w:r>
      <w:r>
        <w:rPr>
          <w:rFonts w:hint="eastAsia" w:ascii="Times New Roman" w:hAnsi="Times New Roman" w:eastAsia="仿宋_GB2312"/>
          <w:bCs/>
          <w:color w:val="auto"/>
          <w:sz w:val="24"/>
          <w:szCs w:val="24"/>
        </w:rPr>
        <w:t>实际</w:t>
      </w:r>
      <w:r>
        <w:rPr>
          <w:rFonts w:ascii="Times New Roman" w:hAnsi="Times New Roman" w:eastAsia="仿宋_GB2312"/>
          <w:bCs/>
          <w:color w:val="auto"/>
          <w:sz w:val="24"/>
          <w:szCs w:val="24"/>
        </w:rPr>
        <w:t>数值，否则按</w:t>
      </w:r>
      <w:r>
        <w:rPr>
          <w:rFonts w:hint="eastAsia" w:ascii="Times New Roman" w:hAnsi="Times New Roman" w:eastAsia="仿宋_GB2312"/>
          <w:bCs/>
          <w:color w:val="auto"/>
          <w:sz w:val="24"/>
          <w:szCs w:val="24"/>
        </w:rPr>
        <w:t>竞</w:t>
      </w:r>
      <w:r>
        <w:rPr>
          <w:rFonts w:ascii="Times New Roman" w:hAnsi="Times New Roman" w:eastAsia="仿宋_GB2312"/>
          <w:bCs/>
          <w:color w:val="auto"/>
          <w:sz w:val="24"/>
          <w:szCs w:val="24"/>
        </w:rPr>
        <w:t>标无效处理。</w:t>
      </w:r>
    </w:p>
    <w:p>
      <w:pPr>
        <w:pStyle w:val="24"/>
        <w:spacing w:line="600" w:lineRule="exact"/>
        <w:ind w:left="719" w:leftChars="228" w:hanging="240" w:hangingChars="100"/>
        <w:outlineLvl w:val="1"/>
        <w:rPr>
          <w:rFonts w:ascii="Times New Roman" w:hAnsi="Times New Roman" w:eastAsia="仿宋_GB2312"/>
          <w:bCs/>
          <w:color w:val="auto"/>
          <w:sz w:val="24"/>
          <w:szCs w:val="24"/>
        </w:rPr>
      </w:pPr>
      <w:r>
        <w:rPr>
          <w:rFonts w:ascii="Times New Roman" w:hAnsi="Times New Roman" w:eastAsia="仿宋_GB2312"/>
          <w:bCs/>
          <w:color w:val="auto"/>
          <w:sz w:val="24"/>
          <w:szCs w:val="24"/>
        </w:rPr>
        <w:t>⑶当</w:t>
      </w:r>
      <w:r>
        <w:rPr>
          <w:rFonts w:hint="eastAsia" w:ascii="Times New Roman" w:hAnsi="Times New Roman" w:eastAsia="仿宋_GB2312"/>
          <w:bCs/>
          <w:color w:val="auto"/>
          <w:sz w:val="24"/>
          <w:szCs w:val="24"/>
        </w:rPr>
        <w:t>响应</w:t>
      </w:r>
      <w:r>
        <w:rPr>
          <w:rFonts w:ascii="Times New Roman" w:hAnsi="Times New Roman" w:eastAsia="仿宋_GB2312"/>
          <w:bCs/>
          <w:color w:val="auto"/>
          <w:sz w:val="24"/>
          <w:szCs w:val="24"/>
        </w:rPr>
        <w:t>文件的技术参数或商务内容低于</w:t>
      </w:r>
      <w:r>
        <w:rPr>
          <w:rFonts w:hint="eastAsia" w:ascii="Times New Roman" w:hAnsi="Times New Roman" w:eastAsia="仿宋_GB2312"/>
          <w:bCs/>
          <w:color w:val="auto"/>
          <w:sz w:val="24"/>
          <w:szCs w:val="24"/>
        </w:rPr>
        <w:t>谈判</w:t>
      </w:r>
      <w:r>
        <w:rPr>
          <w:rFonts w:ascii="Times New Roman" w:hAnsi="Times New Roman" w:eastAsia="仿宋_GB2312"/>
          <w:bCs/>
          <w:color w:val="auto"/>
          <w:sz w:val="24"/>
          <w:szCs w:val="24"/>
        </w:rPr>
        <w:t>文件要求时，</w:t>
      </w:r>
      <w:r>
        <w:rPr>
          <w:rFonts w:hint="eastAsia" w:ascii="Times New Roman" w:hAnsi="Times New Roman" w:eastAsia="仿宋_GB2312"/>
          <w:bCs/>
          <w:color w:val="auto"/>
          <w:sz w:val="24"/>
          <w:szCs w:val="24"/>
        </w:rPr>
        <w:t>供应商</w:t>
      </w:r>
      <w:r>
        <w:rPr>
          <w:rFonts w:ascii="Times New Roman" w:hAnsi="Times New Roman" w:eastAsia="仿宋_GB2312"/>
          <w:bCs/>
          <w:color w:val="auto"/>
          <w:sz w:val="24"/>
          <w:szCs w:val="24"/>
        </w:rPr>
        <w:t>应当如实写明“负偏离”，否则视为虚假应标。</w:t>
      </w:r>
    </w:p>
    <w:p>
      <w:pPr>
        <w:rPr>
          <w:rFonts w:ascii="宋体" w:hAnsi="宋体"/>
          <w:color w:val="auto"/>
          <w:sz w:val="24"/>
        </w:rPr>
      </w:pPr>
    </w:p>
    <w:p>
      <w:pPr>
        <w:rPr>
          <w:rFonts w:ascii="宋体" w:hAnsi="宋体"/>
          <w:color w:val="auto"/>
          <w:sz w:val="24"/>
        </w:rPr>
      </w:pPr>
    </w:p>
    <w:p>
      <w:pPr>
        <w:rPr>
          <w:rFonts w:ascii="宋体" w:hAnsi="宋体"/>
          <w:color w:val="auto"/>
          <w:sz w:val="24"/>
        </w:rPr>
      </w:pPr>
    </w:p>
    <w:p>
      <w:pPr>
        <w:outlineLvl w:val="1"/>
        <w:rPr>
          <w:rFonts w:ascii="宋体" w:hAnsi="宋体"/>
          <w:color w:val="auto"/>
          <w:sz w:val="24"/>
        </w:rPr>
      </w:pPr>
      <w:r>
        <w:rPr>
          <w:rFonts w:hint="eastAsia" w:ascii="宋体" w:hAnsi="宋体"/>
          <w:color w:val="auto"/>
          <w:sz w:val="24"/>
        </w:rPr>
        <w:t>附件七</w:t>
      </w:r>
    </w:p>
    <w:p>
      <w:pPr>
        <w:jc w:val="center"/>
        <w:outlineLvl w:val="1"/>
        <w:rPr>
          <w:rFonts w:ascii="宋体" w:hAnsi="宋体"/>
          <w:b/>
          <w:color w:val="auto"/>
          <w:sz w:val="32"/>
          <w:szCs w:val="32"/>
        </w:rPr>
      </w:pPr>
      <w:r>
        <w:rPr>
          <w:rFonts w:hint="eastAsia" w:ascii="宋体" w:hAnsi="宋体"/>
          <w:b/>
          <w:color w:val="auto"/>
          <w:sz w:val="32"/>
          <w:szCs w:val="32"/>
        </w:rPr>
        <w:t>竞标产品技术资料表</w:t>
      </w:r>
    </w:p>
    <w:p>
      <w:pPr>
        <w:outlineLvl w:val="1"/>
        <w:rPr>
          <w:rFonts w:ascii="宋体" w:hAnsi="宋体"/>
          <w:color w:val="auto"/>
          <w:sz w:val="24"/>
          <w:u w:val="single"/>
        </w:rPr>
      </w:pPr>
      <w:r>
        <w:rPr>
          <w:rFonts w:hint="eastAsia" w:ascii="宋体" w:hAnsi="宋体"/>
          <w:color w:val="auto"/>
          <w:sz w:val="24"/>
        </w:rPr>
        <w:t>采购项目编号:</w:t>
      </w:r>
      <w:r>
        <w:rPr>
          <w:rFonts w:hint="eastAsia" w:ascii="宋体" w:hAnsi="宋体"/>
          <w:color w:val="auto"/>
          <w:sz w:val="24"/>
          <w:u w:val="single"/>
        </w:rPr>
        <w:t xml:space="preserve">                 </w:t>
      </w:r>
    </w:p>
    <w:p>
      <w:pPr>
        <w:outlineLvl w:val="1"/>
        <w:rPr>
          <w:rFonts w:ascii="宋体" w:hAnsi="宋体"/>
          <w:color w:val="auto"/>
          <w:sz w:val="24"/>
        </w:rPr>
      </w:pPr>
      <w:r>
        <w:rPr>
          <w:rFonts w:hint="eastAsia" w:ascii="宋体" w:hAnsi="宋体"/>
          <w:color w:val="auto"/>
          <w:sz w:val="24"/>
        </w:rPr>
        <w:t>采购项目名称:</w:t>
      </w:r>
      <w:r>
        <w:rPr>
          <w:rFonts w:hint="eastAsia" w:ascii="宋体" w:hAnsi="宋体"/>
          <w:color w:val="auto"/>
          <w:sz w:val="24"/>
          <w:u w:val="single"/>
        </w:rPr>
        <w:t xml:space="preserve">                 </w:t>
      </w:r>
      <w:r>
        <w:rPr>
          <w:rFonts w:hint="eastAsia" w:ascii="宋体" w:hAnsi="宋体"/>
          <w:color w:val="auto"/>
          <w:sz w:val="24"/>
        </w:rPr>
        <w:t xml:space="preserve"> </w:t>
      </w:r>
    </w:p>
    <w:p>
      <w:pPr>
        <w:outlineLvl w:val="1"/>
        <w:rPr>
          <w:rFonts w:ascii="宋体" w:hAnsi="宋体"/>
          <w:color w:val="auto"/>
          <w:sz w:val="24"/>
        </w:rPr>
      </w:pPr>
      <w:r>
        <w:rPr>
          <w:rFonts w:ascii="宋体" w:hAnsi="宋体"/>
          <w:color w:val="auto"/>
          <w:sz w:val="24"/>
        </w:rPr>
        <w:t>请根据所投产品的实际技术参数，逐条对第二章“货物需求一览表”中的技术参数要求详细填写相应的具体内容。“偏离说明”一栏应当选择“正偏离”、“负偏离”或“无偏离”进行填写。</w:t>
      </w:r>
    </w:p>
    <w:tbl>
      <w:tblPr>
        <w:tblStyle w:val="43"/>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76"/>
        <w:gridCol w:w="686"/>
        <w:gridCol w:w="1471"/>
        <w:gridCol w:w="949"/>
        <w:gridCol w:w="686"/>
        <w:gridCol w:w="1555"/>
        <w:gridCol w:w="1303"/>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592" w:type="dxa"/>
            <w:vMerge w:val="restart"/>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szCs w:val="21"/>
              </w:rPr>
            </w:pPr>
            <w:r>
              <w:rPr>
                <w:rFonts w:eastAsia="仿宋_GB2312"/>
                <w:color w:val="auto"/>
                <w:sz w:val="32"/>
                <w:szCs w:val="32"/>
              </w:rPr>
              <w:t xml:space="preserve"> </w:t>
            </w:r>
            <w:r>
              <w:rPr>
                <w:rFonts w:eastAsia="仿宋_GB2312"/>
                <w:color w:val="auto"/>
                <w:szCs w:val="21"/>
              </w:rPr>
              <w:t>项号</w:t>
            </w:r>
          </w:p>
        </w:tc>
        <w:tc>
          <w:tcPr>
            <w:tcW w:w="3333" w:type="dxa"/>
            <w:gridSpan w:val="3"/>
            <w:tcBorders>
              <w:top w:val="single" w:color="auto" w:sz="4" w:space="0"/>
              <w:left w:val="single" w:color="auto" w:sz="4" w:space="0"/>
              <w:bottom w:val="single" w:color="auto" w:sz="4" w:space="0"/>
              <w:right w:val="single" w:color="auto" w:sz="4" w:space="0"/>
            </w:tcBorders>
            <w:vAlign w:val="center"/>
          </w:tcPr>
          <w:p>
            <w:pPr>
              <w:jc w:val="center"/>
              <w:outlineLvl w:val="1"/>
              <w:rPr>
                <w:rFonts w:eastAsia="仿宋_GB2312"/>
                <w:color w:val="auto"/>
                <w:szCs w:val="21"/>
              </w:rPr>
            </w:pPr>
            <w:r>
              <w:rPr>
                <w:rFonts w:hint="eastAsia" w:eastAsia="仿宋_GB2312"/>
                <w:color w:val="auto"/>
                <w:szCs w:val="21"/>
              </w:rPr>
              <w:t>谈判</w:t>
            </w:r>
            <w:r>
              <w:rPr>
                <w:rFonts w:eastAsia="仿宋_GB2312"/>
                <w:color w:val="auto"/>
                <w:szCs w:val="21"/>
              </w:rPr>
              <w:t>文件需求</w:t>
            </w:r>
          </w:p>
        </w:tc>
        <w:tc>
          <w:tcPr>
            <w:tcW w:w="4493" w:type="dxa"/>
            <w:gridSpan w:val="4"/>
            <w:tcBorders>
              <w:top w:val="single" w:color="auto" w:sz="4" w:space="0"/>
              <w:left w:val="single" w:color="auto" w:sz="4" w:space="0"/>
              <w:bottom w:val="single" w:color="auto" w:sz="4" w:space="0"/>
              <w:right w:val="single" w:color="auto" w:sz="4" w:space="0"/>
            </w:tcBorders>
            <w:vAlign w:val="center"/>
          </w:tcPr>
          <w:p>
            <w:pPr>
              <w:jc w:val="center"/>
              <w:outlineLvl w:val="1"/>
              <w:rPr>
                <w:rFonts w:eastAsia="仿宋_GB2312"/>
                <w:color w:val="auto"/>
                <w:szCs w:val="21"/>
              </w:rPr>
            </w:pPr>
            <w:r>
              <w:rPr>
                <w:rFonts w:hint="eastAsia" w:eastAsia="仿宋_GB2312"/>
                <w:color w:val="auto"/>
                <w:szCs w:val="21"/>
              </w:rPr>
              <w:t>响应</w:t>
            </w:r>
            <w:r>
              <w:rPr>
                <w:rFonts w:eastAsia="仿宋_GB2312"/>
                <w:color w:val="auto"/>
                <w:szCs w:val="21"/>
              </w:rPr>
              <w:t>文件承诺</w:t>
            </w:r>
          </w:p>
        </w:tc>
        <w:tc>
          <w:tcPr>
            <w:tcW w:w="1090" w:type="dxa"/>
            <w:vMerge w:val="restart"/>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szCs w:val="21"/>
              </w:rPr>
            </w:pPr>
            <w:r>
              <w:rPr>
                <w:rFonts w:eastAsia="仿宋_GB2312"/>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5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szCs w:val="21"/>
              </w:rPr>
            </w:pPr>
            <w:r>
              <w:rPr>
                <w:rFonts w:eastAsia="仿宋_GB2312"/>
                <w:color w:val="auto"/>
                <w:szCs w:val="21"/>
              </w:rPr>
              <w:t>货物名称</w:t>
            </w:r>
          </w:p>
        </w:tc>
        <w:tc>
          <w:tcPr>
            <w:tcW w:w="686" w:type="dxa"/>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szCs w:val="21"/>
              </w:rPr>
            </w:pPr>
            <w:r>
              <w:rPr>
                <w:rFonts w:eastAsia="仿宋_GB2312"/>
                <w:color w:val="auto"/>
                <w:szCs w:val="21"/>
              </w:rPr>
              <w:t>数量</w:t>
            </w:r>
          </w:p>
        </w:tc>
        <w:tc>
          <w:tcPr>
            <w:tcW w:w="1471" w:type="dxa"/>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szCs w:val="21"/>
              </w:rPr>
            </w:pPr>
            <w:r>
              <w:rPr>
                <w:rFonts w:eastAsia="仿宋_GB2312"/>
                <w:color w:val="auto"/>
                <w:szCs w:val="21"/>
              </w:rPr>
              <w:t>技术参数要求</w:t>
            </w:r>
          </w:p>
        </w:tc>
        <w:tc>
          <w:tcPr>
            <w:tcW w:w="949" w:type="dxa"/>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szCs w:val="21"/>
              </w:rPr>
            </w:pPr>
            <w:r>
              <w:rPr>
                <w:rFonts w:eastAsia="仿宋_GB2312"/>
                <w:color w:val="auto"/>
                <w:szCs w:val="21"/>
              </w:rPr>
              <w:t>货物名称</w:t>
            </w:r>
          </w:p>
        </w:tc>
        <w:tc>
          <w:tcPr>
            <w:tcW w:w="686" w:type="dxa"/>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szCs w:val="21"/>
              </w:rPr>
            </w:pPr>
            <w:r>
              <w:rPr>
                <w:rFonts w:eastAsia="仿宋_GB2312"/>
                <w:color w:val="auto"/>
                <w:szCs w:val="21"/>
              </w:rPr>
              <w:t>数量</w:t>
            </w:r>
          </w:p>
        </w:tc>
        <w:tc>
          <w:tcPr>
            <w:tcW w:w="1555" w:type="dxa"/>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szCs w:val="21"/>
              </w:rPr>
            </w:pPr>
            <w:r>
              <w:rPr>
                <w:rFonts w:eastAsia="仿宋_GB2312"/>
                <w:color w:val="auto"/>
                <w:szCs w:val="21"/>
              </w:rPr>
              <w:t>品牌、厂家、型号、规格</w:t>
            </w:r>
          </w:p>
        </w:tc>
        <w:tc>
          <w:tcPr>
            <w:tcW w:w="1303" w:type="dxa"/>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szCs w:val="21"/>
              </w:rPr>
            </w:pPr>
            <w:r>
              <w:rPr>
                <w:rFonts w:eastAsia="仿宋_GB2312"/>
                <w:color w:val="auto"/>
                <w:szCs w:val="21"/>
              </w:rPr>
              <w:t>技术参数</w:t>
            </w: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szCs w:val="21"/>
              </w:rPr>
            </w:pPr>
            <w:r>
              <w:rPr>
                <w:rFonts w:eastAsia="仿宋_GB2312"/>
                <w:color w:val="auto"/>
                <w:szCs w:val="21"/>
              </w:rPr>
              <w:t>1</w:t>
            </w:r>
          </w:p>
        </w:tc>
        <w:tc>
          <w:tcPr>
            <w:tcW w:w="1176" w:type="dxa"/>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szCs w:val="21"/>
              </w:rPr>
            </w:pPr>
            <w:r>
              <w:rPr>
                <w:rFonts w:eastAsia="仿宋_GB2312"/>
                <w:color w:val="auto"/>
                <w:szCs w:val="21"/>
              </w:rPr>
              <w:t>……</w:t>
            </w:r>
          </w:p>
        </w:tc>
        <w:tc>
          <w:tcPr>
            <w:tcW w:w="686" w:type="dxa"/>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szCs w:val="21"/>
              </w:rPr>
            </w:pPr>
            <w:r>
              <w:rPr>
                <w:rFonts w:eastAsia="仿宋_GB2312"/>
                <w:color w:val="auto"/>
                <w:szCs w:val="21"/>
              </w:rPr>
              <w:t>…</w:t>
            </w:r>
          </w:p>
        </w:tc>
        <w:tc>
          <w:tcPr>
            <w:tcW w:w="1471" w:type="dxa"/>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szCs w:val="21"/>
              </w:rPr>
            </w:pPr>
            <w:r>
              <w:rPr>
                <w:rFonts w:eastAsia="仿宋_GB2312"/>
                <w:color w:val="auto"/>
                <w:szCs w:val="21"/>
              </w:rPr>
              <w:t>1  ……</w:t>
            </w:r>
          </w:p>
          <w:p>
            <w:pPr>
              <w:outlineLvl w:val="1"/>
              <w:rPr>
                <w:rFonts w:eastAsia="仿宋_GB2312"/>
                <w:color w:val="auto"/>
                <w:szCs w:val="21"/>
              </w:rPr>
            </w:pPr>
            <w:r>
              <w:rPr>
                <w:rFonts w:eastAsia="仿宋_GB2312"/>
                <w:color w:val="auto"/>
                <w:szCs w:val="21"/>
              </w:rPr>
              <w:t>2  ……</w:t>
            </w:r>
          </w:p>
          <w:p>
            <w:pPr>
              <w:outlineLvl w:val="1"/>
              <w:rPr>
                <w:rFonts w:eastAsia="仿宋_GB2312"/>
                <w:color w:val="auto"/>
                <w:szCs w:val="21"/>
              </w:rPr>
            </w:pPr>
            <w:r>
              <w:rPr>
                <w:rFonts w:eastAsia="仿宋_GB2312"/>
                <w:color w:val="auto"/>
                <w:szCs w:val="21"/>
              </w:rPr>
              <w:t>3  ……</w:t>
            </w:r>
          </w:p>
          <w:p>
            <w:pPr>
              <w:outlineLvl w:val="1"/>
              <w:rPr>
                <w:rFonts w:eastAsia="仿宋_GB2312"/>
                <w:color w:val="auto"/>
                <w:szCs w:val="21"/>
              </w:rPr>
            </w:pPr>
            <w:r>
              <w:rPr>
                <w:rFonts w:eastAsia="仿宋_GB2312"/>
                <w:color w:val="auto"/>
                <w:szCs w:val="21"/>
              </w:rPr>
              <w:t>……</w:t>
            </w:r>
          </w:p>
        </w:tc>
        <w:tc>
          <w:tcPr>
            <w:tcW w:w="949" w:type="dxa"/>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szCs w:val="21"/>
              </w:rPr>
            </w:pPr>
            <w:r>
              <w:rPr>
                <w:rFonts w:eastAsia="仿宋_GB2312"/>
                <w:color w:val="auto"/>
                <w:szCs w:val="21"/>
              </w:rPr>
              <w:t>……</w:t>
            </w:r>
          </w:p>
        </w:tc>
        <w:tc>
          <w:tcPr>
            <w:tcW w:w="686" w:type="dxa"/>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szCs w:val="21"/>
              </w:rPr>
            </w:pPr>
            <w:r>
              <w:rPr>
                <w:rFonts w:eastAsia="仿宋_GB2312"/>
                <w:color w:val="auto"/>
                <w:szCs w:val="21"/>
              </w:rPr>
              <w:t>…</w:t>
            </w:r>
          </w:p>
        </w:tc>
        <w:tc>
          <w:tcPr>
            <w:tcW w:w="1555" w:type="dxa"/>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szCs w:val="21"/>
              </w:rPr>
            </w:pPr>
            <w:r>
              <w:rPr>
                <w:rFonts w:eastAsia="仿宋_GB2312"/>
                <w:color w:val="auto"/>
                <w:szCs w:val="21"/>
              </w:rPr>
              <w:t>……</w:t>
            </w:r>
          </w:p>
        </w:tc>
        <w:tc>
          <w:tcPr>
            <w:tcW w:w="1303" w:type="dxa"/>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szCs w:val="21"/>
              </w:rPr>
            </w:pPr>
            <w:r>
              <w:rPr>
                <w:rFonts w:eastAsia="仿宋_GB2312"/>
                <w:color w:val="auto"/>
                <w:szCs w:val="21"/>
              </w:rPr>
              <w:t>1  ……</w:t>
            </w:r>
          </w:p>
          <w:p>
            <w:pPr>
              <w:outlineLvl w:val="1"/>
              <w:rPr>
                <w:rFonts w:eastAsia="仿宋_GB2312"/>
                <w:color w:val="auto"/>
                <w:szCs w:val="21"/>
              </w:rPr>
            </w:pPr>
            <w:r>
              <w:rPr>
                <w:rFonts w:eastAsia="仿宋_GB2312"/>
                <w:color w:val="auto"/>
                <w:szCs w:val="21"/>
              </w:rPr>
              <w:t>2  ……</w:t>
            </w:r>
          </w:p>
          <w:p>
            <w:pPr>
              <w:outlineLvl w:val="1"/>
              <w:rPr>
                <w:rFonts w:eastAsia="仿宋_GB2312"/>
                <w:color w:val="auto"/>
                <w:szCs w:val="21"/>
              </w:rPr>
            </w:pPr>
            <w:r>
              <w:rPr>
                <w:rFonts w:eastAsia="仿宋_GB2312"/>
                <w:color w:val="auto"/>
                <w:szCs w:val="21"/>
              </w:rPr>
              <w:t>3  ……</w:t>
            </w:r>
          </w:p>
          <w:p>
            <w:pPr>
              <w:outlineLvl w:val="1"/>
              <w:rPr>
                <w:rFonts w:eastAsia="仿宋_GB2312"/>
                <w:color w:val="auto"/>
                <w:szCs w:val="21"/>
              </w:rPr>
            </w:pPr>
            <w:r>
              <w:rPr>
                <w:rFonts w:eastAsia="仿宋_GB2312"/>
                <w:color w:val="auto"/>
                <w:szCs w:val="21"/>
              </w:rPr>
              <w:t>……</w:t>
            </w:r>
          </w:p>
        </w:tc>
        <w:tc>
          <w:tcPr>
            <w:tcW w:w="1090" w:type="dxa"/>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szCs w:val="21"/>
              </w:rPr>
            </w:pPr>
            <w:r>
              <w:rPr>
                <w:rFonts w:eastAsia="仿宋_GB2312"/>
                <w:color w:val="auto"/>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szCs w:val="21"/>
              </w:rPr>
            </w:pPr>
            <w:r>
              <w:rPr>
                <w:rFonts w:eastAsia="仿宋_GB2312"/>
                <w:color w:val="auto"/>
                <w:szCs w:val="21"/>
              </w:rPr>
              <w:t>2</w:t>
            </w:r>
          </w:p>
        </w:tc>
        <w:tc>
          <w:tcPr>
            <w:tcW w:w="1176" w:type="dxa"/>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szCs w:val="21"/>
              </w:rPr>
            </w:pPr>
            <w:r>
              <w:rPr>
                <w:rFonts w:eastAsia="仿宋_GB2312"/>
                <w:color w:val="auto"/>
                <w:szCs w:val="21"/>
              </w:rPr>
              <w:t>……</w:t>
            </w:r>
          </w:p>
        </w:tc>
        <w:tc>
          <w:tcPr>
            <w:tcW w:w="686" w:type="dxa"/>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szCs w:val="21"/>
              </w:rPr>
            </w:pPr>
            <w:r>
              <w:rPr>
                <w:rFonts w:eastAsia="仿宋_GB2312"/>
                <w:color w:val="auto"/>
                <w:szCs w:val="21"/>
              </w:rPr>
              <w:t>…</w:t>
            </w:r>
          </w:p>
        </w:tc>
        <w:tc>
          <w:tcPr>
            <w:tcW w:w="1471" w:type="dxa"/>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szCs w:val="21"/>
              </w:rPr>
            </w:pPr>
            <w:r>
              <w:rPr>
                <w:rFonts w:eastAsia="仿宋_GB2312"/>
                <w:color w:val="auto"/>
                <w:szCs w:val="21"/>
              </w:rPr>
              <w:t>1  ……</w:t>
            </w:r>
          </w:p>
          <w:p>
            <w:pPr>
              <w:outlineLvl w:val="1"/>
              <w:rPr>
                <w:rFonts w:eastAsia="仿宋_GB2312"/>
                <w:color w:val="auto"/>
                <w:szCs w:val="21"/>
              </w:rPr>
            </w:pPr>
            <w:r>
              <w:rPr>
                <w:rFonts w:eastAsia="仿宋_GB2312"/>
                <w:color w:val="auto"/>
                <w:szCs w:val="21"/>
              </w:rPr>
              <w:t>2  ……</w:t>
            </w:r>
          </w:p>
          <w:p>
            <w:pPr>
              <w:outlineLvl w:val="1"/>
              <w:rPr>
                <w:rFonts w:eastAsia="仿宋_GB2312"/>
                <w:color w:val="auto"/>
                <w:szCs w:val="21"/>
              </w:rPr>
            </w:pPr>
            <w:r>
              <w:rPr>
                <w:rFonts w:eastAsia="仿宋_GB2312"/>
                <w:color w:val="auto"/>
                <w:szCs w:val="21"/>
              </w:rPr>
              <w:t>3  ……</w:t>
            </w:r>
          </w:p>
          <w:p>
            <w:pPr>
              <w:outlineLvl w:val="1"/>
              <w:rPr>
                <w:rFonts w:eastAsia="仿宋_GB2312"/>
                <w:color w:val="auto"/>
                <w:szCs w:val="21"/>
              </w:rPr>
            </w:pPr>
            <w:r>
              <w:rPr>
                <w:rFonts w:eastAsia="仿宋_GB2312"/>
                <w:color w:val="auto"/>
                <w:szCs w:val="21"/>
              </w:rPr>
              <w:t>……</w:t>
            </w:r>
          </w:p>
        </w:tc>
        <w:tc>
          <w:tcPr>
            <w:tcW w:w="949" w:type="dxa"/>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szCs w:val="21"/>
              </w:rPr>
            </w:pPr>
            <w:r>
              <w:rPr>
                <w:rFonts w:eastAsia="仿宋_GB2312"/>
                <w:color w:val="auto"/>
                <w:szCs w:val="21"/>
              </w:rPr>
              <w:t>……</w:t>
            </w:r>
          </w:p>
        </w:tc>
        <w:tc>
          <w:tcPr>
            <w:tcW w:w="686" w:type="dxa"/>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szCs w:val="21"/>
              </w:rPr>
            </w:pPr>
            <w:r>
              <w:rPr>
                <w:rFonts w:eastAsia="仿宋_GB2312"/>
                <w:color w:val="auto"/>
                <w:szCs w:val="21"/>
              </w:rPr>
              <w:t>…</w:t>
            </w:r>
          </w:p>
        </w:tc>
        <w:tc>
          <w:tcPr>
            <w:tcW w:w="1555" w:type="dxa"/>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szCs w:val="21"/>
              </w:rPr>
            </w:pPr>
            <w:r>
              <w:rPr>
                <w:rFonts w:eastAsia="仿宋_GB2312"/>
                <w:color w:val="auto"/>
                <w:szCs w:val="21"/>
              </w:rPr>
              <w:t>……</w:t>
            </w:r>
          </w:p>
        </w:tc>
        <w:tc>
          <w:tcPr>
            <w:tcW w:w="1303" w:type="dxa"/>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szCs w:val="21"/>
              </w:rPr>
            </w:pPr>
            <w:r>
              <w:rPr>
                <w:rFonts w:eastAsia="仿宋_GB2312"/>
                <w:color w:val="auto"/>
                <w:szCs w:val="21"/>
              </w:rPr>
              <w:t>1  ……</w:t>
            </w:r>
          </w:p>
          <w:p>
            <w:pPr>
              <w:outlineLvl w:val="1"/>
              <w:rPr>
                <w:rFonts w:eastAsia="仿宋_GB2312"/>
                <w:color w:val="auto"/>
                <w:szCs w:val="21"/>
              </w:rPr>
            </w:pPr>
            <w:r>
              <w:rPr>
                <w:rFonts w:eastAsia="仿宋_GB2312"/>
                <w:color w:val="auto"/>
                <w:szCs w:val="21"/>
              </w:rPr>
              <w:t>2  ……</w:t>
            </w:r>
          </w:p>
          <w:p>
            <w:pPr>
              <w:outlineLvl w:val="1"/>
              <w:rPr>
                <w:rFonts w:eastAsia="仿宋_GB2312"/>
                <w:color w:val="auto"/>
                <w:szCs w:val="21"/>
              </w:rPr>
            </w:pPr>
            <w:r>
              <w:rPr>
                <w:rFonts w:eastAsia="仿宋_GB2312"/>
                <w:color w:val="auto"/>
                <w:szCs w:val="21"/>
              </w:rPr>
              <w:t>3  ……</w:t>
            </w:r>
          </w:p>
          <w:p>
            <w:pPr>
              <w:outlineLvl w:val="1"/>
              <w:rPr>
                <w:rFonts w:eastAsia="仿宋_GB2312"/>
                <w:color w:val="auto"/>
                <w:szCs w:val="21"/>
              </w:rPr>
            </w:pPr>
            <w:r>
              <w:rPr>
                <w:rFonts w:eastAsia="仿宋_GB2312"/>
                <w:color w:val="auto"/>
                <w:szCs w:val="21"/>
              </w:rPr>
              <w:t>……</w:t>
            </w:r>
          </w:p>
        </w:tc>
        <w:tc>
          <w:tcPr>
            <w:tcW w:w="1090" w:type="dxa"/>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szCs w:val="21"/>
              </w:rPr>
            </w:pPr>
            <w:r>
              <w:rPr>
                <w:rFonts w:eastAsia="仿宋_GB2312"/>
                <w:color w:val="auto"/>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szCs w:val="21"/>
              </w:rPr>
            </w:pPr>
            <w:r>
              <w:rPr>
                <w:rFonts w:eastAsia="仿宋_GB2312"/>
                <w:color w:val="auto"/>
                <w:szCs w:val="21"/>
              </w:rPr>
              <w:t>...</w:t>
            </w:r>
          </w:p>
        </w:tc>
        <w:tc>
          <w:tcPr>
            <w:tcW w:w="117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rPr>
            </w:pPr>
          </w:p>
        </w:tc>
        <w:tc>
          <w:tcPr>
            <w:tcW w:w="68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rPr>
            </w:pPr>
          </w:p>
        </w:tc>
        <w:tc>
          <w:tcPr>
            <w:tcW w:w="94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rPr>
            </w:pPr>
          </w:p>
        </w:tc>
        <w:tc>
          <w:tcPr>
            <w:tcW w:w="68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rPr>
            </w:pPr>
          </w:p>
        </w:tc>
        <w:tc>
          <w:tcPr>
            <w:tcW w:w="155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08" w:type="dxa"/>
            <w:gridSpan w:val="9"/>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szCs w:val="21"/>
              </w:rPr>
            </w:pPr>
            <w:r>
              <w:rPr>
                <w:rFonts w:eastAsia="仿宋_GB2312"/>
                <w:color w:val="auto"/>
                <w:szCs w:val="21"/>
                <w:u w:val="single"/>
              </w:rPr>
              <w:t>　　</w:t>
            </w:r>
            <w:r>
              <w:rPr>
                <w:rFonts w:eastAsia="仿宋_GB2312"/>
                <w:color w:val="auto"/>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508" w:type="dxa"/>
            <w:gridSpan w:val="9"/>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rPr>
            </w:pPr>
            <w:r>
              <w:rPr>
                <w:rFonts w:hint="eastAsia" w:eastAsia="仿宋_GB2312"/>
                <w:color w:val="auto"/>
              </w:rPr>
              <w:t>供应商</w:t>
            </w:r>
            <w:r>
              <w:rPr>
                <w:rFonts w:eastAsia="仿宋_GB2312"/>
                <w:color w:val="auto"/>
              </w:rPr>
              <w:t>（盖单位公章</w:t>
            </w:r>
            <w:r>
              <w:rPr>
                <w:rFonts w:hint="eastAsia" w:eastAsia="仿宋_GB2312"/>
                <w:color w:val="auto"/>
              </w:rPr>
              <w:t>，自然人除外</w:t>
            </w:r>
            <w:r>
              <w:rPr>
                <w:rFonts w:eastAsia="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9508" w:type="dxa"/>
            <w:gridSpan w:val="9"/>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rPr>
            </w:pPr>
            <w:r>
              <w:rPr>
                <w:rFonts w:eastAsia="仿宋_GB2312"/>
                <w:color w:val="auto"/>
              </w:rPr>
              <w:t>法定代表人或其委托代理人（签字或盖章）：</w:t>
            </w:r>
          </w:p>
          <w:p>
            <w:pPr>
              <w:outlineLvl w:val="1"/>
              <w:rPr>
                <w:rFonts w:eastAsia="仿宋_GB2312"/>
                <w:color w:val="auto"/>
              </w:rPr>
            </w:pPr>
            <w:r>
              <w:rPr>
                <w:rFonts w:hint="eastAsia" w:ascii="宋体" w:hAnsi="宋体"/>
                <w:color w:val="auto"/>
                <w:szCs w:val="21"/>
              </w:rPr>
              <w:t>（</w:t>
            </w:r>
            <w:r>
              <w:rPr>
                <w:rFonts w:hint="eastAsia" w:eastAsia="仿宋_GB2312"/>
                <w:color w:val="auto"/>
              </w:rPr>
              <w:t>供应商属自然人的应由自然人签字并加盖指印，竞标标人若为其他组织形式无法定代表人的应由机构负责人</w:t>
            </w:r>
            <w:r>
              <w:rPr>
                <w:rFonts w:eastAsia="仿宋_GB2312"/>
                <w:color w:val="auto"/>
              </w:rPr>
              <w:t>签字或盖章</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508" w:type="dxa"/>
            <w:gridSpan w:val="9"/>
            <w:tcBorders>
              <w:top w:val="single" w:color="auto" w:sz="4" w:space="0"/>
              <w:left w:val="single" w:color="auto" w:sz="4" w:space="0"/>
              <w:bottom w:val="single" w:color="auto" w:sz="4" w:space="0"/>
              <w:right w:val="single" w:color="auto" w:sz="4" w:space="0"/>
            </w:tcBorders>
            <w:vAlign w:val="center"/>
          </w:tcPr>
          <w:p>
            <w:pPr>
              <w:outlineLvl w:val="1"/>
              <w:rPr>
                <w:rFonts w:eastAsia="仿宋_GB2312"/>
                <w:color w:val="auto"/>
                <w:szCs w:val="21"/>
              </w:rPr>
            </w:pPr>
            <w:r>
              <w:rPr>
                <w:rFonts w:hint="eastAsia" w:eastAsia="仿宋_GB2312"/>
                <w:color w:val="auto"/>
                <w:szCs w:val="21"/>
              </w:rPr>
              <w:t>日期：    年    月    日</w:t>
            </w:r>
          </w:p>
        </w:tc>
      </w:tr>
    </w:tbl>
    <w:p>
      <w:pPr>
        <w:pStyle w:val="24"/>
        <w:outlineLvl w:val="1"/>
        <w:rPr>
          <w:rFonts w:ascii="Times New Roman" w:hAnsi="Times New Roman" w:eastAsia="仿宋_GB2312"/>
          <w:color w:val="auto"/>
          <w:sz w:val="24"/>
          <w:szCs w:val="24"/>
        </w:rPr>
      </w:pPr>
      <w:r>
        <w:rPr>
          <w:rFonts w:ascii="Times New Roman" w:hAnsi="Times New Roman" w:eastAsia="仿宋_GB2312"/>
          <w:color w:val="auto"/>
          <w:sz w:val="24"/>
          <w:szCs w:val="24"/>
        </w:rPr>
        <w:t>注：⑴表格内容均需按要求填写并盖章，不得留空，</w:t>
      </w:r>
      <w:r>
        <w:rPr>
          <w:rFonts w:ascii="Times New Roman" w:hAnsi="Times New Roman" w:eastAsia="仿宋_GB2312"/>
          <w:bCs/>
          <w:color w:val="auto"/>
          <w:sz w:val="24"/>
          <w:szCs w:val="24"/>
        </w:rPr>
        <w:t>否则按投标无效处理</w:t>
      </w:r>
      <w:r>
        <w:rPr>
          <w:rFonts w:ascii="Times New Roman" w:hAnsi="Times New Roman" w:eastAsia="仿宋_GB2312"/>
          <w:color w:val="auto"/>
          <w:sz w:val="24"/>
          <w:szCs w:val="24"/>
        </w:rPr>
        <w:t>。</w:t>
      </w:r>
    </w:p>
    <w:p>
      <w:pPr>
        <w:pStyle w:val="24"/>
        <w:spacing w:line="600" w:lineRule="exact"/>
        <w:ind w:left="719" w:leftChars="228" w:hanging="240" w:hangingChars="100"/>
        <w:outlineLvl w:val="1"/>
        <w:rPr>
          <w:rFonts w:ascii="Times New Roman" w:hAnsi="Times New Roman" w:eastAsia="仿宋_GB2312"/>
          <w:bCs/>
          <w:color w:val="auto"/>
          <w:sz w:val="24"/>
          <w:szCs w:val="24"/>
        </w:rPr>
      </w:pPr>
      <w:r>
        <w:rPr>
          <w:rFonts w:ascii="Times New Roman" w:hAnsi="Times New Roman" w:eastAsia="楷体_GB2312"/>
          <w:bCs/>
          <w:color w:val="auto"/>
          <w:sz w:val="24"/>
          <w:szCs w:val="24"/>
        </w:rPr>
        <w:t>⑵</w:t>
      </w:r>
      <w:r>
        <w:rPr>
          <w:rFonts w:hint="eastAsia" w:ascii="Times New Roman" w:hAnsi="Times New Roman" w:eastAsia="仿宋_GB2312"/>
          <w:bCs/>
          <w:color w:val="auto"/>
          <w:sz w:val="24"/>
          <w:szCs w:val="24"/>
        </w:rPr>
        <w:t>响应</w:t>
      </w:r>
      <w:r>
        <w:rPr>
          <w:rFonts w:ascii="Times New Roman" w:hAnsi="Times New Roman" w:eastAsia="仿宋_GB2312"/>
          <w:bCs/>
          <w:color w:val="auto"/>
          <w:sz w:val="24"/>
          <w:szCs w:val="24"/>
        </w:rPr>
        <w:t>文件</w:t>
      </w:r>
      <w:r>
        <w:rPr>
          <w:rFonts w:hint="eastAsia" w:ascii="Times New Roman" w:hAnsi="Times New Roman" w:eastAsia="仿宋_GB2312"/>
          <w:bCs/>
          <w:color w:val="auto"/>
          <w:sz w:val="24"/>
          <w:szCs w:val="24"/>
        </w:rPr>
        <w:t>需求</w:t>
      </w:r>
      <w:r>
        <w:rPr>
          <w:rFonts w:ascii="Times New Roman" w:hAnsi="Times New Roman" w:eastAsia="仿宋_GB2312"/>
          <w:bCs/>
          <w:color w:val="auto"/>
          <w:sz w:val="24"/>
          <w:szCs w:val="24"/>
        </w:rPr>
        <w:t>小于或大于</w:t>
      </w:r>
      <w:r>
        <w:rPr>
          <w:rFonts w:hint="eastAsia" w:ascii="Times New Roman" w:hAnsi="Times New Roman" w:eastAsia="仿宋_GB2312"/>
          <w:bCs/>
          <w:color w:val="auto"/>
          <w:sz w:val="24"/>
          <w:szCs w:val="24"/>
        </w:rPr>
        <w:t>谈判</w:t>
      </w:r>
      <w:r>
        <w:rPr>
          <w:rFonts w:ascii="Times New Roman" w:hAnsi="Times New Roman" w:eastAsia="仿宋_GB2312"/>
          <w:bCs/>
          <w:color w:val="auto"/>
          <w:sz w:val="24"/>
          <w:szCs w:val="24"/>
        </w:rPr>
        <w:t>文件某个数值标准时，</w:t>
      </w:r>
      <w:r>
        <w:rPr>
          <w:rFonts w:hint="eastAsia" w:ascii="Times New Roman" w:hAnsi="Times New Roman" w:eastAsia="仿宋_GB2312"/>
          <w:bCs/>
          <w:color w:val="auto"/>
          <w:sz w:val="24"/>
          <w:szCs w:val="24"/>
        </w:rPr>
        <w:t>响应</w:t>
      </w:r>
      <w:r>
        <w:rPr>
          <w:rFonts w:ascii="Times New Roman" w:hAnsi="Times New Roman" w:eastAsia="仿宋_GB2312"/>
          <w:bCs/>
          <w:color w:val="auto"/>
          <w:sz w:val="24"/>
          <w:szCs w:val="24"/>
        </w:rPr>
        <w:t>文件</w:t>
      </w:r>
      <w:r>
        <w:rPr>
          <w:rFonts w:hint="eastAsia" w:ascii="Times New Roman" w:hAnsi="Times New Roman" w:eastAsia="仿宋_GB2312"/>
          <w:bCs/>
          <w:color w:val="auto"/>
          <w:sz w:val="24"/>
          <w:szCs w:val="24"/>
        </w:rPr>
        <w:t>不得直接复制谈判文件需求，响应文件对应</w:t>
      </w:r>
      <w:r>
        <w:rPr>
          <w:rFonts w:ascii="Times New Roman" w:hAnsi="Times New Roman" w:eastAsia="仿宋_GB2312"/>
          <w:bCs/>
          <w:color w:val="auto"/>
          <w:sz w:val="24"/>
          <w:szCs w:val="24"/>
        </w:rPr>
        <w:t>内容应当写明</w:t>
      </w:r>
      <w:r>
        <w:rPr>
          <w:rFonts w:hint="eastAsia" w:ascii="Times New Roman" w:hAnsi="Times New Roman" w:eastAsia="仿宋_GB2312"/>
          <w:bCs/>
          <w:color w:val="auto"/>
          <w:sz w:val="24"/>
          <w:szCs w:val="24"/>
        </w:rPr>
        <w:t>竞</w:t>
      </w:r>
      <w:r>
        <w:rPr>
          <w:rFonts w:ascii="Times New Roman" w:hAnsi="Times New Roman" w:eastAsia="仿宋_GB2312"/>
          <w:bCs/>
          <w:color w:val="auto"/>
          <w:sz w:val="24"/>
          <w:szCs w:val="24"/>
        </w:rPr>
        <w:t>标货物具体参数或商务响应的</w:t>
      </w:r>
      <w:r>
        <w:rPr>
          <w:rFonts w:hint="eastAsia" w:ascii="Times New Roman" w:hAnsi="Times New Roman" w:eastAsia="仿宋_GB2312"/>
          <w:bCs/>
          <w:color w:val="auto"/>
          <w:sz w:val="24"/>
          <w:szCs w:val="24"/>
        </w:rPr>
        <w:t>实际</w:t>
      </w:r>
      <w:r>
        <w:rPr>
          <w:rFonts w:ascii="Times New Roman" w:hAnsi="Times New Roman" w:eastAsia="仿宋_GB2312"/>
          <w:bCs/>
          <w:color w:val="auto"/>
          <w:sz w:val="24"/>
          <w:szCs w:val="24"/>
        </w:rPr>
        <w:t>数值，否则按</w:t>
      </w:r>
      <w:r>
        <w:rPr>
          <w:rFonts w:hint="eastAsia" w:ascii="Times New Roman" w:hAnsi="Times New Roman" w:eastAsia="仿宋_GB2312"/>
          <w:bCs/>
          <w:color w:val="auto"/>
          <w:sz w:val="24"/>
          <w:szCs w:val="24"/>
        </w:rPr>
        <w:t>竞</w:t>
      </w:r>
      <w:r>
        <w:rPr>
          <w:rFonts w:ascii="Times New Roman" w:hAnsi="Times New Roman" w:eastAsia="仿宋_GB2312"/>
          <w:bCs/>
          <w:color w:val="auto"/>
          <w:sz w:val="24"/>
          <w:szCs w:val="24"/>
        </w:rPr>
        <w:t>标无效处理。</w:t>
      </w:r>
      <w:r>
        <w:rPr>
          <w:rFonts w:hint="eastAsia" w:ascii="Times New Roman" w:hAnsi="Times New Roman" w:eastAsia="仿宋_GB2312"/>
          <w:bCs/>
          <w:color w:val="auto"/>
          <w:sz w:val="24"/>
          <w:szCs w:val="24"/>
        </w:rPr>
        <w:t>如该采购需求属于不能明确具体数值的，采购人应在此采购需求的数值后标注◆号，对标注◆号的采购需求不适用上述“竞</w:t>
      </w:r>
      <w:r>
        <w:rPr>
          <w:rFonts w:ascii="Times New Roman" w:hAnsi="Times New Roman" w:eastAsia="仿宋_GB2312"/>
          <w:bCs/>
          <w:color w:val="auto"/>
          <w:sz w:val="24"/>
          <w:szCs w:val="24"/>
        </w:rPr>
        <w:t>标无效</w:t>
      </w:r>
      <w:r>
        <w:rPr>
          <w:rFonts w:hint="eastAsia" w:ascii="Times New Roman" w:hAnsi="Times New Roman" w:eastAsia="仿宋_GB2312"/>
          <w:bCs/>
          <w:color w:val="auto"/>
          <w:sz w:val="24"/>
          <w:szCs w:val="24"/>
        </w:rPr>
        <w:t>”条款</w:t>
      </w:r>
    </w:p>
    <w:p>
      <w:pPr>
        <w:pStyle w:val="24"/>
        <w:spacing w:line="600" w:lineRule="exact"/>
        <w:ind w:left="719" w:leftChars="228" w:hanging="240" w:hangingChars="100"/>
        <w:outlineLvl w:val="1"/>
        <w:rPr>
          <w:rFonts w:ascii="Times New Roman" w:hAnsi="Times New Roman" w:eastAsia="仿宋_GB2312"/>
          <w:bCs/>
          <w:color w:val="auto"/>
          <w:sz w:val="24"/>
          <w:szCs w:val="24"/>
        </w:rPr>
      </w:pPr>
      <w:r>
        <w:rPr>
          <w:rFonts w:ascii="Times New Roman" w:hAnsi="Times New Roman" w:eastAsia="仿宋_GB2312"/>
          <w:bCs/>
          <w:color w:val="auto"/>
          <w:sz w:val="24"/>
          <w:szCs w:val="24"/>
        </w:rPr>
        <w:t>⑶当</w:t>
      </w:r>
      <w:r>
        <w:rPr>
          <w:rFonts w:hint="eastAsia" w:ascii="Times New Roman" w:hAnsi="Times New Roman" w:eastAsia="仿宋_GB2312"/>
          <w:bCs/>
          <w:color w:val="auto"/>
          <w:sz w:val="24"/>
          <w:szCs w:val="24"/>
        </w:rPr>
        <w:t>响应</w:t>
      </w:r>
      <w:r>
        <w:rPr>
          <w:rFonts w:ascii="Times New Roman" w:hAnsi="Times New Roman" w:eastAsia="仿宋_GB2312"/>
          <w:bCs/>
          <w:color w:val="auto"/>
          <w:sz w:val="24"/>
          <w:szCs w:val="24"/>
        </w:rPr>
        <w:t>文件的技术参数或商务内容低于</w:t>
      </w:r>
      <w:r>
        <w:rPr>
          <w:rFonts w:hint="eastAsia" w:ascii="Times New Roman" w:hAnsi="Times New Roman" w:eastAsia="仿宋_GB2312"/>
          <w:bCs/>
          <w:color w:val="auto"/>
          <w:sz w:val="24"/>
          <w:szCs w:val="24"/>
        </w:rPr>
        <w:t>谈判</w:t>
      </w:r>
      <w:r>
        <w:rPr>
          <w:rFonts w:ascii="Times New Roman" w:hAnsi="Times New Roman" w:eastAsia="仿宋_GB2312"/>
          <w:bCs/>
          <w:color w:val="auto"/>
          <w:sz w:val="24"/>
          <w:szCs w:val="24"/>
        </w:rPr>
        <w:t>文件要求时，</w:t>
      </w:r>
      <w:r>
        <w:rPr>
          <w:rFonts w:hint="eastAsia" w:ascii="Times New Roman" w:hAnsi="Times New Roman" w:eastAsia="仿宋_GB2312"/>
          <w:bCs/>
          <w:color w:val="auto"/>
          <w:sz w:val="24"/>
          <w:szCs w:val="24"/>
        </w:rPr>
        <w:t>供应商</w:t>
      </w:r>
      <w:r>
        <w:rPr>
          <w:rFonts w:ascii="Times New Roman" w:hAnsi="Times New Roman" w:eastAsia="仿宋_GB2312"/>
          <w:bCs/>
          <w:color w:val="auto"/>
          <w:sz w:val="24"/>
          <w:szCs w:val="24"/>
        </w:rPr>
        <w:t>应当如实写明“负偏离”，否则视为虚假应标。</w:t>
      </w:r>
    </w:p>
    <w:p>
      <w:pPr>
        <w:widowControl/>
        <w:shd w:val="clear" w:color="auto" w:fill="FFFFFF"/>
        <w:spacing w:after="240" w:line="360" w:lineRule="atLeast"/>
        <w:ind w:firstLine="480"/>
        <w:jc w:val="center"/>
        <w:rPr>
          <w:rFonts w:ascii="宋体" w:hAnsi="宋体" w:cs="宋体"/>
          <w:color w:val="auto"/>
          <w:kern w:val="0"/>
          <w:sz w:val="24"/>
        </w:rPr>
      </w:pPr>
      <w:r>
        <w:rPr>
          <w:rFonts w:ascii="宋体" w:hAnsi="宋体" w:cs="宋体"/>
          <w:color w:val="auto"/>
          <w:kern w:val="0"/>
          <w:sz w:val="24"/>
        </w:rPr>
        <w:br w:type="page"/>
      </w:r>
    </w:p>
    <w:p>
      <w:pPr>
        <w:widowControl/>
        <w:shd w:val="clear" w:color="auto" w:fill="FFFFFF"/>
        <w:spacing w:after="240" w:line="360" w:lineRule="atLeast"/>
        <w:ind w:firstLine="480"/>
        <w:jc w:val="left"/>
        <w:outlineLvl w:val="1"/>
        <w:rPr>
          <w:rFonts w:ascii="宋体" w:hAnsi="宋体" w:cs="宋体"/>
          <w:b/>
          <w:color w:val="auto"/>
          <w:kern w:val="0"/>
          <w:sz w:val="28"/>
          <w:szCs w:val="28"/>
        </w:rPr>
      </w:pPr>
      <w:r>
        <w:rPr>
          <w:rFonts w:hint="eastAsia"/>
          <w:color w:val="auto"/>
        </w:rPr>
        <w:t>附件八：</w:t>
      </w:r>
    </w:p>
    <w:p>
      <w:pPr>
        <w:widowControl/>
        <w:shd w:val="clear" w:color="auto" w:fill="FFFFFF"/>
        <w:spacing w:after="240" w:line="360" w:lineRule="atLeast"/>
        <w:ind w:firstLine="480"/>
        <w:jc w:val="center"/>
        <w:outlineLvl w:val="1"/>
        <w:rPr>
          <w:rFonts w:ascii="宋体" w:hAnsi="宋体" w:cs="宋体"/>
          <w:b/>
          <w:color w:val="auto"/>
          <w:kern w:val="0"/>
          <w:sz w:val="28"/>
          <w:szCs w:val="28"/>
        </w:rPr>
      </w:pPr>
      <w:r>
        <w:rPr>
          <w:rFonts w:hint="eastAsia" w:ascii="宋体" w:hAnsi="宋体" w:cs="宋体"/>
          <w:b/>
          <w:color w:val="auto"/>
          <w:kern w:val="0"/>
          <w:sz w:val="28"/>
          <w:szCs w:val="28"/>
        </w:rPr>
        <w:t>中小企业声明函</w:t>
      </w:r>
    </w:p>
    <w:p>
      <w:pPr>
        <w:widowControl/>
        <w:shd w:val="clear" w:color="auto" w:fill="FFFFFF"/>
        <w:spacing w:line="360" w:lineRule="auto"/>
        <w:ind w:firstLine="480"/>
        <w:jc w:val="left"/>
        <w:outlineLvl w:val="1"/>
        <w:rPr>
          <w:rFonts w:ascii="宋体" w:hAnsi="宋体" w:cs="宋体"/>
          <w:color w:val="auto"/>
          <w:kern w:val="0"/>
          <w:sz w:val="24"/>
        </w:rPr>
      </w:pPr>
      <w:r>
        <w:rPr>
          <w:rFonts w:hint="eastAsia" w:ascii="宋体" w:hAnsi="宋体" w:cs="宋体"/>
          <w:color w:val="auto"/>
          <w:kern w:val="0"/>
          <w:sz w:val="24"/>
        </w:rPr>
        <w:t> 本公司郑重声明，根据《政府采购促进中小企业发展暂行办法》（财库[2011]181号）的规定，本公司为______（请填写：中型、小型、微型）企业。即，本公司同时满足以下条件：</w:t>
      </w:r>
    </w:p>
    <w:p>
      <w:pPr>
        <w:widowControl/>
        <w:shd w:val="clear" w:color="auto" w:fill="FFFFFF"/>
        <w:spacing w:line="360" w:lineRule="auto"/>
        <w:ind w:firstLine="480"/>
        <w:jc w:val="left"/>
        <w:outlineLvl w:val="1"/>
        <w:rPr>
          <w:rFonts w:ascii="宋体" w:hAnsi="宋体" w:cs="宋体"/>
          <w:color w:val="auto"/>
          <w:kern w:val="0"/>
          <w:sz w:val="24"/>
        </w:rPr>
      </w:pPr>
      <w:r>
        <w:rPr>
          <w:rFonts w:hint="eastAsia" w:ascii="宋体" w:hAnsi="宋体" w:cs="宋体"/>
          <w:color w:val="auto"/>
          <w:kern w:val="0"/>
          <w:sz w:val="24"/>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line="360" w:lineRule="auto"/>
        <w:ind w:firstLine="480"/>
        <w:jc w:val="left"/>
        <w:outlineLvl w:val="1"/>
        <w:rPr>
          <w:rFonts w:ascii="宋体" w:hAnsi="宋体" w:cs="宋体"/>
          <w:color w:val="auto"/>
          <w:kern w:val="0"/>
          <w:sz w:val="24"/>
        </w:rPr>
      </w:pPr>
      <w:r>
        <w:rPr>
          <w:rFonts w:hint="eastAsia" w:ascii="宋体" w:hAnsi="宋体" w:cs="宋体"/>
          <w:color w:val="auto"/>
          <w:kern w:val="0"/>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pacing w:line="360" w:lineRule="auto"/>
        <w:ind w:firstLine="480"/>
        <w:jc w:val="left"/>
        <w:outlineLvl w:val="1"/>
        <w:rPr>
          <w:rFonts w:ascii="宋体" w:hAnsi="宋体" w:cs="宋体"/>
          <w:color w:val="auto"/>
          <w:kern w:val="0"/>
          <w:sz w:val="24"/>
        </w:rPr>
      </w:pPr>
      <w:r>
        <w:rPr>
          <w:rFonts w:hint="eastAsia" w:ascii="宋体" w:hAnsi="宋体" w:cs="宋体"/>
          <w:color w:val="auto"/>
          <w:kern w:val="0"/>
          <w:sz w:val="24"/>
        </w:rPr>
        <w:t>本公司对上述声明的真实性负责。如有虚假，将依法承担相应责任。</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kern w:val="0"/>
          <w:sz w:val="24"/>
        </w:rPr>
        <w:t> </w:t>
      </w:r>
    </w:p>
    <w:p>
      <w:pPr>
        <w:widowControl/>
        <w:shd w:val="clear" w:color="auto" w:fill="FFFFFF"/>
        <w:spacing w:line="360" w:lineRule="auto"/>
        <w:ind w:firstLine="480"/>
        <w:jc w:val="left"/>
        <w:outlineLvl w:val="1"/>
        <w:rPr>
          <w:rFonts w:ascii="宋体" w:hAnsi="宋体" w:cs="宋体"/>
          <w:color w:val="auto"/>
          <w:kern w:val="0"/>
          <w:sz w:val="24"/>
        </w:rPr>
      </w:pPr>
      <w:r>
        <w:rPr>
          <w:rFonts w:hint="eastAsia" w:ascii="宋体" w:hAnsi="宋体" w:cs="宋体"/>
          <w:color w:val="auto"/>
          <w:kern w:val="0"/>
          <w:sz w:val="24"/>
        </w:rPr>
        <w:t>　　　　　　　　　　　　　　　　　　　　企业名称（盖章）：</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kern w:val="0"/>
          <w:sz w:val="24"/>
        </w:rPr>
        <w:t> </w:t>
      </w:r>
    </w:p>
    <w:p>
      <w:pPr>
        <w:widowControl/>
        <w:shd w:val="clear" w:color="auto" w:fill="FFFFFF"/>
        <w:spacing w:line="360" w:lineRule="auto"/>
        <w:ind w:firstLine="480"/>
        <w:jc w:val="left"/>
        <w:outlineLvl w:val="1"/>
        <w:rPr>
          <w:rFonts w:ascii="宋体" w:hAnsi="宋体" w:cs="宋体"/>
          <w:color w:val="auto"/>
          <w:kern w:val="0"/>
          <w:sz w:val="24"/>
        </w:rPr>
      </w:pPr>
      <w:r>
        <w:rPr>
          <w:rFonts w:hint="eastAsia" w:ascii="宋体" w:hAnsi="宋体" w:cs="宋体"/>
          <w:color w:val="auto"/>
          <w:kern w:val="0"/>
          <w:sz w:val="24"/>
        </w:rPr>
        <w:t>　　　　　　　　　　　　　　　　　　　　　　　    日期：</w:t>
      </w: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outlineLvl w:val="1"/>
        <w:rPr>
          <w:color w:val="auto"/>
          <w:sz w:val="24"/>
        </w:rPr>
      </w:pPr>
      <w:r>
        <w:rPr>
          <w:rFonts w:hint="eastAsia"/>
          <w:color w:val="auto"/>
        </w:rPr>
        <w:t>附件九：</w:t>
      </w: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588" w:lineRule="exact"/>
        <w:jc w:val="center"/>
        <w:outlineLvl w:val="1"/>
        <w:rPr>
          <w:rFonts w:ascii="宋体" w:hAnsi="宋体"/>
          <w:b/>
          <w:color w:val="auto"/>
          <w:spacing w:val="6"/>
          <w:sz w:val="24"/>
        </w:rPr>
      </w:pPr>
      <w:bookmarkStart w:id="46" w:name="OLE_LINK14"/>
      <w:bookmarkStart w:id="47" w:name="OLE_LINK13"/>
      <w:r>
        <w:rPr>
          <w:rFonts w:hint="eastAsia" w:ascii="宋体" w:hAnsi="宋体"/>
          <w:b/>
          <w:color w:val="auto"/>
          <w:spacing w:val="6"/>
          <w:sz w:val="24"/>
        </w:rPr>
        <w:t>残疾人福利性单位声明函</w:t>
      </w:r>
    </w:p>
    <w:bookmarkEnd w:id="46"/>
    <w:bookmarkEnd w:id="47"/>
    <w:p>
      <w:pPr>
        <w:spacing w:line="588" w:lineRule="exact"/>
        <w:rPr>
          <w:rFonts w:ascii="宋体" w:hAnsi="宋体"/>
          <w:b/>
          <w:color w:val="auto"/>
          <w:spacing w:val="6"/>
          <w:sz w:val="24"/>
        </w:rPr>
      </w:pPr>
    </w:p>
    <w:p>
      <w:pPr>
        <w:spacing w:line="588" w:lineRule="exact"/>
        <w:ind w:firstLine="504" w:firstLineChars="200"/>
        <w:outlineLvl w:val="1"/>
        <w:rPr>
          <w:rFonts w:ascii="宋体" w:hAnsi="宋体"/>
          <w:color w:val="auto"/>
          <w:spacing w:val="6"/>
          <w:sz w:val="24"/>
        </w:rPr>
      </w:pPr>
      <w:r>
        <w:rPr>
          <w:rFonts w:hint="eastAsia" w:ascii="宋体" w:hAnsi="宋体"/>
          <w:color w:val="auto"/>
          <w:spacing w:val="6"/>
          <w:sz w:val="24"/>
        </w:rPr>
        <w:t>本单位郑重声明，根据《财政部 民政部 中国残疾人联合会关于促进残疾人就业政府采购政策的通知》（财库</w:t>
      </w:r>
      <w:r>
        <w:rPr>
          <w:rFonts w:hint="eastAsia" w:ascii="宋体" w:hAnsi="宋体"/>
          <w:color w:val="auto"/>
          <w:sz w:val="24"/>
        </w:rPr>
        <w:t>〔2017〕 141</w:t>
      </w:r>
      <w:r>
        <w:rPr>
          <w:rFonts w:hint="eastAsia" w:ascii="宋体" w:hAnsi="宋体"/>
          <w:color w:val="auto"/>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outlineLvl w:val="1"/>
        <w:rPr>
          <w:rFonts w:ascii="宋体" w:hAnsi="宋体"/>
          <w:color w:val="auto"/>
          <w:spacing w:val="6"/>
          <w:sz w:val="24"/>
        </w:rPr>
      </w:pPr>
      <w:r>
        <w:rPr>
          <w:rFonts w:hint="eastAsia" w:ascii="宋体" w:hAnsi="宋体"/>
          <w:color w:val="auto"/>
          <w:spacing w:val="6"/>
          <w:sz w:val="24"/>
        </w:rPr>
        <w:t>本单位对上述声明的真实性负责。如有虚假，将依法承担相应责任。</w:t>
      </w:r>
    </w:p>
    <w:p>
      <w:pPr>
        <w:spacing w:line="588" w:lineRule="exact"/>
        <w:ind w:firstLine="504" w:firstLineChars="200"/>
        <w:rPr>
          <w:rFonts w:ascii="宋体" w:hAnsi="宋体"/>
          <w:color w:val="auto"/>
          <w:spacing w:val="6"/>
          <w:sz w:val="24"/>
        </w:rPr>
      </w:pPr>
    </w:p>
    <w:p>
      <w:pPr>
        <w:spacing w:line="588" w:lineRule="exact"/>
        <w:ind w:firstLine="504" w:firstLineChars="200"/>
        <w:rPr>
          <w:rFonts w:ascii="宋体" w:hAnsi="宋体"/>
          <w:color w:val="auto"/>
          <w:spacing w:val="6"/>
          <w:sz w:val="24"/>
        </w:rPr>
      </w:pPr>
    </w:p>
    <w:p>
      <w:pPr>
        <w:tabs>
          <w:tab w:val="left" w:pos="4860"/>
        </w:tabs>
        <w:spacing w:line="588" w:lineRule="exact"/>
        <w:ind w:right="1560" w:firstLine="504" w:firstLineChars="200"/>
        <w:jc w:val="center"/>
        <w:outlineLvl w:val="1"/>
        <w:rPr>
          <w:rFonts w:ascii="宋体" w:hAnsi="宋体"/>
          <w:color w:val="auto"/>
          <w:spacing w:val="6"/>
          <w:sz w:val="24"/>
        </w:rPr>
      </w:pPr>
      <w:r>
        <w:rPr>
          <w:rFonts w:hint="eastAsia" w:ascii="宋体" w:hAnsi="宋体"/>
          <w:color w:val="auto"/>
          <w:spacing w:val="6"/>
          <w:sz w:val="24"/>
        </w:rPr>
        <w:t xml:space="preserve">               单位名称（盖章）：</w:t>
      </w:r>
    </w:p>
    <w:p>
      <w:pPr>
        <w:tabs>
          <w:tab w:val="left" w:pos="4860"/>
        </w:tabs>
        <w:spacing w:line="588" w:lineRule="exact"/>
        <w:ind w:right="1560" w:firstLine="504" w:firstLineChars="200"/>
        <w:jc w:val="center"/>
        <w:outlineLvl w:val="1"/>
        <w:rPr>
          <w:rFonts w:ascii="宋体" w:hAnsi="宋体"/>
          <w:color w:val="auto"/>
          <w:spacing w:val="6"/>
          <w:sz w:val="24"/>
        </w:rPr>
      </w:pPr>
      <w:r>
        <w:rPr>
          <w:rFonts w:hint="eastAsia" w:ascii="宋体" w:hAnsi="宋体"/>
          <w:color w:val="auto"/>
          <w:spacing w:val="6"/>
          <w:sz w:val="24"/>
        </w:rPr>
        <w:t xml:space="preserve">       日  期：</w:t>
      </w:r>
    </w:p>
    <w:p>
      <w:pPr>
        <w:widowControl/>
        <w:shd w:val="clear" w:color="auto" w:fill="FFFFFF"/>
        <w:spacing w:line="360" w:lineRule="auto"/>
        <w:ind w:firstLine="480"/>
        <w:jc w:val="left"/>
        <w:rPr>
          <w:rFonts w:ascii="宋体" w:hAnsi="宋体" w:cs="宋体"/>
          <w:color w:val="auto"/>
          <w:kern w:val="0"/>
          <w:sz w:val="24"/>
        </w:rPr>
      </w:pPr>
    </w:p>
    <w:p>
      <w:pPr>
        <w:widowControl/>
        <w:shd w:val="clear" w:color="auto" w:fill="FFFFFF"/>
        <w:spacing w:line="360" w:lineRule="auto"/>
        <w:ind w:firstLine="480"/>
        <w:jc w:val="left"/>
        <w:rPr>
          <w:rFonts w:ascii="宋体" w:hAnsi="宋体" w:cs="宋体"/>
          <w:color w:val="auto"/>
          <w:kern w:val="0"/>
          <w:sz w:val="24"/>
        </w:rPr>
      </w:pPr>
    </w:p>
    <w:p>
      <w:pPr>
        <w:widowControl/>
        <w:shd w:val="clear" w:color="auto" w:fill="FFFFFF"/>
        <w:spacing w:line="360" w:lineRule="auto"/>
        <w:ind w:firstLine="480"/>
        <w:jc w:val="left"/>
        <w:rPr>
          <w:rFonts w:ascii="宋体" w:hAnsi="宋体" w:cs="宋体"/>
          <w:color w:val="auto"/>
          <w:kern w:val="0"/>
          <w:sz w:val="24"/>
        </w:rPr>
      </w:pPr>
    </w:p>
    <w:p>
      <w:pPr>
        <w:widowControl/>
        <w:shd w:val="clear" w:color="auto" w:fill="FFFFFF"/>
        <w:spacing w:line="360" w:lineRule="auto"/>
        <w:ind w:firstLine="480"/>
        <w:jc w:val="left"/>
        <w:rPr>
          <w:rFonts w:ascii="宋体" w:hAnsi="宋体" w:cs="宋体"/>
          <w:color w:val="auto"/>
          <w:kern w:val="0"/>
          <w:sz w:val="24"/>
        </w:rPr>
      </w:pPr>
    </w:p>
    <w:p>
      <w:pPr>
        <w:widowControl/>
        <w:shd w:val="clear" w:color="auto" w:fill="FFFFFF"/>
        <w:spacing w:line="360" w:lineRule="auto"/>
        <w:ind w:firstLine="480"/>
        <w:jc w:val="left"/>
        <w:rPr>
          <w:rFonts w:ascii="宋体" w:hAnsi="宋体" w:cs="宋体"/>
          <w:color w:val="auto"/>
          <w:kern w:val="0"/>
          <w:sz w:val="24"/>
        </w:rPr>
      </w:pPr>
    </w:p>
    <w:p>
      <w:pPr>
        <w:widowControl/>
        <w:shd w:val="clear" w:color="auto" w:fill="FFFFFF"/>
        <w:spacing w:line="360" w:lineRule="auto"/>
        <w:ind w:firstLine="480"/>
        <w:jc w:val="left"/>
        <w:rPr>
          <w:rFonts w:ascii="宋体" w:hAnsi="宋体" w:cs="宋体"/>
          <w:color w:val="auto"/>
          <w:kern w:val="0"/>
          <w:sz w:val="24"/>
        </w:rPr>
      </w:pPr>
    </w:p>
    <w:p>
      <w:pPr>
        <w:widowControl/>
        <w:shd w:val="clear" w:color="auto" w:fill="FFFFFF"/>
        <w:spacing w:line="360" w:lineRule="auto"/>
        <w:ind w:firstLine="480"/>
        <w:jc w:val="left"/>
        <w:rPr>
          <w:rFonts w:ascii="宋体" w:hAnsi="宋体" w:cs="宋体"/>
          <w:color w:val="auto"/>
          <w:kern w:val="0"/>
          <w:sz w:val="24"/>
        </w:rPr>
      </w:pPr>
    </w:p>
    <w:p>
      <w:pPr>
        <w:widowControl/>
        <w:shd w:val="clear" w:color="auto" w:fill="FFFFFF"/>
        <w:spacing w:line="360" w:lineRule="auto"/>
        <w:ind w:firstLine="480"/>
        <w:jc w:val="left"/>
        <w:rPr>
          <w:rFonts w:ascii="宋体" w:hAnsi="宋体" w:cs="宋体"/>
          <w:color w:val="auto"/>
          <w:kern w:val="0"/>
          <w:sz w:val="24"/>
        </w:rPr>
      </w:pPr>
    </w:p>
    <w:p>
      <w:pPr>
        <w:spacing w:beforeLines="50" w:afterLines="50"/>
        <w:ind w:firstLine="883" w:firstLineChars="200"/>
        <w:jc w:val="center"/>
        <w:rPr>
          <w:rFonts w:ascii="宋体" w:hAnsi="宋体"/>
          <w:b/>
          <w:color w:val="auto"/>
          <w:sz w:val="44"/>
          <w:szCs w:val="44"/>
        </w:rPr>
      </w:pPr>
    </w:p>
    <w:p>
      <w:pPr>
        <w:spacing w:beforeLines="50" w:afterLines="50"/>
        <w:ind w:firstLine="883" w:firstLineChars="200"/>
        <w:jc w:val="center"/>
        <w:rPr>
          <w:rFonts w:ascii="宋体" w:hAnsi="宋体"/>
          <w:b/>
          <w:color w:val="auto"/>
          <w:sz w:val="44"/>
          <w:szCs w:val="44"/>
        </w:rPr>
      </w:pPr>
    </w:p>
    <w:p>
      <w:pPr>
        <w:spacing w:beforeLines="50" w:afterLines="50"/>
        <w:ind w:firstLine="883" w:firstLineChars="200"/>
        <w:jc w:val="center"/>
        <w:rPr>
          <w:rFonts w:ascii="宋体" w:hAnsi="宋体"/>
          <w:b/>
          <w:color w:val="auto"/>
          <w:sz w:val="44"/>
          <w:szCs w:val="44"/>
        </w:rPr>
      </w:pPr>
    </w:p>
    <w:p>
      <w:pPr>
        <w:spacing w:beforeLines="50" w:afterLines="50"/>
        <w:ind w:firstLine="883" w:firstLineChars="200"/>
        <w:jc w:val="center"/>
        <w:rPr>
          <w:rFonts w:ascii="宋体" w:hAnsi="宋体"/>
          <w:b/>
          <w:color w:val="auto"/>
          <w:sz w:val="44"/>
          <w:szCs w:val="44"/>
        </w:rPr>
      </w:pPr>
    </w:p>
    <w:p>
      <w:pPr>
        <w:spacing w:beforeLines="50" w:afterLines="50"/>
        <w:ind w:firstLine="883" w:firstLineChars="200"/>
        <w:jc w:val="center"/>
        <w:rPr>
          <w:rFonts w:ascii="宋体" w:hAnsi="宋体"/>
          <w:b/>
          <w:color w:val="auto"/>
          <w:sz w:val="44"/>
          <w:szCs w:val="44"/>
        </w:rPr>
      </w:pPr>
    </w:p>
    <w:p>
      <w:pPr>
        <w:spacing w:beforeLines="50" w:afterLines="50"/>
        <w:ind w:firstLine="883" w:firstLineChars="200"/>
        <w:jc w:val="center"/>
        <w:outlineLvl w:val="0"/>
        <w:rPr>
          <w:rFonts w:ascii="宋体" w:hAnsi="宋体"/>
          <w:b/>
          <w:bCs/>
          <w:color w:val="auto"/>
          <w:sz w:val="44"/>
          <w:szCs w:val="44"/>
        </w:rPr>
      </w:pPr>
      <w:bookmarkStart w:id="48" w:name="_Toc11281"/>
      <w:r>
        <w:rPr>
          <w:rFonts w:hint="eastAsia" w:ascii="宋体" w:hAnsi="宋体"/>
          <w:b/>
          <w:color w:val="auto"/>
          <w:sz w:val="44"/>
          <w:szCs w:val="44"/>
        </w:rPr>
        <w:t xml:space="preserve">第五章 </w:t>
      </w:r>
      <w:r>
        <w:rPr>
          <w:rFonts w:hint="eastAsia" w:ascii="宋体" w:hAnsi="宋体"/>
          <w:b/>
          <w:bCs/>
          <w:color w:val="auto"/>
          <w:sz w:val="44"/>
          <w:szCs w:val="44"/>
        </w:rPr>
        <w:t>合同主要条款</w:t>
      </w:r>
      <w:bookmarkEnd w:id="48"/>
    </w:p>
    <w:p>
      <w:pPr>
        <w:tabs>
          <w:tab w:val="left" w:pos="417"/>
        </w:tabs>
        <w:autoSpaceDE w:val="0"/>
        <w:autoSpaceDN w:val="0"/>
        <w:spacing w:line="360" w:lineRule="auto"/>
        <w:jc w:val="center"/>
        <w:rPr>
          <w:rFonts w:ascii="宋体" w:hAnsi="宋体"/>
          <w:b/>
          <w:color w:val="auto"/>
          <w:kern w:val="0"/>
          <w:sz w:val="72"/>
          <w:szCs w:val="72"/>
        </w:rPr>
      </w:pPr>
      <w:r>
        <w:rPr>
          <w:rFonts w:ascii="宋体" w:hAnsi="宋体"/>
          <w:b/>
          <w:bCs/>
          <w:color w:val="auto"/>
          <w:sz w:val="44"/>
          <w:szCs w:val="44"/>
        </w:rPr>
        <w:br w:type="page"/>
      </w:r>
      <w:r>
        <w:rPr>
          <w:rFonts w:hint="eastAsia" w:ascii="宋体" w:hAnsi="宋体"/>
          <w:b/>
          <w:color w:val="auto"/>
          <w:kern w:val="0"/>
          <w:sz w:val="72"/>
          <w:szCs w:val="72"/>
        </w:rPr>
        <w:t>南 宁 市 政 府 采 购</w:t>
      </w:r>
    </w:p>
    <w:p>
      <w:pPr>
        <w:autoSpaceDE w:val="0"/>
        <w:autoSpaceDN w:val="0"/>
        <w:adjustRightInd w:val="0"/>
        <w:spacing w:line="360" w:lineRule="auto"/>
        <w:jc w:val="left"/>
        <w:rPr>
          <w:rFonts w:ascii="宋体" w:hAnsi="宋体"/>
          <w:color w:val="auto"/>
          <w:kern w:val="0"/>
          <w:sz w:val="24"/>
          <w:szCs w:val="20"/>
        </w:rPr>
      </w:pPr>
    </w:p>
    <w:p>
      <w:pPr>
        <w:pStyle w:val="39"/>
        <w:widowControl w:val="0"/>
        <w:autoSpaceDE w:val="0"/>
        <w:autoSpaceDN w:val="0"/>
        <w:adjustRightInd w:val="0"/>
        <w:spacing w:line="360" w:lineRule="auto"/>
        <w:rPr>
          <w:color w:val="auto"/>
          <w:szCs w:val="20"/>
        </w:rPr>
      </w:pPr>
    </w:p>
    <w:p>
      <w:pPr>
        <w:pStyle w:val="39"/>
        <w:widowControl w:val="0"/>
        <w:autoSpaceDE w:val="0"/>
        <w:autoSpaceDN w:val="0"/>
        <w:adjustRightInd w:val="0"/>
        <w:spacing w:line="360" w:lineRule="auto"/>
        <w:rPr>
          <w:color w:val="auto"/>
          <w:szCs w:val="20"/>
        </w:rPr>
      </w:pPr>
    </w:p>
    <w:p>
      <w:pPr>
        <w:pStyle w:val="2"/>
        <w:jc w:val="center"/>
        <w:rPr>
          <w:rFonts w:eastAsia="幼圆"/>
          <w:b/>
          <w:color w:val="auto"/>
          <w:spacing w:val="60"/>
          <w:sz w:val="36"/>
          <w:szCs w:val="36"/>
          <w:u w:val="single"/>
        </w:rPr>
      </w:pPr>
    </w:p>
    <w:p>
      <w:pPr>
        <w:pStyle w:val="2"/>
        <w:jc w:val="center"/>
        <w:rPr>
          <w:rFonts w:eastAsia="幼圆"/>
          <w:b/>
          <w:color w:val="auto"/>
          <w:spacing w:val="60"/>
          <w:sz w:val="36"/>
          <w:szCs w:val="36"/>
          <w:u w:val="single"/>
        </w:rPr>
      </w:pPr>
      <w:r>
        <w:rPr>
          <w:rFonts w:eastAsia="幼圆"/>
          <w:b/>
          <w:color w:val="auto"/>
          <w:spacing w:val="60"/>
          <w:sz w:val="36"/>
          <w:szCs w:val="36"/>
          <w:u w:val="single"/>
        </w:rPr>
        <w:t xml:space="preserve">                       </w:t>
      </w:r>
      <w:r>
        <w:rPr>
          <w:rFonts w:hint="eastAsia" w:eastAsia="幼圆"/>
          <w:b/>
          <w:color w:val="auto"/>
          <w:spacing w:val="60"/>
          <w:sz w:val="36"/>
          <w:szCs w:val="36"/>
        </w:rPr>
        <w:t>合同</w:t>
      </w:r>
    </w:p>
    <w:p>
      <w:pPr>
        <w:rPr>
          <w:rFonts w:ascii="宋体" w:hAnsi="宋体"/>
          <w:b/>
          <w:bCs/>
          <w:color w:val="auto"/>
          <w:sz w:val="36"/>
          <w:szCs w:val="36"/>
        </w:rPr>
      </w:pPr>
    </w:p>
    <w:p>
      <w:pPr>
        <w:spacing w:line="360" w:lineRule="auto"/>
        <w:ind w:firstLine="3000" w:firstLineChars="996"/>
        <w:rPr>
          <w:rFonts w:hAnsi="宋体"/>
          <w:b/>
          <w:color w:val="auto"/>
          <w:sz w:val="30"/>
          <w:szCs w:val="30"/>
        </w:rPr>
      </w:pPr>
      <w:r>
        <w:rPr>
          <w:rFonts w:hint="eastAsia" w:hAnsi="宋体"/>
          <w:b/>
          <w:color w:val="auto"/>
          <w:sz w:val="30"/>
          <w:szCs w:val="30"/>
        </w:rPr>
        <w:t>合同类别：货物竞争性谈判</w:t>
      </w:r>
    </w:p>
    <w:p>
      <w:pPr>
        <w:spacing w:line="360" w:lineRule="auto"/>
        <w:ind w:firstLine="3000" w:firstLineChars="996"/>
        <w:rPr>
          <w:rFonts w:hAnsi="宋体"/>
          <w:b/>
          <w:color w:val="auto"/>
          <w:sz w:val="30"/>
          <w:szCs w:val="30"/>
        </w:rPr>
      </w:pPr>
      <w:r>
        <w:rPr>
          <w:rFonts w:hint="eastAsia" w:hAnsi="宋体"/>
          <w:b/>
          <w:color w:val="auto"/>
          <w:sz w:val="30"/>
          <w:szCs w:val="30"/>
        </w:rPr>
        <w:t>合同编号：</w:t>
      </w:r>
    </w:p>
    <w:p>
      <w:pPr>
        <w:autoSpaceDE w:val="0"/>
        <w:autoSpaceDN w:val="0"/>
        <w:adjustRightInd w:val="0"/>
        <w:spacing w:line="360" w:lineRule="auto"/>
        <w:jc w:val="left"/>
        <w:rPr>
          <w:rFonts w:ascii="宋体" w:hAnsi="宋体"/>
          <w:color w:val="auto"/>
          <w:kern w:val="0"/>
          <w:sz w:val="24"/>
          <w:szCs w:val="20"/>
        </w:rPr>
      </w:pPr>
    </w:p>
    <w:p>
      <w:pPr>
        <w:autoSpaceDE w:val="0"/>
        <w:autoSpaceDN w:val="0"/>
        <w:adjustRightInd w:val="0"/>
        <w:spacing w:line="360" w:lineRule="auto"/>
        <w:jc w:val="left"/>
        <w:rPr>
          <w:rFonts w:ascii="宋体" w:hAnsi="宋体"/>
          <w:color w:val="auto"/>
          <w:kern w:val="0"/>
        </w:rPr>
      </w:pPr>
    </w:p>
    <w:p>
      <w:pPr>
        <w:autoSpaceDE w:val="0"/>
        <w:autoSpaceDN w:val="0"/>
        <w:adjustRightInd w:val="0"/>
        <w:spacing w:line="360" w:lineRule="auto"/>
        <w:jc w:val="left"/>
        <w:rPr>
          <w:rFonts w:ascii="宋体" w:hAnsi="宋体"/>
          <w:color w:val="auto"/>
          <w:kern w:val="0"/>
        </w:rPr>
      </w:pPr>
    </w:p>
    <w:p>
      <w:pPr>
        <w:autoSpaceDE w:val="0"/>
        <w:autoSpaceDN w:val="0"/>
        <w:adjustRightInd w:val="0"/>
        <w:spacing w:line="360" w:lineRule="auto"/>
        <w:jc w:val="left"/>
        <w:rPr>
          <w:rFonts w:ascii="宋体" w:hAnsi="宋体"/>
          <w:color w:val="auto"/>
          <w:kern w:val="0"/>
        </w:rPr>
      </w:pPr>
    </w:p>
    <w:p>
      <w:pPr>
        <w:autoSpaceDE w:val="0"/>
        <w:autoSpaceDN w:val="0"/>
        <w:adjustRightInd w:val="0"/>
        <w:spacing w:line="360" w:lineRule="auto"/>
        <w:jc w:val="left"/>
        <w:rPr>
          <w:rFonts w:ascii="宋体" w:hAnsi="宋体"/>
          <w:color w:val="auto"/>
          <w:kern w:val="0"/>
        </w:rPr>
      </w:pPr>
    </w:p>
    <w:p>
      <w:pPr>
        <w:autoSpaceDE w:val="0"/>
        <w:autoSpaceDN w:val="0"/>
        <w:adjustRightInd w:val="0"/>
        <w:spacing w:line="360" w:lineRule="auto"/>
        <w:jc w:val="left"/>
        <w:rPr>
          <w:rFonts w:ascii="宋体" w:hAnsi="宋体"/>
          <w:color w:val="auto"/>
          <w:kern w:val="0"/>
        </w:rPr>
      </w:pPr>
    </w:p>
    <w:p>
      <w:pPr>
        <w:autoSpaceDE w:val="0"/>
        <w:autoSpaceDN w:val="0"/>
        <w:adjustRightInd w:val="0"/>
        <w:spacing w:line="360" w:lineRule="auto"/>
        <w:jc w:val="left"/>
        <w:rPr>
          <w:rFonts w:ascii="宋体" w:hAnsi="宋体"/>
          <w:color w:val="auto"/>
          <w:kern w:val="0"/>
        </w:rPr>
      </w:pPr>
    </w:p>
    <w:p>
      <w:pPr>
        <w:autoSpaceDE w:val="0"/>
        <w:autoSpaceDN w:val="0"/>
        <w:adjustRightInd w:val="0"/>
        <w:spacing w:line="360" w:lineRule="auto"/>
        <w:jc w:val="left"/>
        <w:rPr>
          <w:rFonts w:ascii="宋体" w:hAnsi="宋体"/>
          <w:color w:val="auto"/>
          <w:kern w:val="0"/>
        </w:rPr>
      </w:pPr>
    </w:p>
    <w:p>
      <w:pPr>
        <w:autoSpaceDE w:val="0"/>
        <w:autoSpaceDN w:val="0"/>
        <w:adjustRightInd w:val="0"/>
        <w:spacing w:line="360" w:lineRule="auto"/>
        <w:jc w:val="left"/>
        <w:rPr>
          <w:rFonts w:ascii="宋体" w:hAnsi="宋体"/>
          <w:color w:val="auto"/>
          <w:kern w:val="0"/>
        </w:rPr>
      </w:pPr>
      <w:r>
        <w:rPr>
          <w:rFonts w:hint="eastAsia" w:ascii="宋体" w:hAnsi="宋体"/>
          <w:color w:val="auto"/>
          <w:kern w:val="0"/>
        </w:rPr>
        <w:t xml:space="preserve"> </w:t>
      </w:r>
    </w:p>
    <w:p>
      <w:pPr>
        <w:autoSpaceDE w:val="0"/>
        <w:autoSpaceDN w:val="0"/>
        <w:adjustRightInd w:val="0"/>
        <w:spacing w:line="360" w:lineRule="auto"/>
        <w:ind w:firstLine="551" w:firstLineChars="196"/>
        <w:rPr>
          <w:rFonts w:ascii="宋体" w:hAnsi="宋体"/>
          <w:b/>
          <w:color w:val="auto"/>
          <w:kern w:val="0"/>
          <w:sz w:val="28"/>
          <w:szCs w:val="28"/>
          <w:u w:val="single"/>
        </w:rPr>
      </w:pPr>
      <w:r>
        <w:rPr>
          <w:rFonts w:hint="eastAsia" w:ascii="宋体" w:hAnsi="宋体"/>
          <w:b/>
          <w:color w:val="auto"/>
          <w:kern w:val="0"/>
          <w:sz w:val="28"/>
          <w:szCs w:val="28"/>
        </w:rPr>
        <w:t>采  购  人：</w:t>
      </w:r>
      <w:r>
        <w:rPr>
          <w:rFonts w:hint="eastAsia" w:ascii="宋体" w:hAnsi="宋体"/>
          <w:b/>
          <w:color w:val="auto"/>
          <w:kern w:val="0"/>
          <w:sz w:val="28"/>
          <w:szCs w:val="28"/>
          <w:u w:val="single"/>
        </w:rPr>
        <w:t xml:space="preserve">                                         </w:t>
      </w:r>
    </w:p>
    <w:p>
      <w:pPr>
        <w:autoSpaceDE w:val="0"/>
        <w:autoSpaceDN w:val="0"/>
        <w:adjustRightInd w:val="0"/>
        <w:spacing w:line="360" w:lineRule="auto"/>
        <w:ind w:firstLine="551" w:firstLineChars="196"/>
        <w:rPr>
          <w:rFonts w:ascii="宋体" w:hAnsi="宋体"/>
          <w:b/>
          <w:color w:val="auto"/>
          <w:kern w:val="0"/>
          <w:sz w:val="28"/>
          <w:szCs w:val="28"/>
          <w:u w:val="single"/>
        </w:rPr>
      </w:pPr>
      <w:r>
        <w:rPr>
          <w:rFonts w:hint="eastAsia" w:ascii="宋体" w:hAnsi="宋体"/>
          <w:b/>
          <w:color w:val="auto"/>
          <w:kern w:val="0"/>
          <w:sz w:val="28"/>
          <w:szCs w:val="28"/>
        </w:rPr>
        <w:t>成交供应商：</w:t>
      </w:r>
      <w:r>
        <w:rPr>
          <w:rFonts w:hint="eastAsia" w:ascii="宋体" w:hAnsi="宋体"/>
          <w:b/>
          <w:color w:val="auto"/>
          <w:kern w:val="0"/>
          <w:sz w:val="28"/>
          <w:szCs w:val="28"/>
          <w:u w:val="single"/>
        </w:rPr>
        <w:t xml:space="preserve">                                         </w:t>
      </w:r>
    </w:p>
    <w:p>
      <w:pPr>
        <w:jc w:val="center"/>
        <w:rPr>
          <w:b/>
          <w:color w:val="auto"/>
          <w:sz w:val="36"/>
          <w:szCs w:val="36"/>
        </w:rPr>
      </w:pPr>
    </w:p>
    <w:p>
      <w:pPr>
        <w:jc w:val="center"/>
        <w:rPr>
          <w:b/>
          <w:color w:val="auto"/>
          <w:sz w:val="36"/>
          <w:szCs w:val="36"/>
        </w:rPr>
      </w:pPr>
      <w:r>
        <w:rPr>
          <w:b/>
          <w:color w:val="auto"/>
          <w:sz w:val="36"/>
          <w:szCs w:val="36"/>
        </w:rPr>
        <w:br w:type="page"/>
      </w:r>
      <w:r>
        <w:rPr>
          <w:rFonts w:hint="eastAsia"/>
          <w:b/>
          <w:color w:val="auto"/>
          <w:sz w:val="36"/>
          <w:szCs w:val="36"/>
        </w:rPr>
        <w:t>目</w:t>
      </w:r>
      <w:r>
        <w:rPr>
          <w:b/>
          <w:color w:val="auto"/>
          <w:sz w:val="36"/>
          <w:szCs w:val="36"/>
        </w:rPr>
        <w:t xml:space="preserve">  </w:t>
      </w:r>
      <w:r>
        <w:rPr>
          <w:rFonts w:hint="eastAsia"/>
          <w:b/>
          <w:color w:val="auto"/>
          <w:sz w:val="36"/>
          <w:szCs w:val="36"/>
        </w:rPr>
        <w:t>录</w:t>
      </w:r>
    </w:p>
    <w:p>
      <w:pPr>
        <w:tabs>
          <w:tab w:val="left" w:pos="1170"/>
        </w:tabs>
        <w:spacing w:line="360" w:lineRule="auto"/>
        <w:ind w:left="359" w:leftChars="171" w:firstLine="198" w:firstLineChars="71"/>
        <w:rPr>
          <w:rFonts w:ascii="宋体" w:hAnsi="宋体"/>
          <w:color w:val="auto"/>
          <w:sz w:val="28"/>
        </w:rPr>
      </w:pPr>
      <w:r>
        <w:rPr>
          <w:rFonts w:hint="eastAsia" w:ascii="宋体" w:hAnsi="宋体"/>
          <w:color w:val="auto"/>
          <w:sz w:val="28"/>
        </w:rPr>
        <w:tab/>
      </w:r>
    </w:p>
    <w:p>
      <w:pPr>
        <w:rPr>
          <w:color w:val="auto"/>
          <w:sz w:val="30"/>
          <w:szCs w:val="30"/>
        </w:rPr>
      </w:pPr>
      <w:r>
        <w:rPr>
          <w:rFonts w:hint="eastAsia"/>
          <w:color w:val="auto"/>
          <w:sz w:val="30"/>
          <w:szCs w:val="30"/>
        </w:rPr>
        <w:t>一、南宁市政府采购合同书</w:t>
      </w:r>
      <w:r>
        <w:rPr>
          <w:color w:val="auto"/>
          <w:sz w:val="30"/>
          <w:szCs w:val="30"/>
        </w:rPr>
        <w:t xml:space="preserve"> </w:t>
      </w:r>
    </w:p>
    <w:p>
      <w:pPr>
        <w:rPr>
          <w:color w:val="auto"/>
          <w:sz w:val="30"/>
          <w:szCs w:val="30"/>
        </w:rPr>
      </w:pPr>
      <w:r>
        <w:rPr>
          <w:rFonts w:hint="eastAsia"/>
          <w:color w:val="auto"/>
          <w:sz w:val="30"/>
          <w:szCs w:val="30"/>
        </w:rPr>
        <w:t>二、补充协议（如有请提供）</w:t>
      </w:r>
      <w:r>
        <w:rPr>
          <w:color w:val="auto"/>
          <w:sz w:val="30"/>
          <w:szCs w:val="30"/>
        </w:rPr>
        <w:t xml:space="preserve">                                             </w:t>
      </w:r>
    </w:p>
    <w:p>
      <w:pPr>
        <w:rPr>
          <w:color w:val="auto"/>
          <w:sz w:val="30"/>
          <w:szCs w:val="30"/>
        </w:rPr>
      </w:pPr>
      <w:r>
        <w:rPr>
          <w:rFonts w:hint="eastAsia"/>
          <w:color w:val="auto"/>
          <w:sz w:val="30"/>
          <w:szCs w:val="30"/>
        </w:rPr>
        <w:t>三、合同附件</w:t>
      </w:r>
    </w:p>
    <w:p>
      <w:pPr>
        <w:pStyle w:val="24"/>
        <w:spacing w:line="360" w:lineRule="auto"/>
        <w:ind w:firstLine="560" w:firstLineChars="200"/>
        <w:rPr>
          <w:rFonts w:hAnsi="宋体"/>
          <w:color w:val="auto"/>
          <w:sz w:val="28"/>
          <w:szCs w:val="28"/>
        </w:rPr>
      </w:pPr>
      <w:r>
        <w:rPr>
          <w:rFonts w:hint="eastAsia" w:hAnsi="宋体"/>
          <w:color w:val="auto"/>
          <w:sz w:val="28"/>
          <w:szCs w:val="28"/>
        </w:rPr>
        <w:t>1、成交通知书</w:t>
      </w:r>
    </w:p>
    <w:p>
      <w:pPr>
        <w:pStyle w:val="24"/>
        <w:spacing w:line="360" w:lineRule="auto"/>
        <w:ind w:firstLine="560" w:firstLineChars="200"/>
        <w:rPr>
          <w:rFonts w:hAnsi="宋体"/>
          <w:color w:val="auto"/>
          <w:sz w:val="28"/>
          <w:szCs w:val="28"/>
        </w:rPr>
      </w:pPr>
      <w:r>
        <w:rPr>
          <w:rFonts w:hint="eastAsia" w:hAnsi="宋体"/>
          <w:color w:val="auto"/>
          <w:sz w:val="28"/>
          <w:szCs w:val="28"/>
        </w:rPr>
        <w:t>2、竞争性谈判采购文件项目需求一览表</w:t>
      </w:r>
    </w:p>
    <w:p>
      <w:pPr>
        <w:pStyle w:val="24"/>
        <w:spacing w:line="360" w:lineRule="auto"/>
        <w:ind w:firstLine="560" w:firstLineChars="200"/>
        <w:rPr>
          <w:rFonts w:hAnsi="宋体"/>
          <w:color w:val="auto"/>
          <w:sz w:val="28"/>
          <w:szCs w:val="28"/>
        </w:rPr>
      </w:pPr>
      <w:r>
        <w:rPr>
          <w:rFonts w:hint="eastAsia" w:hAnsi="宋体"/>
          <w:color w:val="auto"/>
          <w:sz w:val="28"/>
          <w:szCs w:val="28"/>
        </w:rPr>
        <w:t>3、竞争性谈判采购文件的</w:t>
      </w:r>
      <w:r>
        <w:rPr>
          <w:rFonts w:hint="eastAsia" w:hAnsi="宋体"/>
          <w:color w:val="auto"/>
          <w:sz w:val="28"/>
        </w:rPr>
        <w:t>更改通知</w:t>
      </w:r>
      <w:r>
        <w:rPr>
          <w:rFonts w:hint="eastAsia"/>
          <w:color w:val="auto"/>
          <w:sz w:val="28"/>
          <w:szCs w:val="28"/>
        </w:rPr>
        <w:t>（如有请提</w:t>
      </w:r>
      <w:r>
        <w:rPr>
          <w:rFonts w:hint="eastAsia"/>
          <w:color w:val="auto"/>
          <w:sz w:val="30"/>
          <w:szCs w:val="30"/>
        </w:rPr>
        <w:t>供</w:t>
      </w:r>
      <w:r>
        <w:rPr>
          <w:rFonts w:hint="eastAsia"/>
          <w:color w:val="auto"/>
          <w:sz w:val="28"/>
          <w:szCs w:val="28"/>
        </w:rPr>
        <w:t>）</w:t>
      </w:r>
    </w:p>
    <w:p>
      <w:pPr>
        <w:ind w:firstLine="560" w:firstLineChars="200"/>
        <w:rPr>
          <w:rFonts w:ascii="宋体" w:hAnsi="宋体"/>
          <w:color w:val="auto"/>
          <w:sz w:val="28"/>
          <w:szCs w:val="28"/>
        </w:rPr>
      </w:pPr>
      <w:r>
        <w:rPr>
          <w:color w:val="auto"/>
          <w:sz w:val="28"/>
          <w:szCs w:val="28"/>
        </w:rPr>
        <w:t>4</w:t>
      </w:r>
      <w:r>
        <w:rPr>
          <w:rFonts w:hint="eastAsia"/>
          <w:color w:val="auto"/>
          <w:sz w:val="28"/>
          <w:szCs w:val="28"/>
        </w:rPr>
        <w:t>、竞标函</w:t>
      </w:r>
    </w:p>
    <w:p>
      <w:pPr>
        <w:pStyle w:val="24"/>
        <w:spacing w:line="360" w:lineRule="auto"/>
        <w:ind w:firstLine="560" w:firstLineChars="200"/>
        <w:rPr>
          <w:rFonts w:hAnsi="宋体"/>
          <w:color w:val="auto"/>
          <w:sz w:val="28"/>
          <w:szCs w:val="28"/>
        </w:rPr>
      </w:pPr>
      <w:r>
        <w:rPr>
          <w:rFonts w:hint="eastAsia" w:hAnsi="宋体"/>
          <w:color w:val="auto"/>
          <w:sz w:val="28"/>
          <w:szCs w:val="28"/>
        </w:rPr>
        <w:t>5、报价表</w:t>
      </w:r>
    </w:p>
    <w:p>
      <w:pPr>
        <w:pStyle w:val="24"/>
        <w:spacing w:line="360" w:lineRule="auto"/>
        <w:ind w:firstLine="560" w:firstLineChars="200"/>
        <w:rPr>
          <w:rFonts w:hAnsi="宋体"/>
          <w:color w:val="auto"/>
          <w:sz w:val="28"/>
          <w:szCs w:val="28"/>
        </w:rPr>
      </w:pPr>
      <w:r>
        <w:rPr>
          <w:rFonts w:hint="eastAsia" w:hAnsi="宋体"/>
          <w:color w:val="auto"/>
          <w:sz w:val="28"/>
          <w:szCs w:val="28"/>
        </w:rPr>
        <w:t>6、竞标产品技术资料表</w:t>
      </w:r>
    </w:p>
    <w:p>
      <w:pPr>
        <w:pStyle w:val="24"/>
        <w:spacing w:line="360" w:lineRule="auto"/>
        <w:ind w:firstLine="560" w:firstLineChars="200"/>
        <w:rPr>
          <w:rFonts w:hAnsi="宋体"/>
          <w:color w:val="auto"/>
          <w:sz w:val="28"/>
          <w:szCs w:val="28"/>
        </w:rPr>
      </w:pPr>
      <w:r>
        <w:rPr>
          <w:rFonts w:hint="eastAsia" w:hAnsi="宋体"/>
          <w:color w:val="auto"/>
          <w:sz w:val="28"/>
          <w:szCs w:val="28"/>
        </w:rPr>
        <w:t>7、商务条款偏离表</w:t>
      </w:r>
    </w:p>
    <w:p>
      <w:pPr>
        <w:pStyle w:val="24"/>
        <w:spacing w:line="360" w:lineRule="auto"/>
        <w:ind w:firstLine="560" w:firstLineChars="200"/>
        <w:rPr>
          <w:rFonts w:hAnsi="宋体"/>
          <w:color w:val="auto"/>
          <w:sz w:val="28"/>
          <w:szCs w:val="28"/>
        </w:rPr>
      </w:pPr>
      <w:r>
        <w:rPr>
          <w:rFonts w:hint="eastAsia" w:hAnsi="宋体"/>
          <w:color w:val="auto"/>
          <w:sz w:val="28"/>
          <w:szCs w:val="28"/>
        </w:rPr>
        <w:t>8、谈判文件</w:t>
      </w:r>
    </w:p>
    <w:p>
      <w:pPr>
        <w:pStyle w:val="24"/>
        <w:spacing w:line="360" w:lineRule="auto"/>
        <w:ind w:firstLine="560" w:firstLineChars="200"/>
        <w:rPr>
          <w:rFonts w:hAnsi="宋体"/>
          <w:color w:val="auto"/>
          <w:sz w:val="28"/>
          <w:szCs w:val="28"/>
        </w:rPr>
      </w:pPr>
      <w:r>
        <w:rPr>
          <w:rFonts w:hint="eastAsia" w:hAnsi="宋体"/>
          <w:color w:val="auto"/>
          <w:sz w:val="28"/>
          <w:szCs w:val="28"/>
        </w:rPr>
        <w:t>9、成交供应商澄清函（如有请提</w:t>
      </w:r>
      <w:r>
        <w:rPr>
          <w:rFonts w:hint="eastAsia"/>
          <w:color w:val="auto"/>
          <w:sz w:val="30"/>
          <w:szCs w:val="30"/>
        </w:rPr>
        <w:t>供</w:t>
      </w:r>
      <w:r>
        <w:rPr>
          <w:rFonts w:hint="eastAsia" w:hAnsi="宋体"/>
          <w:color w:val="auto"/>
          <w:sz w:val="28"/>
          <w:szCs w:val="28"/>
        </w:rPr>
        <w:t>）</w:t>
      </w:r>
    </w:p>
    <w:p>
      <w:pPr>
        <w:pStyle w:val="24"/>
        <w:spacing w:line="360" w:lineRule="auto"/>
        <w:ind w:firstLine="560" w:firstLineChars="200"/>
        <w:rPr>
          <w:rFonts w:hAnsi="宋体"/>
          <w:color w:val="auto"/>
          <w:sz w:val="28"/>
          <w:szCs w:val="28"/>
        </w:rPr>
      </w:pPr>
      <w:r>
        <w:rPr>
          <w:rFonts w:hint="eastAsia" w:hAnsi="宋体"/>
          <w:color w:val="auto"/>
          <w:sz w:val="28"/>
          <w:szCs w:val="28"/>
        </w:rPr>
        <w:t>10、最终报价</w:t>
      </w:r>
    </w:p>
    <w:p>
      <w:pPr>
        <w:pStyle w:val="24"/>
        <w:spacing w:line="360" w:lineRule="auto"/>
        <w:ind w:firstLine="560" w:firstLineChars="200"/>
        <w:rPr>
          <w:rFonts w:hAnsi="宋体"/>
          <w:color w:val="auto"/>
          <w:sz w:val="28"/>
          <w:szCs w:val="28"/>
        </w:rPr>
      </w:pPr>
      <w:r>
        <w:rPr>
          <w:rFonts w:hint="eastAsia"/>
          <w:color w:val="auto"/>
          <w:sz w:val="28"/>
          <w:szCs w:val="28"/>
        </w:rPr>
        <w:t>11、其他与本合同相关的资料（如有请提</w:t>
      </w:r>
      <w:r>
        <w:rPr>
          <w:rFonts w:hint="eastAsia"/>
          <w:color w:val="auto"/>
          <w:sz w:val="30"/>
          <w:szCs w:val="30"/>
        </w:rPr>
        <w:t>供）</w:t>
      </w:r>
    </w:p>
    <w:p>
      <w:pPr>
        <w:pStyle w:val="24"/>
        <w:spacing w:line="360" w:lineRule="auto"/>
        <w:ind w:firstLine="560" w:firstLineChars="200"/>
        <w:rPr>
          <w:rFonts w:hAnsi="宋体"/>
          <w:color w:val="auto"/>
          <w:sz w:val="28"/>
          <w:szCs w:val="28"/>
        </w:rPr>
      </w:pPr>
    </w:p>
    <w:p>
      <w:pPr>
        <w:rPr>
          <w:color w:val="auto"/>
          <w:sz w:val="30"/>
          <w:szCs w:val="30"/>
        </w:rPr>
      </w:pPr>
    </w:p>
    <w:p>
      <w:pPr>
        <w:spacing w:line="360" w:lineRule="auto"/>
        <w:jc w:val="center"/>
        <w:rPr>
          <w:b/>
          <w:color w:val="auto"/>
          <w:sz w:val="30"/>
          <w:szCs w:val="30"/>
        </w:rPr>
      </w:pPr>
    </w:p>
    <w:p>
      <w:pPr>
        <w:spacing w:line="360" w:lineRule="auto"/>
        <w:jc w:val="center"/>
        <w:rPr>
          <w:b/>
          <w:color w:val="auto"/>
          <w:sz w:val="30"/>
          <w:szCs w:val="30"/>
        </w:rPr>
      </w:pPr>
    </w:p>
    <w:p>
      <w:pPr>
        <w:spacing w:line="360" w:lineRule="auto"/>
        <w:jc w:val="center"/>
        <w:rPr>
          <w:b/>
          <w:color w:val="auto"/>
          <w:sz w:val="30"/>
          <w:szCs w:val="30"/>
        </w:rPr>
      </w:pPr>
    </w:p>
    <w:p>
      <w:pPr>
        <w:spacing w:line="360" w:lineRule="auto"/>
        <w:jc w:val="center"/>
        <w:rPr>
          <w:rFonts w:ascii="宋体" w:hAnsi="宋体"/>
          <w:b/>
          <w:bCs/>
          <w:color w:val="auto"/>
          <w:sz w:val="30"/>
          <w:szCs w:val="30"/>
        </w:rPr>
      </w:pPr>
      <w:r>
        <w:rPr>
          <w:b/>
          <w:color w:val="auto"/>
          <w:sz w:val="30"/>
          <w:szCs w:val="30"/>
        </w:rPr>
        <w:br w:type="page"/>
      </w:r>
      <w:r>
        <w:rPr>
          <w:rFonts w:hint="eastAsia"/>
          <w:b/>
          <w:color w:val="auto"/>
          <w:sz w:val="30"/>
          <w:szCs w:val="30"/>
        </w:rPr>
        <w:t>南宁市政府采购合同书</w:t>
      </w:r>
    </w:p>
    <w:p>
      <w:pPr>
        <w:pStyle w:val="24"/>
        <w:spacing w:line="360" w:lineRule="auto"/>
        <w:rPr>
          <w:rFonts w:hAnsi="宋体"/>
          <w:color w:val="auto"/>
        </w:rPr>
      </w:pPr>
    </w:p>
    <w:p>
      <w:pPr>
        <w:pStyle w:val="24"/>
        <w:spacing w:line="360" w:lineRule="auto"/>
        <w:rPr>
          <w:rFonts w:hAnsi="宋体"/>
          <w:color w:val="auto"/>
        </w:rPr>
      </w:pPr>
      <w:r>
        <w:rPr>
          <w:rFonts w:hint="eastAsia" w:hAnsi="宋体"/>
          <w:color w:val="auto"/>
        </w:rPr>
        <w:t>合同名称：</w:t>
      </w:r>
      <w:r>
        <w:rPr>
          <w:rFonts w:hint="eastAsia" w:hAnsi="宋体"/>
          <w:color w:val="auto"/>
          <w:u w:val="single"/>
        </w:rPr>
        <w:t xml:space="preserve">                                                                      </w:t>
      </w:r>
    </w:p>
    <w:p>
      <w:pPr>
        <w:pStyle w:val="24"/>
        <w:spacing w:line="360" w:lineRule="auto"/>
        <w:rPr>
          <w:rFonts w:hAnsi="宋体"/>
          <w:color w:val="auto"/>
          <w:u w:val="single"/>
        </w:rPr>
      </w:pPr>
      <w:r>
        <w:rPr>
          <w:rFonts w:hint="eastAsia" w:hAnsi="宋体"/>
          <w:color w:val="auto"/>
        </w:rPr>
        <w:t>合同编号：</w:t>
      </w:r>
      <w:r>
        <w:rPr>
          <w:rFonts w:hint="eastAsia" w:hAnsi="宋体"/>
          <w:color w:val="auto"/>
          <w:u w:val="single"/>
        </w:rPr>
        <w:t xml:space="preserve">                                     </w:t>
      </w:r>
    </w:p>
    <w:p>
      <w:pPr>
        <w:pStyle w:val="24"/>
        <w:spacing w:line="360" w:lineRule="auto"/>
        <w:rPr>
          <w:rFonts w:hAnsi="宋体"/>
          <w:color w:val="auto"/>
        </w:rPr>
      </w:pPr>
      <w:r>
        <w:rPr>
          <w:rFonts w:hint="eastAsia" w:hAnsi="宋体"/>
          <w:color w:val="auto"/>
        </w:rPr>
        <w:t>分标号（有分标时填写）：</w:t>
      </w:r>
      <w:r>
        <w:rPr>
          <w:rFonts w:hint="eastAsia" w:hAnsi="宋体"/>
          <w:color w:val="auto"/>
          <w:u w:val="single"/>
        </w:rPr>
        <w:t xml:space="preserve">                        </w:t>
      </w:r>
    </w:p>
    <w:p>
      <w:pPr>
        <w:pStyle w:val="24"/>
        <w:spacing w:line="360" w:lineRule="auto"/>
        <w:rPr>
          <w:rFonts w:hAnsi="宋体"/>
          <w:color w:val="auto"/>
        </w:rPr>
      </w:pPr>
    </w:p>
    <w:p>
      <w:pPr>
        <w:pStyle w:val="24"/>
        <w:spacing w:line="360" w:lineRule="auto"/>
        <w:rPr>
          <w:rFonts w:hAnsi="宋体"/>
          <w:color w:val="auto"/>
        </w:rPr>
      </w:pPr>
      <w:r>
        <w:rPr>
          <w:rFonts w:hint="eastAsia" w:hAnsi="宋体"/>
          <w:color w:val="auto"/>
        </w:rPr>
        <w:t xml:space="preserve">采购人（甲方）： </w:t>
      </w:r>
      <w:r>
        <w:rPr>
          <w:rFonts w:hint="eastAsia" w:hAnsi="宋体"/>
          <w:color w:val="auto"/>
          <w:u w:val="single"/>
        </w:rPr>
        <w:t xml:space="preserve">                                                                     </w:t>
      </w:r>
    </w:p>
    <w:p>
      <w:pPr>
        <w:pStyle w:val="24"/>
        <w:spacing w:line="360" w:lineRule="auto"/>
        <w:rPr>
          <w:rFonts w:hAnsi="宋体"/>
          <w:color w:val="auto"/>
        </w:rPr>
      </w:pPr>
      <w:r>
        <w:rPr>
          <w:rFonts w:hint="eastAsia" w:hAnsi="宋体"/>
          <w:color w:val="auto"/>
        </w:rPr>
        <w:t>成交供应商（乙方）：</w:t>
      </w:r>
      <w:r>
        <w:rPr>
          <w:rFonts w:hint="eastAsia" w:hAnsi="宋体"/>
          <w:b/>
          <w:color w:val="auto"/>
        </w:rPr>
        <w:t xml:space="preserve"> </w:t>
      </w:r>
      <w:r>
        <w:rPr>
          <w:rFonts w:hint="eastAsia" w:hAnsi="宋体"/>
          <w:color w:val="auto"/>
          <w:u w:val="single"/>
        </w:rPr>
        <w:t xml:space="preserve">                                                                 </w:t>
      </w:r>
    </w:p>
    <w:p>
      <w:pPr>
        <w:pStyle w:val="24"/>
        <w:spacing w:line="360" w:lineRule="auto"/>
        <w:rPr>
          <w:rFonts w:hAnsi="宋体"/>
          <w:b/>
          <w:color w:val="auto"/>
        </w:rPr>
      </w:pPr>
      <w:r>
        <w:rPr>
          <w:rFonts w:hint="eastAsia" w:hAnsi="宋体"/>
          <w:b/>
          <w:color w:val="auto"/>
        </w:rPr>
        <w:t xml:space="preserve">   </w:t>
      </w:r>
    </w:p>
    <w:p>
      <w:pPr>
        <w:pStyle w:val="24"/>
        <w:spacing w:line="360" w:lineRule="auto"/>
        <w:rPr>
          <w:rFonts w:hAnsi="宋体"/>
          <w:b/>
          <w:color w:val="auto"/>
        </w:rPr>
      </w:pPr>
      <w:r>
        <w:rPr>
          <w:rFonts w:hint="eastAsia" w:hAnsi="宋体"/>
          <w:color w:val="auto"/>
        </w:rPr>
        <w:t xml:space="preserve">    根据</w:t>
      </w: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int="eastAsia" w:hAnsi="宋体"/>
          <w:color w:val="auto"/>
        </w:rPr>
        <w:t>日南宁市政府采购项目的采购结果，甲方接受乙方对本项目的竞标，甲、乙双方同意签署本合同（以下简称合同）。</w:t>
      </w:r>
    </w:p>
    <w:p>
      <w:pPr>
        <w:pStyle w:val="24"/>
        <w:spacing w:line="480" w:lineRule="exact"/>
        <w:rPr>
          <w:rFonts w:hAnsi="宋体"/>
          <w:b/>
          <w:bCs/>
          <w:color w:val="auto"/>
          <w:sz w:val="24"/>
          <w:szCs w:val="24"/>
        </w:rPr>
      </w:pPr>
      <w:r>
        <w:rPr>
          <w:rFonts w:hint="eastAsia" w:hAnsi="宋体"/>
          <w:b/>
          <w:bCs/>
          <w:color w:val="auto"/>
          <w:sz w:val="24"/>
          <w:szCs w:val="24"/>
        </w:rPr>
        <w:t>1.  中标内容</w:t>
      </w:r>
    </w:p>
    <w:p>
      <w:pPr>
        <w:pStyle w:val="24"/>
        <w:tabs>
          <w:tab w:val="left" w:pos="5220"/>
        </w:tabs>
        <w:spacing w:line="480" w:lineRule="exact"/>
        <w:ind w:firstLine="360"/>
        <w:rPr>
          <w:rFonts w:hAnsi="宋体"/>
          <w:color w:val="auto"/>
        </w:rPr>
      </w:pPr>
      <w:r>
        <w:rPr>
          <w:rFonts w:hint="eastAsia" w:hAnsi="宋体"/>
          <w:color w:val="auto"/>
        </w:rPr>
        <w:t>1.1 货物名称：</w:t>
      </w:r>
      <w:r>
        <w:rPr>
          <w:rFonts w:hint="eastAsia" w:hAnsi="宋体"/>
          <w:color w:val="auto"/>
          <w:u w:val="single"/>
        </w:rPr>
        <w:t xml:space="preserve">详见合同附件中报价表 </w:t>
      </w:r>
    </w:p>
    <w:p>
      <w:pPr>
        <w:pStyle w:val="24"/>
        <w:spacing w:line="480" w:lineRule="exact"/>
        <w:ind w:firstLine="360"/>
        <w:rPr>
          <w:rFonts w:hAnsi="宋体"/>
          <w:color w:val="auto"/>
          <w:u w:val="single"/>
        </w:rPr>
      </w:pPr>
      <w:r>
        <w:rPr>
          <w:rFonts w:hint="eastAsia" w:hAnsi="宋体"/>
          <w:color w:val="auto"/>
        </w:rPr>
        <w:t>1.2 数量（单位）：</w:t>
      </w:r>
      <w:r>
        <w:rPr>
          <w:rFonts w:hint="eastAsia" w:hAnsi="宋体"/>
          <w:color w:val="auto"/>
          <w:u w:val="single"/>
        </w:rPr>
        <w:t xml:space="preserve">详见合同附件中报价表 </w:t>
      </w:r>
    </w:p>
    <w:p>
      <w:pPr>
        <w:pStyle w:val="24"/>
        <w:spacing w:line="480" w:lineRule="exact"/>
        <w:ind w:firstLine="360"/>
        <w:rPr>
          <w:rFonts w:hAnsi="宋体"/>
          <w:color w:val="auto"/>
          <w:u w:val="single"/>
        </w:rPr>
      </w:pPr>
      <w:r>
        <w:rPr>
          <w:rFonts w:hint="eastAsia" w:hAnsi="宋体"/>
          <w:color w:val="auto"/>
        </w:rPr>
        <w:t>1.3 品牌、厂家、型号、规格、配置及技术参数：</w:t>
      </w:r>
      <w:r>
        <w:rPr>
          <w:rFonts w:hint="eastAsia" w:hAnsi="宋体"/>
          <w:color w:val="auto"/>
          <w:u w:val="single"/>
        </w:rPr>
        <w:t xml:space="preserve">详见合同附件中竞标产品技术资料表及澄清函（竞标产品技术资料表与澄清函不一致的以澄清函为准） </w:t>
      </w:r>
    </w:p>
    <w:p>
      <w:pPr>
        <w:pStyle w:val="24"/>
        <w:spacing w:line="480" w:lineRule="exact"/>
        <w:ind w:firstLine="360"/>
        <w:rPr>
          <w:rFonts w:hAnsi="宋体"/>
          <w:color w:val="auto"/>
        </w:rPr>
      </w:pPr>
      <w:r>
        <w:rPr>
          <w:rFonts w:hint="eastAsia" w:hAnsi="宋体"/>
          <w:color w:val="auto"/>
        </w:rPr>
        <w:t>1.4 工程承包范围（如有工程量清单则填写）：</w:t>
      </w:r>
      <w:r>
        <w:rPr>
          <w:rFonts w:hint="eastAsia" w:hAnsi="宋体"/>
          <w:color w:val="auto"/>
          <w:u w:val="single"/>
        </w:rPr>
        <w:t>　　                                     　</w:t>
      </w:r>
    </w:p>
    <w:p>
      <w:pPr>
        <w:pStyle w:val="24"/>
        <w:spacing w:line="480" w:lineRule="exact"/>
        <w:rPr>
          <w:rFonts w:hAnsi="宋体"/>
          <w:b/>
          <w:bCs/>
          <w:color w:val="auto"/>
          <w:sz w:val="24"/>
          <w:szCs w:val="24"/>
        </w:rPr>
      </w:pPr>
      <w:r>
        <w:rPr>
          <w:rFonts w:hint="eastAsia" w:hAnsi="宋体"/>
          <w:b/>
          <w:bCs/>
          <w:color w:val="auto"/>
          <w:sz w:val="24"/>
          <w:szCs w:val="24"/>
        </w:rPr>
        <w:t>2.  合同金额</w:t>
      </w:r>
    </w:p>
    <w:p>
      <w:pPr>
        <w:pStyle w:val="24"/>
        <w:spacing w:line="480" w:lineRule="exact"/>
        <w:ind w:left="2" w:firstLine="359" w:firstLineChars="171"/>
        <w:rPr>
          <w:rFonts w:hAnsi="宋体"/>
          <w:color w:val="auto"/>
          <w:u w:val="single"/>
        </w:rPr>
      </w:pPr>
      <w:r>
        <w:rPr>
          <w:rFonts w:hint="eastAsia" w:hAnsi="宋体"/>
          <w:color w:val="auto"/>
        </w:rPr>
        <w:t>2.1 本合同金额为（大写）人民币</w:t>
      </w:r>
      <w:r>
        <w:rPr>
          <w:rFonts w:hint="eastAsia" w:hAnsi="宋体"/>
          <w:color w:val="auto"/>
          <w:u w:val="single"/>
        </w:rPr>
        <w:t xml:space="preserve">　　                                                   </w:t>
      </w:r>
    </w:p>
    <w:p>
      <w:pPr>
        <w:pStyle w:val="24"/>
        <w:spacing w:line="480" w:lineRule="exact"/>
        <w:ind w:left="2" w:firstLine="359" w:firstLineChars="171"/>
        <w:rPr>
          <w:rFonts w:hAnsi="宋体"/>
          <w:color w:val="auto"/>
        </w:rPr>
      </w:pPr>
      <w:r>
        <w:rPr>
          <w:rFonts w:hint="eastAsia" w:hAnsi="宋体"/>
          <w:color w:val="auto"/>
        </w:rPr>
        <w:t>（￥</w:t>
      </w:r>
      <w:r>
        <w:rPr>
          <w:rFonts w:hint="eastAsia" w:hAnsi="宋体"/>
          <w:color w:val="auto"/>
          <w:u w:val="single"/>
        </w:rPr>
        <w:t>　           　</w:t>
      </w:r>
      <w:r>
        <w:rPr>
          <w:rFonts w:hint="eastAsia" w:hAnsi="宋体"/>
          <w:color w:val="auto"/>
        </w:rPr>
        <w:t>元）。（详见最终报价）</w:t>
      </w:r>
    </w:p>
    <w:p>
      <w:pPr>
        <w:pStyle w:val="24"/>
        <w:tabs>
          <w:tab w:val="left" w:pos="5940"/>
        </w:tabs>
        <w:spacing w:line="480" w:lineRule="exact"/>
        <w:rPr>
          <w:rFonts w:hAnsi="宋体"/>
          <w:b/>
          <w:bCs/>
          <w:color w:val="auto"/>
          <w:sz w:val="24"/>
          <w:szCs w:val="24"/>
        </w:rPr>
      </w:pPr>
      <w:r>
        <w:rPr>
          <w:rFonts w:hint="eastAsia" w:hAnsi="宋体"/>
          <w:b/>
          <w:bCs/>
          <w:color w:val="auto"/>
          <w:sz w:val="24"/>
          <w:szCs w:val="24"/>
        </w:rPr>
        <w:t>3.  交货要求</w:t>
      </w:r>
    </w:p>
    <w:p>
      <w:pPr>
        <w:pStyle w:val="24"/>
        <w:tabs>
          <w:tab w:val="left" w:pos="5220"/>
        </w:tabs>
        <w:spacing w:line="480" w:lineRule="exact"/>
        <w:ind w:firstLine="360"/>
        <w:rPr>
          <w:rFonts w:hAnsi="宋体"/>
          <w:bCs/>
          <w:color w:val="auto"/>
          <w:u w:val="single"/>
        </w:rPr>
      </w:pPr>
      <w:r>
        <w:rPr>
          <w:rFonts w:hint="eastAsia" w:hAnsi="宋体"/>
          <w:bCs/>
          <w:color w:val="auto"/>
        </w:rPr>
        <w:t xml:space="preserve">3.1 交货期： </w:t>
      </w:r>
      <w:r>
        <w:rPr>
          <w:rFonts w:hint="eastAsia" w:hAnsi="宋体"/>
          <w:bCs/>
          <w:color w:val="auto"/>
          <w:u w:val="single"/>
        </w:rPr>
        <w:t xml:space="preserve">                                                                       </w:t>
      </w:r>
    </w:p>
    <w:p>
      <w:pPr>
        <w:pStyle w:val="24"/>
        <w:spacing w:line="480" w:lineRule="exact"/>
        <w:ind w:firstLine="360"/>
        <w:rPr>
          <w:rFonts w:hAnsi="宋体"/>
          <w:bCs/>
          <w:color w:val="auto"/>
        </w:rPr>
      </w:pPr>
      <w:r>
        <w:rPr>
          <w:rFonts w:hint="eastAsia" w:hAnsi="宋体"/>
          <w:bCs/>
          <w:color w:val="auto"/>
        </w:rPr>
        <w:t xml:space="preserve">3.2 交货地点： </w:t>
      </w:r>
      <w:r>
        <w:rPr>
          <w:rFonts w:hint="eastAsia" w:hAnsi="宋体"/>
          <w:bCs/>
          <w:color w:val="auto"/>
          <w:u w:val="single"/>
        </w:rPr>
        <w:t xml:space="preserve">                                                                    </w:t>
      </w:r>
    </w:p>
    <w:p>
      <w:pPr>
        <w:pStyle w:val="24"/>
        <w:tabs>
          <w:tab w:val="left" w:pos="5220"/>
          <w:tab w:val="left" w:pos="6120"/>
        </w:tabs>
        <w:spacing w:line="480" w:lineRule="exact"/>
        <w:ind w:firstLine="360"/>
        <w:rPr>
          <w:rFonts w:hAnsi="宋体"/>
          <w:bCs/>
          <w:color w:val="auto"/>
        </w:rPr>
      </w:pPr>
      <w:r>
        <w:rPr>
          <w:rFonts w:hint="eastAsia" w:hAnsi="宋体"/>
          <w:bCs/>
          <w:color w:val="auto"/>
        </w:rPr>
        <w:t>3.3 交货方式：</w:t>
      </w:r>
      <w:r>
        <w:rPr>
          <w:rFonts w:hint="eastAsia" w:hAnsi="宋体"/>
          <w:color w:val="auto"/>
          <w:u w:val="single"/>
        </w:rPr>
        <w:t xml:space="preserve">                                                                     </w:t>
      </w:r>
    </w:p>
    <w:p>
      <w:pPr>
        <w:pStyle w:val="24"/>
        <w:spacing w:line="480" w:lineRule="exact"/>
        <w:ind w:firstLine="360"/>
        <w:rPr>
          <w:rFonts w:hAnsi="宋体"/>
          <w:b/>
          <w:color w:val="auto"/>
        </w:rPr>
      </w:pPr>
      <w:r>
        <w:rPr>
          <w:rFonts w:hint="eastAsia" w:hAnsi="宋体"/>
          <w:bCs/>
          <w:color w:val="auto"/>
        </w:rPr>
        <w:t xml:space="preserve">3.4 </w:t>
      </w:r>
      <w:r>
        <w:rPr>
          <w:rFonts w:hint="eastAsia" w:hAnsi="宋体"/>
          <w:color w:val="auto"/>
        </w:rPr>
        <w:t>乙方必须按竞标文件承诺的技术参数、性能要求、质量标准等向甲方提供全新、完整、未经使用的货物。</w:t>
      </w:r>
    </w:p>
    <w:p>
      <w:pPr>
        <w:pStyle w:val="24"/>
        <w:spacing w:line="480" w:lineRule="exact"/>
        <w:ind w:left="410" w:hanging="410" w:hangingChars="170"/>
        <w:rPr>
          <w:rFonts w:hAnsi="宋体"/>
          <w:b/>
          <w:color w:val="auto"/>
        </w:rPr>
      </w:pPr>
      <w:r>
        <w:rPr>
          <w:rFonts w:hint="eastAsia" w:hAnsi="宋体"/>
          <w:b/>
          <w:bCs/>
          <w:color w:val="auto"/>
          <w:sz w:val="24"/>
          <w:szCs w:val="24"/>
        </w:rPr>
        <w:t>4.  履约保证金</w:t>
      </w:r>
    </w:p>
    <w:p>
      <w:pPr>
        <w:pStyle w:val="24"/>
        <w:spacing w:line="480" w:lineRule="exact"/>
        <w:rPr>
          <w:rFonts w:hAnsi="宋体"/>
          <w:color w:val="auto"/>
        </w:rPr>
      </w:pPr>
      <w:r>
        <w:rPr>
          <w:rFonts w:hint="eastAsia" w:hAnsi="宋体"/>
          <w:color w:val="auto"/>
        </w:rPr>
        <w:t>本项目无须交纳履约保证金。</w:t>
      </w:r>
    </w:p>
    <w:p>
      <w:pPr>
        <w:pStyle w:val="24"/>
        <w:spacing w:line="480" w:lineRule="exact"/>
        <w:rPr>
          <w:rFonts w:hAnsi="宋体"/>
          <w:b/>
          <w:bCs/>
          <w:color w:val="auto"/>
          <w:sz w:val="24"/>
          <w:szCs w:val="24"/>
        </w:rPr>
      </w:pPr>
      <w:r>
        <w:rPr>
          <w:rFonts w:hint="eastAsia" w:hAnsi="宋体"/>
          <w:b/>
          <w:bCs/>
          <w:color w:val="auto"/>
          <w:sz w:val="24"/>
          <w:szCs w:val="24"/>
        </w:rPr>
        <w:t>5.  质量保证及售后服务</w:t>
      </w:r>
    </w:p>
    <w:p>
      <w:pPr>
        <w:pStyle w:val="24"/>
        <w:spacing w:line="480" w:lineRule="exact"/>
        <w:ind w:left="2" w:firstLine="359" w:firstLineChars="171"/>
        <w:rPr>
          <w:rFonts w:hAnsi="宋体"/>
          <w:color w:val="auto"/>
        </w:rPr>
      </w:pPr>
      <w:r>
        <w:rPr>
          <w:rFonts w:hint="eastAsia" w:hAnsi="宋体"/>
          <w:color w:val="auto"/>
        </w:rPr>
        <w:t>5.1 质量保证期：</w:t>
      </w:r>
      <w:r>
        <w:rPr>
          <w:rFonts w:hint="eastAsia" w:hAnsi="宋体"/>
          <w:color w:val="auto"/>
          <w:u w:val="single"/>
        </w:rPr>
        <w:t xml:space="preserve">                                </w:t>
      </w:r>
      <w:r>
        <w:rPr>
          <w:rFonts w:hint="eastAsia" w:hAnsi="宋体"/>
          <w:color w:val="auto"/>
        </w:rPr>
        <w:t>（自交货验收合格之日起计）。</w:t>
      </w:r>
    </w:p>
    <w:p>
      <w:pPr>
        <w:pStyle w:val="24"/>
        <w:spacing w:line="480" w:lineRule="exact"/>
        <w:ind w:left="2" w:firstLine="359" w:firstLineChars="171"/>
        <w:rPr>
          <w:rFonts w:hAnsi="宋体"/>
          <w:color w:val="auto"/>
        </w:rPr>
      </w:pPr>
    </w:p>
    <w:p>
      <w:pPr>
        <w:pStyle w:val="24"/>
        <w:spacing w:line="480" w:lineRule="exact"/>
        <w:ind w:firstLine="359" w:firstLineChars="171"/>
        <w:rPr>
          <w:rFonts w:hAnsi="宋体"/>
          <w:color w:val="auto"/>
        </w:rPr>
      </w:pPr>
      <w:r>
        <w:rPr>
          <w:rFonts w:hint="eastAsia" w:hAnsi="宋体"/>
          <w:color w:val="auto"/>
        </w:rPr>
        <w:t>5.2 如乙方提供的货物在使用过程中发生质量问题，乙方接到甲方故障通知后应在</w:t>
      </w:r>
      <w:r>
        <w:rPr>
          <w:rFonts w:hint="eastAsia" w:hAnsi="宋体"/>
          <w:color w:val="auto"/>
          <w:u w:val="single"/>
        </w:rPr>
        <w:t xml:space="preserve">     </w:t>
      </w:r>
      <w:r>
        <w:rPr>
          <w:rFonts w:hint="eastAsia" w:hAnsi="宋体"/>
          <w:color w:val="auto"/>
        </w:rPr>
        <w:t>小时内到达甲方指定现场，按国家及行业标准对故障进行及时处理。</w:t>
      </w:r>
    </w:p>
    <w:p>
      <w:pPr>
        <w:pStyle w:val="24"/>
        <w:spacing w:line="480" w:lineRule="exact"/>
        <w:ind w:firstLine="359" w:firstLineChars="171"/>
        <w:rPr>
          <w:rFonts w:hAnsi="宋体"/>
          <w:color w:val="auto"/>
        </w:rPr>
      </w:pPr>
      <w:r>
        <w:rPr>
          <w:rFonts w:hint="eastAsia" w:hAnsi="宋体"/>
          <w:color w:val="auto"/>
        </w:rPr>
        <w:t>5.3 乙方提供的货物在质量保证期内因货物本身的质量问题发生故障，乙方应负责免费更换。对达不到技术要求者，根据实际情况，经双方协商，可按以下办法处理：</w:t>
      </w:r>
    </w:p>
    <w:p>
      <w:pPr>
        <w:pStyle w:val="24"/>
        <w:spacing w:line="480" w:lineRule="exact"/>
        <w:ind w:firstLine="359" w:firstLineChars="171"/>
        <w:rPr>
          <w:rFonts w:hAnsi="宋体"/>
          <w:color w:val="auto"/>
        </w:rPr>
      </w:pPr>
      <w:r>
        <w:rPr>
          <w:rFonts w:hint="eastAsia" w:hAnsi="宋体"/>
          <w:color w:val="auto"/>
        </w:rPr>
        <w:t>（1）更换：由乙方承担所发生的全部费用；</w:t>
      </w:r>
    </w:p>
    <w:p>
      <w:pPr>
        <w:pStyle w:val="24"/>
        <w:spacing w:line="480" w:lineRule="exact"/>
        <w:ind w:firstLine="359" w:firstLineChars="171"/>
        <w:rPr>
          <w:rFonts w:hAnsi="宋体"/>
          <w:color w:val="auto"/>
        </w:rPr>
      </w:pPr>
      <w:r>
        <w:rPr>
          <w:rFonts w:hint="eastAsia" w:hAnsi="宋体"/>
          <w:color w:val="auto"/>
        </w:rPr>
        <w:t>（2）贬值处理：由甲乙双方合议定价；</w:t>
      </w:r>
    </w:p>
    <w:p>
      <w:pPr>
        <w:pStyle w:val="24"/>
        <w:spacing w:line="480" w:lineRule="exact"/>
        <w:ind w:firstLine="359" w:firstLineChars="171"/>
        <w:rPr>
          <w:rFonts w:hAnsi="宋体"/>
          <w:color w:val="auto"/>
        </w:rPr>
      </w:pPr>
      <w:r>
        <w:rPr>
          <w:rFonts w:hint="eastAsia" w:hAnsi="宋体"/>
          <w:color w:val="auto"/>
        </w:rPr>
        <w:t>（3）退货处理：乙方应退还甲方支付的合同款，同时应承担与该货物相关的直接费用（运输、保险、检验、合同款利息及银行手续费等）。</w:t>
      </w:r>
    </w:p>
    <w:p>
      <w:pPr>
        <w:pStyle w:val="24"/>
        <w:spacing w:line="480" w:lineRule="exact"/>
        <w:ind w:left="2" w:firstLine="360"/>
        <w:rPr>
          <w:rFonts w:hAnsi="宋体"/>
          <w:color w:val="auto"/>
        </w:rPr>
      </w:pPr>
      <w:r>
        <w:rPr>
          <w:rFonts w:hint="eastAsia" w:hAnsi="宋体"/>
          <w:color w:val="auto"/>
        </w:rPr>
        <w:t>5.4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pStyle w:val="24"/>
        <w:spacing w:line="480" w:lineRule="exact"/>
        <w:ind w:left="2" w:firstLine="360"/>
        <w:rPr>
          <w:rFonts w:hAnsi="宋体"/>
          <w:color w:val="auto"/>
        </w:rPr>
      </w:pPr>
      <w:r>
        <w:rPr>
          <w:rFonts w:hint="eastAsia" w:hAnsi="宋体"/>
          <w:color w:val="auto"/>
        </w:rPr>
        <w:t>5.5 超过质量保证期的货物，乙方提供终生维修、保养服务，维修时只收部件成本费。</w:t>
      </w:r>
    </w:p>
    <w:p>
      <w:pPr>
        <w:pStyle w:val="24"/>
        <w:spacing w:line="480" w:lineRule="exact"/>
        <w:ind w:left="2" w:firstLine="360"/>
        <w:rPr>
          <w:rFonts w:hAnsi="宋体"/>
          <w:color w:val="auto"/>
        </w:rPr>
      </w:pPr>
      <w:r>
        <w:rPr>
          <w:rFonts w:hint="eastAsia" w:hAnsi="宋体"/>
          <w:color w:val="auto"/>
        </w:rPr>
        <w:t>5.6乙方随时优惠提供备品备件，优惠提供产品更新、改造服务。</w:t>
      </w:r>
    </w:p>
    <w:p>
      <w:pPr>
        <w:pStyle w:val="24"/>
        <w:spacing w:line="480" w:lineRule="exact"/>
        <w:ind w:left="2" w:firstLine="360"/>
        <w:rPr>
          <w:rFonts w:hAnsi="宋体"/>
          <w:color w:val="auto"/>
        </w:rPr>
      </w:pPr>
      <w:r>
        <w:rPr>
          <w:rFonts w:hint="eastAsia" w:hAnsi="宋体"/>
          <w:color w:val="auto"/>
        </w:rPr>
        <w:t xml:space="preserve">5.7 其他售后服务要求：   </w:t>
      </w:r>
      <w:r>
        <w:rPr>
          <w:rFonts w:hint="eastAsia" w:hAnsi="宋体"/>
          <w:color w:val="auto"/>
          <w:u w:val="single"/>
        </w:rPr>
        <w:t>按竞标文件商务条款偏离表及澄清函（商务条款偏离表与澄清函不一致的以澄清函为准）内容执行。</w:t>
      </w:r>
    </w:p>
    <w:p>
      <w:pPr>
        <w:pStyle w:val="24"/>
        <w:spacing w:line="480" w:lineRule="exact"/>
        <w:rPr>
          <w:rFonts w:hAnsi="宋体"/>
          <w:b/>
          <w:bCs/>
          <w:color w:val="auto"/>
          <w:sz w:val="24"/>
          <w:szCs w:val="24"/>
        </w:rPr>
      </w:pPr>
      <w:r>
        <w:rPr>
          <w:rFonts w:hint="eastAsia" w:hAnsi="宋体"/>
          <w:b/>
          <w:bCs/>
          <w:color w:val="auto"/>
          <w:sz w:val="24"/>
          <w:szCs w:val="24"/>
        </w:rPr>
        <w:t>6.  合同款支付</w:t>
      </w:r>
    </w:p>
    <w:p>
      <w:pPr>
        <w:pStyle w:val="24"/>
        <w:spacing w:line="480" w:lineRule="exact"/>
        <w:ind w:firstLine="360"/>
        <w:rPr>
          <w:rFonts w:hAnsi="宋体"/>
          <w:bCs/>
          <w:color w:val="auto"/>
          <w:u w:val="single"/>
        </w:rPr>
      </w:pPr>
      <w:r>
        <w:rPr>
          <w:rFonts w:hint="eastAsia" w:hAnsi="宋体"/>
          <w:bCs/>
          <w:color w:val="auto"/>
        </w:rPr>
        <w:t>6.1 付款方式：</w:t>
      </w:r>
      <w:r>
        <w:rPr>
          <w:rFonts w:hint="eastAsia" w:hAnsi="宋体"/>
          <w:bCs/>
          <w:color w:val="auto"/>
          <w:u w:val="single"/>
        </w:rPr>
        <w:t xml:space="preserve">                                                                                                                                                  </w:t>
      </w:r>
    </w:p>
    <w:p>
      <w:pPr>
        <w:pStyle w:val="24"/>
        <w:spacing w:line="480" w:lineRule="exact"/>
        <w:ind w:firstLine="360"/>
        <w:rPr>
          <w:rFonts w:hAnsi="宋体"/>
          <w:color w:val="auto"/>
        </w:rPr>
      </w:pPr>
      <w:r>
        <w:rPr>
          <w:rFonts w:hint="eastAsia" w:hAnsi="宋体"/>
          <w:color w:val="auto"/>
        </w:rPr>
        <w:t>6.2 支付合同款时，由甲方按照合同约定向南宁市财政局提交《南宁市政府采购履约验收证明和资金支付申请表》等完整且合格的支付申请材料；南宁市财政局按财政国库直接支付程序将款项直接支付给供应商。</w:t>
      </w:r>
    </w:p>
    <w:p>
      <w:pPr>
        <w:pStyle w:val="24"/>
        <w:spacing w:line="480" w:lineRule="exact"/>
        <w:ind w:firstLine="360"/>
        <w:rPr>
          <w:rFonts w:hAnsi="宋体"/>
          <w:bCs/>
          <w:color w:val="auto"/>
          <w:u w:val="single"/>
        </w:rPr>
      </w:pPr>
      <w:r>
        <w:rPr>
          <w:rFonts w:hint="eastAsia" w:hAnsi="宋体"/>
          <w:color w:val="auto"/>
        </w:rPr>
        <w:t xml:space="preserve">6.3 </w:t>
      </w:r>
      <w:r>
        <w:rPr>
          <w:rFonts w:hint="eastAsia" w:ascii="MingLiU" w:hAnsi="宋体"/>
          <w:color w:val="auto"/>
        </w:rPr>
        <w:t>当采购数量与实际使用数量不一致时，甲方可以在报经南宁市财政局审核同意后，</w:t>
      </w:r>
      <w:r>
        <w:rPr>
          <w:rFonts w:hint="eastAsia" w:hAnsi="宋体"/>
          <w:color w:val="auto"/>
        </w:rPr>
        <w:t>在不改变合同其他条款的前提下与供应商协商签订补充合同，但所有补充合同的采购金额不得超过原合同采购金额的百分之十。</w:t>
      </w:r>
      <w:r>
        <w:rPr>
          <w:rFonts w:hint="eastAsia" w:ascii="MingLiU" w:hAnsi="宋体"/>
          <w:color w:val="auto"/>
        </w:rPr>
        <w:t>供应商应根据实际使用数量供货，合同的最终结算金额按实际使用数量乘以成交单价进行计算。如有工程量清单的项目结算须经南宁市审计局或南宁市公共投资审计中心最终审定。</w:t>
      </w:r>
    </w:p>
    <w:p>
      <w:pPr>
        <w:pStyle w:val="24"/>
        <w:spacing w:line="480" w:lineRule="exact"/>
        <w:ind w:firstLine="360"/>
        <w:rPr>
          <w:rFonts w:hAnsi="宋体"/>
          <w:bCs/>
          <w:color w:val="auto"/>
          <w:u w:val="single"/>
        </w:rPr>
      </w:pPr>
      <w:r>
        <w:rPr>
          <w:rFonts w:hint="eastAsia" w:hAnsi="宋体"/>
          <w:bCs/>
          <w:color w:val="auto"/>
        </w:rPr>
        <w:t>6.4</w:t>
      </w:r>
      <w:r>
        <w:rPr>
          <w:rFonts w:hint="eastAsia" w:hAnsi="宋体"/>
          <w:color w:val="auto"/>
        </w:rPr>
        <w:t>政府采购监督管理部门在处理投诉事项期间，可以视具体情况书面通知采购人暂停采购活动</w:t>
      </w:r>
      <w:r>
        <w:rPr>
          <w:rFonts w:hint="eastAsia" w:hAnsi="宋体"/>
          <w:bCs/>
          <w:color w:val="auto"/>
        </w:rPr>
        <w:t>，并延期支付合同款。</w:t>
      </w:r>
    </w:p>
    <w:p>
      <w:pPr>
        <w:pStyle w:val="24"/>
        <w:spacing w:line="480" w:lineRule="exact"/>
        <w:ind w:left="412" w:hanging="412" w:hangingChars="171"/>
        <w:rPr>
          <w:rFonts w:hAnsi="宋体"/>
          <w:b/>
          <w:color w:val="auto"/>
        </w:rPr>
      </w:pPr>
      <w:r>
        <w:rPr>
          <w:rFonts w:hint="eastAsia" w:hAnsi="宋体"/>
          <w:b/>
          <w:bCs/>
          <w:color w:val="auto"/>
          <w:sz w:val="24"/>
          <w:szCs w:val="24"/>
        </w:rPr>
        <w:t>7.  产权</w:t>
      </w:r>
    </w:p>
    <w:p>
      <w:pPr>
        <w:pStyle w:val="24"/>
        <w:spacing w:line="480" w:lineRule="exact"/>
        <w:ind w:left="2" w:firstLine="359" w:firstLineChars="171"/>
        <w:rPr>
          <w:rFonts w:hAnsi="宋体"/>
          <w:bCs/>
          <w:color w:val="auto"/>
        </w:rPr>
      </w:pPr>
      <w:r>
        <w:rPr>
          <w:rFonts w:hint="eastAsia" w:hAnsi="宋体"/>
          <w:color w:val="auto"/>
        </w:rPr>
        <w:t>7.1 乙方保证所提供的货物或其任何一部分均不会侵犯任何第三方的专利权、商标权或著作权</w:t>
      </w:r>
      <w:r>
        <w:rPr>
          <w:rFonts w:hint="eastAsia" w:hAnsi="宋体"/>
          <w:bCs/>
          <w:color w:val="auto"/>
        </w:rPr>
        <w:t>。</w:t>
      </w:r>
    </w:p>
    <w:p>
      <w:pPr>
        <w:pStyle w:val="24"/>
        <w:spacing w:line="480" w:lineRule="exact"/>
        <w:ind w:left="2" w:firstLine="359" w:firstLineChars="171"/>
        <w:rPr>
          <w:rFonts w:hAnsi="宋体"/>
          <w:b/>
          <w:bCs/>
          <w:color w:val="auto"/>
        </w:rPr>
      </w:pPr>
      <w:r>
        <w:rPr>
          <w:rFonts w:hint="eastAsia" w:hAnsi="宋体"/>
          <w:color w:val="auto"/>
        </w:rPr>
        <w:t>7.2 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pPr>
        <w:pStyle w:val="24"/>
        <w:spacing w:line="480" w:lineRule="exact"/>
        <w:rPr>
          <w:rFonts w:hAnsi="宋体"/>
          <w:b/>
          <w:color w:val="auto"/>
        </w:rPr>
      </w:pPr>
      <w:r>
        <w:rPr>
          <w:rFonts w:hint="eastAsia" w:hAnsi="宋体"/>
          <w:b/>
          <w:bCs/>
          <w:color w:val="auto"/>
          <w:sz w:val="24"/>
          <w:szCs w:val="24"/>
        </w:rPr>
        <w:t>8.  技术资料</w:t>
      </w:r>
    </w:p>
    <w:p>
      <w:pPr>
        <w:pStyle w:val="24"/>
        <w:spacing w:line="480" w:lineRule="exact"/>
        <w:ind w:firstLine="360"/>
        <w:rPr>
          <w:rFonts w:hAnsi="宋体"/>
          <w:color w:val="auto"/>
        </w:rPr>
      </w:pPr>
      <w:r>
        <w:rPr>
          <w:rFonts w:hint="eastAsia" w:hAnsi="宋体"/>
          <w:color w:val="auto"/>
        </w:rPr>
        <w:t>8.1 甲方向乙方提供采购货物的有关技术要求。</w:t>
      </w:r>
    </w:p>
    <w:p>
      <w:pPr>
        <w:pStyle w:val="24"/>
        <w:spacing w:line="480" w:lineRule="exact"/>
        <w:ind w:firstLine="360"/>
        <w:rPr>
          <w:rFonts w:hAnsi="宋体"/>
          <w:color w:val="auto"/>
        </w:rPr>
      </w:pPr>
      <w:r>
        <w:rPr>
          <w:rFonts w:hint="eastAsia" w:hAnsi="宋体"/>
          <w:color w:val="auto"/>
        </w:rPr>
        <w:t>8.2 乙方应在采购文件规定的时间向甲方提供使用货物的有关技术资料。</w:t>
      </w:r>
    </w:p>
    <w:p>
      <w:pPr>
        <w:pStyle w:val="24"/>
        <w:spacing w:line="480" w:lineRule="exact"/>
        <w:ind w:firstLine="360"/>
        <w:rPr>
          <w:rFonts w:hAnsi="宋体"/>
          <w:color w:val="auto"/>
        </w:rPr>
      </w:pPr>
      <w:r>
        <w:rPr>
          <w:rFonts w:hint="eastAsia" w:hAnsi="宋体"/>
          <w:color w:val="auto"/>
        </w:rPr>
        <w:t>8.3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pStyle w:val="24"/>
        <w:spacing w:line="480" w:lineRule="exact"/>
        <w:rPr>
          <w:rFonts w:hAnsi="宋体"/>
          <w:b/>
          <w:bCs/>
          <w:color w:val="auto"/>
          <w:sz w:val="24"/>
          <w:szCs w:val="24"/>
        </w:rPr>
      </w:pPr>
      <w:r>
        <w:rPr>
          <w:rFonts w:hint="eastAsia" w:hAnsi="宋体"/>
          <w:b/>
          <w:bCs/>
          <w:color w:val="auto"/>
          <w:sz w:val="24"/>
          <w:szCs w:val="24"/>
        </w:rPr>
        <w:t>9.  货物包装、发运及运输</w:t>
      </w:r>
    </w:p>
    <w:p>
      <w:pPr>
        <w:pStyle w:val="24"/>
        <w:tabs>
          <w:tab w:val="left" w:pos="0"/>
        </w:tabs>
        <w:spacing w:line="480" w:lineRule="exact"/>
        <w:ind w:firstLine="360"/>
        <w:rPr>
          <w:rFonts w:hAnsi="宋体"/>
          <w:color w:val="auto"/>
        </w:rPr>
      </w:pPr>
      <w:r>
        <w:rPr>
          <w:rFonts w:hint="eastAsia" w:hAnsi="宋体"/>
          <w:color w:val="auto"/>
        </w:rPr>
        <w:t>9.1 乙方应在货物发运前对其进行满足运输距离、防潮、防震、防锈和防破损装卸等要求包装，以保证货物安全运达甲方指定地点。</w:t>
      </w:r>
    </w:p>
    <w:p>
      <w:pPr>
        <w:pStyle w:val="24"/>
        <w:tabs>
          <w:tab w:val="left" w:pos="0"/>
        </w:tabs>
        <w:spacing w:line="480" w:lineRule="exact"/>
        <w:ind w:firstLine="360"/>
        <w:rPr>
          <w:rFonts w:hAnsi="宋体"/>
          <w:color w:val="auto"/>
        </w:rPr>
      </w:pPr>
      <w:r>
        <w:rPr>
          <w:rFonts w:hint="eastAsia" w:hAnsi="宋体"/>
          <w:color w:val="auto"/>
        </w:rPr>
        <w:t>9.2 使用说明书、质量检验证明书、保修单据、随配附件和工具以及清单一并附于货物内。</w:t>
      </w:r>
    </w:p>
    <w:p>
      <w:pPr>
        <w:pStyle w:val="24"/>
        <w:tabs>
          <w:tab w:val="left" w:pos="0"/>
        </w:tabs>
        <w:spacing w:line="480" w:lineRule="exact"/>
        <w:ind w:firstLine="360"/>
        <w:rPr>
          <w:rFonts w:hAnsi="宋体"/>
          <w:color w:val="auto"/>
        </w:rPr>
      </w:pPr>
      <w:r>
        <w:rPr>
          <w:rFonts w:hint="eastAsia" w:hAnsi="宋体"/>
          <w:color w:val="auto"/>
        </w:rPr>
        <w:t>9.3 乙方在货物发运手续办理完毕后24小时内或货到甲方48小时前通知甲方，以准备接货。</w:t>
      </w:r>
    </w:p>
    <w:p>
      <w:pPr>
        <w:pStyle w:val="24"/>
        <w:tabs>
          <w:tab w:val="left" w:pos="0"/>
        </w:tabs>
        <w:spacing w:line="480" w:lineRule="exact"/>
        <w:ind w:firstLine="360"/>
        <w:rPr>
          <w:rFonts w:hAnsi="宋体"/>
          <w:color w:val="auto"/>
        </w:rPr>
      </w:pPr>
      <w:r>
        <w:rPr>
          <w:rFonts w:hint="eastAsia" w:hAnsi="宋体"/>
          <w:color w:val="auto"/>
        </w:rPr>
        <w:t>9.4 货物在交付甲方前发生的风险均由乙方负责。</w:t>
      </w:r>
    </w:p>
    <w:p>
      <w:pPr>
        <w:pStyle w:val="24"/>
        <w:tabs>
          <w:tab w:val="left" w:pos="0"/>
        </w:tabs>
        <w:spacing w:line="480" w:lineRule="exact"/>
        <w:ind w:firstLine="360"/>
        <w:rPr>
          <w:rFonts w:hAnsi="宋体"/>
          <w:color w:val="auto"/>
        </w:rPr>
      </w:pPr>
      <w:r>
        <w:rPr>
          <w:rFonts w:hint="eastAsia" w:hAnsi="宋体"/>
          <w:color w:val="auto"/>
        </w:rPr>
        <w:t>9.5 货物在规定的交付期限内由乙方送达甲方指定的地点视为交付，乙方同时需通知甲方货物已送达。</w:t>
      </w:r>
    </w:p>
    <w:p>
      <w:pPr>
        <w:pStyle w:val="24"/>
        <w:spacing w:line="480" w:lineRule="exact"/>
        <w:rPr>
          <w:rFonts w:hAnsi="宋体"/>
          <w:b/>
          <w:bCs/>
          <w:color w:val="auto"/>
          <w:sz w:val="24"/>
          <w:szCs w:val="24"/>
        </w:rPr>
      </w:pPr>
      <w:r>
        <w:rPr>
          <w:rFonts w:hint="eastAsia" w:hAnsi="宋体"/>
          <w:b/>
          <w:bCs/>
          <w:color w:val="auto"/>
          <w:sz w:val="24"/>
          <w:szCs w:val="24"/>
        </w:rPr>
        <w:t>10.  调试和验收</w:t>
      </w:r>
    </w:p>
    <w:p>
      <w:pPr>
        <w:pStyle w:val="24"/>
        <w:spacing w:line="480" w:lineRule="exact"/>
        <w:ind w:firstLine="359" w:firstLineChars="171"/>
        <w:rPr>
          <w:rFonts w:hAnsi="宋体"/>
          <w:color w:val="auto"/>
        </w:rPr>
      </w:pPr>
      <w:r>
        <w:rPr>
          <w:rFonts w:hint="eastAsia" w:hAnsi="宋体"/>
          <w:color w:val="auto"/>
        </w:rPr>
        <w:t>10.1 乙方将货物运达约定的交货地点后，甲方应在五个工作日内对乙方提交的货物依据竞争性谈判采购文件的要求、竞标文件的承诺和国家标准或行业标准进行现场初步验收。对外观、说明书符合要求的，给予签收；对不符合要求或有质量问题的货物不予签收，可立即要求退换，乙方不得拒绝和延误。</w:t>
      </w:r>
    </w:p>
    <w:p>
      <w:pPr>
        <w:pStyle w:val="24"/>
        <w:spacing w:line="480" w:lineRule="exact"/>
        <w:ind w:firstLine="359" w:firstLineChars="171"/>
        <w:rPr>
          <w:rFonts w:hAnsi="宋体"/>
          <w:color w:val="auto"/>
        </w:rPr>
      </w:pPr>
      <w:r>
        <w:rPr>
          <w:rFonts w:hint="eastAsia" w:hAnsi="宋体"/>
          <w:color w:val="auto"/>
        </w:rPr>
        <w:t>10.2 乙方交货前应对产品作出全面检查和对验收文件进行整理，并列出清单，作为甲方收货验收和使用的技术条件依据，检验的结果应随货物交甲方。</w:t>
      </w:r>
    </w:p>
    <w:p>
      <w:pPr>
        <w:pStyle w:val="24"/>
        <w:spacing w:line="480" w:lineRule="exact"/>
        <w:ind w:firstLine="359" w:firstLineChars="171"/>
        <w:rPr>
          <w:rFonts w:hAnsi="宋体"/>
          <w:color w:val="auto"/>
        </w:rPr>
      </w:pPr>
      <w:r>
        <w:rPr>
          <w:rFonts w:hint="eastAsia" w:hAnsi="宋体"/>
          <w:color w:val="auto"/>
        </w:rPr>
        <w:t>10.3 甲方对乙方提供的货物在使用前进行调试时，乙方需负责安装并培训甲方的使用操作人员，并协助甲方一起调试，直到符合技术要求，甲方才做最终验收。</w:t>
      </w:r>
    </w:p>
    <w:p>
      <w:pPr>
        <w:pStyle w:val="24"/>
        <w:spacing w:line="480" w:lineRule="exact"/>
        <w:ind w:firstLine="359" w:firstLineChars="171"/>
        <w:rPr>
          <w:rFonts w:hAnsi="宋体"/>
          <w:color w:val="auto"/>
        </w:rPr>
      </w:pPr>
      <w:r>
        <w:rPr>
          <w:rFonts w:hint="eastAsia" w:hAnsi="宋体"/>
          <w:color w:val="auto"/>
        </w:rPr>
        <w:t>10.4 验收时乙方必须在现场，验收完毕后作出验收结果报告。</w:t>
      </w:r>
    </w:p>
    <w:p>
      <w:pPr>
        <w:pStyle w:val="24"/>
        <w:spacing w:line="480" w:lineRule="exact"/>
        <w:ind w:firstLine="359" w:firstLineChars="171"/>
        <w:rPr>
          <w:rFonts w:hAnsi="宋体"/>
          <w:color w:val="auto"/>
        </w:rPr>
      </w:pPr>
      <w:r>
        <w:rPr>
          <w:rFonts w:hint="eastAsia" w:hAnsi="宋体"/>
          <w:color w:val="auto"/>
        </w:rPr>
        <w:t>10.5 对技术复杂的货物，甲方可请国家认可的专业检测机构参与验收，并由其出具质量检测报告，相关费用由甲方承担。</w:t>
      </w:r>
    </w:p>
    <w:p>
      <w:pPr>
        <w:pStyle w:val="24"/>
        <w:spacing w:line="480" w:lineRule="exact"/>
        <w:rPr>
          <w:rFonts w:hAnsi="宋体"/>
          <w:b/>
          <w:bCs/>
          <w:color w:val="auto"/>
          <w:sz w:val="24"/>
          <w:szCs w:val="24"/>
        </w:rPr>
      </w:pPr>
      <w:r>
        <w:rPr>
          <w:rFonts w:hint="eastAsia" w:hAnsi="宋体"/>
          <w:b/>
          <w:bCs/>
          <w:color w:val="auto"/>
          <w:sz w:val="24"/>
          <w:szCs w:val="24"/>
        </w:rPr>
        <w:t>11.  违约责任</w:t>
      </w:r>
    </w:p>
    <w:p>
      <w:pPr>
        <w:pStyle w:val="24"/>
        <w:spacing w:line="480" w:lineRule="exact"/>
        <w:ind w:left="2" w:firstLine="360"/>
        <w:rPr>
          <w:rFonts w:hAnsi="宋体"/>
          <w:color w:val="auto"/>
        </w:rPr>
      </w:pPr>
      <w:r>
        <w:rPr>
          <w:rFonts w:hint="eastAsia" w:hAnsi="宋体"/>
          <w:color w:val="auto"/>
        </w:rPr>
        <w:t>11.1 甲方无正当理由拒收货物的，甲方向乙方偿付拒收合同款总值的百分之五违约金。</w:t>
      </w:r>
    </w:p>
    <w:p>
      <w:pPr>
        <w:pStyle w:val="24"/>
        <w:spacing w:line="480" w:lineRule="exact"/>
        <w:ind w:left="2" w:firstLine="360"/>
        <w:rPr>
          <w:rFonts w:hAnsi="宋体"/>
          <w:color w:val="auto"/>
        </w:rPr>
      </w:pPr>
      <w:r>
        <w:rPr>
          <w:rFonts w:hint="eastAsia" w:hAnsi="宋体"/>
          <w:color w:val="auto"/>
        </w:rPr>
        <w:t>11.2 甲方无故逾期验收或办理合同款支付手续的，甲方应按逾期付款总额每日万分之五向乙方支付违约金。</w:t>
      </w:r>
    </w:p>
    <w:p>
      <w:pPr>
        <w:pStyle w:val="24"/>
        <w:spacing w:line="480" w:lineRule="exact"/>
        <w:ind w:left="2" w:firstLine="360"/>
        <w:rPr>
          <w:rFonts w:hAnsi="宋体"/>
          <w:color w:val="auto"/>
        </w:rPr>
      </w:pPr>
      <w:r>
        <w:rPr>
          <w:rFonts w:hint="eastAsia" w:hAnsi="宋体"/>
          <w:color w:val="auto"/>
        </w:rPr>
        <w:t>11.3 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pPr>
        <w:pStyle w:val="24"/>
        <w:spacing w:line="480" w:lineRule="exact"/>
        <w:ind w:left="2" w:firstLine="360"/>
        <w:rPr>
          <w:rFonts w:hAnsi="宋体"/>
          <w:color w:val="auto"/>
        </w:rPr>
      </w:pPr>
      <w:r>
        <w:rPr>
          <w:rFonts w:hint="eastAsia" w:hAnsi="宋体"/>
          <w:color w:val="auto"/>
        </w:rPr>
        <w:t>11.4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24"/>
        <w:spacing w:line="480" w:lineRule="exact"/>
        <w:rPr>
          <w:rFonts w:hAnsi="宋体"/>
          <w:b/>
          <w:bCs/>
          <w:color w:val="auto"/>
          <w:sz w:val="24"/>
          <w:szCs w:val="24"/>
        </w:rPr>
      </w:pPr>
      <w:r>
        <w:rPr>
          <w:rFonts w:hint="eastAsia" w:hAnsi="宋体"/>
          <w:b/>
          <w:bCs/>
          <w:color w:val="auto"/>
          <w:sz w:val="24"/>
          <w:szCs w:val="24"/>
        </w:rPr>
        <w:t>12.  不可抗力事件处理</w:t>
      </w:r>
    </w:p>
    <w:p>
      <w:pPr>
        <w:pStyle w:val="24"/>
        <w:spacing w:line="480" w:lineRule="exact"/>
        <w:ind w:firstLine="359" w:firstLineChars="171"/>
        <w:rPr>
          <w:rFonts w:hAnsi="宋体"/>
          <w:color w:val="auto"/>
        </w:rPr>
      </w:pPr>
      <w:r>
        <w:rPr>
          <w:rFonts w:hint="eastAsia" w:hAnsi="宋体"/>
          <w:color w:val="auto"/>
        </w:rPr>
        <w:t>12.1 在合同有效期内，任何一方因不可抗力事件导致不能履行合同，则合同履行期可延长，其延长期与不可抗力影响期相同。</w:t>
      </w:r>
    </w:p>
    <w:p>
      <w:pPr>
        <w:pStyle w:val="24"/>
        <w:spacing w:line="480" w:lineRule="exact"/>
        <w:ind w:firstLine="359" w:firstLineChars="171"/>
        <w:rPr>
          <w:rFonts w:hAnsi="宋体"/>
          <w:color w:val="auto"/>
        </w:rPr>
      </w:pPr>
      <w:r>
        <w:rPr>
          <w:rFonts w:hint="eastAsia" w:hAnsi="宋体"/>
          <w:color w:val="auto"/>
        </w:rPr>
        <w:t>12.2 不可抗力事件发生后，应立即通知对方，并寄送有关权威机构出具的证明。</w:t>
      </w:r>
    </w:p>
    <w:p>
      <w:pPr>
        <w:pStyle w:val="24"/>
        <w:spacing w:line="480" w:lineRule="exact"/>
        <w:ind w:firstLine="359" w:firstLineChars="171"/>
        <w:rPr>
          <w:rFonts w:hAnsi="宋体"/>
          <w:color w:val="auto"/>
        </w:rPr>
      </w:pPr>
      <w:r>
        <w:rPr>
          <w:rFonts w:hint="eastAsia" w:hAnsi="宋体"/>
          <w:color w:val="auto"/>
        </w:rPr>
        <w:t>12.3 不可抗力事件延续120天以上，双方应通过友好协商，确定是否继续履行合同。</w:t>
      </w:r>
    </w:p>
    <w:p>
      <w:pPr>
        <w:pStyle w:val="24"/>
        <w:spacing w:line="480" w:lineRule="exact"/>
        <w:rPr>
          <w:rFonts w:hAnsi="宋体"/>
          <w:b/>
          <w:bCs/>
          <w:color w:val="auto"/>
          <w:sz w:val="24"/>
          <w:szCs w:val="24"/>
        </w:rPr>
      </w:pPr>
      <w:r>
        <w:rPr>
          <w:rFonts w:hint="eastAsia" w:hAnsi="宋体"/>
          <w:b/>
          <w:bCs/>
          <w:color w:val="auto"/>
          <w:sz w:val="24"/>
          <w:szCs w:val="24"/>
        </w:rPr>
        <w:t>13.  诉讼</w:t>
      </w:r>
    </w:p>
    <w:p>
      <w:pPr>
        <w:pStyle w:val="24"/>
        <w:tabs>
          <w:tab w:val="left" w:pos="0"/>
        </w:tabs>
        <w:spacing w:line="480" w:lineRule="exact"/>
        <w:ind w:firstLine="359" w:firstLineChars="171"/>
        <w:rPr>
          <w:rFonts w:hAnsi="宋体"/>
          <w:color w:val="auto"/>
        </w:rPr>
      </w:pPr>
      <w:r>
        <w:rPr>
          <w:rFonts w:hint="eastAsia" w:hAnsi="宋体"/>
          <w:color w:val="auto"/>
        </w:rPr>
        <w:t>13.1 双方在执行合同中所发生的一切争议，应通过协商解决。如协商不成，可向合同签订地法院起诉，合同签订地在此约定为广西南宁市。</w:t>
      </w:r>
    </w:p>
    <w:p>
      <w:pPr>
        <w:pStyle w:val="24"/>
        <w:spacing w:line="480" w:lineRule="exact"/>
        <w:rPr>
          <w:rFonts w:hAnsi="宋体"/>
          <w:b/>
          <w:bCs/>
          <w:color w:val="auto"/>
          <w:sz w:val="24"/>
          <w:szCs w:val="24"/>
        </w:rPr>
      </w:pPr>
      <w:r>
        <w:rPr>
          <w:rFonts w:hint="eastAsia" w:hAnsi="宋体"/>
          <w:b/>
          <w:bCs/>
          <w:color w:val="auto"/>
          <w:sz w:val="24"/>
          <w:szCs w:val="24"/>
        </w:rPr>
        <w:t>14.  合同生效及其它</w:t>
      </w:r>
    </w:p>
    <w:p>
      <w:pPr>
        <w:pStyle w:val="24"/>
        <w:spacing w:line="480" w:lineRule="exact"/>
        <w:ind w:firstLine="360"/>
        <w:rPr>
          <w:rFonts w:hAnsi="宋体"/>
          <w:color w:val="auto"/>
        </w:rPr>
      </w:pPr>
      <w:r>
        <w:rPr>
          <w:rFonts w:hint="eastAsia" w:hAnsi="宋体"/>
          <w:color w:val="auto"/>
        </w:rPr>
        <w:t>14.1 合同经双方法定代表人或授权委托代理人签字并加盖单位公章后生效。</w:t>
      </w:r>
    </w:p>
    <w:p>
      <w:pPr>
        <w:pStyle w:val="24"/>
        <w:spacing w:line="480" w:lineRule="exact"/>
        <w:ind w:firstLine="360"/>
        <w:rPr>
          <w:rFonts w:hAnsi="宋体"/>
          <w:color w:val="auto"/>
        </w:rPr>
      </w:pPr>
      <w:r>
        <w:rPr>
          <w:rFonts w:hint="eastAsia" w:hAnsi="宋体"/>
          <w:color w:val="auto"/>
        </w:rPr>
        <w:t>14.2 合同执行中涉及采购资金和采购内容修改或补充的，须经市财政部门审批，并签书面补充协议报南宁市政府采购监督管理部门备案，方可作为主合同不可分割的一部分。</w:t>
      </w:r>
    </w:p>
    <w:p>
      <w:pPr>
        <w:pStyle w:val="24"/>
        <w:spacing w:line="480" w:lineRule="exact"/>
        <w:ind w:firstLine="360"/>
        <w:rPr>
          <w:rFonts w:hAnsi="宋体"/>
          <w:color w:val="auto"/>
        </w:rPr>
      </w:pPr>
      <w:r>
        <w:rPr>
          <w:rFonts w:hint="eastAsia" w:hAnsi="宋体"/>
          <w:color w:val="auto"/>
        </w:rPr>
        <w:t>14.3 下述合同附件为本合同不可分割的部分并与本合同具有同等效力：</w:t>
      </w:r>
    </w:p>
    <w:p>
      <w:pPr>
        <w:pStyle w:val="24"/>
        <w:spacing w:line="480" w:lineRule="exact"/>
        <w:ind w:firstLine="420" w:firstLineChars="200"/>
        <w:rPr>
          <w:rFonts w:hAnsi="宋体"/>
          <w:color w:val="auto"/>
        </w:rPr>
      </w:pPr>
      <w:r>
        <w:rPr>
          <w:rFonts w:hint="eastAsia" w:hAnsi="宋体"/>
          <w:color w:val="auto"/>
        </w:rPr>
        <w:t>（1）成交通知书</w:t>
      </w:r>
    </w:p>
    <w:p>
      <w:pPr>
        <w:pStyle w:val="24"/>
        <w:spacing w:line="480" w:lineRule="exact"/>
        <w:ind w:firstLine="420" w:firstLineChars="200"/>
        <w:rPr>
          <w:rFonts w:hAnsi="宋体"/>
          <w:color w:val="auto"/>
        </w:rPr>
      </w:pPr>
      <w:r>
        <w:rPr>
          <w:rFonts w:hint="eastAsia" w:hAnsi="宋体"/>
          <w:color w:val="auto"/>
        </w:rPr>
        <w:t>（2）竞争性谈判采购文件项目需求一览表</w:t>
      </w:r>
    </w:p>
    <w:p>
      <w:pPr>
        <w:pStyle w:val="24"/>
        <w:spacing w:line="480" w:lineRule="exact"/>
        <w:ind w:firstLine="420" w:firstLineChars="200"/>
        <w:rPr>
          <w:rFonts w:hAnsi="宋体"/>
          <w:color w:val="auto"/>
        </w:rPr>
      </w:pPr>
      <w:r>
        <w:rPr>
          <w:rFonts w:hint="eastAsia" w:hAnsi="宋体"/>
          <w:color w:val="auto"/>
        </w:rPr>
        <w:t>（3）竞争性谈判采购文件的澄清和修改</w:t>
      </w:r>
      <w:r>
        <w:rPr>
          <w:rFonts w:hint="eastAsia"/>
          <w:color w:val="auto"/>
        </w:rPr>
        <w:t>（如有请提供）</w:t>
      </w:r>
    </w:p>
    <w:p>
      <w:pPr>
        <w:spacing w:line="480" w:lineRule="exact"/>
        <w:ind w:firstLine="420" w:firstLineChars="200"/>
        <w:rPr>
          <w:rFonts w:ascii="宋体" w:hAnsi="宋体"/>
          <w:color w:val="auto"/>
          <w:szCs w:val="21"/>
        </w:rPr>
      </w:pPr>
      <w:r>
        <w:rPr>
          <w:rFonts w:hint="eastAsia"/>
          <w:color w:val="auto"/>
          <w:szCs w:val="21"/>
        </w:rPr>
        <w:t>（</w:t>
      </w:r>
      <w:r>
        <w:rPr>
          <w:color w:val="auto"/>
          <w:szCs w:val="21"/>
        </w:rPr>
        <w:t>4</w:t>
      </w:r>
      <w:r>
        <w:rPr>
          <w:rFonts w:hint="eastAsia"/>
          <w:color w:val="auto"/>
          <w:szCs w:val="21"/>
        </w:rPr>
        <w:t>）竞标函</w:t>
      </w:r>
    </w:p>
    <w:p>
      <w:pPr>
        <w:pStyle w:val="24"/>
        <w:spacing w:line="480" w:lineRule="exact"/>
        <w:ind w:firstLine="420" w:firstLineChars="200"/>
        <w:rPr>
          <w:rFonts w:hAnsi="宋体"/>
          <w:color w:val="auto"/>
        </w:rPr>
      </w:pPr>
      <w:r>
        <w:rPr>
          <w:rFonts w:hint="eastAsia" w:hAnsi="宋体"/>
          <w:color w:val="auto"/>
        </w:rPr>
        <w:t>（5）报价表</w:t>
      </w:r>
    </w:p>
    <w:p>
      <w:pPr>
        <w:pStyle w:val="24"/>
        <w:spacing w:line="480" w:lineRule="exact"/>
        <w:ind w:firstLine="420" w:firstLineChars="200"/>
        <w:rPr>
          <w:rFonts w:hAnsi="宋体"/>
          <w:color w:val="auto"/>
        </w:rPr>
      </w:pPr>
      <w:r>
        <w:rPr>
          <w:rFonts w:hint="eastAsia" w:hAnsi="宋体"/>
          <w:color w:val="auto"/>
        </w:rPr>
        <w:t>（6）竞标产品技术资料表</w:t>
      </w:r>
    </w:p>
    <w:p>
      <w:pPr>
        <w:pStyle w:val="24"/>
        <w:spacing w:line="480" w:lineRule="exact"/>
        <w:ind w:firstLine="420" w:firstLineChars="200"/>
        <w:rPr>
          <w:rFonts w:hAnsi="宋体"/>
          <w:color w:val="auto"/>
        </w:rPr>
      </w:pPr>
      <w:r>
        <w:rPr>
          <w:rFonts w:hint="eastAsia" w:hAnsi="宋体"/>
          <w:color w:val="auto"/>
        </w:rPr>
        <w:t>（7）商务条款偏离表</w:t>
      </w:r>
    </w:p>
    <w:p>
      <w:pPr>
        <w:pStyle w:val="24"/>
        <w:spacing w:line="480" w:lineRule="exact"/>
        <w:ind w:firstLine="420" w:firstLineChars="200"/>
        <w:rPr>
          <w:rFonts w:hAnsi="宋体"/>
          <w:color w:val="auto"/>
        </w:rPr>
      </w:pPr>
      <w:r>
        <w:rPr>
          <w:rFonts w:hint="eastAsia" w:hAnsi="宋体"/>
          <w:color w:val="auto"/>
        </w:rPr>
        <w:t>（8）谈判文件</w:t>
      </w:r>
    </w:p>
    <w:p>
      <w:pPr>
        <w:pStyle w:val="24"/>
        <w:spacing w:line="480" w:lineRule="exact"/>
        <w:ind w:firstLine="420" w:firstLineChars="200"/>
        <w:rPr>
          <w:rFonts w:hAnsi="宋体"/>
          <w:color w:val="auto"/>
        </w:rPr>
      </w:pPr>
      <w:r>
        <w:rPr>
          <w:rFonts w:hint="eastAsia" w:hAnsi="宋体"/>
          <w:color w:val="auto"/>
        </w:rPr>
        <w:t>（9）成交供应商澄清函（如有请提</w:t>
      </w:r>
      <w:r>
        <w:rPr>
          <w:rFonts w:hint="eastAsia"/>
          <w:color w:val="auto"/>
        </w:rPr>
        <w:t>供</w:t>
      </w:r>
      <w:r>
        <w:rPr>
          <w:rFonts w:hint="eastAsia" w:hAnsi="宋体"/>
          <w:color w:val="auto"/>
        </w:rPr>
        <w:t>）</w:t>
      </w:r>
    </w:p>
    <w:p>
      <w:pPr>
        <w:pStyle w:val="24"/>
        <w:spacing w:line="480" w:lineRule="exact"/>
        <w:ind w:firstLine="420" w:firstLineChars="200"/>
        <w:rPr>
          <w:rFonts w:hAnsi="宋体"/>
          <w:color w:val="auto"/>
        </w:rPr>
      </w:pPr>
      <w:r>
        <w:rPr>
          <w:rFonts w:hint="eastAsia" w:hAnsi="宋体"/>
          <w:color w:val="auto"/>
        </w:rPr>
        <w:t>（10）最终报价</w:t>
      </w:r>
    </w:p>
    <w:p>
      <w:pPr>
        <w:pStyle w:val="24"/>
        <w:spacing w:line="480" w:lineRule="exact"/>
        <w:ind w:firstLine="420" w:firstLineChars="200"/>
        <w:rPr>
          <w:rFonts w:hAnsi="宋体"/>
          <w:color w:val="auto"/>
        </w:rPr>
      </w:pPr>
      <w:r>
        <w:rPr>
          <w:rFonts w:hint="eastAsia"/>
          <w:color w:val="auto"/>
        </w:rPr>
        <w:t>（11）其他与本合同相关的资料</w:t>
      </w:r>
      <w:r>
        <w:rPr>
          <w:rFonts w:hint="eastAsia" w:hAnsi="宋体"/>
          <w:color w:val="auto"/>
        </w:rPr>
        <w:t>（如有请提</w:t>
      </w:r>
      <w:r>
        <w:rPr>
          <w:rFonts w:hint="eastAsia"/>
          <w:color w:val="auto"/>
        </w:rPr>
        <w:t>供</w:t>
      </w:r>
      <w:r>
        <w:rPr>
          <w:rFonts w:hint="eastAsia" w:hAnsi="宋体"/>
          <w:color w:val="auto"/>
        </w:rPr>
        <w:t>）</w:t>
      </w:r>
    </w:p>
    <w:p>
      <w:pPr>
        <w:pStyle w:val="24"/>
        <w:spacing w:line="480" w:lineRule="exact"/>
        <w:ind w:firstLine="360"/>
        <w:rPr>
          <w:rFonts w:hAnsi="宋体"/>
          <w:color w:val="auto"/>
        </w:rPr>
      </w:pPr>
      <w:r>
        <w:rPr>
          <w:rFonts w:hint="eastAsia" w:hAnsi="宋体"/>
          <w:color w:val="auto"/>
        </w:rPr>
        <w:t>14.4 本合同未尽事宜，遵照《中华人民共和国合同法》有关条文执行。</w:t>
      </w:r>
    </w:p>
    <w:p>
      <w:pPr>
        <w:pStyle w:val="24"/>
        <w:spacing w:line="480" w:lineRule="exact"/>
        <w:ind w:firstLine="360"/>
        <w:rPr>
          <w:rFonts w:hAnsi="宋体"/>
          <w:color w:val="auto"/>
        </w:rPr>
      </w:pPr>
      <w:r>
        <w:rPr>
          <w:rFonts w:hint="eastAsia" w:hAnsi="宋体"/>
          <w:color w:val="auto"/>
        </w:rPr>
        <w:t>14.5 本合同正本一式两份，具有同等法律效力，甲乙双方各执一份；副本两份，代理机构存副本一份，并报南宁市政府采购监督管理部门备案副本一份。</w:t>
      </w:r>
    </w:p>
    <w:p>
      <w:pPr>
        <w:pStyle w:val="24"/>
        <w:spacing w:line="360" w:lineRule="auto"/>
        <w:rPr>
          <w:rFonts w:hAnsi="宋体"/>
          <w:color w:val="auto"/>
        </w:rPr>
      </w:pPr>
    </w:p>
    <w:p>
      <w:pPr>
        <w:pStyle w:val="24"/>
        <w:spacing w:line="360" w:lineRule="auto"/>
        <w:rPr>
          <w:rFonts w:hAnsi="宋体"/>
          <w:color w:val="auto"/>
          <w:u w:val="single"/>
        </w:rPr>
      </w:pPr>
      <w:r>
        <w:rPr>
          <w:rFonts w:hint="eastAsia" w:hAnsi="宋体"/>
          <w:color w:val="auto"/>
        </w:rPr>
        <w:t>采购人（甲方）：</w:t>
      </w:r>
      <w:r>
        <w:rPr>
          <w:rFonts w:hint="eastAsia" w:hAnsi="宋体"/>
          <w:color w:val="auto"/>
          <w:u w:val="single"/>
        </w:rPr>
        <w:t xml:space="preserve">                           </w:t>
      </w:r>
      <w:r>
        <w:rPr>
          <w:rFonts w:hint="eastAsia" w:hAnsi="宋体"/>
          <w:color w:val="auto"/>
        </w:rPr>
        <w:t xml:space="preserve">    中标供应商（乙方）：</w:t>
      </w:r>
      <w:r>
        <w:rPr>
          <w:rFonts w:hint="eastAsia" w:hAnsi="宋体"/>
          <w:color w:val="auto"/>
          <w:u w:val="single"/>
        </w:rPr>
        <w:t xml:space="preserve">                                    </w:t>
      </w:r>
    </w:p>
    <w:p>
      <w:pPr>
        <w:pStyle w:val="24"/>
        <w:spacing w:line="360" w:lineRule="auto"/>
        <w:rPr>
          <w:rFonts w:hAnsi="宋体"/>
          <w:color w:val="auto"/>
        </w:rPr>
      </w:pPr>
      <w:r>
        <w:rPr>
          <w:rFonts w:hint="eastAsia" w:hAnsi="宋体"/>
          <w:color w:val="auto"/>
        </w:rPr>
        <w:t>地址：</w:t>
      </w:r>
      <w:r>
        <w:rPr>
          <w:rFonts w:hint="eastAsia" w:hAnsi="宋体"/>
          <w:color w:val="auto"/>
          <w:u w:val="single"/>
        </w:rPr>
        <w:t xml:space="preserve">                                    </w:t>
      </w:r>
      <w:r>
        <w:rPr>
          <w:rFonts w:hint="eastAsia" w:hAnsi="宋体"/>
          <w:color w:val="auto"/>
        </w:rPr>
        <w:t xml:space="preserve">    地址：</w:t>
      </w:r>
      <w:r>
        <w:rPr>
          <w:rFonts w:hint="eastAsia" w:hAnsi="宋体"/>
          <w:color w:val="auto"/>
          <w:u w:val="single"/>
        </w:rPr>
        <w:t xml:space="preserve">                                    </w:t>
      </w:r>
      <w:r>
        <w:rPr>
          <w:rFonts w:hint="eastAsia" w:hAnsi="宋体"/>
          <w:color w:val="auto"/>
        </w:rPr>
        <w:t xml:space="preserve">     </w:t>
      </w:r>
    </w:p>
    <w:p>
      <w:pPr>
        <w:pStyle w:val="24"/>
        <w:spacing w:line="360" w:lineRule="auto"/>
        <w:rPr>
          <w:rFonts w:hAnsi="宋体"/>
          <w:color w:val="auto"/>
        </w:rPr>
      </w:pPr>
      <w:r>
        <w:rPr>
          <w:rFonts w:hint="eastAsia" w:hAnsi="宋体"/>
          <w:color w:val="auto"/>
        </w:rPr>
        <w:t>法定代表人：</w:t>
      </w:r>
      <w:r>
        <w:rPr>
          <w:rFonts w:hint="eastAsia" w:hAnsi="宋体"/>
          <w:color w:val="auto"/>
          <w:u w:val="single"/>
        </w:rPr>
        <w:t xml:space="preserve">                              </w:t>
      </w:r>
      <w:r>
        <w:rPr>
          <w:rFonts w:hint="eastAsia" w:hAnsi="宋体"/>
          <w:color w:val="auto"/>
        </w:rPr>
        <w:t xml:space="preserve">    法定代表人：</w:t>
      </w:r>
      <w:r>
        <w:rPr>
          <w:rFonts w:hint="eastAsia" w:hAnsi="宋体"/>
          <w:color w:val="auto"/>
          <w:u w:val="single"/>
        </w:rPr>
        <w:t xml:space="preserve">                              </w:t>
      </w:r>
    </w:p>
    <w:p>
      <w:pPr>
        <w:pStyle w:val="24"/>
        <w:spacing w:line="360" w:lineRule="auto"/>
        <w:rPr>
          <w:rFonts w:hAnsi="宋体"/>
          <w:color w:val="auto"/>
        </w:rPr>
      </w:pPr>
      <w:r>
        <w:rPr>
          <w:rFonts w:hint="eastAsia" w:hAnsi="宋体"/>
          <w:color w:val="auto"/>
        </w:rPr>
        <w:t>委托代理人：</w:t>
      </w:r>
      <w:r>
        <w:rPr>
          <w:rFonts w:hint="eastAsia" w:hAnsi="宋体"/>
          <w:color w:val="auto"/>
          <w:u w:val="single"/>
        </w:rPr>
        <w:t xml:space="preserve">                              </w:t>
      </w:r>
      <w:r>
        <w:rPr>
          <w:rFonts w:hint="eastAsia" w:hAnsi="宋体"/>
          <w:color w:val="auto"/>
        </w:rPr>
        <w:t xml:space="preserve">    委托代理人：</w:t>
      </w:r>
      <w:r>
        <w:rPr>
          <w:rFonts w:hint="eastAsia" w:hAnsi="宋体"/>
          <w:color w:val="auto"/>
          <w:u w:val="single"/>
        </w:rPr>
        <w:t xml:space="preserve">                              </w:t>
      </w:r>
    </w:p>
    <w:p>
      <w:pPr>
        <w:pStyle w:val="24"/>
        <w:spacing w:line="360" w:lineRule="auto"/>
        <w:rPr>
          <w:rFonts w:hAnsi="宋体"/>
          <w:color w:val="auto"/>
        </w:rPr>
      </w:pPr>
      <w:r>
        <w:rPr>
          <w:rFonts w:hint="eastAsia" w:hAnsi="宋体"/>
          <w:color w:val="auto"/>
        </w:rPr>
        <w:t>电话：</w:t>
      </w:r>
      <w:r>
        <w:rPr>
          <w:rFonts w:hint="eastAsia" w:hAnsi="宋体"/>
          <w:color w:val="auto"/>
          <w:u w:val="single"/>
        </w:rPr>
        <w:t xml:space="preserve">                                    </w:t>
      </w:r>
      <w:r>
        <w:rPr>
          <w:rFonts w:hint="eastAsia" w:hAnsi="宋体"/>
          <w:color w:val="auto"/>
        </w:rPr>
        <w:t xml:space="preserve">    电话：</w:t>
      </w:r>
      <w:r>
        <w:rPr>
          <w:rFonts w:hint="eastAsia" w:hAnsi="宋体"/>
          <w:color w:val="auto"/>
          <w:u w:val="single"/>
        </w:rPr>
        <w:t xml:space="preserve">                                    </w:t>
      </w:r>
      <w:r>
        <w:rPr>
          <w:rFonts w:hint="eastAsia" w:hAnsi="宋体"/>
          <w:color w:val="auto"/>
        </w:rPr>
        <w:t xml:space="preserve">       </w:t>
      </w:r>
    </w:p>
    <w:p>
      <w:pPr>
        <w:pStyle w:val="24"/>
        <w:spacing w:line="360" w:lineRule="auto"/>
        <w:rPr>
          <w:rFonts w:hAnsi="宋体"/>
          <w:color w:val="auto"/>
        </w:rPr>
      </w:pPr>
      <w:r>
        <w:rPr>
          <w:rFonts w:hint="eastAsia" w:hAnsi="宋体"/>
          <w:color w:val="auto"/>
        </w:rPr>
        <w:t>传真：</w:t>
      </w:r>
      <w:r>
        <w:rPr>
          <w:rFonts w:hint="eastAsia" w:hAnsi="宋体"/>
          <w:color w:val="auto"/>
          <w:u w:val="single"/>
        </w:rPr>
        <w:t xml:space="preserve">                                    </w:t>
      </w:r>
      <w:r>
        <w:rPr>
          <w:rFonts w:hint="eastAsia" w:hAnsi="宋体"/>
          <w:color w:val="auto"/>
        </w:rPr>
        <w:t xml:space="preserve">    传真：</w:t>
      </w:r>
      <w:r>
        <w:rPr>
          <w:rFonts w:hint="eastAsia" w:hAnsi="宋体"/>
          <w:color w:val="auto"/>
          <w:u w:val="single"/>
        </w:rPr>
        <w:t xml:space="preserve">                                    </w:t>
      </w:r>
      <w:r>
        <w:rPr>
          <w:rFonts w:hint="eastAsia" w:hAnsi="宋体"/>
          <w:color w:val="auto"/>
        </w:rPr>
        <w:t xml:space="preserve">    </w:t>
      </w:r>
    </w:p>
    <w:p>
      <w:pPr>
        <w:pStyle w:val="24"/>
        <w:spacing w:line="360" w:lineRule="auto"/>
        <w:rPr>
          <w:rFonts w:hAnsi="宋体"/>
          <w:color w:val="auto"/>
          <w:u w:val="single"/>
        </w:rPr>
      </w:pPr>
      <w:r>
        <w:rPr>
          <w:rFonts w:hint="eastAsia" w:hAnsi="宋体"/>
          <w:color w:val="auto"/>
        </w:rPr>
        <w:t>邮政编码：</w:t>
      </w:r>
      <w:r>
        <w:rPr>
          <w:rFonts w:hint="eastAsia" w:hAnsi="宋体"/>
          <w:color w:val="auto"/>
          <w:u w:val="single"/>
        </w:rPr>
        <w:t xml:space="preserve">                                </w:t>
      </w:r>
      <w:r>
        <w:rPr>
          <w:rFonts w:hint="eastAsia" w:hAnsi="宋体"/>
          <w:color w:val="auto"/>
        </w:rPr>
        <w:t xml:space="preserve">    邮政编码：</w:t>
      </w:r>
      <w:r>
        <w:rPr>
          <w:rFonts w:hint="eastAsia" w:hAnsi="宋体"/>
          <w:color w:val="auto"/>
          <w:u w:val="single"/>
        </w:rPr>
        <w:t xml:space="preserve">                                </w:t>
      </w:r>
    </w:p>
    <w:p>
      <w:pPr>
        <w:pStyle w:val="24"/>
        <w:spacing w:line="360" w:lineRule="auto"/>
        <w:rPr>
          <w:rFonts w:hAnsi="宋体"/>
          <w:color w:val="auto"/>
        </w:rPr>
      </w:pPr>
      <w:r>
        <w:rPr>
          <w:rFonts w:hint="eastAsia" w:hAnsi="宋体"/>
          <w:color w:val="auto"/>
          <w:u w:val="single"/>
        </w:rPr>
        <w:t xml:space="preserve">                                              </w:t>
      </w:r>
      <w:r>
        <w:rPr>
          <w:rFonts w:hint="eastAsia" w:hAnsi="宋体"/>
          <w:color w:val="auto"/>
        </w:rPr>
        <w:t>统一社会代码：</w:t>
      </w:r>
      <w:r>
        <w:rPr>
          <w:rFonts w:hint="eastAsia" w:hAnsi="宋体"/>
          <w:color w:val="auto"/>
          <w:u w:val="single"/>
        </w:rPr>
        <w:t xml:space="preserve">                            </w:t>
      </w:r>
    </w:p>
    <w:p>
      <w:pPr>
        <w:pStyle w:val="24"/>
        <w:spacing w:line="360" w:lineRule="auto"/>
        <w:rPr>
          <w:rFonts w:hAnsi="宋体"/>
          <w:color w:val="auto"/>
          <w:u w:val="single"/>
        </w:rPr>
      </w:pPr>
      <w:r>
        <w:rPr>
          <w:rFonts w:hint="eastAsia" w:hAnsi="宋体"/>
          <w:color w:val="auto"/>
        </w:rPr>
        <w:t xml:space="preserve">                                              开户银行：</w:t>
      </w:r>
      <w:r>
        <w:rPr>
          <w:rFonts w:hint="eastAsia" w:hAnsi="宋体"/>
          <w:color w:val="auto"/>
          <w:u w:val="single"/>
        </w:rPr>
        <w:t xml:space="preserve">                                </w:t>
      </w:r>
    </w:p>
    <w:p>
      <w:pPr>
        <w:pStyle w:val="24"/>
        <w:spacing w:line="360" w:lineRule="auto"/>
        <w:rPr>
          <w:rFonts w:hAnsi="宋体"/>
          <w:color w:val="auto"/>
          <w:u w:val="single"/>
        </w:rPr>
      </w:pPr>
      <w:r>
        <w:rPr>
          <w:rFonts w:hint="eastAsia" w:hAnsi="宋体"/>
          <w:color w:val="auto"/>
        </w:rPr>
        <w:t xml:space="preserve">                                              开户名称：</w:t>
      </w:r>
      <w:r>
        <w:rPr>
          <w:rFonts w:hint="eastAsia" w:hAnsi="宋体"/>
          <w:color w:val="auto"/>
          <w:u w:val="single"/>
        </w:rPr>
        <w:t xml:space="preserve">                                </w:t>
      </w:r>
    </w:p>
    <w:p>
      <w:pPr>
        <w:pStyle w:val="24"/>
        <w:spacing w:line="360" w:lineRule="auto"/>
        <w:rPr>
          <w:rFonts w:hAnsi="宋体"/>
          <w:color w:val="auto"/>
          <w:u w:val="single"/>
        </w:rPr>
      </w:pPr>
      <w:r>
        <w:rPr>
          <w:rFonts w:hint="eastAsia" w:hAnsi="宋体"/>
          <w:color w:val="auto"/>
        </w:rPr>
        <w:t xml:space="preserve">                                              银行账号：</w:t>
      </w:r>
      <w:r>
        <w:rPr>
          <w:rFonts w:hint="eastAsia" w:hAnsi="宋体"/>
          <w:color w:val="auto"/>
          <w:u w:val="single"/>
        </w:rPr>
        <w:t xml:space="preserve">                                </w:t>
      </w:r>
    </w:p>
    <w:p>
      <w:pPr>
        <w:pStyle w:val="24"/>
        <w:snapToGrid w:val="0"/>
        <w:spacing w:before="120" w:after="120"/>
        <w:jc w:val="center"/>
        <w:rPr>
          <w:rFonts w:hAnsi="宋体"/>
          <w:color w:val="auto"/>
          <w:sz w:val="24"/>
        </w:rPr>
      </w:pPr>
      <w:r>
        <w:rPr>
          <w:rFonts w:hint="eastAsia" w:hAnsi="宋体"/>
          <w:color w:val="auto"/>
        </w:rPr>
        <w:t>合同签订日期：</w:t>
      </w: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int="eastAsia" w:hAnsi="宋体"/>
          <w:color w:val="auto"/>
        </w:rPr>
        <w:t xml:space="preserve">日         合同签订地点：广西南宁市       </w:t>
      </w:r>
    </w:p>
    <w:p>
      <w:pPr>
        <w:pStyle w:val="24"/>
        <w:snapToGrid w:val="0"/>
        <w:spacing w:before="120" w:after="120"/>
        <w:jc w:val="center"/>
        <w:rPr>
          <w:rFonts w:hAnsi="宋体"/>
          <w:color w:val="auto"/>
          <w:sz w:val="24"/>
        </w:rPr>
      </w:pPr>
    </w:p>
    <w:p>
      <w:pPr>
        <w:pStyle w:val="24"/>
        <w:snapToGrid w:val="0"/>
        <w:spacing w:before="120" w:after="120"/>
        <w:jc w:val="center"/>
        <w:rPr>
          <w:rFonts w:hAnsi="宋体"/>
          <w:color w:val="auto"/>
          <w:sz w:val="24"/>
        </w:rPr>
      </w:pPr>
    </w:p>
    <w:p>
      <w:pPr>
        <w:pStyle w:val="24"/>
        <w:snapToGrid w:val="0"/>
        <w:spacing w:before="120" w:after="120"/>
        <w:jc w:val="center"/>
        <w:rPr>
          <w:rFonts w:hAnsi="宋体"/>
          <w:color w:val="auto"/>
          <w:sz w:val="24"/>
        </w:rPr>
      </w:pPr>
    </w:p>
    <w:p>
      <w:pPr>
        <w:pStyle w:val="24"/>
        <w:snapToGrid w:val="0"/>
        <w:spacing w:before="120" w:after="120"/>
        <w:jc w:val="center"/>
        <w:rPr>
          <w:rFonts w:hAnsi="宋体"/>
          <w:color w:val="auto"/>
          <w:sz w:val="24"/>
        </w:rPr>
      </w:pPr>
    </w:p>
    <w:p>
      <w:pPr>
        <w:pStyle w:val="24"/>
        <w:snapToGrid w:val="0"/>
        <w:spacing w:before="120" w:after="120"/>
        <w:jc w:val="center"/>
        <w:rPr>
          <w:rFonts w:hAnsi="宋体"/>
          <w:color w:val="auto"/>
          <w:sz w:val="24"/>
        </w:rPr>
      </w:pPr>
    </w:p>
    <w:p>
      <w:pPr>
        <w:pStyle w:val="24"/>
        <w:snapToGrid w:val="0"/>
        <w:spacing w:before="120" w:after="120"/>
        <w:jc w:val="center"/>
        <w:rPr>
          <w:rFonts w:hAnsi="宋体"/>
          <w:color w:val="auto"/>
          <w:sz w:val="24"/>
        </w:rPr>
      </w:pPr>
    </w:p>
    <w:p>
      <w:pPr>
        <w:pStyle w:val="24"/>
        <w:snapToGrid w:val="0"/>
        <w:spacing w:before="120" w:after="120"/>
        <w:jc w:val="center"/>
        <w:rPr>
          <w:rFonts w:hAnsi="宋体"/>
          <w:color w:val="auto"/>
          <w:sz w:val="24"/>
        </w:rPr>
      </w:pPr>
    </w:p>
    <w:p>
      <w:pPr>
        <w:pStyle w:val="24"/>
        <w:snapToGrid w:val="0"/>
        <w:spacing w:before="120" w:after="120"/>
        <w:jc w:val="center"/>
        <w:rPr>
          <w:rFonts w:hAnsi="宋体"/>
          <w:color w:val="auto"/>
          <w:sz w:val="24"/>
        </w:rPr>
      </w:pPr>
    </w:p>
    <w:p>
      <w:pPr>
        <w:pStyle w:val="24"/>
        <w:snapToGrid w:val="0"/>
        <w:spacing w:before="120" w:after="120"/>
        <w:jc w:val="center"/>
        <w:outlineLvl w:val="0"/>
        <w:rPr>
          <w:rFonts w:hAnsi="宋体"/>
          <w:b/>
          <w:color w:val="auto"/>
          <w:sz w:val="44"/>
          <w:szCs w:val="44"/>
        </w:rPr>
      </w:pPr>
      <w:bookmarkStart w:id="49" w:name="_Toc4920"/>
      <w:r>
        <w:rPr>
          <w:rFonts w:hint="eastAsia" w:hAnsi="宋体"/>
          <w:b/>
          <w:color w:val="auto"/>
          <w:sz w:val="44"/>
          <w:szCs w:val="44"/>
        </w:rPr>
        <w:t>第六章  评审办法及评审标准</w:t>
      </w:r>
      <w:bookmarkEnd w:id="49"/>
    </w:p>
    <w:p>
      <w:pPr>
        <w:pStyle w:val="24"/>
        <w:snapToGrid w:val="0"/>
        <w:jc w:val="center"/>
        <w:outlineLvl w:val="1"/>
        <w:rPr>
          <w:rFonts w:hAnsi="宋体"/>
          <w:b/>
          <w:color w:val="auto"/>
          <w:sz w:val="32"/>
          <w:szCs w:val="32"/>
        </w:rPr>
      </w:pPr>
      <w:r>
        <w:rPr>
          <w:rFonts w:hAnsi="宋体"/>
          <w:b/>
          <w:color w:val="auto"/>
          <w:sz w:val="44"/>
          <w:szCs w:val="44"/>
        </w:rPr>
        <w:br w:type="page"/>
      </w:r>
      <w:bookmarkStart w:id="50" w:name="_Toc254970548"/>
      <w:bookmarkStart w:id="51" w:name="_Toc254970689"/>
      <w:r>
        <w:rPr>
          <w:rFonts w:hint="eastAsia" w:hAnsi="宋体"/>
          <w:b/>
          <w:color w:val="auto"/>
          <w:sz w:val="32"/>
          <w:szCs w:val="32"/>
        </w:rPr>
        <w:t>评审办法及评审标准</w:t>
      </w:r>
      <w:bookmarkEnd w:id="50"/>
      <w:bookmarkEnd w:id="51"/>
    </w:p>
    <w:p>
      <w:pPr>
        <w:spacing w:line="360" w:lineRule="exact"/>
        <w:ind w:left="-178" w:leftChars="-85" w:right="-178" w:rightChars="-85" w:firstLine="482" w:firstLineChars="200"/>
        <w:jc w:val="left"/>
        <w:outlineLvl w:val="1"/>
        <w:rPr>
          <w:rFonts w:ascii="宋体" w:hAnsi="宋体"/>
          <w:b/>
          <w:color w:val="auto"/>
          <w:sz w:val="24"/>
        </w:rPr>
      </w:pPr>
      <w:r>
        <w:rPr>
          <w:rFonts w:hint="eastAsia" w:ascii="宋体" w:hAnsi="宋体"/>
          <w:b/>
          <w:color w:val="auto"/>
          <w:sz w:val="24"/>
        </w:rPr>
        <w:t>一、评审原则</w:t>
      </w:r>
    </w:p>
    <w:p>
      <w:pPr>
        <w:spacing w:line="360" w:lineRule="exact"/>
        <w:ind w:left="-178" w:leftChars="-85" w:right="-178" w:rightChars="-85" w:firstLine="660" w:firstLineChars="275"/>
        <w:jc w:val="left"/>
        <w:outlineLvl w:val="1"/>
        <w:rPr>
          <w:rFonts w:ascii="宋体" w:hAnsi="宋体" w:cs="Courier New"/>
          <w:color w:val="auto"/>
          <w:sz w:val="24"/>
        </w:rPr>
      </w:pPr>
      <w:r>
        <w:rPr>
          <w:rFonts w:hint="eastAsia" w:asciiTheme="minorEastAsia" w:hAnsiTheme="minorEastAsia" w:eastAsiaTheme="minorEastAsia"/>
          <w:color w:val="auto"/>
          <w:sz w:val="24"/>
        </w:rPr>
        <w:t>谈判小组必须坚持公平、公正、科学和择优的原则。</w:t>
      </w:r>
    </w:p>
    <w:p>
      <w:pPr>
        <w:spacing w:line="360" w:lineRule="exact"/>
        <w:ind w:left="-178" w:leftChars="-85" w:right="-178" w:rightChars="-85" w:firstLine="660" w:firstLineChars="275"/>
        <w:jc w:val="left"/>
        <w:outlineLvl w:val="1"/>
        <w:rPr>
          <w:rFonts w:ascii="宋体" w:hAnsi="宋体" w:cs="Courier New"/>
          <w:color w:val="auto"/>
          <w:sz w:val="24"/>
        </w:rPr>
      </w:pPr>
      <w:r>
        <w:rPr>
          <w:rFonts w:hint="eastAsia" w:ascii="宋体" w:hAnsi="宋体" w:cs="Courier New"/>
          <w:color w:val="auto"/>
          <w:sz w:val="24"/>
        </w:rPr>
        <w:t>(一)谈判小组构成：本项目的谈判小组成员由从财政部门的政府采购评标专家库随机抽取的评审专家</w:t>
      </w:r>
      <w:r>
        <w:rPr>
          <w:rFonts w:hint="eastAsia" w:ascii="宋体" w:hAnsi="宋体"/>
          <w:color w:val="auto"/>
          <w:sz w:val="24"/>
          <w:u w:val="single"/>
        </w:rPr>
        <w:t xml:space="preserve"> 2</w:t>
      </w:r>
      <w:r>
        <w:rPr>
          <w:rFonts w:hint="eastAsia" w:ascii="宋体" w:hAnsi="宋体" w:cs="Courier New"/>
          <w:color w:val="auto"/>
          <w:sz w:val="24"/>
        </w:rPr>
        <w:t>人和采购人代表</w:t>
      </w:r>
      <w:r>
        <w:rPr>
          <w:rFonts w:hint="eastAsia" w:ascii="宋体" w:hAnsi="宋体"/>
          <w:color w:val="auto"/>
          <w:sz w:val="24"/>
          <w:u w:val="single"/>
        </w:rPr>
        <w:t xml:space="preserve"> 1</w:t>
      </w:r>
      <w:r>
        <w:rPr>
          <w:rFonts w:hint="eastAsia" w:ascii="宋体" w:hAnsi="宋体" w:cs="Courier New"/>
          <w:color w:val="auto"/>
          <w:sz w:val="24"/>
        </w:rPr>
        <w:t>人，共</w:t>
      </w:r>
      <w:r>
        <w:rPr>
          <w:rFonts w:hint="eastAsia" w:ascii="宋体" w:hAnsi="宋体"/>
          <w:color w:val="auto"/>
          <w:sz w:val="24"/>
          <w:u w:val="single"/>
        </w:rPr>
        <w:t xml:space="preserve"> 3 </w:t>
      </w:r>
      <w:r>
        <w:rPr>
          <w:rFonts w:hint="eastAsia" w:ascii="宋体" w:hAnsi="宋体" w:cs="Courier New"/>
          <w:color w:val="auto"/>
          <w:sz w:val="24"/>
        </w:rPr>
        <w:t>人以上单数组成，其中专家人数不少于成员总数的三分之二。</w:t>
      </w:r>
    </w:p>
    <w:p>
      <w:pPr>
        <w:spacing w:line="360" w:lineRule="exact"/>
        <w:ind w:right="-178" w:rightChars="-85" w:firstLine="120" w:firstLineChars="50"/>
        <w:jc w:val="left"/>
        <w:outlineLvl w:val="1"/>
        <w:rPr>
          <w:rFonts w:ascii="宋体" w:hAnsi="宋体" w:cs="Courier New"/>
          <w:color w:val="auto"/>
          <w:sz w:val="24"/>
        </w:rPr>
      </w:pPr>
      <w:r>
        <w:rPr>
          <w:rFonts w:hint="eastAsia" w:ascii="宋体" w:hAnsi="宋体" w:cs="Courier New"/>
          <w:color w:val="auto"/>
          <w:sz w:val="24"/>
        </w:rPr>
        <w:t xml:space="preserve">   (二)评标依据：以竞争性谈判采购文件和响应文件为评定依据。</w:t>
      </w:r>
    </w:p>
    <w:p>
      <w:pPr>
        <w:pStyle w:val="24"/>
        <w:outlineLvl w:val="1"/>
        <w:rPr>
          <w:rFonts w:hAnsi="宋体"/>
          <w:color w:val="auto"/>
          <w:sz w:val="24"/>
          <w:szCs w:val="24"/>
        </w:rPr>
      </w:pPr>
      <w:r>
        <w:rPr>
          <w:rFonts w:hint="eastAsia" w:hAnsi="宋体"/>
          <w:color w:val="auto"/>
          <w:sz w:val="24"/>
        </w:rPr>
        <w:t xml:space="preserve">    (三)评标方法：</w:t>
      </w:r>
      <w:r>
        <w:rPr>
          <w:rFonts w:hint="eastAsia" w:hAnsi="宋体"/>
          <w:color w:val="auto"/>
          <w:sz w:val="24"/>
          <w:szCs w:val="24"/>
        </w:rPr>
        <w:t>采用最低评标价法。</w:t>
      </w:r>
    </w:p>
    <w:p>
      <w:pPr>
        <w:pStyle w:val="24"/>
        <w:outlineLvl w:val="1"/>
        <w:rPr>
          <w:rFonts w:hAnsi="宋体"/>
          <w:b/>
          <w:bCs/>
          <w:color w:val="auto"/>
          <w:sz w:val="24"/>
          <w:szCs w:val="24"/>
        </w:rPr>
      </w:pPr>
      <w:r>
        <w:rPr>
          <w:rFonts w:hint="eastAsia" w:hAnsi="宋体"/>
          <w:b/>
          <w:bCs/>
          <w:color w:val="auto"/>
          <w:sz w:val="24"/>
          <w:szCs w:val="24"/>
        </w:rPr>
        <w:t>二、评定方法</w:t>
      </w:r>
    </w:p>
    <w:p>
      <w:pPr>
        <w:pStyle w:val="24"/>
        <w:ind w:firstLine="480" w:firstLineChars="200"/>
        <w:outlineLvl w:val="1"/>
        <w:rPr>
          <w:rFonts w:hAnsi="宋体"/>
          <w:color w:val="auto"/>
          <w:sz w:val="24"/>
          <w:szCs w:val="24"/>
        </w:rPr>
      </w:pPr>
      <w:r>
        <w:rPr>
          <w:rFonts w:hint="eastAsia" w:hAnsi="宋体"/>
          <w:color w:val="auto"/>
          <w:sz w:val="24"/>
        </w:rPr>
        <w:t>(一)</w:t>
      </w:r>
      <w:r>
        <w:rPr>
          <w:rFonts w:hint="eastAsia" w:hAnsi="宋体"/>
          <w:color w:val="auto"/>
          <w:sz w:val="24"/>
          <w:szCs w:val="24"/>
        </w:rPr>
        <w:t>对商务评审和技术（服务）评审合格的响应文件，采用最低评标价法进行评审。</w:t>
      </w:r>
    </w:p>
    <w:p>
      <w:pPr>
        <w:pStyle w:val="24"/>
        <w:ind w:firstLine="480" w:firstLineChars="200"/>
        <w:outlineLvl w:val="1"/>
        <w:rPr>
          <w:rFonts w:hAnsi="宋体"/>
          <w:color w:val="auto"/>
          <w:sz w:val="24"/>
          <w:szCs w:val="24"/>
        </w:rPr>
      </w:pPr>
      <w:r>
        <w:rPr>
          <w:rFonts w:hint="eastAsia" w:hAnsi="宋体"/>
          <w:color w:val="auto"/>
          <w:sz w:val="24"/>
          <w:szCs w:val="24"/>
        </w:rPr>
        <w:t>谈判小组将以谈判文件、响应文件为评定依据，在符合采购需求、质量和服务等实质性要求的前提下，以提出最低评标价的供应商作为成交候选供应商。</w:t>
      </w:r>
    </w:p>
    <w:p>
      <w:pPr>
        <w:pStyle w:val="24"/>
        <w:ind w:firstLine="480" w:firstLineChars="200"/>
        <w:outlineLvl w:val="1"/>
        <w:rPr>
          <w:rFonts w:hAnsi="宋体"/>
          <w:color w:val="auto"/>
          <w:sz w:val="24"/>
          <w:szCs w:val="24"/>
        </w:rPr>
      </w:pPr>
      <w:r>
        <w:rPr>
          <w:rFonts w:hint="eastAsia" w:hAnsi="宋体"/>
          <w:color w:val="auto"/>
          <w:sz w:val="24"/>
          <w:szCs w:val="24"/>
        </w:rPr>
        <w:t>（二）</w:t>
      </w:r>
      <w:r>
        <w:rPr>
          <w:rFonts w:hint="eastAsia" w:hAnsi="宋体" w:cs="宋体"/>
          <w:color w:val="auto"/>
          <w:kern w:val="0"/>
          <w:sz w:val="24"/>
          <w:szCs w:val="24"/>
        </w:rPr>
        <w:t>根据《政府采购促进中小企业发展暂行办法》（财库[2011]181号）第五条的规定：</w:t>
      </w:r>
    </w:p>
    <w:p>
      <w:pPr>
        <w:pStyle w:val="24"/>
        <w:ind w:firstLine="480" w:firstLineChars="200"/>
        <w:outlineLvl w:val="1"/>
        <w:rPr>
          <w:rFonts w:hAnsi="宋体"/>
          <w:color w:val="auto"/>
          <w:sz w:val="24"/>
          <w:szCs w:val="24"/>
        </w:rPr>
      </w:pPr>
      <w:r>
        <w:rPr>
          <w:rFonts w:hint="eastAsia" w:hAnsi="宋体" w:cs="宋体"/>
          <w:color w:val="auto"/>
          <w:kern w:val="0"/>
          <w:sz w:val="24"/>
          <w:szCs w:val="24"/>
        </w:rPr>
        <w:t>对小型或微型企业产品的价格给予10%的扣除，用扣除后的价格参与评审，</w:t>
      </w:r>
      <w:r>
        <w:rPr>
          <w:rFonts w:hint="eastAsia" w:hAnsi="宋体"/>
          <w:color w:val="auto"/>
          <w:sz w:val="24"/>
          <w:szCs w:val="24"/>
        </w:rPr>
        <w:t>即：</w:t>
      </w:r>
      <w:r>
        <w:rPr>
          <w:rFonts w:hint="eastAsia" w:hAnsi="宋体"/>
          <w:bCs/>
          <w:color w:val="auto"/>
          <w:spacing w:val="-6"/>
          <w:sz w:val="24"/>
          <w:szCs w:val="24"/>
        </w:rPr>
        <w:t>评标价</w:t>
      </w:r>
      <w:r>
        <w:rPr>
          <w:rFonts w:hint="eastAsia" w:hAnsi="宋体"/>
          <w:bCs/>
          <w:color w:val="auto"/>
          <w:sz w:val="24"/>
          <w:szCs w:val="24"/>
        </w:rPr>
        <w:t>P</w:t>
      </w:r>
      <w:r>
        <w:rPr>
          <w:rFonts w:hint="eastAsia" w:hAnsi="宋体"/>
          <w:bCs/>
          <w:color w:val="auto"/>
          <w:sz w:val="24"/>
          <w:szCs w:val="24"/>
          <w:vertAlign w:val="subscript"/>
        </w:rPr>
        <w:t xml:space="preserve">P </w:t>
      </w:r>
      <w:r>
        <w:rPr>
          <w:rFonts w:hint="eastAsia" w:hAnsi="宋体"/>
          <w:bCs/>
          <w:color w:val="auto"/>
          <w:sz w:val="24"/>
          <w:szCs w:val="24"/>
        </w:rPr>
        <w:t>=最终竞标价P</w:t>
      </w:r>
      <w:r>
        <w:rPr>
          <w:rFonts w:hint="eastAsia" w:hAnsi="宋体"/>
          <w:bCs/>
          <w:color w:val="auto"/>
          <w:sz w:val="24"/>
          <w:szCs w:val="24"/>
          <w:vertAlign w:val="subscript"/>
        </w:rPr>
        <w:t>i</w:t>
      </w:r>
      <w:r>
        <w:rPr>
          <w:rFonts w:hint="eastAsia" w:hAnsi="宋体"/>
          <w:bCs/>
          <w:color w:val="auto"/>
          <w:sz w:val="24"/>
          <w:szCs w:val="24"/>
        </w:rPr>
        <w:t>-</w:t>
      </w:r>
      <w:r>
        <w:rPr>
          <w:rFonts w:hint="eastAsia" w:hAnsi="宋体" w:cs="宋体"/>
          <w:color w:val="auto"/>
          <w:kern w:val="0"/>
          <w:sz w:val="24"/>
          <w:szCs w:val="24"/>
        </w:rPr>
        <w:t>10</w:t>
      </w:r>
      <w:r>
        <w:rPr>
          <w:rFonts w:hint="eastAsia" w:hAnsi="宋体"/>
          <w:bCs/>
          <w:color w:val="auto"/>
          <w:sz w:val="24"/>
          <w:szCs w:val="24"/>
        </w:rPr>
        <w:t>%×最终竞标价P</w:t>
      </w:r>
      <w:r>
        <w:rPr>
          <w:rFonts w:hint="eastAsia" w:hAnsi="宋体"/>
          <w:bCs/>
          <w:color w:val="auto"/>
          <w:sz w:val="24"/>
          <w:szCs w:val="24"/>
          <w:vertAlign w:val="subscript"/>
        </w:rPr>
        <w:t>i</w:t>
      </w:r>
      <w:r>
        <w:rPr>
          <w:rFonts w:hint="eastAsia" w:hAnsi="宋体"/>
          <w:color w:val="auto"/>
          <w:sz w:val="24"/>
          <w:szCs w:val="24"/>
        </w:rPr>
        <w:t>（供应商须如实填写</w:t>
      </w:r>
      <w:r>
        <w:rPr>
          <w:rFonts w:hAnsi="宋体"/>
          <w:color w:val="auto"/>
          <w:sz w:val="24"/>
          <w:szCs w:val="24"/>
        </w:rPr>
        <w:t>中小企业声明函</w:t>
      </w:r>
      <w:r>
        <w:rPr>
          <w:rFonts w:hint="eastAsia" w:hAnsi="宋体"/>
          <w:color w:val="auto"/>
          <w:sz w:val="24"/>
          <w:szCs w:val="24"/>
        </w:rPr>
        <w:t>，并对声明的真实性负责）</w:t>
      </w:r>
    </w:p>
    <w:p>
      <w:pPr>
        <w:pStyle w:val="24"/>
        <w:ind w:firstLine="480"/>
        <w:outlineLvl w:val="1"/>
        <w:rPr>
          <w:rFonts w:hAnsi="宋体"/>
          <w:color w:val="auto"/>
          <w:sz w:val="24"/>
          <w:szCs w:val="24"/>
        </w:rPr>
      </w:pPr>
      <w:r>
        <w:rPr>
          <w:rFonts w:hint="eastAsia" w:hAnsi="宋体"/>
          <w:color w:val="auto"/>
          <w:sz w:val="24"/>
          <w:szCs w:val="24"/>
        </w:rPr>
        <w:t>大中型企业和其他自然人、法人或者其他组织与小型、微型企业组成联合体，联合体协议中约定小型、微型企业的协议合同金额占到联合体协议合同总金额30%以上的，联合体最终报价给予2%的扣除，扣除后的价格为评标价，即：</w:t>
      </w:r>
      <w:r>
        <w:rPr>
          <w:rFonts w:hint="eastAsia" w:hAnsi="宋体"/>
          <w:bCs/>
          <w:color w:val="auto"/>
          <w:spacing w:val="-6"/>
          <w:sz w:val="24"/>
          <w:szCs w:val="24"/>
        </w:rPr>
        <w:t>评标价</w:t>
      </w:r>
      <w:r>
        <w:rPr>
          <w:rFonts w:hint="eastAsia" w:hAnsi="宋体"/>
          <w:bCs/>
          <w:color w:val="auto"/>
          <w:sz w:val="24"/>
          <w:szCs w:val="24"/>
        </w:rPr>
        <w:t>P</w:t>
      </w:r>
      <w:r>
        <w:rPr>
          <w:rFonts w:hint="eastAsia" w:hAnsi="宋体"/>
          <w:bCs/>
          <w:color w:val="auto"/>
          <w:sz w:val="24"/>
          <w:szCs w:val="24"/>
          <w:vertAlign w:val="subscript"/>
        </w:rPr>
        <w:t xml:space="preserve">P </w:t>
      </w:r>
      <w:r>
        <w:rPr>
          <w:rFonts w:hint="eastAsia" w:hAnsi="宋体"/>
          <w:bCs/>
          <w:color w:val="auto"/>
          <w:sz w:val="24"/>
          <w:szCs w:val="24"/>
        </w:rPr>
        <w:t>=最终竞标价P</w:t>
      </w:r>
      <w:r>
        <w:rPr>
          <w:rFonts w:hint="eastAsia" w:hAnsi="宋体"/>
          <w:bCs/>
          <w:color w:val="auto"/>
          <w:sz w:val="24"/>
          <w:szCs w:val="24"/>
          <w:vertAlign w:val="subscript"/>
        </w:rPr>
        <w:t>i</w:t>
      </w:r>
      <w:r>
        <w:rPr>
          <w:rFonts w:hint="eastAsia" w:hAnsi="宋体"/>
          <w:bCs/>
          <w:color w:val="auto"/>
          <w:sz w:val="24"/>
          <w:szCs w:val="24"/>
        </w:rPr>
        <w:t>-2%×最终竞标价P</w:t>
      </w:r>
      <w:r>
        <w:rPr>
          <w:rFonts w:hint="eastAsia" w:hAnsi="宋体"/>
          <w:bCs/>
          <w:color w:val="auto"/>
          <w:sz w:val="24"/>
          <w:szCs w:val="24"/>
          <w:vertAlign w:val="subscript"/>
        </w:rPr>
        <w:t>i</w:t>
      </w:r>
      <w:r>
        <w:rPr>
          <w:rFonts w:hint="eastAsia" w:hAnsi="宋体"/>
          <w:color w:val="auto"/>
          <w:sz w:val="24"/>
          <w:szCs w:val="24"/>
        </w:rPr>
        <w:t>。</w:t>
      </w:r>
    </w:p>
    <w:p>
      <w:pPr>
        <w:pStyle w:val="24"/>
        <w:ind w:firstLine="480"/>
        <w:outlineLvl w:val="1"/>
        <w:rPr>
          <w:rFonts w:hAnsi="宋体"/>
          <w:color w:val="auto"/>
          <w:sz w:val="24"/>
          <w:szCs w:val="24"/>
        </w:rPr>
      </w:pPr>
      <w:r>
        <w:rPr>
          <w:rFonts w:hint="eastAsia" w:hAnsi="宋体"/>
          <w:color w:val="auto"/>
          <w:sz w:val="24"/>
          <w:szCs w:val="24"/>
        </w:rPr>
        <w:t>另：根据《关于政府采购支持监狱企业发展有关问题的通知》（财库[2014]68号、桂财采[2015]25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pStyle w:val="24"/>
        <w:ind w:firstLine="480"/>
        <w:outlineLvl w:val="1"/>
        <w:rPr>
          <w:rFonts w:hAnsi="宋体"/>
          <w:color w:val="auto"/>
          <w:sz w:val="24"/>
          <w:szCs w:val="24"/>
        </w:rPr>
      </w:pPr>
      <w:r>
        <w:rPr>
          <w:rFonts w:hint="eastAsia" w:hAnsi="宋体"/>
          <w:color w:val="auto"/>
          <w:sz w:val="24"/>
          <w:szCs w:val="24"/>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24"/>
        <w:ind w:firstLine="480" w:firstLineChars="200"/>
        <w:outlineLvl w:val="1"/>
        <w:rPr>
          <w:rFonts w:hAnsi="宋体"/>
          <w:bCs/>
          <w:color w:val="auto"/>
          <w:sz w:val="24"/>
          <w:szCs w:val="24"/>
        </w:rPr>
      </w:pPr>
      <w:r>
        <w:rPr>
          <w:rFonts w:hint="eastAsia" w:hAnsi="宋体"/>
          <w:bCs/>
          <w:color w:val="auto"/>
          <w:sz w:val="24"/>
          <w:szCs w:val="24"/>
        </w:rPr>
        <w:t>除上述情况外，评标价=最终竞标报价。</w:t>
      </w:r>
    </w:p>
    <w:p>
      <w:pPr>
        <w:pStyle w:val="24"/>
        <w:outlineLvl w:val="1"/>
        <w:rPr>
          <w:b/>
          <w:color w:val="auto"/>
          <w:sz w:val="24"/>
          <w:szCs w:val="24"/>
        </w:rPr>
      </w:pPr>
      <w:r>
        <w:rPr>
          <w:rFonts w:hint="eastAsia"/>
          <w:b/>
          <w:color w:val="auto"/>
          <w:sz w:val="24"/>
          <w:szCs w:val="24"/>
        </w:rPr>
        <w:t>三、成交候选供应商推荐原则</w:t>
      </w:r>
    </w:p>
    <w:p>
      <w:pPr>
        <w:pStyle w:val="24"/>
        <w:ind w:firstLine="480" w:firstLineChars="200"/>
        <w:outlineLvl w:val="1"/>
        <w:rPr>
          <w:rFonts w:hAnsi="宋体"/>
          <w:color w:val="auto"/>
          <w:sz w:val="24"/>
          <w:szCs w:val="24"/>
        </w:rPr>
      </w:pPr>
      <w:r>
        <w:rPr>
          <w:rFonts w:hint="eastAsia" w:hAnsi="宋体"/>
          <w:color w:val="auto"/>
          <w:sz w:val="24"/>
          <w:szCs w:val="24"/>
        </w:rPr>
        <w:t>谈判小组将按评标价由低到高顺序排列，并推荐3名以上（含3名）成交候选供应商（最终评标价相同时，最终竞标报价低的优先，最终评标价相同且最终竞标报价也相同的，按</w:t>
      </w:r>
      <w:r>
        <w:rPr>
          <w:rFonts w:hint="eastAsia" w:hAnsi="宋体"/>
          <w:color w:val="auto"/>
          <w:sz w:val="24"/>
          <w:szCs w:val="24"/>
          <w:u w:val="single"/>
        </w:rPr>
        <w:t>整体技术指标优劣</w:t>
      </w:r>
      <w:r>
        <w:rPr>
          <w:rFonts w:hint="eastAsia" w:hAnsi="宋体"/>
          <w:color w:val="auto"/>
          <w:sz w:val="24"/>
          <w:szCs w:val="24"/>
        </w:rPr>
        <w:t>顺序排列，整体技术指标仍然相同时，按售后服务承诺由高到低顺序排列，售后服务承诺仍然相同时，由谈判小组集体讨论确定排序），采购单位应当确定谈判小组推荐排名第一的成交候选人为成交人。</w:t>
      </w:r>
      <w:r>
        <w:rPr>
          <w:rFonts w:hint="eastAsia" w:hAnsi="宋体" w:cs="Times New Roman"/>
          <w:color w:val="auto"/>
          <w:sz w:val="24"/>
          <w:szCs w:val="24"/>
        </w:rPr>
        <w:t>根据桂财采〔2016〕37号《关于做好政府采购有关信用主体标识码登记及在政府采购活动中查询使用信用记录有关问题的通知</w:t>
      </w:r>
      <w:r>
        <w:rPr>
          <w:rFonts w:hint="eastAsia" w:hAnsi="宋体"/>
          <w:color w:val="auto"/>
          <w:sz w:val="24"/>
          <w:szCs w:val="24"/>
          <w:shd w:val="clear" w:color="auto" w:fill="FFFFFF"/>
        </w:rPr>
        <w:t>》相关规定，</w:t>
      </w:r>
      <w:r>
        <w:rPr>
          <w:rFonts w:hint="eastAsia" w:hAnsi="宋体"/>
          <w:bCs/>
          <w:color w:val="auto"/>
          <w:sz w:val="24"/>
          <w:szCs w:val="24"/>
        </w:rPr>
        <w:t>招标采购单位</w:t>
      </w:r>
      <w:r>
        <w:rPr>
          <w:rFonts w:hint="eastAsia" w:hAnsi="宋体"/>
          <w:color w:val="auto"/>
          <w:sz w:val="24"/>
          <w:szCs w:val="24"/>
          <w:shd w:val="clear" w:color="auto" w:fill="FFFFFF"/>
        </w:rPr>
        <w:t>将对</w:t>
      </w:r>
      <w:r>
        <w:rPr>
          <w:rFonts w:hint="eastAsia" w:hAnsi="宋体"/>
          <w:bCs/>
          <w:color w:val="auto"/>
          <w:sz w:val="24"/>
          <w:szCs w:val="24"/>
        </w:rPr>
        <w:t>排名第一的中标候选人进行信用查询</w:t>
      </w:r>
      <w:r>
        <w:rPr>
          <w:rFonts w:hint="eastAsia" w:hAnsi="宋体"/>
          <w:color w:val="auto"/>
          <w:sz w:val="24"/>
          <w:szCs w:val="24"/>
          <w:shd w:val="clear" w:color="auto" w:fill="FFFFFF"/>
        </w:rPr>
        <w:t>，如</w:t>
      </w:r>
      <w:r>
        <w:rPr>
          <w:rFonts w:hint="eastAsia" w:hAnsi="宋体"/>
          <w:bCs/>
          <w:color w:val="auto"/>
          <w:sz w:val="24"/>
          <w:szCs w:val="24"/>
        </w:rPr>
        <w:t>排名第一的中标候选人在中国政府采购网处于被暂停参加政府采购活动期间的，或</w:t>
      </w:r>
      <w:r>
        <w:rPr>
          <w:rFonts w:hint="eastAsia" w:hAnsi="宋体"/>
          <w:color w:val="auto"/>
          <w:sz w:val="24"/>
          <w:szCs w:val="24"/>
        </w:rPr>
        <w:t>排名第一的成交候选人放弃成交、因不可抗力提出不能履行合同，采购单位可以确定排名第二的成交候选人为成交人。排名第二的成交候选人因前款规定的同样原因不能签订合同的，提出不能履行合同，采购单位可以确定排名第三的成交候选人为成交人。采购单位也可以重新采购。</w:t>
      </w:r>
    </w:p>
    <w:p>
      <w:pPr>
        <w:pStyle w:val="24"/>
        <w:ind w:left="181" w:leftChars="86" w:firstLine="2997" w:firstLineChars="1249"/>
        <w:rPr>
          <w:rFonts w:hAnsi="宋体"/>
          <w:bCs/>
          <w:color w:val="auto"/>
          <w:sz w:val="24"/>
          <w:szCs w:val="24"/>
        </w:rPr>
      </w:pPr>
    </w:p>
    <w:p>
      <w:pPr>
        <w:pStyle w:val="24"/>
        <w:ind w:left="181" w:leftChars="86" w:firstLine="2997" w:firstLineChars="1249"/>
        <w:rPr>
          <w:rFonts w:hAnsi="宋体"/>
          <w:bCs/>
          <w:color w:val="auto"/>
          <w:sz w:val="24"/>
          <w:szCs w:val="24"/>
        </w:rPr>
      </w:pPr>
    </w:p>
    <w:p>
      <w:pPr>
        <w:pStyle w:val="24"/>
        <w:ind w:left="181" w:leftChars="86" w:firstLine="2997" w:firstLineChars="1249"/>
        <w:rPr>
          <w:rFonts w:hAnsi="宋体"/>
          <w:bCs/>
          <w:color w:val="auto"/>
          <w:sz w:val="24"/>
          <w:szCs w:val="24"/>
        </w:rPr>
      </w:pPr>
    </w:p>
    <w:p>
      <w:pPr>
        <w:pStyle w:val="24"/>
        <w:ind w:left="181" w:leftChars="86" w:firstLine="2997" w:firstLineChars="1249"/>
        <w:rPr>
          <w:rFonts w:hAnsi="宋体"/>
          <w:bCs/>
          <w:color w:val="auto"/>
          <w:sz w:val="24"/>
          <w:szCs w:val="24"/>
        </w:rPr>
      </w:pPr>
    </w:p>
    <w:p>
      <w:pPr>
        <w:pStyle w:val="24"/>
        <w:ind w:left="181" w:leftChars="86" w:firstLine="2997" w:firstLineChars="1249"/>
        <w:rPr>
          <w:rFonts w:hAnsi="宋体"/>
          <w:bCs/>
          <w:color w:val="auto"/>
          <w:sz w:val="24"/>
          <w:szCs w:val="24"/>
        </w:rPr>
      </w:pPr>
    </w:p>
    <w:p>
      <w:pPr>
        <w:pStyle w:val="24"/>
        <w:ind w:left="181" w:leftChars="86" w:firstLine="2997" w:firstLineChars="1249"/>
        <w:rPr>
          <w:rFonts w:hAnsi="宋体"/>
          <w:bCs/>
          <w:color w:val="auto"/>
          <w:sz w:val="24"/>
          <w:szCs w:val="24"/>
        </w:rPr>
      </w:pPr>
    </w:p>
    <w:p>
      <w:pPr>
        <w:widowControl/>
        <w:shd w:val="clear" w:color="auto" w:fill="FFFFFF"/>
        <w:spacing w:line="360" w:lineRule="auto"/>
        <w:ind w:firstLine="480"/>
        <w:jc w:val="center"/>
        <w:rPr>
          <w:rFonts w:ascii="宋体" w:hAnsi="宋体" w:cs="宋体"/>
          <w:b/>
          <w:color w:val="auto"/>
          <w:kern w:val="0"/>
          <w:sz w:val="36"/>
          <w:szCs w:val="36"/>
        </w:rPr>
      </w:pPr>
    </w:p>
    <w:p>
      <w:pPr>
        <w:widowControl/>
        <w:shd w:val="clear" w:color="auto" w:fill="FFFFFF"/>
        <w:spacing w:line="360" w:lineRule="auto"/>
        <w:ind w:firstLine="480"/>
        <w:jc w:val="center"/>
        <w:rPr>
          <w:rFonts w:ascii="宋体" w:hAnsi="宋体" w:cs="宋体"/>
          <w:b/>
          <w:color w:val="auto"/>
          <w:kern w:val="0"/>
          <w:sz w:val="36"/>
          <w:szCs w:val="36"/>
        </w:rPr>
      </w:pPr>
    </w:p>
    <w:p>
      <w:pPr>
        <w:widowControl/>
        <w:shd w:val="clear" w:color="auto" w:fill="FFFFFF"/>
        <w:spacing w:line="360" w:lineRule="auto"/>
        <w:ind w:firstLine="480"/>
        <w:jc w:val="center"/>
        <w:rPr>
          <w:rFonts w:ascii="宋体" w:hAnsi="宋体" w:cs="宋体"/>
          <w:b/>
          <w:color w:val="auto"/>
          <w:kern w:val="0"/>
          <w:sz w:val="36"/>
          <w:szCs w:val="36"/>
        </w:rPr>
      </w:pPr>
    </w:p>
    <w:p>
      <w:pPr>
        <w:widowControl/>
        <w:shd w:val="clear" w:color="auto" w:fill="FFFFFF"/>
        <w:spacing w:line="360" w:lineRule="auto"/>
        <w:ind w:firstLine="480"/>
        <w:jc w:val="center"/>
        <w:rPr>
          <w:rFonts w:ascii="宋体" w:hAnsi="宋体" w:cs="宋体"/>
          <w:b/>
          <w:color w:val="auto"/>
          <w:kern w:val="0"/>
          <w:sz w:val="36"/>
          <w:szCs w:val="36"/>
        </w:rPr>
      </w:pPr>
    </w:p>
    <w:p>
      <w:pPr>
        <w:widowControl/>
        <w:shd w:val="clear" w:color="auto" w:fill="FFFFFF"/>
        <w:spacing w:line="360" w:lineRule="auto"/>
        <w:ind w:firstLine="480"/>
        <w:jc w:val="center"/>
        <w:rPr>
          <w:rFonts w:ascii="宋体" w:hAnsi="宋体" w:cs="宋体"/>
          <w:b/>
          <w:color w:val="auto"/>
          <w:kern w:val="0"/>
          <w:sz w:val="36"/>
          <w:szCs w:val="36"/>
        </w:rPr>
      </w:pPr>
    </w:p>
    <w:p>
      <w:pPr>
        <w:widowControl/>
        <w:shd w:val="clear" w:color="auto" w:fill="FFFFFF"/>
        <w:spacing w:line="360" w:lineRule="auto"/>
        <w:ind w:firstLine="480"/>
        <w:jc w:val="center"/>
        <w:rPr>
          <w:rFonts w:ascii="宋体" w:hAnsi="宋体" w:cs="宋体"/>
          <w:b/>
          <w:color w:val="auto"/>
          <w:kern w:val="0"/>
          <w:sz w:val="36"/>
          <w:szCs w:val="36"/>
        </w:rPr>
      </w:pPr>
    </w:p>
    <w:p>
      <w:pPr>
        <w:widowControl/>
        <w:shd w:val="clear" w:color="auto" w:fill="FFFFFF"/>
        <w:spacing w:line="360" w:lineRule="auto"/>
        <w:ind w:firstLine="480"/>
        <w:jc w:val="center"/>
        <w:rPr>
          <w:rFonts w:ascii="宋体" w:hAnsi="宋体" w:cs="宋体"/>
          <w:b/>
          <w:color w:val="auto"/>
          <w:kern w:val="0"/>
          <w:sz w:val="36"/>
          <w:szCs w:val="36"/>
        </w:rPr>
      </w:pPr>
    </w:p>
    <w:p>
      <w:pPr>
        <w:widowControl/>
        <w:shd w:val="clear" w:color="auto" w:fill="FFFFFF"/>
        <w:spacing w:line="360" w:lineRule="auto"/>
        <w:ind w:firstLine="480"/>
        <w:jc w:val="center"/>
        <w:rPr>
          <w:rFonts w:ascii="宋体" w:hAnsi="宋体" w:cs="宋体"/>
          <w:b/>
          <w:color w:val="auto"/>
          <w:kern w:val="0"/>
          <w:sz w:val="36"/>
          <w:szCs w:val="36"/>
        </w:rPr>
      </w:pPr>
    </w:p>
    <w:p>
      <w:pPr>
        <w:widowControl/>
        <w:shd w:val="clear" w:color="auto" w:fill="FFFFFF"/>
        <w:spacing w:line="360" w:lineRule="auto"/>
        <w:ind w:firstLine="480"/>
        <w:jc w:val="center"/>
        <w:rPr>
          <w:rFonts w:ascii="宋体" w:hAnsi="宋体" w:cs="宋体"/>
          <w:b/>
          <w:color w:val="auto"/>
          <w:kern w:val="0"/>
          <w:sz w:val="36"/>
          <w:szCs w:val="36"/>
        </w:rPr>
      </w:pPr>
    </w:p>
    <w:p>
      <w:pPr>
        <w:widowControl/>
        <w:shd w:val="clear" w:color="auto" w:fill="FFFFFF"/>
        <w:spacing w:line="360" w:lineRule="auto"/>
        <w:ind w:firstLine="480"/>
        <w:jc w:val="center"/>
        <w:rPr>
          <w:rFonts w:ascii="宋体" w:hAnsi="宋体" w:cs="宋体"/>
          <w:b/>
          <w:color w:val="auto"/>
          <w:kern w:val="0"/>
          <w:sz w:val="36"/>
          <w:szCs w:val="36"/>
        </w:rPr>
      </w:pPr>
    </w:p>
    <w:p>
      <w:pPr>
        <w:widowControl/>
        <w:shd w:val="clear" w:color="auto" w:fill="FFFFFF"/>
        <w:spacing w:line="360" w:lineRule="auto"/>
        <w:ind w:firstLine="480"/>
        <w:jc w:val="center"/>
        <w:rPr>
          <w:rFonts w:ascii="宋体" w:hAnsi="宋体" w:cs="宋体"/>
          <w:b/>
          <w:color w:val="auto"/>
          <w:kern w:val="0"/>
          <w:sz w:val="36"/>
          <w:szCs w:val="36"/>
        </w:rPr>
      </w:pPr>
    </w:p>
    <w:p>
      <w:pPr>
        <w:widowControl/>
        <w:shd w:val="clear" w:color="auto" w:fill="FFFFFF"/>
        <w:spacing w:line="360" w:lineRule="auto"/>
        <w:ind w:firstLine="480"/>
        <w:jc w:val="center"/>
        <w:rPr>
          <w:rFonts w:ascii="宋体" w:hAnsi="宋体" w:cs="宋体"/>
          <w:b/>
          <w:color w:val="auto"/>
          <w:kern w:val="0"/>
          <w:sz w:val="36"/>
          <w:szCs w:val="36"/>
        </w:rPr>
      </w:pPr>
    </w:p>
    <w:p>
      <w:pPr>
        <w:widowControl/>
        <w:shd w:val="clear" w:color="auto" w:fill="FFFFFF"/>
        <w:spacing w:line="360" w:lineRule="auto"/>
        <w:ind w:firstLine="480"/>
        <w:jc w:val="center"/>
        <w:rPr>
          <w:rFonts w:ascii="宋体" w:hAnsi="宋体" w:cs="宋体"/>
          <w:b/>
          <w:color w:val="auto"/>
          <w:kern w:val="0"/>
          <w:sz w:val="36"/>
          <w:szCs w:val="36"/>
        </w:rPr>
      </w:pPr>
    </w:p>
    <w:p>
      <w:pPr>
        <w:widowControl/>
        <w:shd w:val="clear" w:color="auto" w:fill="FFFFFF"/>
        <w:spacing w:line="360" w:lineRule="auto"/>
        <w:ind w:firstLine="480"/>
        <w:jc w:val="center"/>
        <w:rPr>
          <w:rFonts w:ascii="宋体" w:hAnsi="宋体" w:cs="宋体"/>
          <w:b/>
          <w:color w:val="auto"/>
          <w:kern w:val="0"/>
          <w:sz w:val="36"/>
          <w:szCs w:val="36"/>
        </w:rPr>
      </w:pPr>
    </w:p>
    <w:p>
      <w:pPr>
        <w:widowControl/>
        <w:shd w:val="clear" w:color="auto" w:fill="FFFFFF"/>
        <w:spacing w:line="360" w:lineRule="auto"/>
        <w:rPr>
          <w:rFonts w:ascii="宋体" w:hAnsi="宋体" w:cs="宋体"/>
          <w:b/>
          <w:color w:val="auto"/>
          <w:kern w:val="0"/>
          <w:sz w:val="36"/>
          <w:szCs w:val="36"/>
        </w:rPr>
      </w:pPr>
    </w:p>
    <w:p>
      <w:pPr>
        <w:widowControl/>
        <w:jc w:val="left"/>
        <w:rPr>
          <w:rFonts w:ascii="宋体" w:hAnsi="宋体" w:cs="宋体"/>
          <w:b/>
          <w:color w:val="auto"/>
          <w:kern w:val="0"/>
          <w:sz w:val="36"/>
          <w:szCs w:val="36"/>
        </w:rPr>
      </w:pPr>
      <w:r>
        <w:rPr>
          <w:rFonts w:ascii="宋体" w:hAnsi="宋体" w:cs="宋体"/>
          <w:b/>
          <w:color w:val="auto"/>
          <w:kern w:val="0"/>
          <w:sz w:val="36"/>
          <w:szCs w:val="36"/>
        </w:rPr>
        <w:br w:type="page"/>
      </w:r>
    </w:p>
    <w:p>
      <w:pPr>
        <w:widowControl/>
        <w:shd w:val="clear" w:color="auto" w:fill="FFFFFF"/>
        <w:spacing w:line="360" w:lineRule="auto"/>
        <w:ind w:firstLine="480"/>
        <w:jc w:val="center"/>
        <w:outlineLvl w:val="0"/>
        <w:rPr>
          <w:rFonts w:ascii="宋体" w:hAnsi="宋体" w:cs="宋体"/>
          <w:b/>
          <w:color w:val="auto"/>
          <w:kern w:val="0"/>
          <w:sz w:val="36"/>
          <w:szCs w:val="36"/>
        </w:rPr>
      </w:pPr>
      <w:bookmarkStart w:id="52" w:name="_Toc10781"/>
      <w:r>
        <w:rPr>
          <w:rFonts w:hint="eastAsia" w:ascii="宋体" w:hAnsi="宋体" w:cs="宋体"/>
          <w:b/>
          <w:color w:val="auto"/>
          <w:kern w:val="0"/>
          <w:sz w:val="36"/>
          <w:szCs w:val="36"/>
        </w:rPr>
        <w:t>第七章  质疑书及投诉书格式</w:t>
      </w:r>
      <w:bookmarkEnd w:id="52"/>
    </w:p>
    <w:p>
      <w:pPr>
        <w:tabs>
          <w:tab w:val="left" w:pos="606"/>
        </w:tabs>
        <w:rPr>
          <w:color w:val="auto"/>
        </w:rPr>
      </w:pPr>
      <w:r>
        <w:rPr>
          <w:rFonts w:hint="eastAsia"/>
          <w:color w:val="auto"/>
        </w:rPr>
        <w:t xml:space="preserve">   </w:t>
      </w:r>
    </w:p>
    <w:p>
      <w:pPr>
        <w:tabs>
          <w:tab w:val="left" w:pos="606"/>
        </w:tabs>
        <w:rPr>
          <w:color w:val="auto"/>
        </w:rPr>
      </w:pPr>
    </w:p>
    <w:p>
      <w:pPr>
        <w:adjustRightInd w:val="0"/>
        <w:snapToGrid w:val="0"/>
        <w:spacing w:beforeLines="100" w:line="360" w:lineRule="auto"/>
        <w:rPr>
          <w:rFonts w:ascii="黑体" w:hAnsi="黑体" w:eastAsia="黑体" w:cs="仿宋"/>
          <w:bCs/>
          <w:color w:val="auto"/>
          <w:sz w:val="32"/>
          <w:szCs w:val="32"/>
        </w:rPr>
      </w:pPr>
      <w:r>
        <w:rPr>
          <w:rFonts w:hint="eastAsia" w:ascii="黑体" w:hAnsi="黑体" w:eastAsia="黑体" w:cs="仿宋"/>
          <w:bCs/>
          <w:color w:val="auto"/>
          <w:sz w:val="32"/>
          <w:szCs w:val="32"/>
        </w:rPr>
        <w:t>一、质疑供应商基本信息</w:t>
      </w:r>
    </w:p>
    <w:p>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质疑供应商：</w:t>
      </w:r>
      <w:r>
        <w:rPr>
          <w:rFonts w:hint="eastAsia" w:ascii="仿宋" w:hAnsi="仿宋" w:eastAsia="仿宋" w:cs="仿宋"/>
          <w:color w:val="auto"/>
          <w:sz w:val="32"/>
          <w:szCs w:val="32"/>
          <w:u w:val="dotted"/>
        </w:rPr>
        <w:t xml:space="preserve">                                        </w:t>
      </w:r>
    </w:p>
    <w:p>
      <w:pPr>
        <w:adjustRightInd w:val="0"/>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地址：</w:t>
      </w:r>
      <w:r>
        <w:rPr>
          <w:rFonts w:hint="eastAsia" w:ascii="仿宋" w:hAnsi="仿宋" w:eastAsia="仿宋" w:cs="仿宋"/>
          <w:color w:val="auto"/>
          <w:sz w:val="32"/>
          <w:szCs w:val="32"/>
          <w:u w:val="dotted"/>
        </w:rPr>
        <w:t xml:space="preserve">                          </w:t>
      </w:r>
      <w:r>
        <w:rPr>
          <w:rFonts w:hint="eastAsia" w:ascii="仿宋" w:hAnsi="仿宋" w:eastAsia="仿宋" w:cs="仿宋"/>
          <w:color w:val="auto"/>
          <w:sz w:val="32"/>
          <w:szCs w:val="32"/>
        </w:rPr>
        <w:t>邮编：</w:t>
      </w:r>
      <w:r>
        <w:rPr>
          <w:rFonts w:hint="eastAsia" w:ascii="仿宋" w:hAnsi="仿宋" w:eastAsia="仿宋" w:cs="仿宋"/>
          <w:color w:val="auto"/>
          <w:sz w:val="32"/>
          <w:szCs w:val="32"/>
          <w:u w:val="dotted"/>
        </w:rPr>
        <w:t xml:space="preserve">                                                   </w:t>
      </w:r>
    </w:p>
    <w:p>
      <w:pPr>
        <w:adjustRightInd w:val="0"/>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联系人：</w:t>
      </w:r>
      <w:r>
        <w:rPr>
          <w:rFonts w:hint="eastAsia" w:ascii="仿宋" w:hAnsi="仿宋" w:eastAsia="仿宋" w:cs="仿宋"/>
          <w:color w:val="auto"/>
          <w:sz w:val="32"/>
          <w:szCs w:val="32"/>
          <w:u w:val="dotted"/>
        </w:rPr>
        <w:t xml:space="preserve">                      </w:t>
      </w:r>
      <w:r>
        <w:rPr>
          <w:rFonts w:hint="eastAsia" w:ascii="仿宋" w:hAnsi="仿宋" w:eastAsia="仿宋" w:cs="仿宋"/>
          <w:color w:val="auto"/>
          <w:sz w:val="32"/>
          <w:szCs w:val="32"/>
        </w:rPr>
        <w:t>联系电话：</w:t>
      </w:r>
      <w:r>
        <w:rPr>
          <w:rFonts w:hint="eastAsia" w:ascii="仿宋" w:hAnsi="仿宋" w:eastAsia="仿宋" w:cs="仿宋"/>
          <w:color w:val="auto"/>
          <w:sz w:val="32"/>
          <w:szCs w:val="32"/>
          <w:u w:val="dotted"/>
        </w:rPr>
        <w:t xml:space="preserve">                              </w:t>
      </w:r>
    </w:p>
    <w:p>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授权代表：</w:t>
      </w:r>
      <w:r>
        <w:rPr>
          <w:rFonts w:hint="eastAsia" w:ascii="仿宋" w:hAnsi="仿宋" w:eastAsia="仿宋" w:cs="仿宋"/>
          <w:color w:val="auto"/>
          <w:sz w:val="32"/>
          <w:szCs w:val="32"/>
          <w:u w:val="dotted"/>
        </w:rPr>
        <w:t xml:space="preserve">                                          </w:t>
      </w:r>
    </w:p>
    <w:p>
      <w:pPr>
        <w:tabs>
          <w:tab w:val="left" w:pos="3544"/>
        </w:tabs>
        <w:adjustRightInd w:val="0"/>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联系电话：</w:t>
      </w:r>
      <w:r>
        <w:rPr>
          <w:rFonts w:hint="eastAsia" w:ascii="仿宋" w:hAnsi="仿宋" w:eastAsia="仿宋" w:cs="仿宋"/>
          <w:color w:val="auto"/>
          <w:sz w:val="32"/>
          <w:szCs w:val="32"/>
          <w:u w:val="dotted"/>
        </w:rPr>
        <w:t xml:space="preserve">                                           </w:t>
      </w:r>
      <w:r>
        <w:rPr>
          <w:rFonts w:ascii="仿宋" w:hAnsi="仿宋" w:eastAsia="仿宋" w:cs="仿宋"/>
          <w:color w:val="auto"/>
          <w:sz w:val="32"/>
          <w:szCs w:val="32"/>
        </w:rPr>
        <w:t xml:space="preserve"> </w:t>
      </w:r>
    </w:p>
    <w:p>
      <w:pPr>
        <w:adjustRightInd w:val="0"/>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地址：</w:t>
      </w:r>
      <w:r>
        <w:rPr>
          <w:rFonts w:ascii="仿宋" w:hAnsi="仿宋" w:eastAsia="仿宋" w:cs="仿宋"/>
          <w:color w:val="auto"/>
          <w:sz w:val="32"/>
          <w:szCs w:val="32"/>
        </w:rPr>
        <w:t xml:space="preserve"> </w:t>
      </w:r>
      <w:r>
        <w:rPr>
          <w:rFonts w:hint="eastAsia" w:ascii="仿宋" w:hAnsi="仿宋" w:eastAsia="仿宋" w:cs="仿宋"/>
          <w:color w:val="auto"/>
          <w:sz w:val="32"/>
          <w:szCs w:val="32"/>
          <w:u w:val="dotted"/>
        </w:rPr>
        <w:t xml:space="preserve">                        </w:t>
      </w:r>
      <w:r>
        <w:rPr>
          <w:rFonts w:hint="eastAsia" w:ascii="仿宋" w:hAnsi="仿宋" w:eastAsia="仿宋" w:cs="仿宋"/>
          <w:color w:val="auto"/>
          <w:sz w:val="32"/>
          <w:szCs w:val="32"/>
        </w:rPr>
        <w:t>邮编：</w:t>
      </w:r>
      <w:r>
        <w:rPr>
          <w:rFonts w:hint="eastAsia" w:ascii="仿宋" w:hAnsi="仿宋" w:eastAsia="仿宋" w:cs="仿宋"/>
          <w:color w:val="auto"/>
          <w:sz w:val="32"/>
          <w:szCs w:val="32"/>
          <w:u w:val="dotted"/>
        </w:rPr>
        <w:t xml:space="preserve">                                                </w:t>
      </w:r>
    </w:p>
    <w:p>
      <w:pPr>
        <w:adjustRightInd w:val="0"/>
        <w:snapToGrid w:val="0"/>
        <w:spacing w:line="360" w:lineRule="auto"/>
        <w:rPr>
          <w:rFonts w:ascii="黑体" w:hAnsi="黑体" w:eastAsia="黑体" w:cs="仿宋"/>
          <w:bCs/>
          <w:color w:val="auto"/>
          <w:sz w:val="32"/>
          <w:szCs w:val="32"/>
        </w:rPr>
      </w:pPr>
      <w:r>
        <w:rPr>
          <w:rFonts w:hint="eastAsia" w:ascii="黑体" w:hAnsi="黑体" w:eastAsia="黑体" w:cs="仿宋"/>
          <w:bCs/>
          <w:color w:val="auto"/>
          <w:sz w:val="32"/>
          <w:szCs w:val="32"/>
        </w:rPr>
        <w:t>二、质疑项目基本情况</w:t>
      </w:r>
    </w:p>
    <w:p>
      <w:pPr>
        <w:adjustRightInd w:val="0"/>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质疑项目的名称：</w:t>
      </w:r>
      <w:r>
        <w:rPr>
          <w:rFonts w:hint="eastAsia" w:ascii="仿宋" w:hAnsi="仿宋" w:eastAsia="仿宋" w:cs="仿宋"/>
          <w:color w:val="auto"/>
          <w:sz w:val="32"/>
          <w:szCs w:val="32"/>
          <w:u w:val="dotted"/>
        </w:rPr>
        <w:t xml:space="preserve">                                      </w:t>
      </w:r>
    </w:p>
    <w:p>
      <w:pPr>
        <w:adjustRightInd w:val="0"/>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质疑项目的编号：</w:t>
      </w:r>
      <w:r>
        <w:rPr>
          <w:rFonts w:hint="eastAsia" w:ascii="仿宋" w:hAnsi="仿宋" w:eastAsia="仿宋" w:cs="仿宋"/>
          <w:color w:val="auto"/>
          <w:sz w:val="32"/>
          <w:szCs w:val="32"/>
          <w:u w:val="dotted"/>
        </w:rPr>
        <w:t xml:space="preserve">               </w:t>
      </w:r>
      <w:r>
        <w:rPr>
          <w:rFonts w:hint="eastAsia" w:ascii="仿宋" w:hAnsi="仿宋" w:eastAsia="仿宋" w:cs="仿宋"/>
          <w:color w:val="auto"/>
          <w:sz w:val="32"/>
          <w:szCs w:val="32"/>
        </w:rPr>
        <w:t>包号：</w:t>
      </w:r>
      <w:r>
        <w:rPr>
          <w:rFonts w:hint="eastAsia" w:ascii="仿宋" w:hAnsi="仿宋" w:eastAsia="仿宋" w:cs="仿宋"/>
          <w:color w:val="auto"/>
          <w:sz w:val="32"/>
          <w:szCs w:val="32"/>
          <w:u w:val="dotted"/>
        </w:rPr>
        <w:t xml:space="preserve">                 </w:t>
      </w:r>
    </w:p>
    <w:p>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采购人名称：</w:t>
      </w:r>
      <w:r>
        <w:rPr>
          <w:rFonts w:hint="eastAsia" w:ascii="仿宋" w:hAnsi="仿宋" w:eastAsia="仿宋" w:cs="仿宋"/>
          <w:color w:val="auto"/>
          <w:sz w:val="32"/>
          <w:szCs w:val="32"/>
          <w:u w:val="dotted"/>
        </w:rPr>
        <w:t xml:space="preserve">                                         </w:t>
      </w:r>
    </w:p>
    <w:p>
      <w:pPr>
        <w:adjustRightInd w:val="0"/>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采购文件获取日期：</w:t>
      </w:r>
      <w:r>
        <w:rPr>
          <w:rFonts w:hint="eastAsia" w:ascii="仿宋" w:hAnsi="仿宋" w:eastAsia="仿宋" w:cs="仿宋"/>
          <w:color w:val="auto"/>
          <w:sz w:val="32"/>
          <w:szCs w:val="32"/>
          <w:u w:val="dotted"/>
        </w:rPr>
        <w:t xml:space="preserve">                                           </w:t>
      </w:r>
    </w:p>
    <w:p>
      <w:pPr>
        <w:adjustRightInd w:val="0"/>
        <w:snapToGrid w:val="0"/>
        <w:spacing w:line="360" w:lineRule="auto"/>
        <w:rPr>
          <w:rFonts w:ascii="黑体" w:hAnsi="黑体" w:eastAsia="黑体" w:cs="仿宋"/>
          <w:bCs/>
          <w:color w:val="auto"/>
          <w:sz w:val="32"/>
          <w:szCs w:val="32"/>
        </w:rPr>
      </w:pPr>
      <w:r>
        <w:rPr>
          <w:rFonts w:hint="eastAsia" w:ascii="黑体" w:hAnsi="黑体" w:eastAsia="黑体" w:cs="仿宋"/>
          <w:bCs/>
          <w:color w:val="auto"/>
          <w:sz w:val="32"/>
          <w:szCs w:val="32"/>
        </w:rPr>
        <w:t>三、质疑事项具体内容</w:t>
      </w:r>
    </w:p>
    <w:p>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质疑事项1：</w:t>
      </w:r>
      <w:r>
        <w:rPr>
          <w:rFonts w:hint="eastAsia" w:ascii="仿宋" w:hAnsi="仿宋" w:eastAsia="仿宋" w:cs="仿宋"/>
          <w:color w:val="auto"/>
          <w:sz w:val="32"/>
          <w:szCs w:val="32"/>
          <w:u w:val="dotted"/>
        </w:rPr>
        <w:t xml:space="preserve">                                         </w:t>
      </w:r>
    </w:p>
    <w:p>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事实依据：</w:t>
      </w:r>
      <w:r>
        <w:rPr>
          <w:rFonts w:hint="eastAsia" w:ascii="仿宋" w:hAnsi="仿宋" w:eastAsia="仿宋" w:cs="仿宋"/>
          <w:color w:val="auto"/>
          <w:sz w:val="32"/>
          <w:szCs w:val="32"/>
          <w:u w:val="dotted"/>
        </w:rPr>
        <w:t xml:space="preserve">                                          </w:t>
      </w:r>
    </w:p>
    <w:p>
      <w:pPr>
        <w:adjustRightInd w:val="0"/>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u w:val="dotted"/>
        </w:rPr>
        <w:t xml:space="preserve">                                                       </w:t>
      </w:r>
    </w:p>
    <w:p>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法律依据：</w:t>
      </w:r>
      <w:r>
        <w:rPr>
          <w:rFonts w:hint="eastAsia" w:ascii="仿宋" w:hAnsi="仿宋" w:eastAsia="仿宋" w:cs="仿宋"/>
          <w:color w:val="auto"/>
          <w:sz w:val="32"/>
          <w:szCs w:val="32"/>
          <w:u w:val="dotted"/>
        </w:rPr>
        <w:t xml:space="preserve">                                          </w:t>
      </w:r>
    </w:p>
    <w:p>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u w:val="dotted"/>
        </w:rPr>
        <w:t xml:space="preserve">                                                     </w:t>
      </w:r>
    </w:p>
    <w:p>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质疑事项2</w:t>
      </w:r>
    </w:p>
    <w:p>
      <w:pPr>
        <w:adjustRightInd w:val="0"/>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w:t>
      </w:r>
    </w:p>
    <w:p>
      <w:pPr>
        <w:adjustRightInd w:val="0"/>
        <w:snapToGrid w:val="0"/>
        <w:spacing w:line="360" w:lineRule="auto"/>
        <w:rPr>
          <w:rFonts w:ascii="黑体" w:hAnsi="黑体" w:eastAsia="黑体" w:cs="仿宋"/>
          <w:bCs/>
          <w:color w:val="auto"/>
          <w:sz w:val="32"/>
          <w:szCs w:val="32"/>
        </w:rPr>
      </w:pPr>
      <w:r>
        <w:rPr>
          <w:rFonts w:hint="eastAsia" w:ascii="黑体" w:hAnsi="黑体" w:eastAsia="黑体" w:cs="仿宋"/>
          <w:bCs/>
          <w:color w:val="auto"/>
          <w:sz w:val="32"/>
          <w:szCs w:val="32"/>
        </w:rPr>
        <w:t>四、与质疑事项相关的质疑请求</w:t>
      </w:r>
    </w:p>
    <w:p>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请求：</w:t>
      </w:r>
      <w:r>
        <w:rPr>
          <w:rFonts w:hint="eastAsia" w:ascii="仿宋" w:hAnsi="仿宋" w:eastAsia="仿宋" w:cs="仿宋"/>
          <w:color w:val="auto"/>
          <w:sz w:val="32"/>
          <w:szCs w:val="32"/>
          <w:u w:val="dotted"/>
        </w:rPr>
        <w:t xml:space="preserve">                                               </w:t>
      </w:r>
    </w:p>
    <w:p>
      <w:pPr>
        <w:outlineLvl w:val="0"/>
        <w:rPr>
          <w:rFonts w:ascii="仿宋_GB2312" w:eastAsia="仿宋_GB2312"/>
          <w:color w:val="auto"/>
          <w:sz w:val="30"/>
          <w:szCs w:val="30"/>
        </w:rPr>
      </w:pPr>
      <w:bookmarkStart w:id="53" w:name="_Toc16016"/>
      <w:r>
        <w:rPr>
          <w:rFonts w:hint="eastAsia" w:ascii="仿宋_GB2312" w:eastAsia="仿宋_GB2312"/>
          <w:color w:val="auto"/>
          <w:sz w:val="30"/>
          <w:szCs w:val="30"/>
        </w:rPr>
        <w:t>签字(签章)：                   公章：</w:t>
      </w:r>
      <w:bookmarkEnd w:id="53"/>
      <w:r>
        <w:rPr>
          <w:rFonts w:hint="eastAsia" w:ascii="仿宋_GB2312" w:eastAsia="仿宋_GB2312"/>
          <w:color w:val="auto"/>
          <w:sz w:val="30"/>
          <w:szCs w:val="30"/>
        </w:rPr>
        <w:t xml:space="preserve">                      </w:t>
      </w:r>
    </w:p>
    <w:p>
      <w:pPr>
        <w:outlineLvl w:val="0"/>
        <w:rPr>
          <w:rFonts w:ascii="仿宋_GB2312" w:eastAsia="仿宋_GB2312"/>
          <w:color w:val="auto"/>
          <w:sz w:val="30"/>
          <w:szCs w:val="30"/>
        </w:rPr>
      </w:pPr>
      <w:bookmarkStart w:id="54" w:name="_Toc31552"/>
      <w:r>
        <w:rPr>
          <w:rFonts w:hint="eastAsia" w:ascii="仿宋_GB2312" w:eastAsia="仿宋_GB2312"/>
          <w:color w:val="auto"/>
          <w:sz w:val="30"/>
          <w:szCs w:val="30"/>
        </w:rPr>
        <w:t>日期：</w:t>
      </w:r>
      <w:bookmarkEnd w:id="54"/>
      <w:r>
        <w:rPr>
          <w:rFonts w:hint="eastAsia" w:ascii="仿宋_GB2312" w:eastAsia="仿宋_GB2312"/>
          <w:color w:val="auto"/>
          <w:sz w:val="30"/>
          <w:szCs w:val="30"/>
        </w:rPr>
        <w:t xml:space="preserve">    </w:t>
      </w:r>
    </w:p>
    <w:p>
      <w:pPr>
        <w:adjustRightInd w:val="0"/>
        <w:snapToGrid w:val="0"/>
        <w:spacing w:line="360" w:lineRule="auto"/>
        <w:rPr>
          <w:rFonts w:ascii="仿宋" w:hAnsi="仿宋" w:eastAsia="仿宋" w:cs="仿宋"/>
          <w:color w:val="auto"/>
          <w:sz w:val="32"/>
          <w:szCs w:val="32"/>
        </w:rPr>
      </w:pPr>
    </w:p>
    <w:p>
      <w:pPr>
        <w:adjustRightInd w:val="0"/>
        <w:snapToGrid w:val="0"/>
        <w:spacing w:line="360" w:lineRule="auto"/>
        <w:rPr>
          <w:rFonts w:ascii="仿宋" w:hAnsi="仿宋" w:eastAsia="仿宋" w:cs="仿宋"/>
          <w:color w:val="auto"/>
          <w:sz w:val="32"/>
          <w:szCs w:val="32"/>
        </w:rPr>
      </w:pPr>
    </w:p>
    <w:p>
      <w:pPr>
        <w:rPr>
          <w:rFonts w:ascii="黑体" w:hAnsi="黑体" w:eastAsia="黑体"/>
          <w:b/>
          <w:color w:val="auto"/>
          <w:sz w:val="32"/>
          <w:szCs w:val="32"/>
        </w:rPr>
      </w:pPr>
      <w:r>
        <w:rPr>
          <w:rFonts w:hint="eastAsia" w:ascii="黑体" w:hAnsi="黑体" w:eastAsia="黑体"/>
          <w:b/>
          <w:color w:val="auto"/>
          <w:sz w:val="32"/>
          <w:szCs w:val="32"/>
        </w:rPr>
        <w:t>质疑函制作说明：</w:t>
      </w:r>
    </w:p>
    <w:p>
      <w:pPr>
        <w:widowControl/>
        <w:ind w:firstLine="640" w:firstLineChars="200"/>
        <w:jc w:val="left"/>
        <w:rPr>
          <w:rFonts w:ascii="仿宋_GB2312" w:eastAsia="仿宋_GB2312"/>
          <w:color w:val="auto"/>
          <w:sz w:val="32"/>
          <w:szCs w:val="32"/>
        </w:rPr>
      </w:pPr>
      <w:r>
        <w:rPr>
          <w:rFonts w:hint="eastAsia" w:ascii="仿宋_GB2312" w:eastAsia="仿宋_GB2312"/>
          <w:color w:val="auto"/>
          <w:sz w:val="32"/>
          <w:szCs w:val="32"/>
        </w:rPr>
        <w:t>1.供应商提出质疑时，应提交质疑函和必要的证明材料。</w:t>
      </w:r>
    </w:p>
    <w:p>
      <w:pPr>
        <w:widowControl/>
        <w:ind w:firstLine="640" w:firstLineChars="200"/>
        <w:jc w:val="left"/>
        <w:rPr>
          <w:rFonts w:ascii="仿宋_GB2312" w:eastAsia="仿宋_GB2312"/>
          <w:color w:val="auto"/>
          <w:sz w:val="32"/>
          <w:szCs w:val="32"/>
        </w:rPr>
      </w:pPr>
      <w:r>
        <w:rPr>
          <w:rFonts w:hint="eastAsia" w:ascii="仿宋_GB2312" w:eastAsia="仿宋_GB2312"/>
          <w:color w:val="auto"/>
          <w:sz w:val="32"/>
          <w:szCs w:val="32"/>
        </w:rPr>
        <w:t>2.质疑供应商若委托代理人进行质疑的，质疑函应按要求列明“授权代表”的有关内容，并在附件中提交由质疑</w:t>
      </w:r>
      <w:r>
        <w:rPr>
          <w:rFonts w:hint="eastAsia" w:ascii="仿宋_GB2312" w:hAnsi="宋体" w:eastAsia="仿宋_GB2312" w:cs="宋体"/>
          <w:color w:val="auto"/>
          <w:kern w:val="0"/>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color w:val="auto"/>
          <w:sz w:val="32"/>
          <w:szCs w:val="32"/>
        </w:rPr>
      </w:pPr>
      <w:r>
        <w:rPr>
          <w:rFonts w:hint="eastAsia" w:ascii="仿宋_GB2312" w:eastAsia="仿宋_GB2312"/>
          <w:color w:val="auto"/>
          <w:sz w:val="32"/>
          <w:szCs w:val="32"/>
        </w:rPr>
        <w:t>3.质疑供应商若对项目的某一分包进行质疑，质疑函中应列明具体分包号。</w:t>
      </w:r>
    </w:p>
    <w:p>
      <w:pPr>
        <w:widowControl/>
        <w:ind w:firstLine="640" w:firstLineChars="200"/>
        <w:jc w:val="left"/>
        <w:rPr>
          <w:rFonts w:ascii="仿宋_GB2312" w:eastAsia="仿宋_GB2312"/>
          <w:color w:val="auto"/>
          <w:sz w:val="32"/>
          <w:szCs w:val="32"/>
        </w:rPr>
      </w:pPr>
      <w:r>
        <w:rPr>
          <w:rFonts w:hint="eastAsia" w:ascii="仿宋_GB2312" w:eastAsia="仿宋_GB2312"/>
          <w:color w:val="auto"/>
          <w:sz w:val="32"/>
          <w:szCs w:val="32"/>
        </w:rPr>
        <w:t>4.质疑函的质疑事项应具体、明确，并有必要的事实依据和法律依据。</w:t>
      </w:r>
    </w:p>
    <w:p>
      <w:pPr>
        <w:widowControl/>
        <w:ind w:firstLine="640" w:firstLineChars="200"/>
        <w:jc w:val="left"/>
        <w:rPr>
          <w:rFonts w:ascii="仿宋_GB2312" w:eastAsia="仿宋_GB2312"/>
          <w:color w:val="auto"/>
          <w:sz w:val="32"/>
          <w:szCs w:val="32"/>
        </w:rPr>
      </w:pPr>
      <w:r>
        <w:rPr>
          <w:rFonts w:hint="eastAsia" w:ascii="仿宋_GB2312" w:eastAsia="仿宋_GB2312"/>
          <w:color w:val="auto"/>
          <w:sz w:val="32"/>
          <w:szCs w:val="32"/>
        </w:rPr>
        <w:t>5.质疑函的质疑请求应与质疑事项相关。</w:t>
      </w:r>
    </w:p>
    <w:p>
      <w:pPr>
        <w:rPr>
          <w:rFonts w:ascii="仿宋_GB2312" w:eastAsia="仿宋_GB2312"/>
          <w:color w:val="auto"/>
          <w:sz w:val="32"/>
          <w:szCs w:val="32"/>
        </w:rPr>
      </w:pPr>
      <w:r>
        <w:rPr>
          <w:rFonts w:hint="eastAsia" w:ascii="仿宋_GB2312" w:eastAsia="仿宋_GB2312"/>
          <w:color w:val="auto"/>
          <w:sz w:val="32"/>
          <w:szCs w:val="32"/>
        </w:rPr>
        <w:t>6.质疑供应商为自然人的，质疑函应由本人签字；质疑供应商为法人或者其他组织的，质疑函应由法定代表人、主要负责人，或者其授权代表签字或者盖章，并加盖公章。</w:t>
      </w: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jc w:val="center"/>
        <w:rPr>
          <w:rFonts w:ascii="宋体" w:hAnsi="宋体"/>
          <w:b/>
          <w:color w:val="auto"/>
          <w:sz w:val="44"/>
          <w:szCs w:val="44"/>
        </w:rPr>
      </w:pPr>
      <w:r>
        <w:rPr>
          <w:rFonts w:hint="eastAsia" w:ascii="宋体" w:hAnsi="宋体"/>
          <w:b/>
          <w:color w:val="auto"/>
          <w:sz w:val="44"/>
          <w:szCs w:val="44"/>
        </w:rPr>
        <w:t>投诉书范本</w:t>
      </w:r>
    </w:p>
    <w:p>
      <w:pPr>
        <w:rPr>
          <w:rFonts w:ascii="黑体" w:hAnsi="黑体" w:eastAsia="黑体"/>
          <w:color w:val="auto"/>
          <w:sz w:val="32"/>
          <w:szCs w:val="32"/>
        </w:rPr>
      </w:pPr>
      <w:r>
        <w:rPr>
          <w:rFonts w:hint="eastAsia" w:ascii="黑体" w:hAnsi="黑体" w:eastAsia="黑体"/>
          <w:color w:val="auto"/>
          <w:sz w:val="32"/>
          <w:szCs w:val="32"/>
        </w:rPr>
        <w:t>一、投诉相关主体基本情况</w:t>
      </w:r>
    </w:p>
    <w:p>
      <w:pPr>
        <w:rPr>
          <w:rFonts w:ascii="仿宋_GB2312" w:hAnsi="Calibri" w:eastAsia="仿宋_GB2312"/>
          <w:color w:val="auto"/>
          <w:sz w:val="32"/>
          <w:szCs w:val="32"/>
          <w:u w:val="dotted"/>
        </w:rPr>
      </w:pPr>
      <w:r>
        <w:rPr>
          <w:rFonts w:hint="eastAsia" w:ascii="仿宋_GB2312" w:hAnsi="Calibri" w:eastAsia="仿宋_GB2312"/>
          <w:color w:val="auto"/>
          <w:sz w:val="32"/>
          <w:szCs w:val="32"/>
        </w:rPr>
        <w:t>投诉人：</w:t>
      </w:r>
      <w:r>
        <w:rPr>
          <w:rFonts w:hint="eastAsia" w:ascii="仿宋_GB2312" w:hAnsi="Calibri" w:eastAsia="仿宋_GB2312"/>
          <w:color w:val="auto"/>
          <w:sz w:val="32"/>
          <w:szCs w:val="32"/>
          <w:u w:val="dotted"/>
        </w:rPr>
        <w:t xml:space="preserve">                                               </w:t>
      </w:r>
    </w:p>
    <w:p>
      <w:pPr>
        <w:rPr>
          <w:rFonts w:ascii="仿宋_GB2312" w:hAnsi="Calibri" w:eastAsia="仿宋_GB2312"/>
          <w:color w:val="auto"/>
          <w:sz w:val="32"/>
          <w:szCs w:val="32"/>
          <w:u w:val="single"/>
        </w:rPr>
      </w:pPr>
      <w:r>
        <w:rPr>
          <w:rFonts w:hint="eastAsia" w:ascii="仿宋_GB2312" w:hAnsi="Calibri" w:eastAsia="仿宋_GB2312"/>
          <w:color w:val="auto"/>
          <w:sz w:val="32"/>
          <w:szCs w:val="32"/>
        </w:rPr>
        <w:t>地     址：</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rPr>
        <w:t>邮编：</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u w:val="single"/>
        </w:rPr>
        <w:t xml:space="preserve">   </w:t>
      </w:r>
    </w:p>
    <w:p>
      <w:pPr>
        <w:tabs>
          <w:tab w:val="left" w:pos="6510"/>
        </w:tabs>
        <w:jc w:val="left"/>
        <w:rPr>
          <w:rFonts w:ascii="仿宋_GB2312" w:hAnsi="Calibri" w:eastAsia="仿宋_GB2312"/>
          <w:color w:val="auto"/>
          <w:sz w:val="32"/>
          <w:szCs w:val="32"/>
        </w:rPr>
      </w:pPr>
      <w:r>
        <w:rPr>
          <w:rFonts w:hint="eastAsia" w:ascii="仿宋_GB2312" w:hAnsi="Calibri" w:eastAsia="仿宋_GB2312"/>
          <w:color w:val="auto"/>
          <w:sz w:val="32"/>
          <w:szCs w:val="32"/>
        </w:rPr>
        <w:t>法定代表人/主要负责人：</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rPr>
        <w:t xml:space="preserve">  </w:t>
      </w:r>
    </w:p>
    <w:p>
      <w:pPr>
        <w:tabs>
          <w:tab w:val="left" w:pos="6510"/>
        </w:tabs>
        <w:rPr>
          <w:rFonts w:ascii="仿宋_GB2312" w:hAnsi="Calibri" w:eastAsia="仿宋_GB2312"/>
          <w:color w:val="auto"/>
          <w:sz w:val="32"/>
          <w:szCs w:val="32"/>
          <w:u w:val="dotted"/>
        </w:rPr>
      </w:pPr>
      <w:r>
        <w:rPr>
          <w:rFonts w:hint="eastAsia" w:ascii="仿宋_GB2312" w:hAnsi="Calibri" w:eastAsia="仿宋_GB2312"/>
          <w:color w:val="auto"/>
          <w:sz w:val="32"/>
          <w:szCs w:val="32"/>
        </w:rPr>
        <w:t>联系电话：</w:t>
      </w:r>
      <w:r>
        <w:rPr>
          <w:rFonts w:hint="eastAsia" w:ascii="仿宋_GB2312" w:hAnsi="Calibri" w:eastAsia="仿宋_GB2312"/>
          <w:color w:val="auto"/>
          <w:sz w:val="32"/>
          <w:szCs w:val="32"/>
          <w:u w:val="dotted"/>
        </w:rPr>
        <w:t xml:space="preserve">                                             </w:t>
      </w:r>
    </w:p>
    <w:p>
      <w:pPr>
        <w:rPr>
          <w:rFonts w:ascii="仿宋_GB2312" w:hAnsi="Calibri" w:eastAsia="仿宋_GB2312"/>
          <w:color w:val="auto"/>
          <w:sz w:val="32"/>
          <w:szCs w:val="32"/>
          <w:u w:val="dotted"/>
        </w:rPr>
      </w:pPr>
      <w:r>
        <w:rPr>
          <w:rFonts w:hint="eastAsia" w:ascii="仿宋_GB2312" w:hAnsi="Calibri" w:eastAsia="仿宋_GB2312"/>
          <w:color w:val="auto"/>
          <w:sz w:val="32"/>
          <w:szCs w:val="32"/>
        </w:rPr>
        <w:t>授权代表：</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rPr>
        <w:t>联系电话</w:t>
      </w:r>
      <w:r>
        <w:rPr>
          <w:rFonts w:hint="eastAsia" w:ascii="仿宋_GB2312" w:hAnsi="Calibri" w:eastAsia="仿宋_GB2312"/>
          <w:color w:val="auto"/>
          <w:sz w:val="32"/>
          <w:szCs w:val="32"/>
          <w:u w:val="dotted"/>
        </w:rPr>
        <w:t xml:space="preserve">：                  </w:t>
      </w:r>
    </w:p>
    <w:p>
      <w:pPr>
        <w:rPr>
          <w:rFonts w:ascii="仿宋_GB2312" w:hAnsi="Calibri" w:eastAsia="仿宋_GB2312"/>
          <w:color w:val="auto"/>
          <w:sz w:val="32"/>
          <w:szCs w:val="32"/>
          <w:u w:val="dotted"/>
        </w:rPr>
      </w:pPr>
      <w:r>
        <w:rPr>
          <w:rFonts w:hint="eastAsia" w:ascii="仿宋_GB2312" w:hAnsi="Calibri" w:eastAsia="仿宋_GB2312"/>
          <w:color w:val="auto"/>
          <w:sz w:val="32"/>
          <w:szCs w:val="32"/>
        </w:rPr>
        <w:t>地     址：</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rPr>
        <w:t>邮编：</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32"/>
          <w:u w:val="dotted"/>
        </w:rPr>
        <w:t xml:space="preserve">                   </w:t>
      </w:r>
    </w:p>
    <w:p>
      <w:pPr>
        <w:rPr>
          <w:rFonts w:ascii="仿宋_GB2312" w:hAnsi="Calibri" w:eastAsia="仿宋_GB2312"/>
          <w:color w:val="auto"/>
          <w:sz w:val="32"/>
          <w:szCs w:val="32"/>
          <w:u w:val="single"/>
        </w:rPr>
      </w:pPr>
      <w:r>
        <w:rPr>
          <w:rFonts w:hint="eastAsia" w:ascii="仿宋_GB2312" w:hAnsi="Calibri" w:eastAsia="仿宋_GB2312"/>
          <w:color w:val="auto"/>
          <w:sz w:val="32"/>
          <w:szCs w:val="32"/>
        </w:rPr>
        <w:t>被投诉人1：</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u w:val="single"/>
        </w:rPr>
        <w:t xml:space="preserve">  </w:t>
      </w:r>
    </w:p>
    <w:p>
      <w:pPr>
        <w:rPr>
          <w:rFonts w:ascii="仿宋_GB2312" w:hAnsi="Calibri" w:eastAsia="仿宋_GB2312"/>
          <w:color w:val="auto"/>
          <w:sz w:val="32"/>
          <w:szCs w:val="32"/>
          <w:u w:val="single"/>
        </w:rPr>
      </w:pPr>
      <w:r>
        <w:rPr>
          <w:rFonts w:hint="eastAsia" w:ascii="仿宋_GB2312" w:hAnsi="Calibri" w:eastAsia="仿宋_GB2312"/>
          <w:color w:val="auto"/>
          <w:sz w:val="32"/>
          <w:szCs w:val="32"/>
        </w:rPr>
        <w:t>地     址：</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rPr>
        <w:t>邮编：</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u w:val="single"/>
        </w:rPr>
        <w:t xml:space="preserve"> </w:t>
      </w:r>
    </w:p>
    <w:p>
      <w:pPr>
        <w:rPr>
          <w:rFonts w:ascii="仿宋_GB2312" w:hAnsi="Calibri" w:eastAsia="仿宋_GB2312"/>
          <w:color w:val="auto"/>
          <w:sz w:val="32"/>
          <w:szCs w:val="32"/>
          <w:u w:val="single"/>
        </w:rPr>
      </w:pPr>
      <w:r>
        <w:rPr>
          <w:rFonts w:hint="eastAsia" w:ascii="仿宋_GB2312" w:hAnsi="Calibri" w:eastAsia="仿宋_GB2312"/>
          <w:color w:val="auto"/>
          <w:sz w:val="32"/>
          <w:szCs w:val="32"/>
        </w:rPr>
        <w:t>联系人：</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rPr>
        <w:t>联系电话：</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u w:val="single"/>
        </w:rPr>
        <w:t xml:space="preserve"> </w:t>
      </w:r>
    </w:p>
    <w:p>
      <w:pPr>
        <w:rPr>
          <w:rFonts w:ascii="仿宋_GB2312" w:hAnsi="Calibri" w:eastAsia="仿宋_GB2312"/>
          <w:color w:val="auto"/>
          <w:sz w:val="32"/>
          <w:szCs w:val="32"/>
        </w:rPr>
      </w:pPr>
      <w:r>
        <w:rPr>
          <w:rFonts w:hint="eastAsia" w:ascii="仿宋_GB2312" w:hAnsi="Calibri" w:eastAsia="仿宋_GB2312"/>
          <w:color w:val="auto"/>
          <w:sz w:val="32"/>
          <w:szCs w:val="32"/>
        </w:rPr>
        <w:t>被投诉人2</w:t>
      </w:r>
    </w:p>
    <w:p>
      <w:pPr>
        <w:rPr>
          <w:rFonts w:ascii="仿宋_GB2312" w:hAnsi="Calibri" w:eastAsia="仿宋_GB2312"/>
          <w:color w:val="auto"/>
          <w:sz w:val="32"/>
          <w:szCs w:val="32"/>
          <w:u w:val="dotted"/>
        </w:rPr>
      </w:pPr>
      <w:r>
        <w:rPr>
          <w:rFonts w:hint="eastAsia" w:ascii="仿宋_GB2312" w:hAnsi="Calibri" w:eastAsia="仿宋_GB2312"/>
          <w:color w:val="auto"/>
          <w:sz w:val="32"/>
          <w:szCs w:val="32"/>
        </w:rPr>
        <w:t>……</w:t>
      </w:r>
    </w:p>
    <w:p>
      <w:pPr>
        <w:rPr>
          <w:rFonts w:ascii="仿宋_GB2312" w:hAnsi="Calibri" w:eastAsia="仿宋_GB2312"/>
          <w:color w:val="auto"/>
          <w:sz w:val="32"/>
          <w:szCs w:val="32"/>
          <w:u w:val="single"/>
        </w:rPr>
      </w:pPr>
      <w:r>
        <w:rPr>
          <w:rFonts w:hint="eastAsia" w:ascii="仿宋_GB2312" w:hAnsi="Calibri" w:eastAsia="仿宋_GB2312"/>
          <w:color w:val="auto"/>
          <w:sz w:val="32"/>
          <w:szCs w:val="32"/>
        </w:rPr>
        <w:t>相关供应商：</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u w:val="single"/>
        </w:rPr>
        <w:t xml:space="preserve">    </w:t>
      </w:r>
    </w:p>
    <w:p>
      <w:pPr>
        <w:rPr>
          <w:rFonts w:ascii="仿宋_GB2312" w:hAnsi="Calibri" w:eastAsia="仿宋_GB2312"/>
          <w:color w:val="auto"/>
          <w:sz w:val="32"/>
          <w:szCs w:val="32"/>
          <w:u w:val="single"/>
        </w:rPr>
      </w:pPr>
      <w:r>
        <w:rPr>
          <w:rFonts w:hint="eastAsia" w:ascii="仿宋_GB2312" w:hAnsi="Calibri" w:eastAsia="仿宋_GB2312"/>
          <w:color w:val="auto"/>
          <w:sz w:val="32"/>
          <w:szCs w:val="32"/>
        </w:rPr>
        <w:t>地     址：</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rPr>
        <w:t>邮编：</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u w:val="single"/>
        </w:rPr>
        <w:t xml:space="preserve"> </w:t>
      </w:r>
    </w:p>
    <w:p>
      <w:pPr>
        <w:rPr>
          <w:rFonts w:ascii="仿宋_GB2312" w:hAnsi="Calibri" w:eastAsia="仿宋_GB2312"/>
          <w:color w:val="auto"/>
          <w:sz w:val="32"/>
          <w:szCs w:val="32"/>
          <w:u w:val="single"/>
        </w:rPr>
      </w:pPr>
      <w:r>
        <w:rPr>
          <w:rFonts w:hint="eastAsia" w:ascii="仿宋_GB2312" w:hAnsi="Calibri" w:eastAsia="仿宋_GB2312"/>
          <w:color w:val="auto"/>
          <w:sz w:val="32"/>
          <w:szCs w:val="32"/>
        </w:rPr>
        <w:t>联系人：</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rPr>
        <w:t>联系电话：</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u w:val="single"/>
        </w:rPr>
        <w:t xml:space="preserve">      </w:t>
      </w:r>
    </w:p>
    <w:p>
      <w:pPr>
        <w:rPr>
          <w:rFonts w:ascii="黑体" w:hAnsi="黑体" w:eastAsia="黑体"/>
          <w:color w:val="auto"/>
          <w:sz w:val="32"/>
          <w:szCs w:val="32"/>
        </w:rPr>
      </w:pPr>
      <w:r>
        <w:rPr>
          <w:rFonts w:hint="eastAsia" w:ascii="黑体" w:hAnsi="黑体" w:eastAsia="黑体"/>
          <w:color w:val="auto"/>
          <w:sz w:val="32"/>
          <w:szCs w:val="32"/>
        </w:rPr>
        <w:t>二、投诉项目基本情况</w:t>
      </w:r>
    </w:p>
    <w:p>
      <w:pPr>
        <w:rPr>
          <w:rFonts w:ascii="仿宋_GB2312" w:hAnsi="Calibri" w:eastAsia="仿宋_GB2312"/>
          <w:color w:val="auto"/>
          <w:sz w:val="32"/>
          <w:szCs w:val="32"/>
          <w:u w:val="dotted"/>
        </w:rPr>
      </w:pPr>
      <w:r>
        <w:rPr>
          <w:rFonts w:hint="eastAsia" w:ascii="仿宋_GB2312" w:hAnsi="Calibri" w:eastAsia="仿宋_GB2312"/>
          <w:color w:val="auto"/>
          <w:sz w:val="32"/>
          <w:szCs w:val="32"/>
        </w:rPr>
        <w:t>采购项目名称：</w:t>
      </w:r>
      <w:r>
        <w:rPr>
          <w:rFonts w:hint="eastAsia" w:ascii="仿宋_GB2312" w:hAnsi="Calibri" w:eastAsia="仿宋_GB2312"/>
          <w:color w:val="auto"/>
          <w:sz w:val="32"/>
          <w:szCs w:val="32"/>
          <w:u w:val="dotted"/>
        </w:rPr>
        <w:t xml:space="preserve">                                        </w:t>
      </w:r>
    </w:p>
    <w:p>
      <w:pPr>
        <w:rPr>
          <w:rFonts w:ascii="仿宋_GB2312" w:hAnsi="Calibri" w:eastAsia="仿宋_GB2312"/>
          <w:color w:val="auto"/>
          <w:sz w:val="32"/>
          <w:szCs w:val="32"/>
          <w:u w:val="single"/>
        </w:rPr>
      </w:pPr>
      <w:r>
        <w:rPr>
          <w:rFonts w:hint="eastAsia" w:ascii="仿宋_GB2312" w:hAnsi="Calibri" w:eastAsia="仿宋_GB2312"/>
          <w:color w:val="auto"/>
          <w:sz w:val="32"/>
          <w:szCs w:val="32"/>
        </w:rPr>
        <w:t>采购项目编号：</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rPr>
        <w:t>包号：</w:t>
      </w:r>
      <w:r>
        <w:rPr>
          <w:rFonts w:hint="eastAsia" w:ascii="仿宋_GB2312" w:hAnsi="Calibri" w:eastAsia="仿宋_GB2312"/>
          <w:color w:val="auto"/>
          <w:sz w:val="32"/>
          <w:szCs w:val="32"/>
          <w:u w:val="dotted"/>
        </w:rPr>
        <w:t xml:space="preserve">              </w:t>
      </w:r>
    </w:p>
    <w:p>
      <w:pPr>
        <w:rPr>
          <w:rFonts w:ascii="仿宋_GB2312" w:hAnsi="Calibri" w:eastAsia="仿宋_GB2312"/>
          <w:color w:val="auto"/>
          <w:sz w:val="32"/>
          <w:szCs w:val="32"/>
        </w:rPr>
      </w:pPr>
      <w:r>
        <w:rPr>
          <w:rFonts w:hint="eastAsia" w:ascii="仿宋_GB2312" w:hAnsi="Calibri" w:eastAsia="仿宋_GB2312"/>
          <w:color w:val="auto"/>
          <w:sz w:val="32"/>
          <w:szCs w:val="32"/>
        </w:rPr>
        <w:t>采购人名称：</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u w:val="single"/>
        </w:rPr>
        <w:t xml:space="preserve">  </w:t>
      </w:r>
    </w:p>
    <w:p>
      <w:pPr>
        <w:rPr>
          <w:rFonts w:ascii="仿宋_GB2312" w:hAnsi="Calibri" w:eastAsia="仿宋_GB2312"/>
          <w:color w:val="auto"/>
          <w:sz w:val="32"/>
          <w:szCs w:val="32"/>
          <w:u w:val="single"/>
        </w:rPr>
      </w:pPr>
      <w:r>
        <w:rPr>
          <w:rFonts w:hint="eastAsia" w:ascii="仿宋_GB2312" w:hAnsi="Calibri" w:eastAsia="仿宋_GB2312"/>
          <w:color w:val="auto"/>
          <w:sz w:val="32"/>
          <w:szCs w:val="32"/>
        </w:rPr>
        <w:t>代理机构名称：</w:t>
      </w:r>
      <w:r>
        <w:rPr>
          <w:rFonts w:hint="eastAsia" w:ascii="仿宋_GB2312" w:hAnsi="Calibri" w:eastAsia="仿宋_GB2312"/>
          <w:color w:val="auto"/>
          <w:sz w:val="32"/>
          <w:szCs w:val="32"/>
          <w:u w:val="dotted"/>
        </w:rPr>
        <w:t xml:space="preserve">                                         </w:t>
      </w:r>
    </w:p>
    <w:p>
      <w:pPr>
        <w:rPr>
          <w:rFonts w:ascii="仿宋_GB2312" w:hAnsi="Calibri" w:eastAsia="仿宋_GB2312"/>
          <w:color w:val="auto"/>
          <w:sz w:val="32"/>
          <w:szCs w:val="32"/>
          <w:u w:val="dotted"/>
        </w:rPr>
      </w:pPr>
      <w:r>
        <w:rPr>
          <w:rFonts w:hint="eastAsia" w:ascii="仿宋_GB2312" w:hAnsi="Calibri" w:eastAsia="仿宋_GB2312"/>
          <w:color w:val="auto"/>
          <w:sz w:val="32"/>
          <w:szCs w:val="32"/>
        </w:rPr>
        <w:t>采购文件公告:</w:t>
      </w:r>
      <w:r>
        <w:rPr>
          <w:rFonts w:hint="eastAsia" w:ascii="仿宋_GB2312" w:hAnsi="Calibri" w:eastAsia="仿宋_GB2312"/>
          <w:color w:val="auto"/>
          <w:sz w:val="32"/>
          <w:szCs w:val="32"/>
          <w:u w:val="dotted"/>
        </w:rPr>
        <w:t xml:space="preserve">是/否 </w:t>
      </w:r>
      <w:r>
        <w:rPr>
          <w:rFonts w:hint="eastAsia" w:ascii="仿宋_GB2312" w:hAnsi="Calibri" w:eastAsia="仿宋_GB2312"/>
          <w:color w:val="auto"/>
          <w:sz w:val="32"/>
          <w:szCs w:val="32"/>
        </w:rPr>
        <w:t>公告期限：</w:t>
      </w:r>
      <w:r>
        <w:rPr>
          <w:rFonts w:hint="eastAsia" w:ascii="仿宋_GB2312" w:hAnsi="Calibri" w:eastAsia="仿宋_GB2312"/>
          <w:color w:val="auto"/>
          <w:sz w:val="32"/>
          <w:szCs w:val="32"/>
          <w:u w:val="dotted"/>
        </w:rPr>
        <w:t xml:space="preserve">                                 </w:t>
      </w:r>
    </w:p>
    <w:p>
      <w:pPr>
        <w:rPr>
          <w:rFonts w:ascii="仿宋_GB2312" w:hAnsi="Calibri" w:eastAsia="仿宋_GB2312"/>
          <w:color w:val="auto"/>
          <w:sz w:val="32"/>
          <w:szCs w:val="32"/>
          <w:u w:val="single"/>
        </w:rPr>
      </w:pPr>
      <w:r>
        <w:rPr>
          <w:rFonts w:hint="eastAsia" w:ascii="仿宋_GB2312" w:hAnsi="Calibri" w:eastAsia="仿宋_GB2312"/>
          <w:color w:val="auto"/>
          <w:sz w:val="32"/>
          <w:szCs w:val="32"/>
        </w:rPr>
        <w:t>采购结果公告:</w:t>
      </w:r>
      <w:r>
        <w:rPr>
          <w:rFonts w:hint="eastAsia" w:ascii="仿宋_GB2312" w:hAnsi="Calibri" w:eastAsia="仿宋_GB2312"/>
          <w:color w:val="auto"/>
          <w:sz w:val="32"/>
          <w:szCs w:val="32"/>
          <w:u w:val="dotted"/>
        </w:rPr>
        <w:t xml:space="preserve">是/否 </w:t>
      </w:r>
      <w:r>
        <w:rPr>
          <w:rFonts w:hint="eastAsia" w:ascii="仿宋_GB2312" w:hAnsi="Calibri" w:eastAsia="仿宋_GB2312"/>
          <w:color w:val="auto"/>
          <w:sz w:val="32"/>
          <w:szCs w:val="32"/>
        </w:rPr>
        <w:t>公告期限：</w:t>
      </w:r>
      <w:r>
        <w:rPr>
          <w:rFonts w:hint="eastAsia" w:ascii="仿宋_GB2312" w:hAnsi="Calibri" w:eastAsia="仿宋_GB2312"/>
          <w:color w:val="auto"/>
          <w:sz w:val="32"/>
          <w:szCs w:val="32"/>
          <w:u w:val="dotted"/>
        </w:rPr>
        <w:t xml:space="preserve">                        </w:t>
      </w:r>
    </w:p>
    <w:p>
      <w:pPr>
        <w:rPr>
          <w:rFonts w:ascii="黑体" w:hAnsi="黑体" w:eastAsia="黑体"/>
          <w:color w:val="auto"/>
          <w:sz w:val="32"/>
          <w:szCs w:val="32"/>
        </w:rPr>
      </w:pPr>
      <w:r>
        <w:rPr>
          <w:rFonts w:hint="eastAsia" w:ascii="黑体" w:hAnsi="黑体" w:eastAsia="黑体"/>
          <w:color w:val="auto"/>
          <w:sz w:val="32"/>
          <w:szCs w:val="32"/>
        </w:rPr>
        <w:t>三、质疑基本情况</w:t>
      </w:r>
    </w:p>
    <w:p>
      <w:pPr>
        <w:ind w:firstLine="640" w:firstLineChars="200"/>
        <w:rPr>
          <w:rFonts w:ascii="仿宋_GB2312" w:hAnsi="Calibri" w:eastAsia="仿宋_GB2312"/>
          <w:color w:val="auto"/>
          <w:sz w:val="32"/>
          <w:szCs w:val="32"/>
          <w:u w:val="dotted"/>
        </w:rPr>
      </w:pPr>
      <w:r>
        <w:rPr>
          <w:rFonts w:hint="eastAsia" w:ascii="仿宋_GB2312" w:hAnsi="Calibri" w:eastAsia="仿宋_GB2312"/>
          <w:color w:val="auto"/>
          <w:sz w:val="32"/>
          <w:szCs w:val="32"/>
        </w:rPr>
        <w:t>投诉人于</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rPr>
        <w:t>年</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rPr>
        <w:t>月</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rPr>
        <w:t>日,向</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rPr>
        <w:t>提出质疑，质疑事项为：</w:t>
      </w:r>
      <w:r>
        <w:rPr>
          <w:rFonts w:hint="eastAsia" w:ascii="仿宋_GB2312" w:hAnsi="Calibri" w:eastAsia="仿宋_GB2312"/>
          <w:color w:val="auto"/>
          <w:sz w:val="32"/>
          <w:szCs w:val="32"/>
          <w:u w:val="dotted"/>
        </w:rPr>
        <w:t xml:space="preserve">                                </w:t>
      </w:r>
    </w:p>
    <w:p>
      <w:pPr>
        <w:rPr>
          <w:rFonts w:ascii="仿宋_GB2312" w:hAnsi="Calibri" w:eastAsia="仿宋_GB2312"/>
          <w:color w:val="auto"/>
          <w:sz w:val="32"/>
          <w:szCs w:val="32"/>
          <w:u w:val="dotted"/>
        </w:rPr>
      </w:pP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rPr>
        <w:t xml:space="preserve">  </w:t>
      </w:r>
    </w:p>
    <w:p>
      <w:pPr>
        <w:ind w:firstLine="480" w:firstLineChars="150"/>
        <w:rPr>
          <w:rFonts w:ascii="仿宋_GB2312" w:hAnsi="Calibri" w:eastAsia="仿宋_GB2312"/>
          <w:color w:val="auto"/>
          <w:sz w:val="32"/>
          <w:szCs w:val="32"/>
        </w:rPr>
      </w:pPr>
      <w:r>
        <w:rPr>
          <w:rFonts w:hint="eastAsia" w:ascii="仿宋_GB2312" w:hAnsi="Calibri" w:eastAsia="仿宋_GB2312"/>
          <w:color w:val="auto"/>
          <w:sz w:val="32"/>
          <w:szCs w:val="32"/>
          <w:u w:val="dotted"/>
        </w:rPr>
        <w:t>采购人/代理机构</w:t>
      </w:r>
      <w:r>
        <w:rPr>
          <w:rFonts w:hint="eastAsia" w:ascii="仿宋_GB2312" w:hAnsi="Calibri" w:eastAsia="仿宋_GB2312"/>
          <w:color w:val="auto"/>
          <w:sz w:val="32"/>
          <w:szCs w:val="32"/>
        </w:rPr>
        <w:t>于</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rPr>
        <w:t>年</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rPr>
        <w:t>月</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rPr>
        <w:t>日,就质疑事项作出了答复/没有在法定期限内作出答复。</w:t>
      </w:r>
    </w:p>
    <w:p>
      <w:pPr>
        <w:rPr>
          <w:rFonts w:ascii="黑体" w:hAnsi="黑体" w:eastAsia="黑体"/>
          <w:color w:val="auto"/>
          <w:sz w:val="32"/>
          <w:szCs w:val="32"/>
        </w:rPr>
      </w:pPr>
      <w:r>
        <w:rPr>
          <w:rFonts w:hint="eastAsia" w:ascii="黑体" w:hAnsi="黑体" w:eastAsia="黑体"/>
          <w:color w:val="auto"/>
          <w:sz w:val="32"/>
          <w:szCs w:val="32"/>
        </w:rPr>
        <w:t>四、投诉事项具体内容</w:t>
      </w:r>
    </w:p>
    <w:p>
      <w:pPr>
        <w:rPr>
          <w:rFonts w:ascii="仿宋_GB2312" w:hAnsi="Calibri" w:eastAsia="仿宋_GB2312"/>
          <w:color w:val="auto"/>
          <w:sz w:val="32"/>
          <w:szCs w:val="32"/>
          <w:u w:val="single"/>
        </w:rPr>
      </w:pPr>
      <w:r>
        <w:rPr>
          <w:rFonts w:hint="eastAsia" w:ascii="仿宋_GB2312" w:hAnsi="Calibri" w:eastAsia="仿宋_GB2312"/>
          <w:color w:val="auto"/>
          <w:sz w:val="32"/>
          <w:szCs w:val="32"/>
        </w:rPr>
        <w:t>投诉事项 1：</w:t>
      </w:r>
      <w:r>
        <w:rPr>
          <w:rFonts w:hint="eastAsia" w:ascii="仿宋_GB2312" w:hAnsi="Calibri" w:eastAsia="仿宋_GB2312"/>
          <w:color w:val="auto"/>
          <w:sz w:val="32"/>
          <w:szCs w:val="32"/>
          <w:u w:val="dotted"/>
        </w:rPr>
        <w:t xml:space="preserve">                                       </w:t>
      </w:r>
    </w:p>
    <w:p>
      <w:pPr>
        <w:rPr>
          <w:rFonts w:ascii="仿宋_GB2312" w:hAnsi="Calibri" w:eastAsia="仿宋_GB2312"/>
          <w:color w:val="auto"/>
          <w:sz w:val="32"/>
          <w:szCs w:val="32"/>
        </w:rPr>
      </w:pPr>
      <w:r>
        <w:rPr>
          <w:rFonts w:hint="eastAsia" w:ascii="仿宋_GB2312" w:hAnsi="Calibri" w:eastAsia="仿宋_GB2312"/>
          <w:color w:val="auto"/>
          <w:sz w:val="32"/>
          <w:szCs w:val="32"/>
        </w:rPr>
        <w:t>事实依据：</w:t>
      </w:r>
      <w:r>
        <w:rPr>
          <w:rFonts w:hint="eastAsia" w:ascii="仿宋_GB2312" w:hAnsi="Calibri" w:eastAsia="仿宋_GB2312"/>
          <w:color w:val="auto"/>
          <w:sz w:val="32"/>
          <w:szCs w:val="32"/>
          <w:u w:val="dotted"/>
        </w:rPr>
        <w:t xml:space="preserve">                                         </w:t>
      </w:r>
    </w:p>
    <w:p>
      <w:pPr>
        <w:rPr>
          <w:rFonts w:ascii="仿宋_GB2312" w:hAnsi="Calibri" w:eastAsia="仿宋_GB2312"/>
          <w:color w:val="auto"/>
          <w:sz w:val="32"/>
          <w:szCs w:val="32"/>
          <w:u w:val="dotted"/>
        </w:rPr>
      </w:pPr>
      <w:r>
        <w:rPr>
          <w:rFonts w:hint="eastAsia" w:ascii="仿宋_GB2312" w:hAnsi="Calibri" w:eastAsia="仿宋_GB2312"/>
          <w:color w:val="auto"/>
          <w:sz w:val="32"/>
          <w:szCs w:val="32"/>
          <w:u w:val="dotted"/>
        </w:rPr>
        <w:t xml:space="preserve">                                                      </w:t>
      </w:r>
    </w:p>
    <w:p>
      <w:pPr>
        <w:rPr>
          <w:rFonts w:ascii="仿宋_GB2312" w:hAnsi="Calibri" w:eastAsia="仿宋_GB2312"/>
          <w:color w:val="auto"/>
          <w:sz w:val="32"/>
          <w:szCs w:val="32"/>
          <w:u w:val="single"/>
        </w:rPr>
      </w:pPr>
      <w:r>
        <w:rPr>
          <w:rFonts w:hint="eastAsia" w:ascii="仿宋_GB2312" w:hAnsi="Calibri" w:eastAsia="仿宋_GB2312"/>
          <w:color w:val="auto"/>
          <w:sz w:val="32"/>
          <w:szCs w:val="32"/>
        </w:rPr>
        <w:t>法律依据：</w:t>
      </w:r>
      <w:r>
        <w:rPr>
          <w:rFonts w:hint="eastAsia" w:ascii="仿宋_GB2312" w:hAnsi="Calibri" w:eastAsia="仿宋_GB2312"/>
          <w:color w:val="auto"/>
          <w:sz w:val="32"/>
          <w:szCs w:val="32"/>
          <w:u w:val="dotted"/>
        </w:rPr>
        <w:t xml:space="preserve">                                          </w:t>
      </w:r>
    </w:p>
    <w:p>
      <w:pPr>
        <w:rPr>
          <w:rFonts w:ascii="仿宋_GB2312" w:hAnsi="Calibri" w:eastAsia="仿宋_GB2312"/>
          <w:color w:val="auto"/>
          <w:sz w:val="32"/>
          <w:szCs w:val="32"/>
          <w:u w:val="dotted"/>
        </w:rPr>
      </w:pPr>
      <w:r>
        <w:rPr>
          <w:rFonts w:hint="eastAsia" w:ascii="仿宋_GB2312" w:hAnsi="Calibri" w:eastAsia="仿宋_GB2312"/>
          <w:color w:val="auto"/>
          <w:sz w:val="32"/>
          <w:szCs w:val="32"/>
          <w:u w:val="dotted"/>
        </w:rPr>
        <w:t xml:space="preserve">                                                      </w:t>
      </w:r>
    </w:p>
    <w:p>
      <w:pPr>
        <w:rPr>
          <w:rFonts w:ascii="仿宋_GB2312" w:hAnsi="Calibri" w:eastAsia="仿宋_GB2312"/>
          <w:color w:val="auto"/>
          <w:sz w:val="32"/>
          <w:szCs w:val="32"/>
        </w:rPr>
      </w:pPr>
      <w:r>
        <w:rPr>
          <w:rFonts w:hint="eastAsia" w:ascii="仿宋_GB2312" w:hAnsi="Calibri" w:eastAsia="仿宋_GB2312"/>
          <w:color w:val="auto"/>
          <w:sz w:val="32"/>
          <w:szCs w:val="32"/>
        </w:rPr>
        <w:t>投诉事项2</w:t>
      </w:r>
    </w:p>
    <w:p>
      <w:pPr>
        <w:rPr>
          <w:rFonts w:ascii="仿宋_GB2312" w:hAnsi="Calibri" w:eastAsia="仿宋_GB2312"/>
          <w:color w:val="auto"/>
          <w:sz w:val="32"/>
          <w:szCs w:val="32"/>
          <w:u w:val="dotted"/>
        </w:rPr>
      </w:pPr>
      <w:r>
        <w:rPr>
          <w:rFonts w:hint="eastAsia" w:ascii="仿宋_GB2312" w:hAnsi="Calibri" w:eastAsia="仿宋_GB2312"/>
          <w:color w:val="auto"/>
          <w:sz w:val="32"/>
          <w:szCs w:val="32"/>
        </w:rPr>
        <w:t>……</w:t>
      </w:r>
    </w:p>
    <w:p>
      <w:pPr>
        <w:rPr>
          <w:rFonts w:ascii="黑体" w:hAnsi="黑体" w:eastAsia="黑体"/>
          <w:color w:val="auto"/>
          <w:sz w:val="32"/>
          <w:szCs w:val="32"/>
        </w:rPr>
      </w:pPr>
      <w:r>
        <w:rPr>
          <w:rFonts w:hint="eastAsia" w:ascii="黑体" w:hAnsi="黑体" w:eastAsia="黑体"/>
          <w:color w:val="auto"/>
          <w:sz w:val="32"/>
          <w:szCs w:val="32"/>
        </w:rPr>
        <w:t>五、与投诉事项相关的投诉请求</w:t>
      </w:r>
    </w:p>
    <w:p>
      <w:pPr>
        <w:rPr>
          <w:rFonts w:ascii="仿宋_GB2312" w:hAnsi="Calibri" w:eastAsia="仿宋_GB2312"/>
          <w:color w:val="auto"/>
          <w:sz w:val="32"/>
          <w:szCs w:val="32"/>
        </w:rPr>
      </w:pPr>
      <w:r>
        <w:rPr>
          <w:rFonts w:hint="eastAsia" w:ascii="仿宋_GB2312" w:hAnsi="Calibri" w:eastAsia="仿宋_GB2312"/>
          <w:color w:val="auto"/>
          <w:sz w:val="32"/>
          <w:szCs w:val="32"/>
        </w:rPr>
        <w:t>请求：</w:t>
      </w:r>
      <w:r>
        <w:rPr>
          <w:rFonts w:hint="eastAsia" w:ascii="仿宋_GB2312" w:hAnsi="Calibri" w:eastAsia="仿宋_GB2312"/>
          <w:color w:val="auto"/>
          <w:sz w:val="32"/>
          <w:szCs w:val="32"/>
          <w:u w:val="dotted"/>
        </w:rPr>
        <w:t xml:space="preserve">                                              </w:t>
      </w:r>
      <w:r>
        <w:rPr>
          <w:rFonts w:hint="eastAsia" w:ascii="仿宋_GB2312" w:hAnsi="Calibri" w:eastAsia="仿宋_GB2312"/>
          <w:color w:val="auto"/>
          <w:sz w:val="32"/>
          <w:szCs w:val="32"/>
        </w:rPr>
        <w:t xml:space="preserve"> </w:t>
      </w:r>
    </w:p>
    <w:p>
      <w:pPr>
        <w:rPr>
          <w:rFonts w:ascii="仿宋_GB2312" w:hAnsi="Calibri" w:eastAsia="仿宋_GB2312"/>
          <w:color w:val="auto"/>
          <w:sz w:val="32"/>
          <w:szCs w:val="32"/>
          <w:u w:val="single"/>
        </w:rPr>
      </w:pPr>
      <w:r>
        <w:rPr>
          <w:rFonts w:hint="eastAsia" w:ascii="仿宋_GB2312" w:hAnsi="Calibri" w:eastAsia="仿宋_GB2312"/>
          <w:color w:val="auto"/>
          <w:sz w:val="32"/>
          <w:szCs w:val="32"/>
        </w:rPr>
        <w:t xml:space="preserve">                                                                                                    </w:t>
      </w:r>
    </w:p>
    <w:p>
      <w:pPr>
        <w:rPr>
          <w:rFonts w:ascii="仿宋_GB2312" w:hAnsi="Calibri" w:eastAsia="仿宋_GB2312"/>
          <w:color w:val="auto"/>
          <w:sz w:val="32"/>
          <w:szCs w:val="32"/>
        </w:rPr>
      </w:pPr>
      <w:r>
        <w:rPr>
          <w:rFonts w:hint="eastAsia" w:ascii="仿宋_GB2312" w:hAnsi="Calibri" w:eastAsia="仿宋_GB2312"/>
          <w:color w:val="auto"/>
          <w:sz w:val="32"/>
          <w:szCs w:val="32"/>
        </w:rPr>
        <w:t xml:space="preserve">签字(签章)：                   公章：                      </w:t>
      </w:r>
    </w:p>
    <w:p>
      <w:pPr>
        <w:rPr>
          <w:rFonts w:ascii="仿宋_GB2312" w:hAnsi="Calibri" w:eastAsia="仿宋_GB2312"/>
          <w:color w:val="auto"/>
          <w:sz w:val="32"/>
          <w:szCs w:val="32"/>
        </w:rPr>
      </w:pPr>
      <w:r>
        <w:rPr>
          <w:rFonts w:hint="eastAsia" w:ascii="仿宋_GB2312" w:hAnsi="Calibri" w:eastAsia="仿宋_GB2312"/>
          <w:color w:val="auto"/>
          <w:sz w:val="32"/>
          <w:szCs w:val="32"/>
        </w:rPr>
        <w:t xml:space="preserve">日期：    </w:t>
      </w:r>
    </w:p>
    <w:p>
      <w:pPr>
        <w:rPr>
          <w:rFonts w:ascii="黑体" w:hAnsi="黑体" w:eastAsia="黑体"/>
          <w:b/>
          <w:color w:val="auto"/>
          <w:sz w:val="32"/>
          <w:szCs w:val="32"/>
        </w:rPr>
      </w:pPr>
    </w:p>
    <w:p>
      <w:pPr>
        <w:rPr>
          <w:rFonts w:ascii="黑体" w:hAnsi="黑体" w:eastAsia="黑体"/>
          <w:b/>
          <w:color w:val="auto"/>
          <w:sz w:val="32"/>
          <w:szCs w:val="32"/>
        </w:rPr>
      </w:pPr>
    </w:p>
    <w:p>
      <w:pPr>
        <w:rPr>
          <w:rFonts w:ascii="黑体" w:hAnsi="黑体" w:eastAsia="黑体"/>
          <w:b/>
          <w:color w:val="auto"/>
          <w:sz w:val="32"/>
          <w:szCs w:val="32"/>
        </w:rPr>
      </w:pPr>
      <w:r>
        <w:rPr>
          <w:rFonts w:hint="eastAsia" w:ascii="黑体" w:hAnsi="黑体" w:eastAsia="黑体"/>
          <w:b/>
          <w:color w:val="auto"/>
          <w:sz w:val="32"/>
          <w:szCs w:val="32"/>
        </w:rPr>
        <w:t>投诉书制作说明：</w:t>
      </w:r>
    </w:p>
    <w:p>
      <w:pPr>
        <w:widowControl/>
        <w:ind w:firstLine="640" w:firstLineChars="200"/>
        <w:rPr>
          <w:rFonts w:ascii="仿宋_GB2312" w:hAnsi="宋体" w:eastAsia="仿宋_GB2312" w:cs="宋体"/>
          <w:color w:val="auto"/>
          <w:kern w:val="0"/>
          <w:sz w:val="32"/>
          <w:szCs w:val="32"/>
        </w:rPr>
      </w:pPr>
      <w:r>
        <w:rPr>
          <w:rFonts w:hint="eastAsia" w:ascii="仿宋_GB2312" w:hAnsi="Calibri" w:eastAsia="仿宋_GB2312"/>
          <w:color w:val="auto"/>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ascii="仿宋_GB2312" w:hAnsi="宋体" w:eastAsia="仿宋_GB2312" w:cs="宋体"/>
          <w:color w:val="auto"/>
          <w:kern w:val="0"/>
          <w:sz w:val="32"/>
          <w:szCs w:val="32"/>
        </w:rPr>
      </w:pPr>
      <w:r>
        <w:rPr>
          <w:rFonts w:hint="eastAsia" w:ascii="仿宋_GB2312" w:hAnsi="Calibri" w:eastAsia="仿宋_GB2312"/>
          <w:color w:val="auto"/>
          <w:sz w:val="32"/>
          <w:szCs w:val="32"/>
        </w:rPr>
        <w:t>2.投诉人若委托代理人进行投诉的，投诉书应按照要求列明“授权代表”的有关内容，并在附件中提交由</w:t>
      </w:r>
      <w:r>
        <w:rPr>
          <w:rFonts w:hint="eastAsia" w:ascii="仿宋_GB2312" w:hAnsi="宋体" w:eastAsia="仿宋_GB2312" w:cs="宋体"/>
          <w:color w:val="auto"/>
          <w:kern w:val="0"/>
          <w:sz w:val="32"/>
          <w:szCs w:val="32"/>
        </w:rPr>
        <w:t>投诉人签署的授权委托书。授权委托书应当载明代理人的姓名或者名称、代理事项、具体权限、期限和相关事项。</w:t>
      </w:r>
    </w:p>
    <w:p>
      <w:pPr>
        <w:widowControl/>
        <w:ind w:firstLine="640" w:firstLineChars="200"/>
        <w:jc w:val="left"/>
        <w:rPr>
          <w:rFonts w:ascii="仿宋_GB2312" w:hAnsi="Calibri" w:eastAsia="仿宋_GB2312"/>
          <w:color w:val="auto"/>
          <w:sz w:val="32"/>
          <w:szCs w:val="32"/>
        </w:rPr>
      </w:pPr>
      <w:r>
        <w:rPr>
          <w:rFonts w:hint="eastAsia" w:ascii="仿宋_GB2312" w:hAnsi="Calibri" w:eastAsia="仿宋_GB2312"/>
          <w:color w:val="auto"/>
          <w:sz w:val="32"/>
          <w:szCs w:val="32"/>
        </w:rPr>
        <w:t>3.投诉人若对项目的某一分包进行投诉，投诉书应列明具体分包号。</w:t>
      </w:r>
    </w:p>
    <w:p>
      <w:pPr>
        <w:widowControl/>
        <w:ind w:firstLine="640" w:firstLineChars="200"/>
        <w:jc w:val="left"/>
        <w:rPr>
          <w:rFonts w:ascii="仿宋_GB2312" w:hAnsi="Calibri" w:eastAsia="仿宋_GB2312"/>
          <w:color w:val="auto"/>
          <w:sz w:val="32"/>
          <w:szCs w:val="32"/>
        </w:rPr>
      </w:pPr>
      <w:r>
        <w:rPr>
          <w:rFonts w:hint="eastAsia" w:ascii="仿宋_GB2312" w:hAnsi="Calibri" w:eastAsia="仿宋_GB2312"/>
          <w:color w:val="auto"/>
          <w:sz w:val="32"/>
          <w:szCs w:val="32"/>
        </w:rPr>
        <w:t>4.投诉书应简要列明质疑事项，质疑函、质疑答复等作为附件材料提供。</w:t>
      </w:r>
    </w:p>
    <w:p>
      <w:pPr>
        <w:widowControl/>
        <w:ind w:firstLine="640" w:firstLineChars="200"/>
        <w:jc w:val="left"/>
        <w:rPr>
          <w:rFonts w:ascii="仿宋_GB2312" w:hAnsi="Calibri" w:eastAsia="仿宋_GB2312"/>
          <w:color w:val="auto"/>
          <w:sz w:val="32"/>
          <w:szCs w:val="32"/>
        </w:rPr>
      </w:pPr>
      <w:r>
        <w:rPr>
          <w:rFonts w:hint="eastAsia" w:ascii="仿宋_GB2312" w:hAnsi="Calibri" w:eastAsia="仿宋_GB2312"/>
          <w:color w:val="auto"/>
          <w:sz w:val="32"/>
          <w:szCs w:val="32"/>
        </w:rPr>
        <w:t>5.投诉书的投诉事项应具体、明确，并有必要的事实依据和法律依据。</w:t>
      </w:r>
    </w:p>
    <w:p>
      <w:pPr>
        <w:widowControl/>
        <w:ind w:firstLine="640" w:firstLineChars="200"/>
        <w:jc w:val="left"/>
        <w:rPr>
          <w:rFonts w:ascii="仿宋_GB2312" w:hAnsi="Calibri" w:eastAsia="仿宋_GB2312"/>
          <w:color w:val="auto"/>
          <w:sz w:val="32"/>
          <w:szCs w:val="32"/>
        </w:rPr>
      </w:pPr>
      <w:r>
        <w:rPr>
          <w:rFonts w:hint="eastAsia" w:ascii="仿宋_GB2312" w:hAnsi="Calibri" w:eastAsia="仿宋_GB2312"/>
          <w:color w:val="auto"/>
          <w:sz w:val="32"/>
          <w:szCs w:val="32"/>
        </w:rPr>
        <w:t>6.投诉书的投诉请求应与投诉事项相关。</w:t>
      </w:r>
    </w:p>
    <w:p>
      <w:pPr>
        <w:rPr>
          <w:rFonts w:ascii="仿宋_GB2312" w:hAnsi="Calibri" w:eastAsia="仿宋_GB2312"/>
          <w:color w:val="auto"/>
          <w:sz w:val="32"/>
          <w:szCs w:val="32"/>
        </w:rPr>
      </w:pPr>
      <w:r>
        <w:rPr>
          <w:rFonts w:hint="eastAsia" w:ascii="仿宋_GB2312" w:hAnsi="Calibri" w:eastAsia="仿宋_GB2312"/>
          <w:color w:val="auto"/>
          <w:sz w:val="32"/>
          <w:szCs w:val="32"/>
        </w:rPr>
        <w:t>7.投诉人为自然人的，投诉书应当由本人签字；投诉人为法人或者其他组织的，投诉书应当由法定代表人、主要负责人，或者其授权代表签字或者盖章，并加盖公章。</w:t>
      </w:r>
    </w:p>
    <w:p>
      <w:pPr>
        <w:pStyle w:val="24"/>
        <w:ind w:left="181" w:leftChars="86" w:firstLine="2997" w:firstLineChars="1249"/>
        <w:rPr>
          <w:rFonts w:hAnsi="宋体"/>
          <w:bCs/>
          <w:color w:val="auto"/>
          <w:sz w:val="24"/>
          <w:szCs w:val="24"/>
        </w:rPr>
      </w:pPr>
    </w:p>
    <w:p>
      <w:pPr>
        <w:rPr>
          <w:rFonts w:ascii="宋体" w:hAnsi="宋体" w:cs="宋体"/>
          <w:b/>
          <w:color w:val="auto"/>
          <w:kern w:val="0"/>
          <w:sz w:val="36"/>
          <w:szCs w:val="36"/>
        </w:rPr>
      </w:pPr>
      <w:r>
        <w:rPr>
          <w:rFonts w:hint="eastAsia" w:ascii="宋体" w:hAnsi="宋体" w:cs="宋体"/>
          <w:b/>
          <w:color w:val="auto"/>
          <w:kern w:val="0"/>
          <w:sz w:val="36"/>
          <w:szCs w:val="36"/>
        </w:rPr>
        <w:br w:type="page"/>
      </w:r>
    </w:p>
    <w:p>
      <w:pPr>
        <w:tabs>
          <w:tab w:val="left" w:pos="606"/>
        </w:tabs>
        <w:outlineLvl w:val="0"/>
        <w:rPr>
          <w:color w:val="auto"/>
        </w:rPr>
      </w:pPr>
      <w:bookmarkStart w:id="55" w:name="_Toc1735"/>
      <w:r>
        <w:rPr>
          <w:rFonts w:hint="eastAsia" w:ascii="宋体" w:hAnsi="宋体" w:cs="宋体"/>
          <w:b/>
          <w:color w:val="auto"/>
          <w:kern w:val="0"/>
          <w:sz w:val="36"/>
          <w:szCs w:val="36"/>
        </w:rPr>
        <w:t>附件</w:t>
      </w:r>
      <w:bookmarkEnd w:id="55"/>
    </w:p>
    <w:p>
      <w:pPr>
        <w:tabs>
          <w:tab w:val="left" w:pos="606"/>
        </w:tabs>
        <w:rPr>
          <w:color w:val="auto"/>
        </w:rPr>
      </w:pPr>
      <w:r>
        <w:rPr>
          <w:rFonts w:hint="eastAsia"/>
          <w:color w:val="auto"/>
        </w:rPr>
        <w:t xml:space="preserve"> </w:t>
      </w:r>
    </w:p>
    <w:p>
      <w:pPr>
        <w:widowControl/>
        <w:shd w:val="clear" w:color="auto" w:fill="FFFFFF"/>
        <w:spacing w:line="360" w:lineRule="auto"/>
        <w:ind w:firstLine="480"/>
        <w:jc w:val="center"/>
        <w:outlineLvl w:val="0"/>
        <w:rPr>
          <w:rFonts w:ascii="宋体" w:hAnsi="宋体" w:cs="宋体"/>
          <w:b/>
          <w:color w:val="auto"/>
          <w:kern w:val="0"/>
          <w:sz w:val="36"/>
          <w:szCs w:val="36"/>
        </w:rPr>
      </w:pPr>
      <w:bookmarkStart w:id="56" w:name="_Toc20572"/>
      <w:r>
        <w:rPr>
          <w:rFonts w:hint="eastAsia" w:ascii="宋体" w:hAnsi="宋体" w:cs="宋体"/>
          <w:b/>
          <w:color w:val="auto"/>
          <w:kern w:val="0"/>
          <w:sz w:val="36"/>
          <w:szCs w:val="36"/>
        </w:rPr>
        <w:t>成交通知书</w:t>
      </w:r>
      <w:bookmarkEnd w:id="56"/>
    </w:p>
    <w:p>
      <w:pPr>
        <w:tabs>
          <w:tab w:val="left" w:pos="606"/>
        </w:tabs>
        <w:rPr>
          <w:color w:val="auto"/>
          <w:sz w:val="24"/>
        </w:rPr>
      </w:pPr>
    </w:p>
    <w:p>
      <w:pPr>
        <w:tabs>
          <w:tab w:val="left" w:pos="606"/>
        </w:tabs>
        <w:rPr>
          <w:color w:val="auto"/>
          <w:sz w:val="28"/>
          <w:szCs w:val="28"/>
        </w:rPr>
      </w:pPr>
      <w:r>
        <w:rPr>
          <w:rFonts w:hint="eastAsia"/>
          <w:color w:val="auto"/>
          <w:sz w:val="28"/>
          <w:szCs w:val="28"/>
          <w:u w:val="single"/>
        </w:rPr>
        <w:t xml:space="preserve">              </w:t>
      </w:r>
      <w:r>
        <w:rPr>
          <w:rFonts w:hint="eastAsia"/>
          <w:color w:val="auto"/>
          <w:sz w:val="28"/>
          <w:szCs w:val="28"/>
        </w:rPr>
        <w:t>公司：</w:t>
      </w:r>
    </w:p>
    <w:p>
      <w:pPr>
        <w:tabs>
          <w:tab w:val="left" w:pos="606"/>
        </w:tabs>
        <w:ind w:firstLine="420"/>
        <w:rPr>
          <w:color w:val="auto"/>
          <w:sz w:val="28"/>
          <w:szCs w:val="28"/>
        </w:rPr>
      </w:pPr>
      <w:r>
        <w:rPr>
          <w:rFonts w:hint="eastAsia"/>
          <w:color w:val="auto"/>
          <w:sz w:val="28"/>
          <w:szCs w:val="28"/>
          <w:u w:val="single"/>
        </w:rPr>
        <w:t>（代理机构名称）</w:t>
      </w:r>
      <w:r>
        <w:rPr>
          <w:rFonts w:hint="eastAsia"/>
          <w:color w:val="auto"/>
          <w:sz w:val="28"/>
          <w:szCs w:val="28"/>
        </w:rPr>
        <w:t>受</w:t>
      </w:r>
      <w:r>
        <w:rPr>
          <w:rFonts w:hint="eastAsia"/>
          <w:color w:val="auto"/>
          <w:sz w:val="28"/>
          <w:szCs w:val="28"/>
          <w:u w:val="single"/>
        </w:rPr>
        <w:t>（采购单位名称）</w:t>
      </w:r>
      <w:r>
        <w:rPr>
          <w:rFonts w:hint="eastAsia"/>
          <w:color w:val="auto"/>
          <w:sz w:val="28"/>
          <w:szCs w:val="28"/>
        </w:rPr>
        <w:t>的委托，就</w:t>
      </w:r>
      <w:r>
        <w:rPr>
          <w:rFonts w:hint="eastAsia"/>
          <w:color w:val="auto"/>
          <w:sz w:val="28"/>
          <w:szCs w:val="28"/>
          <w:u w:val="single"/>
        </w:rPr>
        <w:t xml:space="preserve">              项目</w:t>
      </w:r>
      <w:r>
        <w:rPr>
          <w:rFonts w:hint="eastAsia"/>
          <w:color w:val="auto"/>
          <w:sz w:val="28"/>
          <w:szCs w:val="28"/>
        </w:rPr>
        <w:t>（项目编号：</w:t>
      </w:r>
      <w:r>
        <w:rPr>
          <w:rFonts w:hint="eastAsia"/>
          <w:color w:val="auto"/>
          <w:sz w:val="28"/>
          <w:szCs w:val="28"/>
          <w:u w:val="single"/>
        </w:rPr>
        <w:t xml:space="preserve">            </w:t>
      </w:r>
      <w:r>
        <w:rPr>
          <w:rFonts w:hint="eastAsia"/>
          <w:color w:val="auto"/>
          <w:sz w:val="28"/>
          <w:szCs w:val="28"/>
        </w:rPr>
        <w:t>；审批编号：</w:t>
      </w:r>
      <w:r>
        <w:rPr>
          <w:rFonts w:hint="eastAsia"/>
          <w:color w:val="auto"/>
          <w:sz w:val="28"/>
          <w:szCs w:val="28"/>
          <w:u w:val="single"/>
        </w:rPr>
        <w:t xml:space="preserve">            </w:t>
      </w:r>
      <w:r>
        <w:rPr>
          <w:rFonts w:hint="eastAsia"/>
          <w:color w:val="auto"/>
          <w:sz w:val="28"/>
          <w:szCs w:val="28"/>
        </w:rPr>
        <w:t>）采用</w:t>
      </w:r>
      <w:r>
        <w:rPr>
          <w:rFonts w:hint="eastAsia"/>
          <w:color w:val="auto"/>
          <w:sz w:val="28"/>
          <w:szCs w:val="28"/>
          <w:u w:val="single"/>
        </w:rPr>
        <w:t xml:space="preserve">   </w:t>
      </w:r>
      <w:r>
        <w:rPr>
          <w:rFonts w:hint="eastAsia"/>
          <w:color w:val="auto"/>
          <w:sz w:val="28"/>
          <w:szCs w:val="28"/>
        </w:rPr>
        <w:t>方式进行采购。经采购人确认，贵单位为</w:t>
      </w:r>
      <w:r>
        <w:rPr>
          <w:rFonts w:hint="eastAsia"/>
          <w:color w:val="auto"/>
          <w:sz w:val="28"/>
          <w:szCs w:val="28"/>
          <w:u w:val="single"/>
        </w:rPr>
        <w:t xml:space="preserve">            </w:t>
      </w:r>
      <w:r>
        <w:rPr>
          <w:rFonts w:hint="eastAsia"/>
          <w:color w:val="auto"/>
          <w:sz w:val="28"/>
          <w:szCs w:val="28"/>
        </w:rPr>
        <w:t>项目的成交单位，具体内容如下：</w:t>
      </w:r>
    </w:p>
    <w:p>
      <w:pPr>
        <w:tabs>
          <w:tab w:val="left" w:pos="606"/>
        </w:tabs>
        <w:ind w:firstLine="420"/>
        <w:rPr>
          <w:color w:val="auto"/>
          <w:sz w:val="28"/>
          <w:szCs w:val="28"/>
        </w:rPr>
      </w:pPr>
    </w:p>
    <w:p>
      <w:pPr>
        <w:tabs>
          <w:tab w:val="left" w:pos="606"/>
        </w:tabs>
        <w:ind w:firstLine="420"/>
        <w:rPr>
          <w:color w:val="auto"/>
          <w:sz w:val="28"/>
          <w:szCs w:val="28"/>
        </w:rPr>
      </w:pPr>
    </w:p>
    <w:p>
      <w:pPr>
        <w:tabs>
          <w:tab w:val="left" w:pos="606"/>
        </w:tabs>
        <w:ind w:firstLine="420"/>
        <w:rPr>
          <w:color w:val="auto"/>
          <w:sz w:val="28"/>
          <w:szCs w:val="28"/>
        </w:rPr>
      </w:pPr>
      <w:r>
        <w:rPr>
          <w:rFonts w:hint="eastAsia"/>
          <w:color w:val="auto"/>
          <w:sz w:val="28"/>
          <w:szCs w:val="28"/>
        </w:rPr>
        <w:t>成交单位：</w:t>
      </w:r>
      <w:r>
        <w:rPr>
          <w:rFonts w:hint="eastAsia"/>
          <w:color w:val="auto"/>
          <w:sz w:val="28"/>
          <w:szCs w:val="28"/>
          <w:u w:val="single"/>
        </w:rPr>
        <w:t xml:space="preserve">             </w:t>
      </w:r>
      <w:r>
        <w:rPr>
          <w:rFonts w:hint="eastAsia"/>
          <w:color w:val="auto"/>
          <w:sz w:val="28"/>
          <w:szCs w:val="28"/>
        </w:rPr>
        <w:t>公司</w:t>
      </w:r>
    </w:p>
    <w:p>
      <w:pPr>
        <w:tabs>
          <w:tab w:val="left" w:pos="606"/>
        </w:tabs>
        <w:ind w:firstLine="420"/>
        <w:rPr>
          <w:color w:val="auto"/>
          <w:sz w:val="28"/>
          <w:szCs w:val="28"/>
        </w:rPr>
      </w:pPr>
      <w:r>
        <w:rPr>
          <w:rFonts w:hint="eastAsia"/>
          <w:color w:val="auto"/>
          <w:sz w:val="28"/>
          <w:szCs w:val="28"/>
        </w:rPr>
        <w:t>企业规模：□中型 □小型 □微型 □其他</w:t>
      </w:r>
    </w:p>
    <w:p>
      <w:pPr>
        <w:tabs>
          <w:tab w:val="left" w:pos="606"/>
        </w:tabs>
        <w:ind w:firstLine="420"/>
        <w:rPr>
          <w:color w:val="auto"/>
          <w:sz w:val="28"/>
          <w:szCs w:val="28"/>
        </w:rPr>
      </w:pPr>
      <w:r>
        <w:rPr>
          <w:rFonts w:hint="eastAsia"/>
          <w:color w:val="auto"/>
          <w:sz w:val="28"/>
          <w:szCs w:val="28"/>
        </w:rPr>
        <w:t>成交金额：</w:t>
      </w:r>
      <w:r>
        <w:rPr>
          <w:rFonts w:hint="eastAsia"/>
          <w:color w:val="auto"/>
          <w:sz w:val="28"/>
          <w:szCs w:val="28"/>
          <w:u w:val="single"/>
        </w:rPr>
        <w:t xml:space="preserve">                </w:t>
      </w:r>
      <w:r>
        <w:rPr>
          <w:rFonts w:hint="eastAsia"/>
          <w:color w:val="auto"/>
          <w:sz w:val="28"/>
          <w:szCs w:val="28"/>
        </w:rPr>
        <w:t xml:space="preserve">（￥ </w:t>
      </w:r>
      <w:r>
        <w:rPr>
          <w:rFonts w:hint="eastAsia"/>
          <w:color w:val="auto"/>
          <w:sz w:val="28"/>
          <w:szCs w:val="28"/>
          <w:u w:val="single"/>
        </w:rPr>
        <w:t xml:space="preserve">         </w:t>
      </w:r>
      <w:r>
        <w:rPr>
          <w:rFonts w:hint="eastAsia"/>
          <w:color w:val="auto"/>
          <w:sz w:val="28"/>
          <w:szCs w:val="28"/>
        </w:rPr>
        <w:t xml:space="preserve"> 元）</w:t>
      </w:r>
    </w:p>
    <w:p>
      <w:pPr>
        <w:tabs>
          <w:tab w:val="left" w:pos="606"/>
        </w:tabs>
        <w:ind w:firstLine="420"/>
        <w:rPr>
          <w:color w:val="auto"/>
          <w:sz w:val="28"/>
          <w:szCs w:val="28"/>
        </w:rPr>
      </w:pPr>
      <w:r>
        <w:rPr>
          <w:rFonts w:hint="eastAsia"/>
          <w:color w:val="auto"/>
          <w:sz w:val="28"/>
          <w:szCs w:val="28"/>
        </w:rPr>
        <w:t>交货时间：自合同签定之日起</w:t>
      </w:r>
      <w:r>
        <w:rPr>
          <w:rFonts w:hint="eastAsia"/>
          <w:color w:val="auto"/>
          <w:sz w:val="28"/>
          <w:szCs w:val="28"/>
          <w:u w:val="single"/>
        </w:rPr>
        <w:t xml:space="preserve">    </w:t>
      </w:r>
      <w:r>
        <w:rPr>
          <w:rFonts w:hint="eastAsia"/>
          <w:color w:val="auto"/>
          <w:sz w:val="28"/>
          <w:szCs w:val="28"/>
        </w:rPr>
        <w:t>天内</w:t>
      </w:r>
    </w:p>
    <w:p>
      <w:pPr>
        <w:tabs>
          <w:tab w:val="left" w:pos="606"/>
        </w:tabs>
        <w:ind w:firstLine="420"/>
        <w:rPr>
          <w:color w:val="auto"/>
          <w:sz w:val="28"/>
          <w:szCs w:val="28"/>
        </w:rPr>
      </w:pPr>
    </w:p>
    <w:p>
      <w:pPr>
        <w:tabs>
          <w:tab w:val="left" w:pos="606"/>
        </w:tabs>
        <w:ind w:firstLine="420"/>
        <w:rPr>
          <w:color w:val="auto"/>
          <w:sz w:val="28"/>
          <w:szCs w:val="28"/>
        </w:rPr>
      </w:pPr>
      <w:r>
        <w:rPr>
          <w:rFonts w:hint="eastAsia"/>
          <w:color w:val="auto"/>
          <w:sz w:val="28"/>
          <w:szCs w:val="28"/>
        </w:rPr>
        <w:t>请贵单位接此通知书后</w:t>
      </w:r>
      <w:r>
        <w:rPr>
          <w:rFonts w:hint="eastAsia"/>
          <w:color w:val="auto"/>
          <w:sz w:val="28"/>
          <w:szCs w:val="28"/>
          <w:u w:val="single"/>
        </w:rPr>
        <w:t xml:space="preserve">    </w:t>
      </w:r>
      <w:r>
        <w:rPr>
          <w:rFonts w:hint="eastAsia"/>
          <w:color w:val="auto"/>
          <w:sz w:val="28"/>
          <w:szCs w:val="28"/>
        </w:rPr>
        <w:t>日内尽快与采购人签订合同，并按采购文件要求和竞标文件的承诺履行合同。</w:t>
      </w:r>
    </w:p>
    <w:p>
      <w:pPr>
        <w:tabs>
          <w:tab w:val="left" w:pos="606"/>
        </w:tabs>
        <w:ind w:firstLine="420"/>
        <w:rPr>
          <w:color w:val="auto"/>
          <w:sz w:val="28"/>
          <w:szCs w:val="28"/>
        </w:rPr>
      </w:pPr>
      <w:r>
        <w:rPr>
          <w:rFonts w:hint="eastAsia"/>
          <w:color w:val="auto"/>
          <w:sz w:val="28"/>
          <w:szCs w:val="28"/>
        </w:rPr>
        <w:t>特此通知！</w:t>
      </w:r>
    </w:p>
    <w:p>
      <w:pPr>
        <w:tabs>
          <w:tab w:val="left" w:pos="606"/>
        </w:tabs>
        <w:rPr>
          <w:color w:val="auto"/>
          <w:sz w:val="28"/>
          <w:szCs w:val="28"/>
        </w:rPr>
      </w:pPr>
    </w:p>
    <w:p>
      <w:pPr>
        <w:tabs>
          <w:tab w:val="left" w:pos="606"/>
        </w:tabs>
        <w:ind w:firstLine="4480" w:firstLineChars="1600"/>
        <w:rPr>
          <w:color w:val="auto"/>
          <w:sz w:val="28"/>
          <w:szCs w:val="28"/>
        </w:rPr>
      </w:pPr>
      <w:r>
        <w:rPr>
          <w:rFonts w:hint="eastAsia"/>
          <w:color w:val="auto"/>
          <w:sz w:val="28"/>
          <w:szCs w:val="28"/>
        </w:rPr>
        <w:t>采购单位（盖章）：</w:t>
      </w:r>
    </w:p>
    <w:p>
      <w:pPr>
        <w:tabs>
          <w:tab w:val="left" w:pos="606"/>
        </w:tabs>
        <w:ind w:firstLine="4480" w:firstLineChars="1600"/>
        <w:rPr>
          <w:color w:val="auto"/>
          <w:sz w:val="28"/>
          <w:szCs w:val="28"/>
        </w:rPr>
      </w:pPr>
      <w:r>
        <w:rPr>
          <w:rFonts w:hint="eastAsia"/>
          <w:color w:val="auto"/>
          <w:sz w:val="28"/>
          <w:szCs w:val="28"/>
        </w:rPr>
        <w:t>代理机构（盖章）：</w:t>
      </w:r>
    </w:p>
    <w:p>
      <w:pPr>
        <w:tabs>
          <w:tab w:val="left" w:pos="606"/>
        </w:tabs>
        <w:ind w:firstLine="4480" w:firstLineChars="1600"/>
        <w:rPr>
          <w:rFonts w:hAnsi="宋体"/>
          <w:bCs/>
          <w:color w:val="auto"/>
          <w:sz w:val="24"/>
        </w:rPr>
      </w:pPr>
      <w:r>
        <w:rPr>
          <w:rFonts w:hint="eastAsia"/>
          <w:color w:val="auto"/>
          <w:sz w:val="28"/>
          <w:szCs w:val="28"/>
        </w:rPr>
        <w:t>日期：  年  月  日</w:t>
      </w:r>
    </w:p>
    <w:sectPr>
      <w:headerReference r:id="rId3" w:type="default"/>
      <w:footerReference r:id="rId4" w:type="default"/>
      <w:footerReference r:id="rId5" w:type="even"/>
      <w:pgSz w:w="11906" w:h="16838"/>
      <w:pgMar w:top="1440" w:right="1230" w:bottom="1440" w:left="144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7"/>
      </w:rPr>
    </w:pPr>
    <w:r>
      <w:fldChar w:fldCharType="begin"/>
    </w:r>
    <w:r>
      <w:rPr>
        <w:rStyle w:val="47"/>
      </w:rPr>
      <w:instrText xml:space="preserve">PAGE  </w:instrText>
    </w:r>
    <w:r>
      <w:fldChar w:fldCharType="separate"/>
    </w:r>
    <w:r>
      <w:rPr>
        <w:rStyle w:val="47"/>
      </w:rPr>
      <w:t>45</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7"/>
      </w:rPr>
    </w:pPr>
    <w:r>
      <w:fldChar w:fldCharType="begin"/>
    </w:r>
    <w:r>
      <w:rPr>
        <w:rStyle w:val="47"/>
      </w:rPr>
      <w:instrText xml:space="preserve">PAGE  </w:instrTex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464ED5"/>
    <w:multiLevelType w:val="singleLevel"/>
    <w:tmpl w:val="F6464ED5"/>
    <w:lvl w:ilvl="0" w:tentative="0">
      <w:start w:val="29"/>
      <w:numFmt w:val="decimal"/>
      <w:suff w:val="space"/>
      <w:lvlText w:val="%1."/>
      <w:lvlJc w:val="left"/>
    </w:lvl>
  </w:abstractNum>
  <w:abstractNum w:abstractNumId="1">
    <w:nsid w:val="0000001E"/>
    <w:multiLevelType w:val="multilevel"/>
    <w:tmpl w:val="0000001E"/>
    <w:lvl w:ilvl="0" w:tentative="0">
      <w:start w:val="1"/>
      <w:numFmt w:val="chineseCountingThousand"/>
      <w:pStyle w:val="14"/>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763060DB"/>
    <w:multiLevelType w:val="multilevel"/>
    <w:tmpl w:val="763060DB"/>
    <w:lvl w:ilvl="0" w:tentative="0">
      <w:start w:val="1"/>
      <w:numFmt w:val="japaneseCounting"/>
      <w:pStyle w:val="20"/>
      <w:lvlText w:val="第%1章"/>
      <w:lvlJc w:val="left"/>
      <w:pPr>
        <w:tabs>
          <w:tab w:val="left" w:pos="1275"/>
        </w:tabs>
        <w:ind w:left="127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pStyle w:val="6"/>
      <w:lvlText w:val="%4."/>
      <w:lvlJc w:val="left"/>
      <w:pPr>
        <w:tabs>
          <w:tab w:val="left" w:pos="1860"/>
        </w:tabs>
        <w:ind w:left="1860" w:hanging="420"/>
      </w:pPr>
    </w:lvl>
    <w:lvl w:ilvl="4" w:tentative="0">
      <w:start w:val="1"/>
      <w:numFmt w:val="lowerLetter"/>
      <w:pStyle w:val="7"/>
      <w:lvlText w:val="%5)"/>
      <w:lvlJc w:val="left"/>
      <w:pPr>
        <w:tabs>
          <w:tab w:val="left" w:pos="2280"/>
        </w:tabs>
        <w:ind w:left="2280" w:hanging="420"/>
      </w:pPr>
    </w:lvl>
    <w:lvl w:ilvl="5" w:tentative="0">
      <w:start w:val="1"/>
      <w:numFmt w:val="lowerRoman"/>
      <w:pStyle w:val="9"/>
      <w:lvlText w:val="%6."/>
      <w:lvlJc w:val="right"/>
      <w:pPr>
        <w:tabs>
          <w:tab w:val="left" w:pos="2700"/>
        </w:tabs>
        <w:ind w:left="2700" w:hanging="420"/>
      </w:pPr>
    </w:lvl>
    <w:lvl w:ilvl="6" w:tentative="0">
      <w:start w:val="1"/>
      <w:numFmt w:val="decimal"/>
      <w:pStyle w:val="10"/>
      <w:lvlText w:val="%7."/>
      <w:lvlJc w:val="left"/>
      <w:pPr>
        <w:tabs>
          <w:tab w:val="left" w:pos="3120"/>
        </w:tabs>
        <w:ind w:left="3120" w:hanging="420"/>
      </w:pPr>
    </w:lvl>
    <w:lvl w:ilvl="7" w:tentative="0">
      <w:start w:val="1"/>
      <w:numFmt w:val="lowerLetter"/>
      <w:pStyle w:val="11"/>
      <w:lvlText w:val="%8)"/>
      <w:lvlJc w:val="left"/>
      <w:pPr>
        <w:tabs>
          <w:tab w:val="left" w:pos="3540"/>
        </w:tabs>
        <w:ind w:left="3540" w:hanging="420"/>
      </w:pPr>
    </w:lvl>
    <w:lvl w:ilvl="8" w:tentative="0">
      <w:start w:val="1"/>
      <w:numFmt w:val="lowerRoman"/>
      <w:pStyle w:val="12"/>
      <w:lvlText w:val="%9."/>
      <w:lvlJc w:val="right"/>
      <w:pPr>
        <w:tabs>
          <w:tab w:val="left" w:pos="3960"/>
        </w:tabs>
        <w:ind w:left="39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652"/>
    <w:rsid w:val="000059EB"/>
    <w:rsid w:val="000113CA"/>
    <w:rsid w:val="0001237E"/>
    <w:rsid w:val="00013434"/>
    <w:rsid w:val="000165DD"/>
    <w:rsid w:val="0001792D"/>
    <w:rsid w:val="00021CE7"/>
    <w:rsid w:val="00022FA9"/>
    <w:rsid w:val="000242D8"/>
    <w:rsid w:val="00027A71"/>
    <w:rsid w:val="00031C0A"/>
    <w:rsid w:val="00041A0E"/>
    <w:rsid w:val="000427FB"/>
    <w:rsid w:val="0004695A"/>
    <w:rsid w:val="00047E7F"/>
    <w:rsid w:val="00050856"/>
    <w:rsid w:val="00050E74"/>
    <w:rsid w:val="000549A3"/>
    <w:rsid w:val="00055F86"/>
    <w:rsid w:val="00066EFB"/>
    <w:rsid w:val="0006700D"/>
    <w:rsid w:val="0007000B"/>
    <w:rsid w:val="000700DD"/>
    <w:rsid w:val="000709D5"/>
    <w:rsid w:val="0007154C"/>
    <w:rsid w:val="00071F62"/>
    <w:rsid w:val="00073B8A"/>
    <w:rsid w:val="00074B56"/>
    <w:rsid w:val="00075324"/>
    <w:rsid w:val="0007619F"/>
    <w:rsid w:val="000801A0"/>
    <w:rsid w:val="000869E9"/>
    <w:rsid w:val="00092D35"/>
    <w:rsid w:val="00094824"/>
    <w:rsid w:val="00096DAC"/>
    <w:rsid w:val="00097194"/>
    <w:rsid w:val="000A0973"/>
    <w:rsid w:val="000A5F17"/>
    <w:rsid w:val="000A6BCE"/>
    <w:rsid w:val="000A6DA0"/>
    <w:rsid w:val="000B09F0"/>
    <w:rsid w:val="000B162C"/>
    <w:rsid w:val="000B250A"/>
    <w:rsid w:val="000B3671"/>
    <w:rsid w:val="000B59DC"/>
    <w:rsid w:val="000B7E41"/>
    <w:rsid w:val="000C6583"/>
    <w:rsid w:val="000C6668"/>
    <w:rsid w:val="000D2CC6"/>
    <w:rsid w:val="000D57B7"/>
    <w:rsid w:val="000D57DF"/>
    <w:rsid w:val="000D7E1D"/>
    <w:rsid w:val="000E0974"/>
    <w:rsid w:val="000E0BCD"/>
    <w:rsid w:val="000E1B2E"/>
    <w:rsid w:val="000E399F"/>
    <w:rsid w:val="000E7972"/>
    <w:rsid w:val="000F7BFB"/>
    <w:rsid w:val="00102816"/>
    <w:rsid w:val="001031C8"/>
    <w:rsid w:val="00103C30"/>
    <w:rsid w:val="00103CFA"/>
    <w:rsid w:val="0010495D"/>
    <w:rsid w:val="00107B4F"/>
    <w:rsid w:val="001107F1"/>
    <w:rsid w:val="00114003"/>
    <w:rsid w:val="00114831"/>
    <w:rsid w:val="00124553"/>
    <w:rsid w:val="00124933"/>
    <w:rsid w:val="00125257"/>
    <w:rsid w:val="00125D81"/>
    <w:rsid w:val="001318C9"/>
    <w:rsid w:val="00133AA1"/>
    <w:rsid w:val="001349FB"/>
    <w:rsid w:val="00140521"/>
    <w:rsid w:val="00141722"/>
    <w:rsid w:val="00144B89"/>
    <w:rsid w:val="001459D1"/>
    <w:rsid w:val="001519D2"/>
    <w:rsid w:val="00157312"/>
    <w:rsid w:val="00157567"/>
    <w:rsid w:val="001579D3"/>
    <w:rsid w:val="00160046"/>
    <w:rsid w:val="00162B8B"/>
    <w:rsid w:val="00162F41"/>
    <w:rsid w:val="00163C72"/>
    <w:rsid w:val="00164350"/>
    <w:rsid w:val="00166DBD"/>
    <w:rsid w:val="00170383"/>
    <w:rsid w:val="00171177"/>
    <w:rsid w:val="00171641"/>
    <w:rsid w:val="00172A27"/>
    <w:rsid w:val="00180EF6"/>
    <w:rsid w:val="001853F4"/>
    <w:rsid w:val="0019301B"/>
    <w:rsid w:val="0019344A"/>
    <w:rsid w:val="001950CE"/>
    <w:rsid w:val="001A50F8"/>
    <w:rsid w:val="001A6B89"/>
    <w:rsid w:val="001B193F"/>
    <w:rsid w:val="001B32A0"/>
    <w:rsid w:val="001B39AC"/>
    <w:rsid w:val="001B48BE"/>
    <w:rsid w:val="001B6C8E"/>
    <w:rsid w:val="001C10C0"/>
    <w:rsid w:val="001C1E7F"/>
    <w:rsid w:val="001C361F"/>
    <w:rsid w:val="001C4289"/>
    <w:rsid w:val="001C4BB6"/>
    <w:rsid w:val="001C575D"/>
    <w:rsid w:val="001D4B1D"/>
    <w:rsid w:val="001D5990"/>
    <w:rsid w:val="001D66F2"/>
    <w:rsid w:val="001D79CB"/>
    <w:rsid w:val="001E340D"/>
    <w:rsid w:val="001E3B8C"/>
    <w:rsid w:val="001E3CE6"/>
    <w:rsid w:val="001E646A"/>
    <w:rsid w:val="001E65A3"/>
    <w:rsid w:val="001E6811"/>
    <w:rsid w:val="001E6BAA"/>
    <w:rsid w:val="001F0AD2"/>
    <w:rsid w:val="001F24AB"/>
    <w:rsid w:val="001F2FE8"/>
    <w:rsid w:val="001F66E2"/>
    <w:rsid w:val="00200737"/>
    <w:rsid w:val="00200D14"/>
    <w:rsid w:val="0020224D"/>
    <w:rsid w:val="00204AD0"/>
    <w:rsid w:val="00212275"/>
    <w:rsid w:val="00216C27"/>
    <w:rsid w:val="00217F51"/>
    <w:rsid w:val="002201C7"/>
    <w:rsid w:val="0022431A"/>
    <w:rsid w:val="00231DA7"/>
    <w:rsid w:val="002430DA"/>
    <w:rsid w:val="00244050"/>
    <w:rsid w:val="0024607D"/>
    <w:rsid w:val="00246342"/>
    <w:rsid w:val="00262472"/>
    <w:rsid w:val="00265C56"/>
    <w:rsid w:val="00265E8E"/>
    <w:rsid w:val="002700F1"/>
    <w:rsid w:val="00272E82"/>
    <w:rsid w:val="00275822"/>
    <w:rsid w:val="002761D7"/>
    <w:rsid w:val="0027641C"/>
    <w:rsid w:val="00284535"/>
    <w:rsid w:val="00285A05"/>
    <w:rsid w:val="00290B0A"/>
    <w:rsid w:val="00291E19"/>
    <w:rsid w:val="00295A8A"/>
    <w:rsid w:val="002963D3"/>
    <w:rsid w:val="002A037A"/>
    <w:rsid w:val="002A20F0"/>
    <w:rsid w:val="002A2921"/>
    <w:rsid w:val="002A40BD"/>
    <w:rsid w:val="002A59E1"/>
    <w:rsid w:val="002A69D5"/>
    <w:rsid w:val="002A7128"/>
    <w:rsid w:val="002B0D69"/>
    <w:rsid w:val="002B5ACD"/>
    <w:rsid w:val="002C038D"/>
    <w:rsid w:val="002C454C"/>
    <w:rsid w:val="002C7696"/>
    <w:rsid w:val="002C77A8"/>
    <w:rsid w:val="002D0F84"/>
    <w:rsid w:val="002D1917"/>
    <w:rsid w:val="002D306F"/>
    <w:rsid w:val="002D3A05"/>
    <w:rsid w:val="002D5053"/>
    <w:rsid w:val="002D5225"/>
    <w:rsid w:val="002D57EF"/>
    <w:rsid w:val="002D65E0"/>
    <w:rsid w:val="002D67B4"/>
    <w:rsid w:val="002E1448"/>
    <w:rsid w:val="002E4551"/>
    <w:rsid w:val="002E4958"/>
    <w:rsid w:val="002E662E"/>
    <w:rsid w:val="002F1867"/>
    <w:rsid w:val="002F61F9"/>
    <w:rsid w:val="00301543"/>
    <w:rsid w:val="00304B95"/>
    <w:rsid w:val="003070BD"/>
    <w:rsid w:val="00311035"/>
    <w:rsid w:val="00320F2F"/>
    <w:rsid w:val="00322074"/>
    <w:rsid w:val="00323827"/>
    <w:rsid w:val="003248A3"/>
    <w:rsid w:val="00326CF0"/>
    <w:rsid w:val="003278CB"/>
    <w:rsid w:val="00331FDC"/>
    <w:rsid w:val="00333FA6"/>
    <w:rsid w:val="00336522"/>
    <w:rsid w:val="003405C7"/>
    <w:rsid w:val="00345F77"/>
    <w:rsid w:val="00350EA5"/>
    <w:rsid w:val="00352601"/>
    <w:rsid w:val="00352640"/>
    <w:rsid w:val="00352E9E"/>
    <w:rsid w:val="00353E06"/>
    <w:rsid w:val="0035414E"/>
    <w:rsid w:val="00355200"/>
    <w:rsid w:val="00355860"/>
    <w:rsid w:val="00355917"/>
    <w:rsid w:val="003571F2"/>
    <w:rsid w:val="00360891"/>
    <w:rsid w:val="0036205A"/>
    <w:rsid w:val="003640DB"/>
    <w:rsid w:val="00365474"/>
    <w:rsid w:val="00367DE8"/>
    <w:rsid w:val="00367FDB"/>
    <w:rsid w:val="0037686C"/>
    <w:rsid w:val="00376D16"/>
    <w:rsid w:val="003831DF"/>
    <w:rsid w:val="0038728A"/>
    <w:rsid w:val="00390123"/>
    <w:rsid w:val="00391FCD"/>
    <w:rsid w:val="003935FB"/>
    <w:rsid w:val="0039429C"/>
    <w:rsid w:val="003977B2"/>
    <w:rsid w:val="00397B80"/>
    <w:rsid w:val="003A0A98"/>
    <w:rsid w:val="003A4523"/>
    <w:rsid w:val="003A5DB1"/>
    <w:rsid w:val="003A6516"/>
    <w:rsid w:val="003A68A5"/>
    <w:rsid w:val="003B0E7F"/>
    <w:rsid w:val="003B3A38"/>
    <w:rsid w:val="003B47C8"/>
    <w:rsid w:val="003B586C"/>
    <w:rsid w:val="003B6160"/>
    <w:rsid w:val="003C1F7D"/>
    <w:rsid w:val="003C4424"/>
    <w:rsid w:val="003C64FC"/>
    <w:rsid w:val="003D220E"/>
    <w:rsid w:val="003D2260"/>
    <w:rsid w:val="003D2DBF"/>
    <w:rsid w:val="003D3739"/>
    <w:rsid w:val="003D4961"/>
    <w:rsid w:val="003D5A40"/>
    <w:rsid w:val="003E2A9B"/>
    <w:rsid w:val="003E4922"/>
    <w:rsid w:val="003E5D77"/>
    <w:rsid w:val="003E7B87"/>
    <w:rsid w:val="003F1F34"/>
    <w:rsid w:val="003F330E"/>
    <w:rsid w:val="003F374D"/>
    <w:rsid w:val="003F4145"/>
    <w:rsid w:val="00400769"/>
    <w:rsid w:val="00401740"/>
    <w:rsid w:val="00402B41"/>
    <w:rsid w:val="004033E9"/>
    <w:rsid w:val="00410069"/>
    <w:rsid w:val="0041087B"/>
    <w:rsid w:val="004130CE"/>
    <w:rsid w:val="0041410D"/>
    <w:rsid w:val="00424DC7"/>
    <w:rsid w:val="0042667A"/>
    <w:rsid w:val="004277CA"/>
    <w:rsid w:val="00431BC1"/>
    <w:rsid w:val="00435A37"/>
    <w:rsid w:val="00441A20"/>
    <w:rsid w:val="004448AD"/>
    <w:rsid w:val="00451F6B"/>
    <w:rsid w:val="00455495"/>
    <w:rsid w:val="00455604"/>
    <w:rsid w:val="00455D3B"/>
    <w:rsid w:val="0046017C"/>
    <w:rsid w:val="004603D9"/>
    <w:rsid w:val="00460DE4"/>
    <w:rsid w:val="00463D9C"/>
    <w:rsid w:val="00466001"/>
    <w:rsid w:val="00471B85"/>
    <w:rsid w:val="00471C7B"/>
    <w:rsid w:val="00473356"/>
    <w:rsid w:val="00473892"/>
    <w:rsid w:val="00474902"/>
    <w:rsid w:val="00475540"/>
    <w:rsid w:val="00476455"/>
    <w:rsid w:val="00483AA0"/>
    <w:rsid w:val="00484312"/>
    <w:rsid w:val="004866C0"/>
    <w:rsid w:val="00490574"/>
    <w:rsid w:val="004908AF"/>
    <w:rsid w:val="00490CD6"/>
    <w:rsid w:val="00496030"/>
    <w:rsid w:val="00497F19"/>
    <w:rsid w:val="004A0387"/>
    <w:rsid w:val="004A1868"/>
    <w:rsid w:val="004A2B06"/>
    <w:rsid w:val="004A474F"/>
    <w:rsid w:val="004A4C07"/>
    <w:rsid w:val="004A5133"/>
    <w:rsid w:val="004A72BA"/>
    <w:rsid w:val="004A7620"/>
    <w:rsid w:val="004B06DE"/>
    <w:rsid w:val="004B141E"/>
    <w:rsid w:val="004C0902"/>
    <w:rsid w:val="004C3B18"/>
    <w:rsid w:val="004C3BD4"/>
    <w:rsid w:val="004C6290"/>
    <w:rsid w:val="004D24C0"/>
    <w:rsid w:val="004D2C16"/>
    <w:rsid w:val="004D3E85"/>
    <w:rsid w:val="004D5B49"/>
    <w:rsid w:val="004D789C"/>
    <w:rsid w:val="004E0952"/>
    <w:rsid w:val="004E0DE8"/>
    <w:rsid w:val="004E4783"/>
    <w:rsid w:val="004F58C6"/>
    <w:rsid w:val="0050052B"/>
    <w:rsid w:val="00504B89"/>
    <w:rsid w:val="005058D6"/>
    <w:rsid w:val="005064F9"/>
    <w:rsid w:val="00513ED9"/>
    <w:rsid w:val="00514567"/>
    <w:rsid w:val="00516360"/>
    <w:rsid w:val="005178A4"/>
    <w:rsid w:val="00520748"/>
    <w:rsid w:val="00522C85"/>
    <w:rsid w:val="0052480E"/>
    <w:rsid w:val="0053246E"/>
    <w:rsid w:val="00532851"/>
    <w:rsid w:val="0053383A"/>
    <w:rsid w:val="0053387D"/>
    <w:rsid w:val="0053771A"/>
    <w:rsid w:val="00550B46"/>
    <w:rsid w:val="0055151F"/>
    <w:rsid w:val="00551B09"/>
    <w:rsid w:val="00552851"/>
    <w:rsid w:val="005529C8"/>
    <w:rsid w:val="00554847"/>
    <w:rsid w:val="005560C8"/>
    <w:rsid w:val="00564907"/>
    <w:rsid w:val="0057007E"/>
    <w:rsid w:val="00572154"/>
    <w:rsid w:val="005821EA"/>
    <w:rsid w:val="005822C2"/>
    <w:rsid w:val="00584116"/>
    <w:rsid w:val="00585D0B"/>
    <w:rsid w:val="005945D3"/>
    <w:rsid w:val="0059552E"/>
    <w:rsid w:val="00595E90"/>
    <w:rsid w:val="005A1E1D"/>
    <w:rsid w:val="005A6976"/>
    <w:rsid w:val="005A7F42"/>
    <w:rsid w:val="005B1383"/>
    <w:rsid w:val="005B49D0"/>
    <w:rsid w:val="005B537F"/>
    <w:rsid w:val="005B5789"/>
    <w:rsid w:val="005B6AB0"/>
    <w:rsid w:val="005C22ED"/>
    <w:rsid w:val="005C4F69"/>
    <w:rsid w:val="005C54AF"/>
    <w:rsid w:val="005D3CD0"/>
    <w:rsid w:val="005D3D37"/>
    <w:rsid w:val="005D5983"/>
    <w:rsid w:val="005E1289"/>
    <w:rsid w:val="005E2AEF"/>
    <w:rsid w:val="005E4555"/>
    <w:rsid w:val="005E7F28"/>
    <w:rsid w:val="005F12B7"/>
    <w:rsid w:val="005F5FB1"/>
    <w:rsid w:val="00601131"/>
    <w:rsid w:val="00601824"/>
    <w:rsid w:val="006024D4"/>
    <w:rsid w:val="00602C0B"/>
    <w:rsid w:val="0060547D"/>
    <w:rsid w:val="006119E8"/>
    <w:rsid w:val="00613CF5"/>
    <w:rsid w:val="00615E96"/>
    <w:rsid w:val="006172B4"/>
    <w:rsid w:val="00620987"/>
    <w:rsid w:val="00630AEA"/>
    <w:rsid w:val="00631CB9"/>
    <w:rsid w:val="00636BD8"/>
    <w:rsid w:val="00637ADB"/>
    <w:rsid w:val="006513CE"/>
    <w:rsid w:val="0065318F"/>
    <w:rsid w:val="00654ADD"/>
    <w:rsid w:val="00657194"/>
    <w:rsid w:val="00657F54"/>
    <w:rsid w:val="00663D89"/>
    <w:rsid w:val="006659BF"/>
    <w:rsid w:val="00665DCB"/>
    <w:rsid w:val="0066643B"/>
    <w:rsid w:val="00675D8A"/>
    <w:rsid w:val="00676893"/>
    <w:rsid w:val="00680869"/>
    <w:rsid w:val="00687A26"/>
    <w:rsid w:val="00694A00"/>
    <w:rsid w:val="00696D07"/>
    <w:rsid w:val="006A11DD"/>
    <w:rsid w:val="006A6403"/>
    <w:rsid w:val="006A6713"/>
    <w:rsid w:val="006A78B7"/>
    <w:rsid w:val="006A7CB2"/>
    <w:rsid w:val="006B10FB"/>
    <w:rsid w:val="006B35AC"/>
    <w:rsid w:val="006B4E41"/>
    <w:rsid w:val="006B6A3D"/>
    <w:rsid w:val="006B7957"/>
    <w:rsid w:val="006C5D06"/>
    <w:rsid w:val="006C7CE9"/>
    <w:rsid w:val="006D1CE4"/>
    <w:rsid w:val="006D4CA4"/>
    <w:rsid w:val="006D64CF"/>
    <w:rsid w:val="006D76B4"/>
    <w:rsid w:val="006E16BA"/>
    <w:rsid w:val="006E27C5"/>
    <w:rsid w:val="006E37E2"/>
    <w:rsid w:val="006E54C5"/>
    <w:rsid w:val="006E57C1"/>
    <w:rsid w:val="006E5816"/>
    <w:rsid w:val="006E5B47"/>
    <w:rsid w:val="006E6487"/>
    <w:rsid w:val="006E6B75"/>
    <w:rsid w:val="006F2415"/>
    <w:rsid w:val="006F6039"/>
    <w:rsid w:val="006F63A9"/>
    <w:rsid w:val="00703304"/>
    <w:rsid w:val="00703B65"/>
    <w:rsid w:val="007060EB"/>
    <w:rsid w:val="007063A2"/>
    <w:rsid w:val="00721E06"/>
    <w:rsid w:val="00722098"/>
    <w:rsid w:val="0072290B"/>
    <w:rsid w:val="00732A91"/>
    <w:rsid w:val="00735936"/>
    <w:rsid w:val="00737663"/>
    <w:rsid w:val="007376DD"/>
    <w:rsid w:val="00737942"/>
    <w:rsid w:val="00737A7A"/>
    <w:rsid w:val="007445A1"/>
    <w:rsid w:val="00746254"/>
    <w:rsid w:val="0074671D"/>
    <w:rsid w:val="007509DE"/>
    <w:rsid w:val="00752A44"/>
    <w:rsid w:val="00753BD4"/>
    <w:rsid w:val="007550F5"/>
    <w:rsid w:val="00755FCA"/>
    <w:rsid w:val="00756B36"/>
    <w:rsid w:val="00760364"/>
    <w:rsid w:val="00760983"/>
    <w:rsid w:val="00767932"/>
    <w:rsid w:val="00771F5D"/>
    <w:rsid w:val="00774EA6"/>
    <w:rsid w:val="00777CAC"/>
    <w:rsid w:val="00780555"/>
    <w:rsid w:val="007810FD"/>
    <w:rsid w:val="00785496"/>
    <w:rsid w:val="00786B0D"/>
    <w:rsid w:val="00793BA8"/>
    <w:rsid w:val="00794BAD"/>
    <w:rsid w:val="00794EB8"/>
    <w:rsid w:val="00795944"/>
    <w:rsid w:val="0079719E"/>
    <w:rsid w:val="007972D5"/>
    <w:rsid w:val="007A0175"/>
    <w:rsid w:val="007A01F5"/>
    <w:rsid w:val="007A4C17"/>
    <w:rsid w:val="007B3B83"/>
    <w:rsid w:val="007B3CF0"/>
    <w:rsid w:val="007B3E6D"/>
    <w:rsid w:val="007B7605"/>
    <w:rsid w:val="007C4BA1"/>
    <w:rsid w:val="007C618D"/>
    <w:rsid w:val="007C69C6"/>
    <w:rsid w:val="007C76D6"/>
    <w:rsid w:val="007D4971"/>
    <w:rsid w:val="007D4C08"/>
    <w:rsid w:val="007D590D"/>
    <w:rsid w:val="007D6819"/>
    <w:rsid w:val="007D6F8A"/>
    <w:rsid w:val="007D7842"/>
    <w:rsid w:val="007E0EE7"/>
    <w:rsid w:val="007E6255"/>
    <w:rsid w:val="007F1AA9"/>
    <w:rsid w:val="007F2FAC"/>
    <w:rsid w:val="007F445F"/>
    <w:rsid w:val="007F6E86"/>
    <w:rsid w:val="007F7D57"/>
    <w:rsid w:val="008021AF"/>
    <w:rsid w:val="00806ED8"/>
    <w:rsid w:val="00807368"/>
    <w:rsid w:val="00810B81"/>
    <w:rsid w:val="008116BE"/>
    <w:rsid w:val="00814908"/>
    <w:rsid w:val="00821656"/>
    <w:rsid w:val="00824735"/>
    <w:rsid w:val="0082670E"/>
    <w:rsid w:val="0082773C"/>
    <w:rsid w:val="00836196"/>
    <w:rsid w:val="00836996"/>
    <w:rsid w:val="00840B29"/>
    <w:rsid w:val="00841F6B"/>
    <w:rsid w:val="00843734"/>
    <w:rsid w:val="00845326"/>
    <w:rsid w:val="0085139C"/>
    <w:rsid w:val="00851A56"/>
    <w:rsid w:val="00854FCA"/>
    <w:rsid w:val="00855823"/>
    <w:rsid w:val="00863520"/>
    <w:rsid w:val="00865C3A"/>
    <w:rsid w:val="00866827"/>
    <w:rsid w:val="00867F5C"/>
    <w:rsid w:val="008702E4"/>
    <w:rsid w:val="0087115F"/>
    <w:rsid w:val="00872CB9"/>
    <w:rsid w:val="00875081"/>
    <w:rsid w:val="008751C9"/>
    <w:rsid w:val="00876932"/>
    <w:rsid w:val="008801B7"/>
    <w:rsid w:val="00880E55"/>
    <w:rsid w:val="0088204E"/>
    <w:rsid w:val="008837BD"/>
    <w:rsid w:val="00884D86"/>
    <w:rsid w:val="00886A15"/>
    <w:rsid w:val="00887353"/>
    <w:rsid w:val="00893E33"/>
    <w:rsid w:val="0089656B"/>
    <w:rsid w:val="00897F67"/>
    <w:rsid w:val="008A28AC"/>
    <w:rsid w:val="008A4533"/>
    <w:rsid w:val="008A7A42"/>
    <w:rsid w:val="008B05C3"/>
    <w:rsid w:val="008B456E"/>
    <w:rsid w:val="008B5543"/>
    <w:rsid w:val="008B69CD"/>
    <w:rsid w:val="008C2096"/>
    <w:rsid w:val="008C2FBC"/>
    <w:rsid w:val="008C3B7A"/>
    <w:rsid w:val="008C565A"/>
    <w:rsid w:val="008C5DA7"/>
    <w:rsid w:val="008C60E7"/>
    <w:rsid w:val="008C70F7"/>
    <w:rsid w:val="008C710F"/>
    <w:rsid w:val="008D1F5A"/>
    <w:rsid w:val="008D474B"/>
    <w:rsid w:val="008D71D9"/>
    <w:rsid w:val="008D7671"/>
    <w:rsid w:val="008E011F"/>
    <w:rsid w:val="008E05AF"/>
    <w:rsid w:val="008E1B68"/>
    <w:rsid w:val="008E6367"/>
    <w:rsid w:val="008E6943"/>
    <w:rsid w:val="008F04C8"/>
    <w:rsid w:val="008F35E5"/>
    <w:rsid w:val="008F6CEF"/>
    <w:rsid w:val="00900993"/>
    <w:rsid w:val="00907FFE"/>
    <w:rsid w:val="00910C7F"/>
    <w:rsid w:val="00911346"/>
    <w:rsid w:val="0091231B"/>
    <w:rsid w:val="009208CC"/>
    <w:rsid w:val="0092134D"/>
    <w:rsid w:val="0092135A"/>
    <w:rsid w:val="0092451F"/>
    <w:rsid w:val="00924C76"/>
    <w:rsid w:val="0092606C"/>
    <w:rsid w:val="00927953"/>
    <w:rsid w:val="00930B31"/>
    <w:rsid w:val="009313F1"/>
    <w:rsid w:val="00931684"/>
    <w:rsid w:val="0093284A"/>
    <w:rsid w:val="00943339"/>
    <w:rsid w:val="009458FF"/>
    <w:rsid w:val="00945DC4"/>
    <w:rsid w:val="00946D77"/>
    <w:rsid w:val="00947F36"/>
    <w:rsid w:val="00952E46"/>
    <w:rsid w:val="00964978"/>
    <w:rsid w:val="00964EEA"/>
    <w:rsid w:val="00965259"/>
    <w:rsid w:val="00967803"/>
    <w:rsid w:val="00971DC5"/>
    <w:rsid w:val="00972B79"/>
    <w:rsid w:val="00975737"/>
    <w:rsid w:val="00975F3C"/>
    <w:rsid w:val="009808B4"/>
    <w:rsid w:val="00992ECB"/>
    <w:rsid w:val="00996085"/>
    <w:rsid w:val="00996ABA"/>
    <w:rsid w:val="009A049E"/>
    <w:rsid w:val="009A1307"/>
    <w:rsid w:val="009A2A20"/>
    <w:rsid w:val="009A50CA"/>
    <w:rsid w:val="009A529C"/>
    <w:rsid w:val="009A6285"/>
    <w:rsid w:val="009A695C"/>
    <w:rsid w:val="009A7833"/>
    <w:rsid w:val="009B0E85"/>
    <w:rsid w:val="009B3EE8"/>
    <w:rsid w:val="009B6EE1"/>
    <w:rsid w:val="009C09D8"/>
    <w:rsid w:val="009C3C7C"/>
    <w:rsid w:val="009C43D8"/>
    <w:rsid w:val="009C4EF5"/>
    <w:rsid w:val="009D4E4A"/>
    <w:rsid w:val="009D50C7"/>
    <w:rsid w:val="009E1BD3"/>
    <w:rsid w:val="009E43B7"/>
    <w:rsid w:val="009F1269"/>
    <w:rsid w:val="009F45DF"/>
    <w:rsid w:val="009F5E88"/>
    <w:rsid w:val="00A00A50"/>
    <w:rsid w:val="00A01908"/>
    <w:rsid w:val="00A02390"/>
    <w:rsid w:val="00A07056"/>
    <w:rsid w:val="00A07A91"/>
    <w:rsid w:val="00A07F5B"/>
    <w:rsid w:val="00A13458"/>
    <w:rsid w:val="00A136BE"/>
    <w:rsid w:val="00A15C43"/>
    <w:rsid w:val="00A16814"/>
    <w:rsid w:val="00A16C6B"/>
    <w:rsid w:val="00A22B8F"/>
    <w:rsid w:val="00A300F3"/>
    <w:rsid w:val="00A30B5F"/>
    <w:rsid w:val="00A327B9"/>
    <w:rsid w:val="00A3304F"/>
    <w:rsid w:val="00A35A12"/>
    <w:rsid w:val="00A42B35"/>
    <w:rsid w:val="00A46124"/>
    <w:rsid w:val="00A47B95"/>
    <w:rsid w:val="00A52EE1"/>
    <w:rsid w:val="00A565C7"/>
    <w:rsid w:val="00A56A7C"/>
    <w:rsid w:val="00A57B9F"/>
    <w:rsid w:val="00A6180E"/>
    <w:rsid w:val="00A66818"/>
    <w:rsid w:val="00A716B4"/>
    <w:rsid w:val="00A80BBA"/>
    <w:rsid w:val="00A81268"/>
    <w:rsid w:val="00A83143"/>
    <w:rsid w:val="00A90239"/>
    <w:rsid w:val="00A91FEC"/>
    <w:rsid w:val="00A93555"/>
    <w:rsid w:val="00A94F80"/>
    <w:rsid w:val="00AA1591"/>
    <w:rsid w:val="00AA1F18"/>
    <w:rsid w:val="00AA254B"/>
    <w:rsid w:val="00AA260B"/>
    <w:rsid w:val="00AB1553"/>
    <w:rsid w:val="00AC3478"/>
    <w:rsid w:val="00AC778D"/>
    <w:rsid w:val="00AD1D79"/>
    <w:rsid w:val="00AD3475"/>
    <w:rsid w:val="00AE0028"/>
    <w:rsid w:val="00AE1E9F"/>
    <w:rsid w:val="00AE4514"/>
    <w:rsid w:val="00AE6859"/>
    <w:rsid w:val="00AF2FAF"/>
    <w:rsid w:val="00AF3A89"/>
    <w:rsid w:val="00AF50C5"/>
    <w:rsid w:val="00AF6655"/>
    <w:rsid w:val="00AF68D7"/>
    <w:rsid w:val="00AF7041"/>
    <w:rsid w:val="00AF7F90"/>
    <w:rsid w:val="00B063EB"/>
    <w:rsid w:val="00B06ECB"/>
    <w:rsid w:val="00B1655F"/>
    <w:rsid w:val="00B16951"/>
    <w:rsid w:val="00B21F35"/>
    <w:rsid w:val="00B222E9"/>
    <w:rsid w:val="00B2370F"/>
    <w:rsid w:val="00B25407"/>
    <w:rsid w:val="00B32336"/>
    <w:rsid w:val="00B37953"/>
    <w:rsid w:val="00B401EC"/>
    <w:rsid w:val="00B41125"/>
    <w:rsid w:val="00B43A0A"/>
    <w:rsid w:val="00B43EEB"/>
    <w:rsid w:val="00B46D3B"/>
    <w:rsid w:val="00B50063"/>
    <w:rsid w:val="00B54A0D"/>
    <w:rsid w:val="00B54F29"/>
    <w:rsid w:val="00B60B2E"/>
    <w:rsid w:val="00B60E99"/>
    <w:rsid w:val="00B61961"/>
    <w:rsid w:val="00B61DD7"/>
    <w:rsid w:val="00B62AF3"/>
    <w:rsid w:val="00B70256"/>
    <w:rsid w:val="00B712C8"/>
    <w:rsid w:val="00B74A8F"/>
    <w:rsid w:val="00B80FC7"/>
    <w:rsid w:val="00B82A84"/>
    <w:rsid w:val="00B85BEB"/>
    <w:rsid w:val="00B9038D"/>
    <w:rsid w:val="00B9223D"/>
    <w:rsid w:val="00B941FA"/>
    <w:rsid w:val="00B946CF"/>
    <w:rsid w:val="00B95851"/>
    <w:rsid w:val="00BA5BE8"/>
    <w:rsid w:val="00BA6729"/>
    <w:rsid w:val="00BB2656"/>
    <w:rsid w:val="00BC14B1"/>
    <w:rsid w:val="00BC15A9"/>
    <w:rsid w:val="00BC1BA6"/>
    <w:rsid w:val="00BC351E"/>
    <w:rsid w:val="00BC4AAD"/>
    <w:rsid w:val="00BC6B8E"/>
    <w:rsid w:val="00BD41D4"/>
    <w:rsid w:val="00BD7A74"/>
    <w:rsid w:val="00BE1240"/>
    <w:rsid w:val="00BE1999"/>
    <w:rsid w:val="00BE1C41"/>
    <w:rsid w:val="00BE5E82"/>
    <w:rsid w:val="00BF4AE6"/>
    <w:rsid w:val="00BF5501"/>
    <w:rsid w:val="00C02258"/>
    <w:rsid w:val="00C02595"/>
    <w:rsid w:val="00C031F4"/>
    <w:rsid w:val="00C04505"/>
    <w:rsid w:val="00C13FCC"/>
    <w:rsid w:val="00C163DC"/>
    <w:rsid w:val="00C16F12"/>
    <w:rsid w:val="00C17D2C"/>
    <w:rsid w:val="00C22D9F"/>
    <w:rsid w:val="00C247A0"/>
    <w:rsid w:val="00C33B23"/>
    <w:rsid w:val="00C34CD9"/>
    <w:rsid w:val="00C36C94"/>
    <w:rsid w:val="00C45574"/>
    <w:rsid w:val="00C51E5A"/>
    <w:rsid w:val="00C530B7"/>
    <w:rsid w:val="00C55C48"/>
    <w:rsid w:val="00C57479"/>
    <w:rsid w:val="00C6205D"/>
    <w:rsid w:val="00C6242F"/>
    <w:rsid w:val="00C62CDC"/>
    <w:rsid w:val="00C64B88"/>
    <w:rsid w:val="00C66EF0"/>
    <w:rsid w:val="00C676FE"/>
    <w:rsid w:val="00C67B07"/>
    <w:rsid w:val="00C70D5C"/>
    <w:rsid w:val="00C826E9"/>
    <w:rsid w:val="00C8290A"/>
    <w:rsid w:val="00C91489"/>
    <w:rsid w:val="00C92D9B"/>
    <w:rsid w:val="00C934F8"/>
    <w:rsid w:val="00C96F3D"/>
    <w:rsid w:val="00CA47AB"/>
    <w:rsid w:val="00CA61F1"/>
    <w:rsid w:val="00CB3F5E"/>
    <w:rsid w:val="00CB44C4"/>
    <w:rsid w:val="00CB67C3"/>
    <w:rsid w:val="00CC111B"/>
    <w:rsid w:val="00CC265E"/>
    <w:rsid w:val="00CC59EA"/>
    <w:rsid w:val="00CD1309"/>
    <w:rsid w:val="00CD3D07"/>
    <w:rsid w:val="00CD58F3"/>
    <w:rsid w:val="00CE038B"/>
    <w:rsid w:val="00CE0A38"/>
    <w:rsid w:val="00CE1F80"/>
    <w:rsid w:val="00CE28BA"/>
    <w:rsid w:val="00CE2BF9"/>
    <w:rsid w:val="00CE5942"/>
    <w:rsid w:val="00CE6B24"/>
    <w:rsid w:val="00CF250C"/>
    <w:rsid w:val="00CF25DF"/>
    <w:rsid w:val="00CF2978"/>
    <w:rsid w:val="00CF6357"/>
    <w:rsid w:val="00CF6D45"/>
    <w:rsid w:val="00D02768"/>
    <w:rsid w:val="00D135E3"/>
    <w:rsid w:val="00D13846"/>
    <w:rsid w:val="00D14D65"/>
    <w:rsid w:val="00D3216B"/>
    <w:rsid w:val="00D32AD9"/>
    <w:rsid w:val="00D3603C"/>
    <w:rsid w:val="00D37DF9"/>
    <w:rsid w:val="00D37F65"/>
    <w:rsid w:val="00D4102C"/>
    <w:rsid w:val="00D43A31"/>
    <w:rsid w:val="00D4668F"/>
    <w:rsid w:val="00D51D54"/>
    <w:rsid w:val="00D56DDA"/>
    <w:rsid w:val="00D57AA9"/>
    <w:rsid w:val="00D60D16"/>
    <w:rsid w:val="00D61AF7"/>
    <w:rsid w:val="00D7125F"/>
    <w:rsid w:val="00D714B3"/>
    <w:rsid w:val="00D768E7"/>
    <w:rsid w:val="00D80767"/>
    <w:rsid w:val="00D8091D"/>
    <w:rsid w:val="00D81A70"/>
    <w:rsid w:val="00D85234"/>
    <w:rsid w:val="00D87D54"/>
    <w:rsid w:val="00D91153"/>
    <w:rsid w:val="00DA02C6"/>
    <w:rsid w:val="00DA0708"/>
    <w:rsid w:val="00DA4ACB"/>
    <w:rsid w:val="00DB2A68"/>
    <w:rsid w:val="00DB6A2E"/>
    <w:rsid w:val="00DC27BE"/>
    <w:rsid w:val="00DC3582"/>
    <w:rsid w:val="00DC39DD"/>
    <w:rsid w:val="00DC506E"/>
    <w:rsid w:val="00DC5397"/>
    <w:rsid w:val="00DC6679"/>
    <w:rsid w:val="00DC6855"/>
    <w:rsid w:val="00DC6B8F"/>
    <w:rsid w:val="00DC794C"/>
    <w:rsid w:val="00DD0E16"/>
    <w:rsid w:val="00DD21D2"/>
    <w:rsid w:val="00DD246C"/>
    <w:rsid w:val="00DE077E"/>
    <w:rsid w:val="00DE23D1"/>
    <w:rsid w:val="00DE2CF2"/>
    <w:rsid w:val="00DE5079"/>
    <w:rsid w:val="00DE7D68"/>
    <w:rsid w:val="00DF03F7"/>
    <w:rsid w:val="00DF19DA"/>
    <w:rsid w:val="00DF1A1A"/>
    <w:rsid w:val="00DF2735"/>
    <w:rsid w:val="00DF30ED"/>
    <w:rsid w:val="00DF4106"/>
    <w:rsid w:val="00E00802"/>
    <w:rsid w:val="00E03129"/>
    <w:rsid w:val="00E03146"/>
    <w:rsid w:val="00E05CAD"/>
    <w:rsid w:val="00E1468D"/>
    <w:rsid w:val="00E15048"/>
    <w:rsid w:val="00E151B9"/>
    <w:rsid w:val="00E20F8E"/>
    <w:rsid w:val="00E21275"/>
    <w:rsid w:val="00E252FD"/>
    <w:rsid w:val="00E25945"/>
    <w:rsid w:val="00E27932"/>
    <w:rsid w:val="00E30752"/>
    <w:rsid w:val="00E30F76"/>
    <w:rsid w:val="00E31C19"/>
    <w:rsid w:val="00E31D9D"/>
    <w:rsid w:val="00E336EC"/>
    <w:rsid w:val="00E34E17"/>
    <w:rsid w:val="00E40C16"/>
    <w:rsid w:val="00E41D94"/>
    <w:rsid w:val="00E5101A"/>
    <w:rsid w:val="00E51F9B"/>
    <w:rsid w:val="00E53802"/>
    <w:rsid w:val="00E56C10"/>
    <w:rsid w:val="00E613E3"/>
    <w:rsid w:val="00E62FAC"/>
    <w:rsid w:val="00E649ED"/>
    <w:rsid w:val="00E64D90"/>
    <w:rsid w:val="00E71657"/>
    <w:rsid w:val="00E721E0"/>
    <w:rsid w:val="00E73357"/>
    <w:rsid w:val="00E82709"/>
    <w:rsid w:val="00E85322"/>
    <w:rsid w:val="00E90A16"/>
    <w:rsid w:val="00E9202D"/>
    <w:rsid w:val="00E940EE"/>
    <w:rsid w:val="00E9495F"/>
    <w:rsid w:val="00E95825"/>
    <w:rsid w:val="00E97D41"/>
    <w:rsid w:val="00EA342E"/>
    <w:rsid w:val="00EA3B57"/>
    <w:rsid w:val="00EB16D7"/>
    <w:rsid w:val="00EB2FBE"/>
    <w:rsid w:val="00EB55BD"/>
    <w:rsid w:val="00EC61EF"/>
    <w:rsid w:val="00EE61D4"/>
    <w:rsid w:val="00EF5169"/>
    <w:rsid w:val="00EF5B42"/>
    <w:rsid w:val="00F04890"/>
    <w:rsid w:val="00F048CF"/>
    <w:rsid w:val="00F04B2C"/>
    <w:rsid w:val="00F06560"/>
    <w:rsid w:val="00F07AFF"/>
    <w:rsid w:val="00F108F0"/>
    <w:rsid w:val="00F14F78"/>
    <w:rsid w:val="00F1511F"/>
    <w:rsid w:val="00F231AA"/>
    <w:rsid w:val="00F235A9"/>
    <w:rsid w:val="00F41ADC"/>
    <w:rsid w:val="00F45C80"/>
    <w:rsid w:val="00F52424"/>
    <w:rsid w:val="00F52873"/>
    <w:rsid w:val="00F52CDC"/>
    <w:rsid w:val="00F5415F"/>
    <w:rsid w:val="00F61C3E"/>
    <w:rsid w:val="00F6326D"/>
    <w:rsid w:val="00F70A5A"/>
    <w:rsid w:val="00F73D33"/>
    <w:rsid w:val="00F746FE"/>
    <w:rsid w:val="00F751DA"/>
    <w:rsid w:val="00F812E3"/>
    <w:rsid w:val="00F82C62"/>
    <w:rsid w:val="00F82EF7"/>
    <w:rsid w:val="00F83775"/>
    <w:rsid w:val="00F841A9"/>
    <w:rsid w:val="00F941C3"/>
    <w:rsid w:val="00F95849"/>
    <w:rsid w:val="00F9754D"/>
    <w:rsid w:val="00FA11C8"/>
    <w:rsid w:val="00FA3B4B"/>
    <w:rsid w:val="00FA52A9"/>
    <w:rsid w:val="00FA7567"/>
    <w:rsid w:val="00FB4D00"/>
    <w:rsid w:val="00FC0600"/>
    <w:rsid w:val="00FC22FA"/>
    <w:rsid w:val="00FC2625"/>
    <w:rsid w:val="00FC36BA"/>
    <w:rsid w:val="00FC7078"/>
    <w:rsid w:val="00FD291D"/>
    <w:rsid w:val="00FD3E43"/>
    <w:rsid w:val="00FE3B4F"/>
    <w:rsid w:val="00FE40E1"/>
    <w:rsid w:val="00FE47EC"/>
    <w:rsid w:val="00FE4973"/>
    <w:rsid w:val="00FE797C"/>
    <w:rsid w:val="00FF7B93"/>
    <w:rsid w:val="024607E1"/>
    <w:rsid w:val="027D0CB2"/>
    <w:rsid w:val="036650F9"/>
    <w:rsid w:val="037F6DDD"/>
    <w:rsid w:val="03C165D0"/>
    <w:rsid w:val="054A2C14"/>
    <w:rsid w:val="057674AD"/>
    <w:rsid w:val="05A71801"/>
    <w:rsid w:val="06051B0F"/>
    <w:rsid w:val="06501FDF"/>
    <w:rsid w:val="06570BA4"/>
    <w:rsid w:val="074436D7"/>
    <w:rsid w:val="07F22EF6"/>
    <w:rsid w:val="080510D5"/>
    <w:rsid w:val="0998680C"/>
    <w:rsid w:val="099B2DA1"/>
    <w:rsid w:val="0AA37C8E"/>
    <w:rsid w:val="0B1F4144"/>
    <w:rsid w:val="0B4D7C2B"/>
    <w:rsid w:val="0BBB2913"/>
    <w:rsid w:val="0BDF274C"/>
    <w:rsid w:val="0BF56D61"/>
    <w:rsid w:val="0C1969E9"/>
    <w:rsid w:val="0C433D3A"/>
    <w:rsid w:val="0CE12BAF"/>
    <w:rsid w:val="0D183D55"/>
    <w:rsid w:val="0D645572"/>
    <w:rsid w:val="0EDD6120"/>
    <w:rsid w:val="0F2E719B"/>
    <w:rsid w:val="0F6538C1"/>
    <w:rsid w:val="0F971144"/>
    <w:rsid w:val="0FED3846"/>
    <w:rsid w:val="0FF03420"/>
    <w:rsid w:val="10410FB7"/>
    <w:rsid w:val="10B62232"/>
    <w:rsid w:val="116E49AA"/>
    <w:rsid w:val="12930507"/>
    <w:rsid w:val="12DD0DAC"/>
    <w:rsid w:val="13421FD0"/>
    <w:rsid w:val="136F021D"/>
    <w:rsid w:val="146A4FBE"/>
    <w:rsid w:val="14AD0B54"/>
    <w:rsid w:val="158865DF"/>
    <w:rsid w:val="15B908C4"/>
    <w:rsid w:val="168535CA"/>
    <w:rsid w:val="17027163"/>
    <w:rsid w:val="17D45E63"/>
    <w:rsid w:val="18C25E65"/>
    <w:rsid w:val="19F35190"/>
    <w:rsid w:val="1A6038F7"/>
    <w:rsid w:val="1AB746E3"/>
    <w:rsid w:val="1B496E1C"/>
    <w:rsid w:val="1B913FD9"/>
    <w:rsid w:val="1C20523B"/>
    <w:rsid w:val="1C9758CA"/>
    <w:rsid w:val="1D1A4AB3"/>
    <w:rsid w:val="1D783144"/>
    <w:rsid w:val="1F4F56A9"/>
    <w:rsid w:val="1F801699"/>
    <w:rsid w:val="20076865"/>
    <w:rsid w:val="20EC3D82"/>
    <w:rsid w:val="20EC6EFD"/>
    <w:rsid w:val="21577A44"/>
    <w:rsid w:val="222A7DD8"/>
    <w:rsid w:val="239F7D9D"/>
    <w:rsid w:val="23B23B87"/>
    <w:rsid w:val="23CD736B"/>
    <w:rsid w:val="248D7199"/>
    <w:rsid w:val="25CA0762"/>
    <w:rsid w:val="26881D7D"/>
    <w:rsid w:val="26D914CA"/>
    <w:rsid w:val="274F1AA4"/>
    <w:rsid w:val="28660BA9"/>
    <w:rsid w:val="28937396"/>
    <w:rsid w:val="29EB2345"/>
    <w:rsid w:val="2A06221E"/>
    <w:rsid w:val="2A466665"/>
    <w:rsid w:val="2BFC332A"/>
    <w:rsid w:val="2C310C1A"/>
    <w:rsid w:val="2C9B6C76"/>
    <w:rsid w:val="2CB02F69"/>
    <w:rsid w:val="2D907534"/>
    <w:rsid w:val="2E2C3FDB"/>
    <w:rsid w:val="2E6D77E5"/>
    <w:rsid w:val="2EAE76EB"/>
    <w:rsid w:val="2EB82542"/>
    <w:rsid w:val="2F6A7056"/>
    <w:rsid w:val="2FA2587D"/>
    <w:rsid w:val="3034144E"/>
    <w:rsid w:val="31D63F15"/>
    <w:rsid w:val="31FA0DEC"/>
    <w:rsid w:val="327E68DD"/>
    <w:rsid w:val="328B0830"/>
    <w:rsid w:val="330660AE"/>
    <w:rsid w:val="33172BF1"/>
    <w:rsid w:val="35582401"/>
    <w:rsid w:val="35E43BBB"/>
    <w:rsid w:val="35F32F97"/>
    <w:rsid w:val="36595CA1"/>
    <w:rsid w:val="36DB0EA9"/>
    <w:rsid w:val="36DE0E0A"/>
    <w:rsid w:val="37163A46"/>
    <w:rsid w:val="37306C74"/>
    <w:rsid w:val="37682375"/>
    <w:rsid w:val="37997CD5"/>
    <w:rsid w:val="3843168A"/>
    <w:rsid w:val="38640A19"/>
    <w:rsid w:val="399248AB"/>
    <w:rsid w:val="3A5C3095"/>
    <w:rsid w:val="3C630082"/>
    <w:rsid w:val="3CE710AF"/>
    <w:rsid w:val="3D15465E"/>
    <w:rsid w:val="3D4A5404"/>
    <w:rsid w:val="3EB52699"/>
    <w:rsid w:val="3FD47242"/>
    <w:rsid w:val="401D3474"/>
    <w:rsid w:val="41D53A02"/>
    <w:rsid w:val="42043355"/>
    <w:rsid w:val="426F528B"/>
    <w:rsid w:val="442E0D51"/>
    <w:rsid w:val="44544A76"/>
    <w:rsid w:val="44A15D02"/>
    <w:rsid w:val="463F6762"/>
    <w:rsid w:val="46F44F0E"/>
    <w:rsid w:val="47415D6D"/>
    <w:rsid w:val="47715ADD"/>
    <w:rsid w:val="48E23F28"/>
    <w:rsid w:val="4914681B"/>
    <w:rsid w:val="49206EF7"/>
    <w:rsid w:val="495125AC"/>
    <w:rsid w:val="4A066450"/>
    <w:rsid w:val="4A9D7929"/>
    <w:rsid w:val="4ACD3D0E"/>
    <w:rsid w:val="4B8D6E58"/>
    <w:rsid w:val="4BDC3892"/>
    <w:rsid w:val="4C031197"/>
    <w:rsid w:val="4C6F257F"/>
    <w:rsid w:val="4D4B7999"/>
    <w:rsid w:val="4F422727"/>
    <w:rsid w:val="4FC3409A"/>
    <w:rsid w:val="500463EF"/>
    <w:rsid w:val="512A0E50"/>
    <w:rsid w:val="51A152D4"/>
    <w:rsid w:val="51D00A85"/>
    <w:rsid w:val="52775B1B"/>
    <w:rsid w:val="52C73359"/>
    <w:rsid w:val="554540C3"/>
    <w:rsid w:val="56881D3E"/>
    <w:rsid w:val="56895E3D"/>
    <w:rsid w:val="569807BD"/>
    <w:rsid w:val="57854305"/>
    <w:rsid w:val="587C7D4B"/>
    <w:rsid w:val="5988305F"/>
    <w:rsid w:val="59933A75"/>
    <w:rsid w:val="5AD57D94"/>
    <w:rsid w:val="5B664CFF"/>
    <w:rsid w:val="5C4674AD"/>
    <w:rsid w:val="5CF9732F"/>
    <w:rsid w:val="5D6E49E7"/>
    <w:rsid w:val="5ED01BB8"/>
    <w:rsid w:val="5F332BBC"/>
    <w:rsid w:val="5F685FDC"/>
    <w:rsid w:val="5F942209"/>
    <w:rsid w:val="600449AC"/>
    <w:rsid w:val="60492512"/>
    <w:rsid w:val="60D368CC"/>
    <w:rsid w:val="61193496"/>
    <w:rsid w:val="61E63830"/>
    <w:rsid w:val="621172E5"/>
    <w:rsid w:val="62380147"/>
    <w:rsid w:val="63D15554"/>
    <w:rsid w:val="64A23527"/>
    <w:rsid w:val="64DC7ADE"/>
    <w:rsid w:val="653B4842"/>
    <w:rsid w:val="66AC5F20"/>
    <w:rsid w:val="66B666A2"/>
    <w:rsid w:val="6A3A26EC"/>
    <w:rsid w:val="6AFE019A"/>
    <w:rsid w:val="6B53584A"/>
    <w:rsid w:val="6B5C78EC"/>
    <w:rsid w:val="6C3921A9"/>
    <w:rsid w:val="6CDD077D"/>
    <w:rsid w:val="6CE479A7"/>
    <w:rsid w:val="6DDE6CBD"/>
    <w:rsid w:val="6DFE7610"/>
    <w:rsid w:val="6E043A74"/>
    <w:rsid w:val="6E38334C"/>
    <w:rsid w:val="6EC65205"/>
    <w:rsid w:val="719A275C"/>
    <w:rsid w:val="72D94D3B"/>
    <w:rsid w:val="72DE7937"/>
    <w:rsid w:val="74056497"/>
    <w:rsid w:val="74E23E07"/>
    <w:rsid w:val="750E77D3"/>
    <w:rsid w:val="75DC6901"/>
    <w:rsid w:val="76ED12E3"/>
    <w:rsid w:val="77B14809"/>
    <w:rsid w:val="77B93D89"/>
    <w:rsid w:val="783243C9"/>
    <w:rsid w:val="78361EA5"/>
    <w:rsid w:val="79472645"/>
    <w:rsid w:val="7A45020D"/>
    <w:rsid w:val="7A824C74"/>
    <w:rsid w:val="7AC11C8D"/>
    <w:rsid w:val="7C1C174D"/>
    <w:rsid w:val="7D3E42BA"/>
    <w:rsid w:val="7D522124"/>
    <w:rsid w:val="7E2C011E"/>
    <w:rsid w:val="7E3A6786"/>
    <w:rsid w:val="7EDC10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outlineLvl w:val="0"/>
    </w:pPr>
    <w:rPr>
      <w:b/>
      <w:bCs/>
      <w:kern w:val="44"/>
      <w:szCs w:val="44"/>
    </w:rPr>
  </w:style>
  <w:style w:type="paragraph" w:styleId="4">
    <w:name w:val="heading 2"/>
    <w:basedOn w:val="1"/>
    <w:next w:val="1"/>
    <w:qFormat/>
    <w:uiPriority w:val="0"/>
    <w:pPr>
      <w:keepNext/>
      <w:keepLines/>
      <w:outlineLvl w:val="1"/>
    </w:pPr>
    <w:rPr>
      <w:rFonts w:ascii="Arial" w:hAnsi="Arial"/>
      <w:b/>
      <w:bCs/>
      <w:szCs w:val="32"/>
    </w:rPr>
  </w:style>
  <w:style w:type="paragraph" w:styleId="5">
    <w:name w:val="heading 3"/>
    <w:basedOn w:val="1"/>
    <w:next w:val="1"/>
    <w:qFormat/>
    <w:uiPriority w:val="0"/>
    <w:pPr>
      <w:keepNext/>
      <w:keepLines/>
      <w:outlineLvl w:val="2"/>
    </w:pPr>
    <w:rPr>
      <w:b/>
      <w:bCs/>
      <w:szCs w:val="32"/>
    </w:rPr>
  </w:style>
  <w:style w:type="paragraph" w:styleId="6">
    <w:name w:val="heading 4"/>
    <w:basedOn w:val="1"/>
    <w:next w:val="1"/>
    <w:link w:val="57"/>
    <w:qFormat/>
    <w:uiPriority w:val="0"/>
    <w:pPr>
      <w:keepNext/>
      <w:keepLines/>
      <w:numPr>
        <w:ilvl w:val="3"/>
        <w:numId w:val="1"/>
      </w:numPr>
      <w:spacing w:before="280" w:after="290" w:line="372" w:lineRule="auto"/>
      <w:outlineLvl w:val="3"/>
    </w:pPr>
    <w:rPr>
      <w:rFonts w:ascii="Arial" w:hAnsi="Arial" w:eastAsia="黑体"/>
      <w:b/>
      <w:sz w:val="28"/>
      <w:szCs w:val="20"/>
    </w:rPr>
  </w:style>
  <w:style w:type="paragraph" w:styleId="7">
    <w:name w:val="heading 5"/>
    <w:basedOn w:val="1"/>
    <w:next w:val="8"/>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qFormat/>
    <w:uiPriority w:val="0"/>
    <w:pPr>
      <w:keepNext/>
      <w:keepLines/>
      <w:numPr>
        <w:ilvl w:val="8"/>
        <w:numId w:val="1"/>
      </w:numPr>
      <w:spacing w:before="240" w:after="64" w:line="320" w:lineRule="auto"/>
      <w:outlineLvl w:val="8"/>
    </w:pPr>
    <w:rPr>
      <w:rFonts w:ascii="Arial" w:hAnsi="Arial" w:eastAsia="黑体"/>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8">
    <w:name w:val="Normal Indent"/>
    <w:basedOn w:val="1"/>
    <w:qFormat/>
    <w:uiPriority w:val="0"/>
    <w:pPr>
      <w:ind w:firstLine="420"/>
    </w:pPr>
    <w:rPr>
      <w:szCs w:val="20"/>
    </w:rPr>
  </w:style>
  <w:style w:type="paragraph" w:styleId="13">
    <w:name w:val="toc 7"/>
    <w:basedOn w:val="1"/>
    <w:next w:val="1"/>
    <w:unhideWhenUsed/>
    <w:qFormat/>
    <w:uiPriority w:val="0"/>
    <w:pPr>
      <w:ind w:left="1260"/>
      <w:jc w:val="left"/>
    </w:pPr>
    <w:rPr>
      <w:rFonts w:ascii="Calibri" w:hAnsi="Calibri"/>
      <w:sz w:val="18"/>
      <w:szCs w:val="18"/>
    </w:rPr>
  </w:style>
  <w:style w:type="paragraph" w:styleId="14">
    <w:name w:val="List Number"/>
    <w:basedOn w:val="1"/>
    <w:qFormat/>
    <w:uiPriority w:val="0"/>
    <w:pPr>
      <w:widowControl/>
      <w:numPr>
        <w:ilvl w:val="0"/>
        <w:numId w:val="2"/>
      </w:numPr>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qFormat/>
    <w:uiPriority w:val="0"/>
    <w:pPr>
      <w:shd w:val="clear" w:color="auto" w:fill="000080"/>
    </w:pPr>
  </w:style>
  <w:style w:type="paragraph" w:styleId="17">
    <w:name w:val="annotation text"/>
    <w:basedOn w:val="1"/>
    <w:link w:val="59"/>
    <w:qFormat/>
    <w:uiPriority w:val="0"/>
    <w:pPr>
      <w:jc w:val="left"/>
    </w:pPr>
  </w:style>
  <w:style w:type="paragraph" w:styleId="18">
    <w:name w:val="Body Text 3"/>
    <w:basedOn w:val="1"/>
    <w:qFormat/>
    <w:uiPriority w:val="0"/>
    <w:pPr>
      <w:spacing w:line="500" w:lineRule="exact"/>
    </w:pPr>
    <w:rPr>
      <w:b/>
      <w:bCs/>
      <w:sz w:val="24"/>
    </w:rPr>
  </w:style>
  <w:style w:type="paragraph" w:styleId="19">
    <w:name w:val="Body Text Indent"/>
    <w:basedOn w:val="1"/>
    <w:link w:val="173"/>
    <w:qFormat/>
    <w:uiPriority w:val="0"/>
    <w:pPr>
      <w:ind w:firstLine="830" w:firstLineChars="352"/>
    </w:pPr>
    <w:rPr>
      <w:rFonts w:ascii="仿宋_GB2312" w:eastAsia="仿宋_GB2312"/>
      <w:sz w:val="32"/>
      <w:szCs w:val="20"/>
    </w:rPr>
  </w:style>
  <w:style w:type="paragraph" w:styleId="20">
    <w:name w:val="List Number 3"/>
    <w:basedOn w:val="1"/>
    <w:qFormat/>
    <w:uiPriority w:val="0"/>
    <w:pPr>
      <w:numPr>
        <w:ilvl w:val="0"/>
        <w:numId w:val="1"/>
      </w:numPr>
      <w:tabs>
        <w:tab w:val="left" w:pos="1455"/>
      </w:tabs>
    </w:pPr>
  </w:style>
  <w:style w:type="paragraph" w:styleId="21">
    <w:name w:val="List 2"/>
    <w:basedOn w:val="1"/>
    <w:qFormat/>
    <w:uiPriority w:val="0"/>
    <w:pPr>
      <w:ind w:left="100" w:leftChars="200" w:hanging="200" w:hangingChars="200"/>
    </w:pPr>
    <w:rPr>
      <w:sz w:val="28"/>
    </w:rPr>
  </w:style>
  <w:style w:type="paragraph" w:styleId="22">
    <w:name w:val="toc 5"/>
    <w:basedOn w:val="1"/>
    <w:next w:val="1"/>
    <w:unhideWhenUsed/>
    <w:qFormat/>
    <w:uiPriority w:val="0"/>
    <w:pPr>
      <w:ind w:left="840"/>
      <w:jc w:val="left"/>
    </w:pPr>
    <w:rPr>
      <w:rFonts w:ascii="Calibri" w:hAnsi="Calibri"/>
      <w:sz w:val="18"/>
      <w:szCs w:val="18"/>
    </w:rPr>
  </w:style>
  <w:style w:type="paragraph" w:styleId="23">
    <w:name w:val="toc 3"/>
    <w:basedOn w:val="1"/>
    <w:next w:val="1"/>
    <w:qFormat/>
    <w:uiPriority w:val="39"/>
    <w:pPr>
      <w:ind w:left="420"/>
      <w:jc w:val="left"/>
    </w:pPr>
    <w:rPr>
      <w:rFonts w:ascii="Calibri" w:hAnsi="Calibri"/>
      <w:i/>
      <w:iCs/>
      <w:sz w:val="20"/>
      <w:szCs w:val="20"/>
    </w:rPr>
  </w:style>
  <w:style w:type="paragraph" w:styleId="24">
    <w:name w:val="Plain Text"/>
    <w:basedOn w:val="1"/>
    <w:link w:val="67"/>
    <w:qFormat/>
    <w:uiPriority w:val="0"/>
    <w:rPr>
      <w:rFonts w:ascii="宋体" w:hAnsi="Courier New" w:cs="Courier New"/>
      <w:szCs w:val="21"/>
    </w:rPr>
  </w:style>
  <w:style w:type="paragraph" w:styleId="25">
    <w:name w:val="toc 8"/>
    <w:basedOn w:val="1"/>
    <w:next w:val="1"/>
    <w:unhideWhenUsed/>
    <w:qFormat/>
    <w:uiPriority w:val="0"/>
    <w:pPr>
      <w:ind w:left="1470"/>
      <w:jc w:val="left"/>
    </w:pPr>
    <w:rPr>
      <w:rFonts w:ascii="Calibri" w:hAnsi="Calibri"/>
      <w:sz w:val="18"/>
      <w:szCs w:val="18"/>
    </w:rPr>
  </w:style>
  <w:style w:type="paragraph" w:styleId="26">
    <w:name w:val="Date"/>
    <w:basedOn w:val="1"/>
    <w:next w:val="1"/>
    <w:qFormat/>
    <w:uiPriority w:val="0"/>
    <w:pPr>
      <w:ind w:left="100" w:leftChars="2500"/>
    </w:pPr>
  </w:style>
  <w:style w:type="paragraph" w:styleId="27">
    <w:name w:val="Body Text Indent 2"/>
    <w:basedOn w:val="1"/>
    <w:qFormat/>
    <w:uiPriority w:val="0"/>
    <w:pPr>
      <w:spacing w:after="120" w:line="480" w:lineRule="auto"/>
      <w:ind w:left="420" w:leftChars="200"/>
    </w:pPr>
  </w:style>
  <w:style w:type="paragraph" w:styleId="28">
    <w:name w:val="Balloon Text"/>
    <w:basedOn w:val="1"/>
    <w:qFormat/>
    <w:uiPriority w:val="0"/>
    <w:rPr>
      <w:sz w:val="18"/>
      <w:szCs w:val="18"/>
    </w:rPr>
  </w:style>
  <w:style w:type="paragraph" w:styleId="29">
    <w:name w:val="footer"/>
    <w:basedOn w:val="1"/>
    <w:link w:val="78"/>
    <w:qFormat/>
    <w:uiPriority w:val="99"/>
    <w:pPr>
      <w:tabs>
        <w:tab w:val="center" w:pos="4153"/>
        <w:tab w:val="right" w:pos="8306"/>
      </w:tabs>
      <w:snapToGrid w:val="0"/>
      <w:jc w:val="left"/>
    </w:pPr>
    <w:rPr>
      <w:sz w:val="18"/>
      <w:szCs w:val="18"/>
    </w:rPr>
  </w:style>
  <w:style w:type="paragraph" w:styleId="30">
    <w:name w:val="header"/>
    <w:basedOn w:val="1"/>
    <w:link w:val="61"/>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after="120"/>
      <w:jc w:val="left"/>
    </w:pPr>
    <w:rPr>
      <w:rFonts w:ascii="Calibri" w:hAnsi="Calibri"/>
      <w:b/>
      <w:bCs/>
      <w:caps/>
      <w:sz w:val="20"/>
      <w:szCs w:val="20"/>
    </w:rPr>
  </w:style>
  <w:style w:type="paragraph" w:styleId="32">
    <w:name w:val="toc 4"/>
    <w:basedOn w:val="1"/>
    <w:next w:val="1"/>
    <w:unhideWhenUsed/>
    <w:qFormat/>
    <w:uiPriority w:val="0"/>
    <w:pPr>
      <w:ind w:left="630"/>
      <w:jc w:val="left"/>
    </w:pPr>
    <w:rPr>
      <w:rFonts w:ascii="Calibri" w:hAnsi="Calibri"/>
      <w:sz w:val="18"/>
      <w:szCs w:val="18"/>
    </w:rPr>
  </w:style>
  <w:style w:type="paragraph" w:styleId="33">
    <w:name w:val="List"/>
    <w:basedOn w:val="1"/>
    <w:qFormat/>
    <w:uiPriority w:val="0"/>
    <w:pPr>
      <w:ind w:left="200" w:hanging="200" w:hangingChars="200"/>
    </w:pPr>
    <w:rPr>
      <w:sz w:val="28"/>
    </w:rPr>
  </w:style>
  <w:style w:type="paragraph" w:styleId="34">
    <w:name w:val="toc 6"/>
    <w:basedOn w:val="1"/>
    <w:next w:val="1"/>
    <w:unhideWhenUsed/>
    <w:qFormat/>
    <w:uiPriority w:val="0"/>
    <w:pPr>
      <w:ind w:left="1050"/>
      <w:jc w:val="left"/>
    </w:pPr>
    <w:rPr>
      <w:rFonts w:ascii="Calibri" w:hAnsi="Calibri"/>
      <w:sz w:val="18"/>
      <w:szCs w:val="18"/>
    </w:rPr>
  </w:style>
  <w:style w:type="paragraph" w:styleId="35">
    <w:name w:val="Body Text Indent 3"/>
    <w:basedOn w:val="1"/>
    <w:qFormat/>
    <w:uiPriority w:val="0"/>
    <w:pPr>
      <w:spacing w:after="120"/>
      <w:ind w:left="420" w:leftChars="200"/>
    </w:pPr>
    <w:rPr>
      <w:sz w:val="16"/>
      <w:szCs w:val="16"/>
    </w:rPr>
  </w:style>
  <w:style w:type="paragraph" w:styleId="36">
    <w:name w:val="toc 2"/>
    <w:basedOn w:val="1"/>
    <w:next w:val="1"/>
    <w:qFormat/>
    <w:uiPriority w:val="39"/>
    <w:pPr>
      <w:ind w:left="210"/>
      <w:jc w:val="left"/>
    </w:pPr>
    <w:rPr>
      <w:rFonts w:ascii="Calibri" w:hAnsi="Calibri"/>
      <w:smallCaps/>
      <w:sz w:val="20"/>
      <w:szCs w:val="20"/>
    </w:rPr>
  </w:style>
  <w:style w:type="paragraph" w:styleId="37">
    <w:name w:val="toc 9"/>
    <w:basedOn w:val="1"/>
    <w:next w:val="1"/>
    <w:unhideWhenUsed/>
    <w:qFormat/>
    <w:uiPriority w:val="0"/>
    <w:pPr>
      <w:ind w:left="1680"/>
      <w:jc w:val="left"/>
    </w:pPr>
    <w:rPr>
      <w:rFonts w:ascii="Calibri" w:hAnsi="Calibri"/>
      <w:sz w:val="18"/>
      <w:szCs w:val="18"/>
    </w:rPr>
  </w:style>
  <w:style w:type="paragraph" w:styleId="38">
    <w:name w:val="Body Text 2"/>
    <w:basedOn w:val="1"/>
    <w:qFormat/>
    <w:uiPriority w:val="0"/>
    <w:pPr>
      <w:spacing w:after="120" w:line="480" w:lineRule="auto"/>
    </w:pPr>
  </w:style>
  <w:style w:type="paragraph" w:styleId="39">
    <w:name w:val="Normal (Web)"/>
    <w:basedOn w:val="1"/>
    <w:link w:val="79"/>
    <w:qFormat/>
    <w:uiPriority w:val="0"/>
    <w:pPr>
      <w:widowControl/>
      <w:jc w:val="left"/>
    </w:pPr>
    <w:rPr>
      <w:rFonts w:ascii="宋体" w:hAnsi="宋体"/>
      <w:kern w:val="0"/>
      <w:sz w:val="24"/>
    </w:rPr>
  </w:style>
  <w:style w:type="paragraph" w:styleId="40">
    <w:name w:val="index 1"/>
    <w:basedOn w:val="1"/>
    <w:next w:val="1"/>
    <w:qFormat/>
    <w:uiPriority w:val="0"/>
    <w:pPr>
      <w:spacing w:line="400" w:lineRule="exact"/>
      <w:ind w:firstLine="420" w:firstLineChars="200"/>
    </w:pPr>
    <w:rPr>
      <w:rFonts w:ascii="宋体" w:hAnsi="Courier New"/>
      <w:b/>
      <w:szCs w:val="20"/>
    </w:rPr>
  </w:style>
  <w:style w:type="paragraph" w:styleId="41">
    <w:name w:val="Title"/>
    <w:basedOn w:val="1"/>
    <w:next w:val="1"/>
    <w:link w:val="76"/>
    <w:qFormat/>
    <w:uiPriority w:val="0"/>
    <w:pPr>
      <w:spacing w:before="240" w:after="60"/>
      <w:jc w:val="center"/>
      <w:outlineLvl w:val="0"/>
    </w:pPr>
    <w:rPr>
      <w:rFonts w:ascii="Cambria" w:hAnsi="Cambria"/>
      <w:b/>
      <w:bCs/>
      <w:sz w:val="32"/>
      <w:szCs w:val="32"/>
    </w:rPr>
  </w:style>
  <w:style w:type="paragraph" w:styleId="42">
    <w:name w:val="annotation subject"/>
    <w:basedOn w:val="17"/>
    <w:next w:val="17"/>
    <w:link w:val="63"/>
    <w:qFormat/>
    <w:uiPriority w:val="0"/>
    <w:rPr>
      <w:rFonts w:ascii="宋体" w:hAnsi="Courier New"/>
      <w:szCs w:val="20"/>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basedOn w:val="45"/>
    <w:qFormat/>
    <w:uiPriority w:val="0"/>
    <w:rPr>
      <w:color w:val="000000"/>
      <w:u w:val="none"/>
    </w:rPr>
  </w:style>
  <w:style w:type="character" w:styleId="49">
    <w:name w:val="Emphasis"/>
    <w:qFormat/>
    <w:uiPriority w:val="20"/>
    <w:rPr>
      <w:i/>
      <w:iCs/>
    </w:rPr>
  </w:style>
  <w:style w:type="character" w:styleId="50">
    <w:name w:val="HTML Definition"/>
    <w:qFormat/>
    <w:uiPriority w:val="0"/>
  </w:style>
  <w:style w:type="character" w:styleId="51">
    <w:name w:val="HTML Acronym"/>
    <w:basedOn w:val="45"/>
    <w:qFormat/>
    <w:uiPriority w:val="0"/>
  </w:style>
  <w:style w:type="character" w:styleId="52">
    <w:name w:val="HTML Variable"/>
    <w:qFormat/>
    <w:uiPriority w:val="0"/>
  </w:style>
  <w:style w:type="character" w:styleId="53">
    <w:name w:val="Hyperlink"/>
    <w:qFormat/>
    <w:uiPriority w:val="99"/>
    <w:rPr>
      <w:color w:val="333333"/>
      <w:u w:val="none"/>
    </w:rPr>
  </w:style>
  <w:style w:type="character" w:styleId="54">
    <w:name w:val="HTML Code"/>
    <w:qFormat/>
    <w:uiPriority w:val="0"/>
    <w:rPr>
      <w:rFonts w:ascii="Courier New" w:hAnsi="Courier New"/>
      <w:color w:val="505050"/>
      <w:sz w:val="24"/>
      <w:szCs w:val="24"/>
    </w:rPr>
  </w:style>
  <w:style w:type="character" w:styleId="55">
    <w:name w:val="annotation reference"/>
    <w:qFormat/>
    <w:uiPriority w:val="0"/>
    <w:rPr>
      <w:sz w:val="21"/>
      <w:szCs w:val="21"/>
    </w:rPr>
  </w:style>
  <w:style w:type="character" w:styleId="56">
    <w:name w:val="HTML Cite"/>
    <w:qFormat/>
    <w:uiPriority w:val="0"/>
  </w:style>
  <w:style w:type="character" w:customStyle="1" w:styleId="57">
    <w:name w:val="标题 4 Char"/>
    <w:link w:val="6"/>
    <w:qFormat/>
    <w:uiPriority w:val="0"/>
    <w:rPr>
      <w:rFonts w:ascii="Arial" w:hAnsi="Arial" w:eastAsia="黑体"/>
      <w:b/>
      <w:kern w:val="2"/>
      <w:sz w:val="28"/>
    </w:rPr>
  </w:style>
  <w:style w:type="character" w:customStyle="1" w:styleId="58">
    <w:name w:val="访问过的超链接1"/>
    <w:qFormat/>
    <w:uiPriority w:val="0"/>
    <w:rPr>
      <w:color w:val="333333"/>
      <w:u w:val="none"/>
    </w:rPr>
  </w:style>
  <w:style w:type="character" w:customStyle="1" w:styleId="59">
    <w:name w:val="批注文字 Char"/>
    <w:link w:val="17"/>
    <w:qFormat/>
    <w:uiPriority w:val="0"/>
    <w:rPr>
      <w:kern w:val="2"/>
      <w:sz w:val="21"/>
      <w:szCs w:val="24"/>
      <w:lang w:bidi="ar-SA"/>
    </w:rPr>
  </w:style>
  <w:style w:type="character" w:customStyle="1" w:styleId="60">
    <w:name w:val="textcontents"/>
    <w:basedOn w:val="45"/>
    <w:qFormat/>
    <w:uiPriority w:val="0"/>
  </w:style>
  <w:style w:type="character" w:customStyle="1" w:styleId="61">
    <w:name w:val="页眉 Char"/>
    <w:link w:val="30"/>
    <w:qFormat/>
    <w:uiPriority w:val="99"/>
    <w:rPr>
      <w:rFonts w:eastAsia="宋体"/>
      <w:kern w:val="2"/>
      <w:sz w:val="18"/>
      <w:szCs w:val="18"/>
      <w:lang w:val="en-US" w:eastAsia="zh-CN" w:bidi="ar-SA"/>
    </w:rPr>
  </w:style>
  <w:style w:type="character" w:customStyle="1" w:styleId="62">
    <w:name w:val="Char Char2"/>
    <w:qFormat/>
    <w:uiPriority w:val="0"/>
    <w:rPr>
      <w:kern w:val="2"/>
      <w:sz w:val="21"/>
      <w:szCs w:val="24"/>
    </w:rPr>
  </w:style>
  <w:style w:type="character" w:customStyle="1" w:styleId="63">
    <w:name w:val="批注主题 Char"/>
    <w:link w:val="42"/>
    <w:qFormat/>
    <w:uiPriority w:val="0"/>
    <w:rPr>
      <w:rFonts w:ascii="宋体" w:hAnsi="Courier New" w:eastAsia="宋体"/>
      <w:kern w:val="2"/>
      <w:sz w:val="21"/>
      <w:lang w:val="en-US" w:eastAsia="zh-CN" w:bidi="ar-SA"/>
    </w:rPr>
  </w:style>
  <w:style w:type="character" w:customStyle="1" w:styleId="64">
    <w:name w:val="普通文字 Char Char1"/>
    <w:qFormat/>
    <w:uiPriority w:val="0"/>
    <w:rPr>
      <w:rFonts w:ascii="宋体" w:hAnsi="Courier New" w:eastAsia="宋体" w:cs="Courier New"/>
      <w:kern w:val="2"/>
      <w:sz w:val="21"/>
      <w:szCs w:val="21"/>
      <w:lang w:val="en-US" w:eastAsia="zh-CN" w:bidi="ar-SA"/>
    </w:rPr>
  </w:style>
  <w:style w:type="character" w:customStyle="1" w:styleId="65">
    <w:name w:val="case31"/>
    <w:qFormat/>
    <w:uiPriority w:val="0"/>
    <w:rPr>
      <w:rFonts w:hint="default"/>
      <w:sz w:val="21"/>
      <w:szCs w:val="21"/>
    </w:rPr>
  </w:style>
  <w:style w:type="character" w:customStyle="1" w:styleId="66">
    <w:name w:val="Char Char5"/>
    <w:qFormat/>
    <w:uiPriority w:val="0"/>
    <w:rPr>
      <w:rFonts w:eastAsia="宋体"/>
      <w:kern w:val="2"/>
      <w:sz w:val="21"/>
      <w:szCs w:val="24"/>
      <w:lang w:val="en-US" w:eastAsia="zh-CN" w:bidi="ar-SA"/>
    </w:rPr>
  </w:style>
  <w:style w:type="character" w:customStyle="1" w:styleId="67">
    <w:name w:val="纯文本 Char"/>
    <w:link w:val="24"/>
    <w:qFormat/>
    <w:uiPriority w:val="0"/>
    <w:rPr>
      <w:rFonts w:ascii="宋体" w:hAnsi="Courier New" w:eastAsia="宋体" w:cs="Courier New"/>
      <w:kern w:val="2"/>
      <w:sz w:val="21"/>
      <w:szCs w:val="21"/>
      <w:lang w:val="en-US" w:eastAsia="zh-CN" w:bidi="ar-SA"/>
    </w:rPr>
  </w:style>
  <w:style w:type="character" w:customStyle="1" w:styleId="68">
    <w:name w:val="无间隔 Char"/>
    <w:link w:val="69"/>
    <w:qFormat/>
    <w:uiPriority w:val="0"/>
    <w:rPr>
      <w:rFonts w:ascii="Calibri" w:hAnsi="Calibri" w:eastAsia="Times New Roman"/>
      <w:sz w:val="22"/>
      <w:szCs w:val="22"/>
      <w:lang w:val="en-US" w:eastAsia="zh-CN" w:bidi="ar-SA"/>
    </w:rPr>
  </w:style>
  <w:style w:type="paragraph" w:styleId="69">
    <w:name w:val="No Spacing"/>
    <w:link w:val="68"/>
    <w:qFormat/>
    <w:uiPriority w:val="0"/>
    <w:rPr>
      <w:rFonts w:ascii="Calibri" w:hAnsi="Calibri" w:eastAsia="Times New Roman" w:cs="Times New Roman"/>
      <w:sz w:val="22"/>
      <w:szCs w:val="22"/>
      <w:lang w:val="en-US" w:eastAsia="zh-CN" w:bidi="ar-SA"/>
    </w:rPr>
  </w:style>
  <w:style w:type="character" w:customStyle="1" w:styleId="70">
    <w:name w:val="lb1"/>
    <w:qFormat/>
    <w:uiPriority w:val="0"/>
    <w:rPr>
      <w:rFonts w:hint="default"/>
      <w:b/>
      <w:bCs/>
      <w:color w:val="0851A5"/>
      <w:sz w:val="27"/>
      <w:szCs w:val="27"/>
    </w:rPr>
  </w:style>
  <w:style w:type="character" w:customStyle="1" w:styleId="71">
    <w:name w:val="Char Char Char"/>
    <w:qFormat/>
    <w:uiPriority w:val="0"/>
    <w:rPr>
      <w:rFonts w:ascii="宋体" w:hAnsi="Courier New" w:eastAsia="宋体"/>
      <w:kern w:val="2"/>
      <w:sz w:val="21"/>
      <w:lang w:val="en-US" w:eastAsia="zh-CN" w:bidi="ar-SA"/>
    </w:rPr>
  </w:style>
  <w:style w:type="character" w:customStyle="1" w:styleId="72">
    <w:name w:val="font11"/>
    <w:qFormat/>
    <w:uiPriority w:val="0"/>
    <w:rPr>
      <w:rFonts w:ascii="Calibri" w:hAnsi="Calibri" w:cs="Calibri"/>
      <w:color w:val="000000"/>
      <w:sz w:val="20"/>
      <w:szCs w:val="20"/>
      <w:u w:val="none"/>
    </w:rPr>
  </w:style>
  <w:style w:type="character" w:customStyle="1" w:styleId="73">
    <w:name w:val="search_content1"/>
    <w:qFormat/>
    <w:uiPriority w:val="0"/>
    <w:rPr>
      <w:sz w:val="20"/>
      <w:szCs w:val="20"/>
    </w:rPr>
  </w:style>
  <w:style w:type="character" w:customStyle="1" w:styleId="74">
    <w:name w:val="Char Char21"/>
    <w:qFormat/>
    <w:uiPriority w:val="0"/>
    <w:rPr>
      <w:rFonts w:ascii="宋体" w:hAnsi="宋体" w:eastAsia="宋体"/>
      <w:kern w:val="2"/>
      <w:sz w:val="21"/>
      <w:szCs w:val="24"/>
      <w:lang w:val="en-US" w:eastAsia="zh-CN" w:bidi="ar-SA"/>
    </w:rPr>
  </w:style>
  <w:style w:type="character" w:customStyle="1" w:styleId="75">
    <w:name w:val="apple-converted-space"/>
    <w:basedOn w:val="45"/>
    <w:qFormat/>
    <w:uiPriority w:val="0"/>
  </w:style>
  <w:style w:type="character" w:customStyle="1" w:styleId="76">
    <w:name w:val="标题 Char"/>
    <w:link w:val="41"/>
    <w:qFormat/>
    <w:uiPriority w:val="0"/>
    <w:rPr>
      <w:rFonts w:ascii="Cambria" w:hAnsi="Cambria" w:eastAsia="宋体"/>
      <w:b/>
      <w:bCs/>
      <w:kern w:val="2"/>
      <w:sz w:val="32"/>
      <w:szCs w:val="32"/>
      <w:lang w:val="en-US" w:eastAsia="zh-CN" w:bidi="ar-SA"/>
    </w:rPr>
  </w:style>
  <w:style w:type="character" w:customStyle="1" w:styleId="77">
    <w:name w:val="font31"/>
    <w:qFormat/>
    <w:uiPriority w:val="0"/>
    <w:rPr>
      <w:rFonts w:hint="eastAsia" w:ascii="宋体" w:hAnsi="宋体" w:eastAsia="宋体" w:cs="宋体"/>
      <w:color w:val="000000"/>
      <w:sz w:val="20"/>
      <w:szCs w:val="20"/>
      <w:u w:val="none"/>
    </w:rPr>
  </w:style>
  <w:style w:type="character" w:customStyle="1" w:styleId="78">
    <w:name w:val="页脚 Char"/>
    <w:basedOn w:val="45"/>
    <w:link w:val="29"/>
    <w:qFormat/>
    <w:uiPriority w:val="99"/>
    <w:rPr>
      <w:kern w:val="2"/>
      <w:sz w:val="18"/>
      <w:szCs w:val="18"/>
    </w:rPr>
  </w:style>
  <w:style w:type="character" w:customStyle="1" w:styleId="79">
    <w:name w:val="普通(网站) Char"/>
    <w:link w:val="39"/>
    <w:qFormat/>
    <w:locked/>
    <w:uiPriority w:val="0"/>
    <w:rPr>
      <w:rFonts w:ascii="宋体" w:hAnsi="宋体" w:cs="宋体"/>
      <w:sz w:val="24"/>
      <w:szCs w:val="24"/>
    </w:rPr>
  </w:style>
  <w:style w:type="paragraph" w:customStyle="1" w:styleId="80">
    <w:name w:val="表格"/>
    <w:basedOn w:val="1"/>
    <w:qFormat/>
    <w:uiPriority w:val="0"/>
    <w:pPr>
      <w:spacing w:line="400" w:lineRule="exact"/>
    </w:pPr>
    <w:rPr>
      <w:sz w:val="24"/>
    </w:rPr>
  </w:style>
  <w:style w:type="paragraph" w:customStyle="1" w:styleId="8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2">
    <w:name w:val="正文段"/>
    <w:basedOn w:val="1"/>
    <w:qFormat/>
    <w:uiPriority w:val="0"/>
    <w:pPr>
      <w:widowControl/>
      <w:snapToGrid w:val="0"/>
      <w:spacing w:afterLines="50"/>
      <w:ind w:firstLine="200" w:firstLineChars="200"/>
    </w:pPr>
    <w:rPr>
      <w:kern w:val="0"/>
      <w:sz w:val="24"/>
      <w:szCs w:val="20"/>
    </w:rPr>
  </w:style>
  <w:style w:type="paragraph" w:customStyle="1" w:styleId="8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85">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left"/>
    </w:pPr>
    <w:rPr>
      <w:rFonts w:ascii="宋体" w:hAnsi="宋体" w:cs="宋体"/>
      <w:kern w:val="0"/>
      <w:szCs w:val="21"/>
    </w:rPr>
  </w:style>
  <w:style w:type="paragraph" w:customStyle="1" w:styleId="86">
    <w:name w:val="14 Char Char Char Char Char Char Char Char Char Char Char Char"/>
    <w:basedOn w:val="1"/>
    <w:qFormat/>
    <w:uiPriority w:val="0"/>
    <w:pPr>
      <w:widowControl/>
      <w:spacing w:after="160" w:line="240" w:lineRule="exact"/>
      <w:jc w:val="left"/>
    </w:pPr>
  </w:style>
  <w:style w:type="paragraph" w:customStyle="1" w:styleId="87">
    <w:name w:val="正文首行缩进两字符"/>
    <w:basedOn w:val="1"/>
    <w:qFormat/>
    <w:uiPriority w:val="0"/>
    <w:pPr>
      <w:spacing w:line="360" w:lineRule="auto"/>
      <w:ind w:firstLine="200" w:firstLineChars="200"/>
    </w:pPr>
  </w:style>
  <w:style w:type="paragraph" w:customStyle="1" w:styleId="8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8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9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3">
    <w:name w:val="font8"/>
    <w:basedOn w:val="1"/>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94">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9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9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97">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98">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18"/>
      <w:szCs w:val="18"/>
    </w:rPr>
  </w:style>
  <w:style w:type="paragraph" w:customStyle="1" w:styleId="100">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01">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16"/>
      <w:szCs w:val="16"/>
    </w:rPr>
  </w:style>
  <w:style w:type="paragraph" w:customStyle="1" w:styleId="102">
    <w:name w:val="样式 首行缩进:  2 字符"/>
    <w:basedOn w:val="1"/>
    <w:qFormat/>
    <w:uiPriority w:val="0"/>
    <w:pPr>
      <w:spacing w:line="400" w:lineRule="exact"/>
      <w:ind w:firstLine="200" w:firstLineChars="200"/>
    </w:pPr>
    <w:rPr>
      <w:rFonts w:cs="宋体"/>
      <w:sz w:val="24"/>
    </w:rPr>
  </w:style>
  <w:style w:type="paragraph" w:customStyle="1" w:styleId="10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05">
    <w:name w:val="默认段落字体 Para Char"/>
    <w:basedOn w:val="1"/>
    <w:qFormat/>
    <w:uiPriority w:val="0"/>
    <w:pPr>
      <w:adjustRightInd w:val="0"/>
      <w:spacing w:line="360" w:lineRule="auto"/>
    </w:pPr>
    <w:rPr>
      <w:kern w:val="0"/>
      <w:sz w:val="24"/>
      <w:szCs w:val="20"/>
    </w:rPr>
  </w:style>
  <w:style w:type="paragraph" w:customStyle="1" w:styleId="106">
    <w:name w:val="p0"/>
    <w:basedOn w:val="1"/>
    <w:qFormat/>
    <w:uiPriority w:val="0"/>
    <w:pPr>
      <w:widowControl/>
    </w:pPr>
    <w:rPr>
      <w:kern w:val="0"/>
      <w:szCs w:val="21"/>
    </w:rPr>
  </w:style>
  <w:style w:type="paragraph" w:customStyle="1" w:styleId="107">
    <w:name w:val="Char Char Char Char Char Char"/>
    <w:basedOn w:val="1"/>
    <w:qFormat/>
    <w:uiPriority w:val="0"/>
  </w:style>
  <w:style w:type="paragraph" w:customStyle="1" w:styleId="108">
    <w:name w:val="font6"/>
    <w:basedOn w:val="1"/>
    <w:qFormat/>
    <w:uiPriority w:val="0"/>
    <w:pPr>
      <w:widowControl/>
      <w:spacing w:before="100" w:beforeAutospacing="1" w:after="100" w:afterAutospacing="1"/>
      <w:jc w:val="left"/>
    </w:pPr>
    <w:rPr>
      <w:color w:val="000000"/>
      <w:kern w:val="0"/>
      <w:sz w:val="20"/>
      <w:szCs w:val="20"/>
    </w:rPr>
  </w:style>
  <w:style w:type="paragraph" w:customStyle="1" w:styleId="10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kern w:val="0"/>
      <w:sz w:val="18"/>
      <w:szCs w:val="18"/>
    </w:rPr>
  </w:style>
  <w:style w:type="paragraph" w:customStyle="1" w:styleId="1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11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1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4">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1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Cs w:val="21"/>
    </w:rPr>
  </w:style>
  <w:style w:type="paragraph" w:customStyle="1" w:styleId="116">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18">
    <w:name w:val="Char1"/>
    <w:basedOn w:val="1"/>
    <w:qFormat/>
    <w:uiPriority w:val="0"/>
    <w:rPr>
      <w:szCs w:val="21"/>
    </w:rPr>
  </w:style>
  <w:style w:type="paragraph" w:customStyle="1" w:styleId="119">
    <w:name w:val="xl31"/>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120">
    <w:name w:val="修订1"/>
    <w:qFormat/>
    <w:uiPriority w:val="0"/>
    <w:rPr>
      <w:rFonts w:ascii="Times New Roman" w:hAnsi="Times New Roman" w:eastAsia="宋体" w:cs="Times New Roman"/>
      <w:kern w:val="2"/>
      <w:sz w:val="21"/>
      <w:szCs w:val="24"/>
      <w:lang w:val="en-US" w:eastAsia="zh-CN" w:bidi="ar-SA"/>
    </w:rPr>
  </w:style>
  <w:style w:type="paragraph" w:customStyle="1" w:styleId="121">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22">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b/>
      <w:bCs/>
      <w:kern w:val="0"/>
      <w:sz w:val="18"/>
      <w:szCs w:val="18"/>
    </w:rPr>
  </w:style>
  <w:style w:type="paragraph" w:customStyle="1" w:styleId="12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FF"/>
      <w:kern w:val="0"/>
      <w:sz w:val="18"/>
      <w:szCs w:val="18"/>
    </w:rPr>
  </w:style>
  <w:style w:type="paragraph" w:customStyle="1" w:styleId="124">
    <w:name w:val="font10"/>
    <w:basedOn w:val="1"/>
    <w:qFormat/>
    <w:uiPriority w:val="0"/>
    <w:pPr>
      <w:widowControl/>
      <w:spacing w:before="100" w:beforeAutospacing="1" w:after="100" w:afterAutospacing="1"/>
      <w:jc w:val="left"/>
    </w:pPr>
    <w:rPr>
      <w:kern w:val="0"/>
      <w:sz w:val="20"/>
      <w:szCs w:val="20"/>
    </w:rPr>
  </w:style>
  <w:style w:type="paragraph" w:customStyle="1" w:styleId="125">
    <w:name w:val="font9"/>
    <w:basedOn w:val="1"/>
    <w:qFormat/>
    <w:uiPriority w:val="0"/>
    <w:pPr>
      <w:widowControl/>
      <w:spacing w:before="100" w:beforeAutospacing="1" w:after="100" w:afterAutospacing="1"/>
      <w:jc w:val="left"/>
    </w:pPr>
    <w:rPr>
      <w:color w:val="FF0000"/>
      <w:kern w:val="0"/>
      <w:sz w:val="16"/>
      <w:szCs w:val="16"/>
    </w:rPr>
  </w:style>
  <w:style w:type="paragraph" w:customStyle="1" w:styleId="12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27">
    <w:name w:val="默认段落字体 Para Char Char Char Char Char Char Char Char Char1 Char Char Char Char"/>
    <w:basedOn w:val="1"/>
    <w:qFormat/>
    <w:uiPriority w:val="0"/>
    <w:rPr>
      <w:rFonts w:ascii="Tahoma" w:hAnsi="Tahoma"/>
      <w:sz w:val="24"/>
      <w:szCs w:val="20"/>
    </w:rPr>
  </w:style>
  <w:style w:type="paragraph" w:customStyle="1" w:styleId="1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29">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13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2">
    <w:name w:val="Char"/>
    <w:basedOn w:val="16"/>
    <w:qFormat/>
    <w:uiPriority w:val="0"/>
    <w:pPr>
      <w:widowControl/>
      <w:ind w:firstLine="454"/>
      <w:jc w:val="left"/>
    </w:pPr>
    <w:rPr>
      <w:rFonts w:ascii="Tahoma" w:hAnsi="Tahoma" w:cs="宋体"/>
      <w:kern w:val="0"/>
      <w:sz w:val="24"/>
      <w:szCs w:val="20"/>
    </w:rPr>
  </w:style>
  <w:style w:type="paragraph" w:styleId="133">
    <w:name w:val="List Paragraph"/>
    <w:basedOn w:val="1"/>
    <w:qFormat/>
    <w:uiPriority w:val="0"/>
    <w:pPr>
      <w:ind w:firstLine="420" w:firstLineChars="200"/>
    </w:pPr>
  </w:style>
  <w:style w:type="paragraph" w:customStyle="1" w:styleId="134">
    <w:name w:val="列出段落1"/>
    <w:basedOn w:val="1"/>
    <w:qFormat/>
    <w:uiPriority w:val="0"/>
    <w:pPr>
      <w:ind w:firstLine="420" w:firstLineChars="200"/>
    </w:pPr>
    <w:rPr>
      <w:rFonts w:ascii="Calibri" w:hAnsi="Calibri"/>
      <w:szCs w:val="22"/>
    </w:rPr>
  </w:style>
  <w:style w:type="paragraph" w:customStyle="1" w:styleId="135">
    <w:name w:val="样式 标题 2 + Times New Roman 四号 非加粗 段前: 5 磅 段后: 0 磅 行距: 固定值 20..."/>
    <w:basedOn w:val="4"/>
    <w:qFormat/>
    <w:uiPriority w:val="0"/>
    <w:pPr>
      <w:spacing w:before="100" w:line="400" w:lineRule="exact"/>
    </w:pPr>
    <w:rPr>
      <w:rFonts w:ascii="Times New Roman" w:hAnsi="Times New Roman" w:cs="宋体"/>
      <w:b w:val="0"/>
      <w:bCs w:val="0"/>
      <w:sz w:val="28"/>
      <w:szCs w:val="20"/>
    </w:rPr>
  </w:style>
  <w:style w:type="paragraph" w:customStyle="1" w:styleId="13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3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13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3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40">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paragraph" w:customStyle="1" w:styleId="141">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4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4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45">
    <w:name w:val="font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47">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4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49">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5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left"/>
    </w:pPr>
    <w:rPr>
      <w:rFonts w:ascii="宋体" w:hAnsi="宋体" w:cs="宋体"/>
      <w:color w:val="0000FF"/>
      <w:kern w:val="0"/>
      <w:szCs w:val="21"/>
    </w:rPr>
  </w:style>
  <w:style w:type="paragraph" w:customStyle="1" w:styleId="152">
    <w:name w:val="font7"/>
    <w:basedOn w:val="1"/>
    <w:qFormat/>
    <w:uiPriority w:val="0"/>
    <w:pPr>
      <w:widowControl/>
      <w:spacing w:before="100" w:beforeAutospacing="1" w:after="100" w:afterAutospacing="1"/>
      <w:jc w:val="left"/>
    </w:pPr>
    <w:rPr>
      <w:kern w:val="0"/>
      <w:sz w:val="16"/>
      <w:szCs w:val="16"/>
    </w:rPr>
  </w:style>
  <w:style w:type="paragraph" w:customStyle="1" w:styleId="153">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Cs w:val="21"/>
    </w:rPr>
  </w:style>
  <w:style w:type="paragraph" w:customStyle="1" w:styleId="15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157">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5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0">
    <w:name w:val="char"/>
    <w:basedOn w:val="1"/>
    <w:qFormat/>
    <w:uiPriority w:val="0"/>
    <w:pPr>
      <w:widowControl/>
      <w:adjustRightInd w:val="0"/>
      <w:snapToGrid w:val="0"/>
      <w:spacing w:beforeLines="50" w:after="160" w:line="360" w:lineRule="exact"/>
      <w:ind w:firstLine="496" w:firstLineChars="200"/>
      <w:jc w:val="left"/>
    </w:pPr>
    <w:rPr>
      <w:rFonts w:ascii="宋体" w:hAnsi="宋体" w:cs="”“Times New Roman”“"/>
      <w:color w:val="000000"/>
      <w:spacing w:val="4"/>
      <w:kern w:val="0"/>
      <w:sz w:val="24"/>
      <w:lang w:eastAsia="en-US"/>
    </w:rPr>
  </w:style>
  <w:style w:type="paragraph" w:customStyle="1" w:styleId="16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162">
    <w:name w:val="Char Char6"/>
    <w:basedOn w:val="16"/>
    <w:qFormat/>
    <w:uiPriority w:val="0"/>
    <w:pPr>
      <w:widowControl/>
      <w:ind w:firstLine="454"/>
      <w:jc w:val="left"/>
    </w:pPr>
  </w:style>
  <w:style w:type="paragraph" w:customStyle="1" w:styleId="16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164">
    <w:name w:val="tdmpwh"/>
    <w:qFormat/>
    <w:uiPriority w:val="0"/>
  </w:style>
  <w:style w:type="character" w:customStyle="1" w:styleId="165">
    <w:name w:val="普通文字 Char Char2"/>
    <w:qFormat/>
    <w:uiPriority w:val="0"/>
    <w:rPr>
      <w:rFonts w:ascii="宋体" w:hAnsi="Courier New" w:eastAsia="宋体" w:cs="Courier New"/>
      <w:b/>
      <w:i/>
      <w:iCs/>
      <w:color w:val="000000"/>
      <w:kern w:val="2"/>
      <w:sz w:val="21"/>
      <w:szCs w:val="21"/>
      <w:lang w:val="en-US" w:eastAsia="zh-CN" w:bidi="ar-SA"/>
    </w:rPr>
  </w:style>
  <w:style w:type="character" w:customStyle="1" w:styleId="166">
    <w:name w:val="Char Char4"/>
    <w:qFormat/>
    <w:uiPriority w:val="0"/>
    <w:rPr>
      <w:rFonts w:ascii="宋体" w:hAnsi="Courier New" w:eastAsia="宋体" w:cs="Courier New"/>
      <w:kern w:val="2"/>
      <w:sz w:val="21"/>
      <w:szCs w:val="21"/>
      <w:lang w:val="en-US" w:eastAsia="zh-CN" w:bidi="ar-SA"/>
    </w:rPr>
  </w:style>
  <w:style w:type="character" w:customStyle="1" w:styleId="167">
    <w:name w:val="Plain Text Char"/>
    <w:qFormat/>
    <w:locked/>
    <w:uiPriority w:val="0"/>
    <w:rPr>
      <w:rFonts w:ascii="宋体" w:hAnsi="Courier New" w:eastAsia="宋体" w:cs="Courier New"/>
      <w:kern w:val="2"/>
      <w:sz w:val="21"/>
      <w:szCs w:val="21"/>
      <w:lang w:val="en-US" w:eastAsia="zh-CN" w:bidi="ar-SA"/>
    </w:rPr>
  </w:style>
  <w:style w:type="character" w:customStyle="1" w:styleId="168">
    <w:name w:val="样式 body + 仿宋_GB2312 三号"/>
    <w:qFormat/>
    <w:uiPriority w:val="0"/>
    <w:rPr>
      <w:rFonts w:ascii="宋体" w:eastAsia="宋体"/>
      <w:kern w:val="0"/>
      <w:sz w:val="24"/>
      <w:szCs w:val="24"/>
      <w:lang w:val="en-US" w:eastAsia="zh-CN" w:bidi="ar-SA"/>
    </w:rPr>
  </w:style>
  <w:style w:type="character" w:customStyle="1" w:styleId="169">
    <w:name w:val="14"/>
    <w:basedOn w:val="45"/>
    <w:qFormat/>
    <w:uiPriority w:val="0"/>
  </w:style>
  <w:style w:type="paragraph" w:customStyle="1" w:styleId="170">
    <w:name w:val="样式 标题 1第A章标题 1 Char Char CharH1h1Level 1 Topic HeadingH11..."/>
    <w:basedOn w:val="3"/>
    <w:qFormat/>
    <w:uiPriority w:val="0"/>
    <w:pPr>
      <w:spacing w:line="460" w:lineRule="exact"/>
      <w:ind w:left="-4"/>
      <w:jc w:val="left"/>
    </w:pPr>
    <w:rPr>
      <w:rFonts w:ascii="仿宋_GB2312" w:hAnsi="宋体" w:eastAsia="仿宋_GB2312" w:cs="宋体"/>
      <w:sz w:val="32"/>
      <w:szCs w:val="32"/>
    </w:rPr>
  </w:style>
  <w:style w:type="paragraph" w:customStyle="1" w:styleId="171">
    <w:name w:val="_Style 81"/>
    <w:basedOn w:val="16"/>
    <w:qFormat/>
    <w:uiPriority w:val="0"/>
    <w:pPr>
      <w:widowControl/>
      <w:ind w:firstLine="454"/>
      <w:jc w:val="left"/>
    </w:pPr>
  </w:style>
  <w:style w:type="paragraph" w:customStyle="1" w:styleId="172">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character" w:customStyle="1" w:styleId="173">
    <w:name w:val="正文文本缩进 Char"/>
    <w:link w:val="19"/>
    <w:qFormat/>
    <w:uiPriority w:val="0"/>
    <w:rPr>
      <w:rFonts w:ascii="仿宋_GB2312" w:eastAsia="仿宋_GB2312"/>
      <w:kern w:val="2"/>
      <w:sz w:val="32"/>
    </w:rPr>
  </w:style>
  <w:style w:type="paragraph" w:customStyle="1" w:styleId="174">
    <w:name w:val="1"/>
    <w:basedOn w:val="1"/>
    <w:next w:val="24"/>
    <w:qFormat/>
    <w:uiPriority w:val="0"/>
    <w:rPr>
      <w:rFonts w:ascii="宋体" w:hAnsi="Courier New"/>
      <w:szCs w:val="20"/>
    </w:rPr>
  </w:style>
  <w:style w:type="paragraph" w:customStyle="1" w:styleId="175">
    <w:name w:val="WPSOffice手动目录 1"/>
    <w:qFormat/>
    <w:uiPriority w:val="0"/>
    <w:rPr>
      <w:rFonts w:ascii="Times New Roman" w:hAnsi="Times New Roman" w:eastAsia="宋体" w:cs="Times New Roman"/>
      <w:lang w:val="en-US" w:eastAsia="zh-CN" w:bidi="ar-SA"/>
    </w:rPr>
  </w:style>
  <w:style w:type="character" w:customStyle="1" w:styleId="176">
    <w:name w:val="font71"/>
    <w:basedOn w:val="45"/>
    <w:qFormat/>
    <w:uiPriority w:val="0"/>
    <w:rPr>
      <w:rFonts w:hint="eastAsia" w:ascii="华文细黑" w:hAnsi="华文细黑" w:eastAsia="华文细黑" w:cs="华文细黑"/>
      <w:color w:val="000000"/>
      <w:sz w:val="20"/>
      <w:szCs w:val="20"/>
      <w:u w:val="none"/>
    </w:rPr>
  </w:style>
  <w:style w:type="character" w:customStyle="1" w:styleId="177">
    <w:name w:val="font61"/>
    <w:basedOn w:val="45"/>
    <w:qFormat/>
    <w:uiPriority w:val="0"/>
    <w:rPr>
      <w:rFonts w:hint="eastAsia" w:ascii="华文细黑" w:hAnsi="华文细黑" w:eastAsia="华文细黑" w:cs="华文细黑"/>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C5267F-D59A-41DF-88AC-22A7B4F82B7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67</Pages>
  <Words>6946</Words>
  <Characters>39597</Characters>
  <Lines>329</Lines>
  <Paragraphs>92</Paragraphs>
  <TotalTime>9</TotalTime>
  <ScaleCrop>false</ScaleCrop>
  <LinksUpToDate>false</LinksUpToDate>
  <CharactersWithSpaces>46451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2018-10-23T02:24:00Z</dcterms:created>
  <dc:creator>微软用户</dc:creator>
  <cp:lastModifiedBy>NTKO</cp:lastModifiedBy>
  <cp:lastPrinted>2019-10-24T01:26:00Z</cp:lastPrinted>
  <dcterms:modified xsi:type="dcterms:W3CDTF">2020-11-16T08:19:59Z</dcterms:modified>
  <dc:title>竞争性谈判采购文件</dc:title>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