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b/>
          <w:bCs/>
          <w:color w:val="000000"/>
          <w:sz w:val="30"/>
          <w:szCs w:val="30"/>
        </w:rPr>
      </w:pPr>
      <w:bookmarkStart w:id="0" w:name="OLE_LINK1"/>
      <w:r>
        <w:rPr>
          <w:rFonts w:hint="eastAsia" w:ascii="黑体" w:hAnsi="黑体" w:eastAsia="黑体" w:cs="黑体"/>
          <w:b/>
          <w:bCs/>
          <w:color w:val="000000"/>
          <w:sz w:val="30"/>
          <w:szCs w:val="30"/>
        </w:rPr>
        <w:t>广西金鼎盛工程咨询有限公司关于桂林市七星区青少年活动中心乐器采购（项目编号：GLZC2020-J1-990585-GXJD）中标结果公告</w:t>
      </w:r>
    </w:p>
    <w:p>
      <w:pPr>
        <w:numPr>
          <w:ilvl w:val="0"/>
          <w:numId w:val="1"/>
        </w:numPr>
        <w:spacing w:line="520" w:lineRule="exact"/>
        <w:rPr>
          <w:rFonts w:hint="eastAsia" w:ascii="黑体" w:hAnsi="黑体" w:eastAsia="黑体" w:cs="黑体"/>
          <w:sz w:val="24"/>
          <w:szCs w:val="24"/>
        </w:rPr>
      </w:pPr>
      <w:r>
        <w:rPr>
          <w:rFonts w:hint="eastAsia" w:ascii="黑体" w:hAnsi="黑体" w:eastAsia="黑体" w:cs="黑体"/>
          <w:sz w:val="24"/>
          <w:szCs w:val="24"/>
        </w:rPr>
        <w:t>项目编号：GLZC2020-J1-990585-GXJD</w:t>
      </w:r>
    </w:p>
    <w:p>
      <w:pPr>
        <w:numPr>
          <w:ilvl w:val="0"/>
          <w:numId w:val="1"/>
        </w:numPr>
        <w:spacing w:line="520" w:lineRule="exact"/>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项目名称：桂林市七星区青少年活动中心乐器采购</w:t>
      </w:r>
    </w:p>
    <w:p>
      <w:pPr>
        <w:numPr>
          <w:ilvl w:val="0"/>
          <w:numId w:val="0"/>
        </w:numPr>
        <w:spacing w:line="520" w:lineRule="exact"/>
        <w:ind w:leftChars="0"/>
        <w:rPr>
          <w:rFonts w:ascii="黑体" w:hAnsi="黑体" w:eastAsia="黑体"/>
          <w:sz w:val="24"/>
          <w:szCs w:val="24"/>
        </w:rPr>
      </w:pPr>
      <w:r>
        <w:rPr>
          <w:rFonts w:hint="eastAsia" w:ascii="黑体" w:hAnsi="黑体" w:eastAsia="黑体" w:cs="黑体"/>
          <w:sz w:val="24"/>
          <w:szCs w:val="24"/>
        </w:rPr>
        <w:t>三、中标信息</w:t>
      </w:r>
    </w:p>
    <w:p>
      <w:pPr>
        <w:spacing w:line="520" w:lineRule="exact"/>
        <w:ind w:firstLine="480" w:firstLineChars="200"/>
        <w:rPr>
          <w:rFonts w:hint="eastAsia" w:ascii="仿宋" w:hAnsi="仿宋" w:eastAsia="仿宋"/>
          <w:color w:val="333333"/>
          <w:kern w:val="0"/>
          <w:sz w:val="24"/>
          <w:szCs w:val="24"/>
          <w:highlight w:val="none"/>
          <w:shd w:val="clear" w:color="auto" w:fill="FFFFFF"/>
          <w:lang w:eastAsia="zh-CN"/>
        </w:rPr>
      </w:pPr>
      <w:r>
        <w:rPr>
          <w:rFonts w:hint="eastAsia" w:ascii="仿宋" w:hAnsi="仿宋" w:eastAsia="仿宋" w:cs="仿宋"/>
          <w:color w:val="333333"/>
          <w:kern w:val="0"/>
          <w:sz w:val="24"/>
          <w:szCs w:val="24"/>
          <w:highlight w:val="none"/>
          <w:shd w:val="clear" w:color="auto" w:fill="FFFFFF"/>
        </w:rPr>
        <w:t>供应商名称：</w:t>
      </w:r>
      <w:r>
        <w:rPr>
          <w:rFonts w:hint="eastAsia" w:ascii="仿宋" w:hAnsi="仿宋" w:eastAsia="仿宋" w:cs="仿宋"/>
          <w:color w:val="333333"/>
          <w:kern w:val="0"/>
          <w:sz w:val="24"/>
          <w:szCs w:val="24"/>
          <w:highlight w:val="none"/>
          <w:shd w:val="clear" w:color="auto" w:fill="FFFFFF"/>
          <w:lang w:val="en-US" w:eastAsia="zh-CN"/>
        </w:rPr>
        <w:t xml:space="preserve"> 广西悦臻善商贸有限责任公司</w:t>
      </w:r>
      <w:bookmarkStart w:id="1" w:name="_GoBack"/>
      <w:bookmarkEnd w:id="1"/>
    </w:p>
    <w:p>
      <w:pPr>
        <w:spacing w:line="520" w:lineRule="exact"/>
        <w:ind w:firstLine="480" w:firstLineChars="200"/>
        <w:rPr>
          <w:rFonts w:ascii="仿宋" w:hAnsi="仿宋" w:eastAsia="仿宋" w:cs="仿宋"/>
          <w:color w:val="333333"/>
          <w:kern w:val="0"/>
          <w:sz w:val="24"/>
          <w:szCs w:val="24"/>
          <w:highlight w:val="none"/>
          <w:shd w:val="clear" w:color="auto" w:fill="FFFFFF"/>
        </w:rPr>
      </w:pPr>
      <w:r>
        <w:rPr>
          <w:rFonts w:hint="eastAsia" w:ascii="仿宋" w:hAnsi="仿宋" w:eastAsia="仿宋" w:cs="仿宋"/>
          <w:color w:val="333333"/>
          <w:kern w:val="0"/>
          <w:sz w:val="24"/>
          <w:szCs w:val="24"/>
          <w:highlight w:val="none"/>
          <w:shd w:val="clear" w:color="auto" w:fill="FFFFFF"/>
        </w:rPr>
        <w:t xml:space="preserve">供应商地址：南宁市青秀区七星路137号梦之岛购物中心一层L102、L116、L117、L119、L120、L121、L123号商铺 </w:t>
      </w:r>
      <w:r>
        <w:rPr>
          <w:rFonts w:hint="eastAsia" w:ascii="仿宋" w:hAnsi="仿宋" w:eastAsia="仿宋" w:cs="仿宋"/>
          <w:color w:val="333333"/>
          <w:kern w:val="0"/>
          <w:sz w:val="24"/>
          <w:szCs w:val="24"/>
          <w:highlight w:val="none"/>
          <w:shd w:val="clear" w:color="auto" w:fill="FFFFFF"/>
          <w:lang w:val="en-US" w:eastAsia="zh-CN"/>
        </w:rPr>
        <w:t xml:space="preserve"> </w:t>
      </w:r>
      <w:r>
        <w:rPr>
          <w:rFonts w:ascii="仿宋" w:hAnsi="仿宋" w:eastAsia="仿宋" w:cs="仿宋"/>
          <w:color w:val="333333"/>
          <w:kern w:val="0"/>
          <w:sz w:val="24"/>
          <w:szCs w:val="24"/>
          <w:highlight w:val="none"/>
          <w:shd w:val="clear" w:color="auto" w:fill="FFFFFF"/>
        </w:rPr>
        <w:t xml:space="preserve"> </w:t>
      </w:r>
    </w:p>
    <w:p>
      <w:pPr>
        <w:spacing w:line="520" w:lineRule="exact"/>
        <w:ind w:firstLine="480" w:firstLineChars="200"/>
        <w:rPr>
          <w:rFonts w:hint="eastAsia" w:ascii="宋体" w:hAnsi="宋体"/>
          <w:sz w:val="24"/>
          <w:highlight w:val="none"/>
        </w:rPr>
      </w:pPr>
      <w:r>
        <w:rPr>
          <w:rFonts w:hint="eastAsia" w:ascii="仿宋" w:hAnsi="仿宋" w:eastAsia="仿宋" w:cs="仿宋"/>
          <w:color w:val="333333"/>
          <w:kern w:val="0"/>
          <w:sz w:val="24"/>
          <w:szCs w:val="24"/>
          <w:highlight w:val="none"/>
          <w:shd w:val="clear" w:color="auto" w:fill="FFFFFF"/>
        </w:rPr>
        <w:t>中标金额：（大写）叁拾柒万捌仟陆佰伍拾元整（￥378650.00）</w:t>
      </w:r>
    </w:p>
    <w:p>
      <w:pPr>
        <w:numPr>
          <w:ilvl w:val="0"/>
          <w:numId w:val="2"/>
        </w:numPr>
        <w:spacing w:line="520" w:lineRule="exact"/>
        <w:rPr>
          <w:rFonts w:hint="eastAsia" w:ascii="黑体" w:hAnsi="黑体" w:eastAsia="黑体" w:cs="黑体"/>
          <w:sz w:val="24"/>
          <w:szCs w:val="24"/>
        </w:rPr>
      </w:pPr>
      <w:r>
        <w:rPr>
          <w:rFonts w:hint="eastAsia" w:ascii="黑体" w:hAnsi="黑体" w:eastAsia="黑体" w:cs="黑体"/>
          <w:sz w:val="24"/>
          <w:szCs w:val="24"/>
        </w:rPr>
        <w:t>主要标的信息</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44"/>
        <w:gridCol w:w="3075"/>
        <w:gridCol w:w="1155"/>
        <w:gridCol w:w="1560"/>
        <w:gridCol w:w="87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4"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3075" w:type="dxa"/>
            <w:vAlign w:val="center"/>
          </w:tcPr>
          <w:p>
            <w:pPr>
              <w:jc w:val="center"/>
              <w:rPr>
                <w:rFonts w:hint="eastAsia" w:ascii="仿宋" w:hAnsi="仿宋" w:eastAsia="仿宋" w:cs="仿宋"/>
                <w:sz w:val="24"/>
                <w:szCs w:val="24"/>
                <w:vertAlign w:val="baseline"/>
              </w:rPr>
            </w:pPr>
            <w:r>
              <w:rPr>
                <w:rFonts w:hint="eastAsia" w:ascii="仿宋" w:hAnsi="仿宋" w:eastAsia="仿宋" w:cs="仿宋"/>
                <w:kern w:val="0"/>
                <w:sz w:val="24"/>
                <w:szCs w:val="24"/>
              </w:rPr>
              <w:t>名称</w:t>
            </w:r>
          </w:p>
        </w:tc>
        <w:tc>
          <w:tcPr>
            <w:tcW w:w="1155" w:type="dxa"/>
            <w:vAlign w:val="center"/>
          </w:tcPr>
          <w:p>
            <w:pPr>
              <w:pStyle w:val="2"/>
              <w:jc w:val="center"/>
              <w:rPr>
                <w:rFonts w:hint="eastAsia" w:ascii="仿宋" w:hAnsi="仿宋" w:eastAsia="仿宋" w:cs="仿宋"/>
                <w:sz w:val="24"/>
                <w:szCs w:val="24"/>
                <w:vertAlign w:val="baseline"/>
              </w:rPr>
            </w:pPr>
            <w:r>
              <w:rPr>
                <w:rFonts w:hint="eastAsia" w:ascii="仿宋" w:hAnsi="仿宋" w:eastAsia="仿宋" w:cs="仿宋"/>
                <w:kern w:val="0"/>
                <w:sz w:val="24"/>
                <w:szCs w:val="24"/>
              </w:rPr>
              <w:t>品牌</w:t>
            </w:r>
          </w:p>
        </w:tc>
        <w:tc>
          <w:tcPr>
            <w:tcW w:w="1560" w:type="dxa"/>
            <w:vAlign w:val="center"/>
          </w:tcPr>
          <w:p>
            <w:pPr>
              <w:pStyle w:val="2"/>
              <w:jc w:val="center"/>
              <w:rPr>
                <w:rFonts w:hint="eastAsia" w:ascii="仿宋" w:hAnsi="仿宋" w:eastAsia="仿宋" w:cs="仿宋"/>
                <w:sz w:val="24"/>
                <w:szCs w:val="24"/>
                <w:vertAlign w:val="baseline"/>
              </w:rPr>
            </w:pPr>
            <w:r>
              <w:rPr>
                <w:rFonts w:hint="eastAsia" w:ascii="仿宋" w:hAnsi="仿宋" w:eastAsia="仿宋" w:cs="仿宋"/>
                <w:kern w:val="0"/>
                <w:sz w:val="24"/>
                <w:szCs w:val="24"/>
              </w:rPr>
              <w:t>规格型号</w:t>
            </w:r>
          </w:p>
        </w:tc>
        <w:tc>
          <w:tcPr>
            <w:tcW w:w="870" w:type="dxa"/>
            <w:vAlign w:val="center"/>
          </w:tcPr>
          <w:p>
            <w:pPr>
              <w:pStyle w:val="2"/>
              <w:jc w:val="center"/>
              <w:rPr>
                <w:rFonts w:hint="eastAsia" w:ascii="仿宋" w:hAnsi="仿宋" w:eastAsia="仿宋" w:cs="仿宋"/>
                <w:sz w:val="24"/>
                <w:szCs w:val="24"/>
                <w:vertAlign w:val="baseline"/>
              </w:rPr>
            </w:pPr>
            <w:r>
              <w:rPr>
                <w:rFonts w:hint="eastAsia" w:ascii="仿宋" w:hAnsi="仿宋" w:eastAsia="仿宋" w:cs="仿宋"/>
                <w:kern w:val="0"/>
                <w:sz w:val="24"/>
                <w:szCs w:val="24"/>
              </w:rPr>
              <w:t>数量</w:t>
            </w:r>
          </w:p>
        </w:tc>
        <w:tc>
          <w:tcPr>
            <w:tcW w:w="1118" w:type="dxa"/>
            <w:vAlign w:val="center"/>
          </w:tcPr>
          <w:p>
            <w:pPr>
              <w:pStyle w:val="2"/>
              <w:jc w:val="center"/>
              <w:rPr>
                <w:rFonts w:hint="eastAsia" w:ascii="仿宋" w:hAnsi="仿宋" w:eastAsia="仿宋" w:cs="仿宋"/>
                <w:sz w:val="24"/>
                <w:szCs w:val="24"/>
                <w:vertAlign w:val="baseline"/>
              </w:rPr>
            </w:pPr>
            <w:r>
              <w:rPr>
                <w:rFonts w:hint="eastAsia" w:ascii="仿宋" w:hAnsi="仿宋" w:eastAsia="仿宋" w:cs="仿宋"/>
                <w:kern w:val="0"/>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3075" w:type="dxa"/>
            <w:vAlign w:val="center"/>
          </w:tcPr>
          <w:p>
            <w:pPr>
              <w:pStyle w:val="2"/>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双排键电子琴（演奏型）</w:t>
            </w:r>
          </w:p>
        </w:tc>
        <w:tc>
          <w:tcPr>
            <w:tcW w:w="1155" w:type="dxa"/>
            <w:vAlign w:val="center"/>
          </w:tcPr>
          <w:p>
            <w:pPr>
              <w:pStyle w:val="2"/>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雅马哈</w:t>
            </w:r>
          </w:p>
        </w:tc>
        <w:tc>
          <w:tcPr>
            <w:tcW w:w="1560"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ELS-02C</w:t>
            </w:r>
          </w:p>
        </w:tc>
        <w:tc>
          <w:tcPr>
            <w:tcW w:w="870"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118"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4"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3075" w:type="dxa"/>
            <w:vAlign w:val="center"/>
          </w:tcPr>
          <w:p>
            <w:pPr>
              <w:pStyle w:val="2"/>
              <w:jc w:val="center"/>
              <w:rPr>
                <w:rFonts w:hint="eastAsia" w:ascii="仿宋" w:hAnsi="仿宋" w:eastAsia="仿宋" w:cs="仿宋"/>
                <w:sz w:val="24"/>
                <w:szCs w:val="24"/>
                <w:vertAlign w:val="baseline"/>
              </w:rPr>
            </w:pPr>
            <w:r>
              <w:rPr>
                <w:rFonts w:hint="eastAsia" w:ascii="仿宋" w:hAnsi="仿宋" w:eastAsia="仿宋" w:cs="仿宋"/>
                <w:sz w:val="24"/>
                <w:szCs w:val="24"/>
              </w:rPr>
              <w:t>双排键电子琴（便携式）</w:t>
            </w:r>
          </w:p>
        </w:tc>
        <w:tc>
          <w:tcPr>
            <w:tcW w:w="1155" w:type="dxa"/>
            <w:vAlign w:val="center"/>
          </w:tcPr>
          <w:p>
            <w:pPr>
              <w:pStyle w:val="2"/>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雅马哈</w:t>
            </w:r>
          </w:p>
        </w:tc>
        <w:tc>
          <w:tcPr>
            <w:tcW w:w="1560"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ELC-02</w:t>
            </w:r>
          </w:p>
        </w:tc>
        <w:tc>
          <w:tcPr>
            <w:tcW w:w="870"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118"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4"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3075" w:type="dxa"/>
            <w:vAlign w:val="center"/>
          </w:tcPr>
          <w:p>
            <w:pPr>
              <w:pStyle w:val="2"/>
              <w:jc w:val="center"/>
              <w:rPr>
                <w:rFonts w:hint="eastAsia" w:ascii="仿宋" w:hAnsi="仿宋" w:eastAsia="仿宋" w:cs="仿宋"/>
                <w:sz w:val="24"/>
                <w:szCs w:val="24"/>
                <w:vertAlign w:val="baseline"/>
              </w:rPr>
            </w:pPr>
            <w:r>
              <w:rPr>
                <w:rFonts w:hint="eastAsia" w:ascii="仿宋" w:hAnsi="仿宋" w:eastAsia="仿宋" w:cs="仿宋"/>
                <w:sz w:val="24"/>
                <w:szCs w:val="24"/>
              </w:rPr>
              <w:t>双排键电子琴</w:t>
            </w:r>
          </w:p>
        </w:tc>
        <w:tc>
          <w:tcPr>
            <w:tcW w:w="1155" w:type="dxa"/>
            <w:vAlign w:val="center"/>
          </w:tcPr>
          <w:p>
            <w:pPr>
              <w:pStyle w:val="2"/>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雅马哈</w:t>
            </w:r>
          </w:p>
        </w:tc>
        <w:tc>
          <w:tcPr>
            <w:tcW w:w="1560"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ELB-02</w:t>
            </w:r>
          </w:p>
        </w:tc>
        <w:tc>
          <w:tcPr>
            <w:tcW w:w="870"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118"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4"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3075" w:type="dxa"/>
            <w:vAlign w:val="center"/>
          </w:tcPr>
          <w:p>
            <w:pPr>
              <w:pStyle w:val="2"/>
              <w:jc w:val="center"/>
              <w:rPr>
                <w:rFonts w:hint="eastAsia" w:ascii="仿宋" w:hAnsi="仿宋" w:eastAsia="仿宋" w:cs="仿宋"/>
                <w:sz w:val="24"/>
                <w:szCs w:val="24"/>
                <w:vertAlign w:val="baseline"/>
              </w:rPr>
            </w:pPr>
            <w:r>
              <w:rPr>
                <w:rFonts w:hint="eastAsia" w:ascii="仿宋" w:hAnsi="仿宋" w:eastAsia="仿宋" w:cs="仿宋"/>
                <w:sz w:val="24"/>
                <w:szCs w:val="24"/>
              </w:rPr>
              <w:t>舞台电钢琴</w:t>
            </w:r>
          </w:p>
        </w:tc>
        <w:tc>
          <w:tcPr>
            <w:tcW w:w="1155" w:type="dxa"/>
            <w:vAlign w:val="center"/>
          </w:tcPr>
          <w:p>
            <w:pPr>
              <w:pStyle w:val="2"/>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雅马哈</w:t>
            </w:r>
          </w:p>
        </w:tc>
        <w:tc>
          <w:tcPr>
            <w:tcW w:w="1560"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NU1X</w:t>
            </w:r>
          </w:p>
        </w:tc>
        <w:tc>
          <w:tcPr>
            <w:tcW w:w="870"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118"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4"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3075" w:type="dxa"/>
            <w:vAlign w:val="center"/>
          </w:tcPr>
          <w:p>
            <w:pPr>
              <w:pStyle w:val="2"/>
              <w:jc w:val="center"/>
              <w:rPr>
                <w:rFonts w:hint="eastAsia" w:ascii="仿宋" w:hAnsi="仿宋" w:eastAsia="仿宋" w:cs="仿宋"/>
                <w:sz w:val="24"/>
                <w:szCs w:val="24"/>
                <w:vertAlign w:val="baseline"/>
              </w:rPr>
            </w:pPr>
            <w:r>
              <w:rPr>
                <w:rFonts w:hint="eastAsia" w:ascii="仿宋" w:hAnsi="仿宋" w:eastAsia="仿宋" w:cs="仿宋"/>
                <w:sz w:val="24"/>
                <w:szCs w:val="24"/>
              </w:rPr>
              <w:t>电钢琴</w:t>
            </w:r>
          </w:p>
        </w:tc>
        <w:tc>
          <w:tcPr>
            <w:tcW w:w="1155" w:type="dxa"/>
            <w:vAlign w:val="center"/>
          </w:tcPr>
          <w:p>
            <w:pPr>
              <w:pStyle w:val="2"/>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雅马哈</w:t>
            </w:r>
          </w:p>
        </w:tc>
        <w:tc>
          <w:tcPr>
            <w:tcW w:w="1560"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CLP-525B</w:t>
            </w:r>
          </w:p>
        </w:tc>
        <w:tc>
          <w:tcPr>
            <w:tcW w:w="870"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118" w:type="dxa"/>
            <w:vAlign w:val="center"/>
          </w:tcPr>
          <w:p>
            <w:pPr>
              <w:pStyle w:val="2"/>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9700</w:t>
            </w:r>
          </w:p>
        </w:tc>
      </w:tr>
    </w:tbl>
    <w:p>
      <w:pPr>
        <w:pStyle w:val="2"/>
        <w:rPr>
          <w:rFonts w:hint="eastAsia"/>
        </w:rPr>
      </w:pPr>
    </w:p>
    <w:p>
      <w:pPr>
        <w:numPr>
          <w:ilvl w:val="0"/>
          <w:numId w:val="2"/>
        </w:numPr>
        <w:spacing w:line="520" w:lineRule="exact"/>
        <w:ind w:left="0" w:leftChars="0" w:firstLine="0" w:firstLineChars="0"/>
        <w:rPr>
          <w:rFonts w:hint="eastAsia" w:ascii="仿宋" w:hAnsi="仿宋" w:eastAsia="仿宋" w:cs="仿宋"/>
          <w:b w:val="0"/>
          <w:bCs w:val="0"/>
          <w:sz w:val="24"/>
          <w:szCs w:val="24"/>
        </w:rPr>
      </w:pPr>
      <w:r>
        <w:rPr>
          <w:rFonts w:hint="eastAsia" w:ascii="黑体" w:hAnsi="黑体" w:eastAsia="黑体" w:cs="黑体"/>
          <w:sz w:val="24"/>
          <w:szCs w:val="24"/>
        </w:rPr>
        <w:t>评审专家名单</w:t>
      </w:r>
      <w:r>
        <w:rPr>
          <w:rFonts w:hint="eastAsia" w:ascii="黑体" w:hAnsi="黑体" w:eastAsia="黑体" w:cs="黑体"/>
          <w:sz w:val="24"/>
          <w:szCs w:val="24"/>
          <w:lang w:eastAsia="zh-CN"/>
        </w:rPr>
        <w:t>：</w:t>
      </w:r>
      <w:r>
        <w:rPr>
          <w:rFonts w:hint="eastAsia" w:ascii="仿宋" w:hAnsi="仿宋" w:eastAsia="仿宋" w:cs="仿宋"/>
          <w:b w:val="0"/>
          <w:bCs w:val="0"/>
          <w:sz w:val="24"/>
          <w:szCs w:val="24"/>
          <w:lang w:eastAsia="zh-CN"/>
        </w:rPr>
        <w:t>廖桂辉（组长）、张力、全宏愿</w:t>
      </w:r>
    </w:p>
    <w:p>
      <w:pPr>
        <w:numPr>
          <w:ilvl w:val="0"/>
          <w:numId w:val="0"/>
        </w:numPr>
        <w:spacing w:line="520" w:lineRule="exact"/>
        <w:ind w:leftChars="0"/>
        <w:rPr>
          <w:rFonts w:ascii="仿宋" w:hAnsi="仿宋" w:eastAsia="仿宋"/>
          <w:color w:val="000000"/>
          <w:sz w:val="24"/>
          <w:szCs w:val="24"/>
          <w:highlight w:val="none"/>
        </w:rPr>
      </w:pPr>
      <w:r>
        <w:rPr>
          <w:rFonts w:hint="eastAsia" w:ascii="黑体" w:hAnsi="黑体" w:eastAsia="黑体" w:cs="黑体"/>
          <w:sz w:val="24"/>
          <w:szCs w:val="24"/>
        </w:rPr>
        <w:t>六、代理服务收费标准及金额：</w:t>
      </w:r>
      <w:r>
        <w:rPr>
          <w:rFonts w:hint="eastAsia" w:ascii="仿宋" w:hAnsi="仿宋" w:eastAsia="仿宋" w:cs="仿宋"/>
          <w:sz w:val="24"/>
          <w:szCs w:val="24"/>
        </w:rPr>
        <w:t>中标供应商领取中标通知书前，代理服务费按照桂林市七星区政府采购办《关于改进支付代理机构服务费暂行办法》的</w:t>
      </w:r>
      <w:r>
        <w:rPr>
          <w:rFonts w:hint="eastAsia" w:ascii="仿宋" w:hAnsi="仿宋" w:eastAsia="仿宋" w:cs="仿宋"/>
          <w:sz w:val="24"/>
          <w:szCs w:val="24"/>
          <w:lang w:eastAsia="zh-CN"/>
        </w:rPr>
        <w:t>货物招标</w:t>
      </w:r>
      <w:r>
        <w:rPr>
          <w:rFonts w:hint="eastAsia" w:ascii="仿宋" w:hAnsi="仿宋" w:eastAsia="仿宋" w:cs="仿宋"/>
          <w:sz w:val="24"/>
          <w:szCs w:val="24"/>
        </w:rPr>
        <w:t>标准执行</w:t>
      </w:r>
      <w:r>
        <w:rPr>
          <w:rFonts w:ascii="仿宋" w:hAnsi="仿宋" w:eastAsia="仿宋" w:cs="仿宋"/>
          <w:sz w:val="24"/>
          <w:szCs w:val="24"/>
        </w:rPr>
        <w:t>,</w:t>
      </w:r>
      <w:r>
        <w:rPr>
          <w:rFonts w:hint="eastAsia" w:ascii="仿宋" w:hAnsi="仿宋" w:eastAsia="仿宋" w:cs="仿宋"/>
          <w:sz w:val="24"/>
          <w:szCs w:val="24"/>
        </w:rPr>
        <w:t>由</w:t>
      </w:r>
      <w:r>
        <w:rPr>
          <w:rFonts w:hint="eastAsia" w:ascii="仿宋" w:hAnsi="仿宋" w:eastAsia="仿宋" w:cs="仿宋"/>
          <w:sz w:val="24"/>
          <w:szCs w:val="24"/>
          <w:lang w:eastAsia="zh-CN"/>
        </w:rPr>
        <w:t>中标单位</w:t>
      </w:r>
      <w:r>
        <w:rPr>
          <w:rFonts w:hint="eastAsia" w:ascii="仿宋" w:hAnsi="仿宋" w:eastAsia="仿宋" w:cs="仿宋"/>
          <w:sz w:val="24"/>
          <w:szCs w:val="24"/>
        </w:rPr>
        <w:t>向广西金鼎盛工程咨询有限公司一次性付清，</w:t>
      </w:r>
      <w:r>
        <w:rPr>
          <w:rFonts w:hint="eastAsia" w:ascii="仿宋" w:hAnsi="仿宋" w:eastAsia="仿宋" w:cs="仿宋"/>
          <w:sz w:val="24"/>
          <w:szCs w:val="24"/>
          <w:highlight w:val="none"/>
        </w:rPr>
        <w:t>金额为：人民币</w:t>
      </w:r>
      <w:r>
        <w:rPr>
          <w:rFonts w:hint="eastAsia" w:ascii="仿宋" w:hAnsi="仿宋" w:eastAsia="仿宋" w:cs="仿宋"/>
          <w:sz w:val="24"/>
          <w:szCs w:val="24"/>
          <w:highlight w:val="none"/>
          <w:lang w:eastAsia="zh-CN"/>
        </w:rPr>
        <w:t>叁仟元整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3000.00 </w:t>
      </w:r>
      <w:r>
        <w:rPr>
          <w:rFonts w:hint="eastAsia" w:ascii="仿宋" w:hAnsi="仿宋" w:eastAsia="仿宋" w:cs="仿宋"/>
          <w:sz w:val="24"/>
          <w:szCs w:val="24"/>
          <w:highlight w:val="none"/>
        </w:rPr>
        <w:t>）。</w:t>
      </w:r>
    </w:p>
    <w:p>
      <w:pPr>
        <w:spacing w:line="520" w:lineRule="exact"/>
        <w:rPr>
          <w:rFonts w:ascii="黑体" w:hAnsi="黑体" w:eastAsia="黑体"/>
          <w:sz w:val="24"/>
          <w:szCs w:val="24"/>
        </w:rPr>
      </w:pPr>
      <w:r>
        <w:rPr>
          <w:rFonts w:hint="eastAsia" w:ascii="黑体" w:hAnsi="黑体" w:eastAsia="黑体" w:cs="黑体"/>
          <w:sz w:val="24"/>
          <w:szCs w:val="24"/>
        </w:rPr>
        <w:t>七、公告期限</w:t>
      </w:r>
    </w:p>
    <w:p>
      <w:pPr>
        <w:spacing w:line="520" w:lineRule="exact"/>
        <w:ind w:firstLine="480" w:firstLineChars="200"/>
        <w:rPr>
          <w:rFonts w:ascii="仿宋" w:hAnsi="仿宋" w:eastAsia="仿宋"/>
          <w:kern w:val="0"/>
          <w:sz w:val="24"/>
          <w:szCs w:val="24"/>
        </w:rPr>
      </w:pPr>
      <w:r>
        <w:rPr>
          <w:rFonts w:hint="eastAsia" w:ascii="仿宋" w:hAnsi="仿宋" w:eastAsia="仿宋" w:cs="仿宋"/>
          <w:kern w:val="0"/>
          <w:sz w:val="24"/>
          <w:szCs w:val="24"/>
        </w:rPr>
        <w:t>自本公告发布之日起</w:t>
      </w:r>
      <w:r>
        <w:rPr>
          <w:rFonts w:ascii="仿宋" w:hAnsi="仿宋" w:eastAsia="仿宋" w:cs="仿宋"/>
          <w:kern w:val="0"/>
          <w:sz w:val="24"/>
          <w:szCs w:val="24"/>
        </w:rPr>
        <w:t>1</w:t>
      </w:r>
      <w:r>
        <w:rPr>
          <w:rFonts w:hint="eastAsia" w:ascii="仿宋" w:hAnsi="仿宋" w:eastAsia="仿宋" w:cs="仿宋"/>
          <w:kern w:val="0"/>
          <w:sz w:val="24"/>
          <w:szCs w:val="24"/>
        </w:rPr>
        <w:t>个工作日。</w:t>
      </w:r>
    </w:p>
    <w:p>
      <w:pPr>
        <w:spacing w:line="520" w:lineRule="exact"/>
        <w:rPr>
          <w:rFonts w:ascii="黑体" w:hAnsi="黑体" w:eastAsia="黑体"/>
          <w:sz w:val="24"/>
          <w:szCs w:val="24"/>
        </w:rPr>
      </w:pPr>
      <w:r>
        <w:rPr>
          <w:rFonts w:hint="eastAsia" w:ascii="黑体" w:hAnsi="黑体" w:eastAsia="黑体" w:cs="黑体"/>
          <w:sz w:val="24"/>
          <w:szCs w:val="24"/>
        </w:rPr>
        <w:t>八、其他补充事宜</w:t>
      </w:r>
    </w:p>
    <w:p>
      <w:pPr>
        <w:widowControl/>
        <w:shd w:val="clear" w:color="auto" w:fill="FFFFFF"/>
        <w:spacing w:line="520" w:lineRule="exact"/>
        <w:ind w:right="-29" w:firstLine="371"/>
        <w:jc w:val="left"/>
        <w:rPr>
          <w:rFonts w:hint="eastAsia" w:ascii="仿宋" w:hAnsi="仿宋" w:eastAsia="仿宋" w:cs="仿宋"/>
          <w:color w:val="333333"/>
          <w:kern w:val="0"/>
          <w:sz w:val="24"/>
          <w:szCs w:val="24"/>
          <w:shd w:val="clear" w:color="auto" w:fill="FFFFFF"/>
        </w:rPr>
      </w:pPr>
      <w:r>
        <w:rPr>
          <w:rFonts w:ascii="仿宋" w:hAnsi="仿宋" w:eastAsia="仿宋" w:cs="仿宋"/>
          <w:color w:val="333333"/>
          <w:kern w:val="0"/>
          <w:sz w:val="24"/>
          <w:szCs w:val="24"/>
          <w:shd w:val="clear" w:color="auto" w:fill="FFFFFF"/>
        </w:rPr>
        <w:t>1</w:t>
      </w:r>
      <w:r>
        <w:rPr>
          <w:rFonts w:hint="eastAsia" w:ascii="仿宋" w:hAnsi="仿宋" w:eastAsia="仿宋" w:cs="仿宋"/>
          <w:color w:val="333333"/>
          <w:kern w:val="0"/>
          <w:sz w:val="24"/>
          <w:szCs w:val="24"/>
          <w:shd w:val="clear" w:color="auto" w:fill="FFFFFF"/>
        </w:rPr>
        <w:t>、未中标情况：</w:t>
      </w:r>
    </w:p>
    <w:tbl>
      <w:tblPr>
        <w:tblStyle w:val="19"/>
        <w:tblW w:w="836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4961"/>
        <w:gridCol w:w="2127"/>
        <w:gridCol w:w="12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19" w:hRule="atLeast"/>
          <w:jc w:val="center"/>
        </w:trPr>
        <w:tc>
          <w:tcPr>
            <w:tcW w:w="496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520" w:lineRule="exact"/>
              <w:jc w:val="center"/>
              <w:rPr>
                <w:rFonts w:ascii="仿宋" w:hAnsi="仿宋" w:eastAsia="仿宋"/>
                <w:sz w:val="24"/>
                <w:szCs w:val="24"/>
              </w:rPr>
            </w:pPr>
            <w:r>
              <w:rPr>
                <w:rFonts w:hint="eastAsia" w:ascii="仿宋" w:hAnsi="仿宋" w:eastAsia="仿宋" w:cs="仿宋"/>
                <w:color w:val="333333"/>
                <w:kern w:val="0"/>
                <w:sz w:val="24"/>
                <w:szCs w:val="24"/>
              </w:rPr>
              <w:t>未中标人名称</w:t>
            </w:r>
          </w:p>
        </w:tc>
        <w:tc>
          <w:tcPr>
            <w:tcW w:w="212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520" w:lineRule="exact"/>
              <w:jc w:val="center"/>
              <w:rPr>
                <w:rFonts w:hint="eastAsia" w:ascii="仿宋" w:hAnsi="仿宋" w:eastAsia="仿宋"/>
                <w:sz w:val="24"/>
                <w:szCs w:val="24"/>
                <w:lang w:eastAsia="zh-CN"/>
              </w:rPr>
            </w:pPr>
            <w:r>
              <w:rPr>
                <w:rFonts w:hint="eastAsia" w:ascii="仿宋" w:hAnsi="仿宋" w:eastAsia="仿宋" w:cs="仿宋"/>
                <w:color w:val="333333"/>
                <w:kern w:val="0"/>
                <w:sz w:val="24"/>
                <w:szCs w:val="24"/>
              </w:rPr>
              <w:t>评标</w:t>
            </w:r>
            <w:r>
              <w:rPr>
                <w:rFonts w:hint="eastAsia" w:ascii="仿宋" w:hAnsi="仿宋" w:eastAsia="仿宋" w:cs="仿宋"/>
                <w:color w:val="333333"/>
                <w:kern w:val="0"/>
                <w:sz w:val="24"/>
                <w:szCs w:val="24"/>
                <w:lang w:eastAsia="zh-CN"/>
              </w:rPr>
              <w:t>价</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520" w:lineRule="exact"/>
              <w:jc w:val="center"/>
              <w:rPr>
                <w:rFonts w:ascii="仿宋" w:hAnsi="仿宋" w:eastAsia="仿宋"/>
                <w:sz w:val="24"/>
                <w:szCs w:val="24"/>
              </w:rPr>
            </w:pPr>
            <w:r>
              <w:rPr>
                <w:rFonts w:hint="eastAsia" w:ascii="仿宋" w:hAnsi="仿宋" w:eastAsia="仿宋" w:cs="仿宋"/>
                <w:color w:val="333333"/>
                <w:kern w:val="0"/>
                <w:sz w:val="24"/>
                <w:szCs w:val="24"/>
              </w:rPr>
              <w:t>排序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19" w:hRule="atLeast"/>
          <w:jc w:val="center"/>
        </w:trPr>
        <w:tc>
          <w:tcPr>
            <w:tcW w:w="496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520" w:lineRule="exact"/>
              <w:jc w:val="center"/>
              <w:rPr>
                <w:rFonts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广西正弘贸科技有限责任公司</w:t>
            </w:r>
          </w:p>
        </w:tc>
        <w:tc>
          <w:tcPr>
            <w:tcW w:w="212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379480.00</w:t>
            </w:r>
          </w:p>
        </w:tc>
        <w:tc>
          <w:tcPr>
            <w:tcW w:w="12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520" w:lineRule="exact"/>
              <w:jc w:val="center"/>
              <w:rPr>
                <w:rFonts w:hint="eastAsia" w:ascii="仿宋" w:hAnsi="仿宋" w:eastAsia="仿宋" w:cs="仿宋"/>
                <w:color w:val="333333"/>
                <w:kern w:val="0"/>
                <w:sz w:val="24"/>
                <w:szCs w:val="24"/>
                <w:shd w:val="clear" w:color="auto" w:fill="FFFFFF"/>
                <w:lang w:val="en-US" w:eastAsia="zh-CN"/>
              </w:rPr>
            </w:pPr>
            <w:r>
              <w:rPr>
                <w:rFonts w:hint="eastAsia" w:ascii="仿宋" w:hAnsi="仿宋" w:eastAsia="仿宋" w:cs="仿宋"/>
                <w:color w:val="333333"/>
                <w:kern w:val="0"/>
                <w:sz w:val="24"/>
                <w:szCs w:val="24"/>
                <w:shd w:val="clear" w:color="auto" w:fill="FFFFFF"/>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19" w:hRule="atLeast"/>
          <w:jc w:val="center"/>
        </w:trPr>
        <w:tc>
          <w:tcPr>
            <w:tcW w:w="496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520" w:lineRule="exact"/>
              <w:jc w:val="center"/>
              <w:rPr>
                <w:rFonts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桂林市鼎承科技教学设备有限责任公司</w:t>
            </w:r>
          </w:p>
        </w:tc>
        <w:tc>
          <w:tcPr>
            <w:tcW w:w="212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379650.00</w:t>
            </w:r>
          </w:p>
        </w:tc>
        <w:tc>
          <w:tcPr>
            <w:tcW w:w="12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520" w:lineRule="exact"/>
              <w:jc w:val="center"/>
              <w:rPr>
                <w:rFonts w:hint="eastAsia" w:ascii="仿宋" w:hAnsi="仿宋" w:eastAsia="仿宋" w:cs="仿宋"/>
                <w:color w:val="333333"/>
                <w:kern w:val="0"/>
                <w:sz w:val="24"/>
                <w:szCs w:val="24"/>
                <w:shd w:val="clear" w:color="auto" w:fill="FFFFFF"/>
                <w:lang w:val="en-US" w:eastAsia="zh-CN"/>
              </w:rPr>
            </w:pPr>
            <w:r>
              <w:rPr>
                <w:rFonts w:hint="eastAsia" w:ascii="仿宋" w:hAnsi="仿宋" w:eastAsia="仿宋" w:cs="仿宋"/>
                <w:color w:val="333333"/>
                <w:kern w:val="0"/>
                <w:sz w:val="24"/>
                <w:szCs w:val="24"/>
                <w:shd w:val="clear" w:color="auto" w:fill="FFFFFF"/>
                <w:lang w:val="en-US" w:eastAsia="zh-CN"/>
              </w:rPr>
              <w:t>3</w:t>
            </w:r>
          </w:p>
        </w:tc>
      </w:tr>
    </w:tbl>
    <w:p>
      <w:pPr>
        <w:widowControl/>
        <w:shd w:val="clear" w:color="auto" w:fill="FFFFFF"/>
        <w:spacing w:line="520" w:lineRule="exact"/>
        <w:ind w:right="-29" w:firstLine="480" w:firstLineChars="200"/>
        <w:jc w:val="left"/>
        <w:rPr>
          <w:rFonts w:ascii="仿宋" w:hAnsi="仿宋" w:eastAsia="仿宋"/>
          <w:color w:val="333333"/>
          <w:kern w:val="0"/>
          <w:sz w:val="24"/>
          <w:szCs w:val="24"/>
          <w:shd w:val="clear" w:color="auto" w:fill="FFFFFF"/>
        </w:rPr>
      </w:pPr>
      <w:r>
        <w:rPr>
          <w:rFonts w:ascii="仿宋" w:hAnsi="仿宋" w:eastAsia="仿宋" w:cs="仿宋"/>
          <w:color w:val="333333"/>
          <w:kern w:val="0"/>
          <w:sz w:val="24"/>
          <w:szCs w:val="24"/>
          <w:shd w:val="clear" w:color="auto" w:fill="FFFFFF"/>
        </w:rPr>
        <w:t>2</w:t>
      </w:r>
      <w:r>
        <w:rPr>
          <w:rFonts w:hint="eastAsia" w:ascii="仿宋" w:hAnsi="仿宋" w:eastAsia="仿宋" w:cs="仿宋"/>
          <w:color w:val="333333"/>
          <w:kern w:val="0"/>
          <w:sz w:val="24"/>
          <w:szCs w:val="24"/>
          <w:shd w:val="clear" w:color="auto" w:fill="FFFFFF"/>
        </w:rPr>
        <w:t>、未通过资格审查的竞标人情况：无。</w:t>
      </w:r>
    </w:p>
    <w:p>
      <w:pPr>
        <w:widowControl/>
        <w:shd w:val="clear" w:color="auto" w:fill="FFFFFF"/>
        <w:spacing w:line="520" w:lineRule="exact"/>
        <w:ind w:right="-29" w:firstLine="480" w:firstLineChars="200"/>
        <w:jc w:val="left"/>
        <w:rPr>
          <w:rFonts w:ascii="仿宋" w:hAnsi="仿宋" w:eastAsia="仿宋"/>
          <w:color w:val="333333"/>
          <w:kern w:val="0"/>
          <w:sz w:val="24"/>
          <w:szCs w:val="24"/>
          <w:shd w:val="clear" w:color="auto" w:fill="FFFFFF"/>
        </w:rPr>
      </w:pPr>
      <w:r>
        <w:rPr>
          <w:rFonts w:ascii="仿宋" w:hAnsi="仿宋" w:eastAsia="仿宋" w:cs="仿宋"/>
          <w:color w:val="333333"/>
          <w:kern w:val="0"/>
          <w:sz w:val="24"/>
          <w:szCs w:val="24"/>
          <w:shd w:val="clear" w:color="auto" w:fill="FFFFFF"/>
        </w:rPr>
        <w:t>3</w:t>
      </w:r>
      <w:r>
        <w:rPr>
          <w:rFonts w:hint="eastAsia" w:ascii="仿宋" w:hAnsi="仿宋" w:eastAsia="仿宋" w:cs="仿宋"/>
          <w:color w:val="333333"/>
          <w:kern w:val="0"/>
          <w:sz w:val="24"/>
          <w:szCs w:val="24"/>
          <w:shd w:val="clear" w:color="auto" w:fill="FFFFFF"/>
        </w:rPr>
        <w:t>、投标人认为中标结果使自己的权益受到损害的，可以在中标结果公告期限届满之日起七个工作日内以书面形式向采购人或采购代理机构提出质疑，逾期将不再受理。</w:t>
      </w:r>
    </w:p>
    <w:p>
      <w:pPr>
        <w:pStyle w:val="37"/>
        <w:spacing w:line="520" w:lineRule="exact"/>
        <w:ind w:firstLine="31680"/>
        <w:rPr>
          <w:rFonts w:ascii="仿宋" w:hAnsi="仿宋" w:eastAsia="仿宋"/>
          <w:color w:val="333333"/>
          <w:kern w:val="0"/>
          <w:sz w:val="24"/>
          <w:szCs w:val="24"/>
          <w:shd w:val="clear" w:color="auto" w:fill="FFFFFF"/>
        </w:rPr>
      </w:pPr>
      <w:r>
        <w:rPr>
          <w:rFonts w:ascii="仿宋" w:hAnsi="仿宋" w:eastAsia="仿宋" w:cs="仿宋"/>
          <w:color w:val="333333"/>
          <w:kern w:val="0"/>
          <w:sz w:val="24"/>
          <w:szCs w:val="24"/>
          <w:shd w:val="clear" w:color="auto" w:fill="FFFFFF"/>
        </w:rPr>
        <w:t>4</w:t>
      </w:r>
      <w:r>
        <w:rPr>
          <w:rFonts w:hint="eastAsia" w:ascii="仿宋" w:hAnsi="仿宋" w:eastAsia="仿宋" w:cs="仿宋"/>
          <w:color w:val="333333"/>
          <w:kern w:val="0"/>
          <w:sz w:val="24"/>
          <w:szCs w:val="24"/>
          <w:shd w:val="clear" w:color="auto" w:fill="FFFFFF"/>
        </w:rPr>
        <w:t>、信息公告发布媒体：www.ccgp.gov.cn（中国政府采购网）、zfcg.gxzf.gov.cn（广西壮族自治区政府采购网）、zfcg.czj.guilin.gov.cn（桂林市政府采购网）、www.glggzy.org.cn（桂林市公共资源交易中心网）。</w:t>
      </w:r>
    </w:p>
    <w:p>
      <w:pPr>
        <w:pStyle w:val="17"/>
        <w:shd w:val="clear" w:color="auto" w:fill="FFFFFF"/>
        <w:spacing w:beforeAutospacing="0" w:afterAutospacing="0" w:line="520" w:lineRule="exact"/>
        <w:rPr>
          <w:rFonts w:ascii="黑体" w:hAnsi="黑体" w:eastAsia="黑体" w:cs="Times New Roman"/>
          <w:kern w:val="2"/>
          <w:sz w:val="24"/>
          <w:szCs w:val="24"/>
        </w:rPr>
      </w:pPr>
      <w:r>
        <w:rPr>
          <w:rFonts w:hint="eastAsia" w:ascii="黑体" w:hAnsi="黑体" w:eastAsia="黑体" w:cs="黑体"/>
          <w:kern w:val="2"/>
          <w:sz w:val="24"/>
          <w:szCs w:val="24"/>
        </w:rPr>
        <w:t>九、凡对本次公告内容提出询问，请按以下方式联系。</w:t>
      </w:r>
    </w:p>
    <w:p>
      <w:pPr>
        <w:pStyle w:val="2"/>
        <w:spacing w:line="520" w:lineRule="exact"/>
        <w:rPr>
          <w:rFonts w:hint="eastAsia"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1.采购人信息</w:t>
      </w:r>
    </w:p>
    <w:p>
      <w:pPr>
        <w:pStyle w:val="2"/>
        <w:spacing w:line="520" w:lineRule="exact"/>
        <w:rPr>
          <w:rFonts w:hint="eastAsia"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 xml:space="preserve">名称：桂林市七星区青少年活动中心 </w:t>
      </w:r>
    </w:p>
    <w:p>
      <w:pPr>
        <w:pStyle w:val="2"/>
        <w:spacing w:line="520" w:lineRule="exact"/>
        <w:rPr>
          <w:rFonts w:hint="eastAsia"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 xml:space="preserve">地址： 桂林市七星区漓江路35号   </w:t>
      </w:r>
    </w:p>
    <w:p>
      <w:pPr>
        <w:pStyle w:val="2"/>
        <w:spacing w:line="520" w:lineRule="exact"/>
        <w:rPr>
          <w:rFonts w:hint="eastAsia"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项目联系人：张馨予</w:t>
      </w:r>
    </w:p>
    <w:p>
      <w:pPr>
        <w:pStyle w:val="2"/>
        <w:spacing w:line="520" w:lineRule="exact"/>
        <w:rPr>
          <w:rFonts w:hint="eastAsia"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联系方式：0773-2183203</w:t>
      </w:r>
    </w:p>
    <w:p>
      <w:pPr>
        <w:pStyle w:val="2"/>
        <w:spacing w:line="520" w:lineRule="exact"/>
        <w:rPr>
          <w:rFonts w:hint="eastAsia"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2.采购代理机构信息</w:t>
      </w:r>
    </w:p>
    <w:p>
      <w:pPr>
        <w:pStyle w:val="2"/>
        <w:spacing w:line="520" w:lineRule="exact"/>
        <w:rPr>
          <w:rFonts w:hint="eastAsia"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名称：广西金鼎盛工程咨询有限公司</w:t>
      </w:r>
    </w:p>
    <w:p>
      <w:pPr>
        <w:pStyle w:val="2"/>
        <w:spacing w:line="520" w:lineRule="exact"/>
        <w:rPr>
          <w:rFonts w:hint="eastAsia"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地址：桂林市七星区七里店路108号大学科技园2栋2单元5层</w:t>
      </w:r>
    </w:p>
    <w:p>
      <w:pPr>
        <w:pStyle w:val="2"/>
        <w:spacing w:line="520" w:lineRule="exact"/>
        <w:rPr>
          <w:rFonts w:hint="eastAsia"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联系方式：0773-8989088</w:t>
      </w:r>
    </w:p>
    <w:p>
      <w:pPr>
        <w:pStyle w:val="2"/>
        <w:spacing w:line="520" w:lineRule="exact"/>
        <w:rPr>
          <w:rFonts w:hint="eastAsia"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3.项目联系方式</w:t>
      </w:r>
    </w:p>
    <w:p>
      <w:pPr>
        <w:pStyle w:val="2"/>
        <w:spacing w:line="520" w:lineRule="exact"/>
        <w:rPr>
          <w:rFonts w:hint="eastAsia"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项目联系人：董翠文</w:t>
      </w:r>
    </w:p>
    <w:p>
      <w:pPr>
        <w:pStyle w:val="2"/>
        <w:spacing w:line="520" w:lineRule="exact"/>
        <w:rPr>
          <w:rFonts w:ascii="仿宋" w:hAnsi="仿宋" w:eastAsia="仿宋"/>
          <w:color w:val="333333"/>
          <w:kern w:val="0"/>
          <w:sz w:val="24"/>
          <w:szCs w:val="24"/>
          <w:shd w:val="clear" w:color="auto" w:fill="FFFFFF"/>
        </w:rPr>
      </w:pPr>
      <w:r>
        <w:rPr>
          <w:rFonts w:hint="eastAsia" w:ascii="仿宋" w:hAnsi="仿宋" w:eastAsia="仿宋"/>
          <w:color w:val="333333"/>
          <w:kern w:val="0"/>
          <w:sz w:val="24"/>
          <w:szCs w:val="24"/>
          <w:shd w:val="clear" w:color="auto" w:fill="FFFFFF"/>
        </w:rPr>
        <w:t xml:space="preserve">电话：0773-8989088  </w:t>
      </w:r>
    </w:p>
    <w:p>
      <w:pPr>
        <w:pStyle w:val="2"/>
        <w:spacing w:line="520" w:lineRule="exact"/>
        <w:jc w:val="right"/>
        <w:rPr>
          <w:rFonts w:ascii="仿宋" w:hAnsi="仿宋" w:eastAsia="仿宋" w:cs="仿宋"/>
          <w:color w:val="333333"/>
          <w:kern w:val="0"/>
          <w:sz w:val="24"/>
          <w:szCs w:val="24"/>
          <w:shd w:val="clear" w:color="auto" w:fill="FFFFFF"/>
        </w:rPr>
      </w:pPr>
      <w:r>
        <w:rPr>
          <w:rFonts w:ascii="仿宋" w:hAnsi="仿宋" w:eastAsia="仿宋" w:cs="仿宋"/>
          <w:color w:val="333333"/>
          <w:kern w:val="0"/>
          <w:sz w:val="24"/>
          <w:szCs w:val="24"/>
          <w:shd w:val="clear" w:color="auto" w:fill="FFFFFF"/>
        </w:rPr>
        <w:t xml:space="preserve">                          </w:t>
      </w:r>
    </w:p>
    <w:p>
      <w:pPr>
        <w:pStyle w:val="2"/>
        <w:spacing w:line="520" w:lineRule="exact"/>
        <w:jc w:val="right"/>
        <w:rPr>
          <w:rFonts w:hint="eastAsia" w:ascii="仿宋" w:hAnsi="仿宋" w:eastAsia="仿宋"/>
          <w:color w:val="333333"/>
          <w:kern w:val="0"/>
          <w:sz w:val="24"/>
          <w:szCs w:val="24"/>
          <w:shd w:val="clear" w:color="auto" w:fill="FFFFFF"/>
        </w:rPr>
      </w:pPr>
      <w:r>
        <w:rPr>
          <w:rFonts w:ascii="仿宋" w:hAnsi="仿宋" w:eastAsia="仿宋" w:cs="仿宋"/>
          <w:color w:val="333333"/>
          <w:kern w:val="0"/>
          <w:sz w:val="24"/>
          <w:szCs w:val="24"/>
          <w:shd w:val="clear" w:color="auto" w:fill="FFFFFF"/>
        </w:rPr>
        <w:t xml:space="preserve"> </w:t>
      </w:r>
      <w:r>
        <w:rPr>
          <w:rFonts w:hint="eastAsia" w:ascii="仿宋" w:hAnsi="仿宋" w:eastAsia="仿宋"/>
          <w:color w:val="333333"/>
          <w:kern w:val="0"/>
          <w:sz w:val="24"/>
          <w:szCs w:val="24"/>
          <w:shd w:val="clear" w:color="auto" w:fill="FFFFFF"/>
        </w:rPr>
        <w:t>广西金鼎盛工程咨询有限公司</w:t>
      </w:r>
    </w:p>
    <w:p>
      <w:pPr>
        <w:spacing w:line="520" w:lineRule="exact"/>
        <w:jc w:val="right"/>
        <w:rPr>
          <w:rFonts w:ascii="仿宋" w:hAnsi="仿宋" w:eastAsia="仿宋"/>
          <w:color w:val="333333"/>
          <w:kern w:val="0"/>
          <w:sz w:val="24"/>
          <w:szCs w:val="24"/>
          <w:shd w:val="clear" w:color="auto" w:fill="FFFFFF"/>
        </w:rPr>
      </w:pPr>
      <w:r>
        <w:rPr>
          <w:rFonts w:ascii="仿宋" w:hAnsi="仿宋" w:eastAsia="仿宋" w:cs="仿宋"/>
          <w:color w:val="333333"/>
          <w:kern w:val="0"/>
          <w:sz w:val="24"/>
          <w:szCs w:val="24"/>
          <w:shd w:val="clear" w:color="auto" w:fill="FFFFFF"/>
        </w:rPr>
        <w:t xml:space="preserve">                                </w:t>
      </w:r>
      <w:r>
        <w:rPr>
          <w:rFonts w:hint="eastAsia" w:ascii="仿宋" w:hAnsi="仿宋" w:eastAsia="仿宋" w:cs="仿宋"/>
          <w:color w:val="333333"/>
          <w:kern w:val="0"/>
          <w:sz w:val="24"/>
          <w:szCs w:val="24"/>
          <w:shd w:val="clear" w:color="auto" w:fill="FFFFFF"/>
          <w:lang w:val="en-US" w:eastAsia="zh-CN"/>
        </w:rPr>
        <w:t xml:space="preserve">  </w:t>
      </w:r>
      <w:r>
        <w:rPr>
          <w:rFonts w:hint="eastAsia" w:ascii="仿宋" w:hAnsi="仿宋" w:eastAsia="仿宋" w:cs="仿宋"/>
          <w:color w:val="333333"/>
          <w:kern w:val="0"/>
          <w:sz w:val="24"/>
          <w:szCs w:val="24"/>
          <w:highlight w:val="none"/>
          <w:shd w:val="clear" w:color="auto" w:fill="FFFFFF"/>
          <w:lang w:val="en-US" w:eastAsia="zh-CN"/>
        </w:rPr>
        <w:t xml:space="preserve"> </w:t>
      </w:r>
      <w:r>
        <w:rPr>
          <w:rFonts w:ascii="仿宋" w:hAnsi="仿宋" w:eastAsia="仿宋" w:cs="仿宋"/>
          <w:color w:val="333333"/>
          <w:kern w:val="0"/>
          <w:sz w:val="24"/>
          <w:szCs w:val="24"/>
          <w:highlight w:val="none"/>
          <w:shd w:val="clear" w:color="auto" w:fill="FFFFFF"/>
        </w:rPr>
        <w:t xml:space="preserve"> 2020</w:t>
      </w:r>
      <w:r>
        <w:rPr>
          <w:rFonts w:hint="eastAsia" w:ascii="仿宋" w:hAnsi="仿宋" w:eastAsia="仿宋" w:cs="仿宋"/>
          <w:color w:val="333333"/>
          <w:kern w:val="0"/>
          <w:sz w:val="24"/>
          <w:szCs w:val="24"/>
          <w:highlight w:val="none"/>
          <w:shd w:val="clear" w:color="auto" w:fill="FFFFFF"/>
        </w:rPr>
        <w:t>年</w:t>
      </w:r>
      <w:r>
        <w:rPr>
          <w:rFonts w:hint="eastAsia" w:ascii="仿宋" w:hAnsi="仿宋" w:eastAsia="仿宋" w:cs="仿宋"/>
          <w:color w:val="333333"/>
          <w:kern w:val="0"/>
          <w:sz w:val="24"/>
          <w:szCs w:val="24"/>
          <w:highlight w:val="none"/>
          <w:shd w:val="clear" w:color="auto" w:fill="FFFFFF"/>
          <w:lang w:val="en-US" w:eastAsia="zh-CN"/>
        </w:rPr>
        <w:t>12</w:t>
      </w:r>
      <w:r>
        <w:rPr>
          <w:rFonts w:hint="eastAsia" w:ascii="仿宋" w:hAnsi="仿宋" w:eastAsia="仿宋" w:cs="仿宋"/>
          <w:color w:val="333333"/>
          <w:kern w:val="0"/>
          <w:sz w:val="24"/>
          <w:szCs w:val="24"/>
          <w:highlight w:val="none"/>
          <w:shd w:val="clear" w:color="auto" w:fill="FFFFFF"/>
        </w:rPr>
        <w:t>月</w:t>
      </w:r>
      <w:r>
        <w:rPr>
          <w:rFonts w:hint="eastAsia" w:ascii="仿宋" w:hAnsi="仿宋" w:eastAsia="仿宋" w:cs="仿宋"/>
          <w:color w:val="333333"/>
          <w:kern w:val="0"/>
          <w:sz w:val="24"/>
          <w:szCs w:val="24"/>
          <w:highlight w:val="none"/>
          <w:shd w:val="clear" w:color="auto" w:fill="FFFFFF"/>
          <w:lang w:val="en-US" w:eastAsia="zh-CN"/>
        </w:rPr>
        <w:t>31</w:t>
      </w:r>
      <w:r>
        <w:rPr>
          <w:rFonts w:hint="eastAsia" w:ascii="仿宋" w:hAnsi="仿宋" w:eastAsia="仿宋" w:cs="仿宋"/>
          <w:color w:val="333333"/>
          <w:kern w:val="0"/>
          <w:sz w:val="24"/>
          <w:szCs w:val="24"/>
          <w:highlight w:val="none"/>
          <w:shd w:val="clear" w:color="auto" w:fill="FFFFFF"/>
        </w:rPr>
        <w:t>日</w:t>
      </w:r>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C9A08"/>
    <w:multiLevelType w:val="singleLevel"/>
    <w:tmpl w:val="5E8C9A08"/>
    <w:lvl w:ilvl="0" w:tentative="0">
      <w:start w:val="1"/>
      <w:numFmt w:val="chineseCounting"/>
      <w:suff w:val="nothing"/>
      <w:lvlText w:val="%1、"/>
      <w:lvlJc w:val="left"/>
      <w:rPr>
        <w:rFonts w:hint="eastAsia"/>
      </w:rPr>
    </w:lvl>
  </w:abstractNum>
  <w:abstractNum w:abstractNumId="1">
    <w:nsid w:val="7264C4EB"/>
    <w:multiLevelType w:val="singleLevel"/>
    <w:tmpl w:val="7264C4E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094"/>
    <w:rsid w:val="000312DE"/>
    <w:rsid w:val="0005737B"/>
    <w:rsid w:val="000726D8"/>
    <w:rsid w:val="000A6769"/>
    <w:rsid w:val="000B31F3"/>
    <w:rsid w:val="000D3B95"/>
    <w:rsid w:val="000D5040"/>
    <w:rsid w:val="000D6508"/>
    <w:rsid w:val="000D6BB6"/>
    <w:rsid w:val="000F3A1F"/>
    <w:rsid w:val="00110BD8"/>
    <w:rsid w:val="00151C8B"/>
    <w:rsid w:val="002334B7"/>
    <w:rsid w:val="00244094"/>
    <w:rsid w:val="00246690"/>
    <w:rsid w:val="0027297C"/>
    <w:rsid w:val="002C5871"/>
    <w:rsid w:val="002F3070"/>
    <w:rsid w:val="002F4172"/>
    <w:rsid w:val="00322E12"/>
    <w:rsid w:val="003D04C7"/>
    <w:rsid w:val="00430D5D"/>
    <w:rsid w:val="00445621"/>
    <w:rsid w:val="00451D59"/>
    <w:rsid w:val="004A3BF4"/>
    <w:rsid w:val="004B0417"/>
    <w:rsid w:val="004F0CA3"/>
    <w:rsid w:val="004F449A"/>
    <w:rsid w:val="005902A4"/>
    <w:rsid w:val="005E3066"/>
    <w:rsid w:val="00612BEA"/>
    <w:rsid w:val="006373AC"/>
    <w:rsid w:val="00650BC6"/>
    <w:rsid w:val="00677DB1"/>
    <w:rsid w:val="006939FC"/>
    <w:rsid w:val="00694DFE"/>
    <w:rsid w:val="006C66D5"/>
    <w:rsid w:val="0079663A"/>
    <w:rsid w:val="007E2D83"/>
    <w:rsid w:val="007E7A57"/>
    <w:rsid w:val="007F69EF"/>
    <w:rsid w:val="0080774A"/>
    <w:rsid w:val="00877C6E"/>
    <w:rsid w:val="008974EE"/>
    <w:rsid w:val="008A1192"/>
    <w:rsid w:val="008A2FE7"/>
    <w:rsid w:val="0090581E"/>
    <w:rsid w:val="00966F02"/>
    <w:rsid w:val="009A15C7"/>
    <w:rsid w:val="00A30F31"/>
    <w:rsid w:val="00A3374C"/>
    <w:rsid w:val="00A46AE0"/>
    <w:rsid w:val="00A60A78"/>
    <w:rsid w:val="00A61D99"/>
    <w:rsid w:val="00A75E57"/>
    <w:rsid w:val="00B12205"/>
    <w:rsid w:val="00B23E38"/>
    <w:rsid w:val="00B743A7"/>
    <w:rsid w:val="00BC7C5C"/>
    <w:rsid w:val="00BF4637"/>
    <w:rsid w:val="00BF5B24"/>
    <w:rsid w:val="00C3394F"/>
    <w:rsid w:val="00C37A88"/>
    <w:rsid w:val="00C52F06"/>
    <w:rsid w:val="00C61BBE"/>
    <w:rsid w:val="00C64CD0"/>
    <w:rsid w:val="00C95981"/>
    <w:rsid w:val="00CD1E74"/>
    <w:rsid w:val="00CE6DC4"/>
    <w:rsid w:val="00D00A1D"/>
    <w:rsid w:val="00D26832"/>
    <w:rsid w:val="00D65BF9"/>
    <w:rsid w:val="00DA7067"/>
    <w:rsid w:val="00DC09FA"/>
    <w:rsid w:val="00E34930"/>
    <w:rsid w:val="00E457B7"/>
    <w:rsid w:val="00E5785F"/>
    <w:rsid w:val="00E702D6"/>
    <w:rsid w:val="00E75E92"/>
    <w:rsid w:val="00E96890"/>
    <w:rsid w:val="00ED7C2A"/>
    <w:rsid w:val="00EE3266"/>
    <w:rsid w:val="00F53A4B"/>
    <w:rsid w:val="06670882"/>
    <w:rsid w:val="085C5005"/>
    <w:rsid w:val="0A4763F1"/>
    <w:rsid w:val="0AAE3946"/>
    <w:rsid w:val="1047578C"/>
    <w:rsid w:val="13B714FC"/>
    <w:rsid w:val="16FE4E08"/>
    <w:rsid w:val="19FD65A5"/>
    <w:rsid w:val="1F175762"/>
    <w:rsid w:val="217C6D52"/>
    <w:rsid w:val="230B1EC1"/>
    <w:rsid w:val="240D44A1"/>
    <w:rsid w:val="26C14BC8"/>
    <w:rsid w:val="2BC06741"/>
    <w:rsid w:val="2C4718C9"/>
    <w:rsid w:val="3581386F"/>
    <w:rsid w:val="36DB2378"/>
    <w:rsid w:val="36F47371"/>
    <w:rsid w:val="36FF194D"/>
    <w:rsid w:val="37C301DE"/>
    <w:rsid w:val="38BD7AAD"/>
    <w:rsid w:val="3C0F7DA3"/>
    <w:rsid w:val="437701EB"/>
    <w:rsid w:val="4BE03631"/>
    <w:rsid w:val="4C166143"/>
    <w:rsid w:val="4CEF7840"/>
    <w:rsid w:val="4D656887"/>
    <w:rsid w:val="53B62141"/>
    <w:rsid w:val="56154919"/>
    <w:rsid w:val="57B86B8D"/>
    <w:rsid w:val="5A2379BE"/>
    <w:rsid w:val="637D1596"/>
    <w:rsid w:val="65C67F2D"/>
    <w:rsid w:val="6A682C9F"/>
    <w:rsid w:val="6C417675"/>
    <w:rsid w:val="70037AAE"/>
    <w:rsid w:val="714D4652"/>
    <w:rsid w:val="74217B9B"/>
    <w:rsid w:val="780961E3"/>
    <w:rsid w:val="7D9329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5"/>
    <w:qFormat/>
    <w:uiPriority w:val="99"/>
    <w:pPr>
      <w:keepNext/>
      <w:keepLines/>
      <w:spacing w:before="260" w:after="260" w:line="415" w:lineRule="auto"/>
      <w:outlineLvl w:val="1"/>
    </w:pPr>
    <w:rPr>
      <w:rFonts w:ascii="Arial" w:hAnsi="Arial" w:eastAsia="黑体" w:cs="Arial"/>
      <w:b/>
      <w:bCs/>
      <w:sz w:val="32"/>
      <w:szCs w:val="32"/>
    </w:rPr>
  </w:style>
  <w:style w:type="character" w:default="1" w:styleId="21">
    <w:name w:val="Default Paragraph Font"/>
    <w:semiHidden/>
    <w:qFormat/>
    <w:uiPriority w:val="99"/>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99"/>
    <w:pPr>
      <w:adjustRightInd w:val="0"/>
      <w:spacing w:line="420" w:lineRule="atLeast"/>
      <w:jc w:val="left"/>
      <w:textAlignment w:val="baseline"/>
    </w:pPr>
  </w:style>
  <w:style w:type="paragraph" w:styleId="3">
    <w:name w:val="Body Text"/>
    <w:basedOn w:val="1"/>
    <w:link w:val="26"/>
    <w:qFormat/>
    <w:uiPriority w:val="99"/>
    <w:pPr>
      <w:spacing w:line="380" w:lineRule="exact"/>
    </w:pPr>
    <w:rPr>
      <w:sz w:val="24"/>
      <w:szCs w:val="24"/>
    </w:rPr>
  </w:style>
  <w:style w:type="paragraph" w:styleId="6">
    <w:name w:val="annotation text"/>
    <w:basedOn w:val="1"/>
    <w:link w:val="27"/>
    <w:semiHidden/>
    <w:qFormat/>
    <w:uiPriority w:val="99"/>
    <w:pPr>
      <w:jc w:val="left"/>
    </w:pPr>
  </w:style>
  <w:style w:type="paragraph" w:styleId="7">
    <w:name w:val="Body Text Indent"/>
    <w:basedOn w:val="1"/>
    <w:link w:val="28"/>
    <w:semiHidden/>
    <w:qFormat/>
    <w:uiPriority w:val="99"/>
    <w:pPr>
      <w:spacing w:line="540" w:lineRule="exact"/>
      <w:ind w:left="-17" w:firstLine="517"/>
    </w:pPr>
    <w:rPr>
      <w:rFonts w:ascii="宋体" w:hAnsi="宋体" w:cs="宋体"/>
      <w:color w:val="FF0000"/>
      <w:kern w:val="0"/>
      <w:sz w:val="24"/>
      <w:szCs w:val="24"/>
    </w:rPr>
  </w:style>
  <w:style w:type="paragraph" w:styleId="8">
    <w:name w:val="toc 3"/>
    <w:basedOn w:val="1"/>
    <w:next w:val="1"/>
    <w:semiHidden/>
    <w:qFormat/>
    <w:uiPriority w:val="99"/>
    <w:pPr>
      <w:widowControl/>
      <w:spacing w:after="100" w:line="259" w:lineRule="auto"/>
      <w:ind w:left="440"/>
      <w:jc w:val="left"/>
    </w:pPr>
    <w:rPr>
      <w:rFonts w:ascii="Calibri" w:hAnsi="Calibri" w:cs="Calibri"/>
      <w:kern w:val="0"/>
      <w:sz w:val="22"/>
      <w:szCs w:val="22"/>
    </w:rPr>
  </w:style>
  <w:style w:type="paragraph" w:styleId="9">
    <w:name w:val="Plain Text"/>
    <w:basedOn w:val="1"/>
    <w:link w:val="29"/>
    <w:qFormat/>
    <w:uiPriority w:val="99"/>
    <w:rPr>
      <w:rFonts w:ascii="宋体" w:hAnsi="Courier New" w:cs="宋体"/>
    </w:rPr>
  </w:style>
  <w:style w:type="paragraph" w:styleId="10">
    <w:name w:val="Date"/>
    <w:basedOn w:val="1"/>
    <w:next w:val="1"/>
    <w:link w:val="30"/>
    <w:qFormat/>
    <w:uiPriority w:val="99"/>
    <w:pPr>
      <w:adjustRightInd w:val="0"/>
      <w:spacing w:line="360" w:lineRule="atLeast"/>
      <w:textAlignment w:val="baseline"/>
    </w:pPr>
    <w:rPr>
      <w:rFonts w:ascii="宋体" w:cs="宋体"/>
      <w:kern w:val="0"/>
      <w:sz w:val="24"/>
      <w:szCs w:val="24"/>
    </w:rPr>
  </w:style>
  <w:style w:type="paragraph" w:styleId="11">
    <w:name w:val="Balloon Text"/>
    <w:basedOn w:val="1"/>
    <w:link w:val="31"/>
    <w:semiHidden/>
    <w:qFormat/>
    <w:uiPriority w:val="99"/>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pPr>
      <w:widowControl/>
      <w:spacing w:after="100" w:line="259" w:lineRule="auto"/>
      <w:jc w:val="left"/>
    </w:pPr>
    <w:rPr>
      <w:rFonts w:ascii="Calibri" w:hAnsi="Calibri" w:cs="Calibri"/>
      <w:kern w:val="0"/>
      <w:sz w:val="22"/>
      <w:szCs w:val="22"/>
    </w:rPr>
  </w:style>
  <w:style w:type="paragraph" w:styleId="15">
    <w:name w:val="toc 2"/>
    <w:basedOn w:val="1"/>
    <w:next w:val="1"/>
    <w:semiHidden/>
    <w:qFormat/>
    <w:uiPriority w:val="99"/>
    <w:pPr>
      <w:widowControl/>
      <w:spacing w:after="100" w:line="259" w:lineRule="auto"/>
      <w:ind w:left="220"/>
      <w:jc w:val="left"/>
    </w:pPr>
    <w:rPr>
      <w:rFonts w:ascii="Calibri" w:hAnsi="Calibri" w:cs="Calibri"/>
      <w:kern w:val="0"/>
      <w:sz w:val="22"/>
      <w:szCs w:val="22"/>
    </w:rPr>
  </w:style>
  <w:style w:type="paragraph" w:styleId="16">
    <w:name w:val="Body Text 2"/>
    <w:basedOn w:val="1"/>
    <w:link w:val="34"/>
    <w:qFormat/>
    <w:uiPriority w:val="99"/>
    <w:pPr>
      <w:spacing w:after="120" w:line="480" w:lineRule="auto"/>
    </w:pPr>
  </w:style>
  <w:style w:type="paragraph" w:styleId="1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6"/>
    <w:next w:val="6"/>
    <w:link w:val="35"/>
    <w:semiHidden/>
    <w:qFormat/>
    <w:uiPriority w:val="99"/>
    <w:rPr>
      <w:b/>
      <w:bCs/>
    </w:rPr>
  </w:style>
  <w:style w:type="table" w:styleId="20">
    <w:name w:val="Table Grid"/>
    <w:basedOn w:val="1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qFormat/>
    <w:uiPriority w:val="99"/>
    <w:rPr>
      <w:color w:val="0000FF"/>
      <w:u w:val="single"/>
    </w:rPr>
  </w:style>
  <w:style w:type="character" w:styleId="23">
    <w:name w:val="annotation reference"/>
    <w:basedOn w:val="21"/>
    <w:semiHidden/>
    <w:qFormat/>
    <w:uiPriority w:val="99"/>
    <w:rPr>
      <w:sz w:val="21"/>
      <w:szCs w:val="21"/>
    </w:rPr>
  </w:style>
  <w:style w:type="character" w:customStyle="1" w:styleId="24">
    <w:name w:val="Heading 1 Char"/>
    <w:basedOn w:val="21"/>
    <w:link w:val="4"/>
    <w:qFormat/>
    <w:locked/>
    <w:uiPriority w:val="99"/>
    <w:rPr>
      <w:rFonts w:ascii="Times New Roman" w:hAnsi="Times New Roman" w:eastAsia="宋体" w:cs="Times New Roman"/>
      <w:b/>
      <w:bCs/>
      <w:kern w:val="44"/>
      <w:sz w:val="44"/>
      <w:szCs w:val="44"/>
    </w:rPr>
  </w:style>
  <w:style w:type="character" w:customStyle="1" w:styleId="25">
    <w:name w:val="Heading 2 Char"/>
    <w:basedOn w:val="21"/>
    <w:link w:val="5"/>
    <w:qFormat/>
    <w:locked/>
    <w:uiPriority w:val="99"/>
    <w:rPr>
      <w:rFonts w:ascii="Arial" w:hAnsi="Arial" w:eastAsia="黑体" w:cs="Arial"/>
      <w:b/>
      <w:bCs/>
      <w:sz w:val="32"/>
      <w:szCs w:val="32"/>
    </w:rPr>
  </w:style>
  <w:style w:type="character" w:customStyle="1" w:styleId="26">
    <w:name w:val="Body Text Char"/>
    <w:basedOn w:val="21"/>
    <w:link w:val="3"/>
    <w:semiHidden/>
    <w:qFormat/>
    <w:locked/>
    <w:uiPriority w:val="99"/>
    <w:rPr>
      <w:sz w:val="21"/>
      <w:szCs w:val="21"/>
    </w:rPr>
  </w:style>
  <w:style w:type="character" w:customStyle="1" w:styleId="27">
    <w:name w:val="Comment Text Char"/>
    <w:basedOn w:val="21"/>
    <w:link w:val="6"/>
    <w:semiHidden/>
    <w:qFormat/>
    <w:locked/>
    <w:uiPriority w:val="99"/>
    <w:rPr>
      <w:rFonts w:ascii="Times New Roman" w:hAnsi="Times New Roman" w:eastAsia="宋体" w:cs="Times New Roman"/>
      <w:sz w:val="21"/>
      <w:szCs w:val="21"/>
    </w:rPr>
  </w:style>
  <w:style w:type="character" w:customStyle="1" w:styleId="28">
    <w:name w:val="Body Text Indent Char"/>
    <w:basedOn w:val="21"/>
    <w:link w:val="7"/>
    <w:qFormat/>
    <w:locked/>
    <w:uiPriority w:val="99"/>
    <w:rPr>
      <w:rFonts w:ascii="宋体" w:hAnsi="宋体" w:eastAsia="宋体" w:cs="宋体"/>
      <w:color w:val="FF0000"/>
      <w:sz w:val="24"/>
      <w:szCs w:val="24"/>
    </w:rPr>
  </w:style>
  <w:style w:type="character" w:customStyle="1" w:styleId="29">
    <w:name w:val="Plain Text Char"/>
    <w:basedOn w:val="21"/>
    <w:link w:val="9"/>
    <w:qFormat/>
    <w:locked/>
    <w:uiPriority w:val="99"/>
    <w:rPr>
      <w:rFonts w:ascii="宋体" w:hAnsi="Courier New" w:cs="宋体"/>
    </w:rPr>
  </w:style>
  <w:style w:type="character" w:customStyle="1" w:styleId="30">
    <w:name w:val="Date Char"/>
    <w:basedOn w:val="21"/>
    <w:link w:val="10"/>
    <w:qFormat/>
    <w:locked/>
    <w:uiPriority w:val="99"/>
    <w:rPr>
      <w:rFonts w:ascii="宋体" w:hAnsi="Times New Roman" w:eastAsia="宋体" w:cs="宋体"/>
      <w:kern w:val="0"/>
      <w:sz w:val="24"/>
      <w:szCs w:val="24"/>
    </w:rPr>
  </w:style>
  <w:style w:type="character" w:customStyle="1" w:styleId="31">
    <w:name w:val="Balloon Text Char"/>
    <w:basedOn w:val="21"/>
    <w:link w:val="11"/>
    <w:semiHidden/>
    <w:qFormat/>
    <w:locked/>
    <w:uiPriority w:val="99"/>
    <w:rPr>
      <w:rFonts w:ascii="Times New Roman" w:hAnsi="Times New Roman" w:eastAsia="宋体" w:cs="Times New Roman"/>
      <w:sz w:val="18"/>
      <w:szCs w:val="18"/>
    </w:rPr>
  </w:style>
  <w:style w:type="character" w:customStyle="1" w:styleId="32">
    <w:name w:val="Footer Char"/>
    <w:basedOn w:val="21"/>
    <w:link w:val="12"/>
    <w:qFormat/>
    <w:locked/>
    <w:uiPriority w:val="99"/>
    <w:rPr>
      <w:sz w:val="18"/>
      <w:szCs w:val="18"/>
    </w:rPr>
  </w:style>
  <w:style w:type="character" w:customStyle="1" w:styleId="33">
    <w:name w:val="Header Char"/>
    <w:basedOn w:val="21"/>
    <w:link w:val="13"/>
    <w:qFormat/>
    <w:locked/>
    <w:uiPriority w:val="99"/>
    <w:rPr>
      <w:sz w:val="18"/>
      <w:szCs w:val="18"/>
    </w:rPr>
  </w:style>
  <w:style w:type="character" w:customStyle="1" w:styleId="34">
    <w:name w:val="Body Text 2 Char"/>
    <w:basedOn w:val="21"/>
    <w:link w:val="16"/>
    <w:qFormat/>
    <w:locked/>
    <w:uiPriority w:val="99"/>
    <w:rPr>
      <w:rFonts w:ascii="Times New Roman" w:hAnsi="Times New Roman" w:eastAsia="宋体" w:cs="Times New Roman"/>
      <w:sz w:val="21"/>
      <w:szCs w:val="21"/>
    </w:rPr>
  </w:style>
  <w:style w:type="character" w:customStyle="1" w:styleId="35">
    <w:name w:val="Comment Subject Char"/>
    <w:basedOn w:val="27"/>
    <w:link w:val="18"/>
    <w:semiHidden/>
    <w:qFormat/>
    <w:locked/>
    <w:uiPriority w:val="99"/>
    <w:rPr>
      <w:b/>
      <w:bCs/>
    </w:rPr>
  </w:style>
  <w:style w:type="character" w:customStyle="1" w:styleId="36">
    <w:name w:val="纯文本 字符"/>
    <w:basedOn w:val="21"/>
    <w:semiHidden/>
    <w:qFormat/>
    <w:uiPriority w:val="99"/>
    <w:rPr>
      <w:rFonts w:ascii="宋体" w:hAnsi="Courier New" w:cs="宋体"/>
      <w:sz w:val="21"/>
      <w:szCs w:val="21"/>
    </w:rPr>
  </w:style>
  <w:style w:type="paragraph" w:styleId="37">
    <w:name w:val="List Paragraph"/>
    <w:basedOn w:val="1"/>
    <w:qFormat/>
    <w:uiPriority w:val="99"/>
    <w:pPr>
      <w:ind w:firstLine="420" w:firstLineChars="200"/>
    </w:pPr>
  </w:style>
  <w:style w:type="paragraph" w:customStyle="1" w:styleId="38">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9">
    <w:name w:val="TOC 标题1"/>
    <w:basedOn w:val="4"/>
    <w:next w:val="1"/>
    <w:qFormat/>
    <w:uiPriority w:val="99"/>
    <w:pPr>
      <w:widowControl/>
      <w:spacing w:before="240" w:after="0" w:line="259" w:lineRule="auto"/>
      <w:jc w:val="left"/>
      <w:outlineLvl w:val="9"/>
    </w:pPr>
    <w:rPr>
      <w:rFonts w:ascii="Cambria" w:hAnsi="Cambria" w:cs="Cambria"/>
      <w:b w:val="0"/>
      <w:bCs w:val="0"/>
      <w:color w:val="365F91"/>
      <w:kern w:val="0"/>
      <w:sz w:val="32"/>
      <w:szCs w:val="32"/>
    </w:rPr>
  </w:style>
  <w:style w:type="paragraph" w:customStyle="1" w:styleId="40">
    <w:name w:val="TOC Heading1"/>
    <w:basedOn w:val="4"/>
    <w:next w:val="1"/>
    <w:semiHidden/>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41">
    <w:name w:val="qowt-font10-gbk"/>
    <w:basedOn w:val="21"/>
    <w:qFormat/>
    <w:uiPriority w:val="99"/>
  </w:style>
  <w:style w:type="character" w:customStyle="1" w:styleId="42">
    <w:name w:val="正文文本缩进 Char1"/>
    <w:basedOn w:val="21"/>
    <w:qFormat/>
    <w:uiPriority w:val="99"/>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2</Pages>
  <Words>181</Words>
  <Characters>1038</Characters>
  <Lines>0</Lines>
  <Paragraphs>0</Paragraphs>
  <TotalTime>12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满满_</cp:lastModifiedBy>
  <cp:lastPrinted>2020-03-23T07:37:00Z</cp:lastPrinted>
  <dcterms:modified xsi:type="dcterms:W3CDTF">2020-12-31T04:39:50Z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