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2" w:rsidRPr="0065210A" w:rsidRDefault="00842EF6" w:rsidP="001172D2">
      <w:pPr>
        <w:pStyle w:val="a4"/>
        <w:spacing w:line="440" w:lineRule="exact"/>
        <w:jc w:val="center"/>
        <w:rPr>
          <w:rFonts w:ascii="方正小标宋简体" w:eastAsia="方正小标宋简体"/>
          <w:color w:val="000000" w:themeColor="text1"/>
          <w:kern w:val="44"/>
          <w:sz w:val="32"/>
          <w:szCs w:val="36"/>
        </w:rPr>
      </w:pPr>
      <w:bookmarkStart w:id="0" w:name="_Toc28359022"/>
      <w:bookmarkStart w:id="1" w:name="_Toc44405637"/>
      <w:r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云之</w:t>
      </w:r>
      <w:proofErr w:type="gramStart"/>
      <w:r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龙咨询</w:t>
      </w:r>
      <w:proofErr w:type="gramEnd"/>
      <w:r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集团有限公司</w:t>
      </w:r>
      <w:r w:rsidR="0035209C" w:rsidRPr="0035209C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广西医科大学东盟国际口腔医学院物流传输系统采购</w:t>
      </w:r>
      <w:r w:rsidR="006A22AB"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（项目编号：</w:t>
      </w:r>
      <w:r w:rsidR="0035209C" w:rsidRPr="0035209C">
        <w:rPr>
          <w:rFonts w:ascii="方正小标宋简体" w:eastAsia="方正小标宋简体"/>
          <w:color w:val="000000" w:themeColor="text1"/>
          <w:kern w:val="44"/>
          <w:sz w:val="28"/>
          <w:szCs w:val="36"/>
        </w:rPr>
        <w:t>GXZC2023-G1-000248-YZLZ</w:t>
      </w:r>
      <w:r w:rsidR="006A22AB"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）</w:t>
      </w:r>
      <w:r w:rsidR="00440492" w:rsidRPr="00B572F2">
        <w:rPr>
          <w:rFonts w:ascii="方正小标宋简体" w:eastAsia="方正小标宋简体" w:hint="eastAsia"/>
          <w:color w:val="000000" w:themeColor="text1"/>
          <w:kern w:val="44"/>
          <w:sz w:val="28"/>
          <w:szCs w:val="36"/>
        </w:rPr>
        <w:t>中标结果公告</w:t>
      </w:r>
      <w:bookmarkEnd w:id="0"/>
      <w:bookmarkEnd w:id="1"/>
    </w:p>
    <w:p w:rsidR="000318DB" w:rsidRPr="0065210A" w:rsidRDefault="00440492" w:rsidP="00440492">
      <w:pPr>
        <w:rPr>
          <w:rFonts w:asciiTheme="minorEastAsia" w:hAnsiTheme="minorEastAsia" w:cs="Times New Roman"/>
          <w:color w:val="000000" w:themeColor="text1"/>
          <w:szCs w:val="21"/>
        </w:rPr>
      </w:pPr>
      <w:bookmarkStart w:id="2" w:name="OLE_LINK3"/>
      <w:bookmarkStart w:id="3" w:name="OLE_LINK4"/>
      <w:bookmarkStart w:id="4" w:name="OLE_LINK5"/>
      <w:bookmarkStart w:id="5" w:name="OLE_LINK1"/>
      <w:bookmarkStart w:id="6" w:name="OLE_LINK2"/>
      <w:bookmarkStart w:id="7" w:name="OLE_LINK6"/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一</w:t>
      </w:r>
      <w:r w:rsidRPr="0065210A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项目编号</w:t>
      </w:r>
      <w:r w:rsidR="000318DB" w:rsidRPr="0065210A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35209C" w:rsidRPr="0035209C">
        <w:rPr>
          <w:rFonts w:asciiTheme="minorEastAsia" w:hAnsiTheme="minorEastAsia" w:cs="Times New Roman"/>
          <w:color w:val="000000" w:themeColor="text1"/>
          <w:szCs w:val="21"/>
        </w:rPr>
        <w:t>GXZC2023-G1-000248-YZLZ</w:t>
      </w:r>
    </w:p>
    <w:p w:rsidR="00440492" w:rsidRPr="0065210A" w:rsidRDefault="00440492" w:rsidP="007418B2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二</w:t>
      </w:r>
      <w:r w:rsidRPr="0065210A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项目名称：</w:t>
      </w:r>
      <w:r w:rsidR="0035209C" w:rsidRPr="0035209C">
        <w:rPr>
          <w:rFonts w:asciiTheme="minorEastAsia" w:hAnsiTheme="minorEastAsia" w:cs="Times New Roman" w:hint="eastAsia"/>
          <w:color w:val="000000" w:themeColor="text1"/>
          <w:szCs w:val="21"/>
        </w:rPr>
        <w:t>广西医科大学东盟国际口腔医学院物流传输系统采购</w:t>
      </w:r>
    </w:p>
    <w:p w:rsidR="001C17B3" w:rsidRPr="00C47C1A" w:rsidRDefault="00440492" w:rsidP="00440492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C47C1A">
        <w:rPr>
          <w:rFonts w:asciiTheme="minorEastAsia" w:hAnsiTheme="minorEastAsia" w:cs="Times New Roman" w:hint="eastAsia"/>
          <w:color w:val="000000" w:themeColor="text1"/>
          <w:szCs w:val="21"/>
        </w:rPr>
        <w:t>三、中标信息</w:t>
      </w:r>
      <w:r w:rsidR="00690574" w:rsidRPr="00C47C1A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20682" w:rsidRPr="00C47C1A" w:rsidRDefault="006E371F" w:rsidP="0035209C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C47C1A">
        <w:rPr>
          <w:rFonts w:asciiTheme="minorEastAsia" w:hAnsiTheme="minorEastAsia" w:cs="Times New Roman" w:hint="eastAsia"/>
          <w:color w:val="000000" w:themeColor="text1"/>
          <w:szCs w:val="21"/>
        </w:rPr>
        <w:t>供应商名称:</w:t>
      </w:r>
      <w:r w:rsidR="00D01B62" w:rsidRPr="00C47C1A">
        <w:rPr>
          <w:rFonts w:asciiTheme="minorEastAsia" w:hAnsiTheme="minorEastAsia" w:hint="eastAsia"/>
          <w:szCs w:val="21"/>
        </w:rPr>
        <w:t xml:space="preserve"> 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广东省中科进出口有限公司</w:t>
      </w:r>
    </w:p>
    <w:p w:rsidR="006E371F" w:rsidRPr="00C47C1A" w:rsidRDefault="006E371F" w:rsidP="0035209C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C47C1A">
        <w:rPr>
          <w:rFonts w:asciiTheme="minorEastAsia" w:hAnsiTheme="minorEastAsia" w:cs="Times New Roman" w:hint="eastAsia"/>
          <w:color w:val="000000" w:themeColor="text1"/>
          <w:szCs w:val="21"/>
        </w:rPr>
        <w:t>供应商地址:</w:t>
      </w:r>
      <w:r w:rsidR="00402525" w:rsidRPr="00C47C1A">
        <w:rPr>
          <w:rFonts w:asciiTheme="minorEastAsia" w:hAnsiTheme="minorEastAsia" w:hint="eastAsia"/>
          <w:szCs w:val="21"/>
        </w:rPr>
        <w:t xml:space="preserve"> 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广州市越秀区先烈中路</w:t>
      </w:r>
      <w:r w:rsidR="00344C48">
        <w:rPr>
          <w:rFonts w:asciiTheme="minorEastAsia" w:hAnsiTheme="minorEastAsia" w:cs="Times New Roman" w:hint="eastAsia"/>
          <w:color w:val="000000" w:themeColor="text1"/>
          <w:szCs w:val="21"/>
        </w:rPr>
        <w:t>100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号大院</w:t>
      </w:r>
      <w:r w:rsidR="00344C48">
        <w:rPr>
          <w:rFonts w:asciiTheme="minorEastAsia" w:hAnsiTheme="minorEastAsia" w:cs="Times New Roman" w:hint="eastAsia"/>
          <w:color w:val="000000" w:themeColor="text1"/>
          <w:szCs w:val="21"/>
        </w:rPr>
        <w:t>9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号楼</w:t>
      </w:r>
      <w:r w:rsidR="00344C48">
        <w:rPr>
          <w:rFonts w:asciiTheme="minorEastAsia" w:hAnsiTheme="minorEastAsia" w:cs="Times New Roman" w:hint="eastAsia"/>
          <w:color w:val="000000" w:themeColor="text1"/>
          <w:szCs w:val="21"/>
        </w:rPr>
        <w:t>102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房自编</w:t>
      </w:r>
      <w:r w:rsidR="00344C48">
        <w:rPr>
          <w:rFonts w:asciiTheme="minorEastAsia" w:hAnsiTheme="minorEastAsia" w:cs="Times New Roman" w:hint="eastAsia"/>
          <w:color w:val="000000" w:themeColor="text1"/>
          <w:szCs w:val="21"/>
        </w:rPr>
        <w:t>A</w:t>
      </w:r>
      <w:r w:rsidR="0035209C" w:rsidRPr="00C47C1A">
        <w:rPr>
          <w:rFonts w:asciiTheme="minorEastAsia" w:hAnsiTheme="minorEastAsia" w:cs="Times New Roman" w:hint="eastAsia"/>
          <w:color w:val="000000" w:themeColor="text1"/>
          <w:szCs w:val="21"/>
        </w:rPr>
        <w:t>一楼（仅限办公）</w:t>
      </w:r>
    </w:p>
    <w:p w:rsidR="00640AED" w:rsidRPr="0065210A" w:rsidRDefault="006E371F" w:rsidP="0096306A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C47C1A">
        <w:rPr>
          <w:rFonts w:asciiTheme="minorEastAsia" w:hAnsiTheme="minorEastAsia" w:cs="Times New Roman" w:hint="eastAsia"/>
          <w:color w:val="000000" w:themeColor="text1"/>
          <w:szCs w:val="21"/>
        </w:rPr>
        <w:t>中标</w:t>
      </w:r>
      <w:r w:rsidR="0096306A" w:rsidRPr="00C47C1A">
        <w:rPr>
          <w:rFonts w:asciiTheme="minorEastAsia" w:hAnsiTheme="minorEastAsia" w:cs="Times New Roman" w:hint="eastAsia"/>
          <w:color w:val="000000" w:themeColor="text1"/>
          <w:szCs w:val="21"/>
        </w:rPr>
        <w:t>金额</w:t>
      </w:r>
      <w:r w:rsidRPr="00C47C1A">
        <w:rPr>
          <w:rFonts w:asciiTheme="minorEastAsia" w:hAnsiTheme="minorEastAsia" w:cs="Times New Roman" w:hint="eastAsia"/>
          <w:color w:val="000000" w:themeColor="text1"/>
          <w:szCs w:val="21"/>
        </w:rPr>
        <w:t>:</w:t>
      </w:r>
      <w:r w:rsidR="00D01B62" w:rsidRPr="00C47C1A">
        <w:rPr>
          <w:rFonts w:asciiTheme="minorEastAsia" w:hAnsiTheme="minorEastAsia"/>
          <w:szCs w:val="21"/>
        </w:rPr>
        <w:t xml:space="preserve"> </w:t>
      </w:r>
      <w:r w:rsidR="00FB4CCF">
        <w:rPr>
          <w:rFonts w:asciiTheme="minorEastAsia" w:hAnsiTheme="minorEastAsia"/>
          <w:szCs w:val="21"/>
        </w:rPr>
        <w:t>壹仟玖佰陆拾捌万壹仟叁佰元整</w:t>
      </w:r>
      <w:r w:rsidR="001C7C4F">
        <w:rPr>
          <w:rFonts w:asciiTheme="minorEastAsia" w:hAnsiTheme="minorEastAsia"/>
          <w:szCs w:val="21"/>
        </w:rPr>
        <w:t>（¥</w:t>
      </w:r>
      <w:r w:rsidR="00FB4CCF" w:rsidRPr="00FB4CCF">
        <w:rPr>
          <w:rFonts w:asciiTheme="minorEastAsia" w:hAnsiTheme="minorEastAsia"/>
          <w:szCs w:val="21"/>
        </w:rPr>
        <w:t>19681300</w:t>
      </w:r>
      <w:r w:rsidR="00FB4CCF">
        <w:rPr>
          <w:rFonts w:asciiTheme="minorEastAsia" w:hAnsiTheme="minorEastAsia" w:hint="eastAsia"/>
          <w:szCs w:val="21"/>
        </w:rPr>
        <w:t>.00</w:t>
      </w:r>
      <w:r w:rsidR="001C7C4F">
        <w:rPr>
          <w:rFonts w:asciiTheme="minorEastAsia" w:hAnsiTheme="minorEastAsia"/>
          <w:szCs w:val="21"/>
        </w:rPr>
        <w:t>）</w:t>
      </w:r>
    </w:p>
    <w:p w:rsidR="0035209C" w:rsidRPr="00543756" w:rsidRDefault="00440492" w:rsidP="00D7166D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四、主要标的信息</w:t>
      </w:r>
      <w:r w:rsidR="000B78F2" w:rsidRPr="0065210A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953"/>
        <w:gridCol w:w="2826"/>
        <w:gridCol w:w="856"/>
        <w:gridCol w:w="1268"/>
      </w:tblGrid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标的</w:t>
            </w:r>
            <w:proofErr w:type="gramStart"/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的</w:t>
            </w:r>
            <w:proofErr w:type="gramEnd"/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  <w:r w:rsidRPr="00543756"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数量及单位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一、硬件设备及升级改造服务明细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（一）药品精细化管理系统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药库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智能麻精药品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/YPC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284000.00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麻醉药房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智能麻精药品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/MYC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294000.00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智能医用冷藏系统≥60L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7700.00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智能医用冷藏系统≥390L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13500.00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智能医用冷藏系统≥500L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18000.00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智能医用冷藏系统≥650L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18000.00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药品耗材连盖运输箱≥58L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铭丰腾</w:t>
            </w:r>
            <w:proofErr w:type="gramEnd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龙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105.00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药品耗材连盖运输箱≥78L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铭丰腾</w:t>
            </w:r>
            <w:proofErr w:type="gramEnd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龙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137.00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冷藏转运箱≥18L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/FS-18LS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药品清点桌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财正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（二）耗材精细化管理系统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智能口腔专用耗材、高值耗材柜（1）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/HCC-28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207000.00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智能口腔专用耗材、高值耗材柜（2）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/HCC-30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210000.00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智能口腔专用耗材、高值耗材柜（3）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/HCC-40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215000.00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智能口腔专用耗材、高值耗材柜（4）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03727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/HCC-</w:t>
            </w:r>
            <w:r w:rsidR="000372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7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254000.00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智能交接柜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/ZJC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274000.00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智能医用冷藏系统（带自动计数功能）≥330L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12000.00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智能医用冷藏系统≥390L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/HYC-410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13500.00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手持终端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东集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CRUISEGe</w:t>
            </w:r>
            <w:proofErr w:type="spell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-HC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150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2900.00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平板电视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海信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/65E3H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8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2100.00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平板电视二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海信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/86MR5B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6000.00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小型计算机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戴尔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成就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平板式微型计算机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小米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/5 Pro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标签打印机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斑马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/ZD888CR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斑马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/300M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290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130.00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哑银标签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斑马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130.00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货物清点桌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财正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影像采集器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索尼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/Alpha 7III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15000.00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（三）药品、耗材自动配送系统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医用物流机器人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极光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Y2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260000.00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机器人充电桩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极光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Y2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坐驾式平板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骏威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/DPH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电动助力手推平板车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铭通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/SPC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扭距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爬坡电动助力手推平板车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铭通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/GSP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</w:t>
            </w: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坐驾式货车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骏威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/DQH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不锈钢电动手推厢式货车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铭通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/BSX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4500.00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电瓶式扫地车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德威莱克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/DW1250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折叠式人力货运推车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ZB/ZB300-PL-1ZD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整件货架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实</w:t>
            </w: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/2000×600×2000mm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1200.00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零品货架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实</w:t>
            </w:r>
            <w:proofErr w:type="gramStart"/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59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800.00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平板六脚托盘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spellStart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TFSeven</w:t>
            </w:r>
            <w:proofErr w:type="spell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平板九脚托盘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spellStart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TFSeven</w:t>
            </w:r>
            <w:proofErr w:type="spellEnd"/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九脚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70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仓库拣货车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ZB/ZB150-PL-2SWW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日常送货机器人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轻风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Y1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140000.00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冷藏转运箱≥20L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/FS-35LS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1200.00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冷藏转运箱≥50L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/FS-54LS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1600.00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冷藏转运箱≥12L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/FS-12LS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智能安全电子挂锁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万码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/GLS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60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1800.00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（四）综合药学系统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一体机系统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1F22AA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1F22AA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="00543756"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H3C/UniServerR6900 G5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380000.00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面板AP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H3C/WA6522H-HI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1600.00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放装型AP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H3C/WA6520-HI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59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2300.00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16口POE交换机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H3C/S5130S-20P-PWR-EI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8500.00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8口POE交换机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H3C/S5130S-10P-HPWR-EI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6500.00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（五）配套信息系统升级和接口改造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HIS系统接口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创业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EMR系统接口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嘉和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HRP升级服务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望海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HRP升级开发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望海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医院原HIS、EMR等信息系统与综合药学系统对接的集成开发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美康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150000.00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二、软件模块明细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（一）药品精细化管理系统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麻醉药房闭环管理系统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/MZ.01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558000.00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温湿度监控系统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/WS.01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275000.00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（二）耗材精细化管理系统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科室基数闭环管理系统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庆峰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/JS.01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3430000.00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（三）药品、耗材自动配送系统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多机器人调度系统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50000.00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门禁物</w:t>
            </w:r>
            <w:proofErr w:type="gramEnd"/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联网控制系统模块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电梯物联网控制系统模块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易普森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30000.00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（四）综合药学系统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综合药学系统（软件）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美康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/PASS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780000.00 </w:t>
            </w:r>
          </w:p>
        </w:tc>
      </w:tr>
      <w:tr w:rsidR="00543756" w:rsidRPr="00543756" w:rsidTr="00543756">
        <w:trPr>
          <w:trHeight w:val="48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无线AP授权扩容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新华三</w:t>
            </w: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H3C/LIS-WX-64-BE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54375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756" w:rsidRPr="00543756" w:rsidRDefault="00543756" w:rsidP="005437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375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20000.00 </w:t>
            </w:r>
          </w:p>
        </w:tc>
      </w:tr>
    </w:tbl>
    <w:p w:rsidR="007129AC" w:rsidRPr="0065210A" w:rsidRDefault="007129AC" w:rsidP="00D7166D">
      <w:pPr>
        <w:rPr>
          <w:rFonts w:ascii="宋体" w:eastAsia="宋体" w:hAnsi="宋体" w:cs="Times New Roman"/>
          <w:color w:val="000000"/>
          <w:szCs w:val="21"/>
        </w:rPr>
      </w:pPr>
      <w:r w:rsidRPr="0065210A">
        <w:rPr>
          <w:rFonts w:ascii="宋体" w:eastAsia="宋体" w:hAnsi="宋体" w:cs="Times New Roman" w:hint="eastAsia"/>
          <w:color w:val="000000"/>
          <w:szCs w:val="21"/>
        </w:rPr>
        <w:t>五、评审专家名单：</w:t>
      </w:r>
      <w:r w:rsidR="00AF6267" w:rsidRPr="00AF6267">
        <w:rPr>
          <w:rFonts w:ascii="宋体" w:eastAsia="宋体" w:hAnsi="宋体" w:cs="Times New Roman" w:hint="eastAsia"/>
          <w:color w:val="000000"/>
          <w:szCs w:val="21"/>
        </w:rPr>
        <w:t>潘自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强、</w:t>
      </w:r>
      <w:r w:rsidR="00AF6267" w:rsidRPr="00AF6267">
        <w:rPr>
          <w:rFonts w:ascii="宋体" w:eastAsia="宋体" w:hAnsi="宋体" w:cs="Times New Roman" w:hint="eastAsia"/>
          <w:color w:val="000000"/>
          <w:szCs w:val="21"/>
        </w:rPr>
        <w:t>梁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征、王君、</w:t>
      </w:r>
      <w:r w:rsidR="00AF6267" w:rsidRPr="00AF6267">
        <w:rPr>
          <w:rFonts w:ascii="宋体" w:eastAsia="宋体" w:hAnsi="宋体" w:cs="Times New Roman" w:hint="eastAsia"/>
          <w:color w:val="000000"/>
          <w:szCs w:val="21"/>
        </w:rPr>
        <w:t>杨丽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华、王一宁、曾令丰</w:t>
      </w:r>
      <w:r w:rsidRPr="0065210A">
        <w:rPr>
          <w:rFonts w:ascii="宋体" w:eastAsia="宋体" w:hAnsi="宋体" w:cs="Times New Roman" w:hint="eastAsia"/>
          <w:color w:val="000000"/>
          <w:szCs w:val="21"/>
        </w:rPr>
        <w:t>（采购单位授权代表）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、</w:t>
      </w:r>
      <w:r w:rsidR="00AF6267" w:rsidRPr="00AF6267">
        <w:rPr>
          <w:rFonts w:ascii="宋体" w:eastAsia="宋体" w:hAnsi="宋体" w:cs="Times New Roman" w:hint="eastAsia"/>
          <w:color w:val="000000"/>
          <w:szCs w:val="21"/>
        </w:rPr>
        <w:t>倪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胜（</w:t>
      </w:r>
      <w:r w:rsidR="00AF6267" w:rsidRPr="00AF6267">
        <w:rPr>
          <w:rFonts w:ascii="宋体" w:eastAsia="宋体" w:hAnsi="宋体" w:cs="Times New Roman" w:hint="eastAsia"/>
          <w:color w:val="000000"/>
          <w:szCs w:val="21"/>
        </w:rPr>
        <w:t>采购单位授权代表</w:t>
      </w:r>
      <w:r w:rsidR="00AF6267">
        <w:rPr>
          <w:rFonts w:ascii="宋体" w:eastAsia="宋体" w:hAnsi="宋体" w:cs="Times New Roman" w:hint="eastAsia"/>
          <w:color w:val="000000"/>
          <w:szCs w:val="21"/>
        </w:rPr>
        <w:t>）</w:t>
      </w:r>
      <w:r w:rsidRPr="0065210A"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7129AC" w:rsidRPr="0065210A" w:rsidRDefault="007129AC" w:rsidP="007129AC">
      <w:pPr>
        <w:rPr>
          <w:rFonts w:ascii="宋体" w:eastAsia="宋体" w:hAnsi="宋体" w:cs="Times New Roman"/>
          <w:color w:val="000000"/>
          <w:szCs w:val="21"/>
        </w:rPr>
      </w:pPr>
      <w:r w:rsidRPr="0065210A">
        <w:rPr>
          <w:rFonts w:ascii="宋体" w:eastAsia="宋体" w:hAnsi="宋体" w:cs="Times New Roman" w:hint="eastAsia"/>
          <w:color w:val="000000"/>
          <w:szCs w:val="21"/>
        </w:rPr>
        <w:t>六、代理服务收费标准及金额：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5"/>
        <w:gridCol w:w="2194"/>
      </w:tblGrid>
      <w:tr w:rsidR="007129AC" w:rsidRPr="0065210A" w:rsidTr="008C5083">
        <w:trPr>
          <w:trHeight w:val="274"/>
        </w:trPr>
        <w:tc>
          <w:tcPr>
            <w:tcW w:w="3697" w:type="pct"/>
            <w:vAlign w:val="center"/>
          </w:tcPr>
          <w:p w:rsidR="007129AC" w:rsidRPr="0065210A" w:rsidRDefault="007129AC" w:rsidP="007129A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5210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服务费收费标准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9AC" w:rsidRPr="0065210A" w:rsidRDefault="007129AC" w:rsidP="007129A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210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服务费收费金额(元)</w:t>
            </w:r>
          </w:p>
        </w:tc>
      </w:tr>
      <w:tr w:rsidR="007129AC" w:rsidRPr="0065210A" w:rsidTr="008C5083">
        <w:trPr>
          <w:trHeight w:val="397"/>
        </w:trPr>
        <w:tc>
          <w:tcPr>
            <w:tcW w:w="3697" w:type="pct"/>
            <w:vAlign w:val="center"/>
          </w:tcPr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采购代理费支付方式：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213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本项目代理服务费由中标人在领取中标通知书前，一次性向采购代理机构支付。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采购代理费收取标准：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213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以分标（</w:t>
            </w:r>
            <w:r w:rsidRPr="00C7213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中标金额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□采购预算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□暂定中标金额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）为计费额，按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采购文件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须知正文第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39.2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条规定的收费计算标准（</w:t>
            </w:r>
            <w:r w:rsidRPr="00C7213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货物招标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□服务招标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□工程招标）采用差额定率累进法计算</w:t>
            </w:r>
            <w:proofErr w:type="gramStart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出收费</w:t>
            </w:r>
            <w:proofErr w:type="gramEnd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基准价格，采购代理收费以（□收费基准价格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 w:rsidRPr="00C7213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收费基准价格下浮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20 %/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□收费基准价格上浮</w:t>
            </w:r>
            <w:r w:rsidRPr="00C7213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/ %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）收取。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</w:t>
            </w: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代理机构银行账户信息如下：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账户名称：云之</w:t>
            </w:r>
            <w:proofErr w:type="gramStart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龙咨询</w:t>
            </w:r>
            <w:proofErr w:type="gramEnd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集团有限公司</w:t>
            </w:r>
          </w:p>
          <w:p w:rsidR="00C72133" w:rsidRPr="00C72133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开户银行：中国银行南宁市民主支行（</w:t>
            </w:r>
            <w:proofErr w:type="gramStart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网银支付</w:t>
            </w:r>
            <w:proofErr w:type="gramEnd"/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可选中国银行股份有限公司南宁分行）</w:t>
            </w:r>
          </w:p>
          <w:p w:rsidR="007129AC" w:rsidRPr="0065210A" w:rsidRDefault="00C72133" w:rsidP="00C72133">
            <w:pPr>
              <w:widowControl/>
              <w:spacing w:line="24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21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银行账号：623661021638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D8D" w:rsidRPr="0065210A" w:rsidRDefault="00E05CD3" w:rsidP="00FB17E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5CD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117925.20</w:t>
            </w:r>
          </w:p>
        </w:tc>
      </w:tr>
    </w:tbl>
    <w:p w:rsidR="00440492" w:rsidRPr="0065210A" w:rsidRDefault="006655A1" w:rsidP="00AC3C01">
      <w:pPr>
        <w:spacing w:line="40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65210A">
        <w:rPr>
          <w:rFonts w:asciiTheme="minorEastAsia" w:hAnsiTheme="minorEastAsia" w:cs="Times New Roman" w:hint="eastAsia"/>
          <w:color w:val="000000" w:themeColor="text1"/>
          <w:szCs w:val="21"/>
        </w:rPr>
        <w:t>七</w:t>
      </w:r>
      <w:r w:rsidR="00440492" w:rsidRPr="0065210A">
        <w:rPr>
          <w:rFonts w:asciiTheme="minorEastAsia" w:hAnsiTheme="minorEastAsia" w:cs="Times New Roman" w:hint="eastAsia"/>
          <w:color w:val="000000" w:themeColor="text1"/>
          <w:szCs w:val="21"/>
        </w:rPr>
        <w:t>、公告期限</w:t>
      </w:r>
    </w:p>
    <w:p w:rsidR="00440492" w:rsidRPr="0065210A" w:rsidRDefault="00440492" w:rsidP="00AC3C01">
      <w:pPr>
        <w:spacing w:line="40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自本公告发布之日起</w:t>
      </w:r>
      <w:r w:rsidRPr="0065210A">
        <w:rPr>
          <w:rFonts w:asciiTheme="minorEastAsia" w:hAnsiTheme="minorEastAsia" w:cs="宋体"/>
          <w:color w:val="000000" w:themeColor="text1"/>
          <w:kern w:val="0"/>
          <w:szCs w:val="21"/>
        </w:rPr>
        <w:t>1</w:t>
      </w: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个工作日。</w:t>
      </w:r>
    </w:p>
    <w:p w:rsidR="00440492" w:rsidRPr="0065210A" w:rsidRDefault="006655A1" w:rsidP="00AC3C01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仿宋" w:hint="eastAsia"/>
          <w:color w:val="000000" w:themeColor="text1"/>
          <w:szCs w:val="21"/>
        </w:rPr>
        <w:t>八</w:t>
      </w:r>
      <w:r w:rsidR="00440492" w:rsidRPr="0065210A">
        <w:rPr>
          <w:rFonts w:asciiTheme="minorEastAsia" w:hAnsiTheme="minorEastAsia" w:cs="仿宋" w:hint="eastAsia"/>
          <w:color w:val="000000" w:themeColor="text1"/>
          <w:szCs w:val="21"/>
        </w:rPr>
        <w:t>、其他补充事宜</w:t>
      </w:r>
      <w:r w:rsidR="00F15830" w:rsidRPr="0065210A">
        <w:rPr>
          <w:rFonts w:asciiTheme="minorEastAsia" w:hAnsiTheme="minorEastAsia" w:cs="仿宋" w:hint="eastAsia"/>
          <w:color w:val="000000" w:themeColor="text1"/>
          <w:szCs w:val="21"/>
        </w:rPr>
        <w:t>：无</w:t>
      </w:r>
      <w:r w:rsidR="009B0F57" w:rsidRPr="0065210A">
        <w:rPr>
          <w:rFonts w:asciiTheme="minorEastAsia" w:hAnsiTheme="minorEastAsia" w:cs="仿宋" w:hint="eastAsia"/>
          <w:color w:val="000000" w:themeColor="text1"/>
          <w:szCs w:val="21"/>
        </w:rPr>
        <w:t>。</w:t>
      </w:r>
    </w:p>
    <w:p w:rsidR="00440492" w:rsidRPr="0065210A" w:rsidRDefault="009E3A50" w:rsidP="00AC3C01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九</w:t>
      </w:r>
      <w:r w:rsidR="00440492"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、凡对本次公告内容提出询问，请按以下方式联系。</w:t>
      </w:r>
    </w:p>
    <w:p w:rsidR="009833D1" w:rsidRPr="0065210A" w:rsidRDefault="00DF25B2" w:rsidP="009833D1">
      <w:pPr>
        <w:spacing w:line="40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bookmarkStart w:id="8" w:name="_Toc35393806"/>
      <w:bookmarkStart w:id="9" w:name="_Toc35393637"/>
      <w:bookmarkStart w:id="10" w:name="_Toc28359019"/>
      <w:bookmarkStart w:id="11" w:name="_Toc28359096"/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</w:t>
      </w:r>
      <w:bookmarkStart w:id="12" w:name="_Toc28359009"/>
      <w:bookmarkStart w:id="13" w:name="_Toc28359086"/>
      <w:bookmarkEnd w:id="8"/>
      <w:bookmarkEnd w:id="9"/>
      <w:bookmarkEnd w:id="10"/>
      <w:bookmarkEnd w:id="11"/>
      <w:r w:rsidR="009833D1"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采购人信息</w:t>
      </w:r>
    </w:p>
    <w:p w:rsidR="009833D1" w:rsidRPr="00E509B9" w:rsidRDefault="009833D1" w:rsidP="009833D1">
      <w:pPr>
        <w:spacing w:line="40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名 称：</w:t>
      </w:r>
      <w:r w:rsidR="003348F7" w:rsidRPr="003348F7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广西医科大学</w:t>
      </w:r>
    </w:p>
    <w:p w:rsidR="009833D1" w:rsidRPr="0065210A" w:rsidRDefault="009833D1" w:rsidP="009833D1">
      <w:pPr>
        <w:spacing w:line="40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地址：</w:t>
      </w:r>
      <w:r w:rsidR="003348F7" w:rsidRPr="003348F7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广西南宁市双拥路22号</w:t>
      </w:r>
    </w:p>
    <w:p w:rsidR="009833D1" w:rsidRPr="0065210A" w:rsidRDefault="009833D1" w:rsidP="009833D1">
      <w:pPr>
        <w:spacing w:line="40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联系人：</w:t>
      </w:r>
      <w:r w:rsidR="003348F7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吴智辉</w:t>
      </w:r>
    </w:p>
    <w:p w:rsidR="007A6F50" w:rsidRPr="0065210A" w:rsidRDefault="009833D1" w:rsidP="009833D1">
      <w:pPr>
        <w:spacing w:line="400" w:lineRule="exact"/>
        <w:ind w:firstLineChars="200" w:firstLine="420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联系方式：</w:t>
      </w:r>
      <w:r w:rsidR="003348F7" w:rsidRPr="003348F7">
        <w:rPr>
          <w:rFonts w:asciiTheme="minorEastAsia" w:hAnsiTheme="minorEastAsia" w:cs="宋体"/>
          <w:color w:val="000000" w:themeColor="text1"/>
          <w:kern w:val="0"/>
          <w:szCs w:val="21"/>
        </w:rPr>
        <w:t>0771-5330800</w:t>
      </w:r>
    </w:p>
    <w:p w:rsidR="006655A1" w:rsidRPr="0065210A" w:rsidRDefault="006655A1" w:rsidP="007A6F50">
      <w:pPr>
        <w:spacing w:line="400" w:lineRule="exact"/>
        <w:ind w:firstLineChars="200" w:firstLine="420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宋体" w:hint="eastAsia"/>
          <w:color w:val="000000"/>
          <w:szCs w:val="21"/>
        </w:rPr>
        <w:t>2.采购代理机构信息</w:t>
      </w:r>
      <w:bookmarkEnd w:id="12"/>
      <w:bookmarkEnd w:id="13"/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Times New Roman" w:hint="eastAsia"/>
          <w:color w:val="000000"/>
          <w:szCs w:val="21"/>
        </w:rPr>
        <w:t xml:space="preserve">      名 称：</w:t>
      </w:r>
      <w:r w:rsidR="00842EF6" w:rsidRPr="0065210A">
        <w:rPr>
          <w:rFonts w:asciiTheme="minorEastAsia" w:hAnsiTheme="minorEastAsia" w:cs="宋体" w:hint="eastAsia"/>
          <w:color w:val="000000"/>
          <w:kern w:val="0"/>
          <w:szCs w:val="21"/>
        </w:rPr>
        <w:t>云之龙咨询集团有限公司</w:t>
      </w:r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Times New Roman" w:hint="eastAsia"/>
          <w:color w:val="000000"/>
          <w:szCs w:val="21"/>
        </w:rPr>
        <w:t xml:space="preserve">      地　址：</w:t>
      </w:r>
      <w:r w:rsidR="00E509B9" w:rsidRPr="00E509B9">
        <w:rPr>
          <w:rFonts w:asciiTheme="minorEastAsia" w:hAnsiTheme="minorEastAsia" w:hint="eastAsia"/>
          <w:color w:val="000000"/>
          <w:szCs w:val="21"/>
        </w:rPr>
        <w:t>广西南宁市良庆区云英路15号3号楼云之龙咨询集团大厦6楼</w:t>
      </w:r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Times New Roman" w:hint="eastAsia"/>
          <w:color w:val="000000"/>
          <w:szCs w:val="21"/>
        </w:rPr>
        <w:t xml:space="preserve">      联系方式：</w:t>
      </w:r>
      <w:bookmarkStart w:id="14" w:name="_Toc28359087"/>
      <w:bookmarkStart w:id="15" w:name="_Toc28359010"/>
      <w:r w:rsidR="00290A64" w:rsidRPr="0065210A">
        <w:rPr>
          <w:rFonts w:asciiTheme="minorEastAsia" w:hAnsiTheme="minorEastAsia" w:cs="Times New Roman" w:hint="eastAsia"/>
          <w:color w:val="000000"/>
          <w:szCs w:val="21"/>
        </w:rPr>
        <w:t>0771-2618199、0771-2618118</w:t>
      </w:r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  <w:u w:val="single"/>
        </w:rPr>
      </w:pPr>
      <w:r w:rsidRPr="0065210A">
        <w:rPr>
          <w:rFonts w:asciiTheme="minorEastAsia" w:hAnsiTheme="minorEastAsia" w:cs="宋体" w:hint="eastAsia"/>
          <w:color w:val="000000"/>
          <w:szCs w:val="21"/>
        </w:rPr>
        <w:t xml:space="preserve">      3.项目联系方式</w:t>
      </w:r>
      <w:bookmarkEnd w:id="14"/>
      <w:bookmarkEnd w:id="15"/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Times New Roman" w:hint="eastAsia"/>
          <w:color w:val="000000"/>
          <w:szCs w:val="21"/>
        </w:rPr>
        <w:t xml:space="preserve">      项目联系人：</w:t>
      </w:r>
      <w:r w:rsidR="00E509B9">
        <w:rPr>
          <w:rFonts w:asciiTheme="minorEastAsia" w:hAnsiTheme="minorEastAsia" w:cs="宋体" w:hint="eastAsia"/>
          <w:color w:val="000000"/>
          <w:kern w:val="0"/>
          <w:szCs w:val="21"/>
        </w:rPr>
        <w:t>陈柠</w:t>
      </w:r>
      <w:r w:rsidRPr="0065210A"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F45EC9" w:rsidRPr="0065210A">
        <w:rPr>
          <w:rFonts w:asciiTheme="minorEastAsia" w:hAnsiTheme="minorEastAsia" w:cs="宋体" w:hint="eastAsia"/>
          <w:color w:val="000000"/>
          <w:kern w:val="0"/>
          <w:szCs w:val="21"/>
        </w:rPr>
        <w:t>廖宇静</w:t>
      </w:r>
    </w:p>
    <w:p w:rsidR="006655A1" w:rsidRPr="0065210A" w:rsidRDefault="006655A1" w:rsidP="006655A1">
      <w:pPr>
        <w:tabs>
          <w:tab w:val="left" w:pos="142"/>
          <w:tab w:val="left" w:pos="284"/>
        </w:tabs>
        <w:spacing w:line="380" w:lineRule="exact"/>
        <w:ind w:leftChars="-69" w:left="-4" w:hangingChars="67" w:hanging="141"/>
        <w:rPr>
          <w:rFonts w:asciiTheme="minorEastAsia" w:hAnsiTheme="minorEastAsia" w:cs="Times New Roman"/>
          <w:color w:val="000000"/>
          <w:szCs w:val="21"/>
        </w:rPr>
      </w:pPr>
      <w:r w:rsidRPr="0065210A">
        <w:rPr>
          <w:rFonts w:asciiTheme="minorEastAsia" w:hAnsiTheme="minorEastAsia" w:cs="Times New Roman" w:hint="eastAsia"/>
          <w:color w:val="000000"/>
          <w:szCs w:val="21"/>
        </w:rPr>
        <w:t xml:space="preserve">      电　话：0771-2618199、0771-2618118</w:t>
      </w:r>
    </w:p>
    <w:p w:rsidR="000E2F8E" w:rsidRPr="00B44D6C" w:rsidRDefault="00440492" w:rsidP="00B44D6C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>十、附件</w:t>
      </w:r>
      <w:r w:rsidR="00286BC0"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</w:t>
      </w:r>
      <w:r w:rsidR="00231FE5" w:rsidRPr="0065210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公开招标文件</w:t>
      </w:r>
      <w:bookmarkEnd w:id="2"/>
      <w:bookmarkEnd w:id="3"/>
      <w:bookmarkEnd w:id="4"/>
      <w:bookmarkEnd w:id="5"/>
      <w:bookmarkEnd w:id="6"/>
      <w:bookmarkEnd w:id="7"/>
    </w:p>
    <w:sectPr w:rsidR="000E2F8E" w:rsidRPr="00B44D6C" w:rsidSect="005437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B5" w:rsidRDefault="007D78B5" w:rsidP="00C86F38">
      <w:r>
        <w:separator/>
      </w:r>
    </w:p>
  </w:endnote>
  <w:endnote w:type="continuationSeparator" w:id="0">
    <w:p w:rsidR="007D78B5" w:rsidRDefault="007D78B5" w:rsidP="00C8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B5" w:rsidRDefault="007D78B5" w:rsidP="00C86F38">
      <w:r>
        <w:separator/>
      </w:r>
    </w:p>
  </w:footnote>
  <w:footnote w:type="continuationSeparator" w:id="0">
    <w:p w:rsidR="007D78B5" w:rsidRDefault="007D78B5" w:rsidP="00C8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27" w:rsidRDefault="00EB4727" w:rsidP="0036483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BBC"/>
    <w:multiLevelType w:val="hybridMultilevel"/>
    <w:tmpl w:val="6E425C1E"/>
    <w:lvl w:ilvl="0" w:tplc="2A2AF5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541A57"/>
    <w:multiLevelType w:val="hybridMultilevel"/>
    <w:tmpl w:val="57060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D61CAB"/>
    <w:multiLevelType w:val="hybridMultilevel"/>
    <w:tmpl w:val="0BDEA064"/>
    <w:lvl w:ilvl="0" w:tplc="A5C87EB4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C55116"/>
    <w:multiLevelType w:val="hybridMultilevel"/>
    <w:tmpl w:val="FE9AF8B2"/>
    <w:lvl w:ilvl="0" w:tplc="92C4F156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92"/>
    <w:rsid w:val="00001704"/>
    <w:rsid w:val="00012ED0"/>
    <w:rsid w:val="000152CF"/>
    <w:rsid w:val="000261EE"/>
    <w:rsid w:val="000318DB"/>
    <w:rsid w:val="000319AC"/>
    <w:rsid w:val="00037273"/>
    <w:rsid w:val="00037E22"/>
    <w:rsid w:val="00072C8A"/>
    <w:rsid w:val="00081433"/>
    <w:rsid w:val="000A0D37"/>
    <w:rsid w:val="000A1A02"/>
    <w:rsid w:val="000A1D4E"/>
    <w:rsid w:val="000A327C"/>
    <w:rsid w:val="000B5346"/>
    <w:rsid w:val="000B78F2"/>
    <w:rsid w:val="000D5923"/>
    <w:rsid w:val="000E04F8"/>
    <w:rsid w:val="000E2D35"/>
    <w:rsid w:val="000E2F8E"/>
    <w:rsid w:val="000E47AF"/>
    <w:rsid w:val="000E6A79"/>
    <w:rsid w:val="000E74E7"/>
    <w:rsid w:val="00102DC2"/>
    <w:rsid w:val="00110A13"/>
    <w:rsid w:val="00117032"/>
    <w:rsid w:val="001172D2"/>
    <w:rsid w:val="00123509"/>
    <w:rsid w:val="00131A60"/>
    <w:rsid w:val="001412C5"/>
    <w:rsid w:val="00142C9C"/>
    <w:rsid w:val="00151247"/>
    <w:rsid w:val="00155B9C"/>
    <w:rsid w:val="00161131"/>
    <w:rsid w:val="001724C9"/>
    <w:rsid w:val="00174698"/>
    <w:rsid w:val="00175B92"/>
    <w:rsid w:val="0019022C"/>
    <w:rsid w:val="001B1B60"/>
    <w:rsid w:val="001C15E5"/>
    <w:rsid w:val="001C17B3"/>
    <w:rsid w:val="001C24F8"/>
    <w:rsid w:val="001C7C4F"/>
    <w:rsid w:val="001D225F"/>
    <w:rsid w:val="001F22AA"/>
    <w:rsid w:val="001F7C38"/>
    <w:rsid w:val="002020A8"/>
    <w:rsid w:val="0020280E"/>
    <w:rsid w:val="00204BAE"/>
    <w:rsid w:val="00207DB4"/>
    <w:rsid w:val="0021404C"/>
    <w:rsid w:val="00217FBB"/>
    <w:rsid w:val="002250CD"/>
    <w:rsid w:val="00231FE5"/>
    <w:rsid w:val="0023434E"/>
    <w:rsid w:val="002360CA"/>
    <w:rsid w:val="00240668"/>
    <w:rsid w:val="0024323C"/>
    <w:rsid w:val="00243642"/>
    <w:rsid w:val="002458BA"/>
    <w:rsid w:val="0025212A"/>
    <w:rsid w:val="002643B4"/>
    <w:rsid w:val="0027131C"/>
    <w:rsid w:val="002716B2"/>
    <w:rsid w:val="00286BC0"/>
    <w:rsid w:val="00290A64"/>
    <w:rsid w:val="002A365F"/>
    <w:rsid w:val="002A44EB"/>
    <w:rsid w:val="002A712F"/>
    <w:rsid w:val="002B2089"/>
    <w:rsid w:val="002D4AD5"/>
    <w:rsid w:val="002E1186"/>
    <w:rsid w:val="002E58AB"/>
    <w:rsid w:val="002E5E1A"/>
    <w:rsid w:val="002E78FD"/>
    <w:rsid w:val="002F53A9"/>
    <w:rsid w:val="002F7D5A"/>
    <w:rsid w:val="0030681C"/>
    <w:rsid w:val="00311245"/>
    <w:rsid w:val="0031419F"/>
    <w:rsid w:val="003155A8"/>
    <w:rsid w:val="003260E0"/>
    <w:rsid w:val="003278D7"/>
    <w:rsid w:val="003348F7"/>
    <w:rsid w:val="00336376"/>
    <w:rsid w:val="00340077"/>
    <w:rsid w:val="00341A25"/>
    <w:rsid w:val="00344C48"/>
    <w:rsid w:val="00350DD1"/>
    <w:rsid w:val="00351B13"/>
    <w:rsid w:val="0035209C"/>
    <w:rsid w:val="00364832"/>
    <w:rsid w:val="00372851"/>
    <w:rsid w:val="003743FB"/>
    <w:rsid w:val="003754F3"/>
    <w:rsid w:val="003775CB"/>
    <w:rsid w:val="00396E5C"/>
    <w:rsid w:val="00396F47"/>
    <w:rsid w:val="003A1C7A"/>
    <w:rsid w:val="003A4BD9"/>
    <w:rsid w:val="003B1E1C"/>
    <w:rsid w:val="003B6D97"/>
    <w:rsid w:val="003C0A3B"/>
    <w:rsid w:val="003C1E3E"/>
    <w:rsid w:val="003C2511"/>
    <w:rsid w:val="003C2A8B"/>
    <w:rsid w:val="003D4B5C"/>
    <w:rsid w:val="003D4DAE"/>
    <w:rsid w:val="003D6118"/>
    <w:rsid w:val="003E500F"/>
    <w:rsid w:val="003F33EB"/>
    <w:rsid w:val="00402525"/>
    <w:rsid w:val="0040399D"/>
    <w:rsid w:val="004039C1"/>
    <w:rsid w:val="00404A74"/>
    <w:rsid w:val="00420682"/>
    <w:rsid w:val="00423275"/>
    <w:rsid w:val="0043226B"/>
    <w:rsid w:val="00436DFE"/>
    <w:rsid w:val="00440492"/>
    <w:rsid w:val="004424AE"/>
    <w:rsid w:val="0044294D"/>
    <w:rsid w:val="00442FE6"/>
    <w:rsid w:val="00444808"/>
    <w:rsid w:val="004505BA"/>
    <w:rsid w:val="00454625"/>
    <w:rsid w:val="00463D46"/>
    <w:rsid w:val="00491366"/>
    <w:rsid w:val="00495D87"/>
    <w:rsid w:val="004A247C"/>
    <w:rsid w:val="004B3D12"/>
    <w:rsid w:val="004C1939"/>
    <w:rsid w:val="004E7EFE"/>
    <w:rsid w:val="004F02E7"/>
    <w:rsid w:val="00507D60"/>
    <w:rsid w:val="005222D5"/>
    <w:rsid w:val="00543756"/>
    <w:rsid w:val="005540BA"/>
    <w:rsid w:val="00554ADB"/>
    <w:rsid w:val="00567647"/>
    <w:rsid w:val="00576B2A"/>
    <w:rsid w:val="00583D6C"/>
    <w:rsid w:val="0058778B"/>
    <w:rsid w:val="00593410"/>
    <w:rsid w:val="00593F3E"/>
    <w:rsid w:val="005B124A"/>
    <w:rsid w:val="005B42BE"/>
    <w:rsid w:val="005B4972"/>
    <w:rsid w:val="005B6DD8"/>
    <w:rsid w:val="005B7BF2"/>
    <w:rsid w:val="005C5042"/>
    <w:rsid w:val="005C7910"/>
    <w:rsid w:val="005D61F5"/>
    <w:rsid w:val="005E1CEF"/>
    <w:rsid w:val="005F3E3A"/>
    <w:rsid w:val="00602D57"/>
    <w:rsid w:val="0060316A"/>
    <w:rsid w:val="00614EA5"/>
    <w:rsid w:val="006230E5"/>
    <w:rsid w:val="006263DE"/>
    <w:rsid w:val="00635A38"/>
    <w:rsid w:val="00636092"/>
    <w:rsid w:val="00640AED"/>
    <w:rsid w:val="006426A8"/>
    <w:rsid w:val="0065210A"/>
    <w:rsid w:val="0065726E"/>
    <w:rsid w:val="006655A1"/>
    <w:rsid w:val="006726B4"/>
    <w:rsid w:val="00685507"/>
    <w:rsid w:val="00690574"/>
    <w:rsid w:val="0069201E"/>
    <w:rsid w:val="006A22AB"/>
    <w:rsid w:val="006A508C"/>
    <w:rsid w:val="006A5371"/>
    <w:rsid w:val="006B5585"/>
    <w:rsid w:val="006B614E"/>
    <w:rsid w:val="006C4F00"/>
    <w:rsid w:val="006C6A6C"/>
    <w:rsid w:val="006D1BFC"/>
    <w:rsid w:val="006D3BFD"/>
    <w:rsid w:val="006E3240"/>
    <w:rsid w:val="006E371F"/>
    <w:rsid w:val="006E65F8"/>
    <w:rsid w:val="006E7179"/>
    <w:rsid w:val="006F135E"/>
    <w:rsid w:val="006F24DF"/>
    <w:rsid w:val="006F5815"/>
    <w:rsid w:val="006F6FA5"/>
    <w:rsid w:val="00703D44"/>
    <w:rsid w:val="007129AC"/>
    <w:rsid w:val="00714447"/>
    <w:rsid w:val="007172AB"/>
    <w:rsid w:val="007305A2"/>
    <w:rsid w:val="007418B2"/>
    <w:rsid w:val="00747423"/>
    <w:rsid w:val="00754661"/>
    <w:rsid w:val="00761C34"/>
    <w:rsid w:val="00767026"/>
    <w:rsid w:val="00771253"/>
    <w:rsid w:val="0077254E"/>
    <w:rsid w:val="00777C72"/>
    <w:rsid w:val="00780415"/>
    <w:rsid w:val="0078775E"/>
    <w:rsid w:val="00794560"/>
    <w:rsid w:val="00796359"/>
    <w:rsid w:val="00796A63"/>
    <w:rsid w:val="007A6F50"/>
    <w:rsid w:val="007B2DA7"/>
    <w:rsid w:val="007B35AD"/>
    <w:rsid w:val="007C3E31"/>
    <w:rsid w:val="007D35F0"/>
    <w:rsid w:val="007D78B5"/>
    <w:rsid w:val="007E6E3C"/>
    <w:rsid w:val="00801691"/>
    <w:rsid w:val="00803780"/>
    <w:rsid w:val="00804A63"/>
    <w:rsid w:val="008128BC"/>
    <w:rsid w:val="00814DF5"/>
    <w:rsid w:val="0082061E"/>
    <w:rsid w:val="00822D16"/>
    <w:rsid w:val="00823090"/>
    <w:rsid w:val="0083320F"/>
    <w:rsid w:val="008338F4"/>
    <w:rsid w:val="00833EF6"/>
    <w:rsid w:val="00842EF6"/>
    <w:rsid w:val="00846B11"/>
    <w:rsid w:val="00852CF3"/>
    <w:rsid w:val="0086364E"/>
    <w:rsid w:val="00873E7D"/>
    <w:rsid w:val="00873F9A"/>
    <w:rsid w:val="00875F83"/>
    <w:rsid w:val="008879D2"/>
    <w:rsid w:val="0089608D"/>
    <w:rsid w:val="008A10FB"/>
    <w:rsid w:val="008A3163"/>
    <w:rsid w:val="008A4974"/>
    <w:rsid w:val="008A52A0"/>
    <w:rsid w:val="008A6FE7"/>
    <w:rsid w:val="008B5817"/>
    <w:rsid w:val="008D045D"/>
    <w:rsid w:val="008E2208"/>
    <w:rsid w:val="008E5102"/>
    <w:rsid w:val="009052BE"/>
    <w:rsid w:val="00906E9D"/>
    <w:rsid w:val="00912501"/>
    <w:rsid w:val="009169C5"/>
    <w:rsid w:val="00923A85"/>
    <w:rsid w:val="00926628"/>
    <w:rsid w:val="00946B47"/>
    <w:rsid w:val="00946F62"/>
    <w:rsid w:val="00955599"/>
    <w:rsid w:val="0096306A"/>
    <w:rsid w:val="009833D1"/>
    <w:rsid w:val="00996B01"/>
    <w:rsid w:val="009B0F57"/>
    <w:rsid w:val="009C212A"/>
    <w:rsid w:val="009C215C"/>
    <w:rsid w:val="009C76F8"/>
    <w:rsid w:val="009E3A50"/>
    <w:rsid w:val="009F1AA9"/>
    <w:rsid w:val="009F2C2F"/>
    <w:rsid w:val="00A017CE"/>
    <w:rsid w:val="00A02FB5"/>
    <w:rsid w:val="00A0718A"/>
    <w:rsid w:val="00A076E7"/>
    <w:rsid w:val="00A15220"/>
    <w:rsid w:val="00A15732"/>
    <w:rsid w:val="00A20440"/>
    <w:rsid w:val="00A45C31"/>
    <w:rsid w:val="00A50EB8"/>
    <w:rsid w:val="00A57319"/>
    <w:rsid w:val="00A606CC"/>
    <w:rsid w:val="00A63D58"/>
    <w:rsid w:val="00A73DA0"/>
    <w:rsid w:val="00A74AEA"/>
    <w:rsid w:val="00A855F4"/>
    <w:rsid w:val="00A8695D"/>
    <w:rsid w:val="00A94C70"/>
    <w:rsid w:val="00AB29C6"/>
    <w:rsid w:val="00AC3206"/>
    <w:rsid w:val="00AC3C01"/>
    <w:rsid w:val="00AC5C28"/>
    <w:rsid w:val="00AC77DE"/>
    <w:rsid w:val="00AD06BF"/>
    <w:rsid w:val="00AD165B"/>
    <w:rsid w:val="00AD3481"/>
    <w:rsid w:val="00AD4EAC"/>
    <w:rsid w:val="00AE1574"/>
    <w:rsid w:val="00AE3EB6"/>
    <w:rsid w:val="00AF2E99"/>
    <w:rsid w:val="00AF5D66"/>
    <w:rsid w:val="00AF6267"/>
    <w:rsid w:val="00B100D8"/>
    <w:rsid w:val="00B118DB"/>
    <w:rsid w:val="00B11B21"/>
    <w:rsid w:val="00B1606C"/>
    <w:rsid w:val="00B1631F"/>
    <w:rsid w:val="00B179DE"/>
    <w:rsid w:val="00B262FD"/>
    <w:rsid w:val="00B315BF"/>
    <w:rsid w:val="00B37741"/>
    <w:rsid w:val="00B42F87"/>
    <w:rsid w:val="00B443AD"/>
    <w:rsid w:val="00B44D6C"/>
    <w:rsid w:val="00B460E0"/>
    <w:rsid w:val="00B572F2"/>
    <w:rsid w:val="00B60766"/>
    <w:rsid w:val="00B63430"/>
    <w:rsid w:val="00B64EA1"/>
    <w:rsid w:val="00B64EF8"/>
    <w:rsid w:val="00B65C77"/>
    <w:rsid w:val="00B72BFD"/>
    <w:rsid w:val="00B805C4"/>
    <w:rsid w:val="00B83052"/>
    <w:rsid w:val="00B935CB"/>
    <w:rsid w:val="00BA408D"/>
    <w:rsid w:val="00BB3DBA"/>
    <w:rsid w:val="00BB6DD7"/>
    <w:rsid w:val="00BC18E5"/>
    <w:rsid w:val="00BC2E91"/>
    <w:rsid w:val="00BC3948"/>
    <w:rsid w:val="00BC7A8E"/>
    <w:rsid w:val="00BD786A"/>
    <w:rsid w:val="00BE4337"/>
    <w:rsid w:val="00BF0067"/>
    <w:rsid w:val="00BF1158"/>
    <w:rsid w:val="00BF5B34"/>
    <w:rsid w:val="00C01E8B"/>
    <w:rsid w:val="00C02358"/>
    <w:rsid w:val="00C153EC"/>
    <w:rsid w:val="00C15D36"/>
    <w:rsid w:val="00C22492"/>
    <w:rsid w:val="00C26022"/>
    <w:rsid w:val="00C32162"/>
    <w:rsid w:val="00C367B6"/>
    <w:rsid w:val="00C413DA"/>
    <w:rsid w:val="00C41692"/>
    <w:rsid w:val="00C41E52"/>
    <w:rsid w:val="00C420D7"/>
    <w:rsid w:val="00C42478"/>
    <w:rsid w:val="00C426CF"/>
    <w:rsid w:val="00C444DF"/>
    <w:rsid w:val="00C46F13"/>
    <w:rsid w:val="00C475AB"/>
    <w:rsid w:val="00C47C1A"/>
    <w:rsid w:val="00C52027"/>
    <w:rsid w:val="00C54EC3"/>
    <w:rsid w:val="00C62F72"/>
    <w:rsid w:val="00C6577D"/>
    <w:rsid w:val="00C71798"/>
    <w:rsid w:val="00C72133"/>
    <w:rsid w:val="00C808DE"/>
    <w:rsid w:val="00C81270"/>
    <w:rsid w:val="00C841A8"/>
    <w:rsid w:val="00C86F38"/>
    <w:rsid w:val="00CA519D"/>
    <w:rsid w:val="00CC51C8"/>
    <w:rsid w:val="00CC72F9"/>
    <w:rsid w:val="00CD2739"/>
    <w:rsid w:val="00CD75F4"/>
    <w:rsid w:val="00CE0044"/>
    <w:rsid w:val="00CE5019"/>
    <w:rsid w:val="00CE54B8"/>
    <w:rsid w:val="00CE5AB6"/>
    <w:rsid w:val="00CF06DD"/>
    <w:rsid w:val="00CF0EFB"/>
    <w:rsid w:val="00CF3877"/>
    <w:rsid w:val="00D012BC"/>
    <w:rsid w:val="00D01B62"/>
    <w:rsid w:val="00D15DF1"/>
    <w:rsid w:val="00D35776"/>
    <w:rsid w:val="00D4058A"/>
    <w:rsid w:val="00D50227"/>
    <w:rsid w:val="00D55A33"/>
    <w:rsid w:val="00D57E67"/>
    <w:rsid w:val="00D652F4"/>
    <w:rsid w:val="00D7159E"/>
    <w:rsid w:val="00D7166D"/>
    <w:rsid w:val="00D761E1"/>
    <w:rsid w:val="00D80431"/>
    <w:rsid w:val="00D8069C"/>
    <w:rsid w:val="00D8617A"/>
    <w:rsid w:val="00D90789"/>
    <w:rsid w:val="00D90FD1"/>
    <w:rsid w:val="00D952F8"/>
    <w:rsid w:val="00DA0909"/>
    <w:rsid w:val="00DA27CD"/>
    <w:rsid w:val="00DA55E9"/>
    <w:rsid w:val="00DB3F77"/>
    <w:rsid w:val="00DC134B"/>
    <w:rsid w:val="00DC40C5"/>
    <w:rsid w:val="00DC7F31"/>
    <w:rsid w:val="00DD467D"/>
    <w:rsid w:val="00DE1DE8"/>
    <w:rsid w:val="00DE30BA"/>
    <w:rsid w:val="00DF25B2"/>
    <w:rsid w:val="00E01309"/>
    <w:rsid w:val="00E02407"/>
    <w:rsid w:val="00E05CD3"/>
    <w:rsid w:val="00E15788"/>
    <w:rsid w:val="00E27889"/>
    <w:rsid w:val="00E34D60"/>
    <w:rsid w:val="00E352F1"/>
    <w:rsid w:val="00E509B9"/>
    <w:rsid w:val="00E54D2B"/>
    <w:rsid w:val="00E6541A"/>
    <w:rsid w:val="00E71A4A"/>
    <w:rsid w:val="00E72489"/>
    <w:rsid w:val="00E77378"/>
    <w:rsid w:val="00E81818"/>
    <w:rsid w:val="00E82BA9"/>
    <w:rsid w:val="00E84846"/>
    <w:rsid w:val="00E91D8D"/>
    <w:rsid w:val="00E95DA4"/>
    <w:rsid w:val="00EA2AFE"/>
    <w:rsid w:val="00EA359B"/>
    <w:rsid w:val="00EA4951"/>
    <w:rsid w:val="00EB3320"/>
    <w:rsid w:val="00EB4727"/>
    <w:rsid w:val="00EC216B"/>
    <w:rsid w:val="00EC37DC"/>
    <w:rsid w:val="00EC740A"/>
    <w:rsid w:val="00ED58C1"/>
    <w:rsid w:val="00EE4D61"/>
    <w:rsid w:val="00EE6D6D"/>
    <w:rsid w:val="00EF5622"/>
    <w:rsid w:val="00EF65F5"/>
    <w:rsid w:val="00F028CC"/>
    <w:rsid w:val="00F111FF"/>
    <w:rsid w:val="00F151B1"/>
    <w:rsid w:val="00F15830"/>
    <w:rsid w:val="00F1696C"/>
    <w:rsid w:val="00F220C9"/>
    <w:rsid w:val="00F2212C"/>
    <w:rsid w:val="00F229A9"/>
    <w:rsid w:val="00F34148"/>
    <w:rsid w:val="00F41126"/>
    <w:rsid w:val="00F4116A"/>
    <w:rsid w:val="00F43B4D"/>
    <w:rsid w:val="00F45EC9"/>
    <w:rsid w:val="00F473F3"/>
    <w:rsid w:val="00F51355"/>
    <w:rsid w:val="00F528B2"/>
    <w:rsid w:val="00F5498F"/>
    <w:rsid w:val="00F654E3"/>
    <w:rsid w:val="00F762E8"/>
    <w:rsid w:val="00F91DBF"/>
    <w:rsid w:val="00FA746B"/>
    <w:rsid w:val="00FB17E0"/>
    <w:rsid w:val="00FB4CCF"/>
    <w:rsid w:val="00FB6B7F"/>
    <w:rsid w:val="00FD3C7D"/>
    <w:rsid w:val="00FE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F02E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qFormat/>
    <w:rsid w:val="004404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0492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qFormat/>
    <w:rsid w:val="00C8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6F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C8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86F38"/>
    <w:rPr>
      <w:sz w:val="18"/>
      <w:szCs w:val="18"/>
    </w:rPr>
  </w:style>
  <w:style w:type="paragraph" w:styleId="a7">
    <w:name w:val="Plain Text"/>
    <w:basedOn w:val="a"/>
    <w:link w:val="Char1"/>
    <w:unhideWhenUsed/>
    <w:qFormat/>
    <w:rsid w:val="006655A1"/>
    <w:rPr>
      <w:rFonts w:ascii="宋体" w:eastAsia="宋体" w:hAnsi="Courier New" w:cs="Courier New"/>
      <w:kern w:val="0"/>
      <w:sz w:val="20"/>
      <w:szCs w:val="21"/>
    </w:rPr>
  </w:style>
  <w:style w:type="character" w:customStyle="1" w:styleId="Char2">
    <w:name w:val="纯文本 Char"/>
    <w:basedOn w:val="a0"/>
    <w:link w:val="a7"/>
    <w:semiHidden/>
    <w:rsid w:val="006655A1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7"/>
    <w:locked/>
    <w:rsid w:val="006655A1"/>
    <w:rPr>
      <w:rFonts w:ascii="宋体" w:eastAsia="宋体" w:hAnsi="Courier New" w:cs="Courier New"/>
      <w:kern w:val="0"/>
      <w:sz w:val="20"/>
      <w:szCs w:val="21"/>
    </w:rPr>
  </w:style>
  <w:style w:type="paragraph" w:styleId="a8">
    <w:name w:val="List Paragraph"/>
    <w:basedOn w:val="a"/>
    <w:uiPriority w:val="34"/>
    <w:qFormat/>
    <w:rsid w:val="007418B2"/>
    <w:pPr>
      <w:ind w:firstLineChars="200" w:firstLine="420"/>
    </w:pPr>
  </w:style>
  <w:style w:type="character" w:customStyle="1" w:styleId="1Char">
    <w:name w:val="标题 1 Char"/>
    <w:basedOn w:val="a0"/>
    <w:link w:val="1"/>
    <w:rsid w:val="004F02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Normal Indent"/>
    <w:basedOn w:val="a"/>
    <w:semiHidden/>
    <w:unhideWhenUsed/>
    <w:qFormat/>
    <w:rsid w:val="004F02E7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a">
    <w:name w:val="caption"/>
    <w:basedOn w:val="a"/>
    <w:next w:val="a"/>
    <w:semiHidden/>
    <w:unhideWhenUsed/>
    <w:qFormat/>
    <w:rsid w:val="004F02E7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List"/>
    <w:basedOn w:val="a"/>
    <w:semiHidden/>
    <w:unhideWhenUsed/>
    <w:qFormat/>
    <w:rsid w:val="004F02E7"/>
    <w:pPr>
      <w:ind w:left="200" w:hangingChars="200" w:hanging="200"/>
    </w:pPr>
    <w:rPr>
      <w:rFonts w:ascii="Times New Roman" w:eastAsia="宋体" w:hAnsi="Times New Roman" w:cs="Times New Roman"/>
      <w:sz w:val="28"/>
      <w:szCs w:val="24"/>
    </w:rPr>
  </w:style>
  <w:style w:type="paragraph" w:styleId="ac">
    <w:name w:val="Body Text"/>
    <w:basedOn w:val="a"/>
    <w:link w:val="Char3"/>
    <w:uiPriority w:val="99"/>
    <w:semiHidden/>
    <w:unhideWhenUsed/>
    <w:qFormat/>
    <w:rsid w:val="004F02E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c"/>
    <w:uiPriority w:val="99"/>
    <w:semiHidden/>
    <w:rsid w:val="004F02E7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semiHidden/>
    <w:unhideWhenUsed/>
    <w:qFormat/>
    <w:rsid w:val="004F02E7"/>
    <w:pPr>
      <w:spacing w:line="500" w:lineRule="exac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3Char">
    <w:name w:val="正文文本 3 Char"/>
    <w:basedOn w:val="a0"/>
    <w:link w:val="3"/>
    <w:semiHidden/>
    <w:rsid w:val="004F02E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Default">
    <w:name w:val="Default"/>
    <w:basedOn w:val="a"/>
    <w:rsid w:val="001C17B3"/>
    <w:pPr>
      <w:autoSpaceDE w:val="0"/>
      <w:autoSpaceDN w:val="0"/>
      <w:adjustRightInd w:val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A6F8-A84B-49FC-9521-C87DB6D7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</Pages>
  <Words>528</Words>
  <Characters>3010</Characters>
  <Application>Microsoft Office Word</Application>
  <DocSecurity>0</DocSecurity>
  <Lines>25</Lines>
  <Paragraphs>7</Paragraphs>
  <ScaleCrop>false</ScaleCrop>
  <Company>微软中国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193</cp:revision>
  <cp:lastPrinted>2021-12-20T09:32:00Z</cp:lastPrinted>
  <dcterms:created xsi:type="dcterms:W3CDTF">2020-09-09T08:53:00Z</dcterms:created>
  <dcterms:modified xsi:type="dcterms:W3CDTF">2023-03-30T10:46:00Z</dcterms:modified>
</cp:coreProperties>
</file>