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jc w:val="center"/>
        <w:outlineLvl w:val="1"/>
        <w:rPr>
          <w:rFonts w:eastAsia="黑体"/>
          <w:b/>
          <w:bCs/>
          <w:color w:val="000000"/>
          <w:kern w:val="0"/>
          <w:sz w:val="30"/>
          <w:szCs w:val="30"/>
        </w:rPr>
      </w:pPr>
      <w:r>
        <w:rPr>
          <w:rFonts w:hint="eastAsia" w:eastAsia="黑体"/>
          <w:b/>
          <w:bCs/>
          <w:color w:val="000000"/>
          <w:kern w:val="0"/>
          <w:sz w:val="32"/>
          <w:szCs w:val="32"/>
        </w:rPr>
        <w:t>采购需求</w:t>
      </w:r>
    </w:p>
    <w:p>
      <w:pPr>
        <w:wordWrap w:val="0"/>
        <w:spacing w:line="400" w:lineRule="exact"/>
        <w:jc w:val="left"/>
        <w:rPr>
          <w:color w:val="auto"/>
        </w:rPr>
      </w:pPr>
      <w:r>
        <w:rPr>
          <w:rFonts w:hint="eastAsia"/>
          <w:color w:val="auto"/>
        </w:rPr>
        <w:t>说明：</w:t>
      </w:r>
    </w:p>
    <w:p>
      <w:pPr>
        <w:wordWrap w:val="0"/>
        <w:autoSpaceDE w:val="0"/>
        <w:autoSpaceDN w:val="0"/>
        <w:ind w:firstLine="424" w:firstLineChars="202"/>
        <w:jc w:val="left"/>
        <w:rPr>
          <w:rFonts w:ascii="宋体" w:hAnsi="宋体" w:cs="宋体"/>
          <w:color w:val="auto"/>
          <w:kern w:val="0"/>
          <w:szCs w:val="21"/>
        </w:rPr>
      </w:pPr>
      <w:r>
        <w:rPr>
          <w:rFonts w:hint="eastAsia" w:ascii="宋体" w:hAnsi="宋体" w:cs="宋体"/>
          <w:color w:val="auto"/>
          <w:kern w:val="0"/>
          <w:szCs w:val="21"/>
        </w:rPr>
        <w:t>1、本采购需求中功能目标及技术指标不明确或有误的，请以详细正确的技术参数进行响应并承诺，同时填写“开标一览表”和“技术响应表”。</w:t>
      </w:r>
    </w:p>
    <w:p>
      <w:pPr>
        <w:wordWrap w:val="0"/>
        <w:autoSpaceDE w:val="0"/>
        <w:autoSpaceDN w:val="0"/>
        <w:ind w:firstLine="426" w:firstLineChars="202"/>
        <w:jc w:val="left"/>
        <w:rPr>
          <w:rFonts w:ascii="宋体" w:hAnsi="宋体" w:cs="宋体"/>
          <w:b/>
          <w:color w:val="auto"/>
          <w:kern w:val="0"/>
          <w:szCs w:val="21"/>
        </w:rPr>
      </w:pPr>
      <w:r>
        <w:rPr>
          <w:rFonts w:hint="eastAsia" w:ascii="宋体" w:hAnsi="宋体" w:cs="宋体"/>
          <w:b/>
          <w:color w:val="auto"/>
          <w:kern w:val="0"/>
          <w:szCs w:val="21"/>
        </w:rPr>
        <w:t>2、本章采购需求中，凡标注“★”号的条款为关键指标或要求，不允许有负偏离，否则投标无效；未标注“★”号的功能目标及技术指标中有负偏离（或未作响应）达</w:t>
      </w:r>
      <w:r>
        <w:rPr>
          <w:rFonts w:hint="eastAsia" w:ascii="宋体" w:hAnsi="宋体" w:cs="宋体"/>
          <w:b/>
          <w:color w:val="auto"/>
          <w:kern w:val="0"/>
          <w:szCs w:val="21"/>
          <w:u w:val="single"/>
        </w:rPr>
        <w:t>5</w:t>
      </w:r>
      <w:r>
        <w:rPr>
          <w:rFonts w:hint="eastAsia" w:ascii="宋体" w:hAnsi="宋体" w:cs="宋体"/>
          <w:b/>
          <w:color w:val="auto"/>
          <w:kern w:val="0"/>
          <w:szCs w:val="21"/>
        </w:rPr>
        <w:t>项（含）数以上的投标无效。</w:t>
      </w:r>
    </w:p>
    <w:p>
      <w:pPr>
        <w:wordWrap w:val="0"/>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3. 本招标文件所称中小企业必须符合《政府采购促进中小企业发展暂行办法》第二条规定。</w:t>
      </w:r>
    </w:p>
    <w:p>
      <w:pPr>
        <w:wordWrap w:val="0"/>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4. 小型和微型企业产品的价格给予10%的扣除，用扣除后的价格参与评审，具体扣除比例以第四章《评标办法及评标标准》的规定为准。</w:t>
      </w:r>
    </w:p>
    <w:p>
      <w:pPr>
        <w:wordWrap w:val="0"/>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5. 小型、微型企业提供中型企业制造的货物的，视同为中型企业。</w:t>
      </w:r>
    </w:p>
    <w:p>
      <w:pPr>
        <w:wordWrap w:val="0"/>
        <w:autoSpaceDE w:val="0"/>
        <w:autoSpaceDN w:val="0"/>
        <w:ind w:firstLine="424" w:firstLineChars="202"/>
        <w:jc w:val="left"/>
        <w:rPr>
          <w:rFonts w:ascii="宋体" w:hAnsi="宋体" w:cs="宋体"/>
          <w:bCs/>
          <w:color w:val="auto"/>
          <w:kern w:val="0"/>
          <w:szCs w:val="21"/>
        </w:rPr>
      </w:pPr>
      <w:r>
        <w:rPr>
          <w:rFonts w:ascii="宋体" w:hAnsi="宋体" w:cs="宋体"/>
          <w:bCs/>
          <w:color w:val="auto"/>
          <w:kern w:val="0"/>
          <w:szCs w:val="21"/>
        </w:rPr>
        <w:t>6. 小型、微型企业提供大型企业制造的货物的，视同为大型企业。</w:t>
      </w:r>
    </w:p>
    <w:p>
      <w:pPr>
        <w:wordWrap w:val="0"/>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wordWrap w:val="0"/>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w:t>
      </w:r>
      <w:r>
        <w:rPr>
          <w:rFonts w:hint="eastAsia" w:ascii="宋体" w:hAnsi="宋体" w:cs="宋体"/>
          <w:b/>
          <w:color w:val="auto"/>
          <w:kern w:val="0"/>
          <w:szCs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r>
        <w:rPr>
          <w:rFonts w:hint="eastAsia" w:ascii="宋体" w:hAnsi="宋体" w:cs="宋体"/>
          <w:color w:val="auto"/>
          <w:kern w:val="1"/>
          <w:szCs w:val="21"/>
        </w:rPr>
        <w:t>。</w:t>
      </w:r>
    </w:p>
    <w:p>
      <w:pPr>
        <w:wordWrap w:val="0"/>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、招标文件中所要求提供的证明材料，如为英文文本的请同时提供中文译本。</w:t>
      </w:r>
    </w:p>
    <w:p>
      <w:pPr>
        <w:wordWrap w:val="0"/>
        <w:autoSpaceDE w:val="0"/>
        <w:autoSpaceDN w:val="0"/>
        <w:ind w:firstLine="424" w:firstLineChars="202"/>
        <w:jc w:val="left"/>
        <w:rPr>
          <w:rFonts w:ascii="宋体" w:hAns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、投标人所投标货物或服务如国家有强制性要求的按国家规定执行，并提供相关证明材料。</w:t>
      </w:r>
    </w:p>
    <w:p>
      <w:pPr>
        <w:wordWrap w:val="0"/>
        <w:autoSpaceDE w:val="0"/>
        <w:autoSpaceDN w:val="0"/>
        <w:ind w:firstLine="426" w:firstLineChars="202"/>
        <w:jc w:val="left"/>
        <w:rPr>
          <w:rFonts w:ascii="宋体" w:hAnsi="宋体" w:cs="宋体"/>
          <w:color w:val="auto"/>
          <w:kern w:val="0"/>
          <w:szCs w:val="21"/>
        </w:rPr>
      </w:pPr>
      <w:r>
        <w:rPr>
          <w:rFonts w:ascii="宋体" w:hAnsi="宋体" w:cs="宋体"/>
          <w:b/>
          <w:bCs/>
          <w:color w:val="auto"/>
          <w:kern w:val="0"/>
          <w:szCs w:val="21"/>
        </w:rPr>
        <w:t>11</w:t>
      </w:r>
      <w:r>
        <w:rPr>
          <w:rFonts w:hint="eastAsia" w:ascii="宋体" w:hAnsi="宋体" w:cs="宋体"/>
          <w:b/>
          <w:bCs/>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w:t>
      </w:r>
      <w:bookmarkStart w:id="0" w:name="_GoBack"/>
      <w:bookmarkEnd w:id="0"/>
      <w:r>
        <w:rPr>
          <w:rFonts w:hint="eastAsia" w:ascii="宋体" w:hAnsi="宋体" w:cs="宋体"/>
          <w:b/>
          <w:bCs/>
          <w:color w:val="auto"/>
          <w:kern w:val="0"/>
          <w:szCs w:val="21"/>
        </w:rPr>
        <w:t>理性的，评标委员会应当将其作为无效投标处理</w:t>
      </w:r>
    </w:p>
    <w:p>
      <w:pPr>
        <w:wordWrap w:val="0"/>
        <w:spacing w:line="400" w:lineRule="exact"/>
        <w:ind w:firstLine="424" w:firstLineChars="202"/>
        <w:jc w:val="left"/>
        <w:rPr>
          <w:color w:val="auto"/>
          <w:szCs w:val="21"/>
        </w:rPr>
      </w:pPr>
      <w:r>
        <w:rPr>
          <w:rFonts w:ascii="宋体" w:hAnsi="宋体" w:cs="宋体"/>
          <w:color w:val="auto"/>
          <w:kern w:val="0"/>
          <w:szCs w:val="21"/>
        </w:rPr>
        <w:t>12</w:t>
      </w:r>
      <w:r>
        <w:rPr>
          <w:rFonts w:hint="eastAsia" w:ascii="宋体" w:hAnsi="宋体" w:cs="宋体"/>
          <w:color w:val="auto"/>
          <w:kern w:val="0"/>
          <w:szCs w:val="21"/>
        </w:rPr>
        <w:t>、本采购需求中技术要求所使用的标准或应用标准如与投标人所执行的标准不一致时，按最新标准或较高标准执行。</w:t>
      </w:r>
    </w:p>
    <w:tbl>
      <w:tblPr>
        <w:tblStyle w:val="47"/>
        <w:tblpPr w:leftFromText="180" w:rightFromText="180" w:vertAnchor="text" w:tblpXSpec="center" w:tblpY="1"/>
        <w:tblOverlap w:val="never"/>
        <w:tblW w:w="100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77"/>
        <w:gridCol w:w="480"/>
        <w:gridCol w:w="8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028" w:type="dxa"/>
            <w:gridSpan w:val="4"/>
            <w:noWrap w:val="0"/>
            <w:vAlign w:val="center"/>
          </w:tcPr>
          <w:p>
            <w:pPr>
              <w:wordWrap w:val="0"/>
              <w:spacing w:line="320" w:lineRule="exact"/>
              <w:rPr>
                <w:b/>
                <w:color w:val="auto"/>
                <w:szCs w:val="21"/>
              </w:rPr>
            </w:pPr>
            <w:r>
              <w:rPr>
                <w:rFonts w:hint="eastAsia"/>
                <w:b/>
                <w:color w:val="auto"/>
                <w:szCs w:val="21"/>
              </w:rPr>
              <w:t>一、项目要求及技术需求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26" w:type="dxa"/>
            <w:noWrap w:val="0"/>
            <w:vAlign w:val="center"/>
          </w:tcPr>
          <w:p>
            <w:pPr>
              <w:wordWrap w:val="0"/>
              <w:spacing w:line="320" w:lineRule="exact"/>
              <w:jc w:val="center"/>
              <w:rPr>
                <w:b/>
                <w:color w:val="auto"/>
                <w:szCs w:val="21"/>
              </w:rPr>
            </w:pPr>
            <w:r>
              <w:rPr>
                <w:rFonts w:hint="eastAsia"/>
                <w:b/>
                <w:color w:val="auto"/>
                <w:szCs w:val="21"/>
              </w:rPr>
              <w:t>项号</w:t>
            </w:r>
          </w:p>
        </w:tc>
        <w:tc>
          <w:tcPr>
            <w:tcW w:w="877" w:type="dxa"/>
            <w:noWrap w:val="0"/>
            <w:vAlign w:val="center"/>
          </w:tcPr>
          <w:p>
            <w:pPr>
              <w:wordWrap w:val="0"/>
              <w:spacing w:line="320" w:lineRule="exact"/>
              <w:jc w:val="center"/>
              <w:rPr>
                <w:b/>
                <w:color w:val="auto"/>
                <w:szCs w:val="21"/>
              </w:rPr>
            </w:pPr>
            <w:r>
              <w:rPr>
                <w:rFonts w:hint="eastAsia"/>
                <w:b/>
                <w:color w:val="auto"/>
                <w:szCs w:val="21"/>
              </w:rPr>
              <w:t>服务名称</w:t>
            </w:r>
          </w:p>
        </w:tc>
        <w:tc>
          <w:tcPr>
            <w:tcW w:w="480" w:type="dxa"/>
            <w:noWrap w:val="0"/>
            <w:vAlign w:val="center"/>
          </w:tcPr>
          <w:p>
            <w:pPr>
              <w:wordWrap w:val="0"/>
              <w:spacing w:line="320" w:lineRule="exact"/>
              <w:jc w:val="center"/>
              <w:rPr>
                <w:b/>
                <w:color w:val="auto"/>
                <w:szCs w:val="21"/>
              </w:rPr>
            </w:pPr>
            <w:r>
              <w:rPr>
                <w:rFonts w:hint="eastAsia"/>
                <w:b/>
                <w:color w:val="auto"/>
                <w:szCs w:val="21"/>
              </w:rPr>
              <w:t>数量</w:t>
            </w:r>
          </w:p>
        </w:tc>
        <w:tc>
          <w:tcPr>
            <w:tcW w:w="8145" w:type="dxa"/>
            <w:noWrap w:val="0"/>
            <w:vAlign w:val="center"/>
          </w:tcPr>
          <w:p>
            <w:pPr>
              <w:wordWrap w:val="0"/>
              <w:spacing w:line="320" w:lineRule="exact"/>
              <w:jc w:val="center"/>
              <w:rPr>
                <w:b/>
                <w:bCs/>
                <w:color w:val="auto"/>
                <w:szCs w:val="21"/>
              </w:rPr>
            </w:pPr>
            <w:r>
              <w:rPr>
                <w:rFonts w:hint="eastAsia"/>
                <w:b/>
                <w:color w:val="auto"/>
                <w:szCs w:val="21"/>
              </w:rPr>
              <w:t>服务内容及要求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1</w:t>
            </w:r>
          </w:p>
        </w:tc>
        <w:tc>
          <w:tcPr>
            <w:tcW w:w="877"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在线开放课程建设</w:t>
            </w:r>
          </w:p>
        </w:tc>
        <w:tc>
          <w:tcPr>
            <w:tcW w:w="480" w:type="dxa"/>
            <w:noWrap w:val="0"/>
            <w:vAlign w:val="center"/>
          </w:tcPr>
          <w:p>
            <w:pPr>
              <w:wordWrap w:val="0"/>
              <w:spacing w:line="340" w:lineRule="exact"/>
              <w:jc w:val="center"/>
              <w:rPr>
                <w:color w:val="auto"/>
                <w:szCs w:val="21"/>
              </w:rPr>
            </w:pPr>
            <w:r>
              <w:rPr>
                <w:rFonts w:hint="eastAsia"/>
                <w:color w:val="auto"/>
                <w:szCs w:val="21"/>
              </w:rPr>
              <w:t>1项</w:t>
            </w:r>
          </w:p>
        </w:tc>
        <w:tc>
          <w:tcPr>
            <w:tcW w:w="8145" w:type="dxa"/>
            <w:noWrap w:val="0"/>
            <w:vAlign w:val="center"/>
          </w:tcPr>
          <w:p>
            <w:pPr>
              <w:wordWrap w:val="0"/>
              <w:adjustRightInd w:val="0"/>
              <w:snapToGrid w:val="0"/>
              <w:textAlignment w:val="top"/>
              <w:rPr>
                <w:rFonts w:ascii="宋体" w:hAnsi="宋体" w:cs="宋体"/>
                <w:b/>
                <w:color w:val="auto"/>
                <w:szCs w:val="21"/>
              </w:rPr>
            </w:pPr>
            <w:r>
              <w:rPr>
                <w:rFonts w:hint="eastAsia" w:ascii="宋体" w:hAnsi="宋体" w:cs="宋体"/>
                <w:b/>
                <w:color w:val="auto"/>
                <w:szCs w:val="21"/>
              </w:rPr>
              <w:t>一、在线开放课程制作及运行要求：</w:t>
            </w:r>
          </w:p>
          <w:p>
            <w:pPr>
              <w:wordWrap w:val="0"/>
              <w:adjustRightInd w:val="0"/>
              <w:snapToGrid w:val="0"/>
              <w:textAlignment w:val="top"/>
              <w:rPr>
                <w:rFonts w:ascii="宋体" w:hAnsi="宋体" w:cs="宋体"/>
                <w:b/>
                <w:color w:val="auto"/>
                <w:szCs w:val="21"/>
              </w:rPr>
            </w:pPr>
            <w:r>
              <w:rPr>
                <w:rFonts w:hint="eastAsia" w:ascii="宋体" w:hAnsi="宋体" w:cs="宋体"/>
                <w:b/>
                <w:color w:val="auto"/>
                <w:szCs w:val="21"/>
              </w:rPr>
              <w:t>（一）课程制作要求</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★1.含13门课程制作，课程含拍摄、制作、运行 和推广服务；</w:t>
            </w:r>
            <w:r>
              <w:rPr>
                <w:rFonts w:ascii="宋体" w:hAnsi="宋体" w:cs="宋体"/>
                <w:color w:val="auto"/>
                <w:szCs w:val="21"/>
              </w:rPr>
              <w:t>每门课程</w:t>
            </w:r>
            <w:r>
              <w:rPr>
                <w:rFonts w:hint="eastAsia" w:ascii="宋体" w:hAnsi="宋体" w:cs="宋体"/>
                <w:color w:val="auto"/>
                <w:szCs w:val="21"/>
              </w:rPr>
              <w:t>视频数量根据课程知识点确定，每门课程视频总时长根据教学团队设定。</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2.中标人按照《教育部高等教育司关于开展 2019年国家精品在线开放课程认定工作的通知》(教高司函〔2019〕32 号)标准进行建设，并提供课程设计优化咨询服务。</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3.中标人团队成员包括项目经理、编导、摄像、剪辑、平面设计、化妆和后期制作若干人员。并且以满足教学要求为目标提供多种拍摄模式如随堂拍模式、基地PPT模式、场景实操模式、外景采风模式、访谈模式。</w:t>
            </w:r>
            <w:r>
              <w:rPr>
                <w:rFonts w:ascii="宋体" w:hAnsi="宋体" w:cs="宋体"/>
                <w:color w:val="auto"/>
                <w:szCs w:val="21"/>
              </w:rPr>
              <w:t xml:space="preserve"> </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4.制作团队完整负责课程拍摄以及后期制作（剪辑、修改、特效、包装、动画制作、录音合成、字幕），直至主讲教师审核通过。</w:t>
            </w:r>
          </w:p>
          <w:p>
            <w:pPr>
              <w:wordWrap w:val="0"/>
              <w:jc w:val="left"/>
              <w:rPr>
                <w:color w:val="auto"/>
              </w:rPr>
            </w:pPr>
            <w:r>
              <w:rPr>
                <w:rFonts w:hint="eastAsia" w:ascii="宋体" w:hAnsi="宋体" w:cs="宋体"/>
                <w:color w:val="auto"/>
                <w:szCs w:val="21"/>
              </w:rPr>
              <w:t>5.制作规范要求：</w:t>
            </w:r>
            <w:r>
              <w:rPr>
                <w:rFonts w:hint="eastAsia"/>
                <w:color w:val="auto"/>
              </w:rPr>
              <w:t>实现至少双机位拍摄</w:t>
            </w:r>
            <w:r>
              <w:rPr>
                <w:rFonts w:hint="eastAsia" w:ascii="宋体" w:hAnsi="宋体" w:cs="宋体"/>
                <w:color w:val="auto"/>
                <w:szCs w:val="21"/>
              </w:rPr>
              <w:t>。拍摄设备具有高清摄像机、拍摄相机、单反镜头、摄像用灯和音频采集设备。视频制作后能够提供高清（1080P）和标清（720P）视频格式。</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6.音频信号源</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（1）声道：中文内容音频信号记录于第1声道，音乐、音效、同期声记录于第2声道，若有其他文字解说记录于第3声道（如录音设备无第3声道,则录于第2声道）。</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（2）电平指标：-12db~8db声音应无明显失真、放音过冲、过弱。</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（3）音频信噪比不低于48db。</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（4）声音和画面要求同步，无交流声或其他杂音等缺陷。</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（5）伴音清晰、无失真、噪声杂音干扰、音量忽大忽小现象。解说声与现场声无明显比例失调，解说声与背景音乐无明显比例失调。</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7.音频压缩格式及技术参数</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（1）音频压缩采用AAC（MPEG-4Part3）格式编码。</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（2）采样率3</w:t>
            </w:r>
            <w:r>
              <w:rPr>
                <w:rFonts w:ascii="宋体" w:hAnsi="宋体" w:cs="宋体"/>
                <w:color w:val="auto"/>
                <w:szCs w:val="21"/>
              </w:rPr>
              <w:t>0</w:t>
            </w:r>
            <w:r>
              <w:rPr>
                <w:rFonts w:hint="eastAsia" w:ascii="宋体" w:hAnsi="宋体" w:cs="宋体"/>
                <w:color w:val="auto"/>
                <w:szCs w:val="21"/>
              </w:rPr>
              <w:t>-48KHz。</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（3）音频码流率128Kbps(恒定)。</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（4）采用双声道，做混音处理。</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8.课程拍摄完成后后期制作不超过30日，以具体课程时长及双方协商确定。</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9.此项目在线课程包括课程制作费、宣传片制作费、运行推广费。</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★10.课程内容的著作权为采购人所拥有，未经采购人允许，中标人不得以任何方式提供给其他任何单位或个人占有使用。</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11.录制要求：所用摄像机分辨率不低于1920×1080，录制视频分辨率不低于1920×1080，宽高比16:9，视频帧率为1</w:t>
            </w:r>
            <w:r>
              <w:rPr>
                <w:rFonts w:ascii="宋体" w:hAnsi="宋体" w:cs="宋体"/>
                <w:color w:val="auto"/>
                <w:szCs w:val="21"/>
              </w:rPr>
              <w:t>6</w:t>
            </w:r>
            <w:r>
              <w:rPr>
                <w:rFonts w:hint="eastAsia" w:ascii="宋体" w:hAnsi="宋体" w:cs="宋体"/>
                <w:color w:val="auto"/>
                <w:szCs w:val="21"/>
              </w:rPr>
              <w:t>-25帧/秒。不少于三套同款同型的专业无线录音设备。</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12.片头不超过15秒，包括：学校LOGO、学校名称、课程名称、主讲教师姓名等信息。</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13.配备专业的人员，使用专业软件制作同步srt唱词。</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★14.中标人必须协作完成课程运行平台内容上线，供建设的课程校内使用。</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15.课程运行平台：以课程为中心，提供全面的网络教学功能，包括作业、测验、通知、答疑、讨论、资料、评价等互动教学活动。</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16.中标人有了解在线课程教学的人员辅助老师进行课程教学设计、课件设计。中标人在课程视频制作过程中，为采购人教学团队提供在线课程制作及运行的相关培训服务。每门课程有对应课程顾问，为教学团队提供如课程建设学习培训、咨询，以及包括课程背景、课程目标、设计原则、学时学分分配、翻转课堂设计、章节脚本设计等与课程建设相关的服务。中标人为本项目提供不少于10人的服务团队。</w:t>
            </w:r>
          </w:p>
          <w:p>
            <w:pPr>
              <w:wordWrap w:val="0"/>
              <w:adjustRightInd w:val="0"/>
              <w:snapToGrid w:val="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17.中标人应为本项目课程提供在线课程运行平台，在线课程运行平台具有直播互动功能</w:t>
            </w:r>
          </w:p>
          <w:p>
            <w:pPr>
              <w:wordWrap w:val="0"/>
              <w:jc w:val="left"/>
              <w:rPr>
                <w:color w:val="auto"/>
              </w:rPr>
            </w:pPr>
            <w:r>
              <w:rPr>
                <w:rFonts w:hint="eastAsia" w:ascii="宋体" w:hAnsi="宋体" w:cs="宋体"/>
                <w:color w:val="auto"/>
                <w:szCs w:val="21"/>
              </w:rPr>
              <w:t>★</w:t>
            </w:r>
            <w:r>
              <w:rPr>
                <w:rFonts w:hint="eastAsia" w:ascii="宋体" w:hAnsi="宋体"/>
                <w:color w:val="auto"/>
                <w:szCs w:val="21"/>
              </w:rPr>
              <w:t>18.中标人应提供在线课程教学平台、手机APP软件等供老师进行课程建设，并对课程进行教学管理，</w:t>
            </w:r>
            <w:r>
              <w:rPr>
                <w:rFonts w:hint="eastAsia"/>
                <w:color w:val="auto"/>
              </w:rPr>
              <w:t>A</w:t>
            </w:r>
            <w:r>
              <w:rPr>
                <w:color w:val="auto"/>
              </w:rPr>
              <w:t>PP</w:t>
            </w:r>
            <w:r>
              <w:rPr>
                <w:rFonts w:hint="eastAsia"/>
                <w:color w:val="auto"/>
              </w:rPr>
              <w:t>可以在安卓以及I</w:t>
            </w:r>
            <w:r>
              <w:rPr>
                <w:color w:val="auto"/>
              </w:rPr>
              <w:t>OS</w:t>
            </w:r>
            <w:r>
              <w:rPr>
                <w:rFonts w:hint="eastAsia"/>
                <w:color w:val="auto"/>
              </w:rPr>
              <w:t>系统上使用。</w:t>
            </w:r>
          </w:p>
          <w:p>
            <w:pPr>
              <w:wordWrap w:val="0"/>
              <w:adjustRightInd w:val="0"/>
              <w:snapToGrid w:val="0"/>
              <w:textAlignment w:val="top"/>
              <w:rPr>
                <w:rFonts w:ascii="宋体" w:hAnsi="宋体" w:cs="宋体"/>
                <w:b/>
                <w:color w:val="auto"/>
                <w:szCs w:val="21"/>
              </w:rPr>
            </w:pPr>
            <w:r>
              <w:rPr>
                <w:rFonts w:hint="eastAsia" w:ascii="宋体" w:hAnsi="宋体"/>
                <w:b/>
                <w:color w:val="auto"/>
                <w:szCs w:val="21"/>
              </w:rPr>
              <w:t>（二）</w:t>
            </w:r>
            <w:r>
              <w:rPr>
                <w:rFonts w:hint="eastAsia" w:ascii="宋体" w:hAnsi="宋体" w:cs="宋体"/>
                <w:b/>
                <w:color w:val="auto"/>
                <w:szCs w:val="21"/>
              </w:rPr>
              <w:t>课程运行推广要求：</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1.中标人必须提供课程运行平台供采购人使用，且平台必须满足《教育部高教司关于开展2019年国家精品在线开放课程认定工作的通知》文件中对于申报平台的参数要求，并且平台能够提供支持申报国家精品在线开放课程的选课人数、互动次数、运行周期、资源数量等数据。</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2.课程运行平台：以课程为中心，提供全面的网络教学功能，包括作业、测验、通知、答疑、讨论、资料、评价等互动教学活动。</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3.中标人提供的课程运行平台在2019年秋季学期有多所本科或高职学校学生进行跨校选课并获得学分。</w:t>
            </w:r>
          </w:p>
          <w:p>
            <w:pPr>
              <w:wordWrap w:val="0"/>
              <w:adjustRightInd w:val="0"/>
              <w:snapToGrid w:val="0"/>
              <w:textAlignment w:val="top"/>
              <w:rPr>
                <w:rFonts w:ascii="宋体" w:hAnsi="宋体"/>
                <w:color w:val="auto"/>
                <w:szCs w:val="21"/>
              </w:rPr>
            </w:pPr>
            <w:r>
              <w:rPr>
                <w:rFonts w:hint="eastAsia" w:ascii="宋体" w:hAnsi="宋体" w:cs="宋体"/>
                <w:color w:val="auto"/>
                <w:szCs w:val="21"/>
              </w:rPr>
              <w:t>4.学校管理者能随时了解课程平台运行数据，包括</w:t>
            </w:r>
            <w:r>
              <w:rPr>
                <w:rFonts w:ascii="宋体" w:hAnsi="宋体"/>
                <w:color w:val="auto"/>
                <w:szCs w:val="21"/>
              </w:rPr>
              <w:t>学习行为管理</w:t>
            </w:r>
            <w:r>
              <w:rPr>
                <w:rFonts w:hint="eastAsia" w:ascii="宋体" w:hAnsi="宋体"/>
                <w:color w:val="auto"/>
                <w:szCs w:val="21"/>
              </w:rPr>
              <w:t>、</w:t>
            </w:r>
            <w:r>
              <w:rPr>
                <w:rFonts w:ascii="宋体" w:hAnsi="宋体"/>
                <w:color w:val="auto"/>
                <w:szCs w:val="21"/>
              </w:rPr>
              <w:t>学习进度管理、学习行为分析、学习异常波动管理、评价</w:t>
            </w:r>
            <w:r>
              <w:rPr>
                <w:rFonts w:hint="eastAsia" w:ascii="宋体" w:hAnsi="宋体"/>
                <w:color w:val="auto"/>
                <w:szCs w:val="21"/>
              </w:rPr>
              <w:t>。并能以每周、每月、每学期生成学情报告。</w:t>
            </w:r>
          </w:p>
          <w:p>
            <w:pPr>
              <w:wordWrap w:val="0"/>
              <w:adjustRightInd w:val="0"/>
              <w:snapToGrid w:val="0"/>
              <w:textAlignment w:val="top"/>
              <w:rPr>
                <w:rFonts w:ascii="宋体" w:hAnsi="宋体" w:cs="宋体"/>
                <w:color w:val="auto"/>
                <w:szCs w:val="21"/>
              </w:rPr>
            </w:pPr>
            <w:r>
              <w:rPr>
                <w:rFonts w:hint="eastAsia" w:ascii="宋体" w:hAnsi="宋体" w:cs="宋体"/>
                <w:color w:val="auto"/>
                <w:szCs w:val="21"/>
              </w:rPr>
              <w:t>★</w:t>
            </w:r>
            <w:r>
              <w:rPr>
                <w:rFonts w:hint="eastAsia" w:ascii="宋体" w:hAnsi="宋体"/>
                <w:color w:val="auto"/>
                <w:szCs w:val="21"/>
              </w:rPr>
              <w:t>5.课程运行平台需具备校内翻转、区域共享及</w:t>
            </w:r>
            <w:r>
              <w:rPr>
                <w:rFonts w:hint="eastAsia" w:ascii="宋体" w:hAnsi="宋体"/>
                <w:bCs/>
                <w:color w:val="auto"/>
                <w:szCs w:val="21"/>
              </w:rPr>
              <w:t>全国高校</w:t>
            </w:r>
            <w:r>
              <w:rPr>
                <w:rFonts w:hint="eastAsia" w:ascii="宋体" w:hAnsi="宋体"/>
                <w:color w:val="auto"/>
                <w:szCs w:val="21"/>
              </w:rPr>
              <w:t>内跨校共享的能力。</w:t>
            </w:r>
          </w:p>
          <w:p>
            <w:pPr>
              <w:wordWrap w:val="0"/>
              <w:adjustRightInd w:val="0"/>
              <w:snapToGrid w:val="0"/>
              <w:rPr>
                <w:rFonts w:ascii="宋体" w:hAnsi="宋体"/>
                <w:color w:val="auto"/>
                <w:szCs w:val="21"/>
              </w:rPr>
            </w:pPr>
            <w:r>
              <w:rPr>
                <w:rFonts w:hint="eastAsia" w:ascii="宋体" w:hAnsi="宋体" w:cs="宋体"/>
                <w:color w:val="auto"/>
                <w:szCs w:val="21"/>
              </w:rPr>
              <w:t>★6.中标人</w:t>
            </w:r>
            <w:r>
              <w:rPr>
                <w:rFonts w:hint="eastAsia" w:ascii="宋体" w:hAnsi="宋体"/>
                <w:color w:val="auto"/>
                <w:szCs w:val="21"/>
              </w:rPr>
              <w:t>有将课程推广到全国本科和高职院校的服务能力，在课程建设完成后，能进行全国高校的跨校选课。</w:t>
            </w:r>
          </w:p>
          <w:p>
            <w:pPr>
              <w:wordWrap w:val="0"/>
              <w:adjustRightInd w:val="0"/>
              <w:snapToGrid w:val="0"/>
              <w:rPr>
                <w:rFonts w:ascii="宋体" w:hAnsi="宋体"/>
                <w:b/>
                <w:color w:val="auto"/>
                <w:szCs w:val="21"/>
              </w:rPr>
            </w:pPr>
            <w:r>
              <w:rPr>
                <w:rFonts w:hint="eastAsia" w:ascii="宋体" w:hAnsi="宋体"/>
                <w:b/>
                <w:color w:val="auto"/>
                <w:szCs w:val="21"/>
              </w:rPr>
              <w:t>二、拍摄场地要求：</w:t>
            </w:r>
          </w:p>
          <w:p>
            <w:pPr>
              <w:wordWrap w:val="0"/>
              <w:adjustRightInd w:val="0"/>
              <w:snapToGrid w:val="0"/>
              <w:rPr>
                <w:rFonts w:ascii="宋体" w:hAnsi="宋体"/>
                <w:color w:val="auto"/>
                <w:szCs w:val="21"/>
              </w:rPr>
            </w:pPr>
            <w:r>
              <w:rPr>
                <w:rFonts w:hint="eastAsia" w:ascii="宋体" w:hAnsi="宋体"/>
                <w:color w:val="auto"/>
                <w:szCs w:val="21"/>
              </w:rPr>
              <w:t>1. 拍摄场地由采购人提供，场地面积不少于60平方米。</w:t>
            </w:r>
          </w:p>
          <w:p>
            <w:pPr>
              <w:wordWrap w:val="0"/>
              <w:adjustRightInd w:val="0"/>
              <w:snapToGrid w:val="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2.由中标人对场地进行临时搭建装修改造，提供最少摄像机*2、提词器*1、笔记本电脑*1、3色幕布（黑白绿）*1、小讲台*1、65寸电视机*1、空调*1、桌子*1、装饰书柜*1、单人沙发椅*1，能满足采购人课程实际拍摄需求，所有课程拍摄在校内完成，拍摄场地需要采购人验收通过，相关成本由中标人自行考虑。</w:t>
            </w:r>
          </w:p>
          <w:p>
            <w:pPr>
              <w:wordWrap w:val="0"/>
              <w:adjustRightInd w:val="0"/>
              <w:snapToGrid w:val="0"/>
              <w:rPr>
                <w:rFonts w:ascii="宋体" w:hAnsi="宋体"/>
                <w:color w:val="auto"/>
                <w:szCs w:val="21"/>
              </w:rPr>
            </w:pPr>
            <w:r>
              <w:rPr>
                <w:rFonts w:hint="eastAsia" w:ascii="宋体" w:hAnsi="宋体"/>
                <w:color w:val="auto"/>
                <w:szCs w:val="21"/>
              </w:rPr>
              <w:t>3.按学校课程建设进度需求，能随时安排工作人员到学校进行建课培训和拍摄。</w:t>
            </w:r>
          </w:p>
          <w:p>
            <w:pPr>
              <w:wordWrap w:val="0"/>
              <w:adjustRightInd w:val="0"/>
              <w:snapToGrid w:val="0"/>
              <w:rPr>
                <w:rFonts w:ascii="宋体" w:hAnsi="宋体"/>
                <w:b/>
                <w:color w:val="auto"/>
                <w:szCs w:val="21"/>
              </w:rPr>
            </w:pPr>
            <w:r>
              <w:rPr>
                <w:rFonts w:hint="eastAsia" w:ascii="宋体" w:hAnsi="宋体"/>
                <w:b/>
                <w:color w:val="auto"/>
                <w:szCs w:val="21"/>
              </w:rPr>
              <w:t>三、课程运行平台网络课程资源要求：</w:t>
            </w:r>
          </w:p>
          <w:p>
            <w:pPr>
              <w:wordWrap w:val="0"/>
              <w:adjustRightInd w:val="0"/>
              <w:snapToGrid w:val="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1.</w:t>
            </w:r>
            <w:r>
              <w:rPr>
                <w:rFonts w:ascii="宋体" w:hAnsi="宋体"/>
                <w:color w:val="auto"/>
                <w:szCs w:val="21"/>
              </w:rPr>
              <w:t>能提供</w:t>
            </w:r>
            <w:r>
              <w:rPr>
                <w:rFonts w:hint="eastAsia" w:ascii="宋体" w:hAnsi="宋体"/>
                <w:color w:val="auto"/>
                <w:szCs w:val="21"/>
              </w:rPr>
              <w:t>3000</w:t>
            </w:r>
            <w:r>
              <w:rPr>
                <w:rFonts w:ascii="宋体" w:hAnsi="宋体"/>
                <w:color w:val="auto"/>
                <w:szCs w:val="21"/>
              </w:rPr>
              <w:t>门以上</w:t>
            </w:r>
            <w:r>
              <w:rPr>
                <w:rFonts w:hint="eastAsia" w:ascii="宋体" w:hAnsi="宋体"/>
                <w:color w:val="auto"/>
                <w:szCs w:val="21"/>
              </w:rPr>
              <w:t>课</w:t>
            </w:r>
            <w:r>
              <w:rPr>
                <w:rFonts w:ascii="宋体" w:hAnsi="宋体"/>
                <w:color w:val="auto"/>
                <w:szCs w:val="21"/>
              </w:rPr>
              <w:t>程资源给学校</w:t>
            </w:r>
            <w:r>
              <w:rPr>
                <w:rFonts w:hint="eastAsia" w:ascii="宋体" w:hAnsi="宋体"/>
                <w:color w:val="auto"/>
                <w:szCs w:val="21"/>
              </w:rPr>
              <w:t>以及建课团队使用</w:t>
            </w:r>
            <w:r>
              <w:rPr>
                <w:rFonts w:ascii="宋体" w:hAnsi="宋体"/>
                <w:color w:val="auto"/>
                <w:szCs w:val="21"/>
              </w:rPr>
              <w:t>,</w:t>
            </w:r>
            <w:r>
              <w:rPr>
                <w:rFonts w:hint="eastAsia" w:ascii="宋体" w:hAnsi="宋体"/>
                <w:color w:val="auto"/>
                <w:szCs w:val="21"/>
              </w:rPr>
              <w:t>不限制选课人数</w:t>
            </w:r>
            <w:r>
              <w:rPr>
                <w:rFonts w:ascii="宋体" w:hAnsi="宋体"/>
                <w:color w:val="auto"/>
                <w:szCs w:val="21"/>
              </w:rPr>
              <w:t>，课程内容涵盖</w:t>
            </w:r>
            <w:r>
              <w:rPr>
                <w:rFonts w:hint="eastAsia" w:ascii="宋体" w:hAnsi="宋体"/>
                <w:color w:val="auto"/>
                <w:szCs w:val="21"/>
              </w:rPr>
              <w:t>艺术</w:t>
            </w:r>
            <w:r>
              <w:rPr>
                <w:rFonts w:ascii="宋体" w:hAnsi="宋体"/>
                <w:color w:val="auto"/>
                <w:szCs w:val="21"/>
              </w:rPr>
              <w:t>、</w:t>
            </w:r>
            <w:r>
              <w:rPr>
                <w:rFonts w:hint="eastAsia" w:ascii="宋体" w:hAnsi="宋体"/>
                <w:color w:val="auto"/>
                <w:szCs w:val="21"/>
              </w:rPr>
              <w:t>工学、理工、农学、医学、法学、人文、</w:t>
            </w:r>
            <w:r>
              <w:rPr>
                <w:rFonts w:ascii="宋体" w:hAnsi="宋体"/>
                <w:color w:val="auto"/>
                <w:szCs w:val="21"/>
              </w:rPr>
              <w:t>社会科学、自然科学、创新</w:t>
            </w:r>
            <w:r>
              <w:rPr>
                <w:rFonts w:hint="eastAsia" w:ascii="宋体" w:hAnsi="宋体"/>
                <w:color w:val="auto"/>
                <w:szCs w:val="21"/>
              </w:rPr>
              <w:t>创业等</w:t>
            </w:r>
            <w:r>
              <w:rPr>
                <w:rFonts w:ascii="宋体" w:hAnsi="宋体"/>
                <w:color w:val="auto"/>
                <w:szCs w:val="21"/>
              </w:rPr>
              <w:t>课程</w:t>
            </w:r>
            <w:r>
              <w:rPr>
                <w:rFonts w:hint="eastAsia" w:ascii="宋体" w:hAnsi="宋体"/>
                <w:color w:val="auto"/>
                <w:szCs w:val="21"/>
              </w:rPr>
              <w:t>，课程运行平台</w:t>
            </w:r>
            <w:r>
              <w:rPr>
                <w:rFonts w:ascii="宋体" w:hAnsi="宋体"/>
                <w:color w:val="auto"/>
                <w:szCs w:val="21"/>
              </w:rPr>
              <w:t>能满</w:t>
            </w:r>
            <w:r>
              <w:rPr>
                <w:rFonts w:hint="eastAsia" w:ascii="宋体" w:hAnsi="宋体"/>
                <w:color w:val="auto"/>
                <w:szCs w:val="21"/>
              </w:rPr>
              <w:t>多人</w:t>
            </w:r>
            <w:r>
              <w:rPr>
                <w:rFonts w:ascii="宋体" w:hAnsi="宋体"/>
                <w:color w:val="auto"/>
                <w:szCs w:val="21"/>
              </w:rPr>
              <w:t>同时在线学习，访问响应时间小于</w:t>
            </w:r>
            <w:r>
              <w:rPr>
                <w:rFonts w:hint="eastAsia" w:ascii="宋体" w:hAnsi="宋体"/>
                <w:color w:val="auto"/>
                <w:szCs w:val="21"/>
              </w:rPr>
              <w:t>等于3</w:t>
            </w:r>
            <w:r>
              <w:rPr>
                <w:rFonts w:ascii="宋体" w:hAnsi="宋体"/>
                <w:color w:val="auto"/>
                <w:szCs w:val="21"/>
              </w:rPr>
              <w:t>秒；</w:t>
            </w:r>
          </w:p>
          <w:p>
            <w:pPr>
              <w:wordWrap w:val="0"/>
              <w:adjustRightInd w:val="0"/>
              <w:snapToGrid w:val="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2.所提供课程中获得国家精品在线开放课程认定</w:t>
            </w:r>
            <w:r>
              <w:rPr>
                <w:rFonts w:hint="eastAsia"/>
                <w:color w:val="auto"/>
                <w:szCs w:val="21"/>
              </w:rPr>
              <w:t>不少于50</w:t>
            </w:r>
            <w:r>
              <w:rPr>
                <w:rFonts w:hint="eastAsia" w:ascii="宋体" w:hAnsi="宋体"/>
                <w:color w:val="auto"/>
                <w:szCs w:val="21"/>
              </w:rPr>
              <w:t>门。</w:t>
            </w:r>
          </w:p>
          <w:p>
            <w:pPr>
              <w:wordWrap w:val="0"/>
              <w:adjustRightInd w:val="0"/>
              <w:snapToGrid w:val="0"/>
              <w:rPr>
                <w:rFonts w:ascii="宋体" w:hAnsi="宋体"/>
                <w:color w:val="auto"/>
                <w:szCs w:val="21"/>
              </w:rPr>
            </w:pPr>
            <w:r>
              <w:rPr>
                <w:rFonts w:hint="eastAsia" w:ascii="宋体" w:hAnsi="宋体"/>
                <w:color w:val="auto"/>
                <w:szCs w:val="21"/>
              </w:rPr>
              <w:t>3.</w:t>
            </w:r>
            <w:r>
              <w:rPr>
                <w:rFonts w:ascii="宋体" w:hAnsi="宋体"/>
                <w:color w:val="auto"/>
                <w:szCs w:val="21"/>
              </w:rPr>
              <w:t>课程是基于</w:t>
            </w:r>
            <w:r>
              <w:rPr>
                <w:rFonts w:hint="eastAsia" w:ascii="宋体" w:hAnsi="宋体"/>
                <w:color w:val="auto"/>
                <w:szCs w:val="21"/>
              </w:rPr>
              <w:t>线上</w:t>
            </w:r>
            <w:r>
              <w:rPr>
                <w:rFonts w:ascii="宋体" w:hAnsi="宋体"/>
                <w:color w:val="auto"/>
                <w:szCs w:val="21"/>
              </w:rPr>
              <w:t>教学运行的全日制授课过程。每学期课程修读完成并通过考核，</w:t>
            </w:r>
            <w:r>
              <w:rPr>
                <w:rFonts w:hint="eastAsia" w:ascii="宋体" w:hAnsi="宋体"/>
                <w:color w:val="auto"/>
                <w:szCs w:val="21"/>
              </w:rPr>
              <w:t>提供</w:t>
            </w:r>
            <w:r>
              <w:rPr>
                <w:rFonts w:ascii="宋体" w:hAnsi="宋体"/>
                <w:color w:val="auto"/>
                <w:szCs w:val="21"/>
              </w:rPr>
              <w:t>当前学期共享课程修读证明。</w:t>
            </w:r>
          </w:p>
          <w:p>
            <w:pPr>
              <w:wordWrap w:val="0"/>
              <w:adjustRightInd w:val="0"/>
              <w:snapToGrid w:val="0"/>
              <w:rPr>
                <w:rFonts w:ascii="宋体" w:hAnsi="宋体"/>
                <w:color w:val="auto"/>
                <w:szCs w:val="21"/>
              </w:rPr>
            </w:pPr>
            <w:r>
              <w:rPr>
                <w:rFonts w:hint="eastAsia" w:ascii="宋体" w:hAnsi="宋体"/>
                <w:color w:val="auto"/>
                <w:szCs w:val="21"/>
              </w:rPr>
              <w:t>4.</w:t>
            </w:r>
            <w:r>
              <w:rPr>
                <w:rFonts w:ascii="宋体" w:hAnsi="宋体"/>
                <w:color w:val="auto"/>
                <w:szCs w:val="21"/>
              </w:rPr>
              <w:t>课程配套相关章程测试题、作业以及在线考试题；</w:t>
            </w:r>
          </w:p>
          <w:p>
            <w:pPr>
              <w:wordWrap w:val="0"/>
              <w:adjustRightInd w:val="0"/>
              <w:snapToGrid w:val="0"/>
              <w:rPr>
                <w:rFonts w:ascii="宋体" w:hAnsi="宋体"/>
                <w:color w:val="auto"/>
                <w:szCs w:val="21"/>
              </w:rPr>
            </w:pPr>
            <w:r>
              <w:rPr>
                <w:rFonts w:ascii="宋体" w:hAnsi="宋体"/>
                <w:color w:val="auto"/>
                <w:szCs w:val="21"/>
              </w:rPr>
              <w:t>5</w:t>
            </w:r>
            <w:r>
              <w:rPr>
                <w:rFonts w:hint="eastAsia" w:ascii="宋体" w:hAnsi="宋体"/>
                <w:color w:val="auto"/>
                <w:szCs w:val="21"/>
              </w:rPr>
              <w:t>.平台</w:t>
            </w:r>
            <w:r>
              <w:rPr>
                <w:rFonts w:ascii="宋体" w:hAnsi="宋体"/>
                <w:color w:val="auto"/>
                <w:szCs w:val="21"/>
              </w:rPr>
              <w:t>课程采用混合式教学模式(即翻转课堂模式)，由课程开课学校的核心教学团队协助学校一起负责课程的整体教学运行。线上和线下结合，并能和开课学校进行直播互动</w:t>
            </w:r>
            <w:r>
              <w:rPr>
                <w:rFonts w:hint="eastAsia" w:ascii="宋体" w:hAnsi="宋体"/>
                <w:color w:val="auto"/>
                <w:szCs w:val="21"/>
              </w:rPr>
              <w:t>；</w:t>
            </w:r>
          </w:p>
          <w:p>
            <w:pPr>
              <w:wordWrap w:val="0"/>
              <w:adjustRightInd w:val="0"/>
              <w:snapToGrid w:val="0"/>
              <w:rPr>
                <w:rFonts w:ascii="宋体" w:hAnsi="宋体" w:cs="宋体"/>
                <w:color w:val="auto"/>
                <w:szCs w:val="21"/>
              </w:rPr>
            </w:pPr>
            <w:r>
              <w:rPr>
                <w:rFonts w:ascii="宋体" w:hAnsi="宋体"/>
                <w:color w:val="auto"/>
                <w:szCs w:val="21"/>
              </w:rPr>
              <w:t>6</w:t>
            </w:r>
            <w:r>
              <w:rPr>
                <w:rFonts w:hint="eastAsia" w:ascii="宋体" w:hAnsi="宋体"/>
                <w:color w:val="auto"/>
                <w:szCs w:val="21"/>
              </w:rPr>
              <w:t>.</w:t>
            </w:r>
            <w:r>
              <w:rPr>
                <w:rFonts w:ascii="宋体" w:hAnsi="宋体"/>
                <w:color w:val="auto"/>
                <w:szCs w:val="21"/>
              </w:rPr>
              <w:t>学习行为管理：学习进度管理、学习行为分析、学习异常波动管理、评价；</w:t>
            </w:r>
          </w:p>
          <w:p>
            <w:pPr>
              <w:wordWrap w:val="0"/>
              <w:adjustRightInd w:val="0"/>
              <w:snapToGrid w:val="0"/>
              <w:rPr>
                <w:rFonts w:ascii="宋体" w:hAnsi="宋体" w:cs="宋体"/>
                <w:color w:val="auto"/>
                <w:szCs w:val="21"/>
              </w:rPr>
            </w:pPr>
            <w:r>
              <w:rPr>
                <w:rFonts w:ascii="宋体" w:hAnsi="宋体"/>
                <w:color w:val="auto"/>
                <w:szCs w:val="21"/>
              </w:rPr>
              <w:t>7</w:t>
            </w:r>
            <w:r>
              <w:rPr>
                <w:rFonts w:hint="eastAsia" w:ascii="宋体" w:hAnsi="宋体"/>
                <w:color w:val="auto"/>
                <w:szCs w:val="21"/>
              </w:rPr>
              <w:t>.</w:t>
            </w:r>
            <w:r>
              <w:rPr>
                <w:rFonts w:ascii="宋体" w:hAnsi="宋体"/>
                <w:color w:val="auto"/>
                <w:szCs w:val="21"/>
              </w:rPr>
              <w:t>系统角色：学校管理员模块、教师模块、学生学习中心模块，教师可以通过</w:t>
            </w:r>
            <w:r>
              <w:rPr>
                <w:rFonts w:hint="eastAsia" w:ascii="宋体" w:hAnsi="宋体"/>
                <w:color w:val="auto"/>
                <w:szCs w:val="21"/>
              </w:rPr>
              <w:t>课程运行</w:t>
            </w:r>
            <w:r>
              <w:rPr>
                <w:rFonts w:ascii="宋体" w:hAnsi="宋体"/>
                <w:color w:val="auto"/>
                <w:szCs w:val="21"/>
              </w:rPr>
              <w:t>平台随时了解学生的学习进度；</w:t>
            </w:r>
          </w:p>
          <w:p>
            <w:pPr>
              <w:wordWrap w:val="0"/>
              <w:adjustRightInd w:val="0"/>
              <w:snapToGrid w:val="0"/>
              <w:rPr>
                <w:rFonts w:ascii="宋体" w:hAnsi="宋体" w:cs="宋体"/>
                <w:color w:val="auto"/>
                <w:szCs w:val="21"/>
              </w:rPr>
            </w:pPr>
            <w:r>
              <w:rPr>
                <w:rFonts w:ascii="宋体" w:hAnsi="宋体"/>
                <w:color w:val="auto"/>
                <w:szCs w:val="21"/>
              </w:rPr>
              <w:t>8</w:t>
            </w:r>
            <w:r>
              <w:rPr>
                <w:rFonts w:hint="eastAsia" w:ascii="宋体" w:hAnsi="宋体"/>
                <w:color w:val="auto"/>
                <w:szCs w:val="21"/>
              </w:rPr>
              <w:t>.</w:t>
            </w:r>
            <w:r>
              <w:rPr>
                <w:rFonts w:ascii="宋体" w:hAnsi="宋体"/>
                <w:color w:val="auto"/>
                <w:szCs w:val="21"/>
              </w:rPr>
              <w:t>能利用手机和电脑随时随地学习、交流，不受时空限制的新颖学习模式；</w:t>
            </w:r>
          </w:p>
          <w:p>
            <w:pPr>
              <w:wordWrap w:val="0"/>
              <w:adjustRightInd w:val="0"/>
              <w:snapToGrid w:val="0"/>
              <w:rPr>
                <w:rFonts w:ascii="宋体" w:hAnsi="宋体"/>
                <w:color w:val="auto"/>
                <w:szCs w:val="21"/>
              </w:rPr>
            </w:pPr>
            <w:r>
              <w:rPr>
                <w:rFonts w:ascii="宋体" w:hAnsi="宋体"/>
                <w:color w:val="auto"/>
                <w:szCs w:val="21"/>
              </w:rPr>
              <w:t>9</w:t>
            </w:r>
            <w:r>
              <w:rPr>
                <w:rFonts w:hint="eastAsia" w:ascii="宋体" w:hAnsi="宋体"/>
                <w:color w:val="auto"/>
                <w:szCs w:val="21"/>
              </w:rPr>
              <w:t>.</w:t>
            </w:r>
            <w:r>
              <w:rPr>
                <w:rFonts w:ascii="宋体" w:hAnsi="宋体"/>
                <w:color w:val="auto"/>
                <w:szCs w:val="21"/>
              </w:rPr>
              <w:t>在线客服7×16</w:t>
            </w:r>
            <w:r>
              <w:rPr>
                <w:rFonts w:hint="eastAsia" w:ascii="宋体" w:hAnsi="宋体"/>
                <w:color w:val="auto"/>
                <w:szCs w:val="21"/>
              </w:rPr>
              <w:t>（8:</w:t>
            </w:r>
            <w:r>
              <w:rPr>
                <w:rFonts w:ascii="宋体" w:hAnsi="宋体"/>
                <w:color w:val="auto"/>
                <w:szCs w:val="21"/>
              </w:rPr>
              <w:t>00</w:t>
            </w:r>
            <w:r>
              <w:rPr>
                <w:rFonts w:hint="eastAsia" w:ascii="宋体" w:hAnsi="宋体"/>
                <w:color w:val="auto"/>
                <w:szCs w:val="21"/>
              </w:rPr>
              <w:t>-</w:t>
            </w:r>
            <w:r>
              <w:rPr>
                <w:rFonts w:ascii="宋体" w:hAnsi="宋体"/>
                <w:color w:val="auto"/>
                <w:szCs w:val="21"/>
              </w:rPr>
              <w:t>24</w:t>
            </w:r>
            <w:r>
              <w:rPr>
                <w:rFonts w:hint="eastAsia" w:ascii="宋体" w:hAnsi="宋体"/>
                <w:color w:val="auto"/>
                <w:szCs w:val="21"/>
              </w:rPr>
              <w:t>:</w:t>
            </w:r>
            <w:r>
              <w:rPr>
                <w:rFonts w:ascii="宋体" w:hAnsi="宋体"/>
                <w:color w:val="auto"/>
                <w:szCs w:val="21"/>
              </w:rPr>
              <w:t>00</w:t>
            </w:r>
            <w:r>
              <w:rPr>
                <w:rFonts w:hint="eastAsia" w:ascii="宋体" w:hAnsi="宋体"/>
                <w:color w:val="auto"/>
                <w:szCs w:val="21"/>
              </w:rPr>
              <w:t>）</w:t>
            </w:r>
            <w:r>
              <w:rPr>
                <w:rFonts w:ascii="宋体" w:hAnsi="宋体"/>
                <w:color w:val="auto"/>
                <w:szCs w:val="21"/>
              </w:rPr>
              <w:t>小时解决学生、管理员、辅导老师使用问题</w:t>
            </w:r>
            <w:r>
              <w:rPr>
                <w:rFonts w:hint="eastAsia" w:ascii="宋体" w:hAnsi="宋体"/>
                <w:color w:val="auto"/>
                <w:szCs w:val="21"/>
              </w:rPr>
              <w:t>。</w:t>
            </w:r>
          </w:p>
          <w:p>
            <w:pPr>
              <w:wordWrap w:val="0"/>
              <w:adjustRightInd w:val="0"/>
              <w:snapToGrid w:val="0"/>
              <w:rPr>
                <w:rFonts w:ascii="宋体" w:hAnsi="宋体"/>
                <w:b/>
                <w:color w:val="auto"/>
                <w:szCs w:val="21"/>
              </w:rPr>
            </w:pPr>
            <w:r>
              <w:rPr>
                <w:rFonts w:hint="eastAsia" w:ascii="宋体" w:hAnsi="宋体"/>
                <w:b/>
                <w:color w:val="auto"/>
                <w:szCs w:val="21"/>
              </w:rPr>
              <w:t>四、课程运行平台要求</w:t>
            </w:r>
          </w:p>
          <w:p>
            <w:pPr>
              <w:wordWrap w:val="0"/>
              <w:adjustRightInd w:val="0"/>
              <w:snapToGrid w:val="0"/>
              <w:rPr>
                <w:rFonts w:ascii="宋体" w:hAnsi="宋体"/>
                <w:color w:val="auto"/>
                <w:szCs w:val="21"/>
              </w:rPr>
            </w:pPr>
            <w:r>
              <w:rPr>
                <w:rFonts w:ascii="宋体" w:hAnsi="宋体"/>
                <w:color w:val="auto"/>
                <w:szCs w:val="21"/>
              </w:rPr>
              <w:t>1.课程建设完毕后提供校内在线</w:t>
            </w:r>
            <w:r>
              <w:rPr>
                <w:rFonts w:hint="eastAsia" w:ascii="宋体" w:hAnsi="宋体"/>
                <w:color w:val="auto"/>
                <w:szCs w:val="21"/>
              </w:rPr>
              <w:t>课程运行</w:t>
            </w:r>
            <w:r>
              <w:rPr>
                <w:rFonts w:ascii="宋体" w:hAnsi="宋体"/>
                <w:color w:val="auto"/>
                <w:szCs w:val="21"/>
              </w:rPr>
              <w:t>平台进行课程混合式教学运行，提供课程视频、习题、视频弹题、章节测试、见面课考核、期末考试、笔记回放、课程论坛等过程化管理模块和运行大数据分析,切实让课程运行起来；</w:t>
            </w:r>
          </w:p>
          <w:p>
            <w:pPr>
              <w:wordWrap w:val="0"/>
              <w:adjustRightInd w:val="0"/>
              <w:snapToGrid w:val="0"/>
              <w:rPr>
                <w:rFonts w:ascii="宋体" w:hAnsi="宋体"/>
                <w:color w:val="auto"/>
                <w:szCs w:val="21"/>
              </w:rPr>
            </w:pPr>
            <w:r>
              <w:rPr>
                <w:rFonts w:ascii="宋体" w:hAnsi="宋体"/>
                <w:color w:val="auto"/>
                <w:szCs w:val="21"/>
              </w:rPr>
              <w:t>2.运行平台支持</w:t>
            </w:r>
            <w:r>
              <w:rPr>
                <w:rFonts w:hint="eastAsia" w:ascii="宋体" w:hAnsi="宋体"/>
                <w:color w:val="auto"/>
                <w:szCs w:val="21"/>
              </w:rPr>
              <w:t>自</w:t>
            </w:r>
            <w:r>
              <w:rPr>
                <w:rFonts w:ascii="宋体" w:hAnsi="宋体"/>
                <w:color w:val="auto"/>
                <w:szCs w:val="21"/>
              </w:rPr>
              <w:t>主制定课程简介、教学大纲、教师团队、教学计划等功能</w:t>
            </w:r>
            <w:r>
              <w:rPr>
                <w:rFonts w:hint="eastAsia" w:ascii="宋体" w:hAnsi="宋体"/>
                <w:color w:val="auto"/>
                <w:szCs w:val="21"/>
              </w:rPr>
              <w:t>，</w:t>
            </w:r>
            <w:r>
              <w:rPr>
                <w:rFonts w:ascii="宋体" w:hAnsi="宋体"/>
                <w:color w:val="auto"/>
                <w:szCs w:val="21"/>
              </w:rPr>
              <w:t>平台</w:t>
            </w:r>
            <w:r>
              <w:rPr>
                <w:rFonts w:hint="eastAsia" w:ascii="宋体" w:hAnsi="宋体"/>
                <w:color w:val="auto"/>
                <w:szCs w:val="21"/>
              </w:rPr>
              <w:t>支</w:t>
            </w:r>
            <w:r>
              <w:rPr>
                <w:rFonts w:ascii="宋体" w:hAnsi="宋体"/>
                <w:color w:val="auto"/>
                <w:szCs w:val="21"/>
              </w:rPr>
              <w:t>持统一发布公告，下发通知或督促学生完成学习进度；</w:t>
            </w:r>
          </w:p>
          <w:p>
            <w:pPr>
              <w:wordWrap w:val="0"/>
              <w:adjustRightInd w:val="0"/>
              <w:snapToGrid w:val="0"/>
              <w:rPr>
                <w:rFonts w:ascii="宋体" w:hAnsi="宋体"/>
                <w:color w:val="auto"/>
                <w:szCs w:val="21"/>
              </w:rPr>
            </w:pPr>
            <w:r>
              <w:rPr>
                <w:rFonts w:ascii="宋体" w:hAnsi="宋体"/>
                <w:color w:val="auto"/>
                <w:szCs w:val="21"/>
              </w:rPr>
              <w:t>3.平台支持分步骤创建混合式课程；</w:t>
            </w:r>
          </w:p>
          <w:p>
            <w:pPr>
              <w:wordWrap w:val="0"/>
              <w:adjustRightInd w:val="0"/>
              <w:snapToGrid w:val="0"/>
              <w:rPr>
                <w:rFonts w:ascii="宋体" w:hAnsi="宋体"/>
                <w:color w:val="auto"/>
                <w:szCs w:val="21"/>
              </w:rPr>
            </w:pPr>
            <w:r>
              <w:rPr>
                <w:rFonts w:hint="eastAsia" w:ascii="宋体" w:hAnsi="宋体"/>
                <w:color w:val="auto"/>
                <w:szCs w:val="21"/>
              </w:rPr>
              <w:t>4.平台支持交互式视频课件播放，支持rmvb、 3gp、 mpg、 mpeg、 mov、 wmv、 asf、 avi、 mkv、mp4. flv、 vob、 f4v 等标清、高清和网络格式视频的上传和播放，常见的格式具有在线预览功能；</w:t>
            </w:r>
          </w:p>
          <w:p>
            <w:pPr>
              <w:wordWrap w:val="0"/>
              <w:adjustRightInd w:val="0"/>
              <w:snapToGrid w:val="0"/>
              <w:rPr>
                <w:rFonts w:ascii="宋体" w:hAnsi="宋体"/>
                <w:color w:val="auto"/>
                <w:szCs w:val="21"/>
              </w:rPr>
            </w:pPr>
            <w:r>
              <w:rPr>
                <w:rFonts w:hint="eastAsia" w:ascii="宋体" w:hAnsi="宋体"/>
                <w:color w:val="auto"/>
                <w:szCs w:val="21"/>
              </w:rPr>
              <w:t>5.平台支持多种格式文件的上传、在线编辑、预览、浏览和发送：Microsoft Office、E</w:t>
            </w:r>
            <w:r>
              <w:rPr>
                <w:rFonts w:ascii="宋体" w:hAnsi="宋体"/>
                <w:color w:val="auto"/>
                <w:szCs w:val="21"/>
              </w:rPr>
              <w:t>xcel</w:t>
            </w:r>
            <w:r>
              <w:rPr>
                <w:rFonts w:hint="eastAsia" w:ascii="宋体" w:hAnsi="宋体"/>
                <w:color w:val="auto"/>
                <w:szCs w:val="21"/>
              </w:rPr>
              <w:t>、PowerPoint 文档、PDF</w:t>
            </w:r>
          </w:p>
          <w:p>
            <w:pPr>
              <w:wordWrap w:val="0"/>
              <w:adjustRightInd w:val="0"/>
              <w:snapToGrid w:val="0"/>
              <w:rPr>
                <w:rFonts w:ascii="宋体" w:hAnsi="宋体"/>
                <w:color w:val="auto"/>
                <w:szCs w:val="21"/>
              </w:rPr>
            </w:pPr>
            <w:r>
              <w:rPr>
                <w:rFonts w:hint="eastAsia" w:ascii="宋体" w:hAnsi="宋体"/>
                <w:color w:val="auto"/>
                <w:szCs w:val="21"/>
              </w:rPr>
              <w:t>文件、HTML文件、TXT文本文件、JPEG\</w:t>
            </w:r>
            <w:r>
              <w:rPr>
                <w:rFonts w:ascii="宋体" w:hAnsi="宋体"/>
                <w:color w:val="auto"/>
                <w:szCs w:val="21"/>
              </w:rPr>
              <w:t>BMP</w:t>
            </w:r>
            <w:r>
              <w:rPr>
                <w:rFonts w:hint="eastAsia" w:ascii="宋体" w:hAnsi="宋体"/>
                <w:color w:val="auto"/>
                <w:szCs w:val="21"/>
              </w:rPr>
              <w:t>\GIF\PNP等格式图片；</w:t>
            </w:r>
          </w:p>
          <w:p>
            <w:pPr>
              <w:wordWrap w:val="0"/>
              <w:adjustRightInd w:val="0"/>
              <w:snapToGrid w:val="0"/>
              <w:rPr>
                <w:rFonts w:ascii="宋体" w:hAnsi="宋体"/>
                <w:color w:val="auto"/>
                <w:szCs w:val="21"/>
              </w:rPr>
            </w:pPr>
            <w:r>
              <w:rPr>
                <w:rFonts w:hint="eastAsia" w:ascii="宋体" w:hAnsi="宋体"/>
                <w:color w:val="auto"/>
                <w:szCs w:val="21"/>
              </w:rPr>
              <w:t>6</w:t>
            </w:r>
            <w:r>
              <w:rPr>
                <w:rFonts w:ascii="宋体" w:hAnsi="宋体"/>
                <w:color w:val="auto"/>
                <w:szCs w:val="21"/>
              </w:rPr>
              <w:t>.平台根据教师在维护章节计划的设置情况自动生成学期混合式教学运行计划；</w:t>
            </w:r>
          </w:p>
          <w:p>
            <w:pPr>
              <w:wordWrap w:val="0"/>
              <w:adjustRightInd w:val="0"/>
              <w:snapToGrid w:val="0"/>
              <w:rPr>
                <w:rFonts w:ascii="宋体" w:hAnsi="宋体"/>
                <w:color w:val="auto"/>
                <w:szCs w:val="21"/>
              </w:rPr>
            </w:pPr>
            <w:r>
              <w:rPr>
                <w:rFonts w:hint="eastAsia" w:ascii="宋体" w:hAnsi="宋体"/>
                <w:color w:val="auto"/>
                <w:szCs w:val="21"/>
              </w:rPr>
              <w:t>7</w:t>
            </w:r>
            <w:r>
              <w:rPr>
                <w:rFonts w:ascii="宋体" w:hAnsi="宋体"/>
                <w:color w:val="auto"/>
                <w:szCs w:val="21"/>
              </w:rPr>
              <w:t>.平台支持自学辅导式的纯线上授课模式和混合式的线上线下模式招生，录取方式支持预报名、直接录取、验证码和入学考试以及报名表方式</w:t>
            </w:r>
            <w:r>
              <w:rPr>
                <w:rFonts w:hint="eastAsia" w:ascii="宋体" w:hAnsi="宋体"/>
                <w:color w:val="auto"/>
                <w:szCs w:val="21"/>
              </w:rPr>
              <w:t>。</w:t>
            </w:r>
          </w:p>
          <w:p>
            <w:pPr>
              <w:wordWrap w:val="0"/>
              <w:adjustRightInd w:val="0"/>
              <w:snapToGrid w:val="0"/>
              <w:rPr>
                <w:rFonts w:ascii="宋体" w:hAnsi="宋体"/>
                <w:color w:val="auto"/>
                <w:szCs w:val="21"/>
              </w:rPr>
            </w:pPr>
            <w:r>
              <w:rPr>
                <w:rFonts w:hint="eastAsia" w:ascii="宋体" w:hAnsi="宋体"/>
                <w:color w:val="auto"/>
                <w:szCs w:val="21"/>
              </w:rPr>
              <w:t>8</w:t>
            </w:r>
            <w:r>
              <w:rPr>
                <w:rFonts w:ascii="宋体" w:hAnsi="宋体"/>
                <w:color w:val="auto"/>
                <w:szCs w:val="21"/>
              </w:rPr>
              <w:t>.平台</w:t>
            </w:r>
            <w:r>
              <w:rPr>
                <w:rFonts w:hint="eastAsia" w:ascii="宋体" w:hAnsi="宋体"/>
                <w:color w:val="auto"/>
                <w:szCs w:val="21"/>
              </w:rPr>
              <w:t>支持</w:t>
            </w:r>
            <w:r>
              <w:rPr>
                <w:rFonts w:ascii="宋体" w:hAnsi="宋体"/>
                <w:color w:val="auto"/>
                <w:szCs w:val="21"/>
              </w:rPr>
              <w:t>多种类型的成绩类型、多种方式的创建方式以及客观题自动批阅与选择的随机顺序；实现教师批阅，学生互评多种模式，作业内容可囊括多种题型，作业还可退回重做；</w:t>
            </w:r>
          </w:p>
          <w:p>
            <w:pPr>
              <w:wordWrap w:val="0"/>
              <w:adjustRightInd w:val="0"/>
              <w:snapToGrid w:val="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9</w:t>
            </w:r>
            <w:r>
              <w:rPr>
                <w:rFonts w:ascii="宋体" w:hAnsi="宋体"/>
                <w:color w:val="auto"/>
                <w:szCs w:val="21"/>
              </w:rPr>
              <w:t>.需支持见面课的多校区互动以及网上直播，不但学生可以参与课程，相关老师也可以观摩课程。</w:t>
            </w:r>
            <w:r>
              <w:rPr>
                <w:rFonts w:hint="eastAsia" w:ascii="宋体" w:hAnsi="宋体"/>
                <w:color w:val="auto"/>
                <w:szCs w:val="21"/>
              </w:rPr>
              <w:t>网络直播支持签到、点名、投票以及双向语音功能，使老师和学生更好的完成网络教学任务。</w:t>
            </w:r>
          </w:p>
          <w:p>
            <w:pPr>
              <w:wordWrap w:val="0"/>
              <w:adjustRightInd w:val="0"/>
              <w:snapToGrid w:val="0"/>
              <w:rPr>
                <w:rFonts w:ascii="宋体" w:hAnsi="宋体"/>
                <w:color w:val="auto"/>
                <w:szCs w:val="21"/>
              </w:rPr>
            </w:pPr>
            <w:r>
              <w:rPr>
                <w:rFonts w:hint="eastAsia" w:ascii="宋体" w:hAnsi="宋体"/>
                <w:color w:val="auto"/>
                <w:szCs w:val="21"/>
              </w:rPr>
              <w:t>10</w:t>
            </w:r>
            <w:r>
              <w:rPr>
                <w:rFonts w:ascii="宋体" w:hAnsi="宋体"/>
                <w:color w:val="auto"/>
                <w:szCs w:val="21"/>
              </w:rPr>
              <w:t>.平台满足记录每一个学生在平台上的学习记录，作业考试、资料上传、课程问答、学习笔记以及课程学习进度，了解每一个学生的详细的学习情况；</w:t>
            </w:r>
          </w:p>
          <w:p>
            <w:pPr>
              <w:wordWrap w:val="0"/>
              <w:adjustRightInd w:val="0"/>
              <w:snapToGrid w:val="0"/>
              <w:rPr>
                <w:rFonts w:ascii="宋体" w:hAnsi="宋体"/>
                <w:color w:val="auto"/>
                <w:szCs w:val="21"/>
              </w:rPr>
            </w:pPr>
            <w:r>
              <w:rPr>
                <w:rFonts w:hint="eastAsia" w:ascii="宋体" w:hAnsi="宋体"/>
                <w:color w:val="auto"/>
                <w:szCs w:val="21"/>
              </w:rPr>
              <w:t>11</w:t>
            </w:r>
            <w:r>
              <w:rPr>
                <w:rFonts w:ascii="宋体" w:hAnsi="宋体"/>
                <w:color w:val="auto"/>
                <w:szCs w:val="21"/>
              </w:rPr>
              <w:t>.平台提供以至少以月度为单位的学情大数据分析报告</w:t>
            </w:r>
            <w:r>
              <w:rPr>
                <w:rFonts w:hint="eastAsia" w:ascii="宋体" w:hAnsi="宋体"/>
                <w:color w:val="auto"/>
                <w:szCs w:val="21"/>
              </w:rPr>
              <w:t>，包含观看时长、登录次数、作业完成情况、班级名次排位等</w:t>
            </w:r>
            <w:r>
              <w:rPr>
                <w:rFonts w:ascii="宋体" w:hAnsi="宋体"/>
                <w:color w:val="auto"/>
                <w:szCs w:val="21"/>
              </w:rPr>
              <w:t>；</w:t>
            </w:r>
          </w:p>
          <w:p>
            <w:pPr>
              <w:wordWrap w:val="0"/>
              <w:adjustRightInd w:val="0"/>
              <w:snapToGrid w:val="0"/>
              <w:rPr>
                <w:rFonts w:ascii="宋体" w:hAnsi="宋体"/>
                <w:color w:val="auto"/>
                <w:szCs w:val="21"/>
              </w:rPr>
            </w:pPr>
            <w:r>
              <w:rPr>
                <w:rFonts w:ascii="宋体" w:hAnsi="宋体"/>
                <w:color w:val="auto"/>
                <w:szCs w:val="21"/>
              </w:rPr>
              <w:t>1</w:t>
            </w:r>
            <w:r>
              <w:rPr>
                <w:rFonts w:hint="eastAsia" w:ascii="宋体" w:hAnsi="宋体"/>
                <w:color w:val="auto"/>
                <w:szCs w:val="21"/>
              </w:rPr>
              <w:t>2</w:t>
            </w:r>
            <w:r>
              <w:rPr>
                <w:rFonts w:ascii="宋体" w:hAnsi="宋体"/>
                <w:color w:val="auto"/>
                <w:szCs w:val="21"/>
              </w:rPr>
              <w:t>.平台支持教师、学生、教学管理者使用的app客户端，方便易用。按照教学计划，可在移动端组织教学内容，有序安排资料推送、签到、问答、抢答、投票等教学活动，可实现互动内容课堂发放并复用。为提高课程建设和使用的效率</w:t>
            </w:r>
            <w:r>
              <w:rPr>
                <w:rFonts w:hint="eastAsia" w:ascii="宋体" w:hAnsi="宋体"/>
                <w:color w:val="auto"/>
                <w:szCs w:val="21"/>
              </w:rPr>
              <w:t>，教师端APP支持课</w:t>
            </w:r>
            <w:r>
              <w:rPr>
                <w:rFonts w:ascii="宋体" w:hAnsi="宋体"/>
                <w:color w:val="auto"/>
                <w:szCs w:val="21"/>
              </w:rPr>
              <w:t>程建设功能和学习功能</w:t>
            </w:r>
            <w:r>
              <w:rPr>
                <w:rFonts w:hint="eastAsia" w:ascii="宋体" w:hAnsi="宋体"/>
                <w:color w:val="auto"/>
                <w:szCs w:val="21"/>
              </w:rPr>
              <w:t>。并且提供</w:t>
            </w:r>
            <w:r>
              <w:rPr>
                <w:rFonts w:ascii="宋体" w:hAnsi="宋体"/>
                <w:color w:val="auto"/>
                <w:szCs w:val="21"/>
              </w:rPr>
              <w:t>苹果和安卓APP手机端的软件</w:t>
            </w:r>
            <w:r>
              <w:rPr>
                <w:rFonts w:hint="eastAsia" w:ascii="宋体" w:hAnsi="宋体"/>
                <w:color w:val="auto"/>
                <w:szCs w:val="21"/>
              </w:rPr>
              <w:t>。</w:t>
            </w:r>
          </w:p>
          <w:p>
            <w:pPr>
              <w:wordWrap w:val="0"/>
              <w:adjustRightInd w:val="0"/>
              <w:snapToGrid w:val="0"/>
              <w:rPr>
                <w:rFonts w:ascii="宋体" w:hAns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.运行平台</w:t>
            </w:r>
            <w:r>
              <w:rPr>
                <w:rFonts w:hint="eastAsia" w:ascii="宋体" w:hAnsi="宋体"/>
                <w:color w:val="auto"/>
                <w:szCs w:val="21"/>
              </w:rPr>
              <w:t>支持</w:t>
            </w:r>
            <w:r>
              <w:rPr>
                <w:rFonts w:ascii="宋体" w:hAnsi="宋体"/>
                <w:color w:val="auto"/>
                <w:szCs w:val="21"/>
              </w:rPr>
              <w:t>校内翻转、区域共享及</w:t>
            </w:r>
            <w:r>
              <w:rPr>
                <w:rFonts w:hint="eastAsia" w:ascii="宋体" w:hAnsi="宋体"/>
                <w:color w:val="auto"/>
                <w:szCs w:val="21"/>
              </w:rPr>
              <w:t>全国</w:t>
            </w:r>
            <w:r>
              <w:rPr>
                <w:rFonts w:ascii="宋体" w:hAnsi="宋体"/>
                <w:color w:val="auto"/>
                <w:szCs w:val="21"/>
              </w:rPr>
              <w:t>跨校共享的能力</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2</w:t>
            </w:r>
          </w:p>
        </w:tc>
        <w:tc>
          <w:tcPr>
            <w:tcW w:w="877" w:type="dxa"/>
            <w:noWrap w:val="0"/>
            <w:vAlign w:val="center"/>
          </w:tcPr>
          <w:p>
            <w:pPr>
              <w:wordWrap w:val="0"/>
              <w:adjustRightInd w:val="0"/>
              <w:snapToGrid w:val="0"/>
              <w:jc w:val="center"/>
              <w:rPr>
                <w:rFonts w:ascii="宋体" w:hAnsi="宋体"/>
                <w:color w:val="auto"/>
                <w:szCs w:val="21"/>
              </w:rPr>
            </w:pPr>
            <w:r>
              <w:rPr>
                <w:rFonts w:hint="eastAsia" w:ascii="宋体" w:hAnsi="宋体"/>
                <w:color w:val="auto"/>
                <w:szCs w:val="21"/>
              </w:rPr>
              <w:t>在线开放课程教学平台服务</w:t>
            </w:r>
          </w:p>
        </w:tc>
        <w:tc>
          <w:tcPr>
            <w:tcW w:w="480" w:type="dxa"/>
            <w:noWrap w:val="0"/>
            <w:vAlign w:val="center"/>
          </w:tcPr>
          <w:p>
            <w:pPr>
              <w:wordWrap w:val="0"/>
              <w:spacing w:line="340" w:lineRule="exact"/>
              <w:jc w:val="center"/>
              <w:rPr>
                <w:color w:val="auto"/>
                <w:szCs w:val="21"/>
              </w:rPr>
            </w:pPr>
            <w:r>
              <w:rPr>
                <w:rFonts w:hint="eastAsia"/>
                <w:color w:val="auto"/>
                <w:szCs w:val="21"/>
              </w:rPr>
              <w:t>1年</w:t>
            </w:r>
          </w:p>
        </w:tc>
        <w:tc>
          <w:tcPr>
            <w:tcW w:w="8145" w:type="dxa"/>
            <w:noWrap w:val="0"/>
            <w:vAlign w:val="center"/>
          </w:tcPr>
          <w:p>
            <w:pPr>
              <w:wordWrap w:val="0"/>
              <w:adjustRightInd w:val="0"/>
              <w:snapToGrid w:val="0"/>
              <w:rPr>
                <w:rFonts w:ascii="宋体" w:hAnsi="宋体" w:cs="微软雅黑"/>
                <w:color w:val="auto"/>
                <w:szCs w:val="21"/>
              </w:rPr>
            </w:pPr>
            <w:r>
              <w:rPr>
                <w:rFonts w:hint="eastAsia" w:ascii="宋体" w:hAnsi="宋体" w:cs="微软雅黑"/>
                <w:b/>
                <w:color w:val="auto"/>
                <w:szCs w:val="21"/>
              </w:rPr>
              <w:t>一</w:t>
            </w:r>
            <w:r>
              <w:rPr>
                <w:rFonts w:ascii="宋体" w:hAnsi="宋体" w:cs="微软雅黑"/>
                <w:b/>
                <w:color w:val="auto"/>
                <w:szCs w:val="21"/>
              </w:rPr>
              <w:t>、系统总体要求</w:t>
            </w:r>
          </w:p>
          <w:p>
            <w:pPr>
              <w:wordWrap w:val="0"/>
              <w:adjustRightInd w:val="0"/>
              <w:snapToGrid w:val="0"/>
              <w:rPr>
                <w:rFonts w:ascii="宋体" w:hAnsi="宋体" w:cs="微软雅黑"/>
                <w:color w:val="auto"/>
                <w:szCs w:val="21"/>
              </w:rPr>
            </w:pPr>
            <w:r>
              <w:rPr>
                <w:rFonts w:ascii="宋体" w:hAnsi="宋体" w:cs="微软雅黑"/>
                <w:color w:val="auto"/>
                <w:szCs w:val="21"/>
              </w:rPr>
              <w:t xml:space="preserve">    系统能体现扩展性能，能够满足精品在线开放课程的建设、申报和评审的要求；支持课程在线学习与课堂学习相结合的混合式模式，支持建设成果展示的多方面要求</w:t>
            </w:r>
            <w:r>
              <w:rPr>
                <w:rFonts w:hint="eastAsia" w:ascii="宋体" w:hAnsi="宋体" w:cs="微软雅黑"/>
                <w:color w:val="auto"/>
                <w:szCs w:val="21"/>
              </w:rPr>
              <w:t>。</w:t>
            </w:r>
          </w:p>
          <w:p>
            <w:pPr>
              <w:wordWrap w:val="0"/>
              <w:adjustRightInd w:val="0"/>
              <w:snapToGrid w:val="0"/>
              <w:rPr>
                <w:rFonts w:ascii="宋体" w:hAnsi="宋体" w:cs="微软雅黑"/>
                <w:color w:val="auto"/>
                <w:szCs w:val="21"/>
              </w:rPr>
            </w:pPr>
            <w:r>
              <w:rPr>
                <w:rFonts w:ascii="宋体" w:hAnsi="宋体" w:cs="微软雅黑"/>
                <w:b/>
                <w:color w:val="auto"/>
                <w:szCs w:val="21"/>
              </w:rPr>
              <w:t>部署要求</w:t>
            </w:r>
          </w:p>
          <w:p>
            <w:pPr>
              <w:wordWrap w:val="0"/>
              <w:adjustRightInd w:val="0"/>
              <w:snapToGrid w:val="0"/>
              <w:rPr>
                <w:rFonts w:ascii="宋体" w:hAnsi="宋体" w:cs="微软雅黑"/>
                <w:color w:val="auto"/>
                <w:szCs w:val="21"/>
              </w:rPr>
            </w:pPr>
            <w:r>
              <w:rPr>
                <w:rFonts w:hint="eastAsia" w:ascii="宋体" w:hAnsi="宋体" w:eastAsia="微软雅黑" w:cs="宋体"/>
                <w:color w:val="auto"/>
                <w:sz w:val="24"/>
                <w:szCs w:val="21"/>
              </w:rPr>
              <w:t>★</w:t>
            </w:r>
            <w:r>
              <w:rPr>
                <w:rFonts w:ascii="宋体" w:hAnsi="宋体" w:cs="微软雅黑"/>
                <w:color w:val="auto"/>
                <w:szCs w:val="21"/>
              </w:rPr>
              <w:t>系统必须选择云服务模式，满足以下基本条件</w:t>
            </w:r>
            <w:r>
              <w:rPr>
                <w:rFonts w:hint="eastAsia" w:ascii="宋体" w:hAnsi="宋体" w:cs="微软雅黑"/>
                <w:color w:val="auto"/>
                <w:szCs w:val="21"/>
              </w:rPr>
              <w:t>：</w:t>
            </w:r>
          </w:p>
          <w:p>
            <w:pPr>
              <w:wordWrap w:val="0"/>
              <w:adjustRightInd w:val="0"/>
              <w:snapToGrid w:val="0"/>
              <w:rPr>
                <w:rFonts w:ascii="宋体" w:hAnsi="宋体" w:cs="微软雅黑"/>
                <w:color w:val="auto"/>
                <w:szCs w:val="21"/>
              </w:rPr>
            </w:pPr>
            <w:r>
              <w:rPr>
                <w:rFonts w:hint="eastAsia" w:ascii="宋体" w:hAnsi="宋体" w:eastAsia="微软雅黑" w:cs="宋体"/>
                <w:color w:val="auto"/>
                <w:sz w:val="24"/>
                <w:szCs w:val="21"/>
              </w:rPr>
              <w:t>★</w:t>
            </w:r>
            <w:r>
              <w:rPr>
                <w:rFonts w:hint="eastAsia" w:ascii="宋体" w:hAnsi="宋体" w:cs="微软雅黑"/>
                <w:color w:val="auto"/>
                <w:szCs w:val="21"/>
              </w:rPr>
              <w:t>1.</w:t>
            </w:r>
            <w:r>
              <w:rPr>
                <w:rFonts w:ascii="宋体" w:hAnsi="宋体" w:cs="微软雅黑"/>
                <w:color w:val="auto"/>
                <w:szCs w:val="21"/>
              </w:rPr>
              <w:t>磁盘数据保存在分布式存储系统中，每份数据多重副本，单个副本损坏可以在</w:t>
            </w:r>
            <w:r>
              <w:rPr>
                <w:rFonts w:hint="eastAsia" w:ascii="宋体" w:hAnsi="宋体" w:cs="微软雅黑"/>
                <w:color w:val="auto"/>
                <w:szCs w:val="21"/>
              </w:rPr>
              <w:t>1天</w:t>
            </w:r>
            <w:r>
              <w:rPr>
                <w:rFonts w:ascii="宋体" w:hAnsi="宋体" w:cs="微软雅黑"/>
                <w:color w:val="auto"/>
                <w:szCs w:val="21"/>
              </w:rPr>
              <w:t>内自动修复；当系统因病毒等原因导致损坏时，通过快照快速回滚历史数据, 确保数据安全；</w:t>
            </w:r>
          </w:p>
          <w:p>
            <w:pPr>
              <w:wordWrap w:val="0"/>
              <w:adjustRightInd w:val="0"/>
              <w:snapToGrid w:val="0"/>
              <w:rPr>
                <w:rFonts w:ascii="宋体" w:hAnsi="宋体" w:cs="微软雅黑"/>
                <w:color w:val="auto"/>
                <w:szCs w:val="21"/>
              </w:rPr>
            </w:pPr>
            <w:r>
              <w:rPr>
                <w:rFonts w:hint="eastAsia" w:ascii="宋体" w:hAnsi="宋体" w:eastAsia="微软雅黑" w:cs="宋体"/>
                <w:color w:val="auto"/>
                <w:sz w:val="24"/>
                <w:szCs w:val="21"/>
              </w:rPr>
              <w:t>★</w:t>
            </w:r>
            <w:r>
              <w:rPr>
                <w:rFonts w:hint="eastAsia" w:ascii="宋体" w:hAnsi="宋体" w:cs="微软雅黑"/>
                <w:color w:val="auto"/>
                <w:szCs w:val="21"/>
              </w:rPr>
              <w:t>2.</w:t>
            </w:r>
            <w:r>
              <w:rPr>
                <w:rFonts w:ascii="宋体" w:hAnsi="宋体" w:cs="微软雅黑"/>
                <w:color w:val="auto"/>
                <w:szCs w:val="21"/>
              </w:rPr>
              <w:t>自动检测云服务器故障，发生故障时自动迁移，迁移后云服务器的IP/MAC/磁盘等信息不变，保证云服务器的高可用性；</w:t>
            </w:r>
          </w:p>
          <w:p>
            <w:pPr>
              <w:wordWrap w:val="0"/>
              <w:adjustRightInd w:val="0"/>
              <w:snapToGrid w:val="0"/>
              <w:rPr>
                <w:rFonts w:ascii="宋体" w:hAnsi="宋体" w:cs="微软雅黑"/>
                <w:color w:val="auto"/>
                <w:szCs w:val="21"/>
              </w:rPr>
            </w:pPr>
            <w:r>
              <w:rPr>
                <w:rFonts w:hint="eastAsia" w:ascii="宋体" w:hAnsi="宋体" w:cs="微软雅黑"/>
                <w:color w:val="auto"/>
                <w:szCs w:val="21"/>
              </w:rPr>
              <w:t>3.</w:t>
            </w:r>
            <w:r>
              <w:rPr>
                <w:rFonts w:ascii="宋体" w:hAnsi="宋体" w:cs="微软雅黑"/>
                <w:color w:val="auto"/>
                <w:szCs w:val="21"/>
              </w:rPr>
              <w:t>采用自定义防火墙和安全组隔离技术, 有效杜绝IP/MAC欺骗和ARP攻击。能启用防护后可进行端口入侵扫描、挂马扫描、漏洞扫描等，可以有效抗击来自互联网的DDoS及其他安全攻击，保障业务的持续运行；</w:t>
            </w:r>
          </w:p>
          <w:p>
            <w:pPr>
              <w:wordWrap w:val="0"/>
              <w:adjustRightInd w:val="0"/>
              <w:snapToGrid w:val="0"/>
              <w:rPr>
                <w:rFonts w:ascii="宋体" w:hAnsi="宋体" w:cs="微软雅黑"/>
                <w:color w:val="auto"/>
                <w:szCs w:val="21"/>
              </w:rPr>
            </w:pPr>
            <w:r>
              <w:rPr>
                <w:rFonts w:hint="eastAsia" w:ascii="宋体" w:hAnsi="宋体" w:cs="微软雅黑"/>
                <w:color w:val="auto"/>
                <w:szCs w:val="21"/>
              </w:rPr>
              <w:t>4.</w:t>
            </w:r>
            <w:r>
              <w:rPr>
                <w:rFonts w:ascii="宋体" w:hAnsi="宋体" w:cs="微软雅黑"/>
                <w:color w:val="auto"/>
                <w:szCs w:val="21"/>
              </w:rPr>
              <w:t>保证BGP多线（中国电信、联通、移动、教育网等）接入，确保全国用户访问畅通；</w:t>
            </w:r>
          </w:p>
          <w:p>
            <w:pPr>
              <w:wordWrap w:val="0"/>
              <w:adjustRightInd w:val="0"/>
              <w:snapToGrid w:val="0"/>
              <w:rPr>
                <w:rFonts w:ascii="宋体" w:hAnsi="宋体" w:cs="微软雅黑"/>
                <w:color w:val="auto"/>
                <w:szCs w:val="21"/>
              </w:rPr>
            </w:pPr>
            <w:r>
              <w:rPr>
                <w:rFonts w:hint="eastAsia" w:ascii="宋体" w:hAnsi="宋体" w:cs="微软雅黑"/>
                <w:color w:val="auto"/>
                <w:szCs w:val="21"/>
              </w:rPr>
              <w:t>5.</w:t>
            </w:r>
            <w:r>
              <w:rPr>
                <w:rFonts w:ascii="宋体" w:hAnsi="宋体" w:cs="微软雅黑"/>
                <w:color w:val="auto"/>
                <w:szCs w:val="21"/>
              </w:rPr>
              <w:t>自动检测硬件故障，发现故障时可在</w:t>
            </w:r>
            <w:r>
              <w:rPr>
                <w:rFonts w:hint="eastAsia" w:ascii="宋体" w:hAnsi="宋体" w:cs="微软雅黑"/>
                <w:color w:val="auto"/>
                <w:szCs w:val="21"/>
              </w:rPr>
              <w:t>1天</w:t>
            </w:r>
            <w:r>
              <w:rPr>
                <w:rFonts w:ascii="宋体" w:hAnsi="宋体" w:cs="微软雅黑"/>
                <w:color w:val="auto"/>
                <w:szCs w:val="21"/>
              </w:rPr>
              <w:t>内自动恢复故障，磁盘数据不丢失，云服务器的IP/MAC/磁盘等信息不变；</w:t>
            </w:r>
          </w:p>
          <w:p>
            <w:pPr>
              <w:wordWrap w:val="0"/>
              <w:adjustRightInd w:val="0"/>
              <w:snapToGrid w:val="0"/>
              <w:rPr>
                <w:rFonts w:ascii="宋体" w:hAnsi="宋体" w:cs="微软雅黑"/>
                <w:color w:val="auto"/>
                <w:szCs w:val="21"/>
              </w:rPr>
            </w:pPr>
            <w:r>
              <w:rPr>
                <w:rFonts w:hint="eastAsia" w:ascii="宋体" w:hAnsi="宋体" w:cs="微软雅黑"/>
                <w:color w:val="auto"/>
                <w:szCs w:val="21"/>
              </w:rPr>
              <w:t>6.</w:t>
            </w:r>
            <w:r>
              <w:rPr>
                <w:rFonts w:ascii="宋体" w:hAnsi="宋体" w:cs="微软雅黑"/>
                <w:color w:val="auto"/>
                <w:szCs w:val="21"/>
              </w:rPr>
              <w:t>提供磁盘快照，除第一次快照为全量快照外，之后均为增量快照。通过快照可将磁盘设备快速回滚到之前的任一快照版本； </w:t>
            </w:r>
          </w:p>
          <w:p>
            <w:pPr>
              <w:wordWrap w:val="0"/>
              <w:adjustRightInd w:val="0"/>
              <w:snapToGrid w:val="0"/>
              <w:rPr>
                <w:rFonts w:ascii="宋体" w:hAnsi="宋体" w:cs="微软雅黑"/>
                <w:color w:val="auto"/>
                <w:szCs w:val="21"/>
              </w:rPr>
            </w:pPr>
            <w:r>
              <w:rPr>
                <w:rFonts w:ascii="宋体" w:hAnsi="宋体" w:cs="微软雅黑"/>
                <w:b/>
                <w:color w:val="auto"/>
                <w:szCs w:val="21"/>
              </w:rPr>
              <w:t>安全稳定</w:t>
            </w:r>
          </w:p>
          <w:p>
            <w:pPr>
              <w:wordWrap w:val="0"/>
              <w:adjustRightInd w:val="0"/>
              <w:snapToGrid w:val="0"/>
              <w:rPr>
                <w:rFonts w:ascii="宋体" w:hAnsi="宋体" w:cs="微软雅黑"/>
                <w:color w:val="auto"/>
                <w:szCs w:val="21"/>
              </w:rPr>
            </w:pPr>
            <w:r>
              <w:rPr>
                <w:rFonts w:ascii="宋体" w:hAnsi="宋体" w:cs="微软雅黑"/>
                <w:color w:val="auto"/>
                <w:szCs w:val="21"/>
              </w:rPr>
              <w:t xml:space="preserve">    系统</w:t>
            </w:r>
            <w:r>
              <w:rPr>
                <w:rFonts w:hint="eastAsia" w:ascii="宋体" w:hAnsi="宋体" w:cs="微软雅黑"/>
                <w:color w:val="auto"/>
                <w:szCs w:val="21"/>
              </w:rPr>
              <w:t>确保</w:t>
            </w:r>
            <w:r>
              <w:rPr>
                <w:rFonts w:ascii="宋体" w:hAnsi="宋体" w:cs="微软雅黑"/>
                <w:color w:val="auto"/>
                <w:szCs w:val="21"/>
              </w:rPr>
              <w:t>整体的安全稳定性，在大并发访问量下的稳定可靠，具备系统运行监控和数据备份的有效策略和机制。</w:t>
            </w:r>
          </w:p>
          <w:p>
            <w:pPr>
              <w:wordWrap w:val="0"/>
              <w:adjustRightInd w:val="0"/>
              <w:snapToGrid w:val="0"/>
              <w:rPr>
                <w:rFonts w:ascii="宋体" w:hAnsi="宋体" w:cs="微软雅黑"/>
                <w:color w:val="auto"/>
                <w:szCs w:val="21"/>
              </w:rPr>
            </w:pPr>
            <w:r>
              <w:rPr>
                <w:rFonts w:hint="eastAsia" w:ascii="宋体" w:hAnsi="宋体" w:cs="微软雅黑"/>
                <w:color w:val="auto"/>
                <w:szCs w:val="21"/>
              </w:rPr>
              <w:t>1.</w:t>
            </w:r>
            <w:r>
              <w:rPr>
                <w:rFonts w:ascii="宋体" w:hAnsi="宋体" w:cs="微软雅黑"/>
                <w:color w:val="auto"/>
                <w:szCs w:val="21"/>
              </w:rPr>
              <w:t>普通抗压：平台普通应用并发&gt;7000用户；</w:t>
            </w:r>
          </w:p>
          <w:p>
            <w:pPr>
              <w:wordWrap w:val="0"/>
              <w:adjustRightInd w:val="0"/>
              <w:snapToGrid w:val="0"/>
              <w:rPr>
                <w:rFonts w:ascii="宋体" w:hAnsi="宋体" w:cs="微软雅黑"/>
                <w:color w:val="auto"/>
                <w:szCs w:val="21"/>
              </w:rPr>
            </w:pPr>
            <w:r>
              <w:rPr>
                <w:rFonts w:hint="eastAsia" w:ascii="宋体" w:hAnsi="宋体" w:cs="微软雅黑"/>
                <w:color w:val="auto"/>
                <w:szCs w:val="21"/>
              </w:rPr>
              <w:t>2.</w:t>
            </w:r>
            <w:r>
              <w:rPr>
                <w:rFonts w:ascii="宋体" w:hAnsi="宋体" w:cs="微软雅黑"/>
                <w:color w:val="auto"/>
                <w:szCs w:val="21"/>
              </w:rPr>
              <w:t>流媒体抗压：平台支持流媒体并发&gt;6000用户；</w:t>
            </w:r>
          </w:p>
          <w:p>
            <w:pPr>
              <w:wordWrap w:val="0"/>
              <w:adjustRightInd w:val="0"/>
              <w:snapToGrid w:val="0"/>
              <w:rPr>
                <w:rFonts w:ascii="宋体" w:hAnsi="宋体" w:cs="微软雅黑"/>
                <w:color w:val="auto"/>
                <w:szCs w:val="21"/>
              </w:rPr>
            </w:pPr>
            <w:r>
              <w:rPr>
                <w:rFonts w:hint="eastAsia" w:ascii="宋体" w:hAnsi="宋体" w:cs="微软雅黑"/>
                <w:color w:val="auto"/>
                <w:szCs w:val="21"/>
              </w:rPr>
              <w:t>3.</w:t>
            </w:r>
            <w:r>
              <w:rPr>
                <w:rFonts w:ascii="宋体" w:hAnsi="宋体" w:cs="微软雅黑"/>
                <w:color w:val="auto"/>
                <w:szCs w:val="21"/>
              </w:rPr>
              <w:t>整体抗压：多WEB支持</w:t>
            </w:r>
            <w:r>
              <w:rPr>
                <w:rFonts w:hint="eastAsia" w:ascii="宋体" w:hAnsi="宋体" w:cs="微软雅黑"/>
                <w:color w:val="auto"/>
                <w:szCs w:val="21"/>
              </w:rPr>
              <w:t>≥</w:t>
            </w:r>
            <w:r>
              <w:rPr>
                <w:rFonts w:ascii="宋体" w:hAnsi="宋体" w:cs="微软雅黑"/>
                <w:color w:val="auto"/>
                <w:szCs w:val="21"/>
              </w:rPr>
              <w:t>20000用户并发（理论上200万用户）；</w:t>
            </w:r>
          </w:p>
          <w:p>
            <w:pPr>
              <w:wordWrap w:val="0"/>
              <w:adjustRightInd w:val="0"/>
              <w:snapToGrid w:val="0"/>
              <w:rPr>
                <w:rFonts w:ascii="宋体" w:hAnsi="宋体" w:cs="微软雅黑"/>
                <w:color w:val="auto"/>
                <w:szCs w:val="21"/>
              </w:rPr>
            </w:pPr>
            <w:r>
              <w:rPr>
                <w:rFonts w:hint="eastAsia" w:ascii="宋体" w:hAnsi="宋体" w:cs="微软雅黑"/>
                <w:color w:val="auto"/>
                <w:szCs w:val="21"/>
              </w:rPr>
              <w:t>4.</w:t>
            </w:r>
            <w:r>
              <w:rPr>
                <w:rFonts w:ascii="宋体" w:hAnsi="宋体" w:cs="微软雅黑"/>
                <w:color w:val="auto"/>
                <w:szCs w:val="21"/>
              </w:rPr>
              <w:t>升级服务：版本内系统远程自动升级；</w:t>
            </w:r>
          </w:p>
          <w:p>
            <w:pPr>
              <w:wordWrap w:val="0"/>
              <w:adjustRightInd w:val="0"/>
              <w:snapToGrid w:val="0"/>
              <w:rPr>
                <w:rFonts w:ascii="宋体" w:hAnsi="宋体" w:cs="微软雅黑"/>
                <w:color w:val="auto"/>
                <w:szCs w:val="21"/>
              </w:rPr>
            </w:pPr>
            <w:r>
              <w:rPr>
                <w:rFonts w:ascii="宋体" w:hAnsi="宋体" w:cs="微软雅黑"/>
                <w:b/>
                <w:color w:val="auto"/>
                <w:szCs w:val="21"/>
              </w:rPr>
              <w:t>扩展性能</w:t>
            </w:r>
          </w:p>
          <w:p>
            <w:pPr>
              <w:wordWrap w:val="0"/>
              <w:adjustRightInd w:val="0"/>
              <w:snapToGrid w:val="0"/>
              <w:ind w:firstLine="420" w:firstLineChars="200"/>
              <w:rPr>
                <w:rFonts w:ascii="宋体" w:hAnsi="宋体" w:cs="微软雅黑"/>
                <w:color w:val="auto"/>
                <w:szCs w:val="21"/>
              </w:rPr>
            </w:pPr>
            <w:r>
              <w:rPr>
                <w:rFonts w:ascii="宋体" w:hAnsi="宋体" w:cs="微软雅黑"/>
                <w:color w:val="auto"/>
                <w:szCs w:val="21"/>
              </w:rPr>
              <w:t>系统良好的扩展性，提供开放接口，能方便的兼容与其他应用系统的对接。</w:t>
            </w:r>
          </w:p>
          <w:p>
            <w:pPr>
              <w:wordWrap w:val="0"/>
              <w:adjustRightInd w:val="0"/>
              <w:snapToGrid w:val="0"/>
              <w:rPr>
                <w:rFonts w:ascii="宋体" w:hAnsi="宋体" w:cs="微软雅黑"/>
                <w:color w:val="auto"/>
                <w:szCs w:val="21"/>
              </w:rPr>
            </w:pPr>
            <w:r>
              <w:rPr>
                <w:rFonts w:ascii="宋体" w:hAnsi="宋体" w:cs="微软雅黑"/>
                <w:color w:val="auto"/>
                <w:szCs w:val="21"/>
              </w:rPr>
              <w:t>该系统在设计之初需考虑到平台应用发展的客观规律，并且能够提供完善的未来版本与迭代升级服务，从而充分满足各类高校教学一体化环境建设的需求</w:t>
            </w:r>
            <w:r>
              <w:rPr>
                <w:rFonts w:hint="eastAsia" w:ascii="宋体" w:hAnsi="宋体" w:cs="微软雅黑"/>
                <w:color w:val="auto"/>
                <w:szCs w:val="21"/>
              </w:rPr>
              <w:t>。</w:t>
            </w:r>
            <w:r>
              <w:rPr>
                <w:rFonts w:ascii="宋体" w:hAnsi="宋体" w:cs="微软雅黑"/>
                <w:color w:val="auto"/>
                <w:szCs w:val="21"/>
              </w:rPr>
              <w:t> </w:t>
            </w:r>
          </w:p>
          <w:p>
            <w:pPr>
              <w:wordWrap w:val="0"/>
              <w:adjustRightInd w:val="0"/>
              <w:snapToGrid w:val="0"/>
              <w:rPr>
                <w:rFonts w:ascii="宋体" w:hAnsi="宋体" w:cs="微软雅黑"/>
                <w:color w:val="auto"/>
                <w:szCs w:val="21"/>
              </w:rPr>
            </w:pPr>
            <w:r>
              <w:rPr>
                <w:rFonts w:ascii="宋体" w:hAnsi="宋体" w:cs="微软雅黑"/>
                <w:b/>
                <w:color w:val="auto"/>
                <w:szCs w:val="21"/>
              </w:rPr>
              <w:t>其他相关技术参数</w:t>
            </w:r>
          </w:p>
          <w:p>
            <w:pPr>
              <w:wordWrap w:val="0"/>
              <w:adjustRightInd w:val="0"/>
              <w:snapToGrid w:val="0"/>
              <w:rPr>
                <w:rFonts w:ascii="宋体" w:hAnsi="宋体" w:cs="微软雅黑"/>
                <w:color w:val="auto"/>
                <w:szCs w:val="21"/>
              </w:rPr>
            </w:pPr>
            <w:r>
              <w:rPr>
                <w:rFonts w:ascii="宋体" w:hAnsi="宋体" w:cs="微软雅黑"/>
                <w:color w:val="auto"/>
                <w:szCs w:val="21"/>
              </w:rPr>
              <w:t>系统需支持如下具体技术参数：</w:t>
            </w:r>
          </w:p>
          <w:p>
            <w:pPr>
              <w:wordWrap w:val="0"/>
              <w:adjustRightInd w:val="0"/>
              <w:snapToGrid w:val="0"/>
              <w:rPr>
                <w:rFonts w:ascii="宋体" w:hAnsi="宋体" w:cs="微软雅黑"/>
                <w:color w:val="auto"/>
                <w:szCs w:val="21"/>
              </w:rPr>
            </w:pPr>
            <w:r>
              <w:rPr>
                <w:rFonts w:hint="eastAsia" w:ascii="宋体" w:hAnsi="宋体" w:cs="微软雅黑"/>
                <w:color w:val="auto"/>
                <w:szCs w:val="21"/>
              </w:rPr>
              <w:t>1.</w:t>
            </w:r>
            <w:r>
              <w:rPr>
                <w:rFonts w:ascii="宋体" w:hAnsi="宋体" w:cs="微软雅黑"/>
                <w:color w:val="auto"/>
                <w:szCs w:val="21"/>
              </w:rPr>
              <w:t>前端流控系统</w:t>
            </w:r>
            <w:r>
              <w:rPr>
                <w:rFonts w:hint="eastAsia" w:ascii="宋体" w:hAnsi="宋体" w:cs="微软雅黑"/>
                <w:color w:val="auto"/>
                <w:szCs w:val="21"/>
              </w:rPr>
              <w:t>：</w:t>
            </w:r>
            <w:r>
              <w:rPr>
                <w:rFonts w:ascii="宋体" w:hAnsi="宋体" w:cs="微软雅黑"/>
                <w:color w:val="auto"/>
                <w:szCs w:val="21"/>
              </w:rPr>
              <w:t>可提供Gbps级的防DDoS攻击能力</w:t>
            </w:r>
          </w:p>
          <w:p>
            <w:pPr>
              <w:wordWrap w:val="0"/>
              <w:adjustRightInd w:val="0"/>
              <w:snapToGrid w:val="0"/>
              <w:rPr>
                <w:rFonts w:ascii="宋体" w:hAnsi="宋体" w:cs="微软雅黑"/>
                <w:color w:val="auto"/>
                <w:szCs w:val="21"/>
              </w:rPr>
            </w:pPr>
            <w:r>
              <w:rPr>
                <w:rFonts w:hint="eastAsia" w:ascii="宋体" w:hAnsi="宋体" w:cs="微软雅黑"/>
                <w:color w:val="auto"/>
                <w:szCs w:val="21"/>
              </w:rPr>
              <w:t>2.</w:t>
            </w:r>
            <w:r>
              <w:rPr>
                <w:rFonts w:ascii="宋体" w:hAnsi="宋体" w:cs="微软雅黑"/>
                <w:color w:val="auto"/>
                <w:szCs w:val="21"/>
              </w:rPr>
              <w:t>资源存储服务</w:t>
            </w:r>
            <w:r>
              <w:rPr>
                <w:rFonts w:hint="eastAsia" w:ascii="宋体" w:hAnsi="宋体" w:cs="微软雅黑"/>
                <w:color w:val="auto"/>
                <w:szCs w:val="21"/>
              </w:rPr>
              <w:t>：</w:t>
            </w:r>
            <w:r>
              <w:rPr>
                <w:rFonts w:ascii="宋体" w:hAnsi="宋体" w:cs="微软雅黑"/>
                <w:color w:val="auto"/>
                <w:szCs w:val="21"/>
              </w:rPr>
              <w:t>需支持多重冗余备份</w:t>
            </w:r>
            <w:r>
              <w:rPr>
                <w:rFonts w:hint="eastAsia" w:ascii="宋体" w:hAnsi="宋体" w:cs="微软雅黑"/>
                <w:color w:val="auto"/>
                <w:szCs w:val="21"/>
              </w:rPr>
              <w:t>、</w:t>
            </w:r>
            <w:r>
              <w:rPr>
                <w:rFonts w:ascii="宋体" w:hAnsi="宋体" w:cs="微软雅黑"/>
                <w:color w:val="auto"/>
                <w:szCs w:val="21"/>
              </w:rPr>
              <w:t>需支持异地容灾机制</w:t>
            </w:r>
            <w:r>
              <w:rPr>
                <w:rFonts w:hint="eastAsia" w:ascii="宋体" w:hAnsi="宋体" w:cs="微软雅黑"/>
                <w:color w:val="auto"/>
                <w:szCs w:val="21"/>
              </w:rPr>
              <w:t>、</w:t>
            </w:r>
            <w:r>
              <w:rPr>
                <w:rFonts w:ascii="宋体" w:hAnsi="宋体" w:cs="微软雅黑"/>
                <w:color w:val="auto"/>
                <w:szCs w:val="21"/>
              </w:rPr>
              <w:t>提供</w:t>
            </w:r>
            <w:r>
              <w:rPr>
                <w:rFonts w:hint="eastAsia" w:ascii="宋体" w:hAnsi="宋体" w:cs="微软雅黑"/>
                <w:color w:val="auto"/>
                <w:szCs w:val="21"/>
              </w:rPr>
              <w:t>2</w:t>
            </w:r>
            <w:r>
              <w:rPr>
                <w:rFonts w:ascii="宋体" w:hAnsi="宋体" w:cs="微软雅黑"/>
                <w:color w:val="auto"/>
                <w:szCs w:val="21"/>
              </w:rPr>
              <w:t>0T的云端资源存储空间，存储教学相关文件</w:t>
            </w:r>
          </w:p>
          <w:p>
            <w:pPr>
              <w:wordWrap w:val="0"/>
              <w:adjustRightInd w:val="0"/>
              <w:snapToGrid w:val="0"/>
              <w:rPr>
                <w:rFonts w:ascii="宋体" w:hAnsi="宋体" w:cs="微软雅黑"/>
                <w:color w:val="auto"/>
                <w:szCs w:val="21"/>
              </w:rPr>
            </w:pPr>
            <w:r>
              <w:rPr>
                <w:rFonts w:hint="eastAsia" w:ascii="宋体" w:hAnsi="宋体" w:cs="微软雅黑"/>
                <w:color w:val="auto"/>
                <w:szCs w:val="21"/>
              </w:rPr>
              <w:t>3.</w:t>
            </w:r>
            <w:r>
              <w:rPr>
                <w:rFonts w:ascii="宋体" w:hAnsi="宋体" w:cs="微软雅黑"/>
                <w:color w:val="auto"/>
                <w:szCs w:val="21"/>
              </w:rPr>
              <w:t>多媒体处理</w:t>
            </w:r>
            <w:r>
              <w:rPr>
                <w:rFonts w:hint="eastAsia" w:ascii="宋体" w:hAnsi="宋体" w:cs="微软雅黑"/>
                <w:color w:val="auto"/>
                <w:szCs w:val="21"/>
              </w:rPr>
              <w:t>：</w:t>
            </w:r>
            <w:r>
              <w:rPr>
                <w:rFonts w:ascii="宋体" w:hAnsi="宋体" w:cs="微软雅黑"/>
                <w:color w:val="auto"/>
                <w:szCs w:val="21"/>
              </w:rPr>
              <w:t>需支持多种常用音视频格式</w:t>
            </w:r>
            <w:r>
              <w:rPr>
                <w:rFonts w:hint="eastAsia" w:ascii="宋体" w:hAnsi="宋体" w:cs="微软雅黑"/>
                <w:color w:val="auto"/>
                <w:szCs w:val="21"/>
              </w:rPr>
              <w:t>、</w:t>
            </w:r>
            <w:r>
              <w:rPr>
                <w:rFonts w:ascii="宋体" w:hAnsi="宋体" w:cs="微软雅黑"/>
                <w:color w:val="auto"/>
                <w:szCs w:val="21"/>
              </w:rPr>
              <w:t xml:space="preserve"> 需支持H.264,H.265格式</w:t>
            </w:r>
            <w:r>
              <w:rPr>
                <w:rFonts w:hint="eastAsia" w:ascii="宋体" w:hAnsi="宋体" w:cs="微软雅黑"/>
                <w:color w:val="auto"/>
                <w:szCs w:val="21"/>
              </w:rPr>
              <w:t>、</w:t>
            </w:r>
            <w:r>
              <w:rPr>
                <w:rFonts w:ascii="宋体" w:hAnsi="宋体" w:cs="微软雅黑"/>
                <w:color w:val="auto"/>
                <w:szCs w:val="21"/>
              </w:rPr>
              <w:t>需支持多路并行转码</w:t>
            </w:r>
          </w:p>
          <w:p>
            <w:pPr>
              <w:wordWrap w:val="0"/>
              <w:adjustRightInd w:val="0"/>
              <w:snapToGrid w:val="0"/>
              <w:rPr>
                <w:rFonts w:ascii="宋体" w:hAnsi="宋体" w:cs="微软雅黑"/>
                <w:color w:val="auto"/>
                <w:szCs w:val="21"/>
              </w:rPr>
            </w:pPr>
            <w:r>
              <w:rPr>
                <w:rFonts w:hint="eastAsia" w:ascii="宋体" w:hAnsi="宋体" w:cs="微软雅黑"/>
                <w:color w:val="auto"/>
                <w:szCs w:val="21"/>
              </w:rPr>
              <w:t>4.</w:t>
            </w:r>
            <w:r>
              <w:rPr>
                <w:rFonts w:ascii="宋体" w:hAnsi="宋体" w:cs="微软雅黑"/>
                <w:color w:val="auto"/>
                <w:szCs w:val="21"/>
              </w:rPr>
              <w:t>短信服务</w:t>
            </w:r>
            <w:r>
              <w:rPr>
                <w:rFonts w:hint="eastAsia" w:ascii="宋体" w:hAnsi="宋体" w:cs="微软雅黑"/>
                <w:color w:val="auto"/>
                <w:szCs w:val="21"/>
              </w:rPr>
              <w:t>：</w:t>
            </w:r>
            <w:r>
              <w:rPr>
                <w:rFonts w:ascii="宋体" w:hAnsi="宋体" w:cs="微软雅黑"/>
                <w:color w:val="auto"/>
                <w:szCs w:val="21"/>
              </w:rPr>
              <w:t>需支持99%达到率</w:t>
            </w:r>
            <w:r>
              <w:rPr>
                <w:rFonts w:hint="eastAsia" w:ascii="宋体" w:hAnsi="宋体" w:cs="微软雅黑"/>
                <w:color w:val="auto"/>
                <w:szCs w:val="21"/>
              </w:rPr>
              <w:t>、</w:t>
            </w:r>
            <w:r>
              <w:rPr>
                <w:rFonts w:ascii="宋体" w:hAnsi="宋体" w:cs="微软雅黑"/>
                <w:color w:val="auto"/>
                <w:szCs w:val="21"/>
              </w:rPr>
              <w:t>需支持大容量、高并发</w:t>
            </w:r>
          </w:p>
          <w:p>
            <w:pPr>
              <w:wordWrap w:val="0"/>
              <w:adjustRightInd w:val="0"/>
              <w:snapToGrid w:val="0"/>
              <w:rPr>
                <w:rFonts w:ascii="宋体" w:hAnsi="宋体" w:cs="微软雅黑"/>
                <w:color w:val="auto"/>
                <w:szCs w:val="21"/>
              </w:rPr>
            </w:pPr>
            <w:r>
              <w:rPr>
                <w:rFonts w:hint="eastAsia" w:ascii="宋体" w:hAnsi="宋体" w:cs="微软雅黑"/>
                <w:color w:val="auto"/>
                <w:szCs w:val="21"/>
              </w:rPr>
              <w:t>5.</w:t>
            </w:r>
            <w:r>
              <w:rPr>
                <w:rFonts w:ascii="宋体" w:hAnsi="宋体" w:cs="微软雅黑"/>
                <w:color w:val="auto"/>
                <w:szCs w:val="21"/>
              </w:rPr>
              <w:t>内容安全审核服务</w:t>
            </w:r>
            <w:r>
              <w:rPr>
                <w:rFonts w:hint="eastAsia" w:ascii="宋体" w:hAnsi="宋体" w:cs="微软雅黑"/>
                <w:color w:val="auto"/>
                <w:szCs w:val="21"/>
              </w:rPr>
              <w:t>：</w:t>
            </w:r>
            <w:r>
              <w:rPr>
                <w:rFonts w:ascii="宋体" w:hAnsi="宋体" w:cs="微软雅黑"/>
                <w:color w:val="auto"/>
                <w:szCs w:val="21"/>
              </w:rPr>
              <w:t>可提供基本的内容涉恐、涉黄、涉政审核服务</w:t>
            </w:r>
            <w:r>
              <w:rPr>
                <w:rFonts w:hint="eastAsia" w:ascii="宋体" w:hAnsi="宋体" w:cs="微软雅黑"/>
                <w:color w:val="auto"/>
                <w:szCs w:val="21"/>
              </w:rPr>
              <w:t>、</w:t>
            </w:r>
            <w:r>
              <w:rPr>
                <w:rFonts w:ascii="宋体" w:hAnsi="宋体" w:cs="微软雅黑"/>
                <w:color w:val="auto"/>
                <w:szCs w:val="21"/>
              </w:rPr>
              <w:t>可支持文字、图片等内容检测</w:t>
            </w:r>
            <w:r>
              <w:rPr>
                <w:rFonts w:hint="eastAsia" w:ascii="宋体" w:hAnsi="宋体" w:cs="微软雅黑"/>
                <w:color w:val="auto"/>
                <w:szCs w:val="21"/>
              </w:rPr>
              <w:t>、</w:t>
            </w:r>
            <w:r>
              <w:rPr>
                <w:rFonts w:ascii="宋体" w:hAnsi="宋体" w:cs="微软雅黑"/>
                <w:color w:val="auto"/>
                <w:szCs w:val="21"/>
              </w:rPr>
              <w:t>可对用户互动功能，如论坛、聊天等进行审核</w:t>
            </w:r>
          </w:p>
          <w:p>
            <w:pPr>
              <w:wordWrap w:val="0"/>
              <w:adjustRightInd w:val="0"/>
              <w:snapToGrid w:val="0"/>
              <w:ind w:right="1470" w:rightChars="700"/>
              <w:rPr>
                <w:rFonts w:ascii="宋体" w:hAnsi="宋体" w:cs="微软雅黑"/>
                <w:b/>
                <w:color w:val="auto"/>
                <w:kern w:val="0"/>
                <w:szCs w:val="21"/>
              </w:rPr>
            </w:pPr>
            <w:r>
              <w:rPr>
                <w:rFonts w:hint="eastAsia" w:ascii="宋体" w:hAnsi="宋体" w:cs="微软雅黑"/>
                <w:b/>
                <w:color w:val="auto"/>
                <w:kern w:val="0"/>
                <w:szCs w:val="21"/>
              </w:rPr>
              <w:t>二、功能要求</w:t>
            </w:r>
          </w:p>
          <w:p>
            <w:pPr>
              <w:wordWrap w:val="0"/>
              <w:adjustRightInd w:val="0"/>
              <w:snapToGrid w:val="0"/>
              <w:ind w:right="1470" w:rightChars="700"/>
              <w:rPr>
                <w:rFonts w:ascii="宋体" w:hAnsi="宋体" w:cs="微软雅黑"/>
                <w:b/>
                <w:color w:val="auto"/>
                <w:kern w:val="0"/>
                <w:szCs w:val="21"/>
              </w:rPr>
            </w:pPr>
            <w:r>
              <w:rPr>
                <w:rFonts w:hint="eastAsia" w:ascii="宋体" w:hAnsi="宋体" w:cs="微软雅黑"/>
                <w:b/>
                <w:color w:val="auto"/>
                <w:kern w:val="0"/>
                <w:szCs w:val="21"/>
              </w:rPr>
              <w:t>2.1校内在线教学系统-在线课程教学模块</w:t>
            </w:r>
          </w:p>
          <w:p>
            <w:pPr>
              <w:wordWrap w:val="0"/>
              <w:adjustRightInd w:val="0"/>
              <w:snapToGrid w:val="0"/>
              <w:ind w:firstLine="420" w:firstLineChars="200"/>
              <w:rPr>
                <w:rFonts w:ascii="宋体" w:hAnsi="宋体" w:cs="微软雅黑 Light"/>
                <w:color w:val="auto"/>
                <w:szCs w:val="21"/>
              </w:rPr>
            </w:pPr>
            <w:r>
              <w:rPr>
                <w:rFonts w:hint="eastAsia" w:ascii="宋体" w:hAnsi="宋体" w:cs="微软雅黑 Light"/>
                <w:color w:val="auto"/>
                <w:szCs w:val="21"/>
              </w:rPr>
              <w:t>提供各类的线上教学功能和线下课堂的辅助功能，帮助所有课程实现校内线上运行管理，发现、培养和打造线上“金课”、线下“金课”和线上线下混合式“金课”。</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1.支持“一步建课”，老师在移动端或者电脑网页端只需输入课程名即可建课，老师无须提前准备除课程名称之外的任何课程内容，就可以开始在系统中创建课程，降低老师的使用门槛；</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2.支持老师设置课程基本信息，包括名称、学科、学分、学时、课程介绍、教学目标、教学大纲等；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3.每门课程支持专属的课程空间，方便老师进行管理；同时支持老师在PC端和移动端都能管理自己的线上课程；</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4.支持在同一个课程空间管理课程的课前、课中、课后内容，无论是线上教学或线下课堂教学，无须切换至其他平台、其他软件，或其他课程空间，同一门课程的教学数据也需支持同一个课程空间中展示；</w:t>
            </w:r>
          </w:p>
          <w:p>
            <w:pPr>
              <w:wordWrap w:val="0"/>
              <w:adjustRightInd w:val="0"/>
              <w:snapToGrid w:val="0"/>
              <w:rPr>
                <w:rFonts w:ascii="宋体" w:hAnsi="宋体" w:cs="微软雅黑 Light"/>
                <w:color w:val="auto"/>
                <w:szCs w:val="21"/>
              </w:rPr>
            </w:pPr>
            <w:r>
              <w:rPr>
                <w:rFonts w:hint="eastAsia" w:ascii="宋体" w:hAnsi="宋体" w:eastAsia="微软雅黑" w:cs="宋体"/>
                <w:color w:val="auto"/>
                <w:sz w:val="24"/>
                <w:szCs w:val="21"/>
              </w:rPr>
              <w:t>★</w:t>
            </w:r>
            <w:r>
              <w:rPr>
                <w:rFonts w:hint="eastAsia" w:ascii="宋体" w:hAnsi="宋体" w:cs="微软雅黑 Light"/>
                <w:color w:val="auto"/>
                <w:szCs w:val="21"/>
              </w:rPr>
              <w:t>5.支持多种教学资源上传，不限定教学内容必须有视频资源，降低使用门槛。</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6.支持按进阶式教学创建课程结构，也支持按教学阶段（按周）创建课程结构，促进以学生学习为中心的教学方法形成；</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7.支持建课时引用现成的视频课程资源，支持从多门现成的视频课程中，随意组合，建设校内在线课程。</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8.教学内容可支持多种文件类型，包括视频（.mp4，.mov等），图片（.jpg, .png等），课件（.ppt, .pptx等）,文本文件（.txt, .doc, .docx等），数据表格（.xls, .xlsx等），压缩包（.zip, .rar等），音频文件（.mp3等），数据文件（.dat等）；所有文件支持可在线下载；支持上传不超过2G大小的文件；教学内容支持网页链接的形式；</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9.支持在线查看常用类型文件，如视频、音频、图片等，文件格式至少包含如下格式：.mp4,  .jpg,  .png,  .mp3,  .txt,  .pdf,  .ppt,  .pptx,  .xls,  .xlsx,  .doc,  .docx等；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10.支持不同的教学内容设置不同的教学目的，包括必学/选学，学习要求等；老师可设置是否允许学生下载，保证老师内容版权；</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11.支持教学内容随建随学，老师可以先上传准备，然后再发布，只有发布后，学生才能查看学习；</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12.支持任务式教学，老师可以具体安排任务让学生完成；统计学生是否查看任务，以便老师督促；支持师生、生生在任务下互动评论，协作学习；</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13.支持线上作业功能，老师可以通过电脑端或者移动端在线上布置作业、督促提交作业、批阅作业和参与和学生在作业问题上的互动，学生也可以通过电脑端或者移动端在线上查看作业、做作业、提交作业和参与作业问题互动；</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14.移动端需支持老师通过拍照和语音布置作业，支持学生通过拍照和语音提交作业；支持老师通过语音对作业进行评价，支持老师批阅主观题作业时上传附件；老师可以通过web端查看作业分析，观察成绩分布图等作业相关数据统计分析；</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15.支持老师布置作业从题库中选题，支持单选、多选、填空、问答等题型；</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16.支持WORD版本的题库批量导入模板，并可以进行在线修改；</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17.支持线上考试功能，帮助老师在线上完成学生学习成果的测评；支持老师创建线上/线下考试、批阅考试试卷，同时支持线下考试成绩录回平台；支持学生可以通过电脑端或移动端在线上查看考试、提交考试试卷；移动端支持学生通过拍照片、视频和语音提交回答；支持老师通过语音、视频、图片、拍照、附件等形式进行试卷评价；</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18.支持在线作业/考试的数据统计分析，方便老师对学生学习成果检验有更精准地分析；支持查看成绩分布图，清楚了解成绩分布曲线是否为正态分布；支持作业/考试的试题分析，对于客观题，支持查看每一道题目的得分率、每个选项的选择人数情况、易错选项和学生答题情况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19.支持在线灵活设置课程学习成绩权重，老师可以在网页端设置各类成绩权重占比，其中包括考勤成绩、平时成绩（学习进度+互动表现）、作业成绩、考试成绩等；支持查看学生参与的所有活动情况；成绩权重占比设置后，即可查看当前权重下学生具体的成绩得分，同时支持老师手动修改成绩；学生可以通过电脑端或移动端，在线上实时查看所参与的教学活动情况以及当前得分排名，同时支持查看与昨日对比排名是否前进；支持老师随时发布成绩，发布成绩后学生可查看最终成绩端；</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20.支持问答形式的课程互动模块，支持老师与学生的互动、学生与学生的互动；支持老师或者学生提问、回答、评论、点赞以及围观等问答互动；平台问答互动模块需支持敏感词审核制度，可以自动屏蔽敏感词，同时支持老师自主删除课程问答来管理互动模块；</w:t>
            </w:r>
            <w:r>
              <w:rPr>
                <w:rFonts w:ascii="宋体" w:hAnsi="宋体" w:cs="微软雅黑 Light"/>
                <w:color w:val="auto"/>
                <w:szCs w:val="21"/>
              </w:rPr>
              <w:t xml:space="preserve"> </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21.支持多种学生选课方式，包括通过课程号或者二维码主动选课、老师自主邀请、学生名单统一导入或者教务系统数据同步自动导入选课数据；</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22课程支持多个教学班，老师可以对教学班进行自主管理，包括调班、退课等；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23.支持老师设置入班人员审核，保证只有选课学生能参与到日常课程教学过程中或者自由开放给任何人参与教学；</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24.支持群聊的功能，增强师生、生生的线上互动；群聊功能需支持发送文字、语音、图片、@所有人等基本互动功能；平台群聊文字需支持敏感词审核制度，可以自动屏蔽敏感词；</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25.群聊支持群文件功能，用于临时文件的存储，方便老师随时将外部资源跟同学分享；群文件支持存储文件、图片以及网络连接；</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26.支持老师从第三方客户端直接分享文件及链接至课程群聊，并能够直接打开分享的文件或者链接；</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27.支持≥</w:t>
            </w:r>
            <w:r>
              <w:rPr>
                <w:rFonts w:ascii="宋体" w:hAnsi="宋体" w:cs="微软雅黑 Light"/>
                <w:color w:val="auto"/>
                <w:szCs w:val="21"/>
              </w:rPr>
              <w:t>1</w:t>
            </w:r>
            <w:r>
              <w:rPr>
                <w:rFonts w:hint="eastAsia" w:ascii="宋体" w:hAnsi="宋体" w:cs="微软雅黑 Light"/>
                <w:color w:val="auto"/>
                <w:szCs w:val="21"/>
              </w:rPr>
              <w:t>个老师组成教学团队，协调管理课程；支持助教设置，协助老师管理课程教学；</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28.支持个人教学资源库的功能，老师可以统一管理全部课程的教学资源；支持老师在个人教学资源库中上传各类教学资源；支持老师在新建课程时，直接从个人教学资源库引用教学内容；支持对于个人资源库的整体分析，包括存储空间分析、文件个数分析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29.支持题库管理，协助老师管理用于各类考核的题目；支持单选、多选、判断、填空、问答等多类基本题型；支持与课程、教学内容挂钩；</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30.支持课程教学成果展示主页，提升校内线上“金课”的影响力；主页上需要课程基本信息、教学目的、教学计划、课程教学内容、课程资源、互动信息、运行数据统计等；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31支持课程建设数据统计，老师可以查看本门课程的学生数、资料数、任务数、作业数、课程内容构成成分等，详细了解课程建设的整体概况；</w:t>
            </w:r>
          </w:p>
          <w:p>
            <w:pPr>
              <w:wordWrap w:val="0"/>
              <w:adjustRightInd w:val="0"/>
              <w:snapToGrid w:val="0"/>
              <w:rPr>
                <w:rFonts w:hint="eastAsia" w:ascii="宋体" w:hAnsi="宋体" w:cs="微软雅黑 Light"/>
                <w:color w:val="auto"/>
                <w:szCs w:val="21"/>
              </w:rPr>
            </w:pPr>
            <w:r>
              <w:rPr>
                <w:rFonts w:hint="eastAsia" w:ascii="宋体" w:hAnsi="宋体" w:cs="微软雅黑 Light"/>
                <w:color w:val="auto"/>
                <w:szCs w:val="21"/>
              </w:rPr>
              <w:t>32.支持课程运行的学情数据统计分析，老师可以查看本门课程资源的学生查看和下载情况，任务的查看情况，作业的完成情况等；</w:t>
            </w:r>
          </w:p>
          <w:p>
            <w:pPr>
              <w:widowControl w:val="0"/>
              <w:wordWrap w:val="0"/>
              <w:spacing w:line="380" w:lineRule="exact"/>
              <w:jc w:val="both"/>
              <w:rPr>
                <w:rFonts w:ascii="Times New Roman" w:hAnsi="Times New Roman" w:eastAsia="宋体" w:cs="Times New Roman"/>
                <w:color w:val="auto"/>
                <w:kern w:val="0"/>
                <w:sz w:val="24"/>
                <w:szCs w:val="24"/>
                <w:lang w:val="en-US" w:eastAsia="zh-CN" w:bidi="ar-SA"/>
              </w:rPr>
            </w:pPr>
          </w:p>
          <w:p>
            <w:pPr>
              <w:wordWrap w:val="0"/>
              <w:adjustRightInd w:val="0"/>
              <w:snapToGrid w:val="0"/>
              <w:ind w:right="1470" w:rightChars="700"/>
              <w:rPr>
                <w:rFonts w:ascii="宋体" w:hAnsi="宋体" w:cs="微软雅黑 Light"/>
                <w:b/>
                <w:color w:val="auto"/>
                <w:kern w:val="0"/>
                <w:szCs w:val="21"/>
              </w:rPr>
            </w:pPr>
            <w:r>
              <w:rPr>
                <w:rFonts w:hint="eastAsia" w:ascii="宋体" w:hAnsi="宋体" w:cs="微软雅黑 Light"/>
                <w:b/>
                <w:color w:val="auto"/>
                <w:kern w:val="0"/>
                <w:szCs w:val="21"/>
              </w:rPr>
              <w:t>线下课堂教学工具</w:t>
            </w:r>
          </w:p>
          <w:p>
            <w:pPr>
              <w:wordWrap w:val="0"/>
              <w:adjustRightInd w:val="0"/>
              <w:snapToGrid w:val="0"/>
              <w:ind w:firstLine="315" w:firstLineChars="150"/>
              <w:rPr>
                <w:rFonts w:ascii="宋体" w:hAnsi="宋体" w:cs="微软雅黑 Light"/>
                <w:color w:val="auto"/>
                <w:szCs w:val="21"/>
              </w:rPr>
            </w:pPr>
            <w:r>
              <w:rPr>
                <w:rFonts w:hint="eastAsia" w:ascii="宋体" w:hAnsi="宋体" w:cs="微软雅黑 Light"/>
                <w:color w:val="auto"/>
                <w:szCs w:val="21"/>
              </w:rPr>
              <w:t>提供多样的课堂工具，辅助打造线下“金课”</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1.支持老师可以通过只在平台上建设一门课程，就可以关联和管理该门课程的所有线下课堂教学活动和线上教学活动；</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2.支持老师通过网页端或者移动端来组织课程中的多个教学班级开展课堂教学活动；</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支持课堂签到功能，提高老师点名的效率；支持按地理位置签到，可设定签到时长和签到范围，超出范围或者逾时的学生不允许签到；支持按固定手势图形签到；支持签到出勤率统计，以及详细信息导出（如已签到人数、未签到人数、出勤率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支持课堂投票功能，提高课堂互动性；题目类型支持单选、多选、判断题，题目支持图文结合，可设置正确答案；支持匿名投票；投票结果实时查看，可查看具体的选项选择比例和选择人，设置正确答案的，还可以查看题目的正确率和具体参与人的对错结果；</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5.持有颜色区分的投票卡，学生可以通过选择投票卡来投票，老师通过投票卡的颜色区分投票结果，用于课堂上发起快速投票，活跃课堂氛围；</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6.支持随机点名功能，帮助学生集中注意力；支持设置随机点名人数；</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7.支持课堂抢答功能，支持设置抢答人数，增加筛选概率；</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8.支持课堂提问功能，帮助老师在不打断教学节奏的情况下，也能收集学生问题，用于课后统一解答；支持学生发起新问题，由老师最终批复；课堂上没有解决的问题，可以转移到课后问答区域，继续线上讨论；</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9.支持课堂话题讨论功能，帮助老师在课堂教学过程中，快速发起话题讨论，学生发表各自独立的观点，快速提取关键点，进行归纳总结；支持老师通过语音、拍照、照片和添加附件的方式快速完成话题讨论的创建；支持学生参与话题讨论，参与方式支持文字、语音、拍照、照片、文件；支持学生为他人的讨论内容点赞；支持老师查看所有回答的词云，按照热度排序滚动查看学生的讨论观点中高频热词；</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10.支持老师在课堂上发送课堂资料给学生，辅助学生课堂上的深入学习；</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11.支持老师通过网页端展示课堂教学资料（含P</w:t>
            </w:r>
            <w:r>
              <w:rPr>
                <w:rFonts w:ascii="宋体" w:hAnsi="宋体" w:cs="微软雅黑 Light"/>
                <w:color w:val="auto"/>
                <w:szCs w:val="21"/>
              </w:rPr>
              <w:t>PT</w:t>
            </w:r>
            <w:r>
              <w:rPr>
                <w:rFonts w:hint="eastAsia" w:ascii="宋体" w:hAnsi="宋体" w:cs="微软雅黑 Light"/>
                <w:color w:val="auto"/>
                <w:szCs w:val="21"/>
              </w:rPr>
              <w:t>、word、excel等），无须提前把资料拷贝到教师的电脑中；</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12.支持线下课堂互动报告，包括上课时间、签到率、课堂互动活动统计、每个学生参与互动的统计，课堂资料统计等，方便老师总结分析课堂情况</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13.支持老师下载课堂报告，汇总数据线下课堂的数据；下载的数据包括每个学生整体的课堂学习情况，以及每一次的出勤率、互动情况等、具体的互动记录包括投票、随机点名、抢答、课堂提问等。</w:t>
            </w:r>
          </w:p>
          <w:p>
            <w:pPr>
              <w:widowControl/>
              <w:wordWrap w:val="0"/>
              <w:adjustRightInd w:val="0"/>
              <w:snapToGrid w:val="0"/>
              <w:jc w:val="left"/>
              <w:rPr>
                <w:rFonts w:ascii="宋体" w:hAnsi="宋体" w:cs="微软雅黑 Light"/>
                <w:color w:val="auto"/>
                <w:kern w:val="0"/>
                <w:szCs w:val="21"/>
              </w:rPr>
            </w:pPr>
            <w:r>
              <w:rPr>
                <w:rFonts w:hint="eastAsia" w:ascii="宋体" w:hAnsi="宋体" w:cs="微软雅黑 Light"/>
                <w:color w:val="auto"/>
                <w:kern w:val="0"/>
                <w:szCs w:val="21"/>
              </w:rPr>
              <w:t>14.支持老师教学可以不局限于站在教室电脑前使用课堂工具和播放PPT，可以使用移动端遥控课堂教学PPT、视频和音频等教学资料在电脑大屏幕上显示或播放，也可以使用移动端遥控相应的课堂工具在教师电脑大屏幕上显示，如签到、投票、点名、抢答等；使用移动端支持PPT投屏和课堂工具遥控的功能，不需要强求在电脑上安装任何插件，或者在教室中安装额外硬件设备；专属投屏网站，方便老师快速开启课堂投屏；</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15.所有课堂互动功能需支持在手机移动端和网页端全部完成，不强求一定要在教室电脑上安装额外插件；</w:t>
            </w:r>
          </w:p>
          <w:p>
            <w:pPr>
              <w:wordWrap w:val="0"/>
              <w:adjustRightInd w:val="0"/>
              <w:snapToGrid w:val="0"/>
              <w:rPr>
                <w:rFonts w:hint="eastAsia" w:ascii="宋体" w:hAnsi="宋体" w:cs="微软雅黑 Light"/>
                <w:color w:val="auto"/>
                <w:szCs w:val="21"/>
              </w:rPr>
            </w:pPr>
            <w:r>
              <w:rPr>
                <w:rFonts w:hint="eastAsia" w:ascii="宋体" w:hAnsi="宋体" w:cs="微软雅黑 Light"/>
                <w:color w:val="auto"/>
                <w:szCs w:val="21"/>
              </w:rPr>
              <w:t>16.支持学生在不下载App的情况下，通过微信小程序扫描见面课二维码或在小程序内搜索课程号快速加入老师的课堂；</w:t>
            </w:r>
          </w:p>
          <w:p>
            <w:pPr>
              <w:widowControl w:val="0"/>
              <w:wordWrap w:val="0"/>
              <w:spacing w:line="380" w:lineRule="exact"/>
              <w:jc w:val="both"/>
              <w:rPr>
                <w:rFonts w:ascii="Times New Roman" w:hAnsi="Times New Roman" w:eastAsia="宋体" w:cs="Times New Roman"/>
                <w:color w:val="auto"/>
                <w:kern w:val="0"/>
                <w:sz w:val="24"/>
                <w:szCs w:val="24"/>
                <w:lang w:val="en-US" w:eastAsia="zh-CN" w:bidi="ar-SA"/>
              </w:rPr>
            </w:pPr>
          </w:p>
          <w:p>
            <w:pPr>
              <w:wordWrap w:val="0"/>
              <w:adjustRightInd w:val="0"/>
              <w:snapToGrid w:val="0"/>
              <w:ind w:right="1470" w:rightChars="700"/>
              <w:rPr>
                <w:rFonts w:ascii="宋体" w:hAnsi="宋体" w:cs="微软雅黑 Light"/>
                <w:b/>
                <w:color w:val="auto"/>
                <w:kern w:val="0"/>
                <w:szCs w:val="21"/>
              </w:rPr>
            </w:pPr>
            <w:r>
              <w:rPr>
                <w:rFonts w:hint="eastAsia" w:ascii="宋体" w:hAnsi="宋体" w:cs="微软雅黑 Light"/>
                <w:b/>
                <w:color w:val="auto"/>
                <w:kern w:val="0"/>
                <w:szCs w:val="21"/>
              </w:rPr>
              <w:t>在线直播虚拟课程</w:t>
            </w:r>
          </w:p>
          <w:p>
            <w:pPr>
              <w:wordWrap w:val="0"/>
              <w:adjustRightInd w:val="0"/>
              <w:snapToGrid w:val="0"/>
              <w:ind w:firstLine="420" w:firstLineChars="200"/>
              <w:rPr>
                <w:rFonts w:ascii="宋体" w:hAnsi="宋体" w:cs="微软雅黑 Light"/>
                <w:color w:val="auto"/>
                <w:szCs w:val="21"/>
              </w:rPr>
            </w:pPr>
            <w:r>
              <w:rPr>
                <w:rFonts w:hint="eastAsia" w:ascii="宋体" w:hAnsi="宋体" w:cs="微软雅黑 Light"/>
                <w:color w:val="auto"/>
                <w:szCs w:val="21"/>
              </w:rPr>
              <w:t>在线虚拟课堂将会是教学组织的一种必不可少的形式，老师可以通过互联网在线上开展课堂教学，模拟线下教学场景。</w:t>
            </w:r>
          </w:p>
          <w:p>
            <w:pPr>
              <w:wordWrap w:val="0"/>
              <w:adjustRightInd w:val="0"/>
              <w:snapToGrid w:val="0"/>
              <w:rPr>
                <w:rFonts w:ascii="宋体" w:hAnsi="宋体" w:cs="微软雅黑 Light"/>
                <w:color w:val="auto"/>
                <w:szCs w:val="21"/>
              </w:rPr>
            </w:pPr>
            <w:r>
              <w:rPr>
                <w:rFonts w:hint="eastAsia" w:ascii="宋体" w:hAnsi="宋体" w:eastAsia="微软雅黑" w:cs="宋体"/>
                <w:color w:val="auto"/>
                <w:sz w:val="24"/>
                <w:szCs w:val="21"/>
              </w:rPr>
              <w:t>★</w:t>
            </w:r>
            <w:r>
              <w:rPr>
                <w:rFonts w:hint="eastAsia" w:ascii="宋体" w:hAnsi="宋体" w:cs="微软雅黑 Light"/>
                <w:color w:val="auto"/>
                <w:szCs w:val="21"/>
              </w:rPr>
              <w:t>1.支持老师开展线上直播教学，老师可以通过语音完成远程授课，当需要学生参与课堂互动时，可以选择≥1个学生语音加入课堂互动；学生也可以举手，示意老师需要加入课堂互动；老师可以实时看到自己的麦克风音量，并调换麦克风设备；</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2.支持老师在直播课堂中分享课件，课件类型可以是PPT、视频、音频等各类文件，学生可以在移动端看到老师的分享；当老师分享PPT时，老师端和学生端保持同步翻页；</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3.支持老师在直播课堂中通过签到、投票、课堂答疑、随机点名、抢答、头脑风暴等教学活动与学生进行线上互动，学生的互动信息可实时反馈给老师；</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支持当老师在线点名到某位学生时，可以直接打开学生的麦克风，邀请学生回答问题；当老师邀请学生回答问题并打开学生麦克风时，为保护学生隐私，学生同意后才可加入连线；学生可自行静音或者结束语音互动；</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5.支持在线直播过程中，老师可以实时查看学生的在线情况，并支持手动刷新学生的在线状态，监控出勤率；</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6.支持老师进行在线直播课堂教学，不需要在电脑本地或者浏览器上安装任何插件，只需使用浏览器即可。支持Windows和Mac，浏览器需支持Chrome，Firefox等主流浏览器；</w:t>
            </w:r>
          </w:p>
          <w:p>
            <w:pPr>
              <w:wordWrap w:val="0"/>
              <w:adjustRightInd w:val="0"/>
              <w:snapToGrid w:val="0"/>
              <w:ind w:right="1470" w:rightChars="700"/>
              <w:rPr>
                <w:rFonts w:ascii="宋体" w:hAnsi="宋体" w:cs="微软雅黑 Light"/>
                <w:b/>
                <w:color w:val="auto"/>
                <w:kern w:val="0"/>
                <w:szCs w:val="21"/>
              </w:rPr>
            </w:pPr>
            <w:r>
              <w:rPr>
                <w:rFonts w:hint="eastAsia" w:ascii="宋体" w:hAnsi="宋体" w:cs="微软雅黑 Light"/>
                <w:b/>
                <w:color w:val="auto"/>
                <w:kern w:val="0"/>
                <w:szCs w:val="21"/>
              </w:rPr>
              <w:t>2.2移动教学管理系统</w:t>
            </w:r>
          </w:p>
          <w:p>
            <w:pPr>
              <w:wordWrap w:val="0"/>
              <w:adjustRightInd w:val="0"/>
              <w:snapToGrid w:val="0"/>
              <w:ind w:firstLine="420" w:firstLineChars="200"/>
              <w:rPr>
                <w:rFonts w:ascii="宋体" w:hAnsi="宋体" w:cs="微软雅黑 Light"/>
                <w:color w:val="auto"/>
                <w:szCs w:val="21"/>
              </w:rPr>
            </w:pPr>
            <w:r>
              <w:rPr>
                <w:rFonts w:hint="eastAsia" w:ascii="宋体" w:hAnsi="宋体" w:cs="微软雅黑 Light"/>
                <w:color w:val="auto"/>
                <w:szCs w:val="21"/>
              </w:rPr>
              <w:t>针对学生、教师、教学管理者三类用户人群的不同用户角色，需要设计专属的移动端App。</w:t>
            </w:r>
          </w:p>
          <w:p>
            <w:pPr>
              <w:wordWrap w:val="0"/>
              <w:adjustRightInd w:val="0"/>
              <w:snapToGrid w:val="0"/>
              <w:rPr>
                <w:rFonts w:ascii="宋体" w:hAnsi="宋体" w:cs="微软雅黑 Light"/>
                <w:b/>
                <w:color w:val="auto"/>
                <w:szCs w:val="21"/>
              </w:rPr>
            </w:pPr>
            <w:r>
              <w:rPr>
                <w:rFonts w:hint="eastAsia" w:ascii="宋体" w:hAnsi="宋体" w:cs="微软雅黑 Light"/>
                <w:b/>
                <w:color w:val="auto"/>
                <w:szCs w:val="21"/>
              </w:rPr>
              <w:t>支持学生学习专属的App</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支持线上学习学校提供的所有课程，包括学校引进的跨校课程资源，以及本校的校内在线课程；支持在线观看视频、学习课程资料、课程资料下载、线上问答互动、在线提交作业、在线查看教学任务、获取教务通知、考试、查看成绩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2.支持学习已完成的课程，为学生提供终身学习服务，结业后也可观看视频、重温知识点；</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3.支持观看学校引进的跨校课程的直播课堂，参与课堂互动，学生可以发弹幕、投票、点赞、提问，全方面体验混合式教学；</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4.可提供给学生除了学校课程以外的学习内容进行学习，内容需形式多样（含视频课程、直播课、音频内容、电子书等；</w:t>
            </w:r>
          </w:p>
          <w:p>
            <w:pPr>
              <w:wordWrap w:val="0"/>
              <w:adjustRightInd w:val="0"/>
              <w:snapToGrid w:val="0"/>
              <w:rPr>
                <w:rFonts w:ascii="宋体" w:hAnsi="宋体" w:cs="微软雅黑 Light"/>
                <w:b/>
                <w:color w:val="auto"/>
                <w:szCs w:val="21"/>
              </w:rPr>
            </w:pPr>
            <w:r>
              <w:rPr>
                <w:rFonts w:hint="eastAsia" w:ascii="宋体" w:hAnsi="宋体" w:cs="微软雅黑 Light"/>
                <w:b/>
                <w:color w:val="auto"/>
                <w:szCs w:val="21"/>
              </w:rPr>
              <w:t>支持教师教学专属的App</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1.支持老师管理平台各种类型的课程，包括老师对外跨校共享的在线课程，以及老师自建的校内课程；</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2.支持完成线上线下混合式教学，包括建设对外跨校共享的课程或校内课程、上传学习资料、发布教学任务、发布作业、督促学习进度、参与课程互动、观看教学数据统计等；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3.支持老师使用课堂工具进行课堂互动教学，包括上课/下课统计课堂数据、签到、投票、随机点名、抢答、课堂提问等；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4.支持根据老师教学经历的徽章登记，鼓励老师持续开展线上教学。</w:t>
            </w:r>
          </w:p>
          <w:p>
            <w:pPr>
              <w:wordWrap w:val="0"/>
              <w:adjustRightInd w:val="0"/>
              <w:snapToGrid w:val="0"/>
              <w:rPr>
                <w:rFonts w:ascii="宋体" w:hAnsi="宋体" w:cs="微软雅黑 Light"/>
                <w:b/>
                <w:color w:val="auto"/>
                <w:szCs w:val="21"/>
              </w:rPr>
            </w:pPr>
            <w:r>
              <w:rPr>
                <w:rFonts w:hint="eastAsia" w:ascii="宋体" w:hAnsi="宋体" w:cs="微软雅黑 Light"/>
                <w:b/>
                <w:color w:val="auto"/>
                <w:szCs w:val="21"/>
              </w:rPr>
              <w:t>支持学校管理者专属的App</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1.支持专属的管理者工作主页，管理事务集中显示，提升工作效率，看学校主页，随时掌握平台的运行情况，如建课情况、教学运行情况、师生活跃情况，了解课程与师生动态；</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2.支持观看平台上的共享课程信息，帮助学校引入课程资源</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3.支持查看学校学情报告，随时看到本校引入和输出课程的选课与建课报告；数据内容需包含课程、教师、学生等多方位纵横向对比，了解教学实况；</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4.支持查看年度全国大数据报告，汇总全国高校的共享选课数据，及时了解全国在线课程的趋势； </w:t>
            </w:r>
          </w:p>
          <w:p>
            <w:pPr>
              <w:wordWrap w:val="0"/>
              <w:adjustRightInd w:val="0"/>
              <w:snapToGrid w:val="0"/>
              <w:ind w:right="1470" w:rightChars="700"/>
              <w:rPr>
                <w:rFonts w:ascii="宋体" w:hAnsi="宋体" w:cs="微软雅黑"/>
                <w:b/>
                <w:color w:val="auto"/>
                <w:kern w:val="0"/>
                <w:szCs w:val="21"/>
              </w:rPr>
            </w:pPr>
            <w:r>
              <w:rPr>
                <w:rFonts w:hint="eastAsia" w:ascii="宋体" w:hAnsi="宋体" w:cs="微软雅黑"/>
                <w:b/>
                <w:color w:val="auto"/>
                <w:kern w:val="0"/>
                <w:szCs w:val="21"/>
              </w:rPr>
              <w:t>2.3跨校网络教学资源共享系统</w:t>
            </w:r>
          </w:p>
          <w:p>
            <w:pPr>
              <w:wordWrap w:val="0"/>
              <w:adjustRightInd w:val="0"/>
              <w:snapToGrid w:val="0"/>
              <w:ind w:right="1470" w:rightChars="700"/>
              <w:rPr>
                <w:rFonts w:ascii="宋体" w:hAnsi="宋体" w:cs="微软雅黑"/>
                <w:b/>
                <w:color w:val="auto"/>
                <w:kern w:val="0"/>
                <w:szCs w:val="21"/>
              </w:rPr>
            </w:pPr>
            <w:r>
              <w:rPr>
                <w:rFonts w:hint="eastAsia" w:ascii="宋体" w:hAnsi="宋体" w:cs="微软雅黑"/>
                <w:b/>
                <w:color w:val="auto"/>
                <w:kern w:val="0"/>
                <w:szCs w:val="21"/>
              </w:rPr>
              <w:t>外校优质在线开放课程引入模块</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1.提供不低于3000门共享课资源，包含各种类型，如：思政类、军事类、创新创业类等，除了通识教育类课程，还包含不低于1</w:t>
            </w:r>
            <w:r>
              <w:rPr>
                <w:rFonts w:ascii="宋体" w:hAnsi="宋体" w:cs="微软雅黑 Light"/>
                <w:color w:val="auto"/>
                <w:szCs w:val="21"/>
              </w:rPr>
              <w:t>000</w:t>
            </w:r>
            <w:r>
              <w:rPr>
                <w:rFonts w:hint="eastAsia" w:ascii="宋体" w:hAnsi="宋体" w:cs="微软雅黑 Light"/>
                <w:color w:val="auto"/>
                <w:szCs w:val="21"/>
              </w:rPr>
              <w:t>门的专业类课程，涵盖经济类、法律类、理工类、医学类、文学类、艺术类、生物类、化学类、教育类等；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 xml:space="preserve"> 2.所提供课程是基于教学运行在线平台的全日制授课过程；</w:t>
            </w:r>
          </w:p>
          <w:p>
            <w:pPr>
              <w:wordWrap w:val="0"/>
              <w:adjustRightInd w:val="0"/>
              <w:snapToGrid w:val="0"/>
              <w:rPr>
                <w:rFonts w:ascii="宋体" w:hAnsi="宋体" w:cs="微软雅黑 Light"/>
                <w:color w:val="auto"/>
                <w:szCs w:val="21"/>
              </w:rPr>
            </w:pPr>
            <w:r>
              <w:rPr>
                <w:rFonts w:hint="eastAsia" w:ascii="宋体" w:hAnsi="宋体" w:eastAsia="微软雅黑" w:cs="宋体"/>
                <w:color w:val="auto"/>
                <w:sz w:val="24"/>
                <w:szCs w:val="21"/>
              </w:rPr>
              <w:t>★</w:t>
            </w:r>
            <w:r>
              <w:rPr>
                <w:rFonts w:hint="eastAsia" w:ascii="宋体" w:hAnsi="宋体" w:cs="微软雅黑 Light"/>
                <w:color w:val="auto"/>
                <w:szCs w:val="21"/>
              </w:rPr>
              <w:t>3.提供不少于50门已认定的国家级精品在线开放课程优质共享课资源可供引入；</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 xml:space="preserve"> 4.支持自定义引入模式，可选择整门课程直接引入，也可作为资源部分引入。</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5.支持自定义课程运行模式，如纯在线，学生只需完成在线部分教学即可；</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6.支持混合式教学模式，可以选择参加见面课，安排学生统一参加直播课，若无法参与直播课的学生可选择回看直播视频，完成学习过程；</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7.支持自定义成绩规则，即可选择和供课学校一样的算分模式，也可根据学校实际情况重新定制算分规则，更符合本校学生学习习惯。</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8.课程成绩评价体系中支持基于学生线上有效互动的评价指标，鼓励学生进行有效的、持续的线上互动、日常教学事务问答等，且不能指定固定的互动数量指标使学生能够短时间内集中完成；</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9.支持选课模式，可以通过数据联动直接对接选课数据；也可以选择提供教务系统的选课数据，导入平台；还可设置选课学生范围，根据年级、专业等维度，设置选课条件让学生自行网上选课，让学生能基于兴趣选择更多的课程；</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10.支持自定义考试试卷，如果引入课程配套的考试试卷无法满足本校学生的考核要求，允许为本校选课学生自定义考试试卷，适应本校的考核体系；</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11.支持对引入的课程自由选择是线上考试还是线下考试，方便学校根据引入课程情况自行选择考试方式；线上考试需支持随机验证码的功能，学生参与考试前需输入验证码，避免机器替考；线下考试需提供独立的考试客户端；</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12.课程引入后，支持随时查看选课详情；支持添加老师、班级与学生，支持批量调班和删除学生的操作；</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13.支持导出引入的课程成绩，可以选择导出pdf或excel格式，帮助教务处及时了解学生成绩，若是已经完成数据联动配置，可以自动关联学生成绩无须反复进行成绩录入；</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14.支持学生通过App端或电脑WEB端进行学习，支持学生实时查看在线视频、互动直播课程、学习进度、课程作业、课程测试、学习笔记、学习成绩分析、教学互动等，提供完整的在线课程学习体验；</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15.支持按考核规则顺利完成学习的学生，可在线查看电子版课程修读证明，自行下载并打印；</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16.支持生成共享课程选课学情报告，通过学生情况，学习进度，学习行为，在线讨论，在线视频观看情况，直播课情况等多角度全面详细分析，能够全位快速地了解课程运行的状况。支持查看教师行为分析，提供教师在线活跃情况，了解教师工作侧重点；包括每位教师的累计登录次数、累计发帖回帖、作业批复完成率等明细情况；</w:t>
            </w:r>
          </w:p>
          <w:p>
            <w:pPr>
              <w:wordWrap w:val="0"/>
              <w:adjustRightInd w:val="0"/>
              <w:snapToGrid w:val="0"/>
              <w:ind w:right="1470" w:rightChars="700"/>
              <w:rPr>
                <w:rFonts w:ascii="宋体" w:hAnsi="宋体" w:cs="微软雅黑 Light"/>
                <w:b/>
                <w:color w:val="auto"/>
                <w:kern w:val="0"/>
                <w:szCs w:val="21"/>
              </w:rPr>
            </w:pPr>
            <w:r>
              <w:rPr>
                <w:rFonts w:hint="eastAsia" w:ascii="宋体" w:hAnsi="宋体" w:cs="微软雅黑 Light"/>
                <w:b/>
                <w:color w:val="auto"/>
                <w:kern w:val="0"/>
                <w:szCs w:val="21"/>
              </w:rPr>
              <w:t>本校在线开放课程共享运行模块</w:t>
            </w:r>
          </w:p>
          <w:p>
            <w:pPr>
              <w:wordWrap w:val="0"/>
              <w:adjustRightInd w:val="0"/>
              <w:snapToGrid w:val="0"/>
              <w:ind w:firstLine="420" w:firstLineChars="200"/>
              <w:rPr>
                <w:rFonts w:ascii="宋体" w:hAnsi="宋体" w:cs="微软雅黑 Light"/>
                <w:color w:val="auto"/>
                <w:szCs w:val="21"/>
              </w:rPr>
            </w:pPr>
            <w:r>
              <w:rPr>
                <w:rFonts w:hint="eastAsia" w:ascii="宋体" w:hAnsi="宋体" w:cs="微软雅黑 Light"/>
                <w:color w:val="auto"/>
                <w:szCs w:val="21"/>
              </w:rPr>
              <w:t>方便教师对想要对外输出的课程进行管理和教学运行。</w:t>
            </w:r>
            <w:r>
              <w:rPr>
                <w:rFonts w:ascii="宋体" w:hAnsi="宋体" w:cs="微软雅黑 Light"/>
                <w:color w:val="auto"/>
                <w:szCs w:val="21"/>
              </w:rPr>
              <w:t xml:space="preserve"> </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1.支持老师在线管理所建课程跨校共享运行，老师可以灵活选择移动端或者PC网页端进行跨校共享课程的运行管理；</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2.支持老师在线实时关注学生学习进度，关注课程选修学生的学习情况；支持学习进度与标准进度的比较，指导老师教学；支持按时间查看学习人数；支持在线督促学习进度；</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3.支持老师在线参与教学互动，教学互动需以问答形式进行，保证互动的有效性，避免论坛形式的灌水贴；支持老师用提问、回答、围观、点赞的参与和学生的线上互动；</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4.支持老师在线管理课程题库，支持单选、多选、判断、填空、问答、听力、完形填空、阅读理解等多种题型；支持试题去重，保证题目质量；支持设置题目知识点；支持各类测试使用题库中的题目；</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5.支持老师在线管理课程试卷，协助老师完善跨校共享课程的考核管理；支持老师自定义组卷；支持老师根据一定的规则随机抽题组卷，支持不同的学生拿到的试卷题目顺序不同，且相同题目的选项也可以不同；</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6.支持老师在线批改作业和考试，支持客观题系统自动批阅，减轻老师的工作量；支持老师在线提醒未及时参与考试的学生；支持老师在管理学生的学习成绩；</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7.支持老师在线管理对外共享课程的所需的各类课程资料，便于老师在线使用资料来丰富对外共享课程；</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8.支持对完成本校共享课程的学生提供课程修读证明，让完成学习的学生可以获得一定的成就感；</w:t>
            </w:r>
          </w:p>
          <w:p>
            <w:pPr>
              <w:wordWrap w:val="0"/>
              <w:adjustRightInd w:val="0"/>
              <w:snapToGrid w:val="0"/>
              <w:rPr>
                <w:rFonts w:ascii="宋体" w:hAnsi="宋体" w:cs="微软雅黑 Light"/>
                <w:color w:val="auto"/>
                <w:szCs w:val="21"/>
              </w:rPr>
            </w:pPr>
            <w:r>
              <w:rPr>
                <w:rFonts w:hint="eastAsia" w:ascii="宋体" w:hAnsi="宋体" w:eastAsia="微软雅黑" w:cs="宋体"/>
                <w:color w:val="auto"/>
                <w:sz w:val="24"/>
                <w:szCs w:val="21"/>
              </w:rPr>
              <w:t>★</w:t>
            </w:r>
            <w:r>
              <w:rPr>
                <w:rFonts w:hint="eastAsia" w:ascii="宋体" w:hAnsi="宋体" w:cs="微软雅黑 Light"/>
                <w:color w:val="auto"/>
                <w:szCs w:val="21"/>
              </w:rPr>
              <w:t>9.每个对外共享的在线课程需有专属的课程主页，可以让师生、各学校，社会公众了解学校、教学团队与课程，也可用于国家精品在线开放课程评选，课程主页上需清楚的标注国家精品在线开放课程评选时所需要的相关运行数据，如运行周期、选课人数、互动次数、课程介绍、开课团队、学时学分、课程设计、作业考试等。</w:t>
            </w:r>
          </w:p>
          <w:p>
            <w:pPr>
              <w:wordWrap w:val="0"/>
              <w:adjustRightInd w:val="0"/>
              <w:snapToGrid w:val="0"/>
              <w:rPr>
                <w:rFonts w:ascii="宋体" w:hAnsi="宋体" w:cs="微软雅黑 Light"/>
                <w:b/>
                <w:color w:val="auto"/>
                <w:szCs w:val="21"/>
              </w:rPr>
            </w:pPr>
            <w:r>
              <w:rPr>
                <w:rFonts w:hint="eastAsia" w:ascii="宋体" w:hAnsi="宋体" w:cs="微软雅黑 Light"/>
                <w:b/>
                <w:color w:val="auto"/>
                <w:szCs w:val="21"/>
              </w:rPr>
              <w:t>2.4在线课程质量管理系统</w:t>
            </w:r>
          </w:p>
          <w:p>
            <w:pPr>
              <w:wordWrap w:val="0"/>
              <w:adjustRightInd w:val="0"/>
              <w:snapToGrid w:val="0"/>
              <w:ind w:firstLine="420" w:firstLineChars="200"/>
              <w:rPr>
                <w:rFonts w:ascii="宋体" w:hAnsi="宋体" w:cs="微软雅黑 Light"/>
                <w:color w:val="auto"/>
                <w:szCs w:val="21"/>
              </w:rPr>
            </w:pPr>
            <w:r>
              <w:rPr>
                <w:rFonts w:hint="eastAsia" w:ascii="宋体" w:hAnsi="宋体" w:cs="微软雅黑 Light"/>
                <w:color w:val="auto"/>
                <w:szCs w:val="21"/>
              </w:rPr>
              <w:t>为学校提供日常教学和平台管理功能</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1.支持学校机构管理，包括行政机构和教学机构，机构支持最少三层机构，如院、系和专业，帮助学校建立教学管理组织架构；</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2.支持学校平台用户管理，包括行政管理人员、教师、学生等；可管理人员的基本信息包括姓名、所属行政机构/院系、教工号/学号、入职/入学年份等；支持统一导入或者个人自主认证身份、管理员审核管理；</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3.支持学校统一引入课程的组织和管理；每门课程支持专属的课程主页，用于展示课程基本信息和运行数据，基本信息包含课程名、课程简介、学分学时、学科信息、教学教师、教学大纲、教学计划、教学资源、作业信息等，运行数据包括选课人数、运行学期、互动信息、线上互动数据、课堂互动数据等；</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4.支持课程选课管理，支持手工添加选课学生、导入选课学生名单以及从教务系统直接同步学生选课数据；支持设置课程运行时间、负责教师等课程信息；支持课程教学班管理；支持学生调班、退课操作；</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5.支持学生课程成绩管理，针对在平台进行在线考试的考试成绩，支持查看审核学生成绩，可导出pdf或者excel格式；支持在完成数据联动配置后，将在线考试成绩同步至教务系统；</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6.支持发送教务通知，支持发送给全校师生、或老师、或学生以及按照课程维度发送教务通知；</w:t>
            </w:r>
          </w:p>
          <w:p>
            <w:pPr>
              <w:wordWrap w:val="0"/>
              <w:adjustRightInd w:val="0"/>
              <w:snapToGrid w:val="0"/>
              <w:rPr>
                <w:rFonts w:ascii="宋体" w:hAnsi="宋体" w:cs="微软雅黑 Light"/>
                <w:color w:val="auto"/>
                <w:szCs w:val="21"/>
              </w:rPr>
            </w:pPr>
            <w:r>
              <w:rPr>
                <w:rFonts w:hint="eastAsia" w:ascii="宋体" w:hAnsi="宋体" w:cs="微软雅黑 Light"/>
                <w:color w:val="auto"/>
                <w:szCs w:val="21"/>
              </w:rPr>
              <w:t>7.支持发布教学问卷调查，支持记名/匿名统计；支持限制调查问卷时间；</w:t>
            </w:r>
          </w:p>
          <w:p>
            <w:pPr>
              <w:wordWrap w:val="0"/>
              <w:adjustRightInd w:val="0"/>
              <w:snapToGrid w:val="0"/>
              <w:rPr>
                <w:rFonts w:ascii="宋体" w:hAnsi="宋体" w:eastAsia="微软雅黑" w:cs="宋体"/>
                <w:b/>
                <w:color w:val="auto"/>
                <w:sz w:val="24"/>
                <w:szCs w:val="21"/>
              </w:rPr>
            </w:pPr>
            <w:r>
              <w:rPr>
                <w:rFonts w:hint="eastAsia" w:ascii="宋体" w:hAnsi="宋体" w:cs="微软雅黑 Light"/>
                <w:color w:val="auto"/>
                <w:szCs w:val="21"/>
              </w:rPr>
              <w:t>8.支持对互动内容的安全审计；会自动检索屏蔽敏感词，进行过滤；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8" w:type="dxa"/>
            <w:gridSpan w:val="4"/>
            <w:noWrap w:val="0"/>
            <w:vAlign w:val="top"/>
          </w:tcPr>
          <w:p>
            <w:pPr>
              <w:wordWrap w:val="0"/>
              <w:rPr>
                <w:color w:val="auto"/>
                <w:szCs w:val="21"/>
              </w:rPr>
            </w:pPr>
            <w:r>
              <w:rPr>
                <w:rFonts w:hint="eastAsia"/>
                <w:b/>
                <w:color w:val="auto"/>
                <w:szCs w:val="21"/>
              </w:rPr>
              <w:t>二、涉及项目的其他要求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b/>
                <w:bCs/>
                <w:color w:val="auto"/>
                <w:szCs w:val="21"/>
              </w:rPr>
              <w:t>★</w:t>
            </w:r>
            <w:r>
              <w:rPr>
                <w:rFonts w:hint="eastAsia"/>
                <w:color w:val="auto"/>
                <w:szCs w:val="21"/>
              </w:rPr>
              <w:t>采购预算价</w:t>
            </w:r>
          </w:p>
        </w:tc>
        <w:tc>
          <w:tcPr>
            <w:tcW w:w="8145" w:type="dxa"/>
            <w:noWrap w:val="0"/>
            <w:vAlign w:val="top"/>
          </w:tcPr>
          <w:p>
            <w:pPr>
              <w:wordWrap w:val="0"/>
              <w:spacing w:line="380" w:lineRule="exact"/>
              <w:rPr>
                <w:color w:val="auto"/>
                <w:szCs w:val="21"/>
              </w:rPr>
            </w:pPr>
            <w:r>
              <w:rPr>
                <w:rFonts w:hint="eastAsia"/>
                <w:bCs/>
                <w:color w:val="auto"/>
                <w:szCs w:val="21"/>
              </w:rPr>
              <w:t>详见《第一章公开招标公告》，投标报价超采购预算的投标无效。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color w:val="auto"/>
                <w:szCs w:val="21"/>
              </w:rPr>
              <w:t>需实现的功能或者目标</w:t>
            </w:r>
          </w:p>
        </w:tc>
        <w:tc>
          <w:tcPr>
            <w:tcW w:w="8145" w:type="dxa"/>
            <w:noWrap w:val="0"/>
            <w:vAlign w:val="top"/>
          </w:tcPr>
          <w:p>
            <w:pPr>
              <w:wordWrap w:val="0"/>
              <w:spacing w:line="380" w:lineRule="exact"/>
              <w:rPr>
                <w:color w:val="auto"/>
                <w:szCs w:val="21"/>
              </w:rPr>
            </w:pPr>
            <w:r>
              <w:rPr>
                <w:rFonts w:hint="eastAsia"/>
                <w:color w:val="auto"/>
                <w:szCs w:val="21"/>
              </w:rPr>
              <w:t>见本表“服务内容及要求”。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color w:val="auto"/>
                <w:szCs w:val="21"/>
              </w:rPr>
              <w:t>为落实政府采购政策需满足的要求</w:t>
            </w:r>
          </w:p>
        </w:tc>
        <w:tc>
          <w:tcPr>
            <w:tcW w:w="8145" w:type="dxa"/>
            <w:noWrap w:val="0"/>
            <w:vAlign w:val="top"/>
          </w:tcPr>
          <w:p>
            <w:pPr>
              <w:keepNext/>
              <w:keepLines/>
              <w:wordWrap w:val="0"/>
              <w:spacing w:before="260" w:after="260" w:line="416" w:lineRule="auto"/>
              <w:outlineLvl w:val="1"/>
              <w:rPr>
                <w:rFonts w:eastAsia="黑体"/>
                <w:b/>
                <w:bCs/>
                <w:color w:val="auto"/>
                <w:kern w:val="0"/>
                <w:sz w:val="32"/>
                <w:szCs w:val="21"/>
              </w:rPr>
            </w:pPr>
            <w:r>
              <w:rPr>
                <w:rFonts w:hint="eastAsia"/>
                <w:color w:val="auto"/>
                <w:szCs w:val="21"/>
              </w:rPr>
              <w:t>见本表“服务内容及要求”和“第四章评标办法及评分标准”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color w:val="auto"/>
                <w:szCs w:val="21"/>
              </w:rPr>
              <w:t>规范标准等技术要求</w:t>
            </w:r>
          </w:p>
        </w:tc>
        <w:tc>
          <w:tcPr>
            <w:tcW w:w="8145" w:type="dxa"/>
            <w:noWrap w:val="0"/>
            <w:vAlign w:val="top"/>
          </w:tcPr>
          <w:p>
            <w:pPr>
              <w:wordWrap w:val="0"/>
              <w:spacing w:line="380" w:lineRule="exact"/>
              <w:rPr>
                <w:color w:val="auto"/>
                <w:szCs w:val="21"/>
              </w:rPr>
            </w:pPr>
            <w:r>
              <w:rPr>
                <w:rFonts w:hint="eastAsia"/>
                <w:color w:val="auto"/>
                <w:szCs w:val="21"/>
              </w:rPr>
              <w:t>采购标的需执行的国家标准、行业标准、地方标准或者其他标准、规范，以及采购人指定的相关标准规范和技术要求。多项标准的，按最新标准或较高标准执行。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color w:val="auto"/>
                <w:szCs w:val="21"/>
              </w:rPr>
              <w:t>采购标的需满足的质量、安全、技术规格、物理特性等</w:t>
            </w:r>
          </w:p>
        </w:tc>
        <w:tc>
          <w:tcPr>
            <w:tcW w:w="8145" w:type="dxa"/>
            <w:noWrap w:val="0"/>
            <w:vAlign w:val="top"/>
          </w:tcPr>
          <w:p>
            <w:pPr>
              <w:wordWrap w:val="0"/>
              <w:spacing w:line="380" w:lineRule="exact"/>
              <w:rPr>
                <w:color w:val="auto"/>
                <w:szCs w:val="21"/>
              </w:rPr>
            </w:pPr>
            <w:r>
              <w:rPr>
                <w:rFonts w:hint="eastAsia"/>
                <w:color w:val="auto"/>
                <w:szCs w:val="21"/>
              </w:rPr>
              <w:t>见本表“服务内容及要求”。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color w:val="auto"/>
                <w:szCs w:val="21"/>
              </w:rPr>
              <w:t>采购标的需满足的服务标准、期限、效率等</w:t>
            </w:r>
          </w:p>
        </w:tc>
        <w:tc>
          <w:tcPr>
            <w:tcW w:w="8145" w:type="dxa"/>
            <w:noWrap w:val="0"/>
            <w:vAlign w:val="top"/>
          </w:tcPr>
          <w:p>
            <w:pPr>
              <w:wordWrap w:val="0"/>
              <w:spacing w:line="380" w:lineRule="exact"/>
              <w:rPr>
                <w:color w:val="auto"/>
                <w:szCs w:val="21"/>
              </w:rPr>
            </w:pPr>
            <w:r>
              <w:rPr>
                <w:rFonts w:hint="eastAsia"/>
                <w:color w:val="auto"/>
                <w:szCs w:val="21"/>
              </w:rPr>
              <w:t>见本表“服务内容及要求”。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color w:val="auto"/>
                <w:szCs w:val="21"/>
              </w:rPr>
              <w:t>采购标的验收标准</w:t>
            </w:r>
          </w:p>
        </w:tc>
        <w:tc>
          <w:tcPr>
            <w:tcW w:w="8145" w:type="dxa"/>
            <w:noWrap w:val="0"/>
            <w:vAlign w:val="top"/>
          </w:tcPr>
          <w:p>
            <w:pPr>
              <w:wordWrap w:val="0"/>
              <w:spacing w:line="380" w:lineRule="exact"/>
              <w:rPr>
                <w:color w:val="auto"/>
                <w:szCs w:val="21"/>
              </w:rPr>
            </w:pPr>
            <w:r>
              <w:rPr>
                <w:color w:val="auto"/>
                <w:szCs w:val="21"/>
              </w:rPr>
              <w:t>1</w:t>
            </w:r>
            <w:r>
              <w:rPr>
                <w:rFonts w:hint="eastAsia"/>
                <w:color w:val="auto"/>
                <w:szCs w:val="21"/>
              </w:rPr>
              <w:t>、验收过程中所产生的一切费用均由中标人承担。报价时应考虑相关费用。</w:t>
            </w:r>
          </w:p>
          <w:p>
            <w:pPr>
              <w:wordWrap w:val="0"/>
              <w:spacing w:line="380" w:lineRule="exact"/>
              <w:rPr>
                <w:color w:val="auto"/>
                <w:szCs w:val="21"/>
              </w:rPr>
            </w:pPr>
            <w:r>
              <w:rPr>
                <w:color w:val="auto"/>
                <w:szCs w:val="21"/>
              </w:rPr>
              <w:t>2</w:t>
            </w:r>
            <w:r>
              <w:rPr>
                <w:rFonts w:hint="eastAsia"/>
                <w:color w:val="auto"/>
                <w:szCs w:val="21"/>
              </w:rPr>
              <w:t>、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pPr>
              <w:wordWrap w:val="0"/>
              <w:spacing w:line="380" w:lineRule="exact"/>
              <w:rPr>
                <w:color w:val="auto"/>
                <w:szCs w:val="21"/>
              </w:rPr>
            </w:pPr>
            <w:r>
              <w:rPr>
                <w:color w:val="auto"/>
                <w:szCs w:val="21"/>
              </w:rPr>
              <w:t>3</w:t>
            </w:r>
            <w:r>
              <w:rPr>
                <w:rFonts w:hint="eastAsia"/>
                <w:color w:val="auto"/>
                <w:szCs w:val="21"/>
              </w:rPr>
              <w:t>、招标项目有其他要求的按其要求。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3"/>
            <w:noWrap w:val="0"/>
            <w:vAlign w:val="center"/>
          </w:tcPr>
          <w:p>
            <w:pPr>
              <w:wordWrap w:val="0"/>
              <w:spacing w:line="380" w:lineRule="exact"/>
              <w:jc w:val="center"/>
              <w:rPr>
                <w:color w:val="auto"/>
                <w:szCs w:val="21"/>
              </w:rPr>
            </w:pPr>
            <w:r>
              <w:rPr>
                <w:rFonts w:hint="eastAsia"/>
                <w:color w:val="auto"/>
                <w:szCs w:val="21"/>
              </w:rPr>
              <w:t>其他技术及服务要求</w:t>
            </w:r>
          </w:p>
        </w:tc>
        <w:tc>
          <w:tcPr>
            <w:tcW w:w="8145" w:type="dxa"/>
            <w:noWrap w:val="0"/>
            <w:vAlign w:val="top"/>
          </w:tcPr>
          <w:p>
            <w:pPr>
              <w:wordWrap w:val="0"/>
              <w:spacing w:line="380" w:lineRule="exact"/>
              <w:rPr>
                <w:color w:val="auto"/>
                <w:szCs w:val="21"/>
              </w:rPr>
            </w:pPr>
            <w:r>
              <w:rPr>
                <w:rFonts w:hint="eastAsia"/>
                <w:color w:val="auto"/>
                <w:szCs w:val="21"/>
              </w:rPr>
              <w:t>见本表“服务内容及要求”。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028" w:type="dxa"/>
            <w:gridSpan w:val="4"/>
            <w:noWrap w:val="0"/>
            <w:vAlign w:val="top"/>
          </w:tcPr>
          <w:p>
            <w:pPr>
              <w:wordWrap w:val="0"/>
              <w:spacing w:line="320" w:lineRule="exact"/>
              <w:rPr>
                <w:color w:val="auto"/>
                <w:szCs w:val="21"/>
              </w:rPr>
            </w:pPr>
            <w:r>
              <w:rPr>
                <w:rFonts w:hint="eastAsia"/>
                <w:color w:val="auto"/>
                <w:szCs w:val="21"/>
              </w:rPr>
              <w:t>★三、</w:t>
            </w:r>
            <w:r>
              <w:rPr>
                <w:rFonts w:hint="eastAsia"/>
                <w:b/>
                <w:color w:val="auto"/>
                <w:szCs w:val="21"/>
              </w:rPr>
              <w:t>商务最低要求表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gridSpan w:val="3"/>
            <w:noWrap w:val="0"/>
            <w:vAlign w:val="center"/>
          </w:tcPr>
          <w:p>
            <w:pPr>
              <w:wordWrap w:val="0"/>
              <w:spacing w:line="400" w:lineRule="exact"/>
              <w:jc w:val="center"/>
              <w:rPr>
                <w:color w:val="auto"/>
                <w:szCs w:val="21"/>
              </w:rPr>
            </w:pPr>
            <w:r>
              <w:rPr>
                <w:rFonts w:hint="eastAsia"/>
                <w:color w:val="auto"/>
                <w:szCs w:val="21"/>
              </w:rPr>
              <w:t>交付使用时间和地点</w:t>
            </w:r>
          </w:p>
        </w:tc>
        <w:tc>
          <w:tcPr>
            <w:tcW w:w="8145" w:type="dxa"/>
            <w:noWrap w:val="0"/>
            <w:vAlign w:val="center"/>
          </w:tcPr>
          <w:p>
            <w:pPr>
              <w:wordWrap w:val="0"/>
              <w:spacing w:line="400" w:lineRule="exact"/>
              <w:jc w:val="left"/>
              <w:rPr>
                <w:color w:val="auto"/>
                <w:szCs w:val="21"/>
              </w:rPr>
            </w:pPr>
            <w:r>
              <w:rPr>
                <w:color w:val="auto"/>
                <w:szCs w:val="21"/>
              </w:rPr>
              <w:t>1.</w:t>
            </w:r>
            <w:r>
              <w:rPr>
                <w:rFonts w:hint="eastAsia"/>
                <w:color w:val="auto"/>
                <w:szCs w:val="21"/>
              </w:rPr>
              <w:t>交付使用时间：</w:t>
            </w:r>
            <w:r>
              <w:rPr>
                <w:rFonts w:hint="eastAsia" w:ascii="宋体" w:hAnsi="宋体" w:cs="宋体"/>
                <w:color w:val="auto"/>
                <w:szCs w:val="21"/>
              </w:rPr>
              <w:t>自签订合同之日起45天内完成所有课程交付使用。</w:t>
            </w:r>
          </w:p>
          <w:p>
            <w:pPr>
              <w:wordWrap w:val="0"/>
              <w:spacing w:line="400" w:lineRule="exact"/>
              <w:rPr>
                <w:color w:val="auto"/>
                <w:szCs w:val="21"/>
              </w:rPr>
            </w:pPr>
            <w:r>
              <w:rPr>
                <w:color w:val="auto"/>
                <w:szCs w:val="21"/>
              </w:rPr>
              <w:t>2.</w:t>
            </w:r>
            <w:r>
              <w:rPr>
                <w:rFonts w:hint="eastAsia"/>
                <w:color w:val="auto"/>
                <w:szCs w:val="21"/>
              </w:rPr>
              <w:t>交付地点：</w:t>
            </w:r>
            <w:r>
              <w:rPr>
                <w:rFonts w:hint="eastAsia" w:ascii="宋体" w:hAnsi="宋体" w:cs="宋体"/>
                <w:color w:val="auto"/>
                <w:szCs w:val="21"/>
              </w:rPr>
              <w:t>广西机电职业技术学院指定地点。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83" w:type="dxa"/>
            <w:gridSpan w:val="3"/>
            <w:noWrap w:val="0"/>
            <w:vAlign w:val="center"/>
          </w:tcPr>
          <w:p>
            <w:pPr>
              <w:wordWrap w:val="0"/>
              <w:spacing w:line="400" w:lineRule="exact"/>
              <w:jc w:val="center"/>
              <w:rPr>
                <w:rFonts w:ascii="宋体" w:hAnsi="宋体"/>
                <w:color w:val="auto"/>
                <w:szCs w:val="21"/>
              </w:rPr>
            </w:pPr>
            <w:r>
              <w:rPr>
                <w:rFonts w:hint="eastAsia" w:ascii="宋体" w:hAnsi="宋体"/>
                <w:color w:val="auto"/>
                <w:szCs w:val="21"/>
              </w:rPr>
              <w:t>付款条件</w:t>
            </w:r>
          </w:p>
        </w:tc>
        <w:tc>
          <w:tcPr>
            <w:tcW w:w="8145" w:type="dxa"/>
            <w:noWrap w:val="0"/>
            <w:vAlign w:val="center"/>
          </w:tcPr>
          <w:p>
            <w:pPr>
              <w:wordWrap w:val="0"/>
              <w:spacing w:line="400" w:lineRule="exact"/>
              <w:rPr>
                <w:rFonts w:ascii="宋体" w:hAnsi="宋体"/>
                <w:color w:val="auto"/>
                <w:szCs w:val="21"/>
              </w:rPr>
            </w:pPr>
            <w:r>
              <w:rPr>
                <w:rFonts w:hint="eastAsia" w:ascii="宋体" w:hAnsi="宋体"/>
                <w:color w:val="auto"/>
                <w:szCs w:val="21"/>
              </w:rPr>
              <w:t>合同签订后，供应商开具合同金额30%发票给采购人，采购人收到发票后在10个工作日内支付合同价款的30%；在所有课程制作完成经采购人验收合格且供应商提供等额发票后10个工作日支付合同价款的70%。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83" w:type="dxa"/>
            <w:gridSpan w:val="3"/>
            <w:noWrap w:val="0"/>
            <w:vAlign w:val="center"/>
          </w:tcPr>
          <w:p>
            <w:pPr>
              <w:wordWrap w:val="0"/>
              <w:snapToGrid w:val="0"/>
              <w:jc w:val="center"/>
              <w:rPr>
                <w:rFonts w:ascii="宋体" w:hAnsi="宋体" w:cs="宋体"/>
                <w:color w:val="auto"/>
                <w:szCs w:val="21"/>
              </w:rPr>
            </w:pPr>
            <w:r>
              <w:rPr>
                <w:rFonts w:hint="eastAsia" w:ascii="宋体" w:hAnsi="宋体" w:cs="宋体"/>
                <w:color w:val="auto"/>
                <w:szCs w:val="21"/>
              </w:rPr>
              <w:t>售后服务及其他要求</w:t>
            </w:r>
          </w:p>
        </w:tc>
        <w:tc>
          <w:tcPr>
            <w:tcW w:w="8145" w:type="dxa"/>
            <w:noWrap w:val="0"/>
            <w:vAlign w:val="center"/>
          </w:tcPr>
          <w:p>
            <w:pPr>
              <w:widowControl/>
              <w:shd w:val="clear" w:color="auto" w:fill="auto"/>
              <w:wordWrap w:val="0"/>
              <w:jc w:val="left"/>
              <w:rPr>
                <w:rFonts w:ascii="宋体" w:hAnsi="宋体" w:cs="宋体"/>
                <w:color w:val="auto"/>
                <w:szCs w:val="21"/>
              </w:rPr>
            </w:pPr>
            <w:r>
              <w:rPr>
                <w:rFonts w:hint="eastAsia" w:ascii="宋体" w:hAnsi="宋体" w:cs="宋体"/>
                <w:color w:val="auto"/>
                <w:szCs w:val="21"/>
              </w:rPr>
              <w:t>1.所有的视频拍摄、制作均在南宁市广西机电职业技术学院内进行。</w:t>
            </w:r>
          </w:p>
          <w:p>
            <w:pPr>
              <w:widowControl/>
              <w:shd w:val="clear" w:color="auto" w:fill="auto"/>
              <w:wordWrap w:val="0"/>
              <w:jc w:val="left"/>
              <w:rPr>
                <w:rFonts w:ascii="宋体" w:hAnsi="宋体" w:cs="宋体"/>
                <w:color w:val="auto"/>
                <w:szCs w:val="21"/>
              </w:rPr>
            </w:pPr>
            <w:r>
              <w:rPr>
                <w:rFonts w:hint="eastAsia" w:ascii="宋体" w:hAnsi="宋体" w:cs="宋体"/>
                <w:color w:val="auto"/>
                <w:szCs w:val="21"/>
              </w:rPr>
              <w:t>2.供应商在质保期内应当为采购人提供以下技术支持和服务：</w:t>
            </w:r>
          </w:p>
          <w:p>
            <w:pPr>
              <w:widowControl/>
              <w:shd w:val="clear" w:color="auto" w:fill="auto"/>
              <w:wordWrap w:val="0"/>
              <w:jc w:val="left"/>
              <w:rPr>
                <w:rFonts w:ascii="宋体" w:hAnsi="宋体" w:cs="宋体"/>
                <w:color w:val="auto"/>
                <w:szCs w:val="21"/>
              </w:rPr>
            </w:pPr>
            <w:r>
              <w:rPr>
                <w:rFonts w:hint="eastAsia" w:ascii="宋体" w:hAnsi="宋体" w:cs="宋体"/>
                <w:color w:val="auto"/>
                <w:szCs w:val="21"/>
              </w:rPr>
              <w:t>（1）电话咨询：中标人应当为采购人提供技术援助电话，解答采购人在使用中遇到的问题，及时为采购人提出解决问题的建议。</w:t>
            </w:r>
          </w:p>
          <w:p>
            <w:pPr>
              <w:widowControl/>
              <w:shd w:val="clear" w:color="auto" w:fill="auto"/>
              <w:wordWrap w:val="0"/>
              <w:jc w:val="left"/>
              <w:rPr>
                <w:rFonts w:ascii="宋体" w:hAnsi="宋体" w:cs="宋体"/>
                <w:color w:val="auto"/>
                <w:szCs w:val="21"/>
              </w:rPr>
            </w:pPr>
            <w:r>
              <w:rPr>
                <w:rFonts w:hint="eastAsia" w:ascii="宋体" w:hAnsi="宋体" w:cs="宋体"/>
                <w:color w:val="auto"/>
                <w:szCs w:val="21"/>
              </w:rPr>
              <w:t>（2）现场响应：采购人及项目方遇到使用及技术问题，电话咨询不能解决的，中标人应在 8 小时内到达现场进行处理，确保课程正常运行。</w:t>
            </w:r>
          </w:p>
          <w:p>
            <w:pPr>
              <w:widowControl/>
              <w:shd w:val="clear" w:color="auto" w:fill="auto"/>
              <w:wordWrap w:val="0"/>
              <w:jc w:val="left"/>
              <w:rPr>
                <w:rFonts w:ascii="宋体" w:hAnsi="宋体" w:cs="宋体"/>
                <w:color w:val="auto"/>
                <w:szCs w:val="21"/>
              </w:rPr>
            </w:pPr>
            <w:r>
              <w:rPr>
                <w:rFonts w:hint="eastAsia" w:ascii="宋体" w:hAnsi="宋体" w:cs="宋体"/>
                <w:color w:val="auto"/>
                <w:szCs w:val="21"/>
              </w:rPr>
              <w:t>3.服务期外服务要求：中标人完成服务项目后，同样提供免费电话咨询服务。</w:t>
            </w:r>
          </w:p>
          <w:p>
            <w:pPr>
              <w:widowControl/>
              <w:shd w:val="clear" w:color="auto" w:fill="auto"/>
              <w:wordWrap w:val="0"/>
              <w:jc w:val="left"/>
              <w:rPr>
                <w:rFonts w:ascii="宋体" w:hAnsi="宋体" w:cs="宋体"/>
                <w:color w:val="auto"/>
                <w:szCs w:val="21"/>
              </w:rPr>
            </w:pPr>
            <w:r>
              <w:rPr>
                <w:rFonts w:hint="eastAsia" w:ascii="宋体" w:hAnsi="宋体" w:cs="宋体"/>
                <w:color w:val="auto"/>
                <w:szCs w:val="21"/>
              </w:rPr>
              <w:t>4.中标人根据招标要求的技术参数（配置）及每项指标要求，如实逐项填写技术响应、偏离情况说明表。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83" w:type="dxa"/>
            <w:gridSpan w:val="3"/>
            <w:noWrap w:val="0"/>
            <w:vAlign w:val="center"/>
          </w:tcPr>
          <w:p>
            <w:pPr>
              <w:wordWrap w:val="0"/>
              <w:spacing w:line="300" w:lineRule="exact"/>
              <w:jc w:val="center"/>
              <w:rPr>
                <w:rFonts w:ascii="宋体" w:hAnsi="宋体"/>
                <w:b/>
                <w:bCs/>
                <w:color w:val="auto"/>
                <w:szCs w:val="21"/>
              </w:rPr>
            </w:pPr>
            <w:r>
              <w:rPr>
                <w:rFonts w:hint="eastAsia" w:ascii="宋体" w:hAnsi="宋体"/>
                <w:b/>
                <w:bCs/>
                <w:color w:val="auto"/>
                <w:szCs w:val="21"/>
              </w:rPr>
              <w:t>履约保证金</w:t>
            </w:r>
          </w:p>
        </w:tc>
        <w:tc>
          <w:tcPr>
            <w:tcW w:w="8145" w:type="dxa"/>
            <w:noWrap w:val="0"/>
            <w:vAlign w:val="center"/>
          </w:tcPr>
          <w:p>
            <w:pPr>
              <w:wordWrap w:val="0"/>
              <w:autoSpaceDE w:val="0"/>
              <w:autoSpaceDN w:val="0"/>
              <w:snapToGrid w:val="0"/>
              <w:textAlignment w:val="bottom"/>
              <w:rPr>
                <w:rFonts w:ascii="宋体" w:hAnsi="宋体"/>
                <w:color w:val="auto"/>
              </w:rPr>
            </w:pPr>
            <w:r>
              <w:rPr>
                <w:rFonts w:hint="eastAsia" w:ascii="宋体" w:hAnsi="宋体"/>
                <w:color w:val="auto"/>
              </w:rPr>
              <w:t>履约保证金金额：合同金额的</w:t>
            </w:r>
            <w:r>
              <w:rPr>
                <w:rFonts w:ascii="宋体" w:hAnsi="宋体"/>
                <w:color w:val="auto"/>
              </w:rPr>
              <w:t>5%</w:t>
            </w:r>
          </w:p>
          <w:p>
            <w:pPr>
              <w:wordWrap w:val="0"/>
              <w:autoSpaceDE w:val="0"/>
              <w:autoSpaceDN w:val="0"/>
              <w:snapToGrid w:val="0"/>
              <w:textAlignment w:val="bottom"/>
              <w:rPr>
                <w:rFonts w:ascii="宋体" w:hAnsi="宋体"/>
                <w:color w:val="auto"/>
              </w:rPr>
            </w:pPr>
            <w:r>
              <w:rPr>
                <w:rFonts w:hint="eastAsia" w:ascii="宋体" w:hAnsi="宋体"/>
                <w:color w:val="auto"/>
              </w:rPr>
              <w:t>签订合同前交至指定账户，否则不予签订合同。</w:t>
            </w:r>
          </w:p>
          <w:p>
            <w:pPr>
              <w:wordWrap w:val="0"/>
              <w:autoSpaceDE w:val="0"/>
              <w:autoSpaceDN w:val="0"/>
              <w:snapToGrid w:val="0"/>
              <w:textAlignment w:val="bottom"/>
              <w:rPr>
                <w:rFonts w:ascii="宋体" w:hAnsi="宋体" w:cs="Courier New"/>
                <w:color w:val="auto"/>
                <w:szCs w:val="21"/>
              </w:rPr>
            </w:pPr>
            <w:r>
              <w:rPr>
                <w:rFonts w:hint="eastAsia" w:ascii="宋体" w:hAnsi="宋体" w:cs="Courier New"/>
                <w:color w:val="auto"/>
                <w:szCs w:val="21"/>
              </w:rPr>
              <w:t>履约保证金递交方式：银行转账、电汇或网上支付、支票、汇票、本票或者金融机构、担保机构出具的保函等非现金方式</w:t>
            </w:r>
          </w:p>
          <w:p>
            <w:pPr>
              <w:wordWrap w:val="0"/>
              <w:autoSpaceDE w:val="0"/>
              <w:autoSpaceDN w:val="0"/>
              <w:snapToGrid w:val="0"/>
              <w:textAlignment w:val="bottom"/>
              <w:rPr>
                <w:rFonts w:ascii="宋体" w:hAnsi="宋体" w:cs="Courier New"/>
                <w:color w:val="auto"/>
                <w:szCs w:val="21"/>
              </w:rPr>
            </w:pPr>
            <w:r>
              <w:rPr>
                <w:rFonts w:hint="eastAsia" w:ascii="宋体" w:hAnsi="宋体" w:cs="Courier New"/>
                <w:color w:val="auto"/>
                <w:szCs w:val="21"/>
              </w:rPr>
              <w:t>履约保证金退付方式、时间及条件：</w:t>
            </w:r>
            <w:r>
              <w:rPr>
                <w:rFonts w:hint="eastAsia" w:ascii="宋体" w:hAnsi="宋体"/>
                <w:b/>
                <w:bCs/>
                <w:color w:val="auto"/>
                <w:szCs w:val="21"/>
              </w:rPr>
              <w:t>项目竣工验收合格后一年</w:t>
            </w:r>
            <w:r>
              <w:rPr>
                <w:rFonts w:hint="eastAsia" w:ascii="宋体" w:hAnsi="宋体" w:cs="Courier New"/>
                <w:b/>
                <w:bCs/>
                <w:color w:val="auto"/>
                <w:szCs w:val="21"/>
              </w:rPr>
              <w:t>退付（无息）</w:t>
            </w:r>
            <w:r>
              <w:rPr>
                <w:rFonts w:hint="eastAsia" w:ascii="宋体" w:hAnsi="宋体" w:cs="Courier New"/>
                <w:color w:val="auto"/>
                <w:szCs w:val="21"/>
              </w:rPr>
              <w:t>。</w:t>
            </w:r>
            <w:r>
              <w:rPr>
                <w:rFonts w:hint="eastAsia" w:ascii="宋体" w:hAnsi="宋体"/>
                <w:color w:val="auto"/>
              </w:rPr>
              <w:t>履约保证金退付方式同投标保证金退付方式</w:t>
            </w:r>
            <w:r>
              <w:rPr>
                <w:rFonts w:hint="eastAsia" w:ascii="宋体" w:hAnsi="宋体" w:cs="Courier New"/>
                <w:color w:val="auto"/>
                <w:szCs w:val="21"/>
              </w:rPr>
              <w:t>。</w:t>
            </w:r>
          </w:p>
          <w:p>
            <w:pPr>
              <w:wordWrap w:val="0"/>
              <w:autoSpaceDE w:val="0"/>
              <w:autoSpaceDN w:val="0"/>
              <w:snapToGrid w:val="0"/>
              <w:textAlignment w:val="bottom"/>
              <w:rPr>
                <w:rFonts w:ascii="宋体" w:hAnsi="宋体" w:cs="Courier New"/>
                <w:color w:val="auto"/>
                <w:szCs w:val="21"/>
              </w:rPr>
            </w:pPr>
            <w:r>
              <w:rPr>
                <w:rFonts w:hint="eastAsia" w:ascii="宋体" w:hAnsi="宋体" w:cs="Courier New"/>
                <w:color w:val="auto"/>
                <w:szCs w:val="21"/>
              </w:rPr>
              <w:t>由中标人向履约保证金收取单位提供《广西壮族自治区政府采购项目合同验收书》（详见附件1）、《政府采购项目履约保证金退付意见书》（详见附件2），保证金收取单位在收到合格材料后，根据中标人相关违约处罚扣款后的实际数额在5个工作日内办理退还手续（不计利息）。</w:t>
            </w:r>
          </w:p>
          <w:p>
            <w:pPr>
              <w:wordWrap w:val="0"/>
              <w:autoSpaceDE w:val="0"/>
              <w:autoSpaceDN w:val="0"/>
              <w:snapToGrid w:val="0"/>
              <w:textAlignment w:val="bottom"/>
              <w:rPr>
                <w:rFonts w:ascii="宋体" w:hAnsi="宋体" w:cs="Courier New"/>
                <w:color w:val="auto"/>
                <w:szCs w:val="21"/>
              </w:rPr>
            </w:pPr>
            <w:r>
              <w:rPr>
                <w:rFonts w:hint="eastAsia" w:ascii="宋体" w:hAnsi="宋体"/>
                <w:color w:val="auto"/>
              </w:rPr>
              <w:t>履约保证金账户：</w:t>
            </w:r>
            <w:r>
              <w:rPr>
                <w:rFonts w:hint="eastAsia" w:ascii="宋体" w:hAnsi="宋体"/>
                <w:color w:val="auto"/>
              </w:rPr>
              <w:br w:type="textWrapping"/>
            </w:r>
            <w:r>
              <w:rPr>
                <w:rFonts w:hint="eastAsia" w:ascii="宋体" w:hAnsi="宋体"/>
                <w:color w:val="auto"/>
              </w:rPr>
              <w:t xml:space="preserve">    名  称：广西机电职业技术学院</w:t>
            </w:r>
            <w:r>
              <w:rPr>
                <w:rFonts w:hint="eastAsia" w:ascii="宋体" w:hAnsi="宋体"/>
                <w:color w:val="auto"/>
              </w:rPr>
              <w:br w:type="textWrapping"/>
            </w:r>
            <w:r>
              <w:rPr>
                <w:rFonts w:hint="eastAsia" w:ascii="宋体" w:hAnsi="宋体"/>
                <w:color w:val="auto"/>
              </w:rPr>
              <w:t xml:space="preserve">    开户行：中国建设银行南宁大学路支行</w:t>
            </w:r>
            <w:r>
              <w:rPr>
                <w:rFonts w:hint="eastAsia" w:ascii="宋体" w:hAnsi="宋体"/>
                <w:color w:val="auto"/>
              </w:rPr>
              <w:br w:type="textWrapping"/>
            </w:r>
            <w:r>
              <w:rPr>
                <w:rFonts w:hint="eastAsia" w:ascii="宋体" w:hAnsi="宋体"/>
                <w:color w:val="auto"/>
              </w:rPr>
              <w:t xml:space="preserve">    账  号：45001604851050503961</w:t>
            </w:r>
            <w:r>
              <w:rPr>
                <w:rFonts w:hint="eastAsia" w:ascii="宋体" w:hAnsi="宋体"/>
                <w:color w:val="auto"/>
              </w:rPr>
              <w:br w:type="textWrapping"/>
            </w:r>
            <w:r>
              <w:rPr>
                <w:rFonts w:hint="eastAsia" w:ascii="宋体" w:hAnsi="宋体"/>
                <w:color w:val="auto"/>
              </w:rPr>
              <w:t xml:space="preserve">    转账时注明：</w:t>
            </w:r>
            <w:r>
              <w:rPr>
                <w:rFonts w:hint="eastAsia"/>
                <w:color w:val="auto"/>
              </w:rPr>
              <w:t>在线开放课程建设及教学平台服务项目</w:t>
            </w:r>
            <w:r>
              <w:rPr>
                <w:rFonts w:hint="eastAsia" w:ascii="宋体" w:hAnsi="宋体"/>
                <w:color w:val="auto"/>
              </w:rPr>
              <w:t>，采购编号</w:t>
            </w:r>
            <w:r>
              <w:rPr>
                <w:color w:val="auto"/>
              </w:rPr>
              <w:t xml:space="preserve"> </w:t>
            </w:r>
            <w:r>
              <w:rPr>
                <w:rFonts w:ascii="宋体" w:hAnsi="宋体"/>
                <w:color w:val="auto"/>
              </w:rPr>
              <w:t xml:space="preserve">GXZC2020-G3-003841-YZLZ </w:t>
            </w:r>
            <w:r>
              <w:rPr>
                <w:rFonts w:hint="eastAsia" w:ascii="宋体" w:hAnsi="宋体"/>
                <w:color w:val="auto"/>
              </w:rPr>
              <w:t>履约保证金</w:t>
            </w:r>
          </w:p>
          <w:p>
            <w:pPr>
              <w:wordWrap w:val="0"/>
              <w:autoSpaceDE w:val="0"/>
              <w:autoSpaceDN w:val="0"/>
              <w:snapToGrid w:val="0"/>
              <w:textAlignment w:val="bottom"/>
              <w:rPr>
                <w:rFonts w:ascii="宋体" w:hAnsi="宋体" w:cs="Courier New"/>
                <w:color w:val="auto"/>
                <w:szCs w:val="21"/>
              </w:rPr>
            </w:pPr>
            <w:r>
              <w:rPr>
                <w:rFonts w:hint="eastAsia" w:ascii="宋体" w:hAnsi="宋体" w:cs="Courier New"/>
                <w:color w:val="auto"/>
                <w:szCs w:val="21"/>
              </w:rPr>
              <w:t>备注：</w:t>
            </w:r>
          </w:p>
          <w:p>
            <w:pPr>
              <w:wordWrap w:val="0"/>
              <w:autoSpaceDE w:val="0"/>
              <w:autoSpaceDN w:val="0"/>
              <w:snapToGrid w:val="0"/>
              <w:textAlignment w:val="bottom"/>
              <w:rPr>
                <w:rFonts w:ascii="宋体" w:hAnsi="宋体"/>
                <w:b/>
                <w:color w:val="auto"/>
                <w:szCs w:val="21"/>
              </w:rPr>
            </w:pPr>
            <w:r>
              <w:rPr>
                <w:rFonts w:hint="eastAsia" w:ascii="宋体" w:hAnsi="宋体"/>
                <w:b/>
                <w:color w:val="auto"/>
                <w:szCs w:val="21"/>
              </w:rPr>
              <w:t>（1）履约保证金不足额缴纳的，或银行、保险机构或担保公司出具的保函额度不足的或者保函有效期低于合同履行期限（即签订采购合同之日起至履行完合同约定的权利及义务之日止）的，不予签订合同。</w:t>
            </w:r>
            <w:r>
              <w:rPr>
                <w:rFonts w:hint="eastAsia" w:ascii="宋体" w:hAnsi="宋体"/>
                <w:b/>
                <w:color w:val="auto"/>
                <w:szCs w:val="21"/>
              </w:rPr>
              <w:br w:type="textWrapping"/>
            </w:r>
            <w:r>
              <w:rPr>
                <w:rFonts w:hint="eastAsia" w:ascii="宋体" w:hAnsi="宋体"/>
                <w:b/>
                <w:color w:val="auto"/>
                <w:szCs w:val="21"/>
              </w:rPr>
              <w:t>（2）采用银行、保险机构或担保公司出具的保函的，必须为无条件保函，否则不予签订合同。</w:t>
            </w:r>
          </w:p>
          <w:p>
            <w:pPr>
              <w:wordWrap w:val="0"/>
              <w:rPr>
                <w:rFonts w:hint="eastAsia" w:ascii="宋体" w:hAnsi="宋体"/>
                <w:b/>
                <w:color w:val="auto"/>
                <w:szCs w:val="21"/>
              </w:rPr>
            </w:pPr>
            <w:r>
              <w:rPr>
                <w:rFonts w:hint="eastAsia" w:ascii="宋体" w:hAnsi="宋体"/>
                <w:b/>
                <w:color w:val="auto"/>
                <w:szCs w:val="21"/>
              </w:rPr>
              <w:t>（3）投标人为联合体的，由联合体任意一方按规定提交的履约保证金，视为有效履约保证金。</w:t>
            </w:r>
          </w:p>
          <w:p>
            <w:pPr>
              <w:widowControl w:val="0"/>
              <w:spacing w:line="380" w:lineRule="exact"/>
              <w:jc w:val="both"/>
              <w:rPr>
                <w:rFonts w:ascii="Times New Roman" w:hAnsi="Times New Roman" w:eastAsia="宋体" w:cs="Times New Roman"/>
                <w:b/>
                <w:color w:val="auto"/>
                <w:kern w:val="0"/>
                <w:sz w:val="24"/>
                <w:szCs w:val="24"/>
                <w:lang w:val="en-US" w:eastAsia="zh-CN" w:bidi="ar-SA"/>
              </w:rPr>
            </w:pPr>
            <w:r>
              <w:rPr>
                <w:rFonts w:hint="eastAsia" w:ascii="宋体" w:hAnsi="宋体" w:eastAsia="宋体" w:cs="Times New Roman"/>
                <w:b/>
                <w:color w:val="auto"/>
                <w:kern w:val="2"/>
                <w:sz w:val="21"/>
                <w:szCs w:val="21"/>
                <w:lang w:val="en-US" w:eastAsia="zh-CN" w:bidi="ar-SA"/>
              </w:rPr>
              <w:t>（4）被评标委员会认为属于小微型企业且所投产品属于小微型企业的，免收履约保证金。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83" w:type="dxa"/>
            <w:gridSpan w:val="3"/>
            <w:noWrap w:val="0"/>
            <w:vAlign w:val="center"/>
          </w:tcPr>
          <w:p>
            <w:pPr>
              <w:wordWrap w:val="0"/>
              <w:spacing w:line="400" w:lineRule="exact"/>
              <w:jc w:val="center"/>
              <w:rPr>
                <w:color w:val="auto"/>
                <w:szCs w:val="21"/>
              </w:rPr>
            </w:pPr>
            <w:r>
              <w:rPr>
                <w:rFonts w:hint="eastAsia"/>
                <w:color w:val="auto"/>
                <w:szCs w:val="21"/>
              </w:rPr>
              <w:t>报价要求</w:t>
            </w:r>
          </w:p>
        </w:tc>
        <w:tc>
          <w:tcPr>
            <w:tcW w:w="8145" w:type="dxa"/>
            <w:noWrap w:val="0"/>
            <w:vAlign w:val="center"/>
          </w:tcPr>
          <w:p>
            <w:pPr>
              <w:wordWrap w:val="0"/>
              <w:snapToGrid w:val="0"/>
              <w:jc w:val="left"/>
              <w:rPr>
                <w:rFonts w:ascii="宋体" w:hAnsi="宋体"/>
                <w:color w:val="auto"/>
              </w:rPr>
            </w:pPr>
            <w:r>
              <w:rPr>
                <w:rFonts w:hint="eastAsia" w:ascii="宋体" w:hAnsi="宋体"/>
                <w:color w:val="auto"/>
              </w:rPr>
              <w:t>1.报价为投标人完成本项目服务所需要的全部服务费用，包含服务的价格、工具、保险、现场沟通、打印、税金、验收等完成上述服务内容所需的一切费用。</w:t>
            </w:r>
          </w:p>
          <w:p>
            <w:pPr>
              <w:wordWrap w:val="0"/>
              <w:snapToGrid w:val="0"/>
              <w:jc w:val="left"/>
              <w:rPr>
                <w:rFonts w:ascii="宋体" w:hAnsi="宋体"/>
                <w:color w:val="auto"/>
              </w:rPr>
            </w:pPr>
            <w:r>
              <w:rPr>
                <w:rFonts w:hint="eastAsia" w:ascii="宋体" w:hAnsi="宋体"/>
                <w:color w:val="auto"/>
              </w:rPr>
              <w:t>2.本项目实行费用包干制，报价参照国家有关收费标准，包含完成上述服务内容除评审费用之外所需的一切费用。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gridSpan w:val="3"/>
            <w:noWrap w:val="0"/>
            <w:vAlign w:val="center"/>
          </w:tcPr>
          <w:p>
            <w:pPr>
              <w:wordWrap w:val="0"/>
              <w:spacing w:line="400" w:lineRule="exact"/>
              <w:jc w:val="center"/>
              <w:rPr>
                <w:color w:val="auto"/>
                <w:szCs w:val="21"/>
              </w:rPr>
            </w:pPr>
            <w:r>
              <w:rPr>
                <w:rFonts w:hint="eastAsia"/>
                <w:color w:val="auto"/>
                <w:szCs w:val="21"/>
              </w:rPr>
              <w:t>其他要求</w:t>
            </w:r>
          </w:p>
        </w:tc>
        <w:tc>
          <w:tcPr>
            <w:tcW w:w="8145" w:type="dxa"/>
            <w:noWrap w:val="0"/>
            <w:vAlign w:val="center"/>
          </w:tcPr>
          <w:p>
            <w:pPr>
              <w:wordWrap w:val="0"/>
              <w:spacing w:line="400" w:lineRule="exact"/>
              <w:rPr>
                <w:rFonts w:ascii="宋体" w:hAnsi="宋体"/>
                <w:color w:val="auto"/>
                <w:kern w:val="0"/>
                <w:szCs w:val="21"/>
              </w:rPr>
            </w:pPr>
            <w:r>
              <w:rPr>
                <w:rFonts w:hint="eastAsia" w:ascii="宋体" w:hAnsi="宋体"/>
                <w:color w:val="auto"/>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028" w:type="dxa"/>
            <w:gridSpan w:val="4"/>
            <w:noWrap w:val="0"/>
            <w:vAlign w:val="top"/>
          </w:tcPr>
          <w:p>
            <w:pPr>
              <w:wordWrap w:val="0"/>
              <w:spacing w:line="320" w:lineRule="exact"/>
              <w:rPr>
                <w:color w:val="auto"/>
                <w:szCs w:val="21"/>
              </w:rPr>
            </w:pPr>
            <w:r>
              <w:rPr>
                <w:rFonts w:hint="eastAsia"/>
                <w:b/>
                <w:color w:val="auto"/>
                <w:szCs w:val="21"/>
              </w:rPr>
              <w:t>四、采购人对项目的特殊要求及说明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83" w:type="dxa"/>
            <w:gridSpan w:val="3"/>
            <w:noWrap w:val="0"/>
            <w:vAlign w:val="center"/>
          </w:tcPr>
          <w:p>
            <w:pPr>
              <w:wordWrap w:val="0"/>
              <w:spacing w:line="320" w:lineRule="exact"/>
              <w:rPr>
                <w:color w:val="auto"/>
                <w:szCs w:val="21"/>
              </w:rPr>
            </w:pPr>
            <w:r>
              <w:rPr>
                <w:rFonts w:hint="eastAsia"/>
                <w:color w:val="auto"/>
                <w:szCs w:val="21"/>
              </w:rPr>
              <w:t>★产品说明</w:t>
            </w:r>
          </w:p>
        </w:tc>
        <w:tc>
          <w:tcPr>
            <w:tcW w:w="8145" w:type="dxa"/>
            <w:noWrap w:val="0"/>
            <w:vAlign w:val="top"/>
          </w:tcPr>
          <w:p>
            <w:pPr>
              <w:wordWrap w:val="0"/>
              <w:jc w:val="left"/>
              <w:rPr>
                <w:color w:val="auto"/>
                <w:szCs w:val="21"/>
              </w:rPr>
            </w:pPr>
            <w:r>
              <w:rPr>
                <w:color w:val="auto"/>
                <w:szCs w:val="21"/>
              </w:rPr>
              <w:t>1</w:t>
            </w:r>
            <w:r>
              <w:rPr>
                <w:rFonts w:hint="eastAsia"/>
                <w:color w:val="auto"/>
                <w:szCs w:val="21"/>
              </w:rPr>
              <w:t>、本项目不接受进口产品（即通过中国海关报关验放进入中国境内且产自关境外的产品）参与投标，如有此类产品参与投标的做无效标处理。</w:t>
            </w:r>
          </w:p>
          <w:p>
            <w:pPr>
              <w:wordWrap w:val="0"/>
              <w:jc w:val="left"/>
              <w:rPr>
                <w:color w:val="auto"/>
                <w:szCs w:val="21"/>
              </w:rPr>
            </w:pPr>
            <w:r>
              <w:rPr>
                <w:color w:val="auto"/>
                <w:szCs w:val="21"/>
              </w:rPr>
              <w:t>2</w:t>
            </w:r>
            <w:r>
              <w:rPr>
                <w:rFonts w:hint="eastAsia"/>
                <w:color w:val="auto"/>
                <w:szCs w:val="21"/>
              </w:rPr>
              <w:t>、本项目是服务类采购，无核心产品要求。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83" w:type="dxa"/>
            <w:gridSpan w:val="3"/>
            <w:noWrap w:val="0"/>
            <w:vAlign w:val="center"/>
          </w:tcPr>
          <w:p>
            <w:pPr>
              <w:wordWrap w:val="0"/>
              <w:spacing w:line="320" w:lineRule="exact"/>
              <w:rPr>
                <w:color w:val="auto"/>
                <w:kern w:val="0"/>
                <w:szCs w:val="21"/>
              </w:rPr>
            </w:pPr>
            <w:r>
              <w:rPr>
                <w:rFonts w:hint="eastAsia"/>
                <w:color w:val="auto"/>
                <w:kern w:val="0"/>
                <w:szCs w:val="21"/>
              </w:rPr>
              <w:t>供应商注册要求</w:t>
            </w:r>
          </w:p>
        </w:tc>
        <w:tc>
          <w:tcPr>
            <w:tcW w:w="8145" w:type="dxa"/>
            <w:noWrap w:val="0"/>
            <w:vAlign w:val="top"/>
          </w:tcPr>
          <w:p>
            <w:pPr>
              <w:widowControl/>
              <w:wordWrap w:val="0"/>
              <w:rPr>
                <w:b/>
                <w:color w:val="auto"/>
              </w:rPr>
            </w:pPr>
            <w:r>
              <w:rPr>
                <w:rFonts w:hint="eastAsia"/>
                <w:b/>
                <w:color w:val="auto"/>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Pr>
                <w:b/>
                <w:color w:val="auto"/>
              </w:rPr>
              <w:t>400-881-7190</w:t>
            </w:r>
            <w:r>
              <w:rPr>
                <w:rFonts w:hint="eastAsia"/>
                <w:b/>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28" w:type="dxa"/>
            <w:gridSpan w:val="4"/>
            <w:noWrap w:val="0"/>
            <w:vAlign w:val="top"/>
          </w:tcPr>
          <w:p>
            <w:pPr>
              <w:wordWrap w:val="0"/>
              <w:jc w:val="left"/>
              <w:rPr>
                <w:color w:val="auto"/>
                <w:szCs w:val="21"/>
              </w:rPr>
            </w:pPr>
            <w:r>
              <w:rPr>
                <w:rFonts w:hint="eastAsia"/>
                <w:b/>
                <w:color w:val="auto"/>
                <w:szCs w:val="21"/>
              </w:rPr>
              <w:t>投标人的资信要求表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3" w:type="dxa"/>
            <w:gridSpan w:val="3"/>
            <w:noWrap w:val="0"/>
            <w:vAlign w:val="center"/>
          </w:tcPr>
          <w:p>
            <w:pPr>
              <w:wordWrap w:val="0"/>
              <w:rPr>
                <w:color w:val="auto"/>
              </w:rPr>
            </w:pPr>
            <w:r>
              <w:rPr>
                <w:rFonts w:hint="eastAsia"/>
                <w:color w:val="auto"/>
              </w:rPr>
              <w:t>政策性加分条件</w:t>
            </w:r>
          </w:p>
        </w:tc>
        <w:tc>
          <w:tcPr>
            <w:tcW w:w="8145" w:type="dxa"/>
            <w:noWrap w:val="0"/>
            <w:vAlign w:val="top"/>
          </w:tcPr>
          <w:p>
            <w:pPr>
              <w:wordWrap w:val="0"/>
              <w:rPr>
                <w:color w:val="auto"/>
              </w:rPr>
            </w:pPr>
            <w:r>
              <w:rPr>
                <w:rFonts w:hint="eastAsia"/>
                <w:color w:val="auto"/>
              </w:rPr>
              <w:t>符合节能环保等国家政策要求。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83" w:type="dxa"/>
            <w:gridSpan w:val="3"/>
            <w:noWrap w:val="0"/>
            <w:vAlign w:val="center"/>
          </w:tcPr>
          <w:p>
            <w:pPr>
              <w:wordWrap w:val="0"/>
              <w:rPr>
                <w:color w:val="auto"/>
              </w:rPr>
            </w:pPr>
            <w:r>
              <w:rPr>
                <w:rFonts w:hint="eastAsia"/>
                <w:color w:val="auto"/>
              </w:rPr>
              <w:t>质量管理、企业信用要求</w:t>
            </w:r>
          </w:p>
        </w:tc>
        <w:tc>
          <w:tcPr>
            <w:tcW w:w="8145" w:type="dxa"/>
            <w:noWrap w:val="0"/>
            <w:vAlign w:val="top"/>
          </w:tcPr>
          <w:p>
            <w:pPr>
              <w:wordWrap w:val="0"/>
              <w:rPr>
                <w:color w:val="auto"/>
              </w:rPr>
            </w:pPr>
            <w:r>
              <w:rPr>
                <w:rFonts w:hint="eastAsia"/>
                <w:color w:val="auto"/>
              </w:rPr>
              <w:t>详见《第四章评标办法及评分标准》。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gridSpan w:val="3"/>
            <w:noWrap w:val="0"/>
            <w:vAlign w:val="center"/>
          </w:tcPr>
          <w:p>
            <w:pPr>
              <w:wordWrap w:val="0"/>
              <w:rPr>
                <w:color w:val="auto"/>
              </w:rPr>
            </w:pPr>
            <w:r>
              <w:rPr>
                <w:rFonts w:hint="eastAsia"/>
                <w:color w:val="auto"/>
              </w:rPr>
              <w:t>能力或业绩</w:t>
            </w:r>
          </w:p>
          <w:p>
            <w:pPr>
              <w:wordWrap w:val="0"/>
              <w:rPr>
                <w:color w:val="auto"/>
              </w:rPr>
            </w:pPr>
            <w:r>
              <w:rPr>
                <w:rFonts w:hint="eastAsia"/>
                <w:color w:val="auto"/>
              </w:rPr>
              <w:t>要求</w:t>
            </w:r>
          </w:p>
        </w:tc>
        <w:tc>
          <w:tcPr>
            <w:tcW w:w="8145" w:type="dxa"/>
            <w:noWrap w:val="0"/>
            <w:vAlign w:val="top"/>
          </w:tcPr>
          <w:p>
            <w:pPr>
              <w:wordWrap w:val="0"/>
              <w:rPr>
                <w:color w:val="auto"/>
              </w:rPr>
            </w:pPr>
            <w:r>
              <w:rPr>
                <w:rFonts w:hint="eastAsia"/>
                <w:color w:val="auto"/>
              </w:rPr>
              <w:t>详见《第四章评标办法及评分标准》。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gridSpan w:val="3"/>
            <w:noWrap w:val="0"/>
            <w:vAlign w:val="center"/>
          </w:tcPr>
          <w:p>
            <w:pPr>
              <w:wordWrap w:val="0"/>
              <w:rPr>
                <w:color w:val="auto"/>
              </w:rPr>
            </w:pPr>
            <w:r>
              <w:rPr>
                <w:rFonts w:hint="eastAsia"/>
                <w:color w:val="auto"/>
              </w:rPr>
              <w:t>人员要求</w:t>
            </w:r>
          </w:p>
        </w:tc>
        <w:tc>
          <w:tcPr>
            <w:tcW w:w="8145" w:type="dxa"/>
            <w:noWrap w:val="0"/>
            <w:vAlign w:val="top"/>
          </w:tcPr>
          <w:p>
            <w:pPr>
              <w:wordWrap w:val="0"/>
              <w:rPr>
                <w:color w:val="auto"/>
              </w:rPr>
            </w:pPr>
            <w:r>
              <w:rPr>
                <w:rFonts w:hint="eastAsia"/>
                <w:color w:val="auto"/>
              </w:rPr>
              <w:t>详见《第四章评标办法及评分标准》。</w:t>
            </w:r>
          </w:p>
        </w:tc>
      </w:tr>
    </w:tbl>
    <w:p>
      <w:pPr>
        <w:wordWrap w:val="0"/>
        <w:rPr>
          <w:rFonts w:hint="eastAsia"/>
          <w:color w:val="auto"/>
        </w:rPr>
      </w:pPr>
    </w:p>
    <w:p>
      <w:pPr>
        <w:wordWrap w:val="0"/>
        <w:rPr>
          <w:rFonts w:hint="eastAsia"/>
          <w:color w:val="auto"/>
        </w:rPr>
      </w:pPr>
    </w:p>
    <w:p>
      <w:pPr>
        <w:wordWrap w:val="0"/>
        <w:rPr>
          <w:rFonts w:hint="eastAsia"/>
          <w:color w:val="auto"/>
        </w:rPr>
      </w:pPr>
    </w:p>
    <w:p>
      <w:pPr>
        <w:wordWrap w:val="0"/>
        <w:rPr>
          <w:rFonts w:hint="eastAsia"/>
          <w:color w:val="auto"/>
        </w:rPr>
      </w:pPr>
    </w:p>
    <w:p/>
    <w:sectPr>
      <w:pgSz w:w="11906" w:h="16838"/>
      <w:pgMar w:top="1134" w:right="1588"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F5E"/>
    <w:multiLevelType w:val="multilevel"/>
    <w:tmpl w:val="32714F5E"/>
    <w:lvl w:ilvl="0" w:tentative="0">
      <w:start w:val="1"/>
      <w:numFmt w:val="chineseCountingThousand"/>
      <w:pStyle w:val="142"/>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pStyle w:val="116"/>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D090FEA"/>
    <w:multiLevelType w:val="singleLevel"/>
    <w:tmpl w:val="5D090FEA"/>
    <w:lvl w:ilvl="0" w:tentative="0">
      <w:start w:val="1"/>
      <w:numFmt w:val="decimal"/>
      <w:pStyle w:val="20"/>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5E3"/>
    <w:rsid w:val="000848E2"/>
    <w:rsid w:val="000E2627"/>
    <w:rsid w:val="000F056C"/>
    <w:rsid w:val="00232FBA"/>
    <w:rsid w:val="002351C0"/>
    <w:rsid w:val="002C029D"/>
    <w:rsid w:val="002C3081"/>
    <w:rsid w:val="002D095C"/>
    <w:rsid w:val="00422CE6"/>
    <w:rsid w:val="0050581F"/>
    <w:rsid w:val="00545F5A"/>
    <w:rsid w:val="0062004E"/>
    <w:rsid w:val="006623C6"/>
    <w:rsid w:val="006709CC"/>
    <w:rsid w:val="006723B3"/>
    <w:rsid w:val="00742D70"/>
    <w:rsid w:val="008C0EBA"/>
    <w:rsid w:val="00920CE9"/>
    <w:rsid w:val="00A365E3"/>
    <w:rsid w:val="00AA5611"/>
    <w:rsid w:val="00BA0B19"/>
    <w:rsid w:val="00BA17A7"/>
    <w:rsid w:val="00C0197D"/>
    <w:rsid w:val="00C92E0C"/>
    <w:rsid w:val="00DC3659"/>
    <w:rsid w:val="00DF6D7C"/>
    <w:rsid w:val="00EA0A61"/>
    <w:rsid w:val="00EE491A"/>
    <w:rsid w:val="00F11EB3"/>
    <w:rsid w:val="00F278B9"/>
    <w:rsid w:val="00F613D4"/>
    <w:rsid w:val="00F75FF2"/>
    <w:rsid w:val="00FD4E25"/>
    <w:rsid w:val="00FE430E"/>
    <w:rsid w:val="00FE60B9"/>
    <w:rsid w:val="07AB73A5"/>
    <w:rsid w:val="59DA7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uiPriority="0" w:semiHidden="0" w:name="Body Text Indent 2"/>
    <w:lsdException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9"/>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0"/>
    <w:unhideWhenUsed/>
    <w:qFormat/>
    <w:uiPriority w:val="9"/>
    <w:pPr>
      <w:keepNext/>
      <w:keepLines/>
      <w:spacing w:before="260" w:after="260" w:line="415" w:lineRule="auto"/>
      <w:outlineLvl w:val="2"/>
    </w:pPr>
    <w:rPr>
      <w:b/>
      <w:bCs/>
      <w:kern w:val="0"/>
      <w:sz w:val="32"/>
      <w:szCs w:val="32"/>
    </w:rPr>
  </w:style>
  <w:style w:type="paragraph" w:styleId="6">
    <w:name w:val="heading 4"/>
    <w:basedOn w:val="1"/>
    <w:next w:val="1"/>
    <w:link w:val="61"/>
    <w:unhideWhenUsed/>
    <w:qFormat/>
    <w:uiPriority w:val="9"/>
    <w:pPr>
      <w:keepNext/>
      <w:keepLines/>
      <w:spacing w:before="280" w:after="290" w:line="374" w:lineRule="auto"/>
      <w:outlineLvl w:val="3"/>
    </w:pPr>
    <w:rPr>
      <w:rFonts w:ascii="Cambria" w:hAnsi="Cambria" w:cs="宋体"/>
      <w:b/>
      <w:bCs/>
      <w:sz w:val="28"/>
      <w:szCs w:val="28"/>
    </w:rPr>
  </w:style>
  <w:style w:type="paragraph" w:styleId="7">
    <w:name w:val="heading 5"/>
    <w:basedOn w:val="1"/>
    <w:next w:val="8"/>
    <w:link w:val="64"/>
    <w:unhideWhenUsed/>
    <w:qFormat/>
    <w:uiPriority w:val="9"/>
    <w:pPr>
      <w:keepNext/>
      <w:keepLines/>
      <w:tabs>
        <w:tab w:val="left" w:pos="312"/>
      </w:tabs>
      <w:spacing w:before="280" w:after="290" w:line="374" w:lineRule="auto"/>
      <w:outlineLvl w:val="4"/>
    </w:pPr>
    <w:rPr>
      <w:b/>
      <w:sz w:val="28"/>
    </w:rPr>
  </w:style>
  <w:style w:type="paragraph" w:styleId="9">
    <w:name w:val="heading 6"/>
    <w:basedOn w:val="1"/>
    <w:next w:val="8"/>
    <w:link w:val="65"/>
    <w:unhideWhenUsed/>
    <w:qFormat/>
    <w:uiPriority w:val="0"/>
    <w:pPr>
      <w:keepNext/>
      <w:keepLines/>
      <w:tabs>
        <w:tab w:val="left" w:pos="312"/>
      </w:tabs>
      <w:spacing w:before="240" w:after="64" w:line="319" w:lineRule="auto"/>
      <w:outlineLvl w:val="5"/>
    </w:pPr>
    <w:rPr>
      <w:rFonts w:ascii="Arial" w:hAnsi="Arial" w:eastAsia="黑体"/>
      <w:b/>
      <w:sz w:val="24"/>
    </w:rPr>
  </w:style>
  <w:style w:type="paragraph" w:styleId="10">
    <w:name w:val="heading 7"/>
    <w:basedOn w:val="1"/>
    <w:next w:val="8"/>
    <w:link w:val="66"/>
    <w:unhideWhenUsed/>
    <w:qFormat/>
    <w:uiPriority w:val="99"/>
    <w:pPr>
      <w:keepNext/>
      <w:keepLines/>
      <w:tabs>
        <w:tab w:val="left" w:pos="312"/>
      </w:tabs>
      <w:spacing w:before="240" w:after="64" w:line="319" w:lineRule="auto"/>
      <w:outlineLvl w:val="6"/>
    </w:pPr>
    <w:rPr>
      <w:b/>
      <w:sz w:val="24"/>
    </w:rPr>
  </w:style>
  <w:style w:type="paragraph" w:styleId="11">
    <w:name w:val="heading 8"/>
    <w:basedOn w:val="1"/>
    <w:next w:val="8"/>
    <w:link w:val="67"/>
    <w:unhideWhenUsed/>
    <w:qFormat/>
    <w:uiPriority w:val="99"/>
    <w:pPr>
      <w:keepNext/>
      <w:keepLines/>
      <w:tabs>
        <w:tab w:val="left" w:pos="312"/>
      </w:tabs>
      <w:spacing w:before="240" w:after="64" w:line="319" w:lineRule="auto"/>
      <w:outlineLvl w:val="7"/>
    </w:pPr>
    <w:rPr>
      <w:rFonts w:ascii="Arial" w:hAnsi="Arial" w:eastAsia="黑体"/>
      <w:sz w:val="24"/>
    </w:rPr>
  </w:style>
  <w:style w:type="paragraph" w:styleId="12">
    <w:name w:val="heading 9"/>
    <w:basedOn w:val="1"/>
    <w:next w:val="8"/>
    <w:link w:val="68"/>
    <w:unhideWhenUsed/>
    <w:qFormat/>
    <w:uiPriority w:val="99"/>
    <w:pPr>
      <w:keepNext/>
      <w:keepLines/>
      <w:tabs>
        <w:tab w:val="left" w:pos="312"/>
      </w:tabs>
      <w:spacing w:before="240" w:after="64" w:line="319" w:lineRule="auto"/>
      <w:outlineLvl w:val="8"/>
    </w:pPr>
    <w:rPr>
      <w:rFonts w:ascii="Arial" w:hAnsi="Arial" w:eastAsia="黑体"/>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7"/>
    <w:unhideWhenUsed/>
    <w:qFormat/>
    <w:uiPriority w:val="0"/>
    <w:pPr>
      <w:spacing w:line="380" w:lineRule="exact"/>
    </w:pPr>
    <w:rPr>
      <w:kern w:val="0"/>
      <w:sz w:val="24"/>
    </w:rPr>
  </w:style>
  <w:style w:type="paragraph" w:styleId="8">
    <w:name w:val="Normal Indent"/>
    <w:basedOn w:val="1"/>
    <w:link w:val="70"/>
    <w:unhideWhenUsed/>
    <w:qFormat/>
    <w:uiPriority w:val="99"/>
    <w:pPr>
      <w:ind w:firstLine="420"/>
    </w:pPr>
    <w:rPr>
      <w:szCs w:val="20"/>
    </w:rPr>
  </w:style>
  <w:style w:type="paragraph" w:styleId="13">
    <w:name w:val="toc 7"/>
    <w:basedOn w:val="1"/>
    <w:next w:val="1"/>
    <w:unhideWhenUsed/>
    <w:qFormat/>
    <w:uiPriority w:val="39"/>
    <w:pPr>
      <w:ind w:left="2520" w:leftChars="1200"/>
    </w:pPr>
    <w:rPr>
      <w:rFonts w:ascii="Calibri" w:hAnsi="Calibri"/>
    </w:rPr>
  </w:style>
  <w:style w:type="paragraph" w:styleId="14">
    <w:name w:val="List Number"/>
    <w:basedOn w:val="1"/>
    <w:unhideWhenUsed/>
    <w:qFormat/>
    <w:uiPriority w:val="99"/>
    <w:pPr>
      <w:widowControl/>
      <w:tabs>
        <w:tab w:val="left" w:pos="454"/>
        <w:tab w:val="left" w:pos="720"/>
        <w:tab w:val="left" w:pos="840"/>
      </w:tabs>
      <w:ind w:left="454" w:hanging="284"/>
      <w:jc w:val="left"/>
    </w:pPr>
    <w:rPr>
      <w:kern w:val="0"/>
      <w:sz w:val="24"/>
      <w:szCs w:val="20"/>
    </w:rPr>
  </w:style>
  <w:style w:type="paragraph" w:styleId="15">
    <w:name w:val="caption"/>
    <w:basedOn w:val="1"/>
    <w:next w:val="1"/>
    <w:unhideWhenUsed/>
    <w:qFormat/>
    <w:uiPriority w:val="99"/>
    <w:pPr>
      <w:spacing w:before="152" w:after="160"/>
    </w:pPr>
    <w:rPr>
      <w:rFonts w:ascii="Arial" w:hAnsi="Arial" w:eastAsia="黑体" w:cs="Arial"/>
      <w:sz w:val="20"/>
      <w:szCs w:val="20"/>
    </w:rPr>
  </w:style>
  <w:style w:type="paragraph" w:styleId="16">
    <w:name w:val="Document Map"/>
    <w:basedOn w:val="1"/>
    <w:link w:val="208"/>
    <w:unhideWhenUsed/>
    <w:qFormat/>
    <w:uiPriority w:val="99"/>
    <w:pPr>
      <w:widowControl/>
    </w:pPr>
    <w:rPr>
      <w:rFonts w:ascii="宋体" w:hAnsi="Calibri"/>
      <w:sz w:val="18"/>
      <w:szCs w:val="18"/>
    </w:rPr>
  </w:style>
  <w:style w:type="paragraph" w:styleId="17">
    <w:name w:val="annotation text"/>
    <w:basedOn w:val="1"/>
    <w:link w:val="205"/>
    <w:unhideWhenUsed/>
    <w:qFormat/>
    <w:uiPriority w:val="99"/>
    <w:pPr>
      <w:jc w:val="left"/>
    </w:pPr>
  </w:style>
  <w:style w:type="paragraph" w:styleId="18">
    <w:name w:val="Body Text 3"/>
    <w:basedOn w:val="1"/>
    <w:link w:val="220"/>
    <w:unhideWhenUsed/>
    <w:qFormat/>
    <w:uiPriority w:val="0"/>
    <w:pPr>
      <w:spacing w:line="500" w:lineRule="exact"/>
    </w:pPr>
    <w:rPr>
      <w:b/>
      <w:bCs/>
      <w:kern w:val="0"/>
      <w:sz w:val="24"/>
    </w:rPr>
  </w:style>
  <w:style w:type="paragraph" w:styleId="19">
    <w:name w:val="Body Text Indent"/>
    <w:basedOn w:val="1"/>
    <w:link w:val="218"/>
    <w:unhideWhenUsed/>
    <w:qFormat/>
    <w:uiPriority w:val="0"/>
    <w:pPr>
      <w:ind w:firstLine="830" w:firstLineChars="352"/>
    </w:pPr>
    <w:rPr>
      <w:rFonts w:ascii="仿宋_GB2312" w:eastAsia="仿宋_GB2312"/>
      <w:kern w:val="0"/>
      <w:sz w:val="32"/>
      <w:szCs w:val="20"/>
    </w:rPr>
  </w:style>
  <w:style w:type="paragraph" w:styleId="20">
    <w:name w:val="List Number 3"/>
    <w:basedOn w:val="1"/>
    <w:unhideWhenUsed/>
    <w:uiPriority w:val="99"/>
    <w:pPr>
      <w:numPr>
        <w:ilvl w:val="0"/>
        <w:numId w:val="1"/>
      </w:numPr>
      <w:tabs>
        <w:tab w:val="left" w:pos="1200"/>
      </w:tabs>
    </w:pPr>
  </w:style>
  <w:style w:type="paragraph" w:styleId="21">
    <w:name w:val="List 2"/>
    <w:basedOn w:val="1"/>
    <w:unhideWhenUsed/>
    <w:uiPriority w:val="99"/>
    <w:pPr>
      <w:ind w:left="100" w:leftChars="200" w:hanging="200" w:hangingChars="200"/>
    </w:pPr>
    <w:rPr>
      <w:sz w:val="28"/>
    </w:rPr>
  </w:style>
  <w:style w:type="paragraph" w:styleId="22">
    <w:name w:val="Block Text"/>
    <w:basedOn w:val="1"/>
    <w:semiHidden/>
    <w:unhideWhenUsed/>
    <w:uiPriority w:val="0"/>
    <w:pPr>
      <w:spacing w:line="240" w:lineRule="atLeast"/>
      <w:ind w:left="210" w:right="-57" w:hanging="210" w:hangingChars="100"/>
      <w:jc w:val="left"/>
    </w:pPr>
    <w:rPr>
      <w:b/>
      <w:bCs/>
      <w:szCs w:val="20"/>
    </w:rPr>
  </w:style>
  <w:style w:type="paragraph" w:styleId="23">
    <w:name w:val="toc 5"/>
    <w:basedOn w:val="1"/>
    <w:next w:val="1"/>
    <w:unhideWhenUsed/>
    <w:uiPriority w:val="39"/>
    <w:pPr>
      <w:ind w:left="1680" w:leftChars="800"/>
    </w:pPr>
    <w:rPr>
      <w:rFonts w:ascii="Calibri" w:hAnsi="Calibri"/>
    </w:rPr>
  </w:style>
  <w:style w:type="paragraph" w:styleId="24">
    <w:name w:val="toc 3"/>
    <w:basedOn w:val="1"/>
    <w:next w:val="1"/>
    <w:unhideWhenUsed/>
    <w:qFormat/>
    <w:uiPriority w:val="39"/>
    <w:pPr>
      <w:ind w:left="840" w:leftChars="400"/>
    </w:pPr>
    <w:rPr>
      <w:rFonts w:ascii="Calibri" w:hAnsi="Calibri"/>
    </w:rPr>
  </w:style>
  <w:style w:type="paragraph" w:styleId="25">
    <w:name w:val="Plain Text"/>
    <w:basedOn w:val="1"/>
    <w:link w:val="211"/>
    <w:unhideWhenUsed/>
    <w:qFormat/>
    <w:uiPriority w:val="99"/>
    <w:rPr>
      <w:rFonts w:ascii="宋体" w:hAnsi="Courier New" w:cs="Courier New"/>
      <w:kern w:val="0"/>
      <w:sz w:val="20"/>
      <w:szCs w:val="21"/>
    </w:rPr>
  </w:style>
  <w:style w:type="paragraph" w:styleId="26">
    <w:name w:val="toc 8"/>
    <w:basedOn w:val="1"/>
    <w:next w:val="1"/>
    <w:unhideWhenUsed/>
    <w:qFormat/>
    <w:uiPriority w:val="39"/>
    <w:pPr>
      <w:ind w:left="2940" w:leftChars="1400"/>
    </w:pPr>
    <w:rPr>
      <w:rFonts w:ascii="Calibri" w:hAnsi="Calibri"/>
    </w:rPr>
  </w:style>
  <w:style w:type="paragraph" w:styleId="27">
    <w:name w:val="Date"/>
    <w:basedOn w:val="1"/>
    <w:next w:val="1"/>
    <w:link w:val="210"/>
    <w:unhideWhenUsed/>
    <w:qFormat/>
    <w:uiPriority w:val="0"/>
    <w:pPr>
      <w:ind w:left="100" w:leftChars="2500"/>
    </w:pPr>
    <w:rPr>
      <w:rFonts w:ascii="宋体" w:hAnsi="Courier New" w:cs="Courier New"/>
      <w:kern w:val="0"/>
      <w:sz w:val="20"/>
      <w:szCs w:val="21"/>
    </w:rPr>
  </w:style>
  <w:style w:type="paragraph" w:styleId="28">
    <w:name w:val="Body Text Indent 2"/>
    <w:basedOn w:val="1"/>
    <w:link w:val="217"/>
    <w:unhideWhenUsed/>
    <w:uiPriority w:val="0"/>
    <w:pPr>
      <w:ind w:firstLine="630"/>
    </w:pPr>
    <w:rPr>
      <w:kern w:val="0"/>
      <w:sz w:val="32"/>
      <w:szCs w:val="20"/>
    </w:rPr>
  </w:style>
  <w:style w:type="paragraph" w:styleId="29">
    <w:name w:val="endnote text"/>
    <w:basedOn w:val="1"/>
    <w:link w:val="215"/>
    <w:unhideWhenUsed/>
    <w:qFormat/>
    <w:uiPriority w:val="99"/>
    <w:pPr>
      <w:snapToGrid w:val="0"/>
      <w:jc w:val="left"/>
    </w:pPr>
  </w:style>
  <w:style w:type="paragraph" w:styleId="30">
    <w:name w:val="Balloon Text"/>
    <w:basedOn w:val="1"/>
    <w:link w:val="204"/>
    <w:semiHidden/>
    <w:unhideWhenUsed/>
    <w:qFormat/>
    <w:uiPriority w:val="99"/>
    <w:rPr>
      <w:kern w:val="0"/>
      <w:sz w:val="18"/>
      <w:szCs w:val="18"/>
    </w:rPr>
  </w:style>
  <w:style w:type="paragraph" w:styleId="31">
    <w:name w:val="footer"/>
    <w:basedOn w:val="1"/>
    <w:link w:val="6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2">
    <w:name w:val="header"/>
    <w:basedOn w:val="1"/>
    <w:link w:val="6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3">
    <w:name w:val="toc 1"/>
    <w:basedOn w:val="1"/>
    <w:next w:val="1"/>
    <w:unhideWhenUsed/>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uiPriority w:val="39"/>
    <w:pPr>
      <w:ind w:left="1260" w:leftChars="600"/>
    </w:pPr>
    <w:rPr>
      <w:rFonts w:ascii="Calibri" w:hAnsi="Calibri"/>
    </w:rPr>
  </w:style>
  <w:style w:type="paragraph" w:styleId="35">
    <w:name w:val="List"/>
    <w:basedOn w:val="1"/>
    <w:unhideWhenUsed/>
    <w:qFormat/>
    <w:uiPriority w:val="99"/>
    <w:pPr>
      <w:ind w:left="200" w:hanging="200" w:hangingChars="200"/>
    </w:pPr>
    <w:rPr>
      <w:sz w:val="28"/>
    </w:rPr>
  </w:style>
  <w:style w:type="paragraph" w:styleId="36">
    <w:name w:val="footnote text"/>
    <w:basedOn w:val="1"/>
    <w:link w:val="219"/>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rPr>
  </w:style>
  <w:style w:type="paragraph" w:styleId="38">
    <w:name w:val="Body Text Indent 3"/>
    <w:basedOn w:val="1"/>
    <w:link w:val="203"/>
    <w:unhideWhenUsed/>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rPr>
  </w:style>
  <w:style w:type="paragraph" w:styleId="41">
    <w:name w:val="Body Text 2"/>
    <w:basedOn w:val="1"/>
    <w:link w:val="214"/>
    <w:unhideWhenUsed/>
    <w:qFormat/>
    <w:uiPriority w:val="0"/>
    <w:pPr>
      <w:spacing w:after="120" w:line="480" w:lineRule="auto"/>
    </w:pPr>
    <w:rPr>
      <w:kern w:val="0"/>
      <w:sz w:val="20"/>
    </w:rPr>
  </w:style>
  <w:style w:type="paragraph" w:styleId="42">
    <w:name w:val="HTML Preformatted"/>
    <w:basedOn w:val="1"/>
    <w:link w:val="2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unhideWhenUsed/>
    <w:qFormat/>
    <w:uiPriority w:val="99"/>
    <w:pPr>
      <w:spacing w:line="400" w:lineRule="exact"/>
      <w:ind w:firstLine="420" w:firstLineChars="200"/>
    </w:pPr>
    <w:rPr>
      <w:rFonts w:ascii="宋体" w:hAnsi="Courier New"/>
      <w:b/>
      <w:szCs w:val="20"/>
    </w:rPr>
  </w:style>
  <w:style w:type="paragraph" w:styleId="45">
    <w:name w:val="Title"/>
    <w:basedOn w:val="1"/>
    <w:next w:val="1"/>
    <w:link w:val="212"/>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206"/>
    <w:unhideWhenUsed/>
    <w:qFormat/>
    <w:uiPriority w:val="99"/>
    <w:rPr>
      <w:b/>
      <w:bCs/>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endnote reference"/>
    <w:unhideWhenUsed/>
    <w:qFormat/>
    <w:uiPriority w:val="99"/>
    <w:rPr>
      <w:vertAlign w:val="superscript"/>
    </w:rPr>
  </w:style>
  <w:style w:type="character" w:styleId="52">
    <w:name w:val="page number"/>
    <w:basedOn w:val="49"/>
    <w:qFormat/>
    <w:uiPriority w:val="0"/>
  </w:style>
  <w:style w:type="character" w:styleId="53">
    <w:name w:val="FollowedHyperlink"/>
    <w:unhideWhenUsed/>
    <w:qFormat/>
    <w:uiPriority w:val="0"/>
    <w:rPr>
      <w:color w:val="800080"/>
      <w:u w:val="single"/>
    </w:rPr>
  </w:style>
  <w:style w:type="character" w:styleId="54">
    <w:name w:val="Emphasis"/>
    <w:qFormat/>
    <w:uiPriority w:val="20"/>
    <w:rPr>
      <w:rFonts w:hint="default" w:ascii="Calibri" w:hAnsi="Calibri"/>
      <w:b/>
      <w:i/>
      <w:iCs/>
    </w:rPr>
  </w:style>
  <w:style w:type="character" w:styleId="55">
    <w:name w:val="Hyperlink"/>
    <w:unhideWhenUsed/>
    <w:qFormat/>
    <w:uiPriority w:val="99"/>
    <w:rPr>
      <w:color w:val="0000FF"/>
      <w:u w:val="single"/>
    </w:rPr>
  </w:style>
  <w:style w:type="character" w:styleId="56">
    <w:name w:val="annotation reference"/>
    <w:unhideWhenUsed/>
    <w:qFormat/>
    <w:uiPriority w:val="0"/>
    <w:rPr>
      <w:sz w:val="21"/>
      <w:szCs w:val="21"/>
    </w:rPr>
  </w:style>
  <w:style w:type="character" w:styleId="57">
    <w:name w:val="footnote reference"/>
    <w:unhideWhenUsed/>
    <w:uiPriority w:val="99"/>
    <w:rPr>
      <w:vertAlign w:val="superscript"/>
    </w:rPr>
  </w:style>
  <w:style w:type="character" w:customStyle="1" w:styleId="58">
    <w:name w:val="标题 1 Char"/>
    <w:basedOn w:val="49"/>
    <w:link w:val="3"/>
    <w:qFormat/>
    <w:uiPriority w:val="9"/>
    <w:rPr>
      <w:rFonts w:ascii="Times New Roman" w:hAnsi="Times New Roman" w:eastAsia="宋体" w:cs="Times New Roman"/>
      <w:b/>
      <w:bCs/>
      <w:kern w:val="44"/>
      <w:sz w:val="44"/>
      <w:szCs w:val="44"/>
    </w:rPr>
  </w:style>
  <w:style w:type="character" w:customStyle="1" w:styleId="59">
    <w:name w:val="标题 2 Char"/>
    <w:basedOn w:val="49"/>
    <w:link w:val="4"/>
    <w:uiPriority w:val="0"/>
    <w:rPr>
      <w:rFonts w:ascii="Arial" w:hAnsi="Arial" w:eastAsia="黑体" w:cs="Times New Roman"/>
      <w:b/>
      <w:bCs/>
      <w:kern w:val="0"/>
      <w:sz w:val="32"/>
      <w:szCs w:val="32"/>
    </w:rPr>
  </w:style>
  <w:style w:type="character" w:customStyle="1" w:styleId="60">
    <w:name w:val="标题 3 Char"/>
    <w:basedOn w:val="49"/>
    <w:link w:val="5"/>
    <w:qFormat/>
    <w:uiPriority w:val="9"/>
    <w:rPr>
      <w:rFonts w:ascii="Times New Roman" w:hAnsi="Times New Roman" w:eastAsia="宋体" w:cs="Times New Roman"/>
      <w:b/>
      <w:bCs/>
      <w:kern w:val="0"/>
      <w:sz w:val="32"/>
      <w:szCs w:val="32"/>
    </w:rPr>
  </w:style>
  <w:style w:type="character" w:customStyle="1" w:styleId="61">
    <w:name w:val="标题 4 Char"/>
    <w:basedOn w:val="49"/>
    <w:link w:val="6"/>
    <w:qFormat/>
    <w:uiPriority w:val="9"/>
    <w:rPr>
      <w:rFonts w:ascii="Cambria" w:hAnsi="Cambria" w:eastAsia="宋体" w:cs="宋体"/>
      <w:b/>
      <w:bCs/>
      <w:sz w:val="28"/>
      <w:szCs w:val="28"/>
    </w:rPr>
  </w:style>
  <w:style w:type="character" w:customStyle="1" w:styleId="62">
    <w:name w:val="页眉 Char"/>
    <w:basedOn w:val="49"/>
    <w:link w:val="32"/>
    <w:qFormat/>
    <w:uiPriority w:val="99"/>
    <w:rPr>
      <w:sz w:val="18"/>
      <w:szCs w:val="18"/>
    </w:rPr>
  </w:style>
  <w:style w:type="character" w:customStyle="1" w:styleId="63">
    <w:name w:val="页脚 Char"/>
    <w:basedOn w:val="49"/>
    <w:link w:val="31"/>
    <w:qFormat/>
    <w:uiPriority w:val="99"/>
    <w:rPr>
      <w:sz w:val="18"/>
      <w:szCs w:val="18"/>
    </w:rPr>
  </w:style>
  <w:style w:type="character" w:customStyle="1" w:styleId="64">
    <w:name w:val="标题 5 Char"/>
    <w:basedOn w:val="49"/>
    <w:link w:val="7"/>
    <w:uiPriority w:val="9"/>
    <w:rPr>
      <w:rFonts w:ascii="Times New Roman" w:hAnsi="Times New Roman" w:eastAsia="宋体" w:cs="Times New Roman"/>
      <w:b/>
      <w:sz w:val="28"/>
      <w:szCs w:val="24"/>
    </w:rPr>
  </w:style>
  <w:style w:type="character" w:customStyle="1" w:styleId="65">
    <w:name w:val="标题 6 Char"/>
    <w:basedOn w:val="49"/>
    <w:link w:val="9"/>
    <w:uiPriority w:val="0"/>
    <w:rPr>
      <w:rFonts w:ascii="Arial" w:hAnsi="Arial" w:eastAsia="黑体" w:cs="Times New Roman"/>
      <w:b/>
      <w:sz w:val="24"/>
      <w:szCs w:val="24"/>
    </w:rPr>
  </w:style>
  <w:style w:type="character" w:customStyle="1" w:styleId="66">
    <w:name w:val="标题 7 Char"/>
    <w:basedOn w:val="49"/>
    <w:link w:val="10"/>
    <w:uiPriority w:val="99"/>
    <w:rPr>
      <w:rFonts w:ascii="Times New Roman" w:hAnsi="Times New Roman" w:eastAsia="宋体" w:cs="Times New Roman"/>
      <w:b/>
      <w:sz w:val="24"/>
      <w:szCs w:val="24"/>
    </w:rPr>
  </w:style>
  <w:style w:type="character" w:customStyle="1" w:styleId="67">
    <w:name w:val="标题 8 Char"/>
    <w:basedOn w:val="49"/>
    <w:link w:val="11"/>
    <w:uiPriority w:val="99"/>
    <w:rPr>
      <w:rFonts w:ascii="Arial" w:hAnsi="Arial" w:eastAsia="黑体" w:cs="Times New Roman"/>
      <w:sz w:val="24"/>
      <w:szCs w:val="24"/>
    </w:rPr>
  </w:style>
  <w:style w:type="character" w:customStyle="1" w:styleId="68">
    <w:name w:val="标题 9 Char"/>
    <w:basedOn w:val="49"/>
    <w:link w:val="12"/>
    <w:uiPriority w:val="99"/>
    <w:rPr>
      <w:rFonts w:ascii="Arial" w:hAnsi="Arial" w:eastAsia="黑体" w:cs="Times New Roman"/>
      <w:szCs w:val="24"/>
    </w:rPr>
  </w:style>
  <w:style w:type="character" w:customStyle="1" w:styleId="69">
    <w:name w:val="HTML 预设格式 Char"/>
    <w:basedOn w:val="49"/>
    <w:qFormat/>
    <w:uiPriority w:val="99"/>
    <w:rPr>
      <w:rFonts w:ascii="Courier New" w:hAnsi="Courier New" w:cs="Courier New"/>
      <w:sz w:val="20"/>
      <w:szCs w:val="20"/>
    </w:rPr>
  </w:style>
  <w:style w:type="character" w:customStyle="1" w:styleId="70">
    <w:name w:val="正文缩进 Char"/>
    <w:link w:val="8"/>
    <w:locked/>
    <w:uiPriority w:val="99"/>
    <w:rPr>
      <w:rFonts w:ascii="Times New Roman" w:hAnsi="Times New Roman" w:eastAsia="宋体" w:cs="Times New Roman"/>
      <w:szCs w:val="20"/>
    </w:rPr>
  </w:style>
  <w:style w:type="character" w:customStyle="1" w:styleId="71">
    <w:name w:val="脚注文本 Char"/>
    <w:basedOn w:val="49"/>
    <w:uiPriority w:val="99"/>
    <w:rPr>
      <w:sz w:val="18"/>
      <w:szCs w:val="18"/>
    </w:rPr>
  </w:style>
  <w:style w:type="character" w:customStyle="1" w:styleId="72">
    <w:name w:val="批注文字 Char"/>
    <w:basedOn w:val="49"/>
    <w:qFormat/>
    <w:uiPriority w:val="99"/>
  </w:style>
  <w:style w:type="character" w:customStyle="1" w:styleId="73">
    <w:name w:val="尾注文本 Char"/>
    <w:basedOn w:val="49"/>
    <w:qFormat/>
    <w:uiPriority w:val="99"/>
  </w:style>
  <w:style w:type="character" w:customStyle="1" w:styleId="74">
    <w:name w:val="标题 Char"/>
    <w:basedOn w:val="49"/>
    <w:qFormat/>
    <w:uiPriority w:val="10"/>
    <w:rPr>
      <w:rFonts w:eastAsia="宋体" w:asciiTheme="majorHAnsi" w:hAnsiTheme="majorHAnsi" w:cstheme="majorBidi"/>
      <w:b/>
      <w:bCs/>
      <w:sz w:val="32"/>
      <w:szCs w:val="32"/>
    </w:rPr>
  </w:style>
  <w:style w:type="character" w:customStyle="1" w:styleId="75">
    <w:name w:val="正文文本 Char"/>
    <w:basedOn w:val="49"/>
    <w:qFormat/>
    <w:uiPriority w:val="0"/>
  </w:style>
  <w:style w:type="character" w:customStyle="1" w:styleId="76">
    <w:name w:val="正文文本缩进 Char"/>
    <w:basedOn w:val="49"/>
    <w:qFormat/>
    <w:uiPriority w:val="0"/>
  </w:style>
  <w:style w:type="character" w:customStyle="1" w:styleId="77">
    <w:name w:val="日期 Char"/>
    <w:basedOn w:val="49"/>
    <w:uiPriority w:val="0"/>
  </w:style>
  <w:style w:type="character" w:customStyle="1" w:styleId="78">
    <w:name w:val="正文文本 2 Char"/>
    <w:basedOn w:val="49"/>
    <w:uiPriority w:val="0"/>
  </w:style>
  <w:style w:type="character" w:customStyle="1" w:styleId="79">
    <w:name w:val="正文文本 3 Char"/>
    <w:basedOn w:val="49"/>
    <w:uiPriority w:val="0"/>
    <w:rPr>
      <w:sz w:val="16"/>
      <w:szCs w:val="16"/>
    </w:rPr>
  </w:style>
  <w:style w:type="character" w:customStyle="1" w:styleId="80">
    <w:name w:val="正文文本缩进 2 Char"/>
    <w:basedOn w:val="49"/>
    <w:uiPriority w:val="0"/>
  </w:style>
  <w:style w:type="character" w:customStyle="1" w:styleId="81">
    <w:name w:val="正文文本缩进 3 Char"/>
    <w:basedOn w:val="49"/>
    <w:qFormat/>
    <w:uiPriority w:val="0"/>
    <w:rPr>
      <w:sz w:val="16"/>
      <w:szCs w:val="16"/>
    </w:rPr>
  </w:style>
  <w:style w:type="character" w:customStyle="1" w:styleId="82">
    <w:name w:val="文档结构图 Char"/>
    <w:basedOn w:val="49"/>
    <w:uiPriority w:val="99"/>
    <w:rPr>
      <w:rFonts w:ascii="宋体" w:eastAsia="宋体"/>
      <w:sz w:val="18"/>
      <w:szCs w:val="18"/>
    </w:rPr>
  </w:style>
  <w:style w:type="character" w:customStyle="1" w:styleId="83">
    <w:name w:val="纯文本 Char"/>
    <w:basedOn w:val="49"/>
    <w:qFormat/>
    <w:uiPriority w:val="99"/>
    <w:rPr>
      <w:rFonts w:ascii="宋体" w:hAnsi="Courier New" w:eastAsia="宋体" w:cs="Courier New"/>
      <w:szCs w:val="21"/>
    </w:rPr>
  </w:style>
  <w:style w:type="character" w:customStyle="1" w:styleId="84">
    <w:name w:val="批注主题 Char"/>
    <w:basedOn w:val="72"/>
    <w:qFormat/>
    <w:uiPriority w:val="99"/>
    <w:rPr>
      <w:b/>
      <w:bCs/>
    </w:rPr>
  </w:style>
  <w:style w:type="character" w:customStyle="1" w:styleId="85">
    <w:name w:val="批注框文本 Char"/>
    <w:basedOn w:val="49"/>
    <w:semiHidden/>
    <w:uiPriority w:val="99"/>
    <w:rPr>
      <w:sz w:val="18"/>
      <w:szCs w:val="18"/>
    </w:rPr>
  </w:style>
  <w:style w:type="character" w:customStyle="1" w:styleId="86">
    <w:name w:val="无间隔 Char"/>
    <w:link w:val="87"/>
    <w:locked/>
    <w:uiPriority w:val="1"/>
    <w:rPr>
      <w:sz w:val="24"/>
      <w:szCs w:val="32"/>
    </w:rPr>
  </w:style>
  <w:style w:type="paragraph" w:styleId="87">
    <w:name w:val="No Spacing"/>
    <w:basedOn w:val="1"/>
    <w:link w:val="86"/>
    <w:qFormat/>
    <w:uiPriority w:val="1"/>
    <w:pPr>
      <w:widowControl/>
      <w:spacing w:line="360" w:lineRule="auto"/>
      <w:ind w:firstLine="200" w:firstLineChars="200"/>
      <w:jc w:val="center"/>
    </w:pPr>
    <w:rPr>
      <w:rFonts w:asciiTheme="minorHAnsi" w:hAnsiTheme="minorHAnsi" w:eastAsiaTheme="minorEastAsia" w:cstheme="minorBidi"/>
      <w:sz w:val="24"/>
      <w:szCs w:val="32"/>
    </w:rPr>
  </w:style>
  <w:style w:type="character" w:customStyle="1" w:styleId="88">
    <w:name w:val="列出段落 Char"/>
    <w:link w:val="89"/>
    <w:qFormat/>
    <w:locked/>
    <w:uiPriority w:val="34"/>
    <w:rPr>
      <w:sz w:val="24"/>
    </w:rPr>
  </w:style>
  <w:style w:type="paragraph" w:styleId="89">
    <w:name w:val="List Paragraph"/>
    <w:basedOn w:val="1"/>
    <w:link w:val="88"/>
    <w:qFormat/>
    <w:uiPriority w:val="34"/>
    <w:pPr>
      <w:spacing w:line="360" w:lineRule="auto"/>
      <w:ind w:firstLine="420" w:firstLineChars="200"/>
    </w:pPr>
    <w:rPr>
      <w:rFonts w:asciiTheme="minorHAnsi" w:hAnsiTheme="minorHAnsi" w:eastAsiaTheme="minorEastAsia" w:cstheme="minorBidi"/>
      <w:sz w:val="24"/>
      <w:szCs w:val="22"/>
    </w:rPr>
  </w:style>
  <w:style w:type="character" w:customStyle="1" w:styleId="90">
    <w:name w:val="彩色列表 - 强调文字颜色 1 Char"/>
    <w:link w:val="91"/>
    <w:qFormat/>
    <w:locked/>
    <w:uiPriority w:val="34"/>
    <w:rPr>
      <w:szCs w:val="24"/>
    </w:rPr>
  </w:style>
  <w:style w:type="paragraph" w:customStyle="1" w:styleId="91">
    <w:name w:val="彩色列表 - 强调文字颜色 11"/>
    <w:basedOn w:val="1"/>
    <w:link w:val="90"/>
    <w:qFormat/>
    <w:uiPriority w:val="34"/>
    <w:pPr>
      <w:ind w:firstLine="420" w:firstLineChars="200"/>
    </w:pPr>
    <w:rPr>
      <w:rFonts w:asciiTheme="minorHAnsi" w:hAnsiTheme="minorHAnsi" w:eastAsiaTheme="minorEastAsia" w:cstheme="minorBidi"/>
    </w:rPr>
  </w:style>
  <w:style w:type="paragraph" w:customStyle="1" w:styleId="92">
    <w:name w:val="Char21"/>
    <w:basedOn w:val="1"/>
    <w:qFormat/>
    <w:uiPriority w:val="0"/>
    <w:pPr>
      <w:widowControl/>
      <w:spacing w:after="160" w:line="240" w:lineRule="exact"/>
      <w:jc w:val="left"/>
    </w:pPr>
    <w:rPr>
      <w:kern w:val="0"/>
      <w:sz w:val="24"/>
      <w:szCs w:val="20"/>
    </w:rPr>
  </w:style>
  <w:style w:type="paragraph" w:customStyle="1" w:styleId="9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94">
    <w:name w:val="章标题"/>
    <w:next w:val="93"/>
    <w:qFormat/>
    <w:uiPriority w:val="0"/>
    <w:pPr>
      <w:tabs>
        <w:tab w:val="left" w:pos="885"/>
      </w:tabs>
      <w:spacing w:beforeLines="50"/>
      <w:ind w:left="1275" w:hanging="1275"/>
      <w:jc w:val="both"/>
      <w:outlineLvl w:val="1"/>
    </w:pPr>
    <w:rPr>
      <w:rFonts w:ascii="黑体" w:hAnsi="Times New Roman" w:eastAsia="黑体" w:cs="Times New Roman"/>
      <w:kern w:val="0"/>
      <w:sz w:val="21"/>
      <w:szCs w:val="20"/>
      <w:lang w:val="en-US" w:eastAsia="zh-CN" w:bidi="ar-SA"/>
    </w:rPr>
  </w:style>
  <w:style w:type="paragraph" w:customStyle="1" w:styleId="9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前言、引言标题"/>
    <w:next w:val="1"/>
    <w:qFormat/>
    <w:uiPriority w:val="0"/>
    <w:pPr>
      <w:shd w:val="clear" w:color="auto" w:fill="FFFFFF"/>
      <w:tabs>
        <w:tab w:val="left" w:pos="780"/>
      </w:tabs>
      <w:spacing w:before="640" w:after="560"/>
      <w:ind w:left="1915" w:hanging="1275"/>
      <w:jc w:val="center"/>
      <w:outlineLvl w:val="0"/>
    </w:pPr>
    <w:rPr>
      <w:rFonts w:ascii="黑体" w:hAnsi="Times New Roman" w:eastAsia="黑体" w:cs="Times New Roman"/>
      <w:kern w:val="0"/>
      <w:sz w:val="32"/>
      <w:szCs w:val="20"/>
      <w:lang w:val="en-US" w:eastAsia="zh-CN" w:bidi="ar-SA"/>
    </w:rPr>
  </w:style>
  <w:style w:type="paragraph" w:customStyle="1" w:styleId="97">
    <w:name w:val="注×："/>
    <w:uiPriority w:val="0"/>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paragraph" w:customStyle="1" w:styleId="98">
    <w:name w:val="附录表标题"/>
    <w:next w:val="93"/>
    <w:uiPriority w:val="0"/>
    <w:pPr>
      <w:tabs>
        <w:tab w:val="left" w:pos="360"/>
      </w:tabs>
      <w:ind w:left="2520" w:hanging="420"/>
      <w:jc w:val="center"/>
    </w:pPr>
    <w:rPr>
      <w:rFonts w:ascii="黑体" w:hAnsi="Times New Roman" w:eastAsia="黑体" w:cs="Times New Roman"/>
      <w:kern w:val="21"/>
      <w:sz w:val="21"/>
      <w:szCs w:val="20"/>
      <w:lang w:val="en-US" w:eastAsia="zh-CN" w:bidi="ar-SA"/>
    </w:rPr>
  </w:style>
  <w:style w:type="paragraph" w:customStyle="1" w:styleId="99">
    <w:name w:val="1.1.1"/>
    <w:basedOn w:val="25"/>
    <w:qFormat/>
    <w:uiPriority w:val="0"/>
    <w:pPr>
      <w:tabs>
        <w:tab w:val="left" w:pos="1920"/>
      </w:tabs>
      <w:spacing w:line="360" w:lineRule="exact"/>
      <w:ind w:left="1920" w:hanging="960"/>
    </w:pPr>
    <w:rPr>
      <w:rFonts w:ascii="Times New Roman" w:hAnsi="Times New Roman" w:eastAsia="DFKai-SB"/>
      <w:spacing w:val="14"/>
      <w:kern w:val="2"/>
      <w:sz w:val="26"/>
      <w:szCs w:val="20"/>
      <w:lang w:eastAsia="zh-TW"/>
    </w:rPr>
  </w:style>
  <w:style w:type="paragraph" w:customStyle="1" w:styleId="10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2">
    <w:name w:val="10"/>
    <w:basedOn w:val="1"/>
    <w:qFormat/>
    <w:uiPriority w:val="0"/>
    <w:pPr>
      <w:widowControl/>
      <w:jc w:val="left"/>
    </w:pPr>
    <w:rPr>
      <w:rFonts w:ascii="宋体" w:hAnsi="宋体" w:cs="宋体"/>
      <w:kern w:val="0"/>
      <w:sz w:val="24"/>
    </w:rPr>
  </w:style>
  <w:style w:type="paragraph" w:customStyle="1" w:styleId="103">
    <w:name w:val="Char Char Char Char Char Char Char"/>
    <w:basedOn w:val="1"/>
    <w:qFormat/>
    <w:uiPriority w:val="99"/>
  </w:style>
  <w:style w:type="paragraph" w:customStyle="1" w:styleId="104">
    <w:name w:val="正文图标题"/>
    <w:next w:val="93"/>
    <w:qFormat/>
    <w:uiPriority w:val="0"/>
    <w:pPr>
      <w:tabs>
        <w:tab w:val="left" w:pos="3465"/>
      </w:tabs>
      <w:ind w:left="2940" w:hanging="420"/>
      <w:jc w:val="center"/>
    </w:pPr>
    <w:rPr>
      <w:rFonts w:ascii="黑体" w:hAnsi="Times New Roman" w:eastAsia="黑体" w:cs="Times New Roman"/>
      <w:kern w:val="0"/>
      <w:sz w:val="21"/>
      <w:szCs w:val="20"/>
      <w:lang w:val="en-US" w:eastAsia="zh-CN" w:bidi="ar-SA"/>
    </w:rPr>
  </w:style>
  <w:style w:type="character" w:customStyle="1" w:styleId="105">
    <w:name w:val="列出段落 字符"/>
    <w:link w:val="106"/>
    <w:qFormat/>
    <w:locked/>
    <w:uiPriority w:val="34"/>
    <w:rPr>
      <w:sz w:val="24"/>
    </w:rPr>
  </w:style>
  <w:style w:type="paragraph" w:customStyle="1" w:styleId="106">
    <w:name w:val="列出段落1"/>
    <w:basedOn w:val="1"/>
    <w:link w:val="105"/>
    <w:qFormat/>
    <w:uiPriority w:val="34"/>
    <w:pPr>
      <w:ind w:firstLine="420" w:firstLineChars="200"/>
    </w:pPr>
    <w:rPr>
      <w:rFonts w:asciiTheme="minorHAnsi" w:hAnsiTheme="minorHAnsi" w:eastAsiaTheme="minorEastAsia" w:cstheme="minorBidi"/>
      <w:sz w:val="24"/>
      <w:szCs w:val="22"/>
    </w:rPr>
  </w:style>
  <w:style w:type="paragraph" w:customStyle="1" w:styleId="107">
    <w:name w:val="附录章标题"/>
    <w:next w:val="93"/>
    <w:qFormat/>
    <w:uiPriority w:val="0"/>
    <w:pPr>
      <w:tabs>
        <w:tab w:val="left" w:pos="885"/>
      </w:tabs>
      <w:wordWrap w:val="0"/>
      <w:overflowPunct w:val="0"/>
      <w:autoSpaceDE w:val="0"/>
      <w:spacing w:beforeLines="50"/>
      <w:jc w:val="both"/>
      <w:outlineLvl w:val="1"/>
    </w:pPr>
    <w:rPr>
      <w:rFonts w:ascii="黑体" w:hAnsi="Times New Roman" w:eastAsia="黑体" w:cs="Times New Roman"/>
      <w:kern w:val="21"/>
      <w:sz w:val="21"/>
      <w:szCs w:val="20"/>
      <w:lang w:val="en-US" w:eastAsia="zh-CN" w:bidi="ar-SA"/>
    </w:rPr>
  </w:style>
  <w:style w:type="paragraph" w:customStyle="1" w:styleId="108">
    <w:name w:val="正文段"/>
    <w:basedOn w:val="1"/>
    <w:qFormat/>
    <w:uiPriority w:val="99"/>
    <w:pPr>
      <w:widowControl/>
      <w:snapToGrid w:val="0"/>
      <w:ind w:firstLine="200" w:firstLineChars="200"/>
    </w:pPr>
    <w:rPr>
      <w:kern w:val="0"/>
      <w:sz w:val="24"/>
      <w:szCs w:val="20"/>
    </w:rPr>
  </w:style>
  <w:style w:type="paragraph" w:customStyle="1" w:styleId="109">
    <w:name w:val="彩色底纹 - 强调文字颜色 11"/>
    <w:semiHidden/>
    <w:uiPriority w:val="99"/>
    <w:rPr>
      <w:rFonts w:ascii="Times New Roman" w:hAnsi="Times New Roman" w:eastAsia="宋体" w:cs="Times New Roman"/>
      <w:kern w:val="2"/>
      <w:sz w:val="21"/>
      <w:szCs w:val="24"/>
      <w:lang w:val="en-US" w:eastAsia="zh-CN" w:bidi="ar-SA"/>
    </w:rPr>
  </w:style>
  <w:style w:type="paragraph" w:customStyle="1" w:styleId="110">
    <w:name w:val="修订1"/>
    <w:qFormat/>
    <w:uiPriority w:val="99"/>
    <w:rPr>
      <w:rFonts w:ascii="Times New Roman" w:hAnsi="Times New Roman" w:eastAsia="宋体" w:cs="Times New Roman"/>
      <w:kern w:val="2"/>
      <w:sz w:val="24"/>
      <w:szCs w:val="24"/>
      <w:lang w:val="en-US" w:eastAsia="zh-CN" w:bidi="ar-SA"/>
    </w:rPr>
  </w:style>
  <w:style w:type="paragraph" w:customStyle="1" w:styleId="111">
    <w:name w:val="一级条标题"/>
    <w:next w:val="93"/>
    <w:qFormat/>
    <w:uiPriority w:val="0"/>
    <w:pPr>
      <w:tabs>
        <w:tab w:val="left" w:pos="1680"/>
      </w:tabs>
      <w:ind w:left="1900" w:hanging="420"/>
      <w:outlineLvl w:val="2"/>
    </w:pPr>
    <w:rPr>
      <w:rFonts w:ascii="Times New Roman" w:hAnsi="Times New Roman" w:eastAsia="黑体" w:cs="Times New Roman"/>
      <w:kern w:val="0"/>
      <w:sz w:val="21"/>
      <w:szCs w:val="20"/>
      <w:lang w:val="en-US" w:eastAsia="zh-CN" w:bidi="ar-SA"/>
    </w:rPr>
  </w:style>
  <w:style w:type="paragraph" w:customStyle="1" w:styleId="112">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3">
    <w:name w:val="Char Char Char Char Char Char Char Char Char Char Char Char Char Char Char Char"/>
    <w:basedOn w:val="1"/>
    <w:qFormat/>
    <w:uiPriority w:val="0"/>
    <w:rPr>
      <w:rFonts w:ascii="Tahoma" w:hAnsi="Tahoma"/>
      <w:sz w:val="24"/>
      <w:szCs w:val="20"/>
    </w:rPr>
  </w:style>
  <w:style w:type="paragraph" w:customStyle="1" w:styleId="114">
    <w:name w:val="(a)"/>
    <w:basedOn w:val="25"/>
    <w:qFormat/>
    <w:uiPriority w:val="0"/>
    <w:pPr>
      <w:spacing w:line="360" w:lineRule="exact"/>
      <w:ind w:left="2400" w:hanging="480"/>
    </w:pPr>
    <w:rPr>
      <w:rFonts w:ascii="Times New Roman" w:hAnsi="Times New Roman" w:eastAsia="DFKai-SB"/>
      <w:spacing w:val="14"/>
      <w:kern w:val="2"/>
      <w:sz w:val="26"/>
      <w:szCs w:val="20"/>
      <w:lang w:eastAsia="zh-TW"/>
    </w:rPr>
  </w:style>
  <w:style w:type="paragraph" w:customStyle="1" w:styleId="115">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样式1"/>
    <w:basedOn w:val="1"/>
    <w:qFormat/>
    <w:uiPriority w:val="0"/>
    <w:pPr>
      <w:numPr>
        <w:ilvl w:val="2"/>
        <w:numId w:val="2"/>
      </w:numPr>
      <w:spacing w:line="480" w:lineRule="atLeast"/>
      <w:ind w:firstLine="200" w:firstLineChars="200"/>
    </w:pPr>
    <w:rPr>
      <w:sz w:val="24"/>
    </w:rPr>
  </w:style>
  <w:style w:type="paragraph" w:customStyle="1" w:styleId="117">
    <w:name w:val="默认段落字体 Para Char Char Char Char Char Char Char Char Char1 Char Char Char Char"/>
    <w:basedOn w:val="1"/>
    <w:qFormat/>
    <w:uiPriority w:val="99"/>
    <w:rPr>
      <w:rFonts w:ascii="Tahoma" w:hAnsi="Tahoma"/>
      <w:sz w:val="24"/>
      <w:szCs w:val="20"/>
    </w:rPr>
  </w:style>
  <w:style w:type="paragraph" w:customStyle="1" w:styleId="11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p0"/>
    <w:basedOn w:val="1"/>
    <w:qFormat/>
    <w:uiPriority w:val="0"/>
    <w:pPr>
      <w:widowControl/>
    </w:pPr>
    <w:rPr>
      <w:rFonts w:ascii="Calibri" w:hAnsi="Calibri" w:cs="Calibri"/>
      <w:kern w:val="0"/>
      <w:szCs w:val="21"/>
    </w:rPr>
  </w:style>
  <w:style w:type="paragraph" w:customStyle="1" w:styleId="120">
    <w:name w:val="默认段落字体 Para Char Char Char Char Char Char Char Char Char Char"/>
    <w:basedOn w:val="1"/>
    <w:qFormat/>
    <w:uiPriority w:val="0"/>
    <w:rPr>
      <w:rFonts w:ascii="Tahoma" w:hAnsi="Tahoma"/>
      <w:sz w:val="24"/>
      <w:szCs w:val="20"/>
    </w:rPr>
  </w:style>
  <w:style w:type="paragraph" w:customStyle="1" w:styleId="121">
    <w:name w:val="二级条标题"/>
    <w:basedOn w:val="111"/>
    <w:next w:val="93"/>
    <w:qFormat/>
    <w:uiPriority w:val="0"/>
    <w:pPr>
      <w:tabs>
        <w:tab w:val="left" w:pos="1365"/>
      </w:tabs>
      <w:ind w:left="840"/>
      <w:outlineLvl w:val="3"/>
    </w:pPr>
  </w:style>
  <w:style w:type="paragraph" w:customStyle="1" w:styleId="122">
    <w:name w:val="_Style 2"/>
    <w:basedOn w:val="1"/>
    <w:qFormat/>
    <w:uiPriority w:val="34"/>
    <w:pPr>
      <w:adjustRightInd w:val="0"/>
      <w:snapToGrid w:val="0"/>
      <w:spacing w:before="120" w:after="120" w:line="360" w:lineRule="auto"/>
      <w:ind w:left="578" w:firstLine="420" w:firstLineChars="200"/>
    </w:pPr>
    <w:rPr>
      <w:sz w:val="24"/>
      <w:lang w:eastAsia="zh-TW"/>
    </w:rPr>
  </w:style>
  <w:style w:type="paragraph" w:customStyle="1" w:styleId="123">
    <w:name w:val="1.1.1內容"/>
    <w:basedOn w:val="25"/>
    <w:uiPriority w:val="0"/>
    <w:pPr>
      <w:spacing w:line="360" w:lineRule="exact"/>
      <w:ind w:left="1920"/>
    </w:pPr>
    <w:rPr>
      <w:rFonts w:ascii="DFKai-SB" w:eastAsia="DFKai-SB"/>
      <w:spacing w:val="14"/>
      <w:kern w:val="2"/>
      <w:sz w:val="26"/>
      <w:szCs w:val="20"/>
      <w:lang w:eastAsia="zh-TW"/>
    </w:rPr>
  </w:style>
  <w:style w:type="paragraph" w:customStyle="1" w:styleId="124">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125">
    <w:name w:val="三级条标题"/>
    <w:basedOn w:val="121"/>
    <w:next w:val="93"/>
    <w:qFormat/>
    <w:uiPriority w:val="0"/>
    <w:pPr>
      <w:tabs>
        <w:tab w:val="left" w:pos="2205"/>
      </w:tabs>
      <w:ind w:left="1680"/>
      <w:outlineLvl w:val="4"/>
    </w:pPr>
  </w:style>
  <w:style w:type="paragraph" w:customStyle="1" w:styleId="126">
    <w:name w:val="Char1"/>
    <w:basedOn w:val="1"/>
    <w:qFormat/>
    <w:uiPriority w:val="99"/>
    <w:rPr>
      <w:szCs w:val="21"/>
    </w:rPr>
  </w:style>
  <w:style w:type="paragraph" w:customStyle="1" w:styleId="127">
    <w:name w:val="彩色列表 - 着色 11"/>
    <w:basedOn w:val="1"/>
    <w:qFormat/>
    <w:uiPriority w:val="34"/>
    <w:pPr>
      <w:ind w:firstLine="420" w:firstLineChars="200"/>
    </w:pPr>
    <w:rPr>
      <w:rFonts w:ascii="Calibri" w:hAnsi="Calibri"/>
    </w:rPr>
  </w:style>
  <w:style w:type="paragraph" w:customStyle="1" w:styleId="128">
    <w:name w:val="字母编号列项（一级）"/>
    <w:qFormat/>
    <w:uiPriority w:val="0"/>
    <w:pPr>
      <w:tabs>
        <w:tab w:val="left" w:pos="425"/>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9">
    <w:name w:val="Char Char Char"/>
    <w:basedOn w:val="1"/>
    <w:uiPriority w:val="0"/>
    <w:rPr>
      <w:rFonts w:ascii="Tahoma" w:hAnsi="Tahoma"/>
      <w:sz w:val="24"/>
      <w:szCs w:val="20"/>
    </w:rPr>
  </w:style>
  <w:style w:type="paragraph" w:customStyle="1" w:styleId="130">
    <w:name w:val="Default"/>
    <w:qFormat/>
    <w:uiPriority w:val="99"/>
    <w:pPr>
      <w:widowControl w:val="0"/>
      <w:autoSpaceDE w:val="0"/>
      <w:autoSpaceDN w:val="0"/>
      <w:adjustRightInd w:val="0"/>
    </w:pPr>
    <w:rPr>
      <w:rFonts w:ascii=".." w:hAnsi="Times New Roman" w:eastAsia=".." w:cs=".."/>
      <w:color w:val="000000"/>
      <w:kern w:val="0"/>
      <w:sz w:val="24"/>
      <w:szCs w:val="24"/>
      <w:lang w:val="en-US" w:eastAsia="zh-CN" w:bidi="ar-SA"/>
    </w:rPr>
  </w:style>
  <w:style w:type="paragraph" w:customStyle="1" w:styleId="131">
    <w:name w:val="附录图标题"/>
    <w:next w:val="93"/>
    <w:qFormat/>
    <w:uiPriority w:val="0"/>
    <w:pPr>
      <w:tabs>
        <w:tab w:val="left" w:pos="360"/>
      </w:tabs>
      <w:ind w:left="2940" w:hanging="420"/>
      <w:jc w:val="center"/>
    </w:pPr>
    <w:rPr>
      <w:rFonts w:ascii="黑体" w:hAnsi="Times New Roman" w:eastAsia="黑体" w:cs="Times New Roman"/>
      <w:kern w:val="0"/>
      <w:sz w:val="21"/>
      <w:szCs w:val="20"/>
      <w:lang w:val="en-US" w:eastAsia="zh-CN" w:bidi="ar-SA"/>
    </w:rPr>
  </w:style>
  <w:style w:type="paragraph" w:customStyle="1" w:styleId="132">
    <w:name w:val="Char Char Char Char Char Char Char1"/>
    <w:basedOn w:val="1"/>
    <w:qFormat/>
    <w:uiPriority w:val="99"/>
  </w:style>
  <w:style w:type="paragraph" w:customStyle="1" w:styleId="133">
    <w:name w:val="列项●（二级）"/>
    <w:qFormat/>
    <w:uiPriority w:val="0"/>
    <w:pPr>
      <w:tabs>
        <w:tab w:val="left" w:pos="760"/>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34">
    <w:name w:val="正文首行缩进两字符"/>
    <w:basedOn w:val="1"/>
    <w:qFormat/>
    <w:uiPriority w:val="99"/>
    <w:pPr>
      <w:spacing w:line="360" w:lineRule="auto"/>
      <w:ind w:firstLine="200" w:firstLineChars="200"/>
    </w:pPr>
  </w:style>
  <w:style w:type="paragraph" w:customStyle="1" w:styleId="135">
    <w:name w:val="表"/>
    <w:basedOn w:val="1"/>
    <w:link w:val="230"/>
    <w:qFormat/>
    <w:uiPriority w:val="99"/>
    <w:pPr>
      <w:spacing w:line="600" w:lineRule="exact"/>
      <w:jc w:val="center"/>
    </w:pPr>
    <w:rPr>
      <w:rFonts w:ascii="Calibri" w:hAnsi="Calibri" w:eastAsia="仿宋"/>
      <w:szCs w:val="22"/>
    </w:rPr>
  </w:style>
  <w:style w:type="paragraph" w:customStyle="1" w:styleId="136">
    <w:name w:val="样式 首行缩进:  2 字符"/>
    <w:basedOn w:val="1"/>
    <w:uiPriority w:val="99"/>
    <w:pPr>
      <w:spacing w:line="400" w:lineRule="exact"/>
      <w:ind w:firstLine="200" w:firstLineChars="200"/>
    </w:pPr>
    <w:rPr>
      <w:rFonts w:cs="宋体"/>
      <w:sz w:val="24"/>
    </w:rPr>
  </w:style>
  <w:style w:type="paragraph" w:customStyle="1" w:styleId="137">
    <w:name w:val="列表段落1"/>
    <w:basedOn w:val="1"/>
    <w:qFormat/>
    <w:uiPriority w:val="34"/>
    <w:pPr>
      <w:ind w:firstLine="420" w:firstLineChars="200"/>
    </w:pPr>
    <w:rPr>
      <w:rFonts w:ascii="Calibri" w:hAnsi="Calibri"/>
      <w:szCs w:val="22"/>
    </w:rPr>
  </w:style>
  <w:style w:type="paragraph" w:customStyle="1" w:styleId="138">
    <w:name w:val="正文表标题"/>
    <w:next w:val="93"/>
    <w:qFormat/>
    <w:uiPriority w:val="0"/>
    <w:pPr>
      <w:tabs>
        <w:tab w:val="left" w:pos="3045"/>
      </w:tabs>
      <w:ind w:left="3240" w:hanging="420"/>
      <w:jc w:val="center"/>
    </w:pPr>
    <w:rPr>
      <w:rFonts w:ascii="黑体" w:hAnsi="Times New Roman" w:eastAsia="黑体" w:cs="Times New Roman"/>
      <w:kern w:val="0"/>
      <w:sz w:val="21"/>
      <w:szCs w:val="20"/>
      <w:lang w:val="en-US" w:eastAsia="zh-CN" w:bidi="ar-SA"/>
    </w:rPr>
  </w:style>
  <w:style w:type="paragraph" w:customStyle="1" w:styleId="139">
    <w:name w:val="1"/>
    <w:basedOn w:val="1"/>
    <w:next w:val="25"/>
    <w:qFormat/>
    <w:uiPriority w:val="0"/>
    <w:rPr>
      <w:rFonts w:ascii="宋体" w:hAnsi="Courier New"/>
      <w:szCs w:val="20"/>
    </w:rPr>
  </w:style>
  <w:style w:type="paragraph" w:customStyle="1" w:styleId="140">
    <w:name w:val="列项——"/>
    <w:uiPriority w:val="0"/>
    <w:pPr>
      <w:widowControl w:val="0"/>
      <w:tabs>
        <w:tab w:val="left" w:pos="885"/>
      </w:tabs>
      <w:ind w:left="885" w:hanging="360"/>
      <w:jc w:val="both"/>
    </w:pPr>
    <w:rPr>
      <w:rFonts w:ascii="宋体" w:hAnsi="Times New Roman" w:eastAsia="宋体" w:cs="Times New Roman"/>
      <w:kern w:val="0"/>
      <w:sz w:val="21"/>
      <w:szCs w:val="20"/>
      <w:lang w:val="en-US" w:eastAsia="zh-CN" w:bidi="ar-SA"/>
    </w:rPr>
  </w:style>
  <w:style w:type="character" w:customStyle="1" w:styleId="141">
    <w:name w:val="subhead a Char"/>
    <w:link w:val="142"/>
    <w:qFormat/>
    <w:locked/>
    <w:uiPriority w:val="0"/>
    <w:rPr>
      <w:szCs w:val="21"/>
    </w:rPr>
  </w:style>
  <w:style w:type="paragraph" w:customStyle="1" w:styleId="142">
    <w:name w:val="subhead a"/>
    <w:basedOn w:val="1"/>
    <w:link w:val="141"/>
    <w:qFormat/>
    <w:uiPriority w:val="0"/>
    <w:pPr>
      <w:numPr>
        <w:ilvl w:val="0"/>
        <w:numId w:val="2"/>
      </w:numPr>
      <w:spacing w:line="400" w:lineRule="exact"/>
    </w:pPr>
    <w:rPr>
      <w:rFonts w:asciiTheme="minorHAnsi" w:hAnsiTheme="minorHAnsi" w:eastAsiaTheme="minorEastAsia" w:cstheme="minorBidi"/>
      <w:szCs w:val="21"/>
    </w:rPr>
  </w:style>
  <w:style w:type="paragraph" w:customStyle="1" w:styleId="143">
    <w:name w:val="List Paragraph1"/>
    <w:basedOn w:val="1"/>
    <w:qFormat/>
    <w:uiPriority w:val="99"/>
    <w:pPr>
      <w:ind w:firstLine="420" w:firstLineChars="200"/>
    </w:pPr>
  </w:style>
  <w:style w:type="paragraph" w:customStyle="1" w:styleId="144">
    <w:name w:val="列出段落2"/>
    <w:basedOn w:val="1"/>
    <w:qFormat/>
    <w:uiPriority w:val="34"/>
    <w:pPr>
      <w:spacing w:line="480" w:lineRule="atLeast"/>
      <w:ind w:firstLine="420" w:firstLineChars="200"/>
    </w:pPr>
    <w:rPr>
      <w:sz w:val="24"/>
    </w:rPr>
  </w:style>
  <w:style w:type="paragraph" w:customStyle="1" w:styleId="145">
    <w:name w:val="表格"/>
    <w:basedOn w:val="1"/>
    <w:uiPriority w:val="99"/>
    <w:pPr>
      <w:spacing w:line="400" w:lineRule="exact"/>
    </w:pPr>
    <w:rPr>
      <w:sz w:val="24"/>
    </w:rPr>
  </w:style>
  <w:style w:type="paragraph" w:customStyle="1" w:styleId="146">
    <w:name w:val="表内文字"/>
    <w:basedOn w:val="1"/>
    <w:uiPriority w:val="99"/>
    <w:pPr>
      <w:snapToGrid w:val="0"/>
      <w:spacing w:before="50" w:after="50"/>
      <w:jc w:val="center"/>
    </w:pPr>
    <w:rPr>
      <w:rFonts w:ascii="仿宋_GB2312" w:hAnsi="宋体" w:eastAsia="仿宋_GB2312"/>
      <w:b/>
      <w:color w:val="000000"/>
      <w:sz w:val="32"/>
      <w:szCs w:val="32"/>
    </w:rPr>
  </w:style>
  <w:style w:type="paragraph" w:customStyle="1" w:styleId="147">
    <w:name w:val="列出段落3"/>
    <w:basedOn w:val="1"/>
    <w:qFormat/>
    <w:uiPriority w:val="99"/>
    <w:pPr>
      <w:spacing w:line="480" w:lineRule="atLeast"/>
      <w:ind w:firstLine="420" w:firstLineChars="200"/>
    </w:pPr>
    <w:rPr>
      <w:sz w:val="24"/>
    </w:rPr>
  </w:style>
  <w:style w:type="paragraph" w:customStyle="1" w:styleId="148">
    <w:name w:val="附录标识"/>
    <w:basedOn w:val="96"/>
    <w:qFormat/>
    <w:uiPriority w:val="0"/>
    <w:pPr>
      <w:tabs>
        <w:tab w:val="left" w:pos="6405"/>
        <w:tab w:val="clear" w:pos="780"/>
      </w:tabs>
      <w:spacing w:after="200"/>
      <w:ind w:left="0" w:firstLine="0"/>
    </w:pPr>
    <w:rPr>
      <w:sz w:val="21"/>
    </w:rPr>
  </w:style>
  <w:style w:type="paragraph" w:customStyle="1" w:styleId="149">
    <w:name w:val="纯文本1"/>
    <w:basedOn w:val="1"/>
    <w:qFormat/>
    <w:uiPriority w:val="99"/>
    <w:pPr>
      <w:suppressAutoHyphens/>
    </w:pPr>
    <w:rPr>
      <w:rFonts w:ascii="宋体" w:hAnsi="宋体" w:cs="Courier New"/>
      <w:szCs w:val="21"/>
      <w:lang w:eastAsia="ar-SA"/>
    </w:rPr>
  </w:style>
  <w:style w:type="paragraph" w:customStyle="1" w:styleId="150">
    <w:name w:val="Char Char1"/>
    <w:basedOn w:val="1"/>
    <w:qFormat/>
    <w:uiPriority w:val="0"/>
    <w:pPr>
      <w:adjustRightInd w:val="0"/>
      <w:spacing w:line="360" w:lineRule="auto"/>
    </w:pPr>
    <w:rPr>
      <w:kern w:val="0"/>
      <w:sz w:val="24"/>
      <w:szCs w:val="20"/>
    </w:rPr>
  </w:style>
  <w:style w:type="paragraph" w:customStyle="1" w:styleId="151">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默认段落字体 Para Char"/>
    <w:basedOn w:val="1"/>
    <w:qFormat/>
    <w:uiPriority w:val="0"/>
    <w:pPr>
      <w:adjustRightInd w:val="0"/>
      <w:spacing w:line="360" w:lineRule="auto"/>
    </w:pPr>
    <w:rPr>
      <w:kern w:val="0"/>
      <w:sz w:val="24"/>
      <w:szCs w:val="20"/>
    </w:rPr>
  </w:style>
  <w:style w:type="paragraph" w:customStyle="1" w:styleId="153">
    <w:name w:val="Char2"/>
    <w:basedOn w:val="1"/>
    <w:qFormat/>
    <w:uiPriority w:val="0"/>
    <w:pPr>
      <w:ind w:left="432" w:hanging="432"/>
    </w:pPr>
    <w:rPr>
      <w:sz w:val="24"/>
      <w:szCs w:val="20"/>
    </w:rPr>
  </w:style>
  <w:style w:type="paragraph" w:customStyle="1" w:styleId="154">
    <w:name w:val="样式 标题 3 + (中文) 黑体 小四 非加粗 段前: 7.8 磅 段后: 0 磅 行距: 固定值 20 磅"/>
    <w:basedOn w:val="5"/>
    <w:uiPriority w:val="99"/>
    <w:pPr>
      <w:spacing w:before="0" w:after="0" w:line="400" w:lineRule="exact"/>
    </w:pPr>
    <w:rPr>
      <w:rFonts w:eastAsia="黑体" w:cs="宋体"/>
      <w:b w:val="0"/>
      <w:bCs w:val="0"/>
      <w:sz w:val="24"/>
      <w:szCs w:val="20"/>
    </w:rPr>
  </w:style>
  <w:style w:type="paragraph" w:customStyle="1" w:styleId="155">
    <w:name w:val="注："/>
    <w:next w:val="93"/>
    <w:qFormat/>
    <w:uiPriority w:val="0"/>
    <w:pPr>
      <w:widowControl w:val="0"/>
      <w:tabs>
        <w:tab w:val="left" w:pos="360"/>
      </w:tabs>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156">
    <w:name w:val="Medium Grid 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_Style 1"/>
    <w:basedOn w:val="1"/>
    <w:qFormat/>
    <w:uiPriority w:val="34"/>
    <w:pPr>
      <w:ind w:firstLine="420" w:firstLineChars="200"/>
    </w:pPr>
  </w:style>
  <w:style w:type="paragraph" w:customStyle="1" w:styleId="158">
    <w:name w:val="列项——（一级）"/>
    <w:qFormat/>
    <w:uiPriority w:val="0"/>
    <w:pPr>
      <w:widowControl w:val="0"/>
      <w:tabs>
        <w:tab w:val="left" w:pos="854"/>
      </w:tabs>
      <w:ind w:left="1080" w:leftChars="200" w:hanging="1080" w:hangingChars="200"/>
      <w:jc w:val="both"/>
    </w:pPr>
    <w:rPr>
      <w:rFonts w:ascii="宋体" w:hAnsi="Times New Roman" w:eastAsia="宋体" w:cs="Times New Roman"/>
      <w:kern w:val="0"/>
      <w:sz w:val="21"/>
      <w:szCs w:val="20"/>
      <w:lang w:val="en-US" w:eastAsia="zh-CN" w:bidi="ar-SA"/>
    </w:rPr>
  </w:style>
  <w:style w:type="paragraph" w:customStyle="1" w:styleId="159">
    <w:name w:val="text"/>
    <w:basedOn w:val="1"/>
    <w:uiPriority w:val="0"/>
    <w:pPr>
      <w:widowControl/>
      <w:spacing w:before="100" w:beforeAutospacing="1" w:after="100" w:afterAutospacing="1"/>
      <w:jc w:val="left"/>
    </w:pPr>
    <w:rPr>
      <w:rFonts w:ascii="宋体" w:hAnsi="宋体" w:cs="宋体"/>
      <w:kern w:val="0"/>
      <w:sz w:val="24"/>
    </w:rPr>
  </w:style>
  <w:style w:type="paragraph" w:customStyle="1" w:styleId="160">
    <w:name w:val="Char1 Char Char Char Char Char Char"/>
    <w:basedOn w:val="1"/>
    <w:qFormat/>
    <w:uiPriority w:val="0"/>
    <w:rPr>
      <w:rFonts w:ascii="Tahoma" w:hAnsi="Tahoma"/>
      <w:sz w:val="24"/>
      <w:szCs w:val="20"/>
    </w:rPr>
  </w:style>
  <w:style w:type="paragraph" w:customStyle="1" w:styleId="161">
    <w:name w:val="Char Char Char Char Char Char"/>
    <w:basedOn w:val="1"/>
    <w:qFormat/>
    <w:uiPriority w:val="0"/>
    <w:rPr>
      <w:rFonts w:ascii="Tahoma" w:hAnsi="Tahoma"/>
      <w:sz w:val="24"/>
      <w:szCs w:val="20"/>
    </w:rPr>
  </w:style>
  <w:style w:type="character" w:customStyle="1" w:styleId="162">
    <w:name w:val="textcontents"/>
    <w:basedOn w:val="49"/>
    <w:uiPriority w:val="0"/>
  </w:style>
  <w:style w:type="character" w:customStyle="1" w:styleId="163">
    <w:name w:val="Char Char2"/>
    <w:uiPriority w:val="0"/>
    <w:rPr>
      <w:rFonts w:hint="eastAsia" w:ascii="宋体" w:hAnsi="Courier New" w:eastAsia="宋体"/>
      <w:kern w:val="2"/>
      <w:sz w:val="21"/>
      <w:lang w:val="en-US" w:eastAsia="zh-CN" w:bidi="ar-SA"/>
    </w:rPr>
  </w:style>
  <w:style w:type="character" w:customStyle="1" w:styleId="164">
    <w:name w:val="font21"/>
    <w:qFormat/>
    <w:uiPriority w:val="0"/>
    <w:rPr>
      <w:rFonts w:hint="eastAsia" w:ascii="BatangChe" w:hAnsi="BatangChe" w:eastAsia="BatangChe" w:cs="BatangChe"/>
      <w:color w:val="800080"/>
      <w:sz w:val="20"/>
      <w:szCs w:val="20"/>
      <w:u w:val="none"/>
    </w:rPr>
  </w:style>
  <w:style w:type="character" w:customStyle="1" w:styleId="165">
    <w:name w:val="标题 5 字符"/>
    <w:qFormat/>
    <w:uiPriority w:val="0"/>
    <w:rPr>
      <w:rFonts w:hint="eastAsia" w:ascii="宋体" w:hAnsi="宋体" w:eastAsia="仿宋_GB2312"/>
      <w:b/>
      <w:bCs/>
      <w:kern w:val="2"/>
      <w:sz w:val="24"/>
      <w:szCs w:val="24"/>
    </w:rPr>
  </w:style>
  <w:style w:type="character" w:customStyle="1" w:styleId="166">
    <w:name w:val="标题 Char1"/>
    <w:qFormat/>
    <w:locked/>
    <w:uiPriority w:val="10"/>
    <w:rPr>
      <w:rFonts w:hint="default" w:ascii="Cambria" w:hAnsi="Cambria"/>
      <w:b/>
      <w:bCs/>
      <w:kern w:val="2"/>
      <w:sz w:val="32"/>
      <w:szCs w:val="32"/>
    </w:rPr>
  </w:style>
  <w:style w:type="character" w:customStyle="1" w:styleId="167">
    <w:name w:val="批注框文本 字符"/>
    <w:qFormat/>
    <w:uiPriority w:val="99"/>
    <w:rPr>
      <w:kern w:val="2"/>
      <w:sz w:val="18"/>
      <w:szCs w:val="18"/>
    </w:rPr>
  </w:style>
  <w:style w:type="character" w:customStyle="1" w:styleId="168">
    <w:name w:val="paramname3"/>
    <w:qFormat/>
    <w:uiPriority w:val="0"/>
    <w:rPr>
      <w:color w:val="999999"/>
    </w:rPr>
  </w:style>
  <w:style w:type="character" w:customStyle="1" w:styleId="169">
    <w:name w:val="日期 字符"/>
    <w:uiPriority w:val="0"/>
    <w:rPr>
      <w:spacing w:val="30"/>
      <w:kern w:val="2"/>
      <w:sz w:val="28"/>
    </w:rPr>
  </w:style>
  <w:style w:type="character" w:customStyle="1" w:styleId="170">
    <w:name w:val="纯文本 Char2"/>
    <w:uiPriority w:val="99"/>
    <w:rPr>
      <w:rFonts w:hint="eastAsia" w:ascii="宋体" w:hAnsi="Courier New" w:eastAsia="宋体" w:cs="Courier New"/>
      <w:kern w:val="2"/>
      <w:sz w:val="21"/>
      <w:szCs w:val="21"/>
      <w:lang w:val="en-US" w:eastAsia="zh-CN" w:bidi="ar-SA"/>
    </w:rPr>
  </w:style>
  <w:style w:type="character" w:customStyle="1" w:styleId="171">
    <w:name w:val="页眉 字符"/>
    <w:qFormat/>
    <w:uiPriority w:val="99"/>
    <w:rPr>
      <w:kern w:val="2"/>
      <w:sz w:val="18"/>
      <w:szCs w:val="18"/>
    </w:rPr>
  </w:style>
  <w:style w:type="character" w:customStyle="1" w:styleId="172">
    <w:name w:val="页眉 Char1"/>
    <w:semiHidden/>
    <w:locked/>
    <w:uiPriority w:val="99"/>
    <w:rPr>
      <w:kern w:val="2"/>
      <w:sz w:val="18"/>
      <w:szCs w:val="18"/>
    </w:rPr>
  </w:style>
  <w:style w:type="character" w:customStyle="1" w:styleId="173">
    <w:name w:val="标题 字符"/>
    <w:qFormat/>
    <w:uiPriority w:val="0"/>
    <w:rPr>
      <w:rFonts w:hint="default" w:ascii="Cambria" w:hAnsi="Cambria" w:eastAsia="宋体"/>
      <w:b/>
      <w:bCs/>
      <w:kern w:val="2"/>
      <w:sz w:val="32"/>
      <w:szCs w:val="32"/>
      <w:lang w:bidi="ar-SA"/>
    </w:rPr>
  </w:style>
  <w:style w:type="character" w:customStyle="1" w:styleId="174">
    <w:name w:val="标题 4 字符"/>
    <w:qFormat/>
    <w:uiPriority w:val="0"/>
    <w:rPr>
      <w:rFonts w:hint="eastAsia" w:ascii="宋体" w:hAnsi="Arial" w:eastAsia="仿宋_GB2312"/>
      <w:b/>
      <w:bCs/>
      <w:kern w:val="2"/>
      <w:sz w:val="28"/>
      <w:szCs w:val="28"/>
    </w:rPr>
  </w:style>
  <w:style w:type="character" w:customStyle="1" w:styleId="175">
    <w:name w:val="标题 1 字符1"/>
    <w:qFormat/>
    <w:uiPriority w:val="0"/>
    <w:rPr>
      <w:rFonts w:hint="eastAsia" w:ascii="宋体" w:hAnsi="宋体" w:eastAsia="宋体"/>
      <w:b/>
      <w:bCs/>
      <w:kern w:val="2"/>
      <w:sz w:val="21"/>
      <w:szCs w:val="24"/>
      <w:lang w:val="en-US" w:eastAsia="zh-CN" w:bidi="ar-SA"/>
    </w:rPr>
  </w:style>
  <w:style w:type="character" w:customStyle="1" w:styleId="176">
    <w:name w:val="font151"/>
    <w:qFormat/>
    <w:uiPriority w:val="0"/>
    <w:rPr>
      <w:rFonts w:hint="eastAsia" w:ascii="宋体" w:hAnsi="宋体" w:eastAsia="宋体" w:cs="宋体"/>
      <w:color w:val="7030A0"/>
      <w:sz w:val="20"/>
      <w:szCs w:val="20"/>
      <w:u w:val="none"/>
    </w:rPr>
  </w:style>
  <w:style w:type="character" w:customStyle="1" w:styleId="177">
    <w:name w:val="正文文本 字符"/>
    <w:uiPriority w:val="0"/>
    <w:rPr>
      <w:kern w:val="2"/>
      <w:sz w:val="21"/>
      <w:szCs w:val="24"/>
    </w:rPr>
  </w:style>
  <w:style w:type="character" w:customStyle="1" w:styleId="178">
    <w:name w:val="text1"/>
    <w:qFormat/>
    <w:uiPriority w:val="0"/>
  </w:style>
  <w:style w:type="character" w:customStyle="1" w:styleId="179">
    <w:name w:val="正文文本缩进 字符"/>
    <w:uiPriority w:val="0"/>
    <w:rPr>
      <w:rFonts w:hint="eastAsia" w:ascii="宋体" w:hAnsi="Courier New" w:eastAsia="宋体"/>
      <w:spacing w:val="-4"/>
      <w:kern w:val="2"/>
      <w:sz w:val="18"/>
    </w:rPr>
  </w:style>
  <w:style w:type="character" w:customStyle="1" w:styleId="180">
    <w:name w:val="标题 2 字符"/>
    <w:qFormat/>
    <w:uiPriority w:val="0"/>
    <w:rPr>
      <w:rFonts w:hint="eastAsia" w:ascii="宋体" w:hAnsi="Arial" w:eastAsia="仿宋_GB2312"/>
      <w:b/>
      <w:bCs/>
      <w:kern w:val="2"/>
      <w:sz w:val="28"/>
      <w:szCs w:val="32"/>
    </w:rPr>
  </w:style>
  <w:style w:type="character" w:customStyle="1" w:styleId="181">
    <w:name w:val="font81"/>
    <w:qFormat/>
    <w:uiPriority w:val="0"/>
    <w:rPr>
      <w:rFonts w:hint="eastAsia" w:ascii="宋体" w:hAnsi="宋体" w:eastAsia="宋体" w:cs="宋体"/>
      <w:color w:val="000000"/>
      <w:sz w:val="20"/>
      <w:szCs w:val="20"/>
      <w:u w:val="none"/>
    </w:rPr>
  </w:style>
  <w:style w:type="character" w:customStyle="1" w:styleId="182">
    <w:name w:val="纯文本 字符"/>
    <w:qFormat/>
    <w:uiPriority w:val="0"/>
    <w:rPr>
      <w:rFonts w:hint="eastAsia" w:ascii="宋体" w:hAnsi="Courier New" w:eastAsia="宋体" w:cs="Courier New"/>
      <w:szCs w:val="21"/>
    </w:rPr>
  </w:style>
  <w:style w:type="character" w:customStyle="1" w:styleId="183">
    <w:name w:val="标题 6 字符"/>
    <w:qFormat/>
    <w:uiPriority w:val="0"/>
    <w:rPr>
      <w:rFonts w:hint="eastAsia" w:ascii="宋体" w:hAnsi="Arial" w:eastAsia="仿宋_GB2312"/>
      <w:b/>
      <w:bCs/>
      <w:kern w:val="2"/>
      <w:sz w:val="24"/>
      <w:szCs w:val="24"/>
    </w:rPr>
  </w:style>
  <w:style w:type="character" w:customStyle="1" w:styleId="184">
    <w:name w:val="标题 6 字符1"/>
    <w:uiPriority w:val="0"/>
    <w:rPr>
      <w:rFonts w:hint="default" w:ascii="Arial" w:hAnsi="Arial" w:eastAsia="黑体" w:cs="Arial"/>
      <w:b/>
      <w:bCs/>
      <w:kern w:val="2"/>
      <w:sz w:val="24"/>
      <w:szCs w:val="24"/>
      <w:lang w:val="en-US" w:eastAsia="zh-CN" w:bidi="ar-SA"/>
    </w:rPr>
  </w:style>
  <w:style w:type="character" w:customStyle="1" w:styleId="185">
    <w:name w:val="Char Char3"/>
    <w:uiPriority w:val="0"/>
    <w:rPr>
      <w:rFonts w:hint="eastAsia" w:ascii="宋体" w:hAnsi="宋体" w:eastAsia="宋体"/>
      <w:b/>
      <w:bCs/>
      <w:kern w:val="2"/>
      <w:sz w:val="21"/>
      <w:szCs w:val="24"/>
      <w:lang w:val="en-US" w:eastAsia="zh-CN" w:bidi="ar-SA"/>
    </w:rPr>
  </w:style>
  <w:style w:type="character" w:customStyle="1" w:styleId="186">
    <w:name w:val="标题 1 字符"/>
    <w:qFormat/>
    <w:uiPriority w:val="0"/>
    <w:rPr>
      <w:rFonts w:hint="eastAsia" w:ascii="宋体" w:hAnsi="宋体" w:eastAsia="仿宋_GB2312"/>
      <w:b/>
      <w:bCs/>
      <w:kern w:val="44"/>
      <w:sz w:val="32"/>
      <w:szCs w:val="44"/>
    </w:rPr>
  </w:style>
  <w:style w:type="character" w:customStyle="1" w:styleId="187">
    <w:name w:val="Char Char6"/>
    <w:qFormat/>
    <w:uiPriority w:val="0"/>
    <w:rPr>
      <w:rFonts w:hint="eastAsia" w:ascii="宋体" w:hAnsi="宋体" w:eastAsia="宋体"/>
      <w:b/>
      <w:bCs/>
      <w:kern w:val="2"/>
      <w:sz w:val="21"/>
      <w:szCs w:val="24"/>
      <w:lang w:val="en-US" w:eastAsia="zh-CN" w:bidi="ar-SA"/>
    </w:rPr>
  </w:style>
  <w:style w:type="character" w:customStyle="1" w:styleId="188">
    <w:name w:val="sh141"/>
    <w:qFormat/>
    <w:uiPriority w:val="0"/>
    <w:rPr>
      <w:color w:val="2B2B2B"/>
      <w:sz w:val="12"/>
      <w:szCs w:val="12"/>
    </w:rPr>
  </w:style>
  <w:style w:type="character" w:customStyle="1" w:styleId="189">
    <w:name w:val="纯文本 字符1"/>
    <w:uiPriority w:val="0"/>
    <w:rPr>
      <w:rFonts w:hint="eastAsia" w:ascii="宋体" w:hAnsi="Courier New" w:eastAsia="宋体"/>
      <w:kern w:val="2"/>
      <w:sz w:val="21"/>
    </w:rPr>
  </w:style>
  <w:style w:type="character" w:customStyle="1" w:styleId="190">
    <w:name w:val="批注文字 字符"/>
    <w:qFormat/>
    <w:uiPriority w:val="0"/>
    <w:rPr>
      <w:kern w:val="2"/>
      <w:sz w:val="24"/>
      <w:szCs w:val="24"/>
    </w:rPr>
  </w:style>
  <w:style w:type="character" w:customStyle="1" w:styleId="191">
    <w:name w:val="case31"/>
    <w:uiPriority w:val="0"/>
    <w:rPr>
      <w:sz w:val="21"/>
      <w:szCs w:val="21"/>
    </w:rPr>
  </w:style>
  <w:style w:type="character" w:customStyle="1" w:styleId="192">
    <w:name w:val="批注文字 Char1"/>
    <w:locked/>
    <w:uiPriority w:val="99"/>
    <w:rPr>
      <w:kern w:val="2"/>
      <w:sz w:val="21"/>
      <w:szCs w:val="24"/>
    </w:rPr>
  </w:style>
  <w:style w:type="character" w:customStyle="1" w:styleId="193">
    <w:name w:val="页脚 字符"/>
    <w:qFormat/>
    <w:uiPriority w:val="99"/>
    <w:rPr>
      <w:kern w:val="2"/>
      <w:sz w:val="18"/>
      <w:szCs w:val="18"/>
    </w:rPr>
  </w:style>
  <w:style w:type="character" w:customStyle="1" w:styleId="194">
    <w:name w:val="批注主题 字符"/>
    <w:qFormat/>
    <w:uiPriority w:val="99"/>
    <w:rPr>
      <w:b/>
      <w:bCs/>
      <w:kern w:val="2"/>
      <w:sz w:val="24"/>
      <w:szCs w:val="24"/>
    </w:rPr>
  </w:style>
  <w:style w:type="character" w:customStyle="1" w:styleId="195">
    <w:name w:val="font01"/>
    <w:qFormat/>
    <w:uiPriority w:val="0"/>
    <w:rPr>
      <w:rFonts w:hint="eastAsia" w:ascii="宋体" w:hAnsi="宋体" w:eastAsia="宋体" w:cs="宋体"/>
      <w:color w:val="800080"/>
      <w:sz w:val="21"/>
      <w:szCs w:val="21"/>
      <w:u w:val="none"/>
    </w:rPr>
  </w:style>
  <w:style w:type="character" w:customStyle="1" w:styleId="196">
    <w:name w:val="apple-style-span"/>
    <w:basedOn w:val="49"/>
    <w:qFormat/>
    <w:uiPriority w:val="0"/>
  </w:style>
  <w:style w:type="character" w:customStyle="1" w:styleId="197">
    <w:name w:val="abcde1"/>
    <w:qFormat/>
    <w:uiPriority w:val="0"/>
  </w:style>
  <w:style w:type="character" w:customStyle="1" w:styleId="198">
    <w:name w:val="正文文本缩进 3 字符"/>
    <w:qFormat/>
    <w:uiPriority w:val="0"/>
    <w:rPr>
      <w:kern w:val="2"/>
      <w:sz w:val="24"/>
      <w:szCs w:val="24"/>
    </w:rPr>
  </w:style>
  <w:style w:type="character" w:customStyle="1" w:styleId="199">
    <w:name w:val="正文文本缩进 2 字符"/>
    <w:qFormat/>
    <w:uiPriority w:val="0"/>
    <w:rPr>
      <w:rFonts w:hint="eastAsia" w:ascii="楷体_GB2312" w:hAnsi="Arial" w:eastAsia="楷体_GB2312"/>
      <w:kern w:val="2"/>
      <w:sz w:val="24"/>
    </w:rPr>
  </w:style>
  <w:style w:type="character" w:customStyle="1" w:styleId="200">
    <w:name w:val="纯文本 Char1"/>
    <w:qFormat/>
    <w:locked/>
    <w:uiPriority w:val="0"/>
    <w:rPr>
      <w:rFonts w:hint="eastAsia" w:ascii="宋体" w:hAnsi="Courier New" w:eastAsia="宋体" w:cs="Courier New"/>
      <w:szCs w:val="21"/>
    </w:rPr>
  </w:style>
  <w:style w:type="character" w:customStyle="1" w:styleId="201">
    <w:name w:val="标题 3 字符"/>
    <w:qFormat/>
    <w:uiPriority w:val="0"/>
    <w:rPr>
      <w:rFonts w:hint="eastAsia" w:ascii="宋体" w:hAnsi="宋体" w:eastAsia="仿宋_GB2312"/>
      <w:b/>
      <w:bCs/>
      <w:kern w:val="2"/>
      <w:sz w:val="28"/>
      <w:szCs w:val="28"/>
    </w:rPr>
  </w:style>
  <w:style w:type="character" w:customStyle="1" w:styleId="202">
    <w:name w:val="Char Char5"/>
    <w:qFormat/>
    <w:uiPriority w:val="0"/>
    <w:rPr>
      <w:rFonts w:hint="eastAsia" w:ascii="宋体" w:hAnsi="宋体" w:eastAsia="宋体"/>
      <w:b/>
      <w:bCs/>
      <w:kern w:val="2"/>
      <w:sz w:val="21"/>
      <w:szCs w:val="24"/>
      <w:lang w:val="en-US" w:eastAsia="zh-CN" w:bidi="ar-SA"/>
    </w:rPr>
  </w:style>
  <w:style w:type="character" w:customStyle="1" w:styleId="203">
    <w:name w:val="正文文本缩进 3 Char1"/>
    <w:basedOn w:val="49"/>
    <w:link w:val="38"/>
    <w:semiHidden/>
    <w:qFormat/>
    <w:locked/>
    <w:uiPriority w:val="99"/>
    <w:rPr>
      <w:rFonts w:ascii="Times New Roman" w:hAnsi="Times New Roman" w:eastAsia="宋体" w:cs="Times New Roman"/>
      <w:kern w:val="0"/>
      <w:sz w:val="16"/>
      <w:szCs w:val="16"/>
    </w:rPr>
  </w:style>
  <w:style w:type="character" w:customStyle="1" w:styleId="204">
    <w:name w:val="批注框文本 Char1"/>
    <w:basedOn w:val="49"/>
    <w:link w:val="30"/>
    <w:semiHidden/>
    <w:qFormat/>
    <w:locked/>
    <w:uiPriority w:val="99"/>
    <w:rPr>
      <w:rFonts w:ascii="Times New Roman" w:hAnsi="Times New Roman" w:eastAsia="宋体" w:cs="Times New Roman"/>
      <w:kern w:val="0"/>
      <w:sz w:val="18"/>
      <w:szCs w:val="18"/>
    </w:rPr>
  </w:style>
  <w:style w:type="character" w:customStyle="1" w:styleId="205">
    <w:name w:val="批注文字 Char2"/>
    <w:basedOn w:val="49"/>
    <w:link w:val="17"/>
    <w:qFormat/>
    <w:locked/>
    <w:uiPriority w:val="99"/>
    <w:rPr>
      <w:rFonts w:ascii="Times New Roman" w:hAnsi="Times New Roman" w:eastAsia="宋体" w:cs="Times New Roman"/>
      <w:szCs w:val="24"/>
    </w:rPr>
  </w:style>
  <w:style w:type="character" w:customStyle="1" w:styleId="206">
    <w:name w:val="批注主题 Char1"/>
    <w:basedOn w:val="205"/>
    <w:link w:val="46"/>
    <w:semiHidden/>
    <w:qFormat/>
    <w:locked/>
    <w:uiPriority w:val="99"/>
    <w:rPr>
      <w:rFonts w:ascii="Times New Roman" w:hAnsi="Times New Roman" w:eastAsia="宋体" w:cs="Times New Roman"/>
      <w:b/>
      <w:bCs/>
      <w:szCs w:val="24"/>
    </w:rPr>
  </w:style>
  <w:style w:type="character" w:customStyle="1" w:styleId="207">
    <w:name w:val="正文文本 Char1"/>
    <w:basedOn w:val="49"/>
    <w:link w:val="2"/>
    <w:semiHidden/>
    <w:qFormat/>
    <w:locked/>
    <w:uiPriority w:val="99"/>
    <w:rPr>
      <w:rFonts w:ascii="Times New Roman" w:hAnsi="Times New Roman" w:eastAsia="宋体" w:cs="Times New Roman"/>
      <w:kern w:val="0"/>
      <w:sz w:val="24"/>
      <w:szCs w:val="24"/>
    </w:rPr>
  </w:style>
  <w:style w:type="character" w:customStyle="1" w:styleId="208">
    <w:name w:val="文档结构图 Char1"/>
    <w:basedOn w:val="49"/>
    <w:link w:val="16"/>
    <w:semiHidden/>
    <w:qFormat/>
    <w:locked/>
    <w:uiPriority w:val="99"/>
    <w:rPr>
      <w:rFonts w:ascii="宋体" w:hAnsi="Calibri" w:eastAsia="宋体" w:cs="Times New Roman"/>
      <w:sz w:val="18"/>
      <w:szCs w:val="18"/>
    </w:rPr>
  </w:style>
  <w:style w:type="character" w:customStyle="1" w:styleId="209">
    <w:name w:val="页眉 Char2"/>
    <w:basedOn w:val="49"/>
    <w:semiHidden/>
    <w:qFormat/>
    <w:locked/>
    <w:uiPriority w:val="99"/>
    <w:rPr>
      <w:rFonts w:ascii="Times New Roman" w:hAnsi="Times New Roman" w:eastAsia="宋体" w:cs="Times New Roman"/>
      <w:sz w:val="18"/>
      <w:szCs w:val="18"/>
    </w:rPr>
  </w:style>
  <w:style w:type="character" w:customStyle="1" w:styleId="210">
    <w:name w:val="日期 Char1"/>
    <w:basedOn w:val="49"/>
    <w:link w:val="27"/>
    <w:semiHidden/>
    <w:qFormat/>
    <w:locked/>
    <w:uiPriority w:val="99"/>
    <w:rPr>
      <w:rFonts w:ascii="宋体" w:hAnsi="Courier New" w:eastAsia="宋体" w:cs="Courier New"/>
      <w:kern w:val="0"/>
      <w:sz w:val="20"/>
      <w:szCs w:val="21"/>
    </w:rPr>
  </w:style>
  <w:style w:type="character" w:customStyle="1" w:styleId="211">
    <w:name w:val="纯文本 Char3"/>
    <w:basedOn w:val="49"/>
    <w:link w:val="25"/>
    <w:qFormat/>
    <w:locked/>
    <w:uiPriority w:val="0"/>
    <w:rPr>
      <w:rFonts w:ascii="宋体" w:hAnsi="Courier New" w:eastAsia="宋体" w:cs="Courier New"/>
      <w:kern w:val="0"/>
      <w:sz w:val="20"/>
      <w:szCs w:val="21"/>
    </w:rPr>
  </w:style>
  <w:style w:type="character" w:customStyle="1" w:styleId="212">
    <w:name w:val="标题 Char2"/>
    <w:basedOn w:val="49"/>
    <w:link w:val="45"/>
    <w:qFormat/>
    <w:locked/>
    <w:uiPriority w:val="10"/>
    <w:rPr>
      <w:rFonts w:ascii="Cambria" w:hAnsi="Cambria" w:eastAsia="宋体" w:cs="Times New Roman"/>
      <w:b/>
      <w:bCs/>
      <w:sz w:val="32"/>
      <w:szCs w:val="32"/>
    </w:rPr>
  </w:style>
  <w:style w:type="character" w:customStyle="1" w:styleId="213">
    <w:name w:val="HTML 预设格式 Char1"/>
    <w:basedOn w:val="49"/>
    <w:link w:val="42"/>
    <w:semiHidden/>
    <w:qFormat/>
    <w:locked/>
    <w:uiPriority w:val="99"/>
    <w:rPr>
      <w:rFonts w:ascii="宋体" w:hAnsi="宋体" w:eastAsia="宋体" w:cs="宋体"/>
      <w:kern w:val="0"/>
      <w:sz w:val="24"/>
      <w:szCs w:val="24"/>
    </w:rPr>
  </w:style>
  <w:style w:type="character" w:customStyle="1" w:styleId="214">
    <w:name w:val="正文文本 2 Char1"/>
    <w:basedOn w:val="49"/>
    <w:link w:val="41"/>
    <w:semiHidden/>
    <w:qFormat/>
    <w:locked/>
    <w:uiPriority w:val="99"/>
    <w:rPr>
      <w:rFonts w:ascii="Times New Roman" w:hAnsi="Times New Roman" w:eastAsia="宋体" w:cs="Times New Roman"/>
      <w:kern w:val="0"/>
      <w:sz w:val="20"/>
      <w:szCs w:val="24"/>
    </w:rPr>
  </w:style>
  <w:style w:type="character" w:customStyle="1" w:styleId="215">
    <w:name w:val="尾注文本 Char1"/>
    <w:basedOn w:val="49"/>
    <w:link w:val="29"/>
    <w:semiHidden/>
    <w:qFormat/>
    <w:locked/>
    <w:uiPriority w:val="99"/>
    <w:rPr>
      <w:rFonts w:ascii="Times New Roman" w:hAnsi="Times New Roman" w:eastAsia="宋体" w:cs="Times New Roman"/>
      <w:szCs w:val="24"/>
    </w:rPr>
  </w:style>
  <w:style w:type="character" w:customStyle="1" w:styleId="216">
    <w:name w:val="页脚 Char1"/>
    <w:basedOn w:val="49"/>
    <w:semiHidden/>
    <w:qFormat/>
    <w:locked/>
    <w:uiPriority w:val="99"/>
    <w:rPr>
      <w:rFonts w:ascii="Times New Roman" w:hAnsi="Times New Roman" w:eastAsia="宋体" w:cs="Times New Roman"/>
      <w:kern w:val="0"/>
      <w:sz w:val="18"/>
      <w:szCs w:val="18"/>
    </w:rPr>
  </w:style>
  <w:style w:type="character" w:customStyle="1" w:styleId="217">
    <w:name w:val="正文文本缩进 2 Char1"/>
    <w:basedOn w:val="49"/>
    <w:link w:val="28"/>
    <w:semiHidden/>
    <w:qFormat/>
    <w:locked/>
    <w:uiPriority w:val="99"/>
    <w:rPr>
      <w:rFonts w:ascii="Times New Roman" w:hAnsi="Times New Roman" w:eastAsia="宋体" w:cs="Times New Roman"/>
      <w:kern w:val="0"/>
      <w:sz w:val="32"/>
      <w:szCs w:val="20"/>
    </w:rPr>
  </w:style>
  <w:style w:type="character" w:customStyle="1" w:styleId="218">
    <w:name w:val="正文文本缩进 Char1"/>
    <w:basedOn w:val="49"/>
    <w:link w:val="19"/>
    <w:semiHidden/>
    <w:qFormat/>
    <w:locked/>
    <w:uiPriority w:val="99"/>
    <w:rPr>
      <w:rFonts w:ascii="仿宋_GB2312" w:hAnsi="Times New Roman" w:eastAsia="仿宋_GB2312" w:cs="Times New Roman"/>
      <w:kern w:val="0"/>
      <w:sz w:val="32"/>
      <w:szCs w:val="20"/>
    </w:rPr>
  </w:style>
  <w:style w:type="character" w:customStyle="1" w:styleId="219">
    <w:name w:val="脚注文本 Char1"/>
    <w:basedOn w:val="49"/>
    <w:link w:val="36"/>
    <w:semiHidden/>
    <w:qFormat/>
    <w:locked/>
    <w:uiPriority w:val="99"/>
    <w:rPr>
      <w:rFonts w:ascii="Times New Roman" w:hAnsi="Times New Roman" w:eastAsia="宋体" w:cs="Times New Roman"/>
      <w:sz w:val="18"/>
      <w:szCs w:val="18"/>
    </w:rPr>
  </w:style>
  <w:style w:type="character" w:customStyle="1" w:styleId="220">
    <w:name w:val="正文文本 3 Char1"/>
    <w:basedOn w:val="49"/>
    <w:link w:val="18"/>
    <w:semiHidden/>
    <w:qFormat/>
    <w:locked/>
    <w:uiPriority w:val="99"/>
    <w:rPr>
      <w:rFonts w:ascii="Times New Roman" w:hAnsi="Times New Roman" w:eastAsia="宋体" w:cs="Times New Roman"/>
      <w:b/>
      <w:bCs/>
      <w:kern w:val="0"/>
      <w:sz w:val="24"/>
      <w:szCs w:val="24"/>
    </w:rPr>
  </w:style>
  <w:style w:type="paragraph" w:customStyle="1" w:styleId="221">
    <w:name w:val="四级条标题"/>
    <w:basedOn w:val="125"/>
    <w:next w:val="93"/>
    <w:qFormat/>
    <w:uiPriority w:val="0"/>
    <w:pPr>
      <w:tabs>
        <w:tab w:val="left" w:pos="2940"/>
        <w:tab w:val="clear" w:pos="2205"/>
      </w:tabs>
      <w:ind w:left="3160"/>
      <w:outlineLvl w:val="5"/>
    </w:pPr>
  </w:style>
  <w:style w:type="paragraph" w:customStyle="1" w:styleId="222">
    <w:name w:val="五级条标题"/>
    <w:basedOn w:val="221"/>
    <w:next w:val="93"/>
    <w:qFormat/>
    <w:uiPriority w:val="0"/>
    <w:pPr>
      <w:tabs>
        <w:tab w:val="left" w:pos="2625"/>
      </w:tabs>
      <w:ind w:left="2100"/>
      <w:outlineLvl w:val="6"/>
    </w:pPr>
  </w:style>
  <w:style w:type="paragraph" w:customStyle="1" w:styleId="223">
    <w:name w:val="附录一级条标题"/>
    <w:basedOn w:val="107"/>
    <w:next w:val="93"/>
    <w:qFormat/>
    <w:uiPriority w:val="0"/>
    <w:pPr>
      <w:tabs>
        <w:tab w:val="left" w:pos="1992"/>
        <w:tab w:val="clear" w:pos="885"/>
      </w:tabs>
      <w:autoSpaceDN w:val="0"/>
      <w:spacing w:beforeLines="0"/>
      <w:ind w:left="420" w:hanging="420"/>
      <w:outlineLvl w:val="2"/>
    </w:pPr>
  </w:style>
  <w:style w:type="paragraph" w:customStyle="1" w:styleId="224">
    <w:name w:val="附录二级条标题"/>
    <w:basedOn w:val="223"/>
    <w:next w:val="93"/>
    <w:qFormat/>
    <w:uiPriority w:val="0"/>
    <w:pPr>
      <w:tabs>
        <w:tab w:val="left" w:pos="840"/>
      </w:tabs>
      <w:ind w:left="840"/>
      <w:outlineLvl w:val="3"/>
    </w:pPr>
  </w:style>
  <w:style w:type="paragraph" w:customStyle="1" w:styleId="225">
    <w:name w:val="附录三级条标题"/>
    <w:basedOn w:val="224"/>
    <w:next w:val="93"/>
    <w:qFormat/>
    <w:uiPriority w:val="0"/>
    <w:pPr>
      <w:tabs>
        <w:tab w:val="left" w:pos="1260"/>
      </w:tabs>
      <w:ind w:left="1260"/>
      <w:outlineLvl w:val="4"/>
    </w:pPr>
  </w:style>
  <w:style w:type="paragraph" w:customStyle="1" w:styleId="226">
    <w:name w:val="附录四级条标题"/>
    <w:basedOn w:val="225"/>
    <w:next w:val="93"/>
    <w:qFormat/>
    <w:uiPriority w:val="0"/>
    <w:pPr>
      <w:tabs>
        <w:tab w:val="left" w:pos="1680"/>
      </w:tabs>
      <w:ind w:left="1680"/>
      <w:outlineLvl w:val="5"/>
    </w:pPr>
  </w:style>
  <w:style w:type="paragraph" w:customStyle="1" w:styleId="227">
    <w:name w:val="附录五级条标题"/>
    <w:basedOn w:val="226"/>
    <w:next w:val="93"/>
    <w:qFormat/>
    <w:uiPriority w:val="0"/>
    <w:pPr>
      <w:tabs>
        <w:tab w:val="left" w:pos="2100"/>
        <w:tab w:val="clear" w:pos="1680"/>
      </w:tabs>
      <w:ind w:left="2100"/>
      <w:outlineLvl w:val="6"/>
    </w:pPr>
  </w:style>
  <w:style w:type="character" w:customStyle="1" w:styleId="228">
    <w:name w:val="文档正文 Char Char"/>
    <w:link w:val="229"/>
    <w:qFormat/>
    <w:locked/>
    <w:uiPriority w:val="0"/>
    <w:rPr>
      <w:sz w:val="24"/>
    </w:rPr>
  </w:style>
  <w:style w:type="paragraph" w:customStyle="1" w:styleId="229">
    <w:name w:val="文档正文"/>
    <w:basedOn w:val="1"/>
    <w:link w:val="228"/>
    <w:qFormat/>
    <w:uiPriority w:val="0"/>
    <w:pPr>
      <w:widowControl/>
      <w:snapToGrid w:val="0"/>
      <w:spacing w:before="60" w:after="60" w:line="360" w:lineRule="atLeast"/>
      <w:ind w:firstLine="482"/>
      <w:jc w:val="left"/>
    </w:pPr>
    <w:rPr>
      <w:rFonts w:asciiTheme="minorHAnsi" w:hAnsiTheme="minorHAnsi" w:eastAsiaTheme="minorEastAsia" w:cstheme="minorBidi"/>
      <w:sz w:val="24"/>
      <w:szCs w:val="22"/>
    </w:rPr>
  </w:style>
  <w:style w:type="character" w:customStyle="1" w:styleId="230">
    <w:name w:val="表 Char"/>
    <w:link w:val="135"/>
    <w:qFormat/>
    <w:locked/>
    <w:uiPriority w:val="99"/>
    <w:rPr>
      <w:rFonts w:ascii="Calibri" w:hAnsi="Calibri" w:eastAsia="仿宋" w:cs="Times New Roman"/>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Char Char Char Char Char Char Char2"/>
    <w:basedOn w:val="1"/>
    <w:qFormat/>
    <w:uiPriority w:val="99"/>
  </w:style>
  <w:style w:type="paragraph" w:customStyle="1" w:styleId="233">
    <w:name w:val="样式 正文缩进 + 首行缩进:  2 字符"/>
    <w:basedOn w:val="8"/>
    <w:qFormat/>
    <w:uiPriority w:val="0"/>
    <w:pPr>
      <w:spacing w:line="360" w:lineRule="auto"/>
      <w:ind w:firstLine="200" w:firstLineChars="200"/>
    </w:pPr>
    <w:rPr>
      <w:rFonts w:cs="宋体"/>
      <w:sz w:val="24"/>
    </w:rPr>
  </w:style>
  <w:style w:type="table" w:customStyle="1" w:styleId="234">
    <w:name w:val="网格型1"/>
    <w:basedOn w:val="4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5">
    <w:name w:val="Char Char Char Char Char Char Char3"/>
    <w:basedOn w:val="1"/>
    <w:qFormat/>
    <w:uiPriority w:val="0"/>
  </w:style>
  <w:style w:type="table" w:customStyle="1" w:styleId="236">
    <w:name w:val="网格型2"/>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1107</Words>
  <Characters>6310</Characters>
  <Lines>52</Lines>
  <Paragraphs>14</Paragraphs>
  <TotalTime>0</TotalTime>
  <ScaleCrop>false</ScaleCrop>
  <LinksUpToDate>false</LinksUpToDate>
  <CharactersWithSpaces>7403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2019-02-11T03:19:00Z</dcterms:created>
  <dc:creator>Guocy</dc:creator>
  <cp:lastModifiedBy>四夕丰色</cp:lastModifiedBy>
  <dcterms:modified xsi:type="dcterms:W3CDTF">2020-10-10T02:27:19Z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